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FA56A" w14:textId="6C84CFBF" w:rsidR="00CF5AA7" w:rsidRPr="00810F09" w:rsidRDefault="00B617FA" w:rsidP="00810F09">
      <w:pPr>
        <w:pStyle w:val="Title"/>
        <w:rPr>
          <w:rFonts w:cs="Times New Roman"/>
        </w:rPr>
      </w:pPr>
      <w:r w:rsidRPr="003B3F88">
        <w:rPr>
          <w:rFonts w:cs="Times New Roman"/>
        </w:rPr>
        <w:t xml:space="preserve">Fiscal Capacity under Devolution: Households, Livestock </w:t>
      </w:r>
      <w:r w:rsidR="00A2755C">
        <w:rPr>
          <w:rFonts w:cs="Times New Roman"/>
        </w:rPr>
        <w:t>and</w:t>
      </w:r>
      <w:r w:rsidRPr="003B3F88">
        <w:rPr>
          <w:rFonts w:cs="Times New Roman"/>
        </w:rPr>
        <w:t xml:space="preserve"> Fishing Activities in Kenyas</w:t>
      </w:r>
      <w:r w:rsidR="00A2755C">
        <w:rPr>
          <w:rFonts w:cs="Times New Roman"/>
        </w:rPr>
        <w:t>’</w:t>
      </w:r>
      <w:r w:rsidRPr="003B3F88">
        <w:rPr>
          <w:rFonts w:cs="Times New Roman"/>
        </w:rPr>
        <w:t xml:space="preserve"> </w:t>
      </w:r>
      <w:r w:rsidR="00A2755C">
        <w:rPr>
          <w:rFonts w:cs="Times New Roman"/>
        </w:rPr>
        <w:t>G</w:t>
      </w:r>
      <w:r w:rsidRPr="003B3F88">
        <w:rPr>
          <w:rFonts w:cs="Times New Roman"/>
        </w:rPr>
        <w:t>overnments</w:t>
      </w:r>
    </w:p>
    <w:p w14:paraId="1A571B68" w14:textId="3E034ED1" w:rsidR="00D23D6D" w:rsidRPr="003B3F88" w:rsidRDefault="00B617FA" w:rsidP="00C00B03">
      <w:pPr>
        <w:pStyle w:val="Subtitle"/>
        <w:rPr>
          <w:rFonts w:cs="Times New Roman"/>
        </w:rPr>
      </w:pPr>
      <w:bookmarkStart w:id="0" w:name="_Hlk224118671"/>
      <w:bookmarkStart w:id="1" w:name="abstract"/>
      <w:r w:rsidRPr="003B3F88">
        <w:rPr>
          <w:rFonts w:cs="Times New Roman"/>
        </w:rPr>
        <w:t>Abstract</w:t>
      </w:r>
    </w:p>
    <w:p w14:paraId="5323A691" w14:textId="1F202B5A" w:rsidR="00A2755C" w:rsidRPr="00A2755C" w:rsidRDefault="00B617FA" w:rsidP="00C45BFB">
      <w:pPr>
        <w:pStyle w:val="FirstParagraph"/>
        <w:spacing w:before="0" w:after="0" w:line="480" w:lineRule="auto"/>
        <w:rPr>
          <w:rFonts w:ascii="Times New Roman" w:hAnsi="Times New Roman" w:cs="Times New Roman"/>
        </w:rPr>
      </w:pPr>
      <w:r w:rsidRPr="003B3F88">
        <w:rPr>
          <w:rFonts w:ascii="Times New Roman" w:hAnsi="Times New Roman" w:cs="Times New Roman"/>
        </w:rPr>
        <w:t>Decentralized revenue collection performance is shaped by geographical, technological, and institutional conditions.</w:t>
      </w:r>
      <w:r w:rsidR="003B3F88" w:rsidRPr="003B3F88">
        <w:rPr>
          <w:rFonts w:ascii="Times New Roman" w:hAnsi="Times New Roman" w:cs="Times New Roman"/>
        </w:rPr>
        <w:t xml:space="preserve"> </w:t>
      </w:r>
      <w:r w:rsidR="00A2755C" w:rsidRPr="00A2755C">
        <w:rPr>
          <w:rFonts w:ascii="Times New Roman" w:hAnsi="Times New Roman" w:cs="Times New Roman"/>
        </w:rPr>
        <w:t xml:space="preserve">In Kenya, the 2010 </w:t>
      </w:r>
      <w:r w:rsidR="00A2755C">
        <w:rPr>
          <w:rFonts w:ascii="Times New Roman" w:hAnsi="Times New Roman" w:cs="Times New Roman"/>
        </w:rPr>
        <w:t>c</w:t>
      </w:r>
      <w:r w:rsidR="00A2755C" w:rsidRPr="00A2755C">
        <w:rPr>
          <w:rFonts w:ascii="Times New Roman" w:hAnsi="Times New Roman" w:cs="Times New Roman"/>
        </w:rPr>
        <w:t>onstitution established 47 county governments</w:t>
      </w:r>
    </w:p>
    <w:p w14:paraId="19B9DA93" w14:textId="77777777" w:rsidR="00A2755C" w:rsidRPr="00A2755C" w:rsidRDefault="00A2755C" w:rsidP="00C45BFB">
      <w:pPr>
        <w:pStyle w:val="FirstParagraph"/>
        <w:spacing w:before="0" w:after="0" w:line="480" w:lineRule="auto"/>
        <w:rPr>
          <w:rFonts w:ascii="Times New Roman" w:hAnsi="Times New Roman" w:cs="Times New Roman"/>
        </w:rPr>
      </w:pPr>
      <w:r w:rsidRPr="00A2755C">
        <w:rPr>
          <w:rFonts w:ascii="Times New Roman" w:hAnsi="Times New Roman" w:cs="Times New Roman"/>
        </w:rPr>
        <w:t>with constitutionally guaranteed intergovernmental transfers and devolved revenue collection</w:t>
      </w:r>
    </w:p>
    <w:p w14:paraId="1A571B69" w14:textId="25C89230" w:rsidR="00D23D6D" w:rsidRPr="003B3F88" w:rsidRDefault="00A2755C" w:rsidP="00C45BFB">
      <w:pPr>
        <w:pStyle w:val="FirstParagraph"/>
        <w:spacing w:before="0" w:after="0" w:line="480" w:lineRule="auto"/>
        <w:rPr>
          <w:rFonts w:ascii="Times New Roman" w:hAnsi="Times New Roman" w:cs="Times New Roman"/>
        </w:rPr>
      </w:pPr>
      <w:r w:rsidRPr="00A2755C">
        <w:rPr>
          <w:rFonts w:ascii="Times New Roman" w:hAnsi="Times New Roman" w:cs="Times New Roman"/>
        </w:rPr>
        <w:t xml:space="preserve">authority.  However, these </w:t>
      </w:r>
      <w:r w:rsidR="00B617FA" w:rsidRPr="003B3F88">
        <w:rPr>
          <w:rFonts w:ascii="Times New Roman" w:hAnsi="Times New Roman" w:cs="Times New Roman"/>
        </w:rPr>
        <w:t xml:space="preserve">county governments have persistently under-performed in mobilizing </w:t>
      </w:r>
      <w:r w:rsidR="003B3F88" w:rsidRPr="003B3F88">
        <w:rPr>
          <w:rFonts w:ascii="Times New Roman" w:hAnsi="Times New Roman" w:cs="Times New Roman"/>
        </w:rPr>
        <w:t>own source revenue (</w:t>
      </w:r>
      <w:r w:rsidR="00B617FA" w:rsidRPr="003B3F88">
        <w:rPr>
          <w:rFonts w:ascii="Times New Roman" w:hAnsi="Times New Roman" w:cs="Times New Roman"/>
        </w:rPr>
        <w:t>OSR</w:t>
      </w:r>
      <w:r w:rsidR="003B3F88" w:rsidRPr="003B3F88">
        <w:rPr>
          <w:rFonts w:ascii="Times New Roman" w:hAnsi="Times New Roman" w:cs="Times New Roman"/>
        </w:rPr>
        <w:t>)</w:t>
      </w:r>
      <w:r w:rsidR="00B617FA" w:rsidRPr="003B3F88">
        <w:rPr>
          <w:rFonts w:ascii="Times New Roman" w:hAnsi="Times New Roman" w:cs="Times New Roman"/>
        </w:rPr>
        <w:t xml:space="preserve"> relative to their estimated potential. This study</w:t>
      </w:r>
      <w:r>
        <w:rPr>
          <w:rFonts w:ascii="Times New Roman" w:hAnsi="Times New Roman" w:cs="Times New Roman"/>
        </w:rPr>
        <w:t>, therefore,</w:t>
      </w:r>
      <w:r w:rsidR="00B617FA" w:rsidRPr="003B3F88">
        <w:rPr>
          <w:rFonts w:ascii="Times New Roman" w:hAnsi="Times New Roman" w:cs="Times New Roman"/>
        </w:rPr>
        <w:t xml:space="preserve"> examines the </w:t>
      </w:r>
      <w:r w:rsidR="001B0264">
        <w:rPr>
          <w:rFonts w:ascii="Times New Roman" w:hAnsi="Times New Roman" w:cs="Times New Roman"/>
        </w:rPr>
        <w:t>relationship between</w:t>
      </w:r>
      <w:r w:rsidR="00B617FA" w:rsidRPr="003B3F88">
        <w:rPr>
          <w:rFonts w:ascii="Times New Roman" w:hAnsi="Times New Roman" w:cs="Times New Roman"/>
        </w:rPr>
        <w:t xml:space="preserve"> OSR </w:t>
      </w:r>
      <w:r w:rsidR="001B0264">
        <w:rPr>
          <w:rFonts w:ascii="Times New Roman" w:hAnsi="Times New Roman" w:cs="Times New Roman"/>
        </w:rPr>
        <w:t xml:space="preserve">and </w:t>
      </w:r>
      <w:r w:rsidR="00B617FA" w:rsidRPr="003B3F88">
        <w:rPr>
          <w:rFonts w:ascii="Times New Roman" w:hAnsi="Times New Roman" w:cs="Times New Roman"/>
        </w:rPr>
        <w:t>household scale</w:t>
      </w:r>
      <w:r w:rsidR="001B0264">
        <w:rPr>
          <w:rFonts w:ascii="Times New Roman" w:hAnsi="Times New Roman" w:cs="Times New Roman"/>
        </w:rPr>
        <w:t xml:space="preserve">, </w:t>
      </w:r>
      <w:r w:rsidR="001B0264" w:rsidRPr="001B0264">
        <w:rPr>
          <w:rFonts w:ascii="Times New Roman" w:hAnsi="Times New Roman" w:cs="Times New Roman"/>
        </w:rPr>
        <w:t xml:space="preserve">livestock-related economic activity </w:t>
      </w:r>
      <w:r w:rsidR="001B0264">
        <w:rPr>
          <w:rFonts w:ascii="Times New Roman" w:hAnsi="Times New Roman" w:cs="Times New Roman"/>
        </w:rPr>
        <w:t xml:space="preserve">and fishing </w:t>
      </w:r>
      <w:r w:rsidRPr="00A2755C">
        <w:rPr>
          <w:rFonts w:ascii="Times New Roman" w:hAnsi="Times New Roman" w:cs="Times New Roman"/>
        </w:rPr>
        <w:t xml:space="preserve">using cross-sectional data from the 2019 Kenya </w:t>
      </w:r>
      <w:r w:rsidR="001B0264">
        <w:rPr>
          <w:rFonts w:ascii="Times New Roman" w:hAnsi="Times New Roman" w:cs="Times New Roman"/>
        </w:rPr>
        <w:t>p</w:t>
      </w:r>
      <w:r w:rsidRPr="00A2755C">
        <w:rPr>
          <w:rFonts w:ascii="Times New Roman" w:hAnsi="Times New Roman" w:cs="Times New Roman"/>
        </w:rPr>
        <w:t xml:space="preserve">opulation and </w:t>
      </w:r>
      <w:r w:rsidR="001B0264">
        <w:rPr>
          <w:rFonts w:ascii="Times New Roman" w:hAnsi="Times New Roman" w:cs="Times New Roman"/>
        </w:rPr>
        <w:t>h</w:t>
      </w:r>
      <w:r w:rsidRPr="00A2755C">
        <w:rPr>
          <w:rFonts w:ascii="Times New Roman" w:hAnsi="Times New Roman" w:cs="Times New Roman"/>
        </w:rPr>
        <w:t xml:space="preserve">ousing </w:t>
      </w:r>
      <w:r w:rsidR="001B0264">
        <w:rPr>
          <w:rFonts w:ascii="Times New Roman" w:hAnsi="Times New Roman" w:cs="Times New Roman"/>
        </w:rPr>
        <w:t>c</w:t>
      </w:r>
      <w:r w:rsidRPr="00A2755C">
        <w:rPr>
          <w:rFonts w:ascii="Times New Roman" w:hAnsi="Times New Roman" w:cs="Times New Roman"/>
        </w:rPr>
        <w:t>ensus</w:t>
      </w:r>
      <w:r w:rsidR="009A4DD7">
        <w:rPr>
          <w:rFonts w:ascii="Times New Roman" w:hAnsi="Times New Roman" w:cs="Times New Roman"/>
        </w:rPr>
        <w:t xml:space="preserve"> and the </w:t>
      </w:r>
      <w:r w:rsidR="001B0264">
        <w:rPr>
          <w:rFonts w:ascii="Times New Roman" w:hAnsi="Times New Roman" w:cs="Times New Roman"/>
        </w:rPr>
        <w:t>c</w:t>
      </w:r>
      <w:r w:rsidR="00810F09">
        <w:rPr>
          <w:rFonts w:ascii="Times New Roman" w:hAnsi="Times New Roman" w:cs="Times New Roman"/>
        </w:rPr>
        <w:t xml:space="preserve">ommission on </w:t>
      </w:r>
      <w:r w:rsidR="001B0264">
        <w:rPr>
          <w:rFonts w:ascii="Times New Roman" w:hAnsi="Times New Roman" w:cs="Times New Roman"/>
        </w:rPr>
        <w:t>r</w:t>
      </w:r>
      <w:r w:rsidR="00810F09">
        <w:rPr>
          <w:rFonts w:ascii="Times New Roman" w:hAnsi="Times New Roman" w:cs="Times New Roman"/>
        </w:rPr>
        <w:t xml:space="preserve">evenue </w:t>
      </w:r>
      <w:r w:rsidR="001B0264">
        <w:rPr>
          <w:rFonts w:ascii="Times New Roman" w:hAnsi="Times New Roman" w:cs="Times New Roman"/>
        </w:rPr>
        <w:t>a</w:t>
      </w:r>
      <w:r w:rsidR="00810F09">
        <w:rPr>
          <w:rFonts w:ascii="Times New Roman" w:hAnsi="Times New Roman" w:cs="Times New Roman"/>
        </w:rPr>
        <w:t>llocation (CRA)</w:t>
      </w:r>
      <w:r w:rsidR="00B617FA" w:rsidRPr="003B3F88">
        <w:rPr>
          <w:rFonts w:ascii="Times New Roman" w:hAnsi="Times New Roman" w:cs="Times New Roman"/>
        </w:rPr>
        <w:t xml:space="preserve">. </w:t>
      </w:r>
      <w:r w:rsidR="003B3F88" w:rsidRPr="003B3F88">
        <w:rPr>
          <w:rFonts w:ascii="Times New Roman" w:hAnsi="Times New Roman" w:cs="Times New Roman"/>
        </w:rPr>
        <w:t>T</w:t>
      </w:r>
      <w:r w:rsidR="00B617FA" w:rsidRPr="003B3F88">
        <w:rPr>
          <w:rFonts w:ascii="Times New Roman" w:hAnsi="Times New Roman" w:cs="Times New Roman"/>
        </w:rPr>
        <w:t xml:space="preserve">he analysis employs an Ordinary Least Squares (OLS) regression model </w:t>
      </w:r>
      <w:r w:rsidR="003B3F88" w:rsidRPr="003B3F88">
        <w:rPr>
          <w:rFonts w:ascii="Times New Roman" w:hAnsi="Times New Roman" w:cs="Times New Roman"/>
        </w:rPr>
        <w:t>and</w:t>
      </w:r>
      <w:r w:rsidR="00B617FA" w:rsidRPr="003B3F88">
        <w:rPr>
          <w:rFonts w:ascii="Times New Roman" w:hAnsi="Times New Roman" w:cs="Times New Roman"/>
        </w:rPr>
        <w:t xml:space="preserve"> diagnostic tests </w:t>
      </w:r>
      <w:r w:rsidR="003B3F88" w:rsidRPr="003B3F88">
        <w:rPr>
          <w:rFonts w:ascii="Times New Roman" w:hAnsi="Times New Roman" w:cs="Times New Roman"/>
        </w:rPr>
        <w:t xml:space="preserve">are conducted </w:t>
      </w:r>
      <w:r w:rsidR="00B617FA" w:rsidRPr="003B3F88">
        <w:rPr>
          <w:rFonts w:ascii="Times New Roman" w:hAnsi="Times New Roman" w:cs="Times New Roman"/>
        </w:rPr>
        <w:t xml:space="preserve">to verify compliance with classical linear regression assumptions. Household scale exhibits a positive and highly significant association with OSR. </w:t>
      </w:r>
      <w:r w:rsidR="00C45BFB">
        <w:rPr>
          <w:rFonts w:ascii="Times New Roman" w:hAnsi="Times New Roman" w:cs="Times New Roman"/>
        </w:rPr>
        <w:t>L</w:t>
      </w:r>
      <w:r w:rsidR="00B617FA" w:rsidRPr="003B3F88">
        <w:rPr>
          <w:rFonts w:ascii="Times New Roman" w:hAnsi="Times New Roman" w:cs="Times New Roman"/>
        </w:rPr>
        <w:t xml:space="preserve">ivestock abundance is positively associated with revenue generation whereas reliance on </w:t>
      </w:r>
      <w:r w:rsidR="00C45BFB">
        <w:rPr>
          <w:rFonts w:ascii="Times New Roman" w:hAnsi="Times New Roman" w:cs="Times New Roman"/>
        </w:rPr>
        <w:t>f</w:t>
      </w:r>
      <w:r w:rsidR="00B617FA" w:rsidRPr="003B3F88">
        <w:rPr>
          <w:rFonts w:ascii="Times New Roman" w:hAnsi="Times New Roman" w:cs="Times New Roman"/>
        </w:rPr>
        <w:t xml:space="preserve">ishing is negatively related to OSR performance. </w:t>
      </w:r>
      <w:r w:rsidR="00C45BFB" w:rsidRPr="00C45BFB">
        <w:rPr>
          <w:rFonts w:ascii="Times New Roman" w:hAnsi="Times New Roman" w:cs="Times New Roman"/>
        </w:rPr>
        <w:t>The study contributes to the literature on fiscal decentralization by providing sub-national empirical evidence linking demographic scale and agr</w:t>
      </w:r>
      <w:r w:rsidR="00C45BFB">
        <w:rPr>
          <w:rFonts w:ascii="Times New Roman" w:hAnsi="Times New Roman" w:cs="Times New Roman"/>
        </w:rPr>
        <w:t>icultural</w:t>
      </w:r>
      <w:r w:rsidR="00C45BFB" w:rsidRPr="00C45BFB">
        <w:rPr>
          <w:rFonts w:ascii="Times New Roman" w:hAnsi="Times New Roman" w:cs="Times New Roman"/>
        </w:rPr>
        <w:t xml:space="preserve"> sector composition to local revenue mobilization capacity.</w:t>
      </w:r>
      <w:r w:rsidR="00C45BFB">
        <w:rPr>
          <w:rFonts w:ascii="Times New Roman" w:hAnsi="Times New Roman" w:cs="Times New Roman"/>
        </w:rPr>
        <w:t xml:space="preserve"> </w:t>
      </w:r>
      <w:r w:rsidR="00236B52">
        <w:rPr>
          <w:rFonts w:ascii="Times New Roman" w:hAnsi="Times New Roman" w:cs="Times New Roman"/>
        </w:rPr>
        <w:t>T</w:t>
      </w:r>
      <w:r w:rsidR="00236B52" w:rsidRPr="00236B52">
        <w:rPr>
          <w:rFonts w:ascii="Times New Roman" w:hAnsi="Times New Roman" w:cs="Times New Roman"/>
        </w:rPr>
        <w:t>he results underscore the need for context-specific revenue policies and differentiated intergovernmental fiscal support, particularly for counties with limited economic bases, to strengthen fiscal sustainability and equity within Kenya’s devolved governance framework.</w:t>
      </w:r>
    </w:p>
    <w:p w14:paraId="1A571B6A" w14:textId="29136C73"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b/>
          <w:bCs/>
        </w:rPr>
        <w:t>Keywords:</w:t>
      </w:r>
      <w:r w:rsidRPr="003B3F88">
        <w:rPr>
          <w:rFonts w:ascii="Times New Roman" w:hAnsi="Times New Roman" w:cs="Times New Roman"/>
        </w:rPr>
        <w:t xml:space="preserve"> Devolved governments, Own-source revenue, </w:t>
      </w:r>
      <w:r w:rsidR="007C0BF0" w:rsidRPr="007C0BF0">
        <w:rPr>
          <w:rFonts w:ascii="Times New Roman" w:hAnsi="Times New Roman" w:cs="Times New Roman"/>
        </w:rPr>
        <w:t>livestock-related economic activity</w:t>
      </w:r>
      <w:r w:rsidR="007C0BF0">
        <w:rPr>
          <w:rFonts w:ascii="Times New Roman" w:hAnsi="Times New Roman" w:cs="Times New Roman"/>
        </w:rPr>
        <w:t xml:space="preserve">, </w:t>
      </w:r>
      <w:r w:rsidRPr="003B3F88">
        <w:rPr>
          <w:rFonts w:ascii="Times New Roman" w:hAnsi="Times New Roman" w:cs="Times New Roman"/>
        </w:rPr>
        <w:t>Counties, Kenya</w:t>
      </w:r>
    </w:p>
    <w:bookmarkEnd w:id="0"/>
    <w:p w14:paraId="1A571B6C" w14:textId="31043C11" w:rsidR="00D23D6D" w:rsidRPr="003B3F88" w:rsidRDefault="00B617FA" w:rsidP="00C00B03">
      <w:pPr>
        <w:pStyle w:val="Heading1"/>
        <w:rPr>
          <w:rFonts w:cs="Times New Roman"/>
        </w:rPr>
      </w:pPr>
      <w:r w:rsidRPr="003B3F88">
        <w:rPr>
          <w:rFonts w:cs="Times New Roman"/>
        </w:rPr>
        <w:br w:type="page"/>
      </w:r>
      <w:bookmarkStart w:id="2" w:name="introduction"/>
      <w:bookmarkEnd w:id="1"/>
      <w:r w:rsidRPr="003B3F88">
        <w:rPr>
          <w:rFonts w:cs="Times New Roman"/>
        </w:rPr>
        <w:lastRenderedPageBreak/>
        <w:t>Introduction</w:t>
      </w:r>
    </w:p>
    <w:p w14:paraId="1A571B6D" w14:textId="086A93A2" w:rsidR="00D23D6D" w:rsidRPr="003B3F88" w:rsidRDefault="003B3F88" w:rsidP="00C00B03">
      <w:pPr>
        <w:pStyle w:val="FirstParagraph"/>
        <w:spacing w:line="480" w:lineRule="auto"/>
        <w:rPr>
          <w:rFonts w:ascii="Times New Roman" w:hAnsi="Times New Roman" w:cs="Times New Roman"/>
        </w:rPr>
      </w:pPr>
      <w:r w:rsidRPr="003B3F88">
        <w:rPr>
          <w:rFonts w:ascii="Times New Roman" w:hAnsi="Times New Roman" w:cs="Times New Roman"/>
        </w:rPr>
        <w:t xml:space="preserve">Decentralization is one of the approaches encouraged to realize global development </w:t>
      </w:r>
      <w:sdt>
        <w:sdtPr>
          <w:rPr>
            <w:rFonts w:ascii="Times New Roman" w:hAnsi="Times New Roman" w:cs="Times New Roman"/>
            <w:color w:val="000000"/>
          </w:rPr>
          <w:alias w:val="IvyCite-2001764501"/>
          <w:tag w:val="IvyCite"/>
          <w:id w:val="2001764501"/>
          <w:placeholder>
            <w:docPart w:val="DefaultPlaceholder_-1854013440"/>
          </w:placeholder>
          <w15:color w:val="83C900"/>
        </w:sdtPr>
        <w:sdtEndPr/>
        <w:sdtContent>
          <w:r w:rsidRPr="003B3F88">
            <w:rPr>
              <w:rFonts w:ascii="Times New Roman" w:eastAsia="Times New Roman" w:hAnsi="Times New Roman" w:cs="Times New Roman"/>
              <w:color w:val="000000"/>
            </w:rPr>
            <w:t>(</w:t>
          </w:r>
          <w:proofErr w:type="spellStart"/>
          <w:r w:rsidRPr="003B3F88">
            <w:rPr>
              <w:rFonts w:ascii="Times New Roman" w:eastAsia="Times New Roman" w:hAnsi="Times New Roman" w:cs="Times New Roman"/>
              <w:color w:val="000000"/>
            </w:rPr>
            <w:t>Rugeiyamu</w:t>
          </w:r>
          <w:proofErr w:type="spellEnd"/>
          <w:r w:rsidRPr="003B3F88">
            <w:rPr>
              <w:rFonts w:ascii="Times New Roman" w:eastAsia="Times New Roman" w:hAnsi="Times New Roman" w:cs="Times New Roman"/>
              <w:color w:val="000000"/>
            </w:rPr>
            <w:t xml:space="preserve"> &amp; </w:t>
          </w:r>
          <w:proofErr w:type="spellStart"/>
          <w:r w:rsidRPr="003B3F88">
            <w:rPr>
              <w:rFonts w:ascii="Times New Roman" w:eastAsia="Times New Roman" w:hAnsi="Times New Roman" w:cs="Times New Roman"/>
              <w:color w:val="000000"/>
            </w:rPr>
            <w:t>Msendo</w:t>
          </w:r>
          <w:proofErr w:type="spellEnd"/>
          <w:r w:rsidRPr="003B3F88">
            <w:rPr>
              <w:rFonts w:ascii="Times New Roman" w:eastAsia="Times New Roman" w:hAnsi="Times New Roman" w:cs="Times New Roman"/>
              <w:color w:val="000000"/>
            </w:rPr>
            <w:t>, 2025)</w:t>
          </w:r>
        </w:sdtContent>
      </w:sdt>
      <w:r w:rsidRPr="003B3F88">
        <w:rPr>
          <w:rFonts w:ascii="Times New Roman" w:hAnsi="Times New Roman" w:cs="Times New Roman"/>
        </w:rPr>
        <w:t xml:space="preserve">. </w:t>
      </w:r>
      <w:r w:rsidR="00B617FA" w:rsidRPr="003B3F88">
        <w:rPr>
          <w:rFonts w:ascii="Times New Roman" w:hAnsi="Times New Roman" w:cs="Times New Roman"/>
        </w:rPr>
        <w:t xml:space="preserve">A sustainable and effective sub-national governance requires a robust revenue collection mechanism for the purpose of local development and service delivery. Kenya’s devolved system of governance grants counties a mandate to generate Own Source Revenue (OSR) inline with the Sustainable Development Goal 17.1 which explicitly calls for strengthening domestic resource mobilization to reduce aid dependency </w:t>
      </w:r>
      <w:sdt>
        <w:sdtPr>
          <w:rPr>
            <w:rFonts w:ascii="Times New Roman" w:hAnsi="Times New Roman" w:cs="Times New Roman"/>
            <w:color w:val="000000"/>
          </w:rPr>
          <w:alias w:val="IvyCite-391935682"/>
          <w:tag w:val="IvyCite"/>
          <w:id w:val="391935682"/>
          <w:placeholder>
            <w:docPart w:val="DefaultPlaceholder_-1854013440"/>
          </w:placeholder>
          <w15:color w:val="83C900"/>
        </w:sdtPr>
        <w:sdtEndPr/>
        <w:sdtContent>
          <w:r w:rsidR="00BA6FED" w:rsidRPr="003B3F88">
            <w:rPr>
              <w:rFonts w:ascii="Times New Roman" w:eastAsia="Times New Roman" w:hAnsi="Times New Roman" w:cs="Times New Roman"/>
              <w:color w:val="000000"/>
            </w:rPr>
            <w:t>(</w:t>
          </w:r>
          <w:proofErr w:type="spellStart"/>
          <w:r w:rsidR="00BA6FED" w:rsidRPr="003B3F88">
            <w:rPr>
              <w:rFonts w:ascii="Times New Roman" w:eastAsia="Times New Roman" w:hAnsi="Times New Roman" w:cs="Times New Roman"/>
              <w:color w:val="000000"/>
            </w:rPr>
            <w:t>Boex</w:t>
          </w:r>
          <w:proofErr w:type="spellEnd"/>
          <w:r w:rsidR="00BA6FED" w:rsidRPr="003B3F88">
            <w:rPr>
              <w:rFonts w:ascii="Times New Roman" w:eastAsia="Times New Roman" w:hAnsi="Times New Roman" w:cs="Times New Roman"/>
              <w:color w:val="000000"/>
            </w:rPr>
            <w:t xml:space="preserve"> &amp; Kelly, 2011)</w:t>
          </w:r>
        </w:sdtContent>
      </w:sdt>
      <w:r w:rsidR="00B617FA" w:rsidRPr="003B3F88">
        <w:rPr>
          <w:rFonts w:ascii="Times New Roman" w:hAnsi="Times New Roman" w:cs="Times New Roman"/>
        </w:rPr>
        <w:t>.</w:t>
      </w:r>
    </w:p>
    <w:p w14:paraId="1A571B6E" w14:textId="4AEF786C"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Historically, the global discussions on devolution and intergovernmental finance and revenue mobilisation have evolved overtime. Traditional fiscal theory, often grounded in the political economy of the “Rentier State,” posits that intergovernmental transfers create a disincentive for local mobilization</w:t>
      </w:r>
      <w:r w:rsidR="009A4DD7">
        <w:rPr>
          <w:rFonts w:ascii="Times New Roman" w:hAnsi="Times New Roman" w:cs="Times New Roman"/>
        </w:rPr>
        <w:t xml:space="preserve"> </w:t>
      </w:r>
      <w:r w:rsidRPr="003B3F88">
        <w:rPr>
          <w:rFonts w:ascii="Times New Roman" w:hAnsi="Times New Roman" w:cs="Times New Roman"/>
        </w:rPr>
        <w:t xml:space="preserve">a phenomenon known as the “dependency syndrome” or “crowding-out” effect. In Nigeria, for instance, </w:t>
      </w:r>
      <w:sdt>
        <w:sdtPr>
          <w:rPr>
            <w:rFonts w:ascii="Times New Roman" w:hAnsi="Times New Roman" w:cs="Times New Roman"/>
          </w:rPr>
          <w:alias w:val="IvyCite-87362027"/>
          <w:tag w:val="IvyCite"/>
          <w:id w:val="87362027"/>
          <w:placeholder>
            <w:docPart w:val="DefaultPlaceholder_-1854013440"/>
          </w:placeholder>
          <w15:color w:val="83C900"/>
        </w:sdtPr>
        <w:sdtEndPr/>
        <w:sdtContent>
          <w:r w:rsidR="00533686" w:rsidRPr="003B3F88">
            <w:rPr>
              <w:rFonts w:ascii="Times New Roman" w:hAnsi="Times New Roman" w:cs="Times New Roman"/>
            </w:rPr>
            <w:t>(Salami, 2011)</w:t>
          </w:r>
        </w:sdtContent>
      </w:sdt>
      <w:r w:rsidRPr="003B3F88">
        <w:rPr>
          <w:rFonts w:ascii="Times New Roman" w:hAnsi="Times New Roman" w:cs="Times New Roman"/>
        </w:rPr>
        <w:t xml:space="preserve"> argues that the centralized control of oil revenues has crippled the administrative will of state governments to tax their own economies, effectively rendering them passive recipients of federal handouts. This view is supported by </w:t>
      </w:r>
      <w:sdt>
        <w:sdtPr>
          <w:rPr>
            <w:rFonts w:ascii="Times New Roman" w:hAnsi="Times New Roman" w:cs="Times New Roman"/>
            <w:color w:val="000000"/>
          </w:rPr>
          <w:alias w:val="IvyCite--683584616"/>
          <w:tag w:val="IvyCite"/>
          <w:id w:val="-683584616"/>
          <w:placeholder>
            <w:docPart w:val="DefaultPlaceholder_-1854013440"/>
          </w:placeholder>
          <w15:color w:val="83C900"/>
        </w:sdtPr>
        <w:sdtEndPr/>
        <w:sdtContent>
          <w:r w:rsidR="007F38ED" w:rsidRPr="003B3F88">
            <w:rPr>
              <w:rFonts w:ascii="Times New Roman" w:eastAsia="Times New Roman" w:hAnsi="Times New Roman" w:cs="Times New Roman"/>
              <w:color w:val="000000"/>
            </w:rPr>
            <w:t>(</w:t>
          </w:r>
          <w:proofErr w:type="spellStart"/>
          <w:r w:rsidR="007F38ED" w:rsidRPr="003B3F88">
            <w:rPr>
              <w:rFonts w:ascii="Times New Roman" w:eastAsia="Times New Roman" w:hAnsi="Times New Roman" w:cs="Times New Roman"/>
              <w:color w:val="000000"/>
            </w:rPr>
            <w:t>Mogues</w:t>
          </w:r>
          <w:proofErr w:type="spellEnd"/>
          <w:r w:rsidR="007F38ED" w:rsidRPr="003B3F88">
            <w:rPr>
              <w:rFonts w:ascii="Times New Roman" w:eastAsia="Times New Roman" w:hAnsi="Times New Roman" w:cs="Times New Roman"/>
              <w:color w:val="000000"/>
            </w:rPr>
            <w:t xml:space="preserve"> &amp; Benin, 2012)</w:t>
          </w:r>
        </w:sdtContent>
      </w:sdt>
      <w:r w:rsidRPr="003B3F88">
        <w:rPr>
          <w:rFonts w:ascii="Times New Roman" w:hAnsi="Times New Roman" w:cs="Times New Roman"/>
        </w:rPr>
        <w:t xml:space="preserve"> in Ghana, who observed that local officials often find it politically expedient to rely on transfers rather than enforce unpopular local taxes. However, more recent empirical evidence from Africa has begun to challenge this pessimistic consensus. In a landmark study of communes in Benin, </w:t>
      </w:r>
      <w:sdt>
        <w:sdtPr>
          <w:rPr>
            <w:rFonts w:ascii="Times New Roman" w:hAnsi="Times New Roman" w:cs="Times New Roman"/>
            <w:color w:val="000000"/>
          </w:rPr>
          <w:alias w:val="IvyCite--472531233"/>
          <w:tag w:val="IvyCite"/>
          <w:id w:val="-472531233"/>
          <w:placeholder>
            <w:docPart w:val="DefaultPlaceholder_-1854013440"/>
          </w:placeholder>
          <w15:color w:val="83C900"/>
        </w:sdtPr>
        <w:sdtEndPr/>
        <w:sdtContent>
          <w:r w:rsidR="00533686" w:rsidRPr="003B3F88">
            <w:rPr>
              <w:rFonts w:ascii="Times New Roman" w:eastAsia="Times New Roman" w:hAnsi="Times New Roman" w:cs="Times New Roman"/>
              <w:color w:val="000000"/>
            </w:rPr>
            <w:t>(Caldeira &amp; Rota-Graziosi, 2014)</w:t>
          </w:r>
        </w:sdtContent>
      </w:sdt>
      <w:r w:rsidRPr="003B3F88">
        <w:rPr>
          <w:rFonts w:ascii="Times New Roman" w:hAnsi="Times New Roman" w:cs="Times New Roman"/>
        </w:rPr>
        <w:t xml:space="preserve"> identified a “crowding-in” effect, where unconditional grants actually improved local revenue collection. They argued that in resource-constrained environments, central transfers provide the necessary liquidity to fund the fixed costs of tax administration</w:t>
      </w:r>
      <w:r w:rsidR="009A4DD7">
        <w:rPr>
          <w:rFonts w:ascii="Times New Roman" w:hAnsi="Times New Roman" w:cs="Times New Roman"/>
        </w:rPr>
        <w:t xml:space="preserve"> </w:t>
      </w:r>
      <w:r w:rsidRPr="003B3F88">
        <w:rPr>
          <w:rFonts w:ascii="Times New Roman" w:hAnsi="Times New Roman" w:cs="Times New Roman"/>
        </w:rPr>
        <w:t>such as vehicles, offices, and computers</w:t>
      </w:r>
      <w:r w:rsidR="009A4DD7">
        <w:rPr>
          <w:rFonts w:ascii="Times New Roman" w:hAnsi="Times New Roman" w:cs="Times New Roman"/>
        </w:rPr>
        <w:t xml:space="preserve"> </w:t>
      </w:r>
      <w:r w:rsidRPr="003B3F88">
        <w:rPr>
          <w:rFonts w:ascii="Times New Roman" w:hAnsi="Times New Roman" w:cs="Times New Roman"/>
        </w:rPr>
        <w:t>which poor local governments could otherwise not afford. This suggests that the relationship between central support and local autonomy is not binary but depends heavily on how those resources are deployed to build administrative capacity.</w:t>
      </w:r>
    </w:p>
    <w:p w14:paraId="1A571B70" w14:textId="335395A1" w:rsidR="00D23D6D" w:rsidRPr="00711654" w:rsidRDefault="00B617FA" w:rsidP="00C00B03">
      <w:pPr>
        <w:pStyle w:val="BodyText"/>
        <w:spacing w:line="480" w:lineRule="auto"/>
        <w:rPr>
          <w:rFonts w:ascii="Times New Roman" w:hAnsi="Times New Roman" w:cs="Times New Roman"/>
          <w:color w:val="000000"/>
        </w:rPr>
      </w:pPr>
      <w:r w:rsidRPr="003B3F88">
        <w:rPr>
          <w:rFonts w:ascii="Times New Roman" w:hAnsi="Times New Roman" w:cs="Times New Roman"/>
        </w:rPr>
        <w:lastRenderedPageBreak/>
        <w:t xml:space="preserve">Kenya provides a compelling case for examining these dynamics. Following the adoption of the 2010 </w:t>
      </w:r>
      <w:r w:rsidR="00017BFA">
        <w:rPr>
          <w:rFonts w:ascii="Times New Roman" w:hAnsi="Times New Roman" w:cs="Times New Roman"/>
        </w:rPr>
        <w:t>c</w:t>
      </w:r>
      <w:r w:rsidRPr="003B3F88">
        <w:rPr>
          <w:rFonts w:ascii="Times New Roman" w:hAnsi="Times New Roman" w:cs="Times New Roman"/>
        </w:rPr>
        <w:t xml:space="preserve">onstitution, Kenya embarked on an ambitious decentralization reform that established 47 county governments with constitutionally guaranteed transfers and assigned revenue powers </w:t>
      </w:r>
      <w:sdt>
        <w:sdtPr>
          <w:rPr>
            <w:rFonts w:ascii="Times New Roman" w:hAnsi="Times New Roman" w:cs="Times New Roman"/>
            <w:color w:val="000000"/>
          </w:rPr>
          <w:alias w:val="IvyCite--709336563"/>
          <w:tag w:val="IvyCite"/>
          <w:id w:val="-709336563"/>
          <w:placeholder>
            <w:docPart w:val="DefaultPlaceholder_-1854013440"/>
          </w:placeholder>
          <w15:color w:val="83C900"/>
        </w:sdtPr>
        <w:sdtEndPr/>
        <w:sdtContent>
          <w:r w:rsidR="00BA6FED" w:rsidRPr="003B3F88">
            <w:rPr>
              <w:rFonts w:ascii="Times New Roman" w:eastAsia="Times New Roman" w:hAnsi="Times New Roman" w:cs="Times New Roman"/>
              <w:color w:val="000000"/>
            </w:rPr>
            <w:t>(</w:t>
          </w:r>
          <w:proofErr w:type="spellStart"/>
          <w:r w:rsidR="00BA6FED" w:rsidRPr="003B3F88">
            <w:rPr>
              <w:rFonts w:ascii="Times New Roman" w:eastAsia="Times New Roman" w:hAnsi="Times New Roman" w:cs="Times New Roman"/>
              <w:color w:val="000000"/>
            </w:rPr>
            <w:t>Boex</w:t>
          </w:r>
          <w:proofErr w:type="spellEnd"/>
          <w:r w:rsidR="00BA6FED" w:rsidRPr="003B3F88">
            <w:rPr>
              <w:rFonts w:ascii="Times New Roman" w:eastAsia="Times New Roman" w:hAnsi="Times New Roman" w:cs="Times New Roman"/>
              <w:color w:val="000000"/>
            </w:rPr>
            <w:t xml:space="preserve"> &amp; Kelly, 2011)</w:t>
          </w:r>
        </w:sdtContent>
      </w:sdt>
      <w:r w:rsidRPr="003B3F88">
        <w:rPr>
          <w:rFonts w:ascii="Times New Roman" w:hAnsi="Times New Roman" w:cs="Times New Roman"/>
        </w:rPr>
        <w:t xml:space="preserve">. Yet, despite this strong legal foundation, counties have consistently underperformed in own-source revenue collection relative to potential </w:t>
      </w:r>
      <w:sdt>
        <w:sdtPr>
          <w:rPr>
            <w:rFonts w:ascii="Times New Roman" w:hAnsi="Times New Roman" w:cs="Times New Roman"/>
            <w:color w:val="000000"/>
          </w:rPr>
          <w:alias w:val="IvyCite-1461607996"/>
          <w:tag w:val="IvyCite"/>
          <w:id w:val="1461607996"/>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00BF0DC6" w:rsidRPr="003B3F88">
        <w:rPr>
          <w:rFonts w:ascii="Times New Roman" w:hAnsi="Times New Roman" w:cs="Times New Roman"/>
        </w:rPr>
        <w:t>. This</w:t>
      </w:r>
      <w:r w:rsidRPr="003B3F88">
        <w:rPr>
          <w:rFonts w:ascii="Times New Roman" w:hAnsi="Times New Roman" w:cs="Times New Roman"/>
        </w:rPr>
        <w:t xml:space="preserve"> sparked a debate on whether the causes are structural (immutable geographic factors) or administrative (managerial efficiency). </w:t>
      </w:r>
      <w:sdt>
        <w:sdtPr>
          <w:rPr>
            <w:rFonts w:ascii="Times New Roman" w:hAnsi="Times New Roman" w:cs="Times New Roman"/>
            <w:color w:val="000000"/>
          </w:rPr>
          <w:alias w:val="IvyCite-324009000"/>
          <w:tag w:val="IvyCite"/>
          <w:id w:val="324009000"/>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Pr="003B3F88">
        <w:rPr>
          <w:rFonts w:ascii="Times New Roman" w:hAnsi="Times New Roman" w:cs="Times New Roman"/>
        </w:rPr>
        <w:t xml:space="preserve"> provides compelling evidence that physical size (land area) is statistically insignificant for revenue potential, whereas urbanization and economic density are paramount. Conversely, </w:t>
      </w:r>
      <w:sdt>
        <w:sdtPr>
          <w:rPr>
            <w:rFonts w:ascii="Times New Roman" w:hAnsi="Times New Roman" w:cs="Times New Roman"/>
          </w:rPr>
          <w:alias w:val="IvyCite--1559539867"/>
          <w:tag w:val="IvyCite"/>
          <w:id w:val="-1559539867"/>
          <w:placeholder>
            <w:docPart w:val="DefaultPlaceholder_-1854013440"/>
          </w:placeholder>
          <w15:color w:val="83C900"/>
        </w:sdtPr>
        <w:sdtEndPr/>
        <w:sdtContent>
          <w:r w:rsidR="00446766" w:rsidRPr="003B3F88">
            <w:rPr>
              <w:rFonts w:ascii="Times New Roman" w:hAnsi="Times New Roman" w:cs="Times New Roman"/>
            </w:rPr>
            <w:t>(</w:t>
          </w:r>
          <w:proofErr w:type="spellStart"/>
          <w:r w:rsidR="00446766" w:rsidRPr="003B3F88">
            <w:rPr>
              <w:rFonts w:ascii="Times New Roman" w:hAnsi="Times New Roman" w:cs="Times New Roman"/>
            </w:rPr>
            <w:t>Nyanjom</w:t>
          </w:r>
          <w:proofErr w:type="spellEnd"/>
          <w:r w:rsidR="00446766" w:rsidRPr="003B3F88">
            <w:rPr>
              <w:rFonts w:ascii="Times New Roman" w:hAnsi="Times New Roman" w:cs="Times New Roman"/>
            </w:rPr>
            <w:t>, 2014)</w:t>
          </w:r>
        </w:sdtContent>
      </w:sdt>
      <w:r w:rsidRPr="003B3F88">
        <w:rPr>
          <w:rFonts w:ascii="Times New Roman" w:hAnsi="Times New Roman" w:cs="Times New Roman"/>
        </w:rPr>
        <w:t xml:space="preserve"> and </w:t>
      </w:r>
      <w:sdt>
        <w:sdtPr>
          <w:rPr>
            <w:rFonts w:ascii="Times New Roman" w:hAnsi="Times New Roman" w:cs="Times New Roman"/>
            <w:color w:val="000000"/>
          </w:rPr>
          <w:alias w:val="IvyCite--1837455092"/>
          <w:tag w:val="IvyCite"/>
          <w:id w:val="-1837455092"/>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(Onyango et al., 2015)</w:t>
          </w:r>
        </w:sdtContent>
      </w:sdt>
      <w:r w:rsidRPr="003B3F88">
        <w:rPr>
          <w:rFonts w:ascii="Times New Roman" w:hAnsi="Times New Roman" w:cs="Times New Roman"/>
        </w:rPr>
        <w:t xml:space="preserve"> argue that the current revenue-sharing formula may inadvertently penalize counties with lower urbanization rates, trapping them in a cycle of low capacity. </w:t>
      </w:r>
      <w:r w:rsidR="00810F09">
        <w:rPr>
          <w:rFonts w:ascii="Times New Roman" w:hAnsi="Times New Roman" w:cs="Times New Roman"/>
        </w:rPr>
        <w:t>C</w:t>
      </w:r>
      <w:r w:rsidRPr="003B3F88">
        <w:rPr>
          <w:rFonts w:ascii="Times New Roman" w:hAnsi="Times New Roman" w:cs="Times New Roman"/>
        </w:rPr>
        <w:t xml:space="preserve">ounty-level studies </w:t>
      </w:r>
      <w:r w:rsidR="00810F09" w:rsidRPr="003B3F88">
        <w:rPr>
          <w:rFonts w:ascii="Times New Roman" w:hAnsi="Times New Roman" w:cs="Times New Roman"/>
        </w:rPr>
        <w:t>emphasize</w:t>
      </w:r>
      <w:r w:rsidRPr="003B3F88">
        <w:rPr>
          <w:rFonts w:ascii="Times New Roman" w:hAnsi="Times New Roman" w:cs="Times New Roman"/>
        </w:rPr>
        <w:t xml:space="preserve"> the role of managerial strategies</w:t>
      </w:r>
      <w:r w:rsidR="009A4DD7">
        <w:rPr>
          <w:rFonts w:ascii="Times New Roman" w:hAnsi="Times New Roman" w:cs="Times New Roman"/>
        </w:rPr>
        <w:t xml:space="preserve"> </w:t>
      </w:r>
      <w:r w:rsidRPr="003B3F88">
        <w:rPr>
          <w:rFonts w:ascii="Times New Roman" w:hAnsi="Times New Roman" w:cs="Times New Roman"/>
        </w:rPr>
        <w:t>such as digitization, automation, enforcement, and diversification</w:t>
      </w:r>
      <w:r w:rsidR="00810F09">
        <w:rPr>
          <w:rFonts w:ascii="Times New Roman" w:hAnsi="Times New Roman" w:cs="Times New Roman"/>
        </w:rPr>
        <w:t xml:space="preserve"> </w:t>
      </w:r>
      <w:r w:rsidRPr="003B3F88">
        <w:rPr>
          <w:rFonts w:ascii="Times New Roman" w:hAnsi="Times New Roman" w:cs="Times New Roman"/>
        </w:rPr>
        <w:t xml:space="preserve">in improving revenue performance </w:t>
      </w:r>
      <w:sdt>
        <w:sdtPr>
          <w:rPr>
            <w:rFonts w:ascii="Times New Roman" w:hAnsi="Times New Roman" w:cs="Times New Roman"/>
            <w:color w:val="000000"/>
          </w:rPr>
          <w:alias w:val="IvyCite--1727127595"/>
          <w:tag w:val="IvyCite"/>
          <w:id w:val="-1727127595"/>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w:t>
      </w:r>
      <w:sdt>
        <w:sdtPr>
          <w:rPr>
            <w:rFonts w:ascii="Times New Roman" w:hAnsi="Times New Roman" w:cs="Times New Roman"/>
            <w:color w:val="000000"/>
          </w:rPr>
          <w:alias w:val="IvyCite-393168768"/>
          <w:tag w:val="IvyCite"/>
          <w:id w:val="393168768"/>
          <w:placeholder>
            <w:docPart w:val="DefaultPlaceholder_-1854013440"/>
          </w:placeholder>
          <w15:color w:val="83C900"/>
        </w:sdtPr>
        <w:sdtEndPr/>
        <w:sdtContent>
          <w:r w:rsidR="00211E4E" w:rsidRPr="003B3F88">
            <w:rPr>
              <w:rFonts w:ascii="Times New Roman" w:eastAsia="Times New Roman" w:hAnsi="Times New Roman" w:cs="Times New Roman"/>
              <w:color w:val="000000"/>
            </w:rPr>
            <w:t>(Munguti et al., 2022)</w:t>
          </w:r>
        </w:sdtContent>
      </w:sdt>
    </w:p>
    <w:p w14:paraId="1A571B71" w14:textId="7F4659AC"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 xml:space="preserve">The existing evidence suggests a need for an integrated perspective that accounts for capacity constraints, institutional design, governance quality, and policy implementation trade-offs. Several existing limitations include heavy reliance on cross-sectional data, limiting causal inference </w:t>
      </w:r>
      <w:sdt>
        <w:sdtPr>
          <w:rPr>
            <w:rFonts w:ascii="Times New Roman" w:hAnsi="Times New Roman" w:cs="Times New Roman"/>
            <w:color w:val="000000"/>
          </w:rPr>
          <w:alias w:val="IvyCite-2102754770"/>
          <w:tag w:val="IvyCite"/>
          <w:id w:val="2102754770"/>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Pr="003B3F88">
        <w:rPr>
          <w:rFonts w:ascii="Times New Roman" w:hAnsi="Times New Roman" w:cs="Times New Roman"/>
        </w:rPr>
        <w:t xml:space="preserve">; </w:t>
      </w:r>
      <w:sdt>
        <w:sdtPr>
          <w:rPr>
            <w:rFonts w:ascii="Times New Roman" w:hAnsi="Times New Roman" w:cs="Times New Roman"/>
            <w:color w:val="000000"/>
          </w:rPr>
          <w:alias w:val="IvyCite-597289824"/>
          <w:tag w:val="IvyCite"/>
          <w:id w:val="597289824"/>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Mulinge</w:t>
          </w:r>
          <w:proofErr w:type="spellEnd"/>
          <w:r w:rsidR="003B3F88" w:rsidRPr="003B3F88">
            <w:rPr>
              <w:rFonts w:ascii="Times New Roman" w:eastAsia="Times New Roman" w:hAnsi="Times New Roman" w:cs="Times New Roman"/>
              <w:color w:val="000000"/>
            </w:rPr>
            <w:t xml:space="preserve"> et al., 2025)</w:t>
          </w:r>
        </w:sdtContent>
      </w:sdt>
      <w:r w:rsidRPr="003B3F88">
        <w:rPr>
          <w:rFonts w:ascii="Times New Roman" w:hAnsi="Times New Roman" w:cs="Times New Roman"/>
        </w:rPr>
        <w:t xml:space="preserve">, single-country or single-county focus, constraining generalizability </w:t>
      </w:r>
      <w:sdt>
        <w:sdtPr>
          <w:rPr>
            <w:rFonts w:ascii="Times New Roman" w:hAnsi="Times New Roman" w:cs="Times New Roman"/>
          </w:rPr>
          <w:alias w:val="IvyCite--2082903976"/>
          <w:tag w:val="IvyCite"/>
          <w:id w:val="-2082903976"/>
          <w:placeholder>
            <w:docPart w:val="DefaultPlaceholder_-1854013440"/>
          </w:placeholder>
          <w15:color w:val="83C900"/>
        </w:sdtPr>
        <w:sdtEndPr/>
        <w:sdtContent>
          <w:r w:rsidR="00446766" w:rsidRPr="003B3F88">
            <w:rPr>
              <w:rFonts w:ascii="Times New Roman" w:hAnsi="Times New Roman" w:cs="Times New Roman"/>
            </w:rPr>
            <w:t>(</w:t>
          </w:r>
          <w:proofErr w:type="spellStart"/>
          <w:r w:rsidR="00446766" w:rsidRPr="003B3F88">
            <w:rPr>
              <w:rFonts w:ascii="Times New Roman" w:hAnsi="Times New Roman" w:cs="Times New Roman"/>
            </w:rPr>
            <w:t>Nyanjom</w:t>
          </w:r>
          <w:proofErr w:type="spellEnd"/>
          <w:r w:rsidR="00446766" w:rsidRPr="003B3F88">
            <w:rPr>
              <w:rFonts w:ascii="Times New Roman" w:hAnsi="Times New Roman" w:cs="Times New Roman"/>
            </w:rPr>
            <w:t>, 2014)</w:t>
          </w:r>
        </w:sdtContent>
      </w:sdt>
      <w:r w:rsidRPr="003B3F88">
        <w:rPr>
          <w:rFonts w:ascii="Times New Roman" w:hAnsi="Times New Roman" w:cs="Times New Roman"/>
        </w:rPr>
        <w:t xml:space="preserve">, limited integration of institutional quality and political economy variables </w:t>
      </w:r>
      <w:sdt>
        <w:sdtPr>
          <w:rPr>
            <w:rFonts w:ascii="Times New Roman" w:hAnsi="Times New Roman" w:cs="Times New Roman"/>
          </w:rPr>
          <w:alias w:val="IvyCite-396328757"/>
          <w:tag w:val="IvyCite"/>
          <w:id w:val="396328757"/>
          <w:placeholder>
            <w:docPart w:val="DefaultPlaceholder_-1854013440"/>
          </w:placeholder>
          <w15:color w:val="83C900"/>
        </w:sdtPr>
        <w:sdtEndPr/>
        <w:sdtContent>
          <w:r w:rsidR="00533686" w:rsidRPr="003B3F88">
            <w:rPr>
              <w:rFonts w:ascii="Times New Roman" w:hAnsi="Times New Roman" w:cs="Times New Roman"/>
            </w:rPr>
            <w:t>(Salami, 2011)</w:t>
          </w:r>
        </w:sdtContent>
      </w:sdt>
      <w:r w:rsidR="00BF0DC6" w:rsidRPr="003B3F88">
        <w:rPr>
          <w:rFonts w:ascii="Times New Roman" w:hAnsi="Times New Roman" w:cs="Times New Roman"/>
        </w:rPr>
        <w:t>. This</w:t>
      </w:r>
      <w:r w:rsidRPr="003B3F88">
        <w:rPr>
          <w:rFonts w:ascii="Times New Roman" w:hAnsi="Times New Roman" w:cs="Times New Roman"/>
        </w:rPr>
        <w:t xml:space="preserve"> shared limitation signals a broader evidence gap in longitudinal and comparative fiscal decentralization research.</w:t>
      </w:r>
    </w:p>
    <w:p w14:paraId="1A571B72" w14:textId="65215DBF" w:rsidR="00D23D6D" w:rsidRPr="003B3F88" w:rsidRDefault="001B0264" w:rsidP="00C00B03">
      <w:pPr>
        <w:pStyle w:val="BodyText"/>
        <w:spacing w:line="480" w:lineRule="auto"/>
        <w:rPr>
          <w:rFonts w:ascii="Times New Roman" w:hAnsi="Times New Roman" w:cs="Times New Roman"/>
        </w:rPr>
      </w:pPr>
      <w:r w:rsidRPr="001B0264">
        <w:rPr>
          <w:rFonts w:ascii="Times New Roman" w:hAnsi="Times New Roman" w:cs="Times New Roman"/>
        </w:rPr>
        <w:t xml:space="preserve">This study </w:t>
      </w:r>
      <w:r>
        <w:rPr>
          <w:rFonts w:ascii="Times New Roman" w:hAnsi="Times New Roman" w:cs="Times New Roman"/>
        </w:rPr>
        <w:t xml:space="preserve">therefore </w:t>
      </w:r>
      <w:r w:rsidRPr="001B0264">
        <w:rPr>
          <w:rFonts w:ascii="Times New Roman" w:hAnsi="Times New Roman" w:cs="Times New Roman"/>
        </w:rPr>
        <w:t xml:space="preserve">examines the structural and economic factors influencing own-source revenue (OSR) performance across Kenyan counties. Specifically, the study pursues three objectives: (1) to assess the relationship between household scale and county OSR performance, </w:t>
      </w:r>
      <w:r w:rsidRPr="001B0264">
        <w:rPr>
          <w:rFonts w:ascii="Times New Roman" w:hAnsi="Times New Roman" w:cs="Times New Roman"/>
        </w:rPr>
        <w:lastRenderedPageBreak/>
        <w:t>(2) to evaluate the contribution of livestock-related economic activity to OSR generation, and (3) to examine how reliance on fishing activity affects OSR outcomes across counties. In addressing these objectives, the study asks the following research questions: How does household scale influence OSR performance? To what extent does livestock abundance contribute to county revenue generation? And does reliance on fishing activity constrain counties’ ability to mobilize OSR?</w:t>
      </w:r>
    </w:p>
    <w:p w14:paraId="1A571B73" w14:textId="5A4E2552"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 xml:space="preserve">The remainder of the paper is organized as follows. Section 2 reviews the theoretical and empirical literature on OSR. Section 3 describes the data and econometric methodology. Section 4 presents and discusses </w:t>
      </w:r>
      <w:r w:rsidR="00BF0DC6" w:rsidRPr="003B3F88">
        <w:rPr>
          <w:rFonts w:ascii="Times New Roman" w:hAnsi="Times New Roman" w:cs="Times New Roman"/>
        </w:rPr>
        <w:t>empirical</w:t>
      </w:r>
      <w:r w:rsidRPr="003B3F88">
        <w:rPr>
          <w:rFonts w:ascii="Times New Roman" w:hAnsi="Times New Roman" w:cs="Times New Roman"/>
        </w:rPr>
        <w:t xml:space="preserve"> results. Section 5 concludes with policy implications and directions for future research.</w:t>
      </w:r>
    </w:p>
    <w:p w14:paraId="1A571B74" w14:textId="77777777" w:rsidR="00D23D6D" w:rsidRPr="003B3F88" w:rsidRDefault="00B617FA" w:rsidP="00C00B03">
      <w:pPr>
        <w:pStyle w:val="Heading1"/>
        <w:spacing w:line="480" w:lineRule="auto"/>
        <w:rPr>
          <w:rFonts w:cs="Times New Roman"/>
        </w:rPr>
      </w:pPr>
      <w:bookmarkStart w:id="3" w:name="literature-review"/>
      <w:bookmarkEnd w:id="2"/>
      <w:r w:rsidRPr="003B3F88">
        <w:rPr>
          <w:rFonts w:cs="Times New Roman"/>
        </w:rPr>
        <w:t>Literature Review</w:t>
      </w:r>
    </w:p>
    <w:p w14:paraId="1A571B75" w14:textId="7C046F66"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Structural determinants of revenue capacity (e.g. urbanisation, poverty, economic base), administrative mechanisms (e.g. internal controls, governance, monitoring, automation) and intergovernmental fiscal arrangements (e.g. grants, revenue allocation formulas, fiscal autonomy) are identified as the determinants of OSR performance</w:t>
      </w:r>
      <w:r w:rsidR="00810F09">
        <w:rPr>
          <w:rFonts w:ascii="Times New Roman" w:hAnsi="Times New Roman" w:cs="Times New Roman"/>
        </w:rPr>
        <w:t>.</w:t>
      </w:r>
      <w:r w:rsidRPr="003B3F88">
        <w:rPr>
          <w:rFonts w:ascii="Times New Roman" w:hAnsi="Times New Roman" w:cs="Times New Roman"/>
        </w:rPr>
        <w:t xml:space="preserve"> </w:t>
      </w:r>
      <w:r w:rsidR="00810F09">
        <w:rPr>
          <w:rFonts w:ascii="Times New Roman" w:hAnsi="Times New Roman" w:cs="Times New Roman"/>
        </w:rPr>
        <w:t>They</w:t>
      </w:r>
      <w:r w:rsidRPr="003B3F88">
        <w:rPr>
          <w:rFonts w:ascii="Times New Roman" w:hAnsi="Times New Roman" w:cs="Times New Roman"/>
        </w:rPr>
        <w:t xml:space="preserve"> bridge the gap between fiscal potential and actual collection </w:t>
      </w:r>
      <w:r w:rsidR="00810F09">
        <w:rPr>
          <w:rFonts w:ascii="Times New Roman" w:hAnsi="Times New Roman" w:cs="Times New Roman"/>
        </w:rPr>
        <w:t xml:space="preserve"> </w:t>
      </w:r>
      <w:sdt>
        <w:sdtPr>
          <w:rPr>
            <w:rFonts w:ascii="Times New Roman" w:hAnsi="Times New Roman" w:cs="Times New Roman"/>
            <w:color w:val="000000"/>
          </w:rPr>
          <w:alias w:val="IvyCite-1076397379"/>
          <w:tag w:val="IvyCite"/>
          <w:id w:val="1076397379"/>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sdt>
        <w:sdtPr>
          <w:rPr>
            <w:rFonts w:ascii="Times New Roman" w:hAnsi="Times New Roman" w:cs="Times New Roman"/>
            <w:color w:val="000000"/>
          </w:rPr>
          <w:alias w:val="IvyCite-1238433016"/>
          <w:tag w:val="IvyCite"/>
          <w:id w:val="1238433016"/>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Mulinge</w:t>
          </w:r>
          <w:proofErr w:type="spellEnd"/>
          <w:r w:rsidR="003B3F88" w:rsidRPr="003B3F88">
            <w:rPr>
              <w:rFonts w:ascii="Times New Roman" w:eastAsia="Times New Roman" w:hAnsi="Times New Roman" w:cs="Times New Roman"/>
              <w:color w:val="000000"/>
            </w:rPr>
            <w:t xml:space="preserve"> et al., 2025)</w:t>
          </w:r>
        </w:sdtContent>
      </w:sdt>
      <w:r w:rsidRPr="003B3F88">
        <w:rPr>
          <w:rFonts w:ascii="Times New Roman" w:hAnsi="Times New Roman" w:cs="Times New Roman"/>
        </w:rPr>
        <w:t xml:space="preserve">, cross-country decentralization analyses </w:t>
      </w:r>
      <w:sdt>
        <w:sdtPr>
          <w:rPr>
            <w:rFonts w:ascii="Times New Roman" w:hAnsi="Times New Roman" w:cs="Times New Roman"/>
            <w:color w:val="000000"/>
          </w:rPr>
          <w:alias w:val="IvyCite--1422563924"/>
          <w:tag w:val="IvyCite"/>
          <w:id w:val="-1422563924"/>
          <w:placeholder>
            <w:docPart w:val="DefaultPlaceholder_-1854013440"/>
          </w:placeholder>
          <w15:color w:val="83C900"/>
        </w:sdtPr>
        <w:sdtEndPr/>
        <w:sdtContent>
          <w:r w:rsidR="00533686" w:rsidRPr="003B3F88">
            <w:rPr>
              <w:rFonts w:ascii="Times New Roman" w:eastAsia="Times New Roman" w:hAnsi="Times New Roman" w:cs="Times New Roman"/>
              <w:color w:val="000000"/>
            </w:rPr>
            <w:t>(Caldeira &amp; Rota-Graziosi, 2014)</w:t>
          </w:r>
        </w:sdtContent>
      </w:sdt>
      <w:r w:rsidRPr="003B3F88">
        <w:rPr>
          <w:rFonts w:ascii="Times New Roman" w:hAnsi="Times New Roman" w:cs="Times New Roman"/>
        </w:rPr>
        <w:t xml:space="preserve"> and policy-oriented fiscal federalism work </w:t>
      </w:r>
      <w:sdt>
        <w:sdtPr>
          <w:rPr>
            <w:rFonts w:ascii="Times New Roman" w:hAnsi="Times New Roman" w:cs="Times New Roman"/>
          </w:rPr>
          <w:alias w:val="IvyCite--1648047142"/>
          <w:tag w:val="IvyCite"/>
          <w:id w:val="-1648047142"/>
          <w:placeholder>
            <w:docPart w:val="DefaultPlaceholder_-1854013440"/>
          </w:placeholder>
          <w15:color w:val="83C900"/>
        </w:sdtPr>
        <w:sdtEndPr/>
        <w:sdtContent>
          <w:r w:rsidR="00533686" w:rsidRPr="003B3F88">
            <w:rPr>
              <w:rFonts w:ascii="Times New Roman" w:hAnsi="Times New Roman" w:cs="Times New Roman"/>
            </w:rPr>
            <w:t>(Salami, 2011)</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803765582"/>
          <w:tag w:val="IvyCite"/>
          <w:id w:val="-1803765582"/>
          <w:placeholder>
            <w:docPart w:val="DefaultPlaceholder_-1854013440"/>
          </w:placeholder>
          <w15:color w:val="83C900"/>
        </w:sdtPr>
        <w:sdtEndPr/>
        <w:sdtContent>
          <w:r w:rsidR="00BA6FED" w:rsidRPr="003B3F88">
            <w:rPr>
              <w:rFonts w:ascii="Times New Roman" w:eastAsia="Times New Roman" w:hAnsi="Times New Roman" w:cs="Times New Roman"/>
              <w:color w:val="000000"/>
            </w:rPr>
            <w:t>(</w:t>
          </w:r>
          <w:proofErr w:type="spellStart"/>
          <w:r w:rsidR="00BA6FED" w:rsidRPr="003B3F88">
            <w:rPr>
              <w:rFonts w:ascii="Times New Roman" w:eastAsia="Times New Roman" w:hAnsi="Times New Roman" w:cs="Times New Roman"/>
              <w:color w:val="000000"/>
            </w:rPr>
            <w:t>Boex</w:t>
          </w:r>
          <w:proofErr w:type="spellEnd"/>
          <w:r w:rsidR="00BA6FED" w:rsidRPr="003B3F88">
            <w:rPr>
              <w:rFonts w:ascii="Times New Roman" w:eastAsia="Times New Roman" w:hAnsi="Times New Roman" w:cs="Times New Roman"/>
              <w:color w:val="000000"/>
            </w:rPr>
            <w:t xml:space="preserve"> &amp; Kelly, 2011)</w:t>
          </w:r>
        </w:sdtContent>
      </w:sdt>
      <w:r w:rsidRPr="003B3F88">
        <w:rPr>
          <w:rFonts w:ascii="Times New Roman" w:hAnsi="Times New Roman" w:cs="Times New Roman"/>
        </w:rPr>
        <w:t>. The collective aim is to diagnose administrative inefficiencies and propose strategies</w:t>
      </w:r>
      <w:r w:rsidR="00810F09">
        <w:rPr>
          <w:rFonts w:ascii="Times New Roman" w:hAnsi="Times New Roman" w:cs="Times New Roman"/>
        </w:rPr>
        <w:t xml:space="preserve"> </w:t>
      </w:r>
      <w:r w:rsidRPr="003B3F88">
        <w:rPr>
          <w:rFonts w:ascii="Times New Roman" w:hAnsi="Times New Roman" w:cs="Times New Roman"/>
        </w:rPr>
        <w:t>specifically digitization and internal controls</w:t>
      </w:r>
      <w:r w:rsidR="009A4DD7">
        <w:rPr>
          <w:rFonts w:ascii="Times New Roman" w:hAnsi="Times New Roman" w:cs="Times New Roman"/>
        </w:rPr>
        <w:t xml:space="preserve"> </w:t>
      </w:r>
      <w:r w:rsidRPr="003B3F88">
        <w:rPr>
          <w:rFonts w:ascii="Times New Roman" w:hAnsi="Times New Roman" w:cs="Times New Roman"/>
        </w:rPr>
        <w:t xml:space="preserve">to reduce dependency on central government transfers </w:t>
      </w:r>
      <w:sdt>
        <w:sdtPr>
          <w:rPr>
            <w:rFonts w:ascii="Times New Roman" w:hAnsi="Times New Roman" w:cs="Times New Roman"/>
            <w:color w:val="000000"/>
          </w:rPr>
          <w:alias w:val="IvyCite--524019295"/>
          <w:tag w:val="IvyCite"/>
          <w:id w:val="-524019295"/>
          <w:placeholder>
            <w:docPart w:val="DefaultPlaceholder_-1854013440"/>
          </w:placeholder>
          <w15:color w:val="83C900"/>
        </w:sdtPr>
        <w:sdtEndPr/>
        <w:sdtContent>
          <w:r w:rsidR="00BA6FED" w:rsidRPr="003B3F88">
            <w:rPr>
              <w:rFonts w:ascii="Times New Roman" w:eastAsia="Times New Roman" w:hAnsi="Times New Roman" w:cs="Times New Roman"/>
              <w:color w:val="000000"/>
            </w:rPr>
            <w:t>(</w:t>
          </w:r>
          <w:proofErr w:type="spellStart"/>
          <w:r w:rsidR="00BA6FED" w:rsidRPr="003B3F88">
            <w:rPr>
              <w:rFonts w:ascii="Times New Roman" w:eastAsia="Times New Roman" w:hAnsi="Times New Roman" w:cs="Times New Roman"/>
              <w:color w:val="000000"/>
            </w:rPr>
            <w:t>Boex</w:t>
          </w:r>
          <w:proofErr w:type="spellEnd"/>
          <w:r w:rsidR="00BA6FED" w:rsidRPr="003B3F88">
            <w:rPr>
              <w:rFonts w:ascii="Times New Roman" w:eastAsia="Times New Roman" w:hAnsi="Times New Roman" w:cs="Times New Roman"/>
              <w:color w:val="000000"/>
            </w:rPr>
            <w:t xml:space="preserve"> &amp; Kelly, 2011)</w:t>
          </w:r>
        </w:sdtContent>
      </w:sdt>
      <w:r w:rsidRPr="003B3F88">
        <w:rPr>
          <w:rFonts w:ascii="Times New Roman" w:hAnsi="Times New Roman" w:cs="Times New Roman"/>
        </w:rPr>
        <w:t xml:space="preserve">; </w:t>
      </w:r>
      <w:sdt>
        <w:sdtPr>
          <w:rPr>
            <w:rFonts w:ascii="Times New Roman" w:hAnsi="Times New Roman" w:cs="Times New Roman"/>
          </w:rPr>
          <w:alias w:val="IvyCite--1612128022"/>
          <w:tag w:val="IvyCite"/>
          <w:id w:val="-1612128022"/>
          <w:placeholder>
            <w:docPart w:val="DefaultPlaceholder_-1854013440"/>
          </w:placeholder>
          <w15:color w:val="83C900"/>
        </w:sdtPr>
        <w:sdtEndPr/>
        <w:sdtContent>
          <w:r w:rsidR="00533686" w:rsidRPr="003B3F88">
            <w:rPr>
              <w:rFonts w:ascii="Times New Roman" w:hAnsi="Times New Roman" w:cs="Times New Roman"/>
            </w:rPr>
            <w:t>(Salami, 2011)</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789010553"/>
          <w:tag w:val="IvyCite"/>
          <w:id w:val="1789010553"/>
          <w:placeholder>
            <w:docPart w:val="DefaultPlaceholder_-1854013440"/>
          </w:placeholder>
          <w15:color w:val="83C900"/>
        </w:sdtPr>
        <w:sdtEndPr/>
        <w:sdtContent>
          <w:r w:rsidR="00211E4E" w:rsidRPr="003B3F88">
            <w:rPr>
              <w:rFonts w:ascii="Times New Roman" w:eastAsia="Times New Roman" w:hAnsi="Times New Roman" w:cs="Times New Roman"/>
              <w:color w:val="000000"/>
            </w:rPr>
            <w:t>(Munguti et al., 2022)</w:t>
          </w:r>
        </w:sdtContent>
      </w:sdt>
      <w:r w:rsidRPr="003B3F88">
        <w:rPr>
          <w:rFonts w:ascii="Times New Roman" w:hAnsi="Times New Roman" w:cs="Times New Roman"/>
        </w:rPr>
        <w:t xml:space="preserve">. The majority of researchers utilized descriptive survey designs or explanatory designs, relying on primary data collected via questionnaires from revenue officers and finance staff </w:t>
      </w:r>
      <w:sdt>
        <w:sdtPr>
          <w:rPr>
            <w:rFonts w:ascii="Times New Roman" w:hAnsi="Times New Roman" w:cs="Times New Roman"/>
            <w:color w:val="000000"/>
          </w:rPr>
          <w:alias w:val="IvyCite-1702814416"/>
          <w:tag w:val="IvyCite"/>
          <w:id w:val="1702814416"/>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(Oluoch et al., 2021)</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56735894"/>
          <w:tag w:val="IvyCite"/>
          <w:id w:val="156735894"/>
          <w:placeholder>
            <w:docPart w:val="DefaultPlaceholder_-1854013440"/>
          </w:placeholder>
          <w15:color w:val="83C900"/>
        </w:sdtPr>
        <w:sdtEndPr/>
        <w:sdtContent>
          <w:r w:rsidR="00211E4E" w:rsidRPr="003B3F88">
            <w:rPr>
              <w:rFonts w:ascii="Times New Roman" w:eastAsia="Times New Roman" w:hAnsi="Times New Roman" w:cs="Times New Roman"/>
              <w:color w:val="000000"/>
            </w:rPr>
            <w:t>(Ayieko &amp; Cherono, 2024)</w:t>
          </w:r>
        </w:sdtContent>
      </w:sdt>
      <w:r w:rsidRPr="003B3F88">
        <w:rPr>
          <w:rFonts w:ascii="Times New Roman" w:hAnsi="Times New Roman" w:cs="Times New Roman"/>
        </w:rPr>
        <w:t xml:space="preserve">; </w:t>
      </w:r>
      <w:sdt>
        <w:sdtPr>
          <w:rPr>
            <w:rFonts w:ascii="Times New Roman" w:hAnsi="Times New Roman" w:cs="Times New Roman"/>
            <w:color w:val="000000"/>
          </w:rPr>
          <w:alias w:val="IvyCite-2141455963"/>
          <w:tag w:val="IvyCite"/>
          <w:id w:val="2141455963"/>
          <w:placeholder>
            <w:docPart w:val="DefaultPlaceholder_-1854013440"/>
          </w:placeholder>
          <w15:color w:val="83C900"/>
        </w:sdtPr>
        <w:sdtEndPr/>
        <w:sdtContent>
          <w:r w:rsidR="00211E4E" w:rsidRPr="003B3F88">
            <w:rPr>
              <w:rFonts w:ascii="Times New Roman" w:eastAsia="Times New Roman" w:hAnsi="Times New Roman" w:cs="Times New Roman"/>
              <w:color w:val="000000"/>
            </w:rPr>
            <w:t>(Edmond et al., 2023)</w:t>
          </w:r>
        </w:sdtContent>
      </w:sdt>
      <w:r w:rsidRPr="003B3F88">
        <w:rPr>
          <w:rFonts w:ascii="Times New Roman" w:hAnsi="Times New Roman" w:cs="Times New Roman"/>
        </w:rPr>
        <w:t xml:space="preserve">; </w:t>
      </w:r>
      <w:sdt>
        <w:sdtPr>
          <w:rPr>
            <w:rFonts w:ascii="Times New Roman" w:hAnsi="Times New Roman" w:cs="Times New Roman"/>
            <w:color w:val="000000"/>
          </w:rPr>
          <w:alias w:val="IvyCite-802193641"/>
          <w:tag w:val="IvyCite"/>
          <w:id w:val="802193641"/>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Thyaka</w:t>
          </w:r>
          <w:proofErr w:type="spellEnd"/>
          <w:r w:rsidR="003B3F88" w:rsidRPr="003B3F88">
            <w:rPr>
              <w:rFonts w:ascii="Times New Roman" w:eastAsia="Times New Roman" w:hAnsi="Times New Roman" w:cs="Times New Roman"/>
              <w:color w:val="000000"/>
            </w:rPr>
            <w:t xml:space="preserve"> &amp; </w:t>
          </w:r>
          <w:proofErr w:type="spellStart"/>
          <w:r w:rsidR="003B3F88" w:rsidRPr="003B3F88">
            <w:rPr>
              <w:rFonts w:ascii="Times New Roman" w:eastAsia="Times New Roman" w:hAnsi="Times New Roman" w:cs="Times New Roman"/>
              <w:color w:val="000000"/>
            </w:rPr>
            <w:t>Kavale</w:t>
          </w:r>
          <w:proofErr w:type="spellEnd"/>
          <w:r w:rsidR="003B3F88" w:rsidRPr="003B3F88">
            <w:rPr>
              <w:rFonts w:ascii="Times New Roman" w:eastAsia="Times New Roman" w:hAnsi="Times New Roman" w:cs="Times New Roman"/>
              <w:color w:val="000000"/>
            </w:rPr>
            <w:t>, 2021)</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693528562"/>
          <w:tag w:val="IvyCite"/>
          <w:id w:val="-1693528562"/>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(Kipkirui &amp; Makori, 2023)</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913966220"/>
          <w:tag w:val="IvyCite"/>
          <w:id w:val="1913966220"/>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(Henry et al., 2018)</w:t>
          </w:r>
        </w:sdtContent>
      </w:sdt>
      <w:r w:rsidRPr="003B3F88">
        <w:rPr>
          <w:rFonts w:ascii="Times New Roman" w:hAnsi="Times New Roman" w:cs="Times New Roman"/>
        </w:rPr>
        <w:t xml:space="preserve">; </w:t>
      </w:r>
      <w:sdt>
        <w:sdtPr>
          <w:rPr>
            <w:rFonts w:ascii="Times New Roman" w:hAnsi="Times New Roman" w:cs="Times New Roman"/>
            <w:color w:val="000000"/>
          </w:rPr>
          <w:alias w:val="IvyCite-2107000739"/>
          <w:tag w:val="IvyCite"/>
          <w:id w:val="2107000739"/>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This primary data is frequently triangulated with secondary financial reports (e.g., Controller of Budget, Auditor General reports) to perform regression analyses (OLS, binary logistic, or multiple regression), establishing statistical significance between independent variables (technology, controls, structure) and the dependent variable (revenue growth) </w:t>
      </w:r>
      <w:sdt>
        <w:sdtPr>
          <w:rPr>
            <w:rFonts w:ascii="Times New Roman" w:hAnsi="Times New Roman" w:cs="Times New Roman"/>
            <w:color w:val="000000"/>
          </w:rPr>
          <w:alias w:val="IvyCite-752248146"/>
          <w:tag w:val="IvyCite"/>
          <w:id w:val="752248146"/>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893878500"/>
          <w:tag w:val="IvyCite"/>
          <w:id w:val="-1893878500"/>
          <w:placeholder>
            <w:docPart w:val="DefaultPlaceholder_-1854013440"/>
          </w:placeholder>
          <w15:color w:val="83C900"/>
        </w:sdtPr>
        <w:sdtEndPr/>
        <w:sdtContent>
          <w:r w:rsidR="00211E4E" w:rsidRPr="003B3F88">
            <w:rPr>
              <w:rFonts w:ascii="Times New Roman" w:eastAsia="Times New Roman" w:hAnsi="Times New Roman" w:cs="Times New Roman"/>
              <w:color w:val="000000"/>
            </w:rPr>
            <w:t>(</w:t>
          </w:r>
          <w:proofErr w:type="spellStart"/>
          <w:r w:rsidR="00211E4E" w:rsidRPr="003B3F88">
            <w:rPr>
              <w:rFonts w:ascii="Times New Roman" w:eastAsia="Times New Roman" w:hAnsi="Times New Roman" w:cs="Times New Roman"/>
              <w:color w:val="000000"/>
            </w:rPr>
            <w:t>Munguti</w:t>
          </w:r>
          <w:proofErr w:type="spellEnd"/>
          <w:r w:rsidR="00211E4E" w:rsidRPr="003B3F88">
            <w:rPr>
              <w:rFonts w:ascii="Times New Roman" w:eastAsia="Times New Roman" w:hAnsi="Times New Roman" w:cs="Times New Roman"/>
              <w:color w:val="000000"/>
            </w:rPr>
            <w:t xml:space="preserve"> et al., 2022)</w:t>
          </w:r>
        </w:sdtContent>
      </w:sdt>
      <w:r w:rsidRPr="003B3F88">
        <w:rPr>
          <w:rFonts w:ascii="Times New Roman" w:hAnsi="Times New Roman" w:cs="Times New Roman"/>
        </w:rPr>
        <w:t xml:space="preserve">; </w:t>
      </w:r>
      <w:sdt>
        <w:sdtPr>
          <w:rPr>
            <w:rFonts w:ascii="Times New Roman" w:hAnsi="Times New Roman" w:cs="Times New Roman"/>
            <w:color w:val="000000"/>
          </w:rPr>
          <w:alias w:val="IvyCite-743309785"/>
          <w:tag w:val="IvyCite"/>
          <w:id w:val="743309785"/>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Revenue mobilisation capacity varies structurally across sub-national units, driven by: </w:t>
      </w:r>
      <w:proofErr w:type="spellStart"/>
      <w:r w:rsidR="00810F09">
        <w:rPr>
          <w:rFonts w:ascii="Times New Roman" w:hAnsi="Times New Roman" w:cs="Times New Roman"/>
        </w:rPr>
        <w:t>u</w:t>
      </w:r>
      <w:r w:rsidRPr="003B3F88">
        <w:rPr>
          <w:rFonts w:ascii="Times New Roman" w:hAnsi="Times New Roman" w:cs="Times New Roman"/>
        </w:rPr>
        <w:t>rbanisation</w:t>
      </w:r>
      <w:proofErr w:type="spellEnd"/>
      <w:r w:rsidRPr="003B3F88">
        <w:rPr>
          <w:rFonts w:ascii="Times New Roman" w:hAnsi="Times New Roman" w:cs="Times New Roman"/>
        </w:rPr>
        <w:t xml:space="preserve"> and economic concentration </w:t>
      </w:r>
      <w:sdt>
        <w:sdtPr>
          <w:rPr>
            <w:rFonts w:ascii="Times New Roman" w:hAnsi="Times New Roman" w:cs="Times New Roman"/>
            <w:color w:val="000000"/>
          </w:rPr>
          <w:alias w:val="IvyCite--1427193563"/>
          <w:tag w:val="IvyCite"/>
          <w:id w:val="-1427193563"/>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Pr="003B3F88">
        <w:rPr>
          <w:rFonts w:ascii="Times New Roman" w:hAnsi="Times New Roman" w:cs="Times New Roman"/>
        </w:rPr>
        <w:t xml:space="preserve">; </w:t>
      </w:r>
      <w:sdt>
        <w:sdtPr>
          <w:rPr>
            <w:rFonts w:ascii="Times New Roman" w:hAnsi="Times New Roman" w:cs="Times New Roman"/>
          </w:rPr>
          <w:alias w:val="IvyCite--116293628"/>
          <w:tag w:val="IvyCite"/>
          <w:id w:val="-116293628"/>
          <w:placeholder>
            <w:docPart w:val="DefaultPlaceholder_-1854013440"/>
          </w:placeholder>
          <w15:color w:val="83C900"/>
        </w:sdtPr>
        <w:sdtEndPr/>
        <w:sdtContent>
          <w:r w:rsidR="00446766" w:rsidRPr="003B3F88">
            <w:rPr>
              <w:rFonts w:ascii="Times New Roman" w:hAnsi="Times New Roman" w:cs="Times New Roman"/>
            </w:rPr>
            <w:t>(</w:t>
          </w:r>
          <w:proofErr w:type="spellStart"/>
          <w:r w:rsidR="00446766" w:rsidRPr="003B3F88">
            <w:rPr>
              <w:rFonts w:ascii="Times New Roman" w:hAnsi="Times New Roman" w:cs="Times New Roman"/>
            </w:rPr>
            <w:t>Nyanjom</w:t>
          </w:r>
          <w:proofErr w:type="spellEnd"/>
          <w:r w:rsidR="00446766" w:rsidRPr="003B3F88">
            <w:rPr>
              <w:rFonts w:ascii="Times New Roman" w:hAnsi="Times New Roman" w:cs="Times New Roman"/>
            </w:rPr>
            <w:t>, 2014)</w:t>
          </w:r>
        </w:sdtContent>
      </w:sdt>
      <w:r w:rsidRPr="003B3F88">
        <w:rPr>
          <w:rFonts w:ascii="Times New Roman" w:hAnsi="Times New Roman" w:cs="Times New Roman"/>
        </w:rPr>
        <w:t xml:space="preserve">, </w:t>
      </w:r>
      <w:r w:rsidR="00711654">
        <w:rPr>
          <w:rFonts w:ascii="Times New Roman" w:hAnsi="Times New Roman" w:cs="Times New Roman"/>
        </w:rPr>
        <w:t>p</w:t>
      </w:r>
      <w:r w:rsidRPr="003B3F88">
        <w:rPr>
          <w:rFonts w:ascii="Times New Roman" w:hAnsi="Times New Roman" w:cs="Times New Roman"/>
        </w:rPr>
        <w:t xml:space="preserve">overty levels that constrain taxable economic activity </w:t>
      </w:r>
      <w:sdt>
        <w:sdtPr>
          <w:rPr>
            <w:rFonts w:ascii="Times New Roman" w:hAnsi="Times New Roman" w:cs="Times New Roman"/>
            <w:color w:val="000000"/>
          </w:rPr>
          <w:alias w:val="IvyCite--156852157"/>
          <w:tag w:val="IvyCite"/>
          <w:id w:val="-156852157"/>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00711654">
        <w:rPr>
          <w:rFonts w:ascii="Times New Roman" w:hAnsi="Times New Roman" w:cs="Times New Roman"/>
        </w:rPr>
        <w:t xml:space="preserve"> </w:t>
      </w:r>
      <w:r w:rsidR="009A4DD7">
        <w:rPr>
          <w:rFonts w:ascii="Times New Roman" w:hAnsi="Times New Roman" w:cs="Times New Roman"/>
        </w:rPr>
        <w:t xml:space="preserve">and </w:t>
      </w:r>
      <w:r w:rsidR="009A4DD7" w:rsidRPr="003B3F88">
        <w:rPr>
          <w:rFonts w:ascii="Times New Roman" w:hAnsi="Times New Roman" w:cs="Times New Roman"/>
        </w:rPr>
        <w:t>historical</w:t>
      </w:r>
      <w:r w:rsidRPr="003B3F88">
        <w:rPr>
          <w:rFonts w:ascii="Times New Roman" w:hAnsi="Times New Roman" w:cs="Times New Roman"/>
        </w:rPr>
        <w:t xml:space="preserve"> and geographic disadvantages </w:t>
      </w:r>
      <w:sdt>
        <w:sdtPr>
          <w:rPr>
            <w:rFonts w:ascii="Times New Roman" w:hAnsi="Times New Roman" w:cs="Times New Roman"/>
          </w:rPr>
          <w:alias w:val="IvyCite-1513184431"/>
          <w:tag w:val="IvyCite"/>
          <w:id w:val="1513184431"/>
          <w:placeholder>
            <w:docPart w:val="DefaultPlaceholder_-1854013440"/>
          </w:placeholder>
          <w15:color w:val="83C900"/>
        </w:sdtPr>
        <w:sdtEndPr/>
        <w:sdtContent>
          <w:r w:rsidR="00446766" w:rsidRPr="003B3F88">
            <w:rPr>
              <w:rFonts w:ascii="Times New Roman" w:hAnsi="Times New Roman" w:cs="Times New Roman"/>
            </w:rPr>
            <w:t>(</w:t>
          </w:r>
          <w:proofErr w:type="spellStart"/>
          <w:r w:rsidR="00446766" w:rsidRPr="003B3F88">
            <w:rPr>
              <w:rFonts w:ascii="Times New Roman" w:hAnsi="Times New Roman" w:cs="Times New Roman"/>
            </w:rPr>
            <w:t>Nyanjom</w:t>
          </w:r>
          <w:proofErr w:type="spellEnd"/>
          <w:r w:rsidR="00446766" w:rsidRPr="003B3F88">
            <w:rPr>
              <w:rFonts w:ascii="Times New Roman" w:hAnsi="Times New Roman" w:cs="Times New Roman"/>
            </w:rPr>
            <w:t>, 2014)</w:t>
          </w:r>
        </w:sdtContent>
      </w:sdt>
      <w:r w:rsidRPr="003B3F88">
        <w:rPr>
          <w:rFonts w:ascii="Times New Roman" w:hAnsi="Times New Roman" w:cs="Times New Roman"/>
        </w:rPr>
        <w:t xml:space="preserve"> demonstrating that OSR underperformance is not solely an administrative failure, but reflects unequal starting conditions.</w:t>
      </w:r>
    </w:p>
    <w:p w14:paraId="28E9F69A" w14:textId="78507B77" w:rsidR="00C00B03" w:rsidRPr="003B3F88" w:rsidRDefault="00C00B03" w:rsidP="00C00B03">
      <w:pPr>
        <w:pStyle w:val="BodyText"/>
        <w:spacing w:line="480" w:lineRule="auto"/>
        <w:rPr>
          <w:rFonts w:ascii="Times New Roman" w:hAnsi="Times New Roman" w:cs="Times New Roman"/>
        </w:rPr>
      </w:pPr>
      <w:r w:rsidRPr="003B3F88">
        <w:rPr>
          <w:rFonts w:ascii="Times New Roman" w:hAnsi="Times New Roman" w:cs="Times New Roman"/>
        </w:rPr>
        <w:t>Two competing narratives emerge, one narrative argues that structural economic capacity</w:t>
      </w:r>
      <w:r w:rsidR="009A4DD7">
        <w:rPr>
          <w:rFonts w:ascii="Times New Roman" w:hAnsi="Times New Roman" w:cs="Times New Roman"/>
        </w:rPr>
        <w:t xml:space="preserve"> </w:t>
      </w:r>
      <w:r w:rsidRPr="003B3F88">
        <w:rPr>
          <w:rFonts w:ascii="Times New Roman" w:hAnsi="Times New Roman" w:cs="Times New Roman"/>
        </w:rPr>
        <w:t xml:space="preserve">such as </w:t>
      </w:r>
      <w:proofErr w:type="spellStart"/>
      <w:r w:rsidRPr="003B3F88">
        <w:rPr>
          <w:rFonts w:ascii="Times New Roman" w:hAnsi="Times New Roman" w:cs="Times New Roman"/>
        </w:rPr>
        <w:t>urbanisation</w:t>
      </w:r>
      <w:proofErr w:type="spellEnd"/>
      <w:r w:rsidRPr="003B3F88">
        <w:rPr>
          <w:rFonts w:ascii="Times New Roman" w:hAnsi="Times New Roman" w:cs="Times New Roman"/>
        </w:rPr>
        <w:t xml:space="preserve"> levels, poverty, and economic base</w:t>
      </w:r>
      <w:r w:rsidR="009A4DD7">
        <w:rPr>
          <w:rFonts w:ascii="Times New Roman" w:hAnsi="Times New Roman" w:cs="Times New Roman"/>
        </w:rPr>
        <w:t xml:space="preserve"> </w:t>
      </w:r>
      <w:r w:rsidRPr="003B3F88">
        <w:rPr>
          <w:rFonts w:ascii="Times New Roman" w:hAnsi="Times New Roman" w:cs="Times New Roman"/>
        </w:rPr>
        <w:t>largely determines sub-national revenue performance (</w:t>
      </w:r>
      <w:sdt>
        <w:sdtPr>
          <w:rPr>
            <w:rFonts w:ascii="Times New Roman" w:hAnsi="Times New Roman" w:cs="Times New Roman"/>
            <w:color w:val="000000"/>
          </w:rPr>
          <w:alias w:val="IvyCite-1387836343"/>
          <w:tag w:val="IvyCite"/>
          <w:id w:val="1387836343"/>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Pr="003B3F88">
        <w:rPr>
          <w:rFonts w:ascii="Times New Roman" w:hAnsi="Times New Roman" w:cs="Times New Roman"/>
        </w:rPr>
        <w:t xml:space="preserve">; </w:t>
      </w:r>
      <w:sdt>
        <w:sdtPr>
          <w:rPr>
            <w:rFonts w:ascii="Times New Roman" w:hAnsi="Times New Roman" w:cs="Times New Roman"/>
          </w:rPr>
          <w:alias w:val="IvyCite--850796534"/>
          <w:tag w:val="IvyCite"/>
          <w:id w:val="-850796534"/>
          <w:placeholder>
            <w:docPart w:val="DefaultPlaceholder_-1854013440"/>
          </w:placeholder>
          <w15:color w:val="83C900"/>
        </w:sdtPr>
        <w:sdtEndPr/>
        <w:sdtContent>
          <w:r w:rsidR="00446766" w:rsidRPr="003B3F88">
            <w:rPr>
              <w:rFonts w:ascii="Times New Roman" w:hAnsi="Times New Roman" w:cs="Times New Roman"/>
            </w:rPr>
            <w:t>(</w:t>
          </w:r>
          <w:proofErr w:type="spellStart"/>
          <w:r w:rsidR="00446766" w:rsidRPr="003B3F88">
            <w:rPr>
              <w:rFonts w:ascii="Times New Roman" w:hAnsi="Times New Roman" w:cs="Times New Roman"/>
            </w:rPr>
            <w:t>Nyanjom</w:t>
          </w:r>
          <w:proofErr w:type="spellEnd"/>
          <w:r w:rsidR="00446766" w:rsidRPr="003B3F88">
            <w:rPr>
              <w:rFonts w:ascii="Times New Roman" w:hAnsi="Times New Roman" w:cs="Times New Roman"/>
            </w:rPr>
            <w:t>, 2014)</w:t>
          </w:r>
        </w:sdtContent>
      </w:sdt>
      <w:r w:rsidR="00192472">
        <w:rPr>
          <w:rFonts w:ascii="Times New Roman" w:hAnsi="Times New Roman" w:cs="Times New Roman"/>
        </w:rPr>
        <w:t>)</w:t>
      </w:r>
      <w:r w:rsidRPr="003B3F88">
        <w:rPr>
          <w:rFonts w:ascii="Times New Roman" w:hAnsi="Times New Roman" w:cs="Times New Roman"/>
        </w:rPr>
        <w:t xml:space="preserve">. Another strand </w:t>
      </w:r>
      <w:r w:rsidR="00F720B5" w:rsidRPr="003B3F88">
        <w:rPr>
          <w:rFonts w:ascii="Times New Roman" w:hAnsi="Times New Roman" w:cs="Times New Roman"/>
        </w:rPr>
        <w:t>emphasizes</w:t>
      </w:r>
      <w:r w:rsidRPr="003B3F88">
        <w:rPr>
          <w:rFonts w:ascii="Times New Roman" w:hAnsi="Times New Roman" w:cs="Times New Roman"/>
        </w:rPr>
        <w:t xml:space="preserve"> the role of institutional design and administrative systems, including governance frameworks, internal controls, and revenue technologies</w:t>
      </w:r>
      <w:r w:rsidR="00F720B5">
        <w:rPr>
          <w:rFonts w:ascii="Times New Roman" w:hAnsi="Times New Roman" w:cs="Times New Roman"/>
        </w:rPr>
        <w:t xml:space="preserve"> </w:t>
      </w:r>
      <w:r w:rsidRPr="003B3F88">
        <w:rPr>
          <w:rFonts w:ascii="Times New Roman" w:hAnsi="Times New Roman" w:cs="Times New Roman"/>
        </w:rPr>
        <w:t xml:space="preserve">as levers through which governments can overcome structural constraints and enhance revenue outcomes </w:t>
      </w:r>
      <w:sdt>
        <w:sdtPr>
          <w:rPr>
            <w:rFonts w:ascii="Times New Roman" w:hAnsi="Times New Roman" w:cs="Times New Roman"/>
            <w:color w:val="000000"/>
          </w:rPr>
          <w:alias w:val="IvyCite-1469315267"/>
          <w:tag w:val="IvyCite"/>
          <w:id w:val="1469315267"/>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(Henry et al., 2018)</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412307704"/>
          <w:tag w:val="IvyCite"/>
          <w:id w:val="-1412307704"/>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The assumption that reforms uniformly translate into improved revenue performance has been recently challenged. Empirical findings increasingly reveal heterogeneous outcomes, particularly with respect to technology-driven reforms and governance interventions. While several studies report statistically significant positive relationships between automation, digitization, and revenue growth </w:t>
      </w:r>
      <w:sdt>
        <w:sdtPr>
          <w:rPr>
            <w:rFonts w:ascii="Times New Roman" w:hAnsi="Times New Roman" w:cs="Times New Roman"/>
            <w:color w:val="000000"/>
          </w:rPr>
          <w:alias w:val="IvyCite--1922174599"/>
          <w:tag w:val="IvyCite"/>
          <w:id w:val="-1922174599"/>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(Henry et al., 2018)</w:t>
          </w:r>
        </w:sdtContent>
      </w:sdt>
      <w:r w:rsidRPr="003B3F88">
        <w:rPr>
          <w:rFonts w:ascii="Times New Roman" w:hAnsi="Times New Roman" w:cs="Times New Roman"/>
        </w:rPr>
        <w:t xml:space="preserve">; </w:t>
      </w:r>
      <w:sdt>
        <w:sdtPr>
          <w:rPr>
            <w:rFonts w:ascii="Times New Roman" w:hAnsi="Times New Roman" w:cs="Times New Roman"/>
            <w:color w:val="000000"/>
          </w:rPr>
          <w:alias w:val="IvyCite--502280225"/>
          <w:tag w:val="IvyCite"/>
          <w:id w:val="-502280225"/>
          <w:placeholder>
            <w:docPart w:val="DefaultPlaceholder_-1854013440"/>
          </w:placeholder>
          <w15:color w:val="83C900"/>
        </w:sdtPr>
        <w:sdtEndPr/>
        <w:sdtContent>
          <w:r w:rsidR="00211E4E" w:rsidRPr="003B3F88">
            <w:rPr>
              <w:rFonts w:ascii="Times New Roman" w:eastAsia="Times New Roman" w:hAnsi="Times New Roman" w:cs="Times New Roman"/>
              <w:color w:val="000000"/>
            </w:rPr>
            <w:t>(Ayieko &amp; Cherono, 2024)</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990598443"/>
          <w:tag w:val="IvyCite"/>
          <w:id w:val="1990598443"/>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others demonstrate that technology alone may fail to generate substantive revenue gains in the absence of complementary institutional and </w:t>
      </w:r>
      <w:r w:rsidR="00F720B5" w:rsidRPr="003B3F88">
        <w:rPr>
          <w:rFonts w:ascii="Times New Roman" w:hAnsi="Times New Roman" w:cs="Times New Roman"/>
        </w:rPr>
        <w:t>behavioral</w:t>
      </w:r>
      <w:r w:rsidRPr="003B3F88">
        <w:rPr>
          <w:rFonts w:ascii="Times New Roman" w:hAnsi="Times New Roman" w:cs="Times New Roman"/>
        </w:rPr>
        <w:t xml:space="preserve"> reforms </w:t>
      </w:r>
      <w:sdt>
        <w:sdtPr>
          <w:rPr>
            <w:rFonts w:ascii="Times New Roman" w:hAnsi="Times New Roman" w:cs="Times New Roman"/>
            <w:color w:val="000000"/>
          </w:rPr>
          <w:alias w:val="IvyCite--1233781661"/>
          <w:tag w:val="IvyCite"/>
          <w:id w:val="-1233781661"/>
          <w:placeholder>
            <w:docPart w:val="DefaultPlaceholder_-1854013440"/>
          </w:placeholder>
          <w15:color w:val="83C900"/>
        </w:sdtPr>
        <w:sdtEndPr/>
        <w:sdtContent>
          <w:r w:rsidR="00964205" w:rsidRPr="003B3F88">
            <w:rPr>
              <w:rFonts w:ascii="Times New Roman" w:eastAsia="Times New Roman" w:hAnsi="Times New Roman" w:cs="Times New Roman"/>
              <w:color w:val="000000"/>
            </w:rPr>
            <w:t>(Adu et al., 2019)</w:t>
          </w:r>
        </w:sdtContent>
      </w:sdt>
      <w:r w:rsidRPr="003B3F88">
        <w:rPr>
          <w:rFonts w:ascii="Times New Roman" w:hAnsi="Times New Roman" w:cs="Times New Roman"/>
        </w:rPr>
        <w:t xml:space="preserve">. Similarly, in Ethiopia, </w:t>
      </w:r>
      <w:sdt>
        <w:sdtPr>
          <w:rPr>
            <w:rFonts w:ascii="Times New Roman" w:hAnsi="Times New Roman" w:cs="Times New Roman"/>
            <w:color w:val="000000"/>
          </w:rPr>
          <w:alias w:val="IvyCite-1148014248"/>
          <w:tag w:val="IvyCite"/>
          <w:id w:val="1148014248"/>
          <w:placeholder>
            <w:docPart w:val="DefaultPlaceholder_-1854013440"/>
          </w:placeholder>
          <w15:color w:val="83C900"/>
        </w:sdtPr>
        <w:sdtEndPr/>
        <w:sdtContent>
          <w:r w:rsidR="00964205" w:rsidRPr="003B3F88">
            <w:rPr>
              <w:rFonts w:ascii="Times New Roman" w:eastAsia="Times New Roman" w:hAnsi="Times New Roman" w:cs="Times New Roman"/>
              <w:color w:val="000000"/>
            </w:rPr>
            <w:t>(Mascagni et al., 2021)</w:t>
          </w:r>
        </w:sdtContent>
      </w:sdt>
      <w:r w:rsidRPr="003B3F88">
        <w:rPr>
          <w:rFonts w:ascii="Times New Roman" w:hAnsi="Times New Roman" w:cs="Times New Roman"/>
        </w:rPr>
        <w:t xml:space="preserve"> found that while </w:t>
      </w:r>
      <w:r w:rsidR="00F720B5">
        <w:rPr>
          <w:rFonts w:ascii="Times New Roman" w:hAnsi="Times New Roman" w:cs="Times New Roman"/>
        </w:rPr>
        <w:t>e</w:t>
      </w:r>
      <w:r w:rsidRPr="003B3F88">
        <w:rPr>
          <w:rFonts w:ascii="Times New Roman" w:hAnsi="Times New Roman" w:cs="Times New Roman"/>
        </w:rPr>
        <w:t xml:space="preserve">lectronic </w:t>
      </w:r>
      <w:r w:rsidR="00F720B5">
        <w:rPr>
          <w:rFonts w:ascii="Times New Roman" w:hAnsi="Times New Roman" w:cs="Times New Roman"/>
        </w:rPr>
        <w:t>b</w:t>
      </w:r>
      <w:r w:rsidRPr="003B3F88">
        <w:rPr>
          <w:rFonts w:ascii="Times New Roman" w:hAnsi="Times New Roman" w:cs="Times New Roman"/>
        </w:rPr>
        <w:t xml:space="preserve">illing </w:t>
      </w:r>
      <w:r w:rsidR="00F720B5">
        <w:rPr>
          <w:rFonts w:ascii="Times New Roman" w:hAnsi="Times New Roman" w:cs="Times New Roman"/>
        </w:rPr>
        <w:t>m</w:t>
      </w:r>
      <w:r w:rsidRPr="003B3F88">
        <w:rPr>
          <w:rFonts w:ascii="Times New Roman" w:hAnsi="Times New Roman" w:cs="Times New Roman"/>
        </w:rPr>
        <w:t xml:space="preserve">achines (EBMs) increased reported sales, businesses adjusted by inflating their costs to offset tax liabilities, thereby neutralizing the net revenue gain. Technology, therefore, appears to be a necessary but insufficient condition for revenue growth, contingent on the strength of the underlying “hardware” of internal controls and risk management </w:t>
      </w:r>
      <w:sdt>
        <w:sdtPr>
          <w:rPr>
            <w:rFonts w:ascii="Times New Roman" w:hAnsi="Times New Roman" w:cs="Times New Roman"/>
            <w:color w:val="000000"/>
          </w:rPr>
          <w:alias w:val="IvyCite--1447608383"/>
          <w:tag w:val="IvyCite"/>
          <w:id w:val="-1447608383"/>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Thyaka</w:t>
          </w:r>
          <w:proofErr w:type="spellEnd"/>
          <w:r w:rsidR="003B3F88" w:rsidRPr="003B3F88">
            <w:rPr>
              <w:rFonts w:ascii="Times New Roman" w:eastAsia="Times New Roman" w:hAnsi="Times New Roman" w:cs="Times New Roman"/>
              <w:color w:val="000000"/>
            </w:rPr>
            <w:t xml:space="preserve"> &amp; </w:t>
          </w:r>
          <w:proofErr w:type="spellStart"/>
          <w:r w:rsidR="003B3F88" w:rsidRPr="003B3F88">
            <w:rPr>
              <w:rFonts w:ascii="Times New Roman" w:eastAsia="Times New Roman" w:hAnsi="Times New Roman" w:cs="Times New Roman"/>
              <w:color w:val="000000"/>
            </w:rPr>
            <w:t>Kavale</w:t>
          </w:r>
          <w:proofErr w:type="spellEnd"/>
          <w:r w:rsidR="003B3F88" w:rsidRPr="003B3F88">
            <w:rPr>
              <w:rFonts w:ascii="Times New Roman" w:eastAsia="Times New Roman" w:hAnsi="Times New Roman" w:cs="Times New Roman"/>
              <w:color w:val="000000"/>
            </w:rPr>
            <w:t>, 2021)</w:t>
          </w:r>
        </w:sdtContent>
      </w:sdt>
      <w:r w:rsidRPr="003B3F88">
        <w:rPr>
          <w:rFonts w:ascii="Times New Roman" w:hAnsi="Times New Roman" w:cs="Times New Roman"/>
        </w:rPr>
        <w:t xml:space="preserve">; </w:t>
      </w:r>
      <w:sdt>
        <w:sdtPr>
          <w:rPr>
            <w:rFonts w:ascii="Times New Roman" w:hAnsi="Times New Roman" w:cs="Times New Roman"/>
            <w:color w:val="000000"/>
          </w:rPr>
          <w:alias w:val="IvyCite-428239927"/>
          <w:tag w:val="IvyCite"/>
          <w:id w:val="428239927"/>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(Kipkirui &amp; Makori, 2023)</w:t>
          </w:r>
        </w:sdtContent>
      </w:sdt>
      <w:r w:rsidRPr="003B3F88">
        <w:rPr>
          <w:rFonts w:ascii="Times New Roman" w:hAnsi="Times New Roman" w:cs="Times New Roman"/>
        </w:rPr>
        <w:t xml:space="preserve">. Corporate governance reforms may enhance effectiveness without proportionate efficiency gains </w:t>
      </w:r>
      <w:sdt>
        <w:sdtPr>
          <w:rPr>
            <w:rFonts w:ascii="Times New Roman" w:hAnsi="Times New Roman" w:cs="Times New Roman"/>
            <w:color w:val="000000"/>
          </w:rPr>
          <w:alias w:val="IvyCite--643275366"/>
          <w:tag w:val="IvyCite"/>
          <w:id w:val="-643275366"/>
          <w:placeholder>
            <w:docPart w:val="DefaultPlaceholder_-1854013440"/>
          </w:placeholder>
          <w15:color w:val="83C900"/>
        </w:sdtPr>
        <w:sdtEndPr/>
        <w:sdtContent>
          <w:r w:rsidR="007F38ED" w:rsidRPr="003B3F88">
            <w:rPr>
              <w:rFonts w:ascii="Times New Roman" w:eastAsia="Times New Roman" w:hAnsi="Times New Roman" w:cs="Times New Roman"/>
              <w:color w:val="000000"/>
            </w:rPr>
            <w:t>(</w:t>
          </w:r>
          <w:proofErr w:type="spellStart"/>
          <w:r w:rsidR="007F38ED" w:rsidRPr="003B3F88">
            <w:rPr>
              <w:rFonts w:ascii="Times New Roman" w:eastAsia="Times New Roman" w:hAnsi="Times New Roman" w:cs="Times New Roman"/>
              <w:color w:val="000000"/>
            </w:rPr>
            <w:t>Juma</w:t>
          </w:r>
          <w:proofErr w:type="spellEnd"/>
          <w:r w:rsidR="007F38ED" w:rsidRPr="003B3F88">
            <w:rPr>
              <w:rFonts w:ascii="Times New Roman" w:eastAsia="Times New Roman" w:hAnsi="Times New Roman" w:cs="Times New Roman"/>
              <w:color w:val="000000"/>
            </w:rPr>
            <w:t xml:space="preserve"> &amp; </w:t>
          </w:r>
          <w:proofErr w:type="spellStart"/>
          <w:r w:rsidR="007F38ED" w:rsidRPr="003B3F88">
            <w:rPr>
              <w:rFonts w:ascii="Times New Roman" w:eastAsia="Times New Roman" w:hAnsi="Times New Roman" w:cs="Times New Roman"/>
              <w:color w:val="000000"/>
            </w:rPr>
            <w:t>Kinyamjui</w:t>
          </w:r>
          <w:proofErr w:type="spellEnd"/>
          <w:r w:rsidR="007F38ED" w:rsidRPr="003B3F88">
            <w:rPr>
              <w:rFonts w:ascii="Times New Roman" w:eastAsia="Times New Roman" w:hAnsi="Times New Roman" w:cs="Times New Roman"/>
              <w:color w:val="000000"/>
            </w:rPr>
            <w:t>, 2025)</w:t>
          </w:r>
        </w:sdtContent>
      </w:sdt>
      <w:r w:rsidRPr="003B3F88">
        <w:rPr>
          <w:rFonts w:ascii="Times New Roman" w:hAnsi="Times New Roman" w:cs="Times New Roman"/>
        </w:rPr>
        <w:t xml:space="preserve">. </w:t>
      </w:r>
    </w:p>
    <w:p w14:paraId="1F0E2FD1" w14:textId="6C659773" w:rsidR="00192472"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 xml:space="preserve">While the literature largely agrees on the benefits of digitization and control, significant divergences exist regarding the impact of central grants, the reliability of technology, and the structural drivers of revenue potential. These contradictions highlight that revenue mobilization is not a “one-size-fits-all” science but is deeply context-dependent. For example, the “crowding-out” effect as reviewed by </w:t>
      </w:r>
      <w:sdt>
        <w:sdtPr>
          <w:rPr>
            <w:rFonts w:ascii="Times New Roman" w:hAnsi="Times New Roman" w:cs="Times New Roman"/>
            <w:color w:val="000000"/>
          </w:rPr>
          <w:alias w:val="IvyCite--1701766729"/>
          <w:tag w:val="IvyCite"/>
          <w:id w:val="-1701766729"/>
          <w:placeholder>
            <w:docPart w:val="DefaultPlaceholder_-1854013440"/>
          </w:placeholder>
          <w15:color w:val="83C900"/>
        </w:sdtPr>
        <w:sdtEndPr/>
        <w:sdtContent>
          <w:r w:rsidR="007F38ED" w:rsidRPr="003B3F88">
            <w:rPr>
              <w:rFonts w:ascii="Times New Roman" w:eastAsia="Times New Roman" w:hAnsi="Times New Roman" w:cs="Times New Roman"/>
              <w:color w:val="000000"/>
            </w:rPr>
            <w:t>(</w:t>
          </w:r>
          <w:proofErr w:type="spellStart"/>
          <w:r w:rsidR="007F38ED" w:rsidRPr="003B3F88">
            <w:rPr>
              <w:rFonts w:ascii="Times New Roman" w:eastAsia="Times New Roman" w:hAnsi="Times New Roman" w:cs="Times New Roman"/>
              <w:color w:val="000000"/>
            </w:rPr>
            <w:t>Mogues</w:t>
          </w:r>
          <w:proofErr w:type="spellEnd"/>
          <w:r w:rsidR="007F38ED" w:rsidRPr="003B3F88">
            <w:rPr>
              <w:rFonts w:ascii="Times New Roman" w:eastAsia="Times New Roman" w:hAnsi="Times New Roman" w:cs="Times New Roman"/>
              <w:color w:val="000000"/>
            </w:rPr>
            <w:t xml:space="preserve"> &amp; Benin, 2012)</w:t>
          </w:r>
        </w:sdtContent>
      </w:sdt>
      <w:r w:rsidRPr="003B3F88">
        <w:rPr>
          <w:rFonts w:ascii="Times New Roman" w:hAnsi="Times New Roman" w:cs="Times New Roman"/>
        </w:rPr>
        <w:t xml:space="preserve"> in Ghana and </w:t>
      </w:r>
      <w:sdt>
        <w:sdtPr>
          <w:rPr>
            <w:rFonts w:ascii="Times New Roman" w:hAnsi="Times New Roman" w:cs="Times New Roman"/>
            <w:color w:val="000000"/>
          </w:rPr>
          <w:alias w:val="IvyCite--1297596251"/>
          <w:tag w:val="IvyCite"/>
          <w:id w:val="-1297596251"/>
          <w:placeholder>
            <w:docPart w:val="DefaultPlaceholder_-1854013440"/>
          </w:placeholder>
          <w15:color w:val="83C900"/>
        </w:sdtPr>
        <w:sdtEndPr/>
        <w:sdtContent>
          <w:r w:rsidR="00BA6FED" w:rsidRPr="003B3F88">
            <w:rPr>
              <w:rFonts w:ascii="Times New Roman" w:eastAsia="Times New Roman" w:hAnsi="Times New Roman" w:cs="Times New Roman"/>
              <w:color w:val="000000"/>
            </w:rPr>
            <w:t>(</w:t>
          </w:r>
          <w:proofErr w:type="spellStart"/>
          <w:r w:rsidR="00BA6FED" w:rsidRPr="003B3F88">
            <w:rPr>
              <w:rFonts w:ascii="Times New Roman" w:eastAsia="Times New Roman" w:hAnsi="Times New Roman" w:cs="Times New Roman"/>
              <w:color w:val="000000"/>
            </w:rPr>
            <w:t>Boex</w:t>
          </w:r>
          <w:proofErr w:type="spellEnd"/>
          <w:r w:rsidR="00BA6FED" w:rsidRPr="003B3F88">
            <w:rPr>
              <w:rFonts w:ascii="Times New Roman" w:eastAsia="Times New Roman" w:hAnsi="Times New Roman" w:cs="Times New Roman"/>
              <w:color w:val="000000"/>
            </w:rPr>
            <w:t xml:space="preserve"> &amp; Kelly, 2011)</w:t>
          </w:r>
        </w:sdtContent>
      </w:sdt>
      <w:r w:rsidRPr="003B3F88">
        <w:rPr>
          <w:rFonts w:ascii="Times New Roman" w:hAnsi="Times New Roman" w:cs="Times New Roman"/>
        </w:rPr>
        <w:t xml:space="preserve"> versus “crowding-in” effect as reviewed by </w:t>
      </w:r>
      <w:sdt>
        <w:sdtPr>
          <w:rPr>
            <w:rFonts w:ascii="Times New Roman" w:hAnsi="Times New Roman" w:cs="Times New Roman"/>
            <w:color w:val="000000"/>
          </w:rPr>
          <w:alias w:val="IvyCite-525992891"/>
          <w:tag w:val="IvyCite"/>
          <w:id w:val="525992891"/>
          <w:placeholder>
            <w:docPart w:val="DefaultPlaceholder_-1854013440"/>
          </w:placeholder>
          <w15:color w:val="83C900"/>
        </w:sdtPr>
        <w:sdtEndPr/>
        <w:sdtContent>
          <w:r w:rsidR="00533686" w:rsidRPr="003B3F88">
            <w:rPr>
              <w:rFonts w:ascii="Times New Roman" w:eastAsia="Times New Roman" w:hAnsi="Times New Roman" w:cs="Times New Roman"/>
              <w:color w:val="000000"/>
            </w:rPr>
            <w:t>(Caldeira &amp; Rota-Graziosi, 2014)</w:t>
          </w:r>
        </w:sdtContent>
      </w:sdt>
      <w:r w:rsidRPr="003B3F88">
        <w:rPr>
          <w:rFonts w:ascii="Times New Roman" w:hAnsi="Times New Roman" w:cs="Times New Roman"/>
        </w:rPr>
        <w:t xml:space="preserve"> in Benin and Masaki (2018) in Tanzania. Studies like </w:t>
      </w:r>
      <w:sdt>
        <w:sdtPr>
          <w:rPr>
            <w:rFonts w:ascii="Times New Roman" w:hAnsi="Times New Roman" w:cs="Times New Roman"/>
            <w:color w:val="000000"/>
          </w:rPr>
          <w:alias w:val="IvyCite--1028485336"/>
          <w:tag w:val="IvyCite"/>
          <w:id w:val="-1028485336"/>
          <w:placeholder>
            <w:docPart w:val="DefaultPlaceholder_-1854013440"/>
          </w:placeholder>
          <w15:color w:val="83C900"/>
        </w:sdtPr>
        <w:sdtEndPr/>
        <w:sdtContent>
          <w:r w:rsidR="00211E4E" w:rsidRPr="003B3F88">
            <w:rPr>
              <w:rFonts w:ascii="Times New Roman" w:eastAsia="Times New Roman" w:hAnsi="Times New Roman" w:cs="Times New Roman"/>
              <w:color w:val="000000"/>
            </w:rPr>
            <w:t>(Munguti et al., 2022)</w:t>
          </w:r>
        </w:sdtContent>
      </w:sdt>
      <w:r w:rsidRPr="003B3F88">
        <w:rPr>
          <w:rFonts w:ascii="Times New Roman" w:hAnsi="Times New Roman" w:cs="Times New Roman"/>
        </w:rPr>
        <w:t xml:space="preserve"> and </w:t>
      </w:r>
      <w:sdt>
        <w:sdtPr>
          <w:rPr>
            <w:rFonts w:ascii="Times New Roman" w:hAnsi="Times New Roman" w:cs="Times New Roman"/>
            <w:color w:val="000000"/>
          </w:rPr>
          <w:alias w:val="IvyCite--401225138"/>
          <w:tag w:val="IvyCite"/>
          <w:id w:val="-401225138"/>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(Henry et al., 2018)</w:t>
          </w:r>
        </w:sdtContent>
      </w:sdt>
      <w:r w:rsidRPr="003B3F88">
        <w:rPr>
          <w:rFonts w:ascii="Times New Roman" w:hAnsi="Times New Roman" w:cs="Times New Roman"/>
        </w:rPr>
        <w:t xml:space="preserve"> present automation as a linear driver of success, finding that digital systems (e-billing, mobile money) account for nearly 50% of revenue variance in counties like Nakuru and Machakos. Conversely, </w:t>
      </w:r>
      <w:sdt>
        <w:sdtPr>
          <w:rPr>
            <w:rFonts w:ascii="Times New Roman" w:hAnsi="Times New Roman" w:cs="Times New Roman"/>
          </w:rPr>
          <w:alias w:val="IvyCite--100034233"/>
          <w:tag w:val="IvyCite"/>
          <w:id w:val="-100034233"/>
          <w:placeholder>
            <w:docPart w:val="DefaultPlaceholder_-1854013440"/>
          </w:placeholder>
          <w15:color w:val="83C900"/>
        </w:sdtPr>
        <w:sdtEndPr/>
        <w:sdtContent>
          <w:r w:rsidR="004B0660" w:rsidRPr="003B3F88">
            <w:rPr>
              <w:rFonts w:ascii="Times New Roman" w:hAnsi="Times New Roman" w:cs="Times New Roman"/>
            </w:rPr>
            <w:t>(</w:t>
          </w:r>
          <w:proofErr w:type="spellStart"/>
          <w:r w:rsidR="004B0660" w:rsidRPr="003B3F88">
            <w:rPr>
              <w:rFonts w:ascii="Times New Roman" w:hAnsi="Times New Roman" w:cs="Times New Roman"/>
            </w:rPr>
            <w:t>Heeks</w:t>
          </w:r>
          <w:proofErr w:type="spellEnd"/>
          <w:r w:rsidR="004B0660" w:rsidRPr="003B3F88">
            <w:rPr>
              <w:rFonts w:ascii="Times New Roman" w:hAnsi="Times New Roman" w:cs="Times New Roman"/>
            </w:rPr>
            <w:t>, 2003)</w:t>
          </w:r>
        </w:sdtContent>
      </w:sdt>
      <w:r w:rsidRPr="003B3F88">
        <w:rPr>
          <w:rFonts w:ascii="Times New Roman" w:hAnsi="Times New Roman" w:cs="Times New Roman"/>
        </w:rPr>
        <w:t xml:space="preserve"> and </w:t>
      </w:r>
      <w:sdt>
        <w:sdtPr>
          <w:rPr>
            <w:rFonts w:ascii="Times New Roman" w:hAnsi="Times New Roman" w:cs="Times New Roman"/>
            <w:color w:val="000000"/>
          </w:rPr>
          <w:alias w:val="IvyCite--221370411"/>
          <w:tag w:val="IvyCite"/>
          <w:id w:val="-221370411"/>
          <w:placeholder>
            <w:docPart w:val="DefaultPlaceholder_-1854013440"/>
          </w:placeholder>
          <w15:color w:val="83C900"/>
        </w:sdtPr>
        <w:sdtEndPr/>
        <w:sdtContent>
          <w:r w:rsidR="00964205" w:rsidRPr="003B3F88">
            <w:rPr>
              <w:rFonts w:ascii="Times New Roman" w:eastAsia="Times New Roman" w:hAnsi="Times New Roman" w:cs="Times New Roman"/>
              <w:color w:val="000000"/>
            </w:rPr>
            <w:t>(Mascagni et al., 2021)</w:t>
          </w:r>
        </w:sdtContent>
      </w:sdt>
      <w:r w:rsidRPr="003B3F88">
        <w:rPr>
          <w:rFonts w:ascii="Times New Roman" w:hAnsi="Times New Roman" w:cs="Times New Roman"/>
        </w:rPr>
        <w:t xml:space="preserve"> introduce the concept of “partial failure.” In Ethiopia, </w:t>
      </w:r>
      <w:sdt>
        <w:sdtPr>
          <w:rPr>
            <w:rFonts w:ascii="Times New Roman" w:hAnsi="Times New Roman" w:cs="Times New Roman"/>
            <w:color w:val="000000"/>
          </w:rPr>
          <w:alias w:val="IvyCite--1901968063"/>
          <w:tag w:val="IvyCite"/>
          <w:id w:val="-1901968063"/>
          <w:placeholder>
            <w:docPart w:val="DefaultPlaceholder_-1854013440"/>
          </w:placeholder>
          <w15:color w:val="83C900"/>
        </w:sdtPr>
        <w:sdtEndPr/>
        <w:sdtContent>
          <w:r w:rsidR="00964205" w:rsidRPr="003B3F88">
            <w:rPr>
              <w:rFonts w:ascii="Times New Roman" w:eastAsia="Times New Roman" w:hAnsi="Times New Roman" w:cs="Times New Roman"/>
              <w:color w:val="000000"/>
            </w:rPr>
            <w:t>(Mascagni et al., 2021)</w:t>
          </w:r>
        </w:sdtContent>
      </w:sdt>
      <w:r w:rsidRPr="003B3F88">
        <w:rPr>
          <w:rFonts w:ascii="Times New Roman" w:hAnsi="Times New Roman" w:cs="Times New Roman"/>
        </w:rPr>
        <w:t xml:space="preserve"> found that while EBMs increased reported sales, businesses responded by artificially inflating their costs to offset the tax liability, muting the net revenue gain. Similarly, </w:t>
      </w:r>
      <w:sdt>
        <w:sdtPr>
          <w:rPr>
            <w:rFonts w:ascii="Times New Roman" w:hAnsi="Times New Roman" w:cs="Times New Roman"/>
            <w:color w:val="000000"/>
          </w:rPr>
          <w:alias w:val="IvyCite-179329117"/>
          <w:tag w:val="IvyCite"/>
          <w:id w:val="179329117"/>
          <w:placeholder>
            <w:docPart w:val="DefaultPlaceholder_-1854013440"/>
          </w:placeholder>
          <w15:color w:val="83C900"/>
        </w:sdtPr>
        <w:sdtEndPr/>
        <w:sdtContent>
          <w:r w:rsidR="00964205" w:rsidRPr="003B3F88">
            <w:rPr>
              <w:rFonts w:ascii="Times New Roman" w:eastAsia="Times New Roman" w:hAnsi="Times New Roman" w:cs="Times New Roman"/>
              <w:color w:val="000000"/>
            </w:rPr>
            <w:t>(Adu et al., 2019)</w:t>
          </w:r>
        </w:sdtContent>
      </w:sdt>
      <w:r w:rsidRPr="003B3F88">
        <w:rPr>
          <w:rFonts w:ascii="Times New Roman" w:hAnsi="Times New Roman" w:cs="Times New Roman"/>
        </w:rPr>
        <w:t xml:space="preserve"> in Ghana found that technology is often undermined by “human interference” and sabotage by officials who lose bribe opportunities, suggesting that without cultural change, tech is ineffective. </w:t>
      </w:r>
      <w:sdt>
        <w:sdtPr>
          <w:rPr>
            <w:rFonts w:ascii="Times New Roman" w:hAnsi="Times New Roman" w:cs="Times New Roman"/>
            <w:color w:val="000000"/>
          </w:rPr>
          <w:alias w:val="IvyCite--1695910810"/>
          <w:tag w:val="IvyCite"/>
          <w:id w:val="-1695910810"/>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Pr="003B3F88">
        <w:rPr>
          <w:rFonts w:ascii="Times New Roman" w:hAnsi="Times New Roman" w:cs="Times New Roman"/>
        </w:rPr>
        <w:t xml:space="preserve"> explicitly tested the variable of “land area” in Kenya and found it to be statistically insignificant for revenue mobilization. This challenges the administrative assumption that larger counties have a broader rateable base. In contrast to the </w:t>
      </w:r>
      <w:r w:rsidRPr="003B3F88">
        <w:rPr>
          <w:rFonts w:ascii="Times New Roman" w:hAnsi="Times New Roman" w:cs="Times New Roman"/>
        </w:rPr>
        <w:lastRenderedPageBreak/>
        <w:t xml:space="preserve">land argument, </w:t>
      </w:r>
      <w:sdt>
        <w:sdtPr>
          <w:rPr>
            <w:rFonts w:ascii="Times New Roman" w:hAnsi="Times New Roman" w:cs="Times New Roman"/>
          </w:rPr>
          <w:alias w:val="IvyCite-876581688"/>
          <w:tag w:val="IvyCite"/>
          <w:id w:val="876581688"/>
          <w:placeholder>
            <w:docPart w:val="DefaultPlaceholder_-1854013440"/>
          </w:placeholder>
          <w15:color w:val="83C900"/>
        </w:sdtPr>
        <w:sdtEndPr/>
        <w:sdtContent>
          <w:r w:rsidR="00446766" w:rsidRPr="003B3F88">
            <w:rPr>
              <w:rFonts w:ascii="Times New Roman" w:hAnsi="Times New Roman" w:cs="Times New Roman"/>
            </w:rPr>
            <w:t>(</w:t>
          </w:r>
          <w:proofErr w:type="spellStart"/>
          <w:r w:rsidR="00446766" w:rsidRPr="003B3F88">
            <w:rPr>
              <w:rFonts w:ascii="Times New Roman" w:hAnsi="Times New Roman" w:cs="Times New Roman"/>
            </w:rPr>
            <w:t>Nyanjom</w:t>
          </w:r>
          <w:proofErr w:type="spellEnd"/>
          <w:r w:rsidR="00446766" w:rsidRPr="003B3F88">
            <w:rPr>
              <w:rFonts w:ascii="Times New Roman" w:hAnsi="Times New Roman" w:cs="Times New Roman"/>
            </w:rPr>
            <w:t>, 2014)</w:t>
          </w:r>
        </w:sdtContent>
      </w:sdt>
      <w:r w:rsidRPr="003B3F88">
        <w:rPr>
          <w:rFonts w:ascii="Times New Roman" w:hAnsi="Times New Roman" w:cs="Times New Roman"/>
        </w:rPr>
        <w:t xml:space="preserve"> and </w:t>
      </w:r>
      <w:sdt>
        <w:sdtPr>
          <w:rPr>
            <w:rFonts w:ascii="Times New Roman" w:hAnsi="Times New Roman" w:cs="Times New Roman"/>
            <w:color w:val="000000"/>
          </w:rPr>
          <w:alias w:val="IvyCite-2098438094"/>
          <w:tag w:val="IvyCite"/>
          <w:id w:val="2098438094"/>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(Onyango et al., 2015)</w:t>
          </w:r>
        </w:sdtContent>
      </w:sdt>
      <w:r w:rsidRPr="003B3F88">
        <w:rPr>
          <w:rFonts w:ascii="Times New Roman" w:hAnsi="Times New Roman" w:cs="Times New Roman"/>
        </w:rPr>
        <w:t xml:space="preserve"> emphasize that urbanization and population density are the only true structural predictors of fiscal health. </w:t>
      </w:r>
    </w:p>
    <w:p w14:paraId="1A571B77" w14:textId="67A15DE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This divergence suggests that revenue policies based on “territorial size” (often used in allocation formulas) may be fundamentally flawed compared to those based on economic density</w:t>
      </w:r>
      <w:r w:rsidR="00192472">
        <w:rPr>
          <w:rFonts w:ascii="Times New Roman" w:hAnsi="Times New Roman" w:cs="Times New Roman"/>
        </w:rPr>
        <w:t xml:space="preserve"> creating a geographical literature gap.</w:t>
      </w:r>
      <w:r w:rsidRPr="003B3F88">
        <w:rPr>
          <w:rFonts w:ascii="Times New Roman" w:hAnsi="Times New Roman" w:cs="Times New Roman"/>
        </w:rPr>
        <w:t xml:space="preserve"> While </w:t>
      </w:r>
      <w:r w:rsidR="00192472">
        <w:rPr>
          <w:rFonts w:ascii="Times New Roman" w:hAnsi="Times New Roman" w:cs="Times New Roman"/>
        </w:rPr>
        <w:t>e</w:t>
      </w:r>
      <w:r w:rsidRPr="003B3F88">
        <w:rPr>
          <w:rFonts w:ascii="Times New Roman" w:hAnsi="Times New Roman" w:cs="Times New Roman"/>
        </w:rPr>
        <w:t xml:space="preserve">nforcement strategies significantly relate to OSR growth </w:t>
      </w:r>
      <w:sdt>
        <w:sdtPr>
          <w:rPr>
            <w:rFonts w:ascii="Times New Roman" w:hAnsi="Times New Roman" w:cs="Times New Roman"/>
            <w:color w:val="000000"/>
          </w:rPr>
          <w:alias w:val="IvyCite--995097104"/>
          <w:tag w:val="IvyCite"/>
          <w:id w:val="-995097104"/>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187259081"/>
          <w:tag w:val="IvyCite"/>
          <w:id w:val="1187259081"/>
          <w:placeholder>
            <w:docPart w:val="DefaultPlaceholder_-1854013440"/>
          </w:placeholder>
          <w15:color w:val="83C900"/>
        </w:sdtPr>
        <w:sdtEndPr/>
        <w:sdtContent>
          <w:r w:rsidR="00211E4E" w:rsidRPr="003B3F88">
            <w:rPr>
              <w:rFonts w:ascii="Times New Roman" w:eastAsia="Times New Roman" w:hAnsi="Times New Roman" w:cs="Times New Roman"/>
              <w:color w:val="000000"/>
            </w:rPr>
            <w:t>(Munguti et al., 2022)</w:t>
          </w:r>
        </w:sdtContent>
      </w:sdt>
      <w:r w:rsidRPr="003B3F88">
        <w:rPr>
          <w:rFonts w:ascii="Times New Roman" w:hAnsi="Times New Roman" w:cs="Times New Roman"/>
        </w:rPr>
        <w:t xml:space="preserve">, aggressive enforcement can marginalize informal-sector or low-capacity taxpayers </w:t>
      </w:r>
      <w:sdt>
        <w:sdtPr>
          <w:rPr>
            <w:rFonts w:ascii="Times New Roman" w:hAnsi="Times New Roman" w:cs="Times New Roman"/>
            <w:color w:val="000000"/>
          </w:rPr>
          <w:alias w:val="IvyCite--330289372"/>
          <w:tag w:val="IvyCite"/>
          <w:id w:val="-330289372"/>
          <w:placeholder>
            <w:docPart w:val="DefaultPlaceholder_-1854013440"/>
          </w:placeholder>
          <w15:color w:val="83C900"/>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w:t>
      </w:r>
      <w:sdt>
        <w:sdtPr>
          <w:rPr>
            <w:rFonts w:ascii="Times New Roman" w:hAnsi="Times New Roman" w:cs="Times New Roman"/>
            <w:color w:val="000000"/>
          </w:rPr>
          <w:alias w:val="IvyCite-378824374"/>
          <w:tag w:val="IvyCite"/>
          <w:id w:val="378824374"/>
          <w:placeholder>
            <w:docPart w:val="DefaultPlaceholder_-1854013440"/>
          </w:placeholder>
          <w15:color w:val="83C900"/>
        </w:sdtPr>
        <w:sdtEndPr/>
        <w:sdtContent>
          <w:r w:rsidR="00211E4E" w:rsidRPr="003B3F88">
            <w:rPr>
              <w:rFonts w:ascii="Times New Roman" w:eastAsia="Times New Roman" w:hAnsi="Times New Roman" w:cs="Times New Roman"/>
              <w:color w:val="000000"/>
            </w:rPr>
            <w:t>(Munguti et al., 2022)</w:t>
          </w:r>
        </w:sdtContent>
      </w:sdt>
      <w:r w:rsidRPr="003B3F88">
        <w:rPr>
          <w:rFonts w:ascii="Times New Roman" w:hAnsi="Times New Roman" w:cs="Times New Roman"/>
        </w:rPr>
        <w:t>.</w:t>
      </w:r>
    </w:p>
    <w:p w14:paraId="1A571B78" w14:textId="389F6C31" w:rsidR="00D23D6D" w:rsidRDefault="007C0BF0" w:rsidP="00C00B03">
      <w:pPr>
        <w:pStyle w:val="Heading1"/>
        <w:spacing w:line="480" w:lineRule="auto"/>
        <w:rPr>
          <w:rFonts w:cs="Times New Roman"/>
        </w:rPr>
      </w:pPr>
      <w:bookmarkStart w:id="4" w:name="data-methodology"/>
      <w:bookmarkEnd w:id="3"/>
      <w:r>
        <w:rPr>
          <w:rFonts w:cs="Times New Roman"/>
        </w:rPr>
        <w:t>M</w:t>
      </w:r>
      <w:r w:rsidR="00B617FA" w:rsidRPr="003B3F88">
        <w:rPr>
          <w:rFonts w:cs="Times New Roman"/>
        </w:rPr>
        <w:t>ethodology</w:t>
      </w:r>
      <w:r>
        <w:rPr>
          <w:rFonts w:cs="Times New Roman"/>
        </w:rPr>
        <w:t xml:space="preserve">: </w:t>
      </w:r>
    </w:p>
    <w:p w14:paraId="029FDBBE" w14:textId="3BBDE45F" w:rsidR="007C0BF0" w:rsidRPr="007C0BF0" w:rsidRDefault="007C0BF0" w:rsidP="007C0BF0">
      <w:pPr>
        <w:pStyle w:val="BodyText"/>
      </w:pPr>
      <w:r w:rsidRPr="007C0BF0">
        <w:t>This study</w:t>
      </w:r>
      <w:r>
        <w:t xml:space="preserve"> </w:t>
      </w:r>
      <w:r w:rsidRPr="007C0BF0">
        <w:t>examines the relationship between OSR and household scale, livestock-related economic activity and fishing using cross-sectional data from the 2019 Kenya population and housing census and the commission on revenue allocation (CRA).</w:t>
      </w:r>
      <w:bookmarkStart w:id="5" w:name="causal-analysis"/>
      <w:r>
        <w:t xml:space="preserve"> It is </w:t>
      </w:r>
      <w:r w:rsidRPr="003B3F88">
        <w:rPr>
          <w:rFonts w:ascii="Times New Roman" w:hAnsi="Times New Roman" w:cs="Times New Roman"/>
        </w:rPr>
        <w:t>employs an ordinary least squares (OLS) regression framework to examine the determinants of OSR. The dependent variable is OSR, and the primary explanatory variables are the number of households, livestock, and fishing activity. To improve model fit and address potential skewness, the analysis is conducted using a log-linear specification of OSR.</w:t>
      </w:r>
    </w:p>
    <w:p w14:paraId="49BDC47E" w14:textId="77777777" w:rsidR="007C0BF0" w:rsidRPr="00192472" w:rsidRDefault="007C0BF0" w:rsidP="007C0BF0">
      <w:pPr>
        <w:pStyle w:val="Heading2"/>
      </w:pPr>
      <w:bookmarkStart w:id="6" w:name="model-specification"/>
      <w:bookmarkEnd w:id="5"/>
      <w:r w:rsidRPr="00192472">
        <w:t>Model specification</w:t>
      </w:r>
    </w:p>
    <w:p w14:paraId="1027DFA9" w14:textId="77777777" w:rsidR="007C0BF0" w:rsidRPr="003B3F88" w:rsidRDefault="007C0BF0" w:rsidP="007C0BF0">
      <w:pPr>
        <w:pStyle w:val="FirstParagraph"/>
        <w:spacing w:line="480" w:lineRule="auto"/>
        <w:rPr>
          <w:rFonts w:ascii="Times New Roman" w:hAnsi="Times New Roman" w:cs="Times New Roman"/>
        </w:rPr>
      </w:pPr>
      <w:r w:rsidRPr="003B3F88">
        <w:rPr>
          <w:rFonts w:ascii="Times New Roman" w:hAnsi="Times New Roman" w:cs="Times New Roman"/>
        </w:rPr>
        <w:t>The specified regression model is expressed as follows:</w:t>
      </w:r>
    </w:p>
    <w:p w14:paraId="64BBFE41" w14:textId="77777777" w:rsidR="007C0BF0" w:rsidRPr="003B3F88" w:rsidRDefault="007C0BF0" w:rsidP="007C0BF0">
      <w:pPr>
        <w:pStyle w:val="BodyText"/>
        <w:spacing w:line="480" w:lineRule="auto"/>
        <w:rPr>
          <w:rFonts w:ascii="Times New Roman" w:hAnsi="Times New Roman" w:cs="Times New Roman"/>
        </w:rPr>
      </w:pPr>
      <m:oMathPara>
        <m:oMathParaPr>
          <m:jc m:val="center"/>
        </m:oMathParaPr>
        <m:oMath>
          <m:r>
            <m:rPr>
              <m:sty m:val="p"/>
            </m:rPr>
            <w:rPr>
              <w:rFonts w:ascii="Cambria Math" w:hAnsi="Cambria Math" w:cs="Times New Roman"/>
            </w:rPr>
            <m:t>log</m:t>
          </m:r>
          <m:d>
            <m:dPr>
              <m:ctrlPr>
                <w:rPr>
                  <w:rFonts w:ascii="Cambria Math" w:hAnsi="Cambria Math" w:cs="Times New Roman"/>
                </w:rPr>
              </m:ctrlPr>
            </m:dPr>
            <m:e>
              <m:sSub>
                <m:sSubPr>
                  <m:ctrlPr>
                    <w:rPr>
                      <w:rFonts w:ascii="Cambria Math" w:hAnsi="Cambria Math" w:cs="Times New Roman"/>
                    </w:rPr>
                  </m:ctrlPr>
                </m:sSubPr>
                <m:e>
                  <m:r>
                    <m:rPr>
                      <m:nor/>
                    </m:rPr>
                    <w:rPr>
                      <w:rFonts w:ascii="Times New Roman" w:hAnsi="Times New Roman" w:cs="Times New Roman"/>
                    </w:rPr>
                    <m:t>OSR</m:t>
                  </m:r>
                </m:e>
                <m:sub>
                  <m:r>
                    <w:rPr>
                      <w:rFonts w:ascii="Cambria Math" w:hAnsi="Cambria Math" w:cs="Times New Roman"/>
                    </w:rPr>
                    <m:t>i</m:t>
                  </m:r>
                </m:sub>
              </m:sSub>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 </m:t>
          </m:r>
          <m:sSub>
            <m:sSubPr>
              <m:ctrlPr>
                <w:rPr>
                  <w:rFonts w:ascii="Cambria Math" w:hAnsi="Cambria Math" w:cs="Times New Roman"/>
                </w:rPr>
              </m:ctrlPr>
            </m:sSubPr>
            <m:e>
              <m:r>
                <m:rPr>
                  <m:nor/>
                </m:rPr>
                <w:rPr>
                  <w:rFonts w:ascii="Times New Roman" w:hAnsi="Times New Roman" w:cs="Times New Roman"/>
                </w:rPr>
                <m:t>HOUSEHOLDS</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 </m:t>
          </m:r>
          <m:sSub>
            <m:sSubPr>
              <m:ctrlPr>
                <w:rPr>
                  <w:rFonts w:ascii="Cambria Math" w:hAnsi="Cambria Math" w:cs="Times New Roman"/>
                </w:rPr>
              </m:ctrlPr>
            </m:sSubPr>
            <m:e>
              <m:r>
                <m:rPr>
                  <m:nor/>
                </m:rPr>
                <w:rPr>
                  <w:rFonts w:ascii="Times New Roman" w:hAnsi="Times New Roman" w:cs="Times New Roman"/>
                </w:rPr>
                <m:t>LIVESTOCK</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 </m:t>
          </m:r>
          <m:sSub>
            <m:sSubPr>
              <m:ctrlPr>
                <w:rPr>
                  <w:rFonts w:ascii="Cambria Math" w:hAnsi="Cambria Math" w:cs="Times New Roman"/>
                </w:rPr>
              </m:ctrlPr>
            </m:sSubPr>
            <m:e>
              <m:r>
                <m:rPr>
                  <m:nor/>
                </m:rPr>
                <w:rPr>
                  <w:rFonts w:ascii="Times New Roman" w:hAnsi="Times New Roman" w:cs="Times New Roman"/>
                </w:rPr>
                <m:t>FISHING</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m:t>
              </m:r>
            </m:sub>
          </m:sSub>
        </m:oMath>
      </m:oMathPara>
    </w:p>
    <w:p w14:paraId="1B15F5BB" w14:textId="77777777" w:rsidR="007C0BF0" w:rsidRPr="003B3F88" w:rsidRDefault="007C0BF0" w:rsidP="007C0BF0">
      <w:pPr>
        <w:pStyle w:val="FirstParagraph"/>
        <w:spacing w:line="480" w:lineRule="auto"/>
        <w:rPr>
          <w:rFonts w:ascii="Times New Roman" w:hAnsi="Times New Roman" w:cs="Times New Roman"/>
        </w:rPr>
      </w:pPr>
      <w:r w:rsidRPr="003B3F88">
        <w:rPr>
          <w:rFonts w:ascii="Times New Roman" w:hAnsi="Times New Roman" w:cs="Times New Roman"/>
        </w:rPr>
        <w:t xml:space="preserve">where: * </w:t>
      </w:r>
      <m:oMath>
        <m:r>
          <m:rPr>
            <m:sty m:val="p"/>
          </m:rPr>
          <w:rPr>
            <w:rFonts w:ascii="Cambria Math" w:hAnsi="Cambria Math" w:cs="Times New Roman"/>
          </w:rPr>
          <m:t>log</m:t>
        </m:r>
        <m:d>
          <m:dPr>
            <m:ctrlPr>
              <w:rPr>
                <w:rFonts w:ascii="Cambria Math" w:hAnsi="Cambria Math" w:cs="Times New Roman"/>
              </w:rPr>
            </m:ctrlPr>
          </m:dPr>
          <m:e>
            <m:sSub>
              <m:sSubPr>
                <m:ctrlPr>
                  <w:rPr>
                    <w:rFonts w:ascii="Cambria Math" w:hAnsi="Cambria Math" w:cs="Times New Roman"/>
                  </w:rPr>
                </m:ctrlPr>
              </m:sSubPr>
              <m:e>
                <m:r>
                  <m:rPr>
                    <m:nor/>
                  </m:rPr>
                  <w:rPr>
                    <w:rFonts w:ascii="Times New Roman" w:hAnsi="Times New Roman" w:cs="Times New Roman"/>
                  </w:rPr>
                  <m:t>OSR</m:t>
                </m:r>
              </m:e>
              <m:sub>
                <m:r>
                  <w:rPr>
                    <w:rFonts w:ascii="Cambria Math" w:hAnsi="Cambria Math" w:cs="Times New Roman"/>
                  </w:rPr>
                  <m:t>i</m:t>
                </m:r>
              </m:sub>
            </m:sSub>
          </m:e>
        </m:d>
      </m:oMath>
      <w:r w:rsidRPr="003B3F88">
        <w:rPr>
          <w:rFonts w:ascii="Times New Roman" w:hAnsi="Times New Roman" w:cs="Times New Roman"/>
        </w:rPr>
        <w:t xml:space="preserve"> represents the natural logarithm of Own Source Revenue for county </w:t>
      </w:r>
      <m:oMath>
        <m:r>
          <w:rPr>
            <w:rFonts w:ascii="Cambria Math" w:hAnsi="Cambria Math" w:cs="Times New Roman"/>
          </w:rPr>
          <m:t>i</m:t>
        </m:r>
      </m:oMath>
      <w:r w:rsidRPr="003B3F88">
        <w:rPr>
          <w:rFonts w:ascii="Times New Roman" w:hAnsi="Times New Roman" w:cs="Times New Roman"/>
        </w:rPr>
        <w:t xml:space="preserve">. *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oMath>
      <w:r w:rsidRPr="003B3F88">
        <w:rPr>
          <w:rFonts w:ascii="Times New Roman" w:hAnsi="Times New Roman" w:cs="Times New Roman"/>
        </w:rPr>
        <w:t xml:space="preserve"> is the intercept (constant). *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m:rPr>
            <m:sty m:val="p"/>
          </m:rPr>
          <w:rPr>
            <w:rFonts w:ascii="Cambria Math" w:hAnsi="Cambria Math" w:cs="Times New Roman"/>
          </w:rPr>
          <m:t>,</m:t>
        </m:r>
        <m:r>
          <m:rPr>
            <m:nor/>
          </m:rPr>
          <w:rPr>
            <w:rFonts w:ascii="Times New Roman" w:hAnsi="Times New Roman" w:cs="Times New Roman"/>
          </w:rPr>
          <m:t xml:space="preserve">and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oMath>
      <w:r w:rsidRPr="003B3F88">
        <w:rPr>
          <w:rFonts w:ascii="Times New Roman" w:hAnsi="Times New Roman" w:cs="Times New Roman"/>
        </w:rPr>
        <w:t xml:space="preserve"> are the coefficients estimating the effect of Households, Livestock, and Fishing, respectively. * </w:t>
      </w: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m:t>
            </m:r>
          </m:sub>
        </m:sSub>
      </m:oMath>
      <w:r w:rsidRPr="003B3F88">
        <w:rPr>
          <w:rFonts w:ascii="Times New Roman" w:hAnsi="Times New Roman" w:cs="Times New Roman"/>
        </w:rPr>
        <w:t xml:space="preserve"> is the error term assumed to be normally distributed.</w:t>
      </w:r>
    </w:p>
    <w:p w14:paraId="3480D2E9" w14:textId="77777777" w:rsidR="007C0BF0" w:rsidRPr="003B3F88" w:rsidRDefault="007C0BF0" w:rsidP="007C0BF0">
      <w:pPr>
        <w:pStyle w:val="BodyText"/>
        <w:spacing w:line="480" w:lineRule="auto"/>
        <w:rPr>
          <w:rFonts w:ascii="Times New Roman" w:hAnsi="Times New Roman" w:cs="Times New Roman"/>
        </w:rPr>
      </w:pPr>
      <w:r w:rsidRPr="003B3F88">
        <w:rPr>
          <w:rFonts w:ascii="Times New Roman" w:hAnsi="Times New Roman" w:cs="Times New Roman"/>
        </w:rPr>
        <w:t xml:space="preserve">Model estimation is carried out using OLS. Standard diagnostic tests are performed to assess the validity of the classical linear regression assumptions, including tests for normality of residuals (Shapiro–Wilk), homoscedasticity (Breusch–Pagan), and serial correlation (Durbin–Watson and </w:t>
      </w:r>
      <w:r w:rsidRPr="003B3F88">
        <w:rPr>
          <w:rFonts w:ascii="Times New Roman" w:hAnsi="Times New Roman" w:cs="Times New Roman"/>
        </w:rPr>
        <w:lastRenderedPageBreak/>
        <w:t>Breusch–Godfrey). The results indicate that the model satisfies the key OLS assumptions, supporting the reliability of statistical inference.</w:t>
      </w:r>
    </w:p>
    <w:bookmarkEnd w:id="6"/>
    <w:p w14:paraId="464F572F" w14:textId="28A5AE04" w:rsidR="007C0BF0" w:rsidRPr="007C0BF0" w:rsidRDefault="007C0BF0" w:rsidP="007C0BF0">
      <w:pPr>
        <w:pStyle w:val="BodyText"/>
        <w:rPr>
          <w:b/>
          <w:sz w:val="32"/>
        </w:rPr>
      </w:pPr>
      <w:r w:rsidRPr="007C0BF0">
        <w:rPr>
          <w:b/>
          <w:sz w:val="32"/>
        </w:rPr>
        <w:t>Result and Discussion</w:t>
      </w:r>
    </w:p>
    <w:p w14:paraId="1A571B79" w14:textId="77777777" w:rsidR="00D23D6D" w:rsidRPr="003B3F88" w:rsidRDefault="00B617FA" w:rsidP="00192472">
      <w:pPr>
        <w:pStyle w:val="Heading2"/>
      </w:pPr>
      <w:bookmarkStart w:id="7" w:name="descriptive-analysis"/>
      <w:r w:rsidRPr="003B3F88">
        <w:t>Descriptive Analysis</w:t>
      </w:r>
    </w:p>
    <w:p w14:paraId="1A571B7A" w14:textId="59462952" w:rsidR="00D23D6D" w:rsidRPr="003B3F88" w:rsidRDefault="00186D7A" w:rsidP="00C00B03">
      <w:pPr>
        <w:pStyle w:val="FirstParagraph"/>
        <w:spacing w:line="48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REF _Ref220949984 \h </w:instrText>
      </w:r>
      <w:r>
        <w:rPr>
          <w:rFonts w:ascii="Times New Roman" w:hAnsi="Times New Roman" w:cs="Times New Roman"/>
        </w:rPr>
      </w:r>
      <w:r>
        <w:rPr>
          <w:rFonts w:ascii="Times New Roman" w:hAnsi="Times New Roman" w:cs="Times New Roman"/>
        </w:rPr>
        <w:fldChar w:fldCharType="separate"/>
      </w:r>
      <w:r>
        <w:t xml:space="preserve">Table </w:t>
      </w:r>
      <w:r>
        <w:rPr>
          <w:noProof/>
        </w:rPr>
        <w:t>1</w:t>
      </w:r>
      <w:r>
        <w:rPr>
          <w:rFonts w:ascii="Times New Roman" w:hAnsi="Times New Roman" w:cs="Times New Roman"/>
        </w:rPr>
        <w:fldChar w:fldCharType="end"/>
      </w:r>
      <w:r>
        <w:rPr>
          <w:rFonts w:ascii="Times New Roman" w:hAnsi="Times New Roman" w:cs="Times New Roman"/>
        </w:rPr>
        <w:t xml:space="preserve"> </w:t>
      </w:r>
      <w:r w:rsidR="00B617FA" w:rsidRPr="003B3F88">
        <w:rPr>
          <w:rFonts w:ascii="Times New Roman" w:hAnsi="Times New Roman" w:cs="Times New Roman"/>
        </w:rPr>
        <w:t>below presents the descriptive statistics for OSR and the key explanatory variables used in the regression analysis.</w:t>
      </w:r>
    </w:p>
    <w:p w14:paraId="1A571B7B" w14:textId="05C5107B" w:rsidR="00D23D6D" w:rsidRPr="00186D7A" w:rsidRDefault="00186D7A" w:rsidP="00186D7A">
      <w:pPr>
        <w:pStyle w:val="Caption"/>
        <w:keepNext/>
        <w:jc w:val="center"/>
      </w:pPr>
      <w:bookmarkStart w:id="8" w:name="_Ref220949984"/>
      <w:bookmarkStart w:id="9" w:name="_Ref220949915"/>
      <w:r>
        <w:t xml:space="preserve">Table </w:t>
      </w:r>
      <w:r w:rsidR="00464A48">
        <w:fldChar w:fldCharType="begin"/>
      </w:r>
      <w:r w:rsidR="00464A48">
        <w:instrText xml:space="preserve"> SEQ Table \* ARABIC </w:instrText>
      </w:r>
      <w:r w:rsidR="00464A48">
        <w:fldChar w:fldCharType="separate"/>
      </w:r>
      <w:r>
        <w:rPr>
          <w:noProof/>
        </w:rPr>
        <w:t>1</w:t>
      </w:r>
      <w:r w:rsidR="00464A48">
        <w:rPr>
          <w:noProof/>
        </w:rPr>
        <w:fldChar w:fldCharType="end"/>
      </w:r>
      <w:bookmarkEnd w:id="8"/>
      <w:r>
        <w:t xml:space="preserve">: </w:t>
      </w:r>
      <w:r w:rsidR="00B617FA" w:rsidRPr="003B3F88">
        <w:rPr>
          <w:rFonts w:ascii="Times New Roman" w:hAnsi="Times New Roman" w:cs="Times New Roman"/>
        </w:rPr>
        <w:t>Descriptive Statistics (OSR Model Variables)</w:t>
      </w:r>
      <w:bookmarkEnd w:id="9"/>
    </w:p>
    <w:tbl>
      <w:tblPr>
        <w:tblStyle w:val="Table"/>
        <w:tblW w:w="0" w:type="auto"/>
        <w:jc w:val="center"/>
        <w:tblLayout w:type="fixed"/>
        <w:tblLook w:val="0420" w:firstRow="1" w:lastRow="0" w:firstColumn="0" w:lastColumn="0" w:noHBand="0" w:noVBand="1"/>
      </w:tblPr>
      <w:tblGrid>
        <w:gridCol w:w="1573"/>
        <w:gridCol w:w="1940"/>
        <w:gridCol w:w="2123"/>
        <w:gridCol w:w="1818"/>
        <w:gridCol w:w="2246"/>
      </w:tblGrid>
      <w:tr w:rsidR="00D23D6D" w:rsidRPr="003B3F88" w14:paraId="1A571B7D" w14:textId="77777777" w:rsidTr="00D23D6D">
        <w:trPr>
          <w:cnfStyle w:val="100000000000" w:firstRow="1" w:lastRow="0" w:firstColumn="0" w:lastColumn="0" w:oddVBand="0" w:evenVBand="0" w:oddHBand="0" w:evenHBand="0" w:firstRowFirstColumn="0" w:firstRowLastColumn="0" w:lastRowFirstColumn="0" w:lastRowLastColumn="0"/>
          <w:tblHeader/>
          <w:jc w:val="center"/>
        </w:trPr>
        <w:tc>
          <w:tcPr>
            <w:tcW w:w="9700" w:type="dxa"/>
            <w:gridSpan w:val="5"/>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7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Summary Statistics</w:t>
            </w:r>
          </w:p>
        </w:tc>
      </w:tr>
      <w:tr w:rsidR="00D23D6D" w:rsidRPr="003B3F88" w14:paraId="1A571B83" w14:textId="77777777" w:rsidTr="00D23D6D">
        <w:trPr>
          <w:cnfStyle w:val="100000000000" w:firstRow="1" w:lastRow="0" w:firstColumn="0" w:lastColumn="0" w:oddVBand="0" w:evenVBand="0" w:oddHBand="0" w:evenHBand="0" w:firstRowFirstColumn="0" w:firstRowLastColumn="0" w:lastRowFirstColumn="0" w:lastRowLastColumn="0"/>
          <w:tblHeader/>
          <w:jc w:val="center"/>
        </w:trPr>
        <w:tc>
          <w:tcPr>
            <w:tcW w:w="1573"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7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Variable</w:t>
            </w:r>
          </w:p>
        </w:tc>
        <w:tc>
          <w:tcPr>
            <w:tcW w:w="1940"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7F"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Mean</w:t>
            </w:r>
          </w:p>
        </w:tc>
        <w:tc>
          <w:tcPr>
            <w:tcW w:w="2123"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8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Std. Dev.</w:t>
            </w:r>
          </w:p>
        </w:tc>
        <w:tc>
          <w:tcPr>
            <w:tcW w:w="1818"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81"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Min</w:t>
            </w:r>
          </w:p>
        </w:tc>
        <w:tc>
          <w:tcPr>
            <w:tcW w:w="2246"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8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Max</w:t>
            </w:r>
          </w:p>
        </w:tc>
      </w:tr>
      <w:tr w:rsidR="00D23D6D" w:rsidRPr="003B3F88" w14:paraId="1A571B89" w14:textId="77777777" w:rsidTr="00D23D6D">
        <w:trPr>
          <w:jc w:val="center"/>
        </w:trPr>
        <w:tc>
          <w:tcPr>
            <w:tcW w:w="15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OSR</w:t>
            </w:r>
          </w:p>
        </w:tc>
        <w:tc>
          <w:tcPr>
            <w:tcW w:w="19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5"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857,549,641.32</w:t>
            </w:r>
          </w:p>
        </w:tc>
        <w:tc>
          <w:tcPr>
            <w:tcW w:w="212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1,624,197,058.62</w:t>
            </w:r>
          </w:p>
        </w:tc>
        <w:tc>
          <w:tcPr>
            <w:tcW w:w="181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60,123,112.00</w:t>
            </w:r>
          </w:p>
        </w:tc>
        <w:tc>
          <w:tcPr>
            <w:tcW w:w="224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8"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10,248,425,385.00</w:t>
            </w:r>
          </w:p>
        </w:tc>
      </w:tr>
      <w:tr w:rsidR="00D23D6D" w:rsidRPr="003B3F88" w14:paraId="1A571B8F" w14:textId="77777777" w:rsidTr="00D23D6D">
        <w:trPr>
          <w:jc w:val="center"/>
        </w:trPr>
        <w:tc>
          <w:tcPr>
            <w:tcW w:w="15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Households</w:t>
            </w:r>
          </w:p>
        </w:tc>
        <w:tc>
          <w:tcPr>
            <w:tcW w:w="1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258,381.13</w:t>
            </w:r>
          </w:p>
        </w:tc>
        <w:tc>
          <w:tcPr>
            <w:tcW w:w="21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234,455.19</w:t>
            </w:r>
          </w:p>
        </w:tc>
        <w:tc>
          <w:tcPr>
            <w:tcW w:w="18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37,963.00</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1,506,888.00</w:t>
            </w:r>
          </w:p>
        </w:tc>
      </w:tr>
      <w:tr w:rsidR="00D23D6D" w:rsidRPr="003B3F88" w14:paraId="1A571B95" w14:textId="77777777" w:rsidTr="00D23D6D">
        <w:trPr>
          <w:jc w:val="center"/>
        </w:trPr>
        <w:tc>
          <w:tcPr>
            <w:tcW w:w="15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9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Livestock</w:t>
            </w:r>
          </w:p>
        </w:tc>
        <w:tc>
          <w:tcPr>
            <w:tcW w:w="1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91"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100,623.15</w:t>
            </w:r>
          </w:p>
        </w:tc>
        <w:tc>
          <w:tcPr>
            <w:tcW w:w="21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9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54,339.14</w:t>
            </w:r>
          </w:p>
        </w:tc>
        <w:tc>
          <w:tcPr>
            <w:tcW w:w="18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93"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8,749.00</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9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235,264.00</w:t>
            </w:r>
          </w:p>
        </w:tc>
      </w:tr>
      <w:tr w:rsidR="00D23D6D" w:rsidRPr="003B3F88" w14:paraId="1A571B9B" w14:textId="77777777" w:rsidTr="00D23D6D">
        <w:trPr>
          <w:jc w:val="center"/>
        </w:trPr>
        <w:tc>
          <w:tcPr>
            <w:tcW w:w="15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9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Fishing</w:t>
            </w:r>
          </w:p>
        </w:tc>
        <w:tc>
          <w:tcPr>
            <w:tcW w:w="19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9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2,332.77</w:t>
            </w:r>
          </w:p>
        </w:tc>
        <w:tc>
          <w:tcPr>
            <w:tcW w:w="212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98"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3,281.02</w:t>
            </w:r>
          </w:p>
        </w:tc>
        <w:tc>
          <w:tcPr>
            <w:tcW w:w="181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99"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209.00</w:t>
            </w:r>
          </w:p>
        </w:tc>
        <w:tc>
          <w:tcPr>
            <w:tcW w:w="224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9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17,770.00</w:t>
            </w:r>
          </w:p>
        </w:tc>
      </w:tr>
    </w:tbl>
    <w:p w14:paraId="1A571B9C" w14:textId="7777777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The descriptive statistics reveal substantial cross-sectional heterogeneity in OSR, household scale, and specific agricultural sub-sectors. This variability supports the use of regression analysis to examine how differences in the number of households, livestock rearing, and fishing activity are associated with variations in OSR across units.</w:t>
      </w:r>
    </w:p>
    <w:p w14:paraId="1A571B9D" w14:textId="77777777" w:rsidR="00D23D6D" w:rsidRPr="003B3F88" w:rsidRDefault="00B617FA" w:rsidP="004366A8">
      <w:pPr>
        <w:pStyle w:val="Heading2"/>
      </w:pPr>
      <w:bookmarkStart w:id="10" w:name="correlation-analysis"/>
      <w:bookmarkEnd w:id="7"/>
      <w:r w:rsidRPr="003B3F88">
        <w:t>Correlation Analysis</w:t>
      </w:r>
    </w:p>
    <w:p w14:paraId="1A571B9E" w14:textId="21FD8457" w:rsidR="00D23D6D" w:rsidRPr="00186D7A" w:rsidRDefault="00186D7A" w:rsidP="00186D7A">
      <w:pPr>
        <w:pStyle w:val="Caption"/>
        <w:keepNext/>
        <w:jc w:val="center"/>
      </w:pPr>
      <w:r>
        <w:t xml:space="preserve">Table </w:t>
      </w:r>
      <w:r w:rsidR="00464A48">
        <w:fldChar w:fldCharType="begin"/>
      </w:r>
      <w:r w:rsidR="00464A48">
        <w:instrText xml:space="preserve"> SEQ Table \* ARABIC </w:instrText>
      </w:r>
      <w:r w:rsidR="00464A48">
        <w:fldChar w:fldCharType="separate"/>
      </w:r>
      <w:r>
        <w:rPr>
          <w:noProof/>
        </w:rPr>
        <w:t>2</w:t>
      </w:r>
      <w:r w:rsidR="00464A48">
        <w:rPr>
          <w:noProof/>
        </w:rPr>
        <w:fldChar w:fldCharType="end"/>
      </w:r>
      <w:r>
        <w:t xml:space="preserve">: </w:t>
      </w:r>
      <w:r w:rsidR="00B617FA" w:rsidRPr="003B3F88">
        <w:rPr>
          <w:rFonts w:ascii="Times New Roman" w:hAnsi="Times New Roman" w:cs="Times New Roman"/>
        </w:rPr>
        <w:t>Correlation Matrix of OSR Model Variables</w:t>
      </w:r>
    </w:p>
    <w:tbl>
      <w:tblPr>
        <w:tblStyle w:val="Table"/>
        <w:tblW w:w="0" w:type="auto"/>
        <w:jc w:val="center"/>
        <w:tblLayout w:type="fixed"/>
        <w:tblLook w:val="0420" w:firstRow="1" w:lastRow="0" w:firstColumn="0" w:lastColumn="0" w:noHBand="0" w:noVBand="1"/>
      </w:tblPr>
      <w:tblGrid>
        <w:gridCol w:w="1951"/>
        <w:gridCol w:w="1034"/>
        <w:gridCol w:w="1670"/>
        <w:gridCol w:w="1426"/>
        <w:gridCol w:w="1193"/>
      </w:tblGrid>
      <w:tr w:rsidR="00D23D6D" w:rsidRPr="003B3F88" w14:paraId="1A571BA0" w14:textId="77777777" w:rsidTr="00D23D6D">
        <w:trPr>
          <w:cnfStyle w:val="100000000000" w:firstRow="1" w:lastRow="0" w:firstColumn="0" w:lastColumn="0" w:oddVBand="0" w:evenVBand="0" w:oddHBand="0" w:evenHBand="0" w:firstRowFirstColumn="0" w:firstRowLastColumn="0" w:lastRowFirstColumn="0" w:lastRowLastColumn="0"/>
          <w:tblHeader/>
          <w:jc w:val="center"/>
        </w:trPr>
        <w:tc>
          <w:tcPr>
            <w:tcW w:w="7274" w:type="dxa"/>
            <w:gridSpan w:val="5"/>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9F"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Pairwise Correlation Coefficients</w:t>
            </w:r>
          </w:p>
        </w:tc>
      </w:tr>
      <w:tr w:rsidR="00D23D6D" w:rsidRPr="003B3F88" w14:paraId="1A571BA6" w14:textId="77777777" w:rsidTr="00D23D6D">
        <w:trPr>
          <w:cnfStyle w:val="100000000000" w:firstRow="1" w:lastRow="0" w:firstColumn="0" w:lastColumn="0" w:oddVBand="0" w:evenVBand="0" w:oddHBand="0" w:evenHBand="0" w:firstRowFirstColumn="0" w:firstRowLastColumn="0" w:lastRowFirstColumn="0" w:lastRowLastColumn="0"/>
          <w:tblHeader/>
          <w:jc w:val="center"/>
        </w:trPr>
        <w:tc>
          <w:tcPr>
            <w:tcW w:w="1951"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A1" w14:textId="77777777" w:rsidR="00D23D6D" w:rsidRPr="003B3F88" w:rsidRDefault="00D23D6D"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color w:val="FFFFFF"/>
              </w:rPr>
            </w:pPr>
          </w:p>
        </w:tc>
        <w:tc>
          <w:tcPr>
            <w:tcW w:w="1034"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A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OSR</w:t>
            </w:r>
          </w:p>
        </w:tc>
        <w:tc>
          <w:tcPr>
            <w:tcW w:w="1670"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A3"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Households</w:t>
            </w:r>
          </w:p>
        </w:tc>
        <w:tc>
          <w:tcPr>
            <w:tcW w:w="1426"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A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Livestock</w:t>
            </w:r>
          </w:p>
        </w:tc>
        <w:tc>
          <w:tcPr>
            <w:tcW w:w="1193"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A5"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Fishing</w:t>
            </w:r>
          </w:p>
        </w:tc>
      </w:tr>
      <w:tr w:rsidR="00D23D6D" w:rsidRPr="003B3F88" w14:paraId="1A571BAC" w14:textId="77777777" w:rsidTr="00D23D6D">
        <w:trPr>
          <w:jc w:val="center"/>
        </w:trPr>
        <w:tc>
          <w:tcPr>
            <w:tcW w:w="195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OSR</w:t>
            </w:r>
          </w:p>
        </w:tc>
        <w:tc>
          <w:tcPr>
            <w:tcW w:w="103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8"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1.000</w:t>
            </w:r>
          </w:p>
        </w:tc>
        <w:tc>
          <w:tcPr>
            <w:tcW w:w="16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9"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0.898</w:t>
            </w:r>
          </w:p>
        </w:tc>
        <w:tc>
          <w:tcPr>
            <w:tcW w:w="142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-0.055</w:t>
            </w:r>
          </w:p>
        </w:tc>
        <w:tc>
          <w:tcPr>
            <w:tcW w:w="119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-0.120</w:t>
            </w:r>
          </w:p>
        </w:tc>
      </w:tr>
      <w:tr w:rsidR="00D23D6D" w:rsidRPr="003B3F88" w14:paraId="1A571BB2" w14:textId="77777777" w:rsidTr="00D23D6D">
        <w:trPr>
          <w:jc w:val="center"/>
        </w:trPr>
        <w:tc>
          <w:tcPr>
            <w:tcW w:w="19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HOUSEHOLDS</w:t>
            </w:r>
          </w:p>
        </w:tc>
        <w:tc>
          <w:tcPr>
            <w:tcW w:w="10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0.898</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F"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1.000</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0.239</w:t>
            </w:r>
          </w:p>
        </w:tc>
        <w:tc>
          <w:tcPr>
            <w:tcW w:w="11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1"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0.010</w:t>
            </w:r>
          </w:p>
        </w:tc>
      </w:tr>
      <w:tr w:rsidR="00D23D6D" w:rsidRPr="003B3F88" w14:paraId="1A571BB8" w14:textId="77777777" w:rsidTr="00D23D6D">
        <w:trPr>
          <w:jc w:val="center"/>
        </w:trPr>
        <w:tc>
          <w:tcPr>
            <w:tcW w:w="19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3"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LIVESTOCK</w:t>
            </w:r>
          </w:p>
        </w:tc>
        <w:tc>
          <w:tcPr>
            <w:tcW w:w="10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-0.055</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5"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0.239</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1.000</w:t>
            </w:r>
          </w:p>
        </w:tc>
        <w:tc>
          <w:tcPr>
            <w:tcW w:w="11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0.145</w:t>
            </w:r>
          </w:p>
        </w:tc>
      </w:tr>
      <w:tr w:rsidR="00D23D6D" w:rsidRPr="003B3F88" w14:paraId="1A571BBE" w14:textId="77777777" w:rsidTr="00D23D6D">
        <w:trPr>
          <w:jc w:val="center"/>
        </w:trPr>
        <w:tc>
          <w:tcPr>
            <w:tcW w:w="195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B9"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FISHING</w:t>
            </w:r>
          </w:p>
        </w:tc>
        <w:tc>
          <w:tcPr>
            <w:tcW w:w="103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B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-0.120</w:t>
            </w:r>
          </w:p>
        </w:tc>
        <w:tc>
          <w:tcPr>
            <w:tcW w:w="16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B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0.010</w:t>
            </w:r>
          </w:p>
        </w:tc>
        <w:tc>
          <w:tcPr>
            <w:tcW w:w="142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B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0.145</w:t>
            </w:r>
          </w:p>
        </w:tc>
        <w:tc>
          <w:tcPr>
            <w:tcW w:w="119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B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1.000</w:t>
            </w:r>
          </w:p>
        </w:tc>
      </w:tr>
    </w:tbl>
    <w:p w14:paraId="1A571BBF" w14:textId="686FB509" w:rsidR="00D23D6D" w:rsidRDefault="00B617FA" w:rsidP="004366A8">
      <w:pPr>
        <w:pStyle w:val="Heading2"/>
      </w:pPr>
      <w:bookmarkStart w:id="11" w:name="graphical-visualization"/>
      <w:bookmarkEnd w:id="10"/>
      <w:r w:rsidRPr="003B3F88">
        <w:lastRenderedPageBreak/>
        <w:t>Graphical Visualization</w:t>
      </w:r>
    </w:p>
    <w:p w14:paraId="20810B0A" w14:textId="11914046" w:rsidR="001A3EE6" w:rsidRDefault="001A3EE6" w:rsidP="001A3EE6">
      <w:pPr>
        <w:pStyle w:val="BodyText"/>
      </w:pPr>
    </w:p>
    <w:p w14:paraId="0C5B7568" w14:textId="11DAA20F" w:rsidR="001A3EE6" w:rsidRPr="001A3EE6" w:rsidRDefault="001A3EE6" w:rsidP="001A3EE6">
      <w:pPr>
        <w:pStyle w:val="BodyText"/>
      </w:pPr>
      <w:r>
        <w:t>Fig 1: Linearity check: Predictors vs log (OSR)</w:t>
      </w:r>
    </w:p>
    <w:p w14:paraId="1A571BC0" w14:textId="77777777" w:rsidR="00D23D6D" w:rsidRPr="003B3F88" w:rsidRDefault="00B617FA" w:rsidP="00BF0DC6">
      <w:pPr>
        <w:pStyle w:val="FirstParagraph"/>
        <w:spacing w:line="480" w:lineRule="auto"/>
        <w:jc w:val="center"/>
        <w:rPr>
          <w:rFonts w:ascii="Times New Roman" w:hAnsi="Times New Roman" w:cs="Times New Roman"/>
        </w:rPr>
      </w:pPr>
      <w:r w:rsidRPr="003B3F88">
        <w:rPr>
          <w:rFonts w:ascii="Times New Roman" w:hAnsi="Times New Roman" w:cs="Times New Roman"/>
          <w:noProof/>
        </w:rPr>
        <w:drawing>
          <wp:inline distT="0" distB="0" distL="0" distR="0" wp14:anchorId="1A571C2B" wp14:editId="01BC0796">
            <wp:extent cx="6000750" cy="2622550"/>
            <wp:effectExtent l="0" t="0" r="0" b="6350"/>
            <wp:docPr id="26" name="Picture"/>
            <wp:cNvGraphicFramePr/>
            <a:graphic xmlns:a="http://schemas.openxmlformats.org/drawingml/2006/main">
              <a:graphicData uri="http://schemas.openxmlformats.org/drawingml/2006/picture">
                <pic:pic xmlns:pic="http://schemas.openxmlformats.org/drawingml/2006/picture">
                  <pic:nvPicPr>
                    <pic:cNvPr id="27" name="Picture" descr="osr_files/figure-docx/linearity_plots-1.png"/>
                    <pic:cNvPicPr>
                      <a:picLocks noChangeAspect="1" noChangeArrowheads="1"/>
                    </pic:cNvPicPr>
                  </pic:nvPicPr>
                  <pic:blipFill>
                    <a:blip r:embed="rId8"/>
                    <a:stretch>
                      <a:fillRect/>
                    </a:stretch>
                  </pic:blipFill>
                  <pic:spPr bwMode="auto">
                    <a:xfrm>
                      <a:off x="0" y="0"/>
                      <a:ext cx="6000750" cy="2622550"/>
                    </a:xfrm>
                    <a:prstGeom prst="rect">
                      <a:avLst/>
                    </a:prstGeom>
                    <a:noFill/>
                    <a:ln w="9525">
                      <a:noFill/>
                      <a:headEnd/>
                      <a:tailEnd/>
                    </a:ln>
                  </pic:spPr>
                </pic:pic>
              </a:graphicData>
            </a:graphic>
          </wp:inline>
        </w:drawing>
      </w:r>
    </w:p>
    <w:p w14:paraId="1A571BC1" w14:textId="515538FC"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 xml:space="preserve">The combined plots of </w:t>
      </w:r>
      <w:r w:rsidR="009A4DD7" w:rsidRPr="003B3F88">
        <w:rPr>
          <w:rFonts w:ascii="Times New Roman" w:hAnsi="Times New Roman" w:cs="Times New Roman"/>
        </w:rPr>
        <w:t>log (</w:t>
      </w:r>
      <w:r w:rsidRPr="003B3F88">
        <w:rPr>
          <w:rFonts w:ascii="Times New Roman" w:hAnsi="Times New Roman" w:cs="Times New Roman"/>
        </w:rPr>
        <w:t xml:space="preserve">OSR) against the selected predictors visually reinforce the regression results. </w:t>
      </w:r>
      <w:r w:rsidR="00FF1C7A" w:rsidRPr="003B3F88">
        <w:rPr>
          <w:rFonts w:ascii="Times New Roman" w:hAnsi="Times New Roman" w:cs="Times New Roman"/>
        </w:rPr>
        <w:t>Log (</w:t>
      </w:r>
      <w:r w:rsidRPr="003B3F88">
        <w:rPr>
          <w:rFonts w:ascii="Times New Roman" w:hAnsi="Times New Roman" w:cs="Times New Roman"/>
        </w:rPr>
        <w:t xml:space="preserve">OSR) displays a clear and strong positive relationship with the number of households, with observations closely following an upward trend. A positive association is also observable for livestock, consistent with its significant contribution to revenue. In contrast, the relationship between </w:t>
      </w:r>
      <w:r w:rsidR="00FF1C7A" w:rsidRPr="003B3F88">
        <w:rPr>
          <w:rFonts w:ascii="Times New Roman" w:hAnsi="Times New Roman" w:cs="Times New Roman"/>
        </w:rPr>
        <w:t>log (</w:t>
      </w:r>
      <w:r w:rsidRPr="003B3F88">
        <w:rPr>
          <w:rFonts w:ascii="Times New Roman" w:hAnsi="Times New Roman" w:cs="Times New Roman"/>
        </w:rPr>
        <w:t>OSR) and fishing exhibits a downward trend, aligning with the negative coefficient observed in the model. Visual inspection confirms that these variables capture distinct economic dimensions, with no evidence of problematic multicollinearity among the predictors.</w:t>
      </w:r>
    </w:p>
    <w:p w14:paraId="1A571BCA" w14:textId="0964E506" w:rsidR="00D23D6D" w:rsidRPr="003B3F88" w:rsidRDefault="00186D7A" w:rsidP="00186D7A">
      <w:pPr>
        <w:pStyle w:val="Caption"/>
        <w:jc w:val="center"/>
        <w:rPr>
          <w:rFonts w:ascii="Times New Roman" w:hAnsi="Times New Roman" w:cs="Times New Roman"/>
        </w:rPr>
      </w:pPr>
      <w:bookmarkStart w:id="12" w:name="estimated-results"/>
      <w:bookmarkEnd w:id="11"/>
      <w:r>
        <w:t xml:space="preserve">Table </w:t>
      </w:r>
      <w:r w:rsidR="00464A48">
        <w:fldChar w:fldCharType="begin"/>
      </w:r>
      <w:r w:rsidR="00464A48">
        <w:instrText xml:space="preserve"> SEQ Table \* ARABIC </w:instrText>
      </w:r>
      <w:r w:rsidR="00464A48">
        <w:fldChar w:fldCharType="separate"/>
      </w:r>
      <w:r>
        <w:rPr>
          <w:noProof/>
        </w:rPr>
        <w:t>3</w:t>
      </w:r>
      <w:r w:rsidR="00464A48">
        <w:rPr>
          <w:noProof/>
        </w:rPr>
        <w:fldChar w:fldCharType="end"/>
      </w:r>
      <w:r>
        <w:t xml:space="preserve">: </w:t>
      </w:r>
      <w:r w:rsidR="00B617FA" w:rsidRPr="003B3F88">
        <w:rPr>
          <w:rFonts w:ascii="Times New Roman" w:hAnsi="Times New Roman" w:cs="Times New Roman"/>
        </w:rPr>
        <w:t xml:space="preserve">Significant Predictors of </w:t>
      </w:r>
      <w:r w:rsidR="004366A8" w:rsidRPr="003B3F88">
        <w:rPr>
          <w:rFonts w:ascii="Times New Roman" w:hAnsi="Times New Roman" w:cs="Times New Roman"/>
        </w:rPr>
        <w:t>log (</w:t>
      </w:r>
      <w:r w:rsidR="00B617FA" w:rsidRPr="003B3F88">
        <w:rPr>
          <w:rFonts w:ascii="Times New Roman" w:hAnsi="Times New Roman" w:cs="Times New Roman"/>
        </w:rPr>
        <w:t>OSR) (OLS Regression)</w:t>
      </w:r>
    </w:p>
    <w:tbl>
      <w:tblPr>
        <w:tblStyle w:val="Table"/>
        <w:tblW w:w="0" w:type="auto"/>
        <w:jc w:val="center"/>
        <w:tblLayout w:type="fixed"/>
        <w:tblLook w:val="0420" w:firstRow="1" w:lastRow="0" w:firstColumn="0" w:lastColumn="0" w:noHBand="0" w:noVBand="1"/>
      </w:tblPr>
      <w:tblGrid>
        <w:gridCol w:w="2636"/>
        <w:gridCol w:w="1475"/>
        <w:gridCol w:w="1425"/>
        <w:gridCol w:w="1080"/>
        <w:gridCol w:w="1218"/>
        <w:gridCol w:w="1080"/>
      </w:tblGrid>
      <w:tr w:rsidR="00D23D6D" w:rsidRPr="003B3F88" w14:paraId="1A571BCC" w14:textId="77777777" w:rsidTr="00D23D6D">
        <w:trPr>
          <w:cnfStyle w:val="100000000000" w:firstRow="1" w:lastRow="0" w:firstColumn="0" w:lastColumn="0" w:oddVBand="0" w:evenVBand="0" w:oddHBand="0" w:evenHBand="0" w:firstRowFirstColumn="0" w:firstRowLastColumn="0" w:lastRowFirstColumn="0" w:lastRowLastColumn="0"/>
          <w:tblHeader/>
          <w:jc w:val="center"/>
        </w:trPr>
        <w:tc>
          <w:tcPr>
            <w:tcW w:w="8914" w:type="dxa"/>
            <w:gridSpan w:val="6"/>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CB" w14:textId="68F07E8E"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 xml:space="preserve">Dependent variable: </w:t>
            </w:r>
            <w:r w:rsidR="004366A8" w:rsidRPr="003B3F88">
              <w:rPr>
                <w:rFonts w:ascii="Times New Roman" w:eastAsia="Arial" w:hAnsi="Times New Roman" w:cs="Times New Roman"/>
                <w:b/>
                <w:color w:val="FFFFFF"/>
              </w:rPr>
              <w:t>log (</w:t>
            </w:r>
            <w:r w:rsidRPr="003B3F88">
              <w:rPr>
                <w:rFonts w:ascii="Times New Roman" w:eastAsia="Arial" w:hAnsi="Times New Roman" w:cs="Times New Roman"/>
                <w:b/>
                <w:color w:val="FFFFFF"/>
              </w:rPr>
              <w:t>OSR)</w:t>
            </w:r>
          </w:p>
        </w:tc>
      </w:tr>
      <w:tr w:rsidR="00D23D6D" w:rsidRPr="003B3F88" w14:paraId="1A571BD3" w14:textId="77777777" w:rsidTr="00D23D6D">
        <w:trPr>
          <w:cnfStyle w:val="100000000000" w:firstRow="1" w:lastRow="0" w:firstColumn="0" w:lastColumn="0" w:oddVBand="0" w:evenVBand="0" w:oddHBand="0" w:evenHBand="0" w:firstRowFirstColumn="0" w:firstRowLastColumn="0" w:lastRowFirstColumn="0" w:lastRowLastColumn="0"/>
          <w:tblHeader/>
          <w:jc w:val="center"/>
        </w:trPr>
        <w:tc>
          <w:tcPr>
            <w:tcW w:w="2636"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C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Independent Variable</w:t>
            </w:r>
          </w:p>
        </w:tc>
        <w:tc>
          <w:tcPr>
            <w:tcW w:w="1475"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C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Estimate</w:t>
            </w:r>
          </w:p>
        </w:tc>
        <w:tc>
          <w:tcPr>
            <w:tcW w:w="1425"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CF"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Std. Error</w:t>
            </w:r>
          </w:p>
        </w:tc>
        <w:tc>
          <w:tcPr>
            <w:tcW w:w="1080"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D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t-Stat</w:t>
            </w:r>
          </w:p>
        </w:tc>
        <w:tc>
          <w:tcPr>
            <w:tcW w:w="1218"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D1"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P-Value</w:t>
            </w:r>
          </w:p>
        </w:tc>
        <w:tc>
          <w:tcPr>
            <w:tcW w:w="1080"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D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Sig.</w:t>
            </w:r>
          </w:p>
        </w:tc>
      </w:tr>
      <w:tr w:rsidR="00D23D6D" w:rsidRPr="003B3F88" w14:paraId="1A571BDA" w14:textId="77777777" w:rsidTr="00D23D6D">
        <w:trPr>
          <w:jc w:val="center"/>
        </w:trPr>
        <w:tc>
          <w:tcPr>
            <w:tcW w:w="26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Constant</w:t>
            </w:r>
          </w:p>
        </w:tc>
        <w:tc>
          <w:tcPr>
            <w:tcW w:w="147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5"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1.865e+01</w:t>
            </w:r>
          </w:p>
        </w:tc>
        <w:tc>
          <w:tcPr>
            <w:tcW w:w="142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2.362e-01</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78.96</w:t>
            </w:r>
          </w:p>
        </w:tc>
        <w:tc>
          <w:tcPr>
            <w:tcW w:w="121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8"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0.0000</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9"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w:t>
            </w:r>
          </w:p>
        </w:tc>
      </w:tr>
      <w:tr w:rsidR="00D23D6D" w:rsidRPr="003B3F88" w14:paraId="1A571BE1" w14:textId="77777777" w:rsidTr="00D23D6D">
        <w:trPr>
          <w:jc w:val="center"/>
        </w:trPr>
        <w:tc>
          <w:tcPr>
            <w:tcW w:w="26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Households</w:t>
            </w:r>
          </w:p>
        </w:tc>
        <w:tc>
          <w:tcPr>
            <w:tcW w:w="14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3.379e-06</w:t>
            </w:r>
          </w:p>
        </w:tc>
        <w:tc>
          <w:tcPr>
            <w:tcW w:w="14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4.603e-07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7.34</w:t>
            </w:r>
          </w:p>
        </w:tc>
        <w:tc>
          <w:tcPr>
            <w:tcW w:w="12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F"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0.0000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w:t>
            </w:r>
          </w:p>
        </w:tc>
      </w:tr>
      <w:tr w:rsidR="00D23D6D" w:rsidRPr="003B3F88" w14:paraId="1A571BE8" w14:textId="77777777" w:rsidTr="00D23D6D">
        <w:trPr>
          <w:jc w:val="center"/>
        </w:trPr>
        <w:tc>
          <w:tcPr>
            <w:tcW w:w="26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Livestock</w:t>
            </w:r>
          </w:p>
        </w:tc>
        <w:tc>
          <w:tcPr>
            <w:tcW w:w="14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3"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4.416e-06</w:t>
            </w:r>
          </w:p>
        </w:tc>
        <w:tc>
          <w:tcPr>
            <w:tcW w:w="14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2.007e-06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5"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2.20</w:t>
            </w:r>
          </w:p>
        </w:tc>
        <w:tc>
          <w:tcPr>
            <w:tcW w:w="12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0.0332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w:t>
            </w:r>
          </w:p>
        </w:tc>
      </w:tr>
      <w:tr w:rsidR="00D23D6D" w:rsidRPr="003B3F88" w14:paraId="1A571BEF" w14:textId="77777777" w:rsidTr="00D23D6D">
        <w:trPr>
          <w:jc w:val="center"/>
        </w:trPr>
        <w:tc>
          <w:tcPr>
            <w:tcW w:w="26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E9"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Fishing</w:t>
            </w:r>
          </w:p>
        </w:tc>
        <w:tc>
          <w:tcPr>
            <w:tcW w:w="147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E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-6.708e-05</w:t>
            </w:r>
          </w:p>
        </w:tc>
        <w:tc>
          <w:tcPr>
            <w:tcW w:w="142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E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3.228e-05</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E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-2.08</w:t>
            </w:r>
          </w:p>
        </w:tc>
        <w:tc>
          <w:tcPr>
            <w:tcW w:w="121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E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0.0437</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E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w:t>
            </w:r>
          </w:p>
        </w:tc>
      </w:tr>
      <w:tr w:rsidR="00D23D6D" w:rsidRPr="003B3F88" w14:paraId="1A571BF1" w14:textId="77777777" w:rsidTr="00D23D6D">
        <w:trPr>
          <w:jc w:val="center"/>
        </w:trPr>
        <w:tc>
          <w:tcPr>
            <w:tcW w:w="8914" w:type="dxa"/>
            <w:gridSpan w:val="6"/>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A571BF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lastRenderedPageBreak/>
              <w:t>Signif. codes: 0 '***' 0.001 '**' 0.01 '*' 0.05 '.' 0.1</w:t>
            </w:r>
          </w:p>
        </w:tc>
      </w:tr>
    </w:tbl>
    <w:p w14:paraId="445F9A4B" w14:textId="25320C0B" w:rsidR="009F0AE7" w:rsidRDefault="009F0AE7" w:rsidP="00C00B03">
      <w:pPr>
        <w:pStyle w:val="FirstParagraph"/>
        <w:spacing w:line="480" w:lineRule="auto"/>
        <w:rPr>
          <w:rFonts w:ascii="Times New Roman" w:hAnsi="Times New Roman" w:cs="Times New Roman"/>
        </w:rPr>
      </w:pPr>
      <w:bookmarkStart w:id="13" w:name="interpretation"/>
      <w:bookmarkEnd w:id="12"/>
      <w:r w:rsidRPr="003B3F88">
        <w:rPr>
          <w:rFonts w:ascii="Times New Roman" w:hAnsi="Times New Roman" w:cs="Times New Roman"/>
        </w:rPr>
        <w:t>To investigate the determinants of OSR across counties, an OLS regression was conducted. The dependent variable was transformed into its natural logarithm (</w:t>
      </w:r>
      <w:proofErr w:type="spellStart"/>
      <w:r w:rsidRPr="003B3F88">
        <w:rPr>
          <w:rFonts w:ascii="Times New Roman" w:hAnsi="Times New Roman" w:cs="Times New Roman"/>
        </w:rPr>
        <w:t>log_OSR</w:t>
      </w:r>
      <w:proofErr w:type="spellEnd"/>
      <w:r w:rsidRPr="003B3F88">
        <w:rPr>
          <w:rFonts w:ascii="Times New Roman" w:hAnsi="Times New Roman" w:cs="Times New Roman"/>
        </w:rPr>
        <w:t xml:space="preserve">) to address issues of non-normality and skewness inherent in revenue data. The final model retained three statistically significant independent variables: </w:t>
      </w:r>
      <w:r>
        <w:rPr>
          <w:rFonts w:ascii="Times New Roman" w:hAnsi="Times New Roman" w:cs="Times New Roman"/>
        </w:rPr>
        <w:t>h</w:t>
      </w:r>
      <w:r w:rsidRPr="003B3F88">
        <w:rPr>
          <w:rFonts w:ascii="Times New Roman" w:hAnsi="Times New Roman" w:cs="Times New Roman"/>
        </w:rPr>
        <w:t xml:space="preserve">ouseholds, </w:t>
      </w:r>
      <w:r>
        <w:rPr>
          <w:rFonts w:ascii="Times New Roman" w:hAnsi="Times New Roman" w:cs="Times New Roman"/>
        </w:rPr>
        <w:t>l</w:t>
      </w:r>
      <w:r w:rsidRPr="003B3F88">
        <w:rPr>
          <w:rFonts w:ascii="Times New Roman" w:hAnsi="Times New Roman" w:cs="Times New Roman"/>
        </w:rPr>
        <w:t xml:space="preserve">ivestock, and </w:t>
      </w:r>
      <w:r>
        <w:rPr>
          <w:rFonts w:ascii="Times New Roman" w:hAnsi="Times New Roman" w:cs="Times New Roman"/>
        </w:rPr>
        <w:t>f</w:t>
      </w:r>
      <w:r w:rsidRPr="003B3F88">
        <w:rPr>
          <w:rFonts w:ascii="Times New Roman" w:hAnsi="Times New Roman" w:cs="Times New Roman"/>
        </w:rPr>
        <w:t>ishing. The goodness-of-fit tests indicate a robust model. The coefficient of determination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3B3F88">
        <w:rPr>
          <w:rFonts w:ascii="Times New Roman" w:hAnsi="Times New Roman" w:cs="Times New Roman"/>
        </w:rPr>
        <w:t xml:space="preserve">) suggests that the independent variables explain approximately 63% of the variance in the log of </w:t>
      </w:r>
      <w:r>
        <w:rPr>
          <w:rFonts w:ascii="Times New Roman" w:hAnsi="Times New Roman" w:cs="Times New Roman"/>
        </w:rPr>
        <w:t>OSR</w:t>
      </w:r>
      <w:r w:rsidRPr="003B3F88">
        <w:rPr>
          <w:rFonts w:ascii="Times New Roman" w:hAnsi="Times New Roman" w:cs="Times New Roman"/>
        </w:rPr>
        <w:t>. The F-statistics are highly significant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0.001</m:t>
        </m:r>
      </m:oMath>
      <w:r w:rsidRPr="003B3F88">
        <w:rPr>
          <w:rFonts w:ascii="Times New Roman" w:hAnsi="Times New Roman" w:cs="Times New Roman"/>
        </w:rPr>
        <w:t>), confirming that the model is statistically valid and effectively predicts revenue generation capacity based on these structural economic factors.</w:t>
      </w:r>
    </w:p>
    <w:p w14:paraId="1A571BF3" w14:textId="239FCBF1"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Households (</w:t>
      </w:r>
      <w:r w:rsidR="004366A8">
        <w:rPr>
          <w:rFonts w:ascii="Times New Roman" w:hAnsi="Times New Roman" w:cs="Times New Roman"/>
        </w:rPr>
        <w:t>p</w:t>
      </w:r>
      <w:r w:rsidRPr="003B3F88">
        <w:rPr>
          <w:rFonts w:ascii="Times New Roman" w:hAnsi="Times New Roman" w:cs="Times New Roman"/>
        </w:rPr>
        <w:t xml:space="preserve">ositive </w:t>
      </w:r>
      <w:r w:rsidR="004366A8">
        <w:rPr>
          <w:rFonts w:ascii="Times New Roman" w:hAnsi="Times New Roman" w:cs="Times New Roman"/>
        </w:rPr>
        <w:t>d</w:t>
      </w:r>
      <w:r w:rsidRPr="003B3F88">
        <w:rPr>
          <w:rFonts w:ascii="Times New Roman" w:hAnsi="Times New Roman" w:cs="Times New Roman"/>
        </w:rPr>
        <w:t>river</w:t>
      </w:r>
      <w:r w:rsidR="004B0660" w:rsidRPr="003B3F88">
        <w:rPr>
          <w:rFonts w:ascii="Times New Roman" w:hAnsi="Times New Roman" w:cs="Times New Roman"/>
        </w:rPr>
        <w:t>): This</w:t>
      </w:r>
      <w:r w:rsidRPr="003B3F88">
        <w:rPr>
          <w:rFonts w:ascii="Times New Roman" w:hAnsi="Times New Roman" w:cs="Times New Roman"/>
        </w:rPr>
        <w:t xml:space="preserve"> variable remains highly significant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0.001</m:t>
        </m:r>
      </m:oMath>
      <w:r w:rsidRPr="003B3F88">
        <w:rPr>
          <w:rFonts w:ascii="Times New Roman" w:hAnsi="Times New Roman" w:cs="Times New Roman"/>
        </w:rPr>
        <w:t>). In this log-linear specification, the relationship implies a percentage growth in revenue rather than a fixed unit increase. The results indicate a strong positive elasticity, confirming that population density and urbanization are the primary drivers of Own Source Revenue.</w:t>
      </w:r>
    </w:p>
    <w:p w14:paraId="1A571BF4" w14:textId="33508E08"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Livestock (</w:t>
      </w:r>
      <w:r w:rsidR="004366A8">
        <w:rPr>
          <w:rFonts w:ascii="Times New Roman" w:hAnsi="Times New Roman" w:cs="Times New Roman"/>
        </w:rPr>
        <w:t>p</w:t>
      </w:r>
      <w:r w:rsidRPr="003B3F88">
        <w:rPr>
          <w:rFonts w:ascii="Times New Roman" w:hAnsi="Times New Roman" w:cs="Times New Roman"/>
        </w:rPr>
        <w:t xml:space="preserve">ositive </w:t>
      </w:r>
      <w:r w:rsidR="004366A8">
        <w:rPr>
          <w:rFonts w:ascii="Times New Roman" w:hAnsi="Times New Roman" w:cs="Times New Roman"/>
        </w:rPr>
        <w:t>d</w:t>
      </w:r>
      <w:r w:rsidRPr="003B3F88">
        <w:rPr>
          <w:rFonts w:ascii="Times New Roman" w:hAnsi="Times New Roman" w:cs="Times New Roman"/>
        </w:rPr>
        <w:t>river</w:t>
      </w:r>
      <w:r w:rsidR="004B0660" w:rsidRPr="003B3F88">
        <w:rPr>
          <w:rFonts w:ascii="Times New Roman" w:hAnsi="Times New Roman" w:cs="Times New Roman"/>
        </w:rPr>
        <w:t>): Unlike</w:t>
      </w:r>
      <w:r w:rsidRPr="003B3F88">
        <w:rPr>
          <w:rFonts w:ascii="Times New Roman" w:hAnsi="Times New Roman" w:cs="Times New Roman"/>
        </w:rPr>
        <w:t xml:space="preserve"> the general “</w:t>
      </w:r>
      <w:r w:rsidR="004366A8">
        <w:rPr>
          <w:rFonts w:ascii="Times New Roman" w:hAnsi="Times New Roman" w:cs="Times New Roman"/>
        </w:rPr>
        <w:t>f</w:t>
      </w:r>
      <w:r w:rsidRPr="003B3F88">
        <w:rPr>
          <w:rFonts w:ascii="Times New Roman" w:hAnsi="Times New Roman" w:cs="Times New Roman"/>
        </w:rPr>
        <w:t xml:space="preserve">arming” variable used previously, </w:t>
      </w:r>
      <w:r w:rsidR="004366A8">
        <w:rPr>
          <w:rFonts w:ascii="Times New Roman" w:hAnsi="Times New Roman" w:cs="Times New Roman"/>
        </w:rPr>
        <w:t>l</w:t>
      </w:r>
      <w:r w:rsidRPr="003B3F88">
        <w:rPr>
          <w:rFonts w:ascii="Times New Roman" w:hAnsi="Times New Roman" w:cs="Times New Roman"/>
        </w:rPr>
        <w:t>ivestock is statistically significant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0.05</m:t>
        </m:r>
      </m:oMath>
      <w:r w:rsidRPr="003B3F88">
        <w:rPr>
          <w:rFonts w:ascii="Times New Roman" w:hAnsi="Times New Roman" w:cs="Times New Roman"/>
        </w:rPr>
        <w:t>) and carries a positive coefficient. This suggests that counties with significant livestock economies (e.g., organized meat production or pastoralist markets) tend to generate higher revenue, contradicting the assumption that all agricultural sectors dampen OSR.</w:t>
      </w:r>
    </w:p>
    <w:p w14:paraId="1A571BF5" w14:textId="2B6C5C63"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Fishing (</w:t>
      </w:r>
      <w:r w:rsidR="004366A8">
        <w:rPr>
          <w:rFonts w:ascii="Times New Roman" w:hAnsi="Times New Roman" w:cs="Times New Roman"/>
        </w:rPr>
        <w:t>n</w:t>
      </w:r>
      <w:r w:rsidRPr="003B3F88">
        <w:rPr>
          <w:rFonts w:ascii="Times New Roman" w:hAnsi="Times New Roman" w:cs="Times New Roman"/>
        </w:rPr>
        <w:t xml:space="preserve">egative </w:t>
      </w:r>
      <w:r w:rsidR="004366A8">
        <w:rPr>
          <w:rFonts w:ascii="Times New Roman" w:hAnsi="Times New Roman" w:cs="Times New Roman"/>
        </w:rPr>
        <w:t>d</w:t>
      </w:r>
      <w:r w:rsidRPr="003B3F88">
        <w:rPr>
          <w:rFonts w:ascii="Times New Roman" w:hAnsi="Times New Roman" w:cs="Times New Roman"/>
        </w:rPr>
        <w:t>river</w:t>
      </w:r>
      <w:r w:rsidR="004B0660" w:rsidRPr="003B3F88">
        <w:rPr>
          <w:rFonts w:ascii="Times New Roman" w:hAnsi="Times New Roman" w:cs="Times New Roman"/>
        </w:rPr>
        <w:t>): This</w:t>
      </w:r>
      <w:r w:rsidRPr="003B3F88">
        <w:rPr>
          <w:rFonts w:ascii="Times New Roman" w:hAnsi="Times New Roman" w:cs="Times New Roman"/>
        </w:rPr>
        <w:t xml:space="preserve"> variable is statistically significant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0.05</m:t>
        </m:r>
      </m:oMath>
      <w:r w:rsidRPr="003B3F88">
        <w:rPr>
          <w:rFonts w:ascii="Times New Roman" w:hAnsi="Times New Roman" w:cs="Times New Roman"/>
        </w:rPr>
        <w:t xml:space="preserve">) with a negative coefficient. An increase in fishing activity is associated with a decrease in OSR performance. This indicates that counties heavily reliant on the fishing sub-sector </w:t>
      </w:r>
      <w:r w:rsidR="004366A8">
        <w:rPr>
          <w:rFonts w:ascii="Times New Roman" w:hAnsi="Times New Roman" w:cs="Times New Roman"/>
        </w:rPr>
        <w:t xml:space="preserve">may </w:t>
      </w:r>
      <w:r w:rsidRPr="003B3F88">
        <w:rPr>
          <w:rFonts w:ascii="Times New Roman" w:hAnsi="Times New Roman" w:cs="Times New Roman"/>
        </w:rPr>
        <w:t xml:space="preserve">face structural </w:t>
      </w:r>
      <w:r w:rsidRPr="003B3F88">
        <w:rPr>
          <w:rFonts w:ascii="Times New Roman" w:hAnsi="Times New Roman" w:cs="Times New Roman"/>
        </w:rPr>
        <w:lastRenderedPageBreak/>
        <w:t>challenges in revenue mobilization compared to those with industrial, commercial, or livestock-based economies.</w:t>
      </w:r>
    </w:p>
    <w:p w14:paraId="1A571BF6" w14:textId="77777777" w:rsidR="00D23D6D" w:rsidRPr="003B3F88" w:rsidRDefault="00B617FA" w:rsidP="004366A8">
      <w:pPr>
        <w:pStyle w:val="Heading2"/>
      </w:pPr>
      <w:bookmarkStart w:id="14" w:name="diagnostic-tests"/>
      <w:bookmarkEnd w:id="13"/>
      <w:r w:rsidRPr="003B3F88">
        <w:t>Diagnostic Tests</w:t>
      </w:r>
    </w:p>
    <w:p w14:paraId="1A571BF7" w14:textId="2F91705B" w:rsidR="00D23D6D" w:rsidRPr="003B3F88" w:rsidRDefault="00186D7A" w:rsidP="00186D7A">
      <w:pPr>
        <w:pStyle w:val="Caption"/>
        <w:jc w:val="center"/>
        <w:rPr>
          <w:rFonts w:ascii="Times New Roman" w:hAnsi="Times New Roman" w:cs="Times New Roman"/>
        </w:rPr>
      </w:pPr>
      <w:r>
        <w:t xml:space="preserve">Table </w:t>
      </w:r>
      <w:r w:rsidR="00464A48">
        <w:fldChar w:fldCharType="begin"/>
      </w:r>
      <w:r w:rsidR="00464A48">
        <w:instrText xml:space="preserve"> SEQ Table \* ARABIC </w:instrText>
      </w:r>
      <w:r w:rsidR="00464A48">
        <w:fldChar w:fldCharType="separate"/>
      </w:r>
      <w:r>
        <w:rPr>
          <w:noProof/>
        </w:rPr>
        <w:t>4</w:t>
      </w:r>
      <w:r w:rsidR="00464A48">
        <w:rPr>
          <w:noProof/>
        </w:rPr>
        <w:fldChar w:fldCharType="end"/>
      </w:r>
      <w:r>
        <w:t xml:space="preserve">: </w:t>
      </w:r>
      <w:r w:rsidR="00B617FA" w:rsidRPr="003B3F88">
        <w:rPr>
          <w:rFonts w:ascii="Times New Roman" w:hAnsi="Times New Roman" w:cs="Times New Roman"/>
        </w:rPr>
        <w:t>Residual Diagnostic Tests</w:t>
      </w:r>
    </w:p>
    <w:tbl>
      <w:tblPr>
        <w:tblStyle w:val="Table"/>
        <w:tblW w:w="0" w:type="auto"/>
        <w:jc w:val="center"/>
        <w:tblLook w:val="0420" w:firstRow="1" w:lastRow="0" w:firstColumn="0" w:lastColumn="0" w:noHBand="0" w:noVBand="1"/>
      </w:tblPr>
      <w:tblGrid>
        <w:gridCol w:w="2961"/>
        <w:gridCol w:w="932"/>
        <w:gridCol w:w="946"/>
        <w:gridCol w:w="1878"/>
        <w:gridCol w:w="2689"/>
      </w:tblGrid>
      <w:tr w:rsidR="00D23D6D" w:rsidRPr="003B3F88" w14:paraId="1A571BF9" w14:textId="77777777" w:rsidTr="00B617FA">
        <w:trPr>
          <w:cnfStyle w:val="100000000000" w:firstRow="1" w:lastRow="0" w:firstColumn="0" w:lastColumn="0" w:oddVBand="0" w:evenVBand="0" w:oddHBand="0" w:evenHBand="0" w:firstRowFirstColumn="0" w:firstRowLastColumn="0" w:lastRowFirstColumn="0" w:lastRowLastColumn="0"/>
          <w:tblHeader/>
          <w:jc w:val="center"/>
        </w:trPr>
        <w:tc>
          <w:tcPr>
            <w:tcW w:w="0" w:type="auto"/>
            <w:gridSpan w:val="5"/>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F8"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Model Assumptions Check</w:t>
            </w:r>
          </w:p>
        </w:tc>
      </w:tr>
      <w:tr w:rsidR="00D23D6D" w:rsidRPr="003B3F88" w14:paraId="1A571BFF" w14:textId="77777777" w:rsidTr="00B617FA">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F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Diagnostic Test</w:t>
            </w:r>
          </w:p>
        </w:tc>
        <w:tc>
          <w:tcPr>
            <w:tcW w:w="0" w:type="auto"/>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F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Test Stat</w:t>
            </w:r>
          </w:p>
        </w:tc>
        <w:tc>
          <w:tcPr>
            <w:tcW w:w="0" w:type="auto"/>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F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P-Value</w:t>
            </w:r>
          </w:p>
        </w:tc>
        <w:tc>
          <w:tcPr>
            <w:tcW w:w="0" w:type="auto"/>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F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Status</w:t>
            </w:r>
          </w:p>
        </w:tc>
        <w:tc>
          <w:tcPr>
            <w:tcW w:w="0" w:type="auto"/>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F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Conclusion</w:t>
            </w:r>
          </w:p>
        </w:tc>
      </w:tr>
      <w:tr w:rsidR="00D23D6D" w:rsidRPr="003B3F88" w14:paraId="1A571C05" w14:textId="77777777" w:rsidTr="00B617FA">
        <w:trPr>
          <w:jc w:val="center"/>
        </w:trPr>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Shapiro-Wilk (Normality)</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1"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0.955</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0.0653</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3"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Pass (Non-Significant)</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Residuals approximately normal</w:t>
            </w:r>
          </w:p>
        </w:tc>
      </w:tr>
      <w:tr w:rsidR="00D23D6D" w:rsidRPr="003B3F88" w14:paraId="1A571C0B" w14:textId="77777777" w:rsidTr="00B617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Breusch-Pagan (Homoscedasticity)</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3.191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8"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0.3631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9"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Pass (Non-Significant)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Constant variance (homoscedastic)</w:t>
            </w:r>
          </w:p>
        </w:tc>
      </w:tr>
      <w:tr w:rsidR="00D23D6D" w:rsidRPr="003B3F88" w14:paraId="1A571C11" w14:textId="77777777" w:rsidTr="00B617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Durbin-Watson (Autocorrelation)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2.247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0.8109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F"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Pass (Non-Significant)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1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No autocorrelation detected</w:t>
            </w:r>
          </w:p>
        </w:tc>
      </w:tr>
      <w:tr w:rsidR="00D23D6D" w:rsidRPr="003B3F88" w14:paraId="1A571C17" w14:textId="77777777" w:rsidTr="00B617FA">
        <w:trPr>
          <w:jc w:val="center"/>
        </w:trPr>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C1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Breusch-Godfrey (Serial Correlation)</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C13"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5.036</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C1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0.2837</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C15"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Pass (Non-Significant)</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C1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No serial correlation detected</w:t>
            </w:r>
          </w:p>
        </w:tc>
      </w:tr>
    </w:tbl>
    <w:p w14:paraId="1A571C18" w14:textId="36B412E5"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The diagnostic tests indicate that all key OLS assumptions are satisfied. The Shapiro–Wilk test fails to reject normality of the residuals, while the Breusch–Pagan test provides no evidence of heteroskedasticity. In addition, both the Durbin–Watson and Breusch–Godfrey tests suggest the absence of autocorrelation and serial correlation</w:t>
      </w:r>
      <w:r w:rsidR="009F0AE7">
        <w:rPr>
          <w:rFonts w:ascii="Times New Roman" w:hAnsi="Times New Roman" w:cs="Times New Roman"/>
        </w:rPr>
        <w:t xml:space="preserve">. </w:t>
      </w:r>
    </w:p>
    <w:p w14:paraId="1A571C19" w14:textId="0B87D4A5" w:rsidR="00D23D6D" w:rsidRDefault="00B617FA" w:rsidP="004366A8">
      <w:pPr>
        <w:pStyle w:val="Heading2"/>
      </w:pPr>
      <w:bookmarkStart w:id="15" w:name="goodness-of-fit-plot"/>
      <w:bookmarkEnd w:id="14"/>
      <w:r w:rsidRPr="003B3F88">
        <w:t>Goodness of Fit Plot</w:t>
      </w:r>
    </w:p>
    <w:p w14:paraId="74F58472" w14:textId="09E706B3" w:rsidR="007C20B8" w:rsidRDefault="007C20B8" w:rsidP="007C20B8">
      <w:pPr>
        <w:pStyle w:val="BodyText"/>
      </w:pPr>
    </w:p>
    <w:p w14:paraId="247C9E32" w14:textId="649486EE" w:rsidR="007C20B8" w:rsidRPr="001A3EE6" w:rsidRDefault="007C20B8" w:rsidP="007C20B8">
      <w:pPr>
        <w:pStyle w:val="BodyText"/>
      </w:pPr>
      <w:r>
        <w:t>FIG 2; Actual vs Predicted log (OSR)</w:t>
      </w:r>
    </w:p>
    <w:p w14:paraId="7EF8A91C" w14:textId="77777777" w:rsidR="007C20B8" w:rsidRPr="007C20B8" w:rsidRDefault="007C20B8" w:rsidP="007C20B8">
      <w:pPr>
        <w:pStyle w:val="BodyText"/>
      </w:pPr>
    </w:p>
    <w:p w14:paraId="1A571C1A" w14:textId="77777777" w:rsidR="00D23D6D" w:rsidRPr="003B3F88" w:rsidRDefault="00B617FA" w:rsidP="00BF0DC6">
      <w:pPr>
        <w:pStyle w:val="FirstParagraph"/>
        <w:spacing w:line="480" w:lineRule="auto"/>
        <w:jc w:val="center"/>
        <w:rPr>
          <w:rFonts w:ascii="Times New Roman" w:hAnsi="Times New Roman" w:cs="Times New Roman"/>
        </w:rPr>
      </w:pPr>
      <w:r w:rsidRPr="003B3F88">
        <w:rPr>
          <w:rFonts w:ascii="Times New Roman" w:hAnsi="Times New Roman" w:cs="Times New Roman"/>
          <w:noProof/>
        </w:rPr>
        <w:lastRenderedPageBreak/>
        <w:drawing>
          <wp:inline distT="0" distB="0" distL="0" distR="0" wp14:anchorId="1A571C2D" wp14:editId="1A571C2E">
            <wp:extent cx="4620126" cy="3696101"/>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6" name="Picture" descr="osr_files/figure-docx/pressure-1.png"/>
                    <pic:cNvPicPr>
                      <a:picLocks noChangeAspect="1" noChangeArrowheads="1"/>
                    </pic:cNvPicPr>
                  </pic:nvPicPr>
                  <pic:blipFill>
                    <a:blip r:embed="rId9"/>
                    <a:stretch>
                      <a:fillRect/>
                    </a:stretch>
                  </pic:blipFill>
                  <pic:spPr bwMode="auto">
                    <a:xfrm>
                      <a:off x="0" y="0"/>
                      <a:ext cx="4620126" cy="3696101"/>
                    </a:xfrm>
                    <a:prstGeom prst="rect">
                      <a:avLst/>
                    </a:prstGeom>
                    <a:noFill/>
                    <a:ln w="9525">
                      <a:noFill/>
                      <a:headEnd/>
                      <a:tailEnd/>
                    </a:ln>
                  </pic:spPr>
                </pic:pic>
              </a:graphicData>
            </a:graphic>
          </wp:inline>
        </w:drawing>
      </w:r>
    </w:p>
    <w:p w14:paraId="1A571C1B" w14:textId="1DC94D99"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The blue data points (counties) are clustered closely around the red dashed line, indicating a strong model fit. The pattern is clearly linear, confirming that the relationship between your predictors (</w:t>
      </w:r>
      <w:r w:rsidR="009F0AE7">
        <w:rPr>
          <w:rFonts w:ascii="Times New Roman" w:hAnsi="Times New Roman" w:cs="Times New Roman"/>
        </w:rPr>
        <w:t>h</w:t>
      </w:r>
      <w:r w:rsidRPr="003B3F88">
        <w:rPr>
          <w:rFonts w:ascii="Times New Roman" w:hAnsi="Times New Roman" w:cs="Times New Roman"/>
        </w:rPr>
        <w:t xml:space="preserve">ouseholds, </w:t>
      </w:r>
      <w:r w:rsidR="009F0AE7">
        <w:rPr>
          <w:rFonts w:ascii="Times New Roman" w:hAnsi="Times New Roman" w:cs="Times New Roman"/>
        </w:rPr>
        <w:t>l</w:t>
      </w:r>
      <w:r w:rsidRPr="003B3F88">
        <w:rPr>
          <w:rFonts w:ascii="Times New Roman" w:hAnsi="Times New Roman" w:cs="Times New Roman"/>
        </w:rPr>
        <w:t xml:space="preserve">ivestock, and </w:t>
      </w:r>
      <w:r w:rsidR="009F0AE7">
        <w:rPr>
          <w:rFonts w:ascii="Times New Roman" w:hAnsi="Times New Roman" w:cs="Times New Roman"/>
        </w:rPr>
        <w:t>f</w:t>
      </w:r>
      <w:r w:rsidRPr="003B3F88">
        <w:rPr>
          <w:rFonts w:ascii="Times New Roman" w:hAnsi="Times New Roman" w:cs="Times New Roman"/>
        </w:rPr>
        <w:t xml:space="preserve">ishing) and </w:t>
      </w:r>
      <w:r w:rsidR="009F0AE7">
        <w:rPr>
          <w:rFonts w:ascii="Times New Roman" w:hAnsi="Times New Roman" w:cs="Times New Roman"/>
        </w:rPr>
        <w:t>r</w:t>
      </w:r>
      <w:r w:rsidRPr="003B3F88">
        <w:rPr>
          <w:rFonts w:ascii="Times New Roman" w:hAnsi="Times New Roman" w:cs="Times New Roman"/>
        </w:rPr>
        <w:t>evenue (log scale) is consistent across small and large counties. There is no obvious curve (</w:t>
      </w:r>
      <w:r w:rsidR="009F0AE7">
        <w:rPr>
          <w:rFonts w:ascii="Times New Roman" w:hAnsi="Times New Roman" w:cs="Times New Roman"/>
        </w:rPr>
        <w:t>u</w:t>
      </w:r>
      <w:r w:rsidRPr="003B3F88">
        <w:rPr>
          <w:rFonts w:ascii="Times New Roman" w:hAnsi="Times New Roman" w:cs="Times New Roman"/>
        </w:rPr>
        <w:t xml:space="preserve">-shape), which aligns with the passing diagnostic tests. The </w:t>
      </w:r>
      <w:r w:rsidR="009F0AE7">
        <w:rPr>
          <w:rFonts w:ascii="Times New Roman" w:hAnsi="Times New Roman" w:cs="Times New Roman"/>
        </w:rPr>
        <w:t>r</w:t>
      </w:r>
      <w:r w:rsidRPr="003B3F88">
        <w:rPr>
          <w:rFonts w:ascii="Times New Roman" w:hAnsi="Times New Roman" w:cs="Times New Roman"/>
        </w:rPr>
        <w:t xml:space="preserve">ed </w:t>
      </w:r>
      <w:r w:rsidR="009F0AE7">
        <w:rPr>
          <w:rFonts w:ascii="Times New Roman" w:hAnsi="Times New Roman" w:cs="Times New Roman"/>
        </w:rPr>
        <w:t>d</w:t>
      </w:r>
      <w:r w:rsidRPr="003B3F88">
        <w:rPr>
          <w:rFonts w:ascii="Times New Roman" w:hAnsi="Times New Roman" w:cs="Times New Roman"/>
        </w:rPr>
        <w:t xml:space="preserve">ashed </w:t>
      </w:r>
      <w:r w:rsidR="009F0AE7">
        <w:rPr>
          <w:rFonts w:ascii="Times New Roman" w:hAnsi="Times New Roman" w:cs="Times New Roman"/>
        </w:rPr>
        <w:t>l</w:t>
      </w:r>
      <w:r w:rsidRPr="003B3F88">
        <w:rPr>
          <w:rFonts w:ascii="Times New Roman" w:hAnsi="Times New Roman" w:cs="Times New Roman"/>
        </w:rPr>
        <w:t xml:space="preserve">ine represents perfect prediction (where </w:t>
      </w:r>
      <w:r w:rsidR="009F0AE7">
        <w:rPr>
          <w:rFonts w:ascii="Times New Roman" w:hAnsi="Times New Roman" w:cs="Times New Roman"/>
        </w:rPr>
        <w:t>a</w:t>
      </w:r>
      <w:r w:rsidRPr="003B3F88">
        <w:rPr>
          <w:rFonts w:ascii="Times New Roman" w:hAnsi="Times New Roman" w:cs="Times New Roman"/>
        </w:rPr>
        <w:t xml:space="preserve">ctual </w:t>
      </w:r>
      <w:r w:rsidR="009F0AE7">
        <w:rPr>
          <w:rFonts w:ascii="Times New Roman" w:hAnsi="Times New Roman" w:cs="Times New Roman"/>
        </w:rPr>
        <w:t>r</w:t>
      </w:r>
      <w:r w:rsidRPr="003B3F88">
        <w:rPr>
          <w:rFonts w:ascii="Times New Roman" w:hAnsi="Times New Roman" w:cs="Times New Roman"/>
        </w:rPr>
        <w:t xml:space="preserve">evenue equals </w:t>
      </w:r>
      <w:r w:rsidR="009F0AE7">
        <w:rPr>
          <w:rFonts w:ascii="Times New Roman" w:hAnsi="Times New Roman" w:cs="Times New Roman"/>
        </w:rPr>
        <w:t>p</w:t>
      </w:r>
      <w:r w:rsidRPr="003B3F88">
        <w:rPr>
          <w:rFonts w:ascii="Times New Roman" w:hAnsi="Times New Roman" w:cs="Times New Roman"/>
        </w:rPr>
        <w:t xml:space="preserve">redicted </w:t>
      </w:r>
      <w:r w:rsidR="009F0AE7">
        <w:rPr>
          <w:rFonts w:ascii="Times New Roman" w:hAnsi="Times New Roman" w:cs="Times New Roman"/>
        </w:rPr>
        <w:t>r</w:t>
      </w:r>
      <w:r w:rsidRPr="003B3F88">
        <w:rPr>
          <w:rFonts w:ascii="Times New Roman" w:hAnsi="Times New Roman" w:cs="Times New Roman"/>
        </w:rPr>
        <w:t>evenue). The closer the points are to this line, the more accurate your model is. This graph helps identify over- and under-performing counties relative to their household size and specific sector activities (livestock and fishing). Deviations from the line are relatively small and appear random, suggesting no systematic over- or under-prediction.</w:t>
      </w:r>
    </w:p>
    <w:p w14:paraId="10ECD063" w14:textId="35FE3703" w:rsidR="00853FD2" w:rsidRPr="003B3F88" w:rsidRDefault="00B617FA" w:rsidP="00853FD2">
      <w:pPr>
        <w:pStyle w:val="BodyText"/>
        <w:spacing w:line="480" w:lineRule="auto"/>
        <w:rPr>
          <w:rFonts w:ascii="Times New Roman" w:hAnsi="Times New Roman" w:cs="Times New Roman"/>
        </w:rPr>
      </w:pPr>
      <w:bookmarkStart w:id="16" w:name="interpretation-of-predictors"/>
      <w:bookmarkEnd w:id="15"/>
      <w:r w:rsidRPr="003B3F88">
        <w:rPr>
          <w:rFonts w:ascii="Times New Roman" w:hAnsi="Times New Roman" w:cs="Times New Roman"/>
        </w:rPr>
        <w:t xml:space="preserve">This variable serves as a proxy for urbanization, market size, and the taxable base. As the number of households increases, the demand for county services (parking, permits, land rates) and the volume of trade </w:t>
      </w:r>
      <w:r w:rsidR="00BF0DC6" w:rsidRPr="003B3F88">
        <w:rPr>
          <w:rFonts w:ascii="Times New Roman" w:hAnsi="Times New Roman" w:cs="Times New Roman"/>
        </w:rPr>
        <w:t>are likely to increase</w:t>
      </w:r>
      <w:r w:rsidRPr="003B3F88">
        <w:rPr>
          <w:rFonts w:ascii="Times New Roman" w:hAnsi="Times New Roman" w:cs="Times New Roman"/>
        </w:rPr>
        <w:t>, thereby expanding the revenue base.</w:t>
      </w:r>
      <w:r w:rsidR="009F0AE7">
        <w:rPr>
          <w:rFonts w:ascii="Times New Roman" w:hAnsi="Times New Roman" w:cs="Times New Roman"/>
        </w:rPr>
        <w:t xml:space="preserve"> </w:t>
      </w:r>
      <w:r w:rsidR="00853FD2">
        <w:rPr>
          <w:rFonts w:ascii="Times New Roman" w:hAnsi="Times New Roman" w:cs="Times New Roman"/>
        </w:rPr>
        <w:t xml:space="preserve"> </w:t>
      </w:r>
      <w:r w:rsidR="009F0AE7">
        <w:rPr>
          <w:rFonts w:ascii="Times New Roman" w:hAnsi="Times New Roman" w:cs="Times New Roman"/>
        </w:rPr>
        <w:t>L</w:t>
      </w:r>
      <w:r w:rsidRPr="003B3F88">
        <w:rPr>
          <w:rFonts w:ascii="Times New Roman" w:hAnsi="Times New Roman" w:cs="Times New Roman"/>
        </w:rPr>
        <w:t>ivestock sub-</w:t>
      </w:r>
      <w:r w:rsidR="009F0AE7" w:rsidRPr="003B3F88">
        <w:rPr>
          <w:rFonts w:ascii="Times New Roman" w:hAnsi="Times New Roman" w:cs="Times New Roman"/>
        </w:rPr>
        <w:t xml:space="preserve">sector, </w:t>
      </w:r>
      <w:r w:rsidRPr="003B3F88">
        <w:rPr>
          <w:rFonts w:ascii="Times New Roman" w:hAnsi="Times New Roman" w:cs="Times New Roman"/>
        </w:rPr>
        <w:lastRenderedPageBreak/>
        <w:t>likely through organized meat production, sale yards, and cess fees—contributes meaningfully to the county fiscal base.</w:t>
      </w:r>
      <w:r w:rsidR="00853FD2">
        <w:rPr>
          <w:rFonts w:ascii="Times New Roman" w:hAnsi="Times New Roman" w:cs="Times New Roman"/>
        </w:rPr>
        <w:t xml:space="preserve"> </w:t>
      </w:r>
      <w:r w:rsidR="009F0AE7" w:rsidRPr="003B3F88">
        <w:rPr>
          <w:rFonts w:ascii="Times New Roman" w:hAnsi="Times New Roman" w:cs="Times New Roman"/>
        </w:rPr>
        <w:t>Counties that are</w:t>
      </w:r>
      <w:r w:rsidRPr="003B3F88">
        <w:rPr>
          <w:rFonts w:ascii="Times New Roman" w:hAnsi="Times New Roman" w:cs="Times New Roman"/>
        </w:rPr>
        <w:t xml:space="preserve"> heavily reliant on fishing may face challenges related to informality, lower commercial value chains compared to other sectors, or specific difficulties in enforcing collection within the fisheries industry.</w:t>
      </w:r>
      <w:r w:rsidR="00853FD2">
        <w:rPr>
          <w:rFonts w:ascii="Times New Roman" w:hAnsi="Times New Roman" w:cs="Times New Roman"/>
        </w:rPr>
        <w:t xml:space="preserve"> </w:t>
      </w:r>
      <w:r w:rsidR="00853FD2" w:rsidRPr="003B3F88">
        <w:rPr>
          <w:rFonts w:ascii="Times New Roman" w:hAnsi="Times New Roman" w:cs="Times New Roman"/>
        </w:rPr>
        <w:t>The model is statistically sound and provides a reliable framework for forecasting county revenue potentials based on these distinct economic activities.</w:t>
      </w:r>
    </w:p>
    <w:p w14:paraId="1A571C24" w14:textId="010999CE" w:rsidR="00D23D6D" w:rsidRPr="00D56436" w:rsidRDefault="00B617FA" w:rsidP="00FF1C7A">
      <w:pPr>
        <w:pStyle w:val="Heading2"/>
        <w:spacing w:before="0"/>
      </w:pPr>
      <w:bookmarkStart w:id="17" w:name="conclusion"/>
      <w:bookmarkEnd w:id="4"/>
      <w:bookmarkEnd w:id="16"/>
      <w:r w:rsidRPr="00D56436">
        <w:t>Conclusion</w:t>
      </w:r>
      <w:r w:rsidR="00FF1C7A">
        <w:t xml:space="preserve"> and p</w:t>
      </w:r>
      <w:r w:rsidR="00FF1C7A" w:rsidRPr="003B3F88">
        <w:t>olicy recommendations</w:t>
      </w:r>
    </w:p>
    <w:p w14:paraId="5D8F17E8" w14:textId="35C43D3A" w:rsidR="00343FED" w:rsidRDefault="00343FED" w:rsidP="00343FED">
      <w:pPr>
        <w:pStyle w:val="BodyText"/>
        <w:spacing w:line="480" w:lineRule="auto"/>
        <w:rPr>
          <w:rFonts w:ascii="Times New Roman" w:hAnsi="Times New Roman" w:cs="Times New Roman"/>
        </w:rPr>
      </w:pPr>
      <w:bookmarkStart w:id="18" w:name="policy-recommendations"/>
      <w:bookmarkEnd w:id="17"/>
      <w:r w:rsidRPr="00343FED">
        <w:rPr>
          <w:rFonts w:ascii="Times New Roman" w:hAnsi="Times New Roman" w:cs="Times New Roman"/>
        </w:rPr>
        <w:t xml:space="preserve">The findings indicate that structural features of county economies significantly shape OSR performance within Kenya’s devolved governance system. </w:t>
      </w:r>
    </w:p>
    <w:p w14:paraId="03387DC3" w14:textId="77777777" w:rsidR="00343FED" w:rsidRDefault="00343FED" w:rsidP="00343FED">
      <w:pPr>
        <w:pStyle w:val="BodyText"/>
        <w:spacing w:line="480" w:lineRule="auto"/>
        <w:rPr>
          <w:rFonts w:ascii="Times New Roman" w:hAnsi="Times New Roman" w:cs="Times New Roman"/>
        </w:rPr>
      </w:pPr>
      <w:r w:rsidRPr="00343FED">
        <w:rPr>
          <w:rFonts w:ascii="Times New Roman" w:hAnsi="Times New Roman" w:cs="Times New Roman"/>
        </w:rPr>
        <w:t>The negative relationship between fishing activity and OSR suggests that current county revenue strategies do not work well in fishing-dependent areas, especially those around Lake Victoria, Lake Turkana, and the Indian Ocean coast. In many of these counties, fishing is largely carried out by small-scale artisanal fishers operating in informal markets. This makes taxation at landing sites difficult to administer and often unpopular. As a result, counties such as Homa Bay, Migori, Siaya, Busia, Turkana, and Kilifi face structural challenges when relying on landing fees and other traditional fishing levies to generate revenue.</w:t>
      </w:r>
    </w:p>
    <w:p w14:paraId="06E0F7D4" w14:textId="74821509" w:rsidR="00343FED" w:rsidRPr="00343FED" w:rsidRDefault="00343FED" w:rsidP="00343FED">
      <w:pPr>
        <w:pStyle w:val="BodyText"/>
        <w:spacing w:line="480" w:lineRule="auto"/>
        <w:rPr>
          <w:rFonts w:ascii="Times New Roman" w:hAnsi="Times New Roman" w:cs="Times New Roman"/>
        </w:rPr>
      </w:pPr>
      <w:r w:rsidRPr="00343FED">
        <w:rPr>
          <w:rFonts w:ascii="Times New Roman" w:hAnsi="Times New Roman" w:cs="Times New Roman"/>
        </w:rPr>
        <w:t xml:space="preserve">Rather than focusing primarily on taxing primary production at landing beaches, counties with significant fishing activity could strengthen value-chain based revenue instruments. </w:t>
      </w:r>
      <w:r>
        <w:rPr>
          <w:rFonts w:ascii="Times New Roman" w:hAnsi="Times New Roman" w:cs="Times New Roman"/>
        </w:rPr>
        <w:t>T</w:t>
      </w:r>
      <w:r w:rsidRPr="00343FED">
        <w:rPr>
          <w:rFonts w:ascii="Times New Roman" w:hAnsi="Times New Roman" w:cs="Times New Roman"/>
        </w:rPr>
        <w:t>his could involve targeting taxation and licensing at fish processing facilities, cold storage infrastructure, transport and distribution networks, and wholesale market centers, where transactions are more formalized and easier to monitor. Strengthening regulatory coordination with national agencies such as the Kenya Fisheries Service may also improve compliance and reduce duplication between county fees and national regulatory charges.</w:t>
      </w:r>
    </w:p>
    <w:p w14:paraId="7F90264D" w14:textId="26A971E5" w:rsidR="00343FED" w:rsidRPr="00343FED" w:rsidRDefault="00343FED" w:rsidP="00343FED">
      <w:pPr>
        <w:pStyle w:val="BodyText"/>
        <w:spacing w:line="480" w:lineRule="auto"/>
        <w:rPr>
          <w:rFonts w:ascii="Times New Roman" w:hAnsi="Times New Roman" w:cs="Times New Roman"/>
        </w:rPr>
      </w:pPr>
      <w:r w:rsidRPr="00343FED">
        <w:rPr>
          <w:rFonts w:ascii="Times New Roman" w:hAnsi="Times New Roman" w:cs="Times New Roman"/>
        </w:rPr>
        <w:lastRenderedPageBreak/>
        <w:t>Conversely, the positive association between livestock abundance and OSR reflects the relatively stronger institutionalization of livestock-related revenue streams in many counties</w:t>
      </w:r>
      <w:r w:rsidR="009A4DD7">
        <w:rPr>
          <w:rFonts w:ascii="Times New Roman" w:hAnsi="Times New Roman" w:cs="Times New Roman"/>
        </w:rPr>
        <w:t>.</w:t>
      </w:r>
      <w:r w:rsidRPr="00343FED">
        <w:rPr>
          <w:rFonts w:ascii="Times New Roman" w:hAnsi="Times New Roman" w:cs="Times New Roman"/>
        </w:rPr>
        <w:t xml:space="preserve"> Existing mechanisms</w:t>
      </w:r>
      <w:r w:rsidR="009A4DD7">
        <w:rPr>
          <w:rFonts w:ascii="Times New Roman" w:hAnsi="Times New Roman" w:cs="Times New Roman"/>
        </w:rPr>
        <w:t xml:space="preserve"> </w:t>
      </w:r>
      <w:r w:rsidRPr="00343FED">
        <w:rPr>
          <w:rFonts w:ascii="Times New Roman" w:hAnsi="Times New Roman" w:cs="Times New Roman"/>
        </w:rPr>
        <w:t>such as livestock market fees, slaughterhouse charges, veterinary service fees, and livestock movement permits</w:t>
      </w:r>
      <w:r w:rsidR="009A4DD7">
        <w:rPr>
          <w:rFonts w:ascii="Times New Roman" w:hAnsi="Times New Roman" w:cs="Times New Roman"/>
        </w:rPr>
        <w:t xml:space="preserve"> </w:t>
      </w:r>
      <w:r w:rsidRPr="00343FED">
        <w:rPr>
          <w:rFonts w:ascii="Times New Roman" w:hAnsi="Times New Roman" w:cs="Times New Roman"/>
        </w:rPr>
        <w:t xml:space="preserve">provide counties with clearer taxation points within established market systems. Counties with large livestock populations, including </w:t>
      </w:r>
      <w:proofErr w:type="spellStart"/>
      <w:r w:rsidRPr="00343FED">
        <w:rPr>
          <w:rFonts w:ascii="Times New Roman" w:hAnsi="Times New Roman" w:cs="Times New Roman"/>
        </w:rPr>
        <w:t>Kajiado</w:t>
      </w:r>
      <w:proofErr w:type="spellEnd"/>
      <w:r w:rsidRPr="00343FED">
        <w:rPr>
          <w:rFonts w:ascii="Times New Roman" w:hAnsi="Times New Roman" w:cs="Times New Roman"/>
        </w:rPr>
        <w:t xml:space="preserve">, Narok, Garissa, </w:t>
      </w:r>
      <w:proofErr w:type="spellStart"/>
      <w:r w:rsidRPr="00343FED">
        <w:rPr>
          <w:rFonts w:ascii="Times New Roman" w:hAnsi="Times New Roman" w:cs="Times New Roman"/>
        </w:rPr>
        <w:t>Isiolo</w:t>
      </w:r>
      <w:proofErr w:type="spellEnd"/>
      <w:r w:rsidRPr="00343FED">
        <w:rPr>
          <w:rFonts w:ascii="Times New Roman" w:hAnsi="Times New Roman" w:cs="Times New Roman"/>
        </w:rPr>
        <w:t xml:space="preserve">, and </w:t>
      </w:r>
      <w:proofErr w:type="spellStart"/>
      <w:r w:rsidRPr="00343FED">
        <w:rPr>
          <w:rFonts w:ascii="Times New Roman" w:hAnsi="Times New Roman" w:cs="Times New Roman"/>
        </w:rPr>
        <w:t>Marsabit</w:t>
      </w:r>
      <w:proofErr w:type="spellEnd"/>
      <w:r w:rsidRPr="00343FED">
        <w:rPr>
          <w:rFonts w:ascii="Times New Roman" w:hAnsi="Times New Roman" w:cs="Times New Roman"/>
        </w:rPr>
        <w:t>, may therefore have greater opportunities to improve revenue mobilization by modernizing livestock markets, digitizing fee collection, and strengthening enforcement along livestock trade corridors.</w:t>
      </w:r>
    </w:p>
    <w:p w14:paraId="581A5135" w14:textId="77777777" w:rsidR="00343FED" w:rsidRPr="00343FED" w:rsidRDefault="00343FED" w:rsidP="00343FED">
      <w:pPr>
        <w:pStyle w:val="BodyText"/>
        <w:spacing w:line="480" w:lineRule="auto"/>
        <w:rPr>
          <w:rFonts w:ascii="Times New Roman" w:hAnsi="Times New Roman" w:cs="Times New Roman"/>
        </w:rPr>
      </w:pPr>
    </w:p>
    <w:p w14:paraId="1A571C28" w14:textId="775BE39C" w:rsidR="00D23D6D" w:rsidRPr="003B3F88" w:rsidRDefault="00343FED" w:rsidP="00343FED">
      <w:pPr>
        <w:pStyle w:val="BodyText"/>
        <w:spacing w:line="480" w:lineRule="auto"/>
        <w:rPr>
          <w:rFonts w:ascii="Times New Roman" w:hAnsi="Times New Roman" w:cs="Times New Roman"/>
        </w:rPr>
      </w:pPr>
      <w:r w:rsidRPr="00343FED">
        <w:rPr>
          <w:rFonts w:ascii="Times New Roman" w:hAnsi="Times New Roman" w:cs="Times New Roman"/>
        </w:rPr>
        <w:t>More broadly, the variation in revenue capacity observed across counties reflects deeper structural disparities between urbanized counties with diversified tax bases</w:t>
      </w:r>
      <w:r w:rsidR="009A4DD7">
        <w:rPr>
          <w:rFonts w:ascii="Times New Roman" w:hAnsi="Times New Roman" w:cs="Times New Roman"/>
        </w:rPr>
        <w:t xml:space="preserve"> </w:t>
      </w:r>
      <w:r w:rsidRPr="00343FED">
        <w:rPr>
          <w:rFonts w:ascii="Times New Roman" w:hAnsi="Times New Roman" w:cs="Times New Roman"/>
        </w:rPr>
        <w:t>such as Nairobi, Mombasa, and Kiambu</w:t>
      </w:r>
      <w:r w:rsidR="009A4DD7">
        <w:rPr>
          <w:rFonts w:ascii="Times New Roman" w:hAnsi="Times New Roman" w:cs="Times New Roman"/>
        </w:rPr>
        <w:t xml:space="preserve"> </w:t>
      </w:r>
      <w:r w:rsidRPr="00343FED">
        <w:rPr>
          <w:rFonts w:ascii="Times New Roman" w:hAnsi="Times New Roman" w:cs="Times New Roman"/>
        </w:rPr>
        <w:t xml:space="preserve">and counties whose economies are dominated by specific primary sectors. These structural differences suggest that expectations for OSR performance should be calibrated to local economic realities. In this regard, Kenya’s intergovernmental fiscal transfer system, particularly the county revenue allocation formula administered by the Commission on Revenue Allocation (CRA), may need to more explicitly account for differences in local revenue capacity. Strengthening equalization mechanisms and refining the revenue potential component of the allocation formula could help ensure that counties with structurally limited tax bases are not disadvantaged in their ability to finance public </w:t>
      </w:r>
      <w:r w:rsidR="009A4DD7" w:rsidRPr="00343FED">
        <w:rPr>
          <w:rFonts w:ascii="Times New Roman" w:hAnsi="Times New Roman" w:cs="Times New Roman"/>
        </w:rPr>
        <w:t>services.</w:t>
      </w:r>
    </w:p>
    <w:p w14:paraId="1A571C29" w14:textId="3FB28F2C" w:rsidR="00D23D6D" w:rsidRDefault="00FF1C7A" w:rsidP="004366A8">
      <w:pPr>
        <w:pStyle w:val="Heading2"/>
      </w:pPr>
      <w:bookmarkStart w:id="19" w:name="future-studies"/>
      <w:bookmarkEnd w:id="18"/>
      <w:r>
        <w:t>Limitations and f</w:t>
      </w:r>
      <w:r w:rsidR="00B617FA" w:rsidRPr="003B3F88">
        <w:t>uture studies</w:t>
      </w:r>
    </w:p>
    <w:p w14:paraId="2DF184DC" w14:textId="5E2DF244" w:rsidR="00FF1C7A" w:rsidRPr="00017BFA" w:rsidRDefault="00FF1C7A" w:rsidP="00017BFA">
      <w:pPr>
        <w:pStyle w:val="BodyText"/>
        <w:spacing w:line="480" w:lineRule="auto"/>
        <w:rPr>
          <w:rFonts w:ascii="Times New Roman" w:hAnsi="Times New Roman" w:cs="Times New Roman"/>
        </w:rPr>
      </w:pPr>
      <w:r w:rsidRPr="00FF1C7A">
        <w:rPr>
          <w:rFonts w:ascii="Times New Roman" w:hAnsi="Times New Roman" w:cs="Times New Roman"/>
        </w:rPr>
        <w:t>The study relies on cross-sectional data from the 2019 Kenya Population and Housing Census, which captures conditions at a single point in time. As a result, the analysis cannot account for temporal dynamics or changes in county revenue performance over time.</w:t>
      </w:r>
      <w:r>
        <w:rPr>
          <w:rFonts w:ascii="Times New Roman" w:hAnsi="Times New Roman" w:cs="Times New Roman"/>
        </w:rPr>
        <w:t xml:space="preserve"> </w:t>
      </w:r>
      <w:r w:rsidR="00B617FA" w:rsidRPr="003B3F88">
        <w:rPr>
          <w:rFonts w:ascii="Times New Roman" w:hAnsi="Times New Roman" w:cs="Times New Roman"/>
        </w:rPr>
        <w:t xml:space="preserve">Longitudinal panel </w:t>
      </w:r>
      <w:r w:rsidR="00B617FA" w:rsidRPr="003B3F88">
        <w:rPr>
          <w:rFonts w:ascii="Times New Roman" w:hAnsi="Times New Roman" w:cs="Times New Roman"/>
        </w:rPr>
        <w:lastRenderedPageBreak/>
        <w:t>studies are needed to examine how changes in household dynamics, urbanization, and specific sectoral shifts</w:t>
      </w:r>
      <w:r w:rsidR="00F57F83">
        <w:rPr>
          <w:rFonts w:ascii="Times New Roman" w:hAnsi="Times New Roman" w:cs="Times New Roman"/>
        </w:rPr>
        <w:t xml:space="preserve"> </w:t>
      </w:r>
      <w:r w:rsidR="00B617FA" w:rsidRPr="003B3F88">
        <w:rPr>
          <w:rFonts w:ascii="Times New Roman" w:hAnsi="Times New Roman" w:cs="Times New Roman"/>
        </w:rPr>
        <w:t>such as the growth of lives</w:t>
      </w:r>
      <w:bookmarkStart w:id="20" w:name="_GoBack"/>
      <w:bookmarkEnd w:id="20"/>
      <w:r w:rsidR="00B617FA" w:rsidRPr="003B3F88">
        <w:rPr>
          <w:rFonts w:ascii="Times New Roman" w:hAnsi="Times New Roman" w:cs="Times New Roman"/>
        </w:rPr>
        <w:t>tock markets or fluctuations in fishing output—affect OSR performance over time. This approach would allow for stronger causal inference regarding the distinct economic impacts of these agricultural sub-sectors than is possible with cross-sectional models.</w:t>
      </w:r>
      <w:r w:rsidR="00017BFA">
        <w:rPr>
          <w:rFonts w:ascii="Times New Roman" w:hAnsi="Times New Roman" w:cs="Times New Roman"/>
        </w:rPr>
        <w:t xml:space="preserve"> Also, </w:t>
      </w:r>
      <w:r w:rsidR="00017BFA" w:rsidRPr="00FF1C7A">
        <w:rPr>
          <w:rFonts w:ascii="Times New Roman" w:hAnsi="Times New Roman" w:cs="Times New Roman"/>
        </w:rPr>
        <w:t>the county-level aggregation masks intra-county heterogeneity, and the findings may have limited generalizability beyond Kenya’s specific devolved fiscal framework.</w:t>
      </w:r>
    </w:p>
    <w:p w14:paraId="2196C1CB" w14:textId="77777777" w:rsidR="00FF1C7A" w:rsidRDefault="00FF1C7A" w:rsidP="00FF1C7A">
      <w:pPr>
        <w:pStyle w:val="BodyText"/>
      </w:pPr>
    </w:p>
    <w:p w14:paraId="1B11A22A" w14:textId="77777777" w:rsidR="00FF1C7A" w:rsidRPr="00FF1C7A" w:rsidRDefault="00FF1C7A" w:rsidP="00FF1C7A">
      <w:pPr>
        <w:pStyle w:val="BodyText"/>
      </w:pPr>
    </w:p>
    <w:p w14:paraId="2186D48C" w14:textId="77777777" w:rsidR="00AA475B" w:rsidRPr="007C0BF0" w:rsidRDefault="00AA475B" w:rsidP="00AA475B">
      <w:pPr>
        <w:pStyle w:val="NoSpacing"/>
        <w:rPr>
          <w:rFonts w:ascii="Arial" w:hAnsi="Arial" w:cs="Arial"/>
          <w:b/>
          <w:highlight w:val="yellow"/>
        </w:rPr>
      </w:pPr>
      <w:bookmarkStart w:id="21" w:name="_Hlk219284361"/>
      <w:bookmarkStart w:id="22" w:name="_Hlk198031404"/>
      <w:bookmarkStart w:id="23" w:name="_Hlk219128673"/>
      <w:bookmarkStart w:id="24" w:name="_Hlk221094604"/>
      <w:r w:rsidRPr="007C0BF0">
        <w:rPr>
          <w:rFonts w:ascii="Arial" w:hAnsi="Arial" w:cs="Arial"/>
          <w:b/>
          <w:highlight w:val="yellow"/>
        </w:rPr>
        <w:t>Disclaimer (Artificial intelligence)</w:t>
      </w:r>
    </w:p>
    <w:p w14:paraId="4C94C2D2" w14:textId="77777777" w:rsidR="00AA475B" w:rsidRPr="00005ED1" w:rsidRDefault="00AA475B" w:rsidP="00AA475B">
      <w:pPr>
        <w:pStyle w:val="NoSpacing"/>
        <w:rPr>
          <w:rFonts w:ascii="Arial" w:hAnsi="Arial" w:cs="Arial"/>
          <w:highlight w:val="yellow"/>
        </w:rPr>
      </w:pPr>
    </w:p>
    <w:p w14:paraId="6544F563" w14:textId="1B37DAB9" w:rsidR="00AA475B" w:rsidRPr="009A4DD7" w:rsidRDefault="00AA475B" w:rsidP="009A4DD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1"/>
      <w:r w:rsidRPr="00005ED1">
        <w:rPr>
          <w:rFonts w:ascii="Arial" w:hAnsi="Arial" w:cs="Arial"/>
          <w:highlight w:val="yellow"/>
        </w:rPr>
        <w:t xml:space="preserve">. </w:t>
      </w:r>
      <w:bookmarkEnd w:id="22"/>
      <w:bookmarkEnd w:id="23"/>
      <w:bookmarkEnd w:id="24"/>
    </w:p>
    <w:p w14:paraId="1FBDDB1B" w14:textId="3499B234" w:rsidR="00533686" w:rsidRPr="003B3F88" w:rsidRDefault="00533686" w:rsidP="00D56436">
      <w:pPr>
        <w:pStyle w:val="Heading1"/>
      </w:pPr>
      <w:r w:rsidRPr="003B3F88">
        <w:t>References:</w:t>
      </w:r>
    </w:p>
    <w:sdt>
      <w:sdtPr>
        <w:rPr>
          <w:rFonts w:ascii="Times New Roman" w:hAnsi="Times New Roman" w:cs="Times New Roman"/>
          <w:b/>
          <w:sz w:val="32"/>
        </w:rPr>
        <w:tag w:val="Bibliography"/>
        <w:id w:val="-1825509429"/>
        <w:placeholder>
          <w:docPart w:val="DefaultPlaceholder_-1854013440"/>
        </w:placeholder>
      </w:sdtPr>
      <w:sdtEndPr/>
      <w:sdtContent>
        <w:p w14:paraId="08D32731" w14:textId="77777777" w:rsidR="003B3F88" w:rsidRPr="003B3F88" w:rsidRDefault="003B3F88" w:rsidP="003B3F88">
          <w:pPr>
            <w:pStyle w:val="FirstParagraph"/>
            <w:spacing w:line="480" w:lineRule="auto"/>
            <w:ind w:left="400" w:hanging="400"/>
            <w:jc w:val="both"/>
            <w:rPr>
              <w:rFonts w:ascii="Times New Roman" w:hAnsi="Times New Roman" w:cs="Times New Roman"/>
              <w:b/>
              <w:sz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D56436" w:rsidRPr="003B3F88" w14:paraId="52B02037" w14:textId="77777777">
            <w:trPr>
              <w:tblCellSpacing w:w="15" w:type="dxa"/>
            </w:trPr>
            <w:tc>
              <w:tcPr>
                <w:tcW w:w="0" w:type="auto"/>
                <w:vAlign w:val="center"/>
                <w:hideMark/>
              </w:tcPr>
              <w:p w14:paraId="51C7BB66" w14:textId="3815023B"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de-DE"/>
                  </w:rPr>
                  <w:t xml:space="preserve">Adu, E. P., Buabeng, T., Asamoah, K., &amp; Damoah, C. M. (2019). </w:t>
                </w:r>
                <w:r w:rsidRPr="00D56436">
                  <w:rPr>
                    <w:rFonts w:ascii="Times New Roman" w:eastAsia="Times New Roman" w:hAnsi="Times New Roman" w:cs="Times New Roman"/>
                  </w:rPr>
                  <w:t xml:space="preserve">Digitization of local revenue collection in </w:t>
                </w:r>
                <w:proofErr w:type="spellStart"/>
                <w:r w:rsidRPr="00D56436">
                  <w:rPr>
                    <w:rFonts w:ascii="Times New Roman" w:eastAsia="Times New Roman" w:hAnsi="Times New Roman" w:cs="Times New Roman"/>
                  </w:rPr>
                  <w:t>ghana</w:t>
                </w:r>
                <w:proofErr w:type="spellEnd"/>
                <w:r w:rsidRPr="00D56436">
                  <w:rPr>
                    <w:rFonts w:ascii="Times New Roman" w:eastAsia="Times New Roman" w:hAnsi="Times New Roman" w:cs="Times New Roman"/>
                  </w:rPr>
                  <w:t xml:space="preserve">: an evaluation of </w:t>
                </w:r>
                <w:proofErr w:type="spellStart"/>
                <w:r w:rsidRPr="00D56436">
                  <w:rPr>
                    <w:rFonts w:ascii="Times New Roman" w:eastAsia="Times New Roman" w:hAnsi="Times New Roman" w:cs="Times New Roman"/>
                  </w:rPr>
                  <w:t>accra</w:t>
                </w:r>
                <w:proofErr w:type="spellEnd"/>
                <w:r w:rsidRPr="00D56436">
                  <w:rPr>
                    <w:rFonts w:ascii="Times New Roman" w:eastAsia="Times New Roman" w:hAnsi="Times New Roman" w:cs="Times New Roman"/>
                  </w:rPr>
                  <w:t xml:space="preserve"> metropolitan assembly (</w:t>
                </w:r>
                <w:proofErr w:type="spellStart"/>
                <w:r w:rsidRPr="00D56436">
                  <w:rPr>
                    <w:rFonts w:ascii="Times New Roman" w:eastAsia="Times New Roman" w:hAnsi="Times New Roman" w:cs="Times New Roman"/>
                  </w:rPr>
                  <w:t>ama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Electronic Journal of Information Systems in Developing Countries</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86</w:t>
                </w:r>
                <w:r w:rsidRPr="00D56436">
                  <w:rPr>
                    <w:rFonts w:ascii="Times New Roman" w:eastAsia="Times New Roman" w:hAnsi="Times New Roman" w:cs="Times New Roman"/>
                  </w:rPr>
                  <w:t xml:space="preserve">(1). </w:t>
                </w:r>
                <w:hyperlink r:id="rId10" w:history="1">
                  <w:r w:rsidRPr="00EB7456">
                    <w:rPr>
                      <w:rStyle w:val="Hyperlink"/>
                      <w:rFonts w:ascii="Times New Roman" w:eastAsia="Times New Roman" w:hAnsi="Times New Roman" w:cs="Times New Roman"/>
                    </w:rPr>
                    <w:t>https://doi.org/10.1002/isd2.12112</w:t>
                  </w:r>
                </w:hyperlink>
              </w:p>
            </w:tc>
          </w:tr>
          <w:tr w:rsidR="00D56436" w:rsidRPr="003B3F88" w14:paraId="68FF4331" w14:textId="77777777">
            <w:trPr>
              <w:tblCellSpacing w:w="15" w:type="dxa"/>
            </w:trPr>
            <w:tc>
              <w:tcPr>
                <w:tcW w:w="0" w:type="auto"/>
                <w:vAlign w:val="center"/>
                <w:hideMark/>
              </w:tcPr>
              <w:p w14:paraId="49D0B785" w14:textId="7AE7CF50"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it-IT"/>
                  </w:rPr>
                  <w:t xml:space="preserve">Ayieko, D. S., &amp; Cherono, I. (2024). </w:t>
                </w:r>
                <w:r w:rsidRPr="00D56436">
                  <w:rPr>
                    <w:rFonts w:ascii="Times New Roman" w:eastAsia="Times New Roman" w:hAnsi="Times New Roman" w:cs="Times New Roman"/>
                  </w:rPr>
                  <w:t xml:space="preserve">Effect of innovative technology on revenue collection in south </w:t>
                </w:r>
                <w:proofErr w:type="spellStart"/>
                <w:r w:rsidRPr="00D56436">
                  <w:rPr>
                    <w:rFonts w:ascii="Times New Roman" w:eastAsia="Times New Roman" w:hAnsi="Times New Roman" w:cs="Times New Roman"/>
                  </w:rPr>
                  <w:t>nyanza</w:t>
                </w:r>
                <w:proofErr w:type="spellEnd"/>
                <w:r w:rsidRPr="00D56436">
                  <w:rPr>
                    <w:rFonts w:ascii="Times New Roman" w:eastAsia="Times New Roman" w:hAnsi="Times New Roman" w:cs="Times New Roman"/>
                  </w:rPr>
                  <w:t xml:space="preserve"> county governments,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European Journal of Business and Innovation Research</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12</w:t>
                </w:r>
                <w:r w:rsidRPr="00D56436">
                  <w:rPr>
                    <w:rFonts w:ascii="Times New Roman" w:eastAsia="Times New Roman" w:hAnsi="Times New Roman" w:cs="Times New Roman"/>
                  </w:rPr>
                  <w:t xml:space="preserve">(6), 48–68. </w:t>
                </w:r>
                <w:hyperlink r:id="rId11" w:history="1">
                  <w:r w:rsidRPr="00EB7456">
                    <w:rPr>
                      <w:rStyle w:val="Hyperlink"/>
                      <w:rFonts w:ascii="Times New Roman" w:eastAsia="Times New Roman" w:hAnsi="Times New Roman" w:cs="Times New Roman"/>
                    </w:rPr>
                    <w:t>https://doi.org/10.37745/ejbir.2013/vol12n64868</w:t>
                  </w:r>
                </w:hyperlink>
              </w:p>
            </w:tc>
          </w:tr>
          <w:tr w:rsidR="00D56436" w:rsidRPr="003B3F88" w14:paraId="1BB74ECC" w14:textId="77777777">
            <w:trPr>
              <w:tblCellSpacing w:w="15" w:type="dxa"/>
            </w:trPr>
            <w:tc>
              <w:tcPr>
                <w:tcW w:w="0" w:type="auto"/>
                <w:vAlign w:val="center"/>
                <w:hideMark/>
              </w:tcPr>
              <w:p w14:paraId="23C1A1E5" w14:textId="1CEA4519"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Boex</w:t>
                </w:r>
                <w:proofErr w:type="spellEnd"/>
                <w:r w:rsidRPr="00D56436">
                  <w:rPr>
                    <w:rFonts w:ascii="Times New Roman" w:eastAsia="Times New Roman" w:hAnsi="Times New Roman" w:cs="Times New Roman"/>
                  </w:rPr>
                  <w:t xml:space="preserve">, J., &amp; Kelly, R. (2011). Fiscal decentralization in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a small step or giant leap? </w:t>
                </w:r>
                <w:r w:rsidRPr="00D56436">
                  <w:rPr>
                    <w:rFonts w:ascii="Times New Roman" w:eastAsia="Times New Roman" w:hAnsi="Times New Roman" w:cs="Times New Roman"/>
                    <w:i/>
                    <w:iCs/>
                  </w:rPr>
                  <w:t>Urban Institute Center on International Development and Governance</w:t>
                </w:r>
                <w:r w:rsidRPr="00D56436">
                  <w:rPr>
                    <w:rFonts w:ascii="Times New Roman" w:eastAsia="Times New Roman" w:hAnsi="Times New Roman" w:cs="Times New Roman"/>
                  </w:rPr>
                  <w:t>.</w:t>
                </w:r>
                <w:r w:rsidR="00EB7456">
                  <w:t xml:space="preserve"> </w:t>
                </w:r>
                <w:hyperlink r:id="rId12" w:history="1">
                  <w:r w:rsidR="00EB7456" w:rsidRPr="00EB7456">
                    <w:rPr>
                      <w:rStyle w:val="Hyperlink"/>
                      <w:rFonts w:ascii="Times New Roman" w:eastAsia="Times New Roman" w:hAnsi="Times New Roman" w:cs="Times New Roman"/>
                    </w:rPr>
                    <w:t>https://www.urban.org/sites/default/files/publication/27286/412332-Fiscal-Decentralization-in-Kenya-A-Small-Step-or-Giant-Leap-.PDF</w:t>
                  </w:r>
                </w:hyperlink>
              </w:p>
            </w:tc>
          </w:tr>
          <w:tr w:rsidR="00D56436" w:rsidRPr="003B3F88" w14:paraId="69F5F84D" w14:textId="77777777">
            <w:trPr>
              <w:tblCellSpacing w:w="15" w:type="dxa"/>
            </w:trPr>
            <w:tc>
              <w:tcPr>
                <w:tcW w:w="0" w:type="auto"/>
                <w:vAlign w:val="center"/>
                <w:hideMark/>
              </w:tcPr>
              <w:p w14:paraId="62569B22" w14:textId="5E2C7D8E"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it-IT"/>
                  </w:rPr>
                  <w:t xml:space="preserve">Caldeira, E., &amp; Rota-Graziosi, G. (2014). </w:t>
                </w:r>
                <w:r w:rsidRPr="00D56436">
                  <w:rPr>
                    <w:rFonts w:ascii="Times New Roman" w:eastAsia="Times New Roman" w:hAnsi="Times New Roman" w:cs="Times New Roman"/>
                  </w:rPr>
                  <w:t xml:space="preserve">The crowding-in effect of simple unconditional central grants on local own-source revenue: the case of </w:t>
                </w:r>
                <w:proofErr w:type="spellStart"/>
                <w:r w:rsidRPr="00D56436">
                  <w:rPr>
                    <w:rFonts w:ascii="Times New Roman" w:eastAsia="Times New Roman" w:hAnsi="Times New Roman" w:cs="Times New Roman"/>
                  </w:rPr>
                  <w:t>benin</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Journal of African Economies</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23</w:t>
                </w:r>
                <w:r w:rsidRPr="00D56436">
                  <w:rPr>
                    <w:rFonts w:ascii="Times New Roman" w:eastAsia="Times New Roman" w:hAnsi="Times New Roman" w:cs="Times New Roman"/>
                  </w:rPr>
                  <w:t xml:space="preserve">(3), 361–387. </w:t>
                </w:r>
                <w:hyperlink r:id="rId13" w:history="1">
                  <w:r w:rsidRPr="00EB7456">
                    <w:rPr>
                      <w:rStyle w:val="Hyperlink"/>
                      <w:rFonts w:ascii="Times New Roman" w:eastAsia="Times New Roman" w:hAnsi="Times New Roman" w:cs="Times New Roman"/>
                    </w:rPr>
                    <w:t>https://doi.org/10.1093/jae/eju003</w:t>
                  </w:r>
                </w:hyperlink>
              </w:p>
            </w:tc>
          </w:tr>
          <w:tr w:rsidR="00D56436" w:rsidRPr="003B3F88" w14:paraId="255A956F" w14:textId="77777777">
            <w:trPr>
              <w:tblCellSpacing w:w="15" w:type="dxa"/>
            </w:trPr>
            <w:tc>
              <w:tcPr>
                <w:tcW w:w="0" w:type="auto"/>
                <w:vAlign w:val="center"/>
                <w:hideMark/>
              </w:tcPr>
              <w:p w14:paraId="1C439451" w14:textId="260C0F82"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rPr>
                  <w:t xml:space="preserve">Edmond, S. S., </w:t>
                </w:r>
                <w:proofErr w:type="spellStart"/>
                <w:r w:rsidRPr="00D56436">
                  <w:rPr>
                    <w:rFonts w:ascii="Times New Roman" w:eastAsia="Times New Roman" w:hAnsi="Times New Roman" w:cs="Times New Roman"/>
                  </w:rPr>
                  <w:t>Malenya</w:t>
                </w:r>
                <w:proofErr w:type="spellEnd"/>
                <w:r w:rsidRPr="00D56436">
                  <w:rPr>
                    <w:rFonts w:ascii="Times New Roman" w:eastAsia="Times New Roman" w:hAnsi="Times New Roman" w:cs="Times New Roman"/>
                  </w:rPr>
                  <w:t xml:space="preserve">, D. A., &amp; Simiyu, D. E. J. (2023). Risk identification practices and revenue collection in county governments in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a case of the county government </w:t>
                </w:r>
                <w:r w:rsidRPr="00D56436">
                  <w:rPr>
                    <w:rFonts w:ascii="Times New Roman" w:eastAsia="Times New Roman" w:hAnsi="Times New Roman" w:cs="Times New Roman"/>
                  </w:rPr>
                  <w:lastRenderedPageBreak/>
                  <w:t xml:space="preserve">of </w:t>
                </w:r>
                <w:proofErr w:type="spellStart"/>
                <w:r w:rsidRPr="00D56436">
                  <w:rPr>
                    <w:rFonts w:ascii="Times New Roman" w:eastAsia="Times New Roman" w:hAnsi="Times New Roman" w:cs="Times New Roman"/>
                  </w:rPr>
                  <w:t>bungoma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International Journal of Research and Innovation in Social Science</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VII</w:t>
                </w:r>
                <w:r w:rsidRPr="00D56436">
                  <w:rPr>
                    <w:rFonts w:ascii="Times New Roman" w:eastAsia="Times New Roman" w:hAnsi="Times New Roman" w:cs="Times New Roman"/>
                  </w:rPr>
                  <w:t xml:space="preserve">(X), 980–991. </w:t>
                </w:r>
                <w:hyperlink r:id="rId14" w:history="1">
                  <w:r w:rsidRPr="00EB7456">
                    <w:rPr>
                      <w:rStyle w:val="Hyperlink"/>
                      <w:rFonts w:ascii="Times New Roman" w:eastAsia="Times New Roman" w:hAnsi="Times New Roman" w:cs="Times New Roman"/>
                    </w:rPr>
                    <w:t>https://doi.org/10.47772/ijriss.2023.701077</w:t>
                  </w:r>
                </w:hyperlink>
              </w:p>
            </w:tc>
          </w:tr>
          <w:tr w:rsidR="00D56436" w:rsidRPr="003B3F88" w14:paraId="08C1CAFA" w14:textId="77777777">
            <w:trPr>
              <w:tblCellSpacing w:w="15" w:type="dxa"/>
            </w:trPr>
            <w:tc>
              <w:tcPr>
                <w:tcW w:w="0" w:type="auto"/>
                <w:vAlign w:val="center"/>
                <w:hideMark/>
              </w:tcPr>
              <w:p w14:paraId="1F2398F8" w14:textId="581DAE55"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lastRenderedPageBreak/>
                  <w:t>Heeks</w:t>
                </w:r>
                <w:proofErr w:type="spellEnd"/>
                <w:r w:rsidRPr="00D56436">
                  <w:rPr>
                    <w:rFonts w:ascii="Times New Roman" w:eastAsia="Times New Roman" w:hAnsi="Times New Roman" w:cs="Times New Roman"/>
                  </w:rPr>
                  <w:t xml:space="preserve">, R. (2003). E-government in </w:t>
                </w:r>
                <w:proofErr w:type="spellStart"/>
                <w:r w:rsidRPr="00D56436">
                  <w:rPr>
                    <w:rFonts w:ascii="Times New Roman" w:eastAsia="Times New Roman" w:hAnsi="Times New Roman" w:cs="Times New Roman"/>
                  </w:rPr>
                  <w:t>africa</w:t>
                </w:r>
                <w:proofErr w:type="spellEnd"/>
                <w:r w:rsidRPr="00D56436">
                  <w:rPr>
                    <w:rFonts w:ascii="Times New Roman" w:eastAsia="Times New Roman" w:hAnsi="Times New Roman" w:cs="Times New Roman"/>
                  </w:rPr>
                  <w:t xml:space="preserve">: promise and practice. </w:t>
                </w:r>
                <w:r w:rsidRPr="00D56436">
                  <w:rPr>
                    <w:rFonts w:ascii="Times New Roman" w:eastAsia="Times New Roman" w:hAnsi="Times New Roman" w:cs="Times New Roman"/>
                    <w:i/>
                    <w:iCs/>
                  </w:rPr>
                  <w:t>Information Polity</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7</w:t>
                </w:r>
                <w:r w:rsidRPr="00D56436">
                  <w:rPr>
                    <w:rFonts w:ascii="Times New Roman" w:eastAsia="Times New Roman" w:hAnsi="Times New Roman" w:cs="Times New Roman"/>
                  </w:rPr>
                  <w:t>(2–3), 97–114.</w:t>
                </w:r>
                <w:r w:rsidR="00EB7456" w:rsidRPr="00EB7456">
                  <w:rPr>
                    <w:rFonts w:ascii="Roboto" w:hAnsi="Roboto"/>
                    <w:color w:val="555555"/>
                    <w:sz w:val="21"/>
                    <w:szCs w:val="21"/>
                    <w:shd w:val="clear" w:color="auto" w:fill="FFFFFF"/>
                  </w:rPr>
                  <w:t xml:space="preserve"> </w:t>
                </w:r>
                <w:hyperlink r:id="rId15" w:history="1">
                  <w:r w:rsidR="00EB7456" w:rsidRPr="00EB7456">
                    <w:rPr>
                      <w:rStyle w:val="Hyperlink"/>
                      <w:rFonts w:ascii="Times New Roman" w:eastAsia="Times New Roman" w:hAnsi="Times New Roman" w:cs="Times New Roman"/>
                    </w:rPr>
                    <w:t>https://doi.org/10.3233/IP-2002-0008</w:t>
                  </w:r>
                </w:hyperlink>
              </w:p>
            </w:tc>
          </w:tr>
          <w:tr w:rsidR="00D56436" w:rsidRPr="003B3F88" w14:paraId="7EECAA20" w14:textId="77777777">
            <w:trPr>
              <w:tblCellSpacing w:w="15" w:type="dxa"/>
            </w:trPr>
            <w:tc>
              <w:tcPr>
                <w:tcW w:w="0" w:type="auto"/>
                <w:vAlign w:val="center"/>
                <w:hideMark/>
              </w:tcPr>
              <w:p w14:paraId="0D949212" w14:textId="03D809AC"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rPr>
                  <w:t xml:space="preserve">Henry, J. O., Bogonko, J., &amp; </w:t>
                </w:r>
                <w:proofErr w:type="spellStart"/>
                <w:r w:rsidRPr="00D56436">
                  <w:rPr>
                    <w:rFonts w:ascii="Times New Roman" w:eastAsia="Times New Roman" w:hAnsi="Times New Roman" w:cs="Times New Roman"/>
                  </w:rPr>
                  <w:t>Ong’iyo</w:t>
                </w:r>
                <w:proofErr w:type="spellEnd"/>
                <w:r w:rsidRPr="00D56436">
                  <w:rPr>
                    <w:rFonts w:ascii="Times New Roman" w:eastAsia="Times New Roman" w:hAnsi="Times New Roman" w:cs="Times New Roman"/>
                  </w:rPr>
                  <w:t xml:space="preserve">, C. (2018). Influence of automation on revenue collection by the county government of </w:t>
                </w:r>
                <w:proofErr w:type="spellStart"/>
                <w:r w:rsidRPr="00D56436">
                  <w:rPr>
                    <w:rFonts w:ascii="Times New Roman" w:eastAsia="Times New Roman" w:hAnsi="Times New Roman" w:cs="Times New Roman"/>
                  </w:rPr>
                  <w:t>nakuru</w:t>
                </w:r>
                <w:proofErr w:type="spellEnd"/>
                <w:r w:rsidRPr="00D56436">
                  <w:rPr>
                    <w:rFonts w:ascii="Times New Roman" w:eastAsia="Times New Roman" w:hAnsi="Times New Roman" w:cs="Times New Roman"/>
                  </w:rPr>
                  <w:t xml:space="preserve">,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004366A8" w:rsidRPr="00D56436">
                  <w:rPr>
                    <w:rFonts w:ascii="Times New Roman" w:eastAsia="Times New Roman" w:hAnsi="Times New Roman" w:cs="Times New Roman"/>
                    <w:i/>
                    <w:iCs/>
                  </w:rPr>
                  <w:t>international journals of academics &amp; research</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Vol1</w:t>
                </w:r>
                <w:r w:rsidRPr="00D56436">
                  <w:rPr>
                    <w:rFonts w:ascii="Times New Roman" w:eastAsia="Times New Roman" w:hAnsi="Times New Roman" w:cs="Times New Roman"/>
                  </w:rPr>
                  <w:t>(Issue1), 12.</w:t>
                </w:r>
                <w:r w:rsidR="00EB7456">
                  <w:rPr>
                    <w:rFonts w:ascii="Times New Roman" w:eastAsia="Times New Roman" w:hAnsi="Times New Roman" w:cs="Times New Roman"/>
                  </w:rPr>
                  <w:t xml:space="preserve"> </w:t>
                </w:r>
                <w:hyperlink r:id="rId16" w:history="1">
                  <w:r w:rsidR="00EB7456" w:rsidRPr="00EB7456">
                    <w:rPr>
                      <w:rStyle w:val="Hyperlink"/>
                      <w:rFonts w:ascii="Times New Roman" w:eastAsia="Times New Roman" w:hAnsi="Times New Roman" w:cs="Times New Roman"/>
                    </w:rPr>
                    <w:t>https://ijecm.co.uk/wp-content/uploads/2018/09/6916.pdf</w:t>
                  </w:r>
                </w:hyperlink>
              </w:p>
            </w:tc>
          </w:tr>
          <w:tr w:rsidR="00D56436" w:rsidRPr="003B3F88" w14:paraId="7556A707" w14:textId="77777777">
            <w:trPr>
              <w:tblCellSpacing w:w="15" w:type="dxa"/>
            </w:trPr>
            <w:tc>
              <w:tcPr>
                <w:tcW w:w="0" w:type="auto"/>
                <w:vAlign w:val="center"/>
                <w:hideMark/>
              </w:tcPr>
              <w:p w14:paraId="584778B2" w14:textId="0EA71A9A"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rPr>
                  <w:t xml:space="preserve">Juma, N. C. W., &amp; </w:t>
                </w:r>
                <w:proofErr w:type="spellStart"/>
                <w:r w:rsidRPr="00D56436">
                  <w:rPr>
                    <w:rFonts w:ascii="Times New Roman" w:eastAsia="Times New Roman" w:hAnsi="Times New Roman" w:cs="Times New Roman"/>
                  </w:rPr>
                  <w:t>Kinyamjui</w:t>
                </w:r>
                <w:proofErr w:type="spellEnd"/>
                <w:r w:rsidRPr="00D56436">
                  <w:rPr>
                    <w:rFonts w:ascii="Times New Roman" w:eastAsia="Times New Roman" w:hAnsi="Times New Roman" w:cs="Times New Roman"/>
                  </w:rPr>
                  <w:t xml:space="preserve">, N. J. (2025). The influence of corporate governance practices on efficiency of tax revenue collection in </w:t>
                </w:r>
                <w:proofErr w:type="spellStart"/>
                <w:r w:rsidRPr="00D56436">
                  <w:rPr>
                    <w:rFonts w:ascii="Times New Roman" w:eastAsia="Times New Roman" w:hAnsi="Times New Roman" w:cs="Times New Roman"/>
                  </w:rPr>
                  <w:t>laikipia</w:t>
                </w:r>
                <w:proofErr w:type="spellEnd"/>
                <w:r w:rsidRPr="00D56436">
                  <w:rPr>
                    <w:rFonts w:ascii="Times New Roman" w:eastAsia="Times New Roman" w:hAnsi="Times New Roman" w:cs="Times New Roman"/>
                  </w:rPr>
                  <w:t xml:space="preserve"> county government,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 xml:space="preserve">The International Journal </w:t>
                </w:r>
                <w:proofErr w:type="gramStart"/>
                <w:r w:rsidRPr="00D56436">
                  <w:rPr>
                    <w:rFonts w:ascii="Times New Roman" w:eastAsia="Times New Roman" w:hAnsi="Times New Roman" w:cs="Times New Roman"/>
                    <w:i/>
                    <w:iCs/>
                  </w:rPr>
                  <w:t>of  Humanities</w:t>
                </w:r>
                <w:proofErr w:type="gramEnd"/>
                <w:r w:rsidRPr="00D56436">
                  <w:rPr>
                    <w:rFonts w:ascii="Times New Roman" w:eastAsia="Times New Roman" w:hAnsi="Times New Roman" w:cs="Times New Roman"/>
                    <w:i/>
                    <w:iCs/>
                  </w:rPr>
                  <w:t xml:space="preserve"> &amp; Social Studies</w:t>
                </w:r>
                <w:r w:rsidRPr="00D56436">
                  <w:rPr>
                    <w:rFonts w:ascii="Times New Roman" w:eastAsia="Times New Roman" w:hAnsi="Times New Roman" w:cs="Times New Roman"/>
                  </w:rPr>
                  <w:t xml:space="preserve">. </w:t>
                </w:r>
                <w:hyperlink r:id="rId17" w:history="1">
                  <w:r w:rsidRPr="00EB7456">
                    <w:rPr>
                      <w:rStyle w:val="Hyperlink"/>
                      <w:rFonts w:ascii="Times New Roman" w:eastAsia="Times New Roman" w:hAnsi="Times New Roman" w:cs="Times New Roman"/>
                    </w:rPr>
                    <w:t>https://doi.org/10.24940/theijhss/2024/v12/i10/hs2410-011</w:t>
                  </w:r>
                </w:hyperlink>
              </w:p>
            </w:tc>
          </w:tr>
          <w:tr w:rsidR="00D56436" w:rsidRPr="003B3F88" w14:paraId="23D7F5E5" w14:textId="77777777">
            <w:trPr>
              <w:tblCellSpacing w:w="15" w:type="dxa"/>
            </w:trPr>
            <w:tc>
              <w:tcPr>
                <w:tcW w:w="0" w:type="auto"/>
                <w:vAlign w:val="center"/>
                <w:hideMark/>
              </w:tcPr>
              <w:p w14:paraId="1852B174" w14:textId="2A7A6E88"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Khadondi</w:t>
                </w:r>
                <w:proofErr w:type="spellEnd"/>
                <w:r w:rsidRPr="00D56436">
                  <w:rPr>
                    <w:rFonts w:ascii="Times New Roman" w:eastAsia="Times New Roman" w:hAnsi="Times New Roman" w:cs="Times New Roman"/>
                  </w:rPr>
                  <w:t xml:space="preserve">, S. (2016). Determinants of own source revenue </w:t>
                </w:r>
                <w:proofErr w:type="spellStart"/>
                <w:r w:rsidRPr="00D56436">
                  <w:rPr>
                    <w:rFonts w:ascii="Times New Roman" w:eastAsia="Times New Roman" w:hAnsi="Times New Roman" w:cs="Times New Roman"/>
                  </w:rPr>
                  <w:t>mobilisation</w:t>
                </w:r>
                <w:proofErr w:type="spellEnd"/>
                <w:r w:rsidRPr="00D56436">
                  <w:rPr>
                    <w:rFonts w:ascii="Times New Roman" w:eastAsia="Times New Roman" w:hAnsi="Times New Roman" w:cs="Times New Roman"/>
                  </w:rPr>
                  <w:t xml:space="preserve"> by counties in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International Journal of Science and Research (IJSR)</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5</w:t>
                </w:r>
                <w:r w:rsidRPr="00D56436">
                  <w:rPr>
                    <w:rFonts w:ascii="Times New Roman" w:eastAsia="Times New Roman" w:hAnsi="Times New Roman" w:cs="Times New Roman"/>
                  </w:rPr>
                  <w:t xml:space="preserve">(11). </w:t>
                </w:r>
                <w:hyperlink r:id="rId18" w:history="1">
                  <w:r w:rsidRPr="00EB7456">
                    <w:rPr>
                      <w:rStyle w:val="Hyperlink"/>
                      <w:rFonts w:ascii="Times New Roman" w:eastAsia="Times New Roman" w:hAnsi="Times New Roman" w:cs="Times New Roman"/>
                    </w:rPr>
                    <w:t>https://doi.org/10.21275/art20162462</w:t>
                  </w:r>
                </w:hyperlink>
              </w:p>
            </w:tc>
          </w:tr>
          <w:tr w:rsidR="00D56436" w:rsidRPr="003B3F88" w14:paraId="48C5380E" w14:textId="77777777">
            <w:trPr>
              <w:tblCellSpacing w:w="15" w:type="dxa"/>
            </w:trPr>
            <w:tc>
              <w:tcPr>
                <w:tcW w:w="0" w:type="auto"/>
                <w:vAlign w:val="center"/>
                <w:hideMark/>
              </w:tcPr>
              <w:p w14:paraId="2F012331" w14:textId="550C3C46"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it-IT"/>
                  </w:rPr>
                  <w:t xml:space="preserve">Kipkirui, B. K., &amp; Makori, D. (2023). </w:t>
                </w:r>
                <w:r w:rsidRPr="00D56436">
                  <w:rPr>
                    <w:rFonts w:ascii="Times New Roman" w:eastAsia="Times New Roman" w:hAnsi="Times New Roman" w:cs="Times New Roman"/>
                  </w:rPr>
                  <w:t xml:space="preserve">INTERNAL control systems and revenue collection performance of the county government of </w:t>
                </w:r>
                <w:proofErr w:type="spellStart"/>
                <w:r w:rsidRPr="00D56436">
                  <w:rPr>
                    <w:rFonts w:ascii="Times New Roman" w:eastAsia="Times New Roman" w:hAnsi="Times New Roman" w:cs="Times New Roman"/>
                  </w:rPr>
                  <w:t>kericho</w:t>
                </w:r>
                <w:proofErr w:type="spellEnd"/>
                <w:r w:rsidRPr="00D56436">
                  <w:rPr>
                    <w:rFonts w:ascii="Times New Roman" w:eastAsia="Times New Roman" w:hAnsi="Times New Roman" w:cs="Times New Roman"/>
                  </w:rPr>
                  <w:t xml:space="preserve">,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Strategic Journal of Business &amp;amp; Change Management</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10</w:t>
                </w:r>
                <w:r w:rsidRPr="00D56436">
                  <w:rPr>
                    <w:rFonts w:ascii="Times New Roman" w:eastAsia="Times New Roman" w:hAnsi="Times New Roman" w:cs="Times New Roman"/>
                  </w:rPr>
                  <w:t xml:space="preserve">(1). </w:t>
                </w:r>
                <w:hyperlink r:id="rId19" w:history="1">
                  <w:r w:rsidRPr="00EB7456">
                    <w:rPr>
                      <w:rStyle w:val="Hyperlink"/>
                      <w:rFonts w:ascii="Times New Roman" w:eastAsia="Times New Roman" w:hAnsi="Times New Roman" w:cs="Times New Roman"/>
                    </w:rPr>
                    <w:t>https://doi.org/10.61426/sjbcm.v10i1.2561</w:t>
                  </w:r>
                </w:hyperlink>
              </w:p>
            </w:tc>
          </w:tr>
          <w:tr w:rsidR="00D56436" w:rsidRPr="003B3F88" w14:paraId="5414C173" w14:textId="77777777">
            <w:trPr>
              <w:tblCellSpacing w:w="15" w:type="dxa"/>
            </w:trPr>
            <w:tc>
              <w:tcPr>
                <w:tcW w:w="0" w:type="auto"/>
                <w:vAlign w:val="center"/>
                <w:hideMark/>
              </w:tcPr>
              <w:p w14:paraId="51045FD4" w14:textId="41113C82"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it-IT"/>
                  </w:rPr>
                  <w:t xml:space="preserve">Mascagni, G., Mengistu, A. T., &amp; Woldeyes, F. B. (2021). </w:t>
                </w:r>
                <w:r w:rsidRPr="00D56436">
                  <w:rPr>
                    <w:rFonts w:ascii="Times New Roman" w:eastAsia="Times New Roman" w:hAnsi="Times New Roman" w:cs="Times New Roman"/>
                  </w:rPr>
                  <w:t xml:space="preserve">Can </w:t>
                </w:r>
                <w:proofErr w:type="spellStart"/>
                <w:r w:rsidRPr="00D56436">
                  <w:rPr>
                    <w:rFonts w:ascii="Times New Roman" w:eastAsia="Times New Roman" w:hAnsi="Times New Roman" w:cs="Times New Roman"/>
                  </w:rPr>
                  <w:t>icts</w:t>
                </w:r>
                <w:proofErr w:type="spellEnd"/>
                <w:r w:rsidRPr="00D56436">
                  <w:rPr>
                    <w:rFonts w:ascii="Times New Roman" w:eastAsia="Times New Roman" w:hAnsi="Times New Roman" w:cs="Times New Roman"/>
                  </w:rPr>
                  <w:t xml:space="preserve"> increase tax compliance? evidence on taxpayer responses to technological innovation in </w:t>
                </w:r>
                <w:proofErr w:type="spellStart"/>
                <w:r w:rsidRPr="00D56436">
                  <w:rPr>
                    <w:rFonts w:ascii="Times New Roman" w:eastAsia="Times New Roman" w:hAnsi="Times New Roman" w:cs="Times New Roman"/>
                  </w:rPr>
                  <w:t>ethiopia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Journal of Economic Behavior &amp; Organization</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189</w:t>
                </w:r>
                <w:r w:rsidRPr="00D56436">
                  <w:rPr>
                    <w:rFonts w:ascii="Times New Roman" w:eastAsia="Times New Roman" w:hAnsi="Times New Roman" w:cs="Times New Roman"/>
                  </w:rPr>
                  <w:t>, 172–193.</w:t>
                </w:r>
                <w:r w:rsidR="00EB7456" w:rsidRPr="00EB7456">
                  <w:t xml:space="preserve"> </w:t>
                </w:r>
                <w:hyperlink r:id="rId20" w:tgtFrame="_blank" w:tooltip="Persistent link using digital object identifier" w:history="1">
                  <w:r w:rsidR="00EB7456" w:rsidRPr="00EB7456">
                    <w:rPr>
                      <w:rStyle w:val="Hyperlink"/>
                      <w:rFonts w:ascii="Times New Roman" w:eastAsia="Times New Roman" w:hAnsi="Times New Roman" w:cs="Times New Roman"/>
                    </w:rPr>
                    <w:t>https://doi.org/10.1016/j.jebo.2021.06.007</w:t>
                  </w:r>
                </w:hyperlink>
              </w:p>
            </w:tc>
          </w:tr>
          <w:tr w:rsidR="00D56436" w:rsidRPr="003B3F88" w14:paraId="06E44951" w14:textId="77777777">
            <w:trPr>
              <w:tblCellSpacing w:w="15" w:type="dxa"/>
            </w:trPr>
            <w:tc>
              <w:tcPr>
                <w:tcW w:w="0" w:type="auto"/>
                <w:vAlign w:val="center"/>
                <w:hideMark/>
              </w:tcPr>
              <w:p w14:paraId="3B4E42CD" w14:textId="12AD9E47"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Mogues</w:t>
                </w:r>
                <w:proofErr w:type="spellEnd"/>
                <w:r w:rsidRPr="00D56436">
                  <w:rPr>
                    <w:rFonts w:ascii="Times New Roman" w:eastAsia="Times New Roman" w:hAnsi="Times New Roman" w:cs="Times New Roman"/>
                  </w:rPr>
                  <w:t xml:space="preserve">, T., &amp; Benin, S. (2012). Do external grants to district governments discourage own revenue generation? a look at local public finance dynamics in </w:t>
                </w:r>
                <w:proofErr w:type="spellStart"/>
                <w:r w:rsidRPr="00D56436">
                  <w:rPr>
                    <w:rFonts w:ascii="Times New Roman" w:eastAsia="Times New Roman" w:hAnsi="Times New Roman" w:cs="Times New Roman"/>
                  </w:rPr>
                  <w:t>ghana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World Development</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40</w:t>
                </w:r>
                <w:r w:rsidRPr="00D56436">
                  <w:rPr>
                    <w:rFonts w:ascii="Times New Roman" w:eastAsia="Times New Roman" w:hAnsi="Times New Roman" w:cs="Times New Roman"/>
                  </w:rPr>
                  <w:t>(5), 1054–1067.</w:t>
                </w:r>
                <w:r w:rsidR="00EB7456" w:rsidRPr="00EB7456">
                  <w:t xml:space="preserve"> </w:t>
                </w:r>
                <w:hyperlink r:id="rId21" w:tgtFrame="_blank" w:tooltip="Persistent link using digital object identifier" w:history="1">
                  <w:r w:rsidR="00EB7456" w:rsidRPr="00EB7456">
                    <w:rPr>
                      <w:rStyle w:val="Hyperlink"/>
                      <w:rFonts w:ascii="Times New Roman" w:eastAsia="Times New Roman" w:hAnsi="Times New Roman" w:cs="Times New Roman"/>
                    </w:rPr>
                    <w:t>https://doi.org/10.1016/j.worlddev.2011.12.001</w:t>
                  </w:r>
                </w:hyperlink>
              </w:p>
            </w:tc>
          </w:tr>
          <w:tr w:rsidR="00D56436" w:rsidRPr="003B3F88" w14:paraId="4D994D25" w14:textId="77777777">
            <w:trPr>
              <w:tblCellSpacing w:w="15" w:type="dxa"/>
            </w:trPr>
            <w:tc>
              <w:tcPr>
                <w:tcW w:w="0" w:type="auto"/>
                <w:vAlign w:val="center"/>
                <w:hideMark/>
              </w:tcPr>
              <w:p w14:paraId="7EDD547B" w14:textId="51CD863E"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rPr>
                  <w:t xml:space="preserve">Mulinge, B., Francis, K., &amp; </w:t>
                </w:r>
                <w:proofErr w:type="spellStart"/>
                <w:r w:rsidRPr="00D56436">
                  <w:rPr>
                    <w:rFonts w:ascii="Times New Roman" w:eastAsia="Times New Roman" w:hAnsi="Times New Roman" w:cs="Times New Roman"/>
                  </w:rPr>
                  <w:t>Gitagia</w:t>
                </w:r>
                <w:proofErr w:type="spellEnd"/>
                <w:r w:rsidRPr="00D56436">
                  <w:rPr>
                    <w:rFonts w:ascii="Times New Roman" w:eastAsia="Times New Roman" w:hAnsi="Times New Roman" w:cs="Times New Roman"/>
                  </w:rPr>
                  <w:t xml:space="preserve">. (2025). REVENUE enhancement strategies and growth of own source revenue in county government of </w:t>
                </w:r>
                <w:proofErr w:type="spellStart"/>
                <w:r w:rsidRPr="00D56436">
                  <w:rPr>
                    <w:rFonts w:ascii="Times New Roman" w:eastAsia="Times New Roman" w:hAnsi="Times New Roman" w:cs="Times New Roman"/>
                  </w:rPr>
                  <w:t>machakos</w:t>
                </w:r>
                <w:proofErr w:type="spellEnd"/>
                <w:r w:rsidRPr="00D56436">
                  <w:rPr>
                    <w:rFonts w:ascii="Times New Roman" w:eastAsia="Times New Roman" w:hAnsi="Times New Roman" w:cs="Times New Roman"/>
                  </w:rPr>
                  <w:t xml:space="preserve">,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International Academic Journal of Economics and Finance (IAJEF)</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5</w:t>
                </w:r>
                <w:r w:rsidRPr="00D56436">
                  <w:rPr>
                    <w:rFonts w:ascii="Times New Roman" w:eastAsia="Times New Roman" w:hAnsi="Times New Roman" w:cs="Times New Roman"/>
                  </w:rPr>
                  <w:t>(1).</w:t>
                </w:r>
                <w:r w:rsidR="00EB7456">
                  <w:rPr>
                    <w:rFonts w:ascii="Times New Roman" w:eastAsia="Times New Roman" w:hAnsi="Times New Roman" w:cs="Times New Roman"/>
                  </w:rPr>
                  <w:t xml:space="preserve"> </w:t>
                </w:r>
                <w:hyperlink r:id="rId22" w:history="1">
                  <w:r w:rsidR="00EB7456" w:rsidRPr="00EB7456">
                    <w:rPr>
                      <w:rStyle w:val="Hyperlink"/>
                      <w:rFonts w:ascii="Times New Roman" w:eastAsia="Times New Roman" w:hAnsi="Times New Roman" w:cs="Times New Roman"/>
                    </w:rPr>
                    <w:t>https://iajournals.org/articles/iajef_v5_i1_280_295.pdf</w:t>
                  </w:r>
                </w:hyperlink>
              </w:p>
            </w:tc>
          </w:tr>
          <w:tr w:rsidR="00D56436" w:rsidRPr="003B3F88" w14:paraId="018A1E54" w14:textId="77777777">
            <w:trPr>
              <w:tblCellSpacing w:w="15" w:type="dxa"/>
            </w:trPr>
            <w:tc>
              <w:tcPr>
                <w:tcW w:w="0" w:type="auto"/>
                <w:vAlign w:val="center"/>
                <w:hideMark/>
              </w:tcPr>
              <w:p w14:paraId="0D315AE9" w14:textId="6C050EB1"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rPr>
                  <w:t xml:space="preserve">Munguti, J. M., Nairuti, R., </w:t>
                </w:r>
                <w:proofErr w:type="spellStart"/>
                <w:r w:rsidRPr="00D56436">
                  <w:rPr>
                    <w:rFonts w:ascii="Times New Roman" w:eastAsia="Times New Roman" w:hAnsi="Times New Roman" w:cs="Times New Roman"/>
                  </w:rPr>
                  <w:t>Iteba</w:t>
                </w:r>
                <w:proofErr w:type="spellEnd"/>
                <w:r w:rsidRPr="00D56436">
                  <w:rPr>
                    <w:rFonts w:ascii="Times New Roman" w:eastAsia="Times New Roman" w:hAnsi="Times New Roman" w:cs="Times New Roman"/>
                  </w:rPr>
                  <w:t xml:space="preserve">, J. O., Obiero, K. O., </w:t>
                </w:r>
                <w:proofErr w:type="spellStart"/>
                <w:r w:rsidRPr="00D56436">
                  <w:rPr>
                    <w:rFonts w:ascii="Times New Roman" w:eastAsia="Times New Roman" w:hAnsi="Times New Roman" w:cs="Times New Roman"/>
                  </w:rPr>
                  <w:t>Kyule</w:t>
                </w:r>
                <w:proofErr w:type="spellEnd"/>
                <w:r w:rsidRPr="00D56436">
                  <w:rPr>
                    <w:rFonts w:ascii="Times New Roman" w:eastAsia="Times New Roman" w:hAnsi="Times New Roman" w:cs="Times New Roman"/>
                  </w:rPr>
                  <w:t xml:space="preserve">, D., Opiyo, M. A., </w:t>
                </w:r>
                <w:proofErr w:type="spellStart"/>
                <w:r w:rsidRPr="00D56436">
                  <w:rPr>
                    <w:rFonts w:ascii="Times New Roman" w:eastAsia="Times New Roman" w:hAnsi="Times New Roman" w:cs="Times New Roman"/>
                  </w:rPr>
                  <w:t>Abwao</w:t>
                </w:r>
                <w:proofErr w:type="spellEnd"/>
                <w:r w:rsidRPr="00D56436">
                  <w:rPr>
                    <w:rFonts w:ascii="Times New Roman" w:eastAsia="Times New Roman" w:hAnsi="Times New Roman" w:cs="Times New Roman"/>
                  </w:rPr>
                  <w:t>, J., Kirimi, J. G., Outa, N., &amp; Muthoka, M. (2022). Nile tilapia (</w:t>
                </w:r>
                <w:proofErr w:type="spellStart"/>
                <w:r w:rsidRPr="00D56436">
                  <w:rPr>
                    <w:rFonts w:ascii="Times New Roman" w:eastAsia="Times New Roman" w:hAnsi="Times New Roman" w:cs="Times New Roman"/>
                  </w:rPr>
                  <w:t>oreochromis</w:t>
                </w:r>
                <w:proofErr w:type="spellEnd"/>
                <w:r w:rsidRPr="00D56436">
                  <w:rPr>
                    <w:rFonts w:ascii="Times New Roman" w:eastAsia="Times New Roman" w:hAnsi="Times New Roman" w:cs="Times New Roman"/>
                  </w:rPr>
                  <w:t xml:space="preserve"> </w:t>
                </w:r>
                <w:proofErr w:type="spellStart"/>
                <w:r w:rsidRPr="00D56436">
                  <w:rPr>
                    <w:rFonts w:ascii="Times New Roman" w:eastAsia="Times New Roman" w:hAnsi="Times New Roman" w:cs="Times New Roman"/>
                  </w:rPr>
                  <w:t>niloticus</w:t>
                </w:r>
                <w:proofErr w:type="spellEnd"/>
                <w:r w:rsidRPr="00D56436">
                  <w:rPr>
                    <w:rFonts w:ascii="Times New Roman" w:eastAsia="Times New Roman" w:hAnsi="Times New Roman" w:cs="Times New Roman"/>
                  </w:rPr>
                  <w:t xml:space="preserve"> </w:t>
                </w:r>
                <w:proofErr w:type="spellStart"/>
                <w:r w:rsidRPr="00D56436">
                  <w:rPr>
                    <w:rFonts w:ascii="Times New Roman" w:eastAsia="Times New Roman" w:hAnsi="Times New Roman" w:cs="Times New Roman"/>
                  </w:rPr>
                  <w:t>linnaeus</w:t>
                </w:r>
                <w:proofErr w:type="spellEnd"/>
                <w:r w:rsidRPr="00D56436">
                  <w:rPr>
                    <w:rFonts w:ascii="Times New Roman" w:eastAsia="Times New Roman" w:hAnsi="Times New Roman" w:cs="Times New Roman"/>
                  </w:rPr>
                  <w:t xml:space="preserve">, 1758) culture in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emerging production technologies and socio‐economic impacts on local livelihoods. </w:t>
                </w:r>
                <w:r w:rsidRPr="00D56436">
                  <w:rPr>
                    <w:rFonts w:ascii="Times New Roman" w:eastAsia="Times New Roman" w:hAnsi="Times New Roman" w:cs="Times New Roman"/>
                    <w:i/>
                    <w:iCs/>
                  </w:rPr>
                  <w:t>Aquaculture, Fish and Fisheries</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2</w:t>
                </w:r>
                <w:r w:rsidRPr="00D56436">
                  <w:rPr>
                    <w:rFonts w:ascii="Times New Roman" w:eastAsia="Times New Roman" w:hAnsi="Times New Roman" w:cs="Times New Roman"/>
                  </w:rPr>
                  <w:t>(4), 265–276.</w:t>
                </w:r>
                <w:r w:rsidR="003F1E21">
                  <w:rPr>
                    <w:rFonts w:ascii="Times New Roman" w:eastAsia="Times New Roman" w:hAnsi="Times New Roman" w:cs="Times New Roman"/>
                  </w:rPr>
                  <w:t xml:space="preserve"> </w:t>
                </w:r>
                <w:hyperlink r:id="rId23" w:history="1">
                  <w:r w:rsidR="003F1E21" w:rsidRPr="003F1E21">
                    <w:rPr>
                      <w:rStyle w:val="Hyperlink"/>
                      <w:rFonts w:ascii="Times New Roman" w:eastAsia="Times New Roman" w:hAnsi="Times New Roman" w:cs="Times New Roman"/>
                    </w:rPr>
                    <w:t>https://doi.org/10.1002/aff2.58</w:t>
                  </w:r>
                </w:hyperlink>
              </w:p>
            </w:tc>
          </w:tr>
          <w:tr w:rsidR="00D56436" w:rsidRPr="003B3F88" w14:paraId="7843665F" w14:textId="77777777">
            <w:trPr>
              <w:tblCellSpacing w:w="15" w:type="dxa"/>
            </w:trPr>
            <w:tc>
              <w:tcPr>
                <w:tcW w:w="0" w:type="auto"/>
                <w:vAlign w:val="center"/>
                <w:hideMark/>
              </w:tcPr>
              <w:p w14:paraId="2ABA39E2" w14:textId="1945DCB1"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Nyanjom</w:t>
                </w:r>
                <w:proofErr w:type="spellEnd"/>
                <w:r w:rsidRPr="00D56436">
                  <w:rPr>
                    <w:rFonts w:ascii="Times New Roman" w:eastAsia="Times New Roman" w:hAnsi="Times New Roman" w:cs="Times New Roman"/>
                  </w:rPr>
                  <w:t xml:space="preserve">, O. (2014). </w:t>
                </w:r>
                <w:proofErr w:type="spellStart"/>
                <w:r w:rsidRPr="00D56436">
                  <w:rPr>
                    <w:rFonts w:ascii="Times New Roman" w:eastAsia="Times New Roman" w:hAnsi="Times New Roman" w:cs="Times New Roman"/>
                  </w:rPr>
                  <w:t>Remarginalising</w:t>
                </w:r>
                <w:proofErr w:type="spellEnd"/>
                <w:r w:rsidRPr="00D56436">
                  <w:rPr>
                    <w:rFonts w:ascii="Times New Roman" w:eastAsia="Times New Roman" w:hAnsi="Times New Roman" w:cs="Times New Roman"/>
                  </w:rPr>
                  <w:t xml:space="preserve"> </w:t>
                </w:r>
                <w:proofErr w:type="spellStart"/>
                <w:r w:rsidRPr="00D56436">
                  <w:rPr>
                    <w:rFonts w:ascii="Times New Roman" w:eastAsia="Times New Roman" w:hAnsi="Times New Roman" w:cs="Times New Roman"/>
                  </w:rPr>
                  <w:t>kenyan</w:t>
                </w:r>
                <w:proofErr w:type="spellEnd"/>
                <w:r w:rsidRPr="00D56436">
                  <w:rPr>
                    <w:rFonts w:ascii="Times New Roman" w:eastAsia="Times New Roman" w:hAnsi="Times New Roman" w:cs="Times New Roman"/>
                  </w:rPr>
                  <w:t xml:space="preserve"> pastoralists: the hidden curse of national growth and development. </w:t>
                </w:r>
                <w:r w:rsidRPr="00D56436">
                  <w:rPr>
                    <w:rFonts w:ascii="Times New Roman" w:eastAsia="Times New Roman" w:hAnsi="Times New Roman" w:cs="Times New Roman"/>
                    <w:i/>
                    <w:iCs/>
                  </w:rPr>
                  <w:t>African Study Monographs. Supplementary Issue.</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50</w:t>
                </w:r>
                <w:r w:rsidRPr="00D56436">
                  <w:rPr>
                    <w:rFonts w:ascii="Times New Roman" w:eastAsia="Times New Roman" w:hAnsi="Times New Roman" w:cs="Times New Roman"/>
                  </w:rPr>
                  <w:t>, 43–72.</w:t>
                </w:r>
                <w:r w:rsidR="003F1E21">
                  <w:rPr>
                    <w:rFonts w:ascii="Times New Roman" w:eastAsia="Times New Roman" w:hAnsi="Times New Roman" w:cs="Times New Roman"/>
                  </w:rPr>
                  <w:t xml:space="preserve"> </w:t>
                </w:r>
                <w:hyperlink r:id="rId24" w:history="1">
                  <w:r w:rsidR="003F1E21" w:rsidRPr="003F1E21">
                    <w:rPr>
                      <w:rStyle w:val="Hyperlink"/>
                      <w:rFonts w:ascii="Times New Roman" w:eastAsia="Times New Roman" w:hAnsi="Times New Roman" w:cs="Times New Roman"/>
                    </w:rPr>
                    <w:t>https://doi.org/10.14989/189726</w:t>
                  </w:r>
                </w:hyperlink>
              </w:p>
            </w:tc>
          </w:tr>
          <w:tr w:rsidR="00D56436" w:rsidRPr="003B3F88" w14:paraId="09BCB6E0" w14:textId="77777777">
            <w:trPr>
              <w:tblCellSpacing w:w="15" w:type="dxa"/>
            </w:trPr>
            <w:tc>
              <w:tcPr>
                <w:tcW w:w="0" w:type="auto"/>
                <w:vAlign w:val="center"/>
                <w:hideMark/>
              </w:tcPr>
              <w:p w14:paraId="4CBB3283" w14:textId="656D034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it-IT"/>
                  </w:rPr>
                  <w:lastRenderedPageBreak/>
                  <w:t xml:space="preserve">Oluoch, O., Macharia, K. A., &amp; Ncabira, M. (2021). </w:t>
                </w:r>
                <w:r w:rsidRPr="00D56436">
                  <w:rPr>
                    <w:rFonts w:ascii="Times New Roman" w:eastAsia="Times New Roman" w:hAnsi="Times New Roman" w:cs="Times New Roman"/>
                  </w:rPr>
                  <w:t xml:space="preserve">Factors affecting revenue growth by county governments in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Account and Financial Management Journal</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06</w:t>
                </w:r>
                <w:r w:rsidRPr="00D56436">
                  <w:rPr>
                    <w:rFonts w:ascii="Times New Roman" w:eastAsia="Times New Roman" w:hAnsi="Times New Roman" w:cs="Times New Roman"/>
                  </w:rPr>
                  <w:t xml:space="preserve">(11). </w:t>
                </w:r>
                <w:hyperlink r:id="rId25" w:history="1">
                  <w:r w:rsidRPr="003F1E21">
                    <w:rPr>
                      <w:rStyle w:val="Hyperlink"/>
                      <w:rFonts w:ascii="Times New Roman" w:eastAsia="Times New Roman" w:hAnsi="Times New Roman" w:cs="Times New Roman"/>
                    </w:rPr>
                    <w:t>https://doi.org/10.47191/afmj/v6i11.02</w:t>
                  </w:r>
                </w:hyperlink>
              </w:p>
            </w:tc>
          </w:tr>
          <w:tr w:rsidR="00D56436" w:rsidRPr="003B3F88" w14:paraId="57FA19A4" w14:textId="77777777">
            <w:trPr>
              <w:tblCellSpacing w:w="15" w:type="dxa"/>
            </w:trPr>
            <w:tc>
              <w:tcPr>
                <w:tcW w:w="0" w:type="auto"/>
                <w:vAlign w:val="center"/>
                <w:hideMark/>
              </w:tcPr>
              <w:p w14:paraId="27C077AF" w14:textId="43868482"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it-IT"/>
                  </w:rPr>
                  <w:t xml:space="preserve">Onyango, J. A., Keraro, V., Irungu, A., &amp; Aluoch, M. (2015). </w:t>
                </w:r>
                <w:r w:rsidRPr="00D56436">
                  <w:rPr>
                    <w:rFonts w:ascii="Times New Roman" w:eastAsia="Times New Roman" w:hAnsi="Times New Roman" w:cs="Times New Roman"/>
                  </w:rPr>
                  <w:t xml:space="preserve">Adequacy of the commission on revenue allocation parameters for equitable revenue sharing with counties in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International Journal of Innovative Finance and Economics Research</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3</w:t>
                </w:r>
                <w:r w:rsidRPr="00D56436">
                  <w:rPr>
                    <w:rFonts w:ascii="Times New Roman" w:eastAsia="Times New Roman" w:hAnsi="Times New Roman" w:cs="Times New Roman"/>
                  </w:rPr>
                  <w:t>(4).</w:t>
                </w:r>
                <w:r w:rsidR="003F1E21">
                  <w:rPr>
                    <w:rFonts w:ascii="Times New Roman" w:eastAsia="Times New Roman" w:hAnsi="Times New Roman" w:cs="Times New Roman"/>
                  </w:rPr>
                  <w:t xml:space="preserve"> </w:t>
                </w:r>
                <w:hyperlink r:id="rId26" w:history="1">
                  <w:r w:rsidR="003F1E21" w:rsidRPr="003F1E21">
                    <w:rPr>
                      <w:rStyle w:val="Hyperlink"/>
                      <w:rFonts w:ascii="Times New Roman" w:eastAsia="Times New Roman" w:hAnsi="Times New Roman" w:cs="Times New Roman"/>
                    </w:rPr>
                    <w:t>https://www.academia.edu/download/96697578/IJIFER-D-2-2015.pdf</w:t>
                  </w:r>
                </w:hyperlink>
              </w:p>
            </w:tc>
          </w:tr>
          <w:tr w:rsidR="00D56436" w:rsidRPr="003B3F88" w14:paraId="1C4838D1" w14:textId="77777777">
            <w:trPr>
              <w:tblCellSpacing w:w="15" w:type="dxa"/>
            </w:trPr>
            <w:tc>
              <w:tcPr>
                <w:tcW w:w="0" w:type="auto"/>
                <w:vAlign w:val="center"/>
                <w:hideMark/>
              </w:tcPr>
              <w:p w14:paraId="30B6923A" w14:textId="56B83E8C"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Rugeiyamu</w:t>
                </w:r>
                <w:proofErr w:type="spellEnd"/>
                <w:r w:rsidRPr="00D56436">
                  <w:rPr>
                    <w:rFonts w:ascii="Times New Roman" w:eastAsia="Times New Roman" w:hAnsi="Times New Roman" w:cs="Times New Roman"/>
                  </w:rPr>
                  <w:t xml:space="preserve">, R., &amp; </w:t>
                </w:r>
                <w:proofErr w:type="spellStart"/>
                <w:r w:rsidRPr="00D56436">
                  <w:rPr>
                    <w:rFonts w:ascii="Times New Roman" w:eastAsia="Times New Roman" w:hAnsi="Times New Roman" w:cs="Times New Roman"/>
                  </w:rPr>
                  <w:t>Msendo</w:t>
                </w:r>
                <w:proofErr w:type="spellEnd"/>
                <w:r w:rsidRPr="00D56436">
                  <w:rPr>
                    <w:rFonts w:ascii="Times New Roman" w:eastAsia="Times New Roman" w:hAnsi="Times New Roman" w:cs="Times New Roman"/>
                  </w:rPr>
                  <w:t xml:space="preserve">, A. (2025). Success, challenges and prospects of decentralization in </w:t>
                </w:r>
                <w:proofErr w:type="spellStart"/>
                <w:r w:rsidRPr="00D56436">
                  <w:rPr>
                    <w:rFonts w:ascii="Times New Roman" w:eastAsia="Times New Roman" w:hAnsi="Times New Roman" w:cs="Times New Roman"/>
                  </w:rPr>
                  <w:t>africa</w:t>
                </w:r>
                <w:proofErr w:type="spellEnd"/>
                <w:r w:rsidRPr="00D56436">
                  <w:rPr>
                    <w:rFonts w:ascii="Times New Roman" w:eastAsia="Times New Roman" w:hAnsi="Times New Roman" w:cs="Times New Roman"/>
                  </w:rPr>
                  <w:t xml:space="preserve">: a systematic review. </w:t>
                </w:r>
                <w:r w:rsidRPr="00D56436">
                  <w:rPr>
                    <w:rFonts w:ascii="Times New Roman" w:eastAsia="Times New Roman" w:hAnsi="Times New Roman" w:cs="Times New Roman"/>
                    <w:i/>
                    <w:iCs/>
                  </w:rPr>
                  <w:t>Cogent Social Sciences</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11</w:t>
                </w:r>
                <w:r w:rsidRPr="00D56436">
                  <w:rPr>
                    <w:rFonts w:ascii="Times New Roman" w:eastAsia="Times New Roman" w:hAnsi="Times New Roman" w:cs="Times New Roman"/>
                  </w:rPr>
                  <w:t xml:space="preserve">(1). </w:t>
                </w:r>
                <w:hyperlink r:id="rId27" w:history="1">
                  <w:r w:rsidRPr="003F1E21">
                    <w:rPr>
                      <w:rStyle w:val="Hyperlink"/>
                      <w:rFonts w:ascii="Times New Roman" w:eastAsia="Times New Roman" w:hAnsi="Times New Roman" w:cs="Times New Roman"/>
                    </w:rPr>
                    <w:t>https://doi.org/10.1080/23311886.2025.2458700</w:t>
                  </w:r>
                </w:hyperlink>
              </w:p>
            </w:tc>
          </w:tr>
          <w:tr w:rsidR="00D56436" w:rsidRPr="003B3F88" w14:paraId="7A1C6B52" w14:textId="77777777">
            <w:trPr>
              <w:tblCellSpacing w:w="15" w:type="dxa"/>
            </w:trPr>
            <w:tc>
              <w:tcPr>
                <w:tcW w:w="0" w:type="auto"/>
                <w:vAlign w:val="center"/>
                <w:hideMark/>
              </w:tcPr>
              <w:p w14:paraId="19B87A7A" w14:textId="52822EB2"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rPr>
                  <w:t xml:space="preserve">Salami, A. (2011). Taxation, revenue allocation and fiscal federalism in </w:t>
                </w:r>
                <w:proofErr w:type="spellStart"/>
                <w:r w:rsidRPr="00D56436">
                  <w:rPr>
                    <w:rFonts w:ascii="Times New Roman" w:eastAsia="Times New Roman" w:hAnsi="Times New Roman" w:cs="Times New Roman"/>
                  </w:rPr>
                  <w:t>nigeria</w:t>
                </w:r>
                <w:proofErr w:type="spellEnd"/>
                <w:r w:rsidRPr="00D56436">
                  <w:rPr>
                    <w:rFonts w:ascii="Times New Roman" w:eastAsia="Times New Roman" w:hAnsi="Times New Roman" w:cs="Times New Roman"/>
                  </w:rPr>
                  <w:t xml:space="preserve">: issues, challenges and policy options. </w:t>
                </w:r>
                <w:r w:rsidRPr="00D56436">
                  <w:rPr>
                    <w:rFonts w:ascii="Times New Roman" w:eastAsia="Times New Roman" w:hAnsi="Times New Roman" w:cs="Times New Roman"/>
                    <w:i/>
                    <w:iCs/>
                  </w:rPr>
                  <w:t>Economic Annals</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56</w:t>
                </w:r>
                <w:r w:rsidRPr="00D56436">
                  <w:rPr>
                    <w:rFonts w:ascii="Times New Roman" w:eastAsia="Times New Roman" w:hAnsi="Times New Roman" w:cs="Times New Roman"/>
                  </w:rPr>
                  <w:t xml:space="preserve">(189), 27–50. </w:t>
                </w:r>
                <w:hyperlink r:id="rId28" w:history="1">
                  <w:r w:rsidRPr="003F1E21">
                    <w:rPr>
                      <w:rStyle w:val="Hyperlink"/>
                      <w:rFonts w:ascii="Times New Roman" w:eastAsia="Times New Roman" w:hAnsi="Times New Roman" w:cs="Times New Roman"/>
                    </w:rPr>
                    <w:t>https://doi.org/10.2298/eka1189027s</w:t>
                  </w:r>
                </w:hyperlink>
              </w:p>
            </w:tc>
          </w:tr>
          <w:tr w:rsidR="00D56436" w:rsidRPr="003B3F88" w14:paraId="6FA1790E" w14:textId="77777777">
            <w:trPr>
              <w:tblCellSpacing w:w="15" w:type="dxa"/>
            </w:trPr>
            <w:tc>
              <w:tcPr>
                <w:tcW w:w="0" w:type="auto"/>
                <w:vAlign w:val="center"/>
                <w:hideMark/>
              </w:tcPr>
              <w:p w14:paraId="2F4E1549" w14:textId="5C85FE4D"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Thyaka</w:t>
                </w:r>
                <w:proofErr w:type="spellEnd"/>
                <w:r w:rsidRPr="00D56436">
                  <w:rPr>
                    <w:rFonts w:ascii="Times New Roman" w:eastAsia="Times New Roman" w:hAnsi="Times New Roman" w:cs="Times New Roman"/>
                  </w:rPr>
                  <w:t xml:space="preserve">, F. V., &amp; </w:t>
                </w:r>
                <w:proofErr w:type="spellStart"/>
                <w:r w:rsidRPr="00D56436">
                  <w:rPr>
                    <w:rFonts w:ascii="Times New Roman" w:eastAsia="Times New Roman" w:hAnsi="Times New Roman" w:cs="Times New Roman"/>
                  </w:rPr>
                  <w:t>Kavale</w:t>
                </w:r>
                <w:proofErr w:type="spellEnd"/>
                <w:r w:rsidRPr="00D56436">
                  <w:rPr>
                    <w:rFonts w:ascii="Times New Roman" w:eastAsia="Times New Roman" w:hAnsi="Times New Roman" w:cs="Times New Roman"/>
                  </w:rPr>
                  <w:t>, S. (2021). E</w:t>
                </w:r>
                <w:r w:rsidR="004366A8" w:rsidRPr="00D56436">
                  <w:rPr>
                    <w:rFonts w:ascii="Times New Roman" w:eastAsia="Times New Roman" w:hAnsi="Times New Roman" w:cs="Times New Roman"/>
                  </w:rPr>
                  <w:t>ffects</w:t>
                </w:r>
                <w:r w:rsidRPr="00D56436">
                  <w:rPr>
                    <w:rFonts w:ascii="Times New Roman" w:eastAsia="Times New Roman" w:hAnsi="Times New Roman" w:cs="Times New Roman"/>
                  </w:rPr>
                  <w:t xml:space="preserve"> of internal controls on revenue collection; a case of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revenue authority. </w:t>
                </w:r>
                <w:r w:rsidRPr="00D56436">
                  <w:rPr>
                    <w:rFonts w:ascii="Times New Roman" w:eastAsia="Times New Roman" w:hAnsi="Times New Roman" w:cs="Times New Roman"/>
                    <w:i/>
                    <w:iCs/>
                  </w:rPr>
                  <w:t>The Strategic Journal of Business &amp; Change Management.</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8</w:t>
                </w:r>
                <w:r w:rsidRPr="00D56436">
                  <w:rPr>
                    <w:rFonts w:ascii="Times New Roman" w:eastAsia="Times New Roman" w:hAnsi="Times New Roman" w:cs="Times New Roman"/>
                  </w:rPr>
                  <w:t>(1).</w:t>
                </w:r>
                <w:r w:rsidR="00004AC8">
                  <w:rPr>
                    <w:rFonts w:ascii="Times New Roman" w:eastAsia="Times New Roman" w:hAnsi="Times New Roman" w:cs="Times New Roman"/>
                  </w:rPr>
                  <w:t xml:space="preserve"> </w:t>
                </w:r>
                <w:hyperlink r:id="rId29" w:history="1">
                  <w:r w:rsidR="00004AC8">
                    <w:rPr>
                      <w:rStyle w:val="Hyperlink"/>
                      <w:rFonts w:ascii="Times New Roman" w:eastAsia="Times New Roman" w:hAnsi="Times New Roman" w:cs="Times New Roman"/>
                    </w:rPr>
                    <w:t>https://www.strategicjournals.com/index.php/journal/article/view/1919/1836</w:t>
                  </w:r>
                </w:hyperlink>
              </w:p>
            </w:tc>
          </w:tr>
        </w:tbl>
        <w:p w14:paraId="1A571C2A" w14:textId="30F02BF5" w:rsidR="00D23D6D" w:rsidRPr="003B3F88" w:rsidRDefault="00464A48" w:rsidP="003B3F88">
          <w:pPr>
            <w:pStyle w:val="FirstParagraph"/>
            <w:spacing w:line="480" w:lineRule="auto"/>
            <w:ind w:left="400" w:hanging="400"/>
            <w:jc w:val="both"/>
            <w:rPr>
              <w:rFonts w:ascii="Times New Roman" w:hAnsi="Times New Roman" w:cs="Times New Roman"/>
              <w:b/>
              <w:sz w:val="32"/>
            </w:rPr>
          </w:pPr>
        </w:p>
      </w:sdtContent>
    </w:sdt>
    <w:bookmarkEnd w:id="19" w:displacedByCustomXml="prev"/>
    <w:sectPr w:rsidR="00D23D6D" w:rsidRPr="003B3F88">
      <w:headerReference w:type="even" r:id="rId30"/>
      <w:headerReference w:type="default" r:id="rId31"/>
      <w:footerReference w:type="even" r:id="rId32"/>
      <w:footerReference w:type="default" r:id="rId33"/>
      <w:headerReference w:type="first" r:id="rId34"/>
      <w:footerReference w:type="first" r:id="rId35"/>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D3410" w14:textId="77777777" w:rsidR="00464A48" w:rsidRDefault="00464A48">
      <w:pPr>
        <w:spacing w:after="0"/>
      </w:pPr>
      <w:r>
        <w:separator/>
      </w:r>
    </w:p>
  </w:endnote>
  <w:endnote w:type="continuationSeparator" w:id="0">
    <w:p w14:paraId="71132BCA" w14:textId="77777777" w:rsidR="00464A48" w:rsidRDefault="00464A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6E13" w14:textId="77777777" w:rsidR="00D6189E" w:rsidRDefault="00D61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4DB7E" w14:textId="77777777" w:rsidR="00D6189E" w:rsidRDefault="00D61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B07F7" w14:textId="77777777" w:rsidR="00D6189E" w:rsidRDefault="00D61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DF39D" w14:textId="77777777" w:rsidR="00464A48" w:rsidRDefault="00464A48">
      <w:r>
        <w:separator/>
      </w:r>
    </w:p>
  </w:footnote>
  <w:footnote w:type="continuationSeparator" w:id="0">
    <w:p w14:paraId="37405AAB" w14:textId="77777777" w:rsidR="00464A48" w:rsidRDefault="00464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A01C" w14:textId="42AF6271" w:rsidR="00D6189E" w:rsidRDefault="00464A48">
    <w:pPr>
      <w:pStyle w:val="Header"/>
    </w:pPr>
    <w:r>
      <w:rPr>
        <w:noProof/>
      </w:rPr>
      <w:pict w14:anchorId="5C479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827189" o:spid="_x0000_s2050" type="#_x0000_t136" style="position:absolute;margin-left:0;margin-top:0;width:588.2pt;height:74.8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6D5D" w14:textId="12C73627" w:rsidR="00D6189E" w:rsidRDefault="00464A48">
    <w:pPr>
      <w:pStyle w:val="Header"/>
    </w:pPr>
    <w:r>
      <w:rPr>
        <w:noProof/>
      </w:rPr>
      <w:pict w14:anchorId="34072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827190" o:spid="_x0000_s2051" type="#_x0000_t136" style="position:absolute;margin-left:0;margin-top:0;width:588.2pt;height:74.8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16945" w14:textId="5E5091AE" w:rsidR="00D6189E" w:rsidRDefault="00464A48">
    <w:pPr>
      <w:pStyle w:val="Header"/>
    </w:pPr>
    <w:r>
      <w:rPr>
        <w:noProof/>
      </w:rPr>
      <w:pict w14:anchorId="54CD2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827188" o:spid="_x0000_s2049" type="#_x0000_t136" style="position:absolute;margin-left:0;margin-top:0;width:588.2pt;height:74.8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781C579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30A1A36"/>
    <w:multiLevelType w:val="hybridMultilevel"/>
    <w:tmpl w:val="89C84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6D"/>
    <w:rsid w:val="00004AC8"/>
    <w:rsid w:val="00016510"/>
    <w:rsid w:val="00017BFA"/>
    <w:rsid w:val="00052128"/>
    <w:rsid w:val="000F10EB"/>
    <w:rsid w:val="001049D4"/>
    <w:rsid w:val="00130054"/>
    <w:rsid w:val="00152475"/>
    <w:rsid w:val="00177A93"/>
    <w:rsid w:val="00186D7A"/>
    <w:rsid w:val="00192472"/>
    <w:rsid w:val="00195D02"/>
    <w:rsid w:val="001A3EE6"/>
    <w:rsid w:val="001B0264"/>
    <w:rsid w:val="00211E4E"/>
    <w:rsid w:val="00236B52"/>
    <w:rsid w:val="00275F5B"/>
    <w:rsid w:val="002D5578"/>
    <w:rsid w:val="00343FED"/>
    <w:rsid w:val="00374802"/>
    <w:rsid w:val="003B3F88"/>
    <w:rsid w:val="003F1E21"/>
    <w:rsid w:val="004366A8"/>
    <w:rsid w:val="00446766"/>
    <w:rsid w:val="004536CC"/>
    <w:rsid w:val="00464A48"/>
    <w:rsid w:val="004B0660"/>
    <w:rsid w:val="004E1C77"/>
    <w:rsid w:val="00533686"/>
    <w:rsid w:val="005F21A5"/>
    <w:rsid w:val="00711654"/>
    <w:rsid w:val="007C0BF0"/>
    <w:rsid w:val="007C20B8"/>
    <w:rsid w:val="007F38ED"/>
    <w:rsid w:val="00810F09"/>
    <w:rsid w:val="00853FD2"/>
    <w:rsid w:val="00870C08"/>
    <w:rsid w:val="00880F3A"/>
    <w:rsid w:val="008C3446"/>
    <w:rsid w:val="00964205"/>
    <w:rsid w:val="009A089C"/>
    <w:rsid w:val="009A4DD7"/>
    <w:rsid w:val="009F0AE7"/>
    <w:rsid w:val="00A2755C"/>
    <w:rsid w:val="00A41054"/>
    <w:rsid w:val="00A73EF1"/>
    <w:rsid w:val="00AA475B"/>
    <w:rsid w:val="00AA5F6F"/>
    <w:rsid w:val="00B617FA"/>
    <w:rsid w:val="00BA6FED"/>
    <w:rsid w:val="00BF0DC6"/>
    <w:rsid w:val="00C00B03"/>
    <w:rsid w:val="00C3487C"/>
    <w:rsid w:val="00C45BFB"/>
    <w:rsid w:val="00C81A4A"/>
    <w:rsid w:val="00C932C6"/>
    <w:rsid w:val="00CF5AA7"/>
    <w:rsid w:val="00D23D6D"/>
    <w:rsid w:val="00D56436"/>
    <w:rsid w:val="00D6189E"/>
    <w:rsid w:val="00D72EE6"/>
    <w:rsid w:val="00DB1E86"/>
    <w:rsid w:val="00DD51EE"/>
    <w:rsid w:val="00DF46DC"/>
    <w:rsid w:val="00E740D1"/>
    <w:rsid w:val="00EB7456"/>
    <w:rsid w:val="00ED699B"/>
    <w:rsid w:val="00F17E95"/>
    <w:rsid w:val="00F349D1"/>
    <w:rsid w:val="00F57F83"/>
    <w:rsid w:val="00F720B5"/>
    <w:rsid w:val="00FC7934"/>
    <w:rsid w:val="00FF1C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571B65"/>
  <w15:docId w15:val="{C4FDFEDE-3DD1-4DDF-BA3B-DE6465D3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2" w:uiPriority="9" w:qFormat="1"/>
    <w:lsdException w:name="Body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rsid w:val="00C00B03"/>
    <w:pPr>
      <w:keepNext/>
      <w:keepLines/>
      <w:spacing w:before="480" w:after="0"/>
      <w:outlineLvl w:val="0"/>
    </w:pPr>
    <w:rPr>
      <w:rFonts w:ascii="Times New Roman" w:eastAsiaTheme="majorEastAsia" w:hAnsi="Times New Roman" w:cstheme="majorBidi"/>
      <w:b/>
      <w:bCs/>
      <w:sz w:val="32"/>
      <w:szCs w:val="32"/>
    </w:rPr>
  </w:style>
  <w:style w:type="paragraph" w:styleId="Heading2">
    <w:name w:val="heading 2"/>
    <w:basedOn w:val="Normal"/>
    <w:next w:val="BodyText"/>
    <w:link w:val="Heading2Char"/>
    <w:uiPriority w:val="9"/>
    <w:unhideWhenUsed/>
    <w:qFormat/>
    <w:rsid w:val="00192472"/>
    <w:pPr>
      <w:keepNext/>
      <w:keepLines/>
      <w:spacing w:before="200" w:after="0"/>
      <w:outlineLvl w:val="1"/>
    </w:pPr>
    <w:rPr>
      <w:rFonts w:ascii="Times New Roman" w:eastAsiaTheme="majorEastAsia" w:hAnsi="Times New Roman" w:cstheme="majorBidi"/>
      <w:b/>
      <w:bCs/>
      <w:sz w:val="28"/>
      <w:szCs w:val="28"/>
    </w:rPr>
  </w:style>
  <w:style w:type="paragraph" w:styleId="Heading3">
    <w:name w:val="heading 3"/>
    <w:basedOn w:val="Normal"/>
    <w:next w:val="BodyText"/>
    <w:uiPriority w:val="9"/>
    <w:unhideWhenUsed/>
    <w:qFormat/>
    <w:rsid w:val="00C00B03"/>
    <w:pPr>
      <w:keepNext/>
      <w:keepLines/>
      <w:spacing w:before="200" w:after="0"/>
      <w:outlineLvl w:val="2"/>
    </w:pPr>
    <w:rPr>
      <w:rFonts w:ascii="Times New Roman" w:eastAsiaTheme="majorEastAsia" w:hAnsi="Times New Roman" w:cstheme="majorBidi"/>
      <w:b/>
      <w:bCs/>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C00B03"/>
    <w:pPr>
      <w:keepNext/>
      <w:keepLines/>
      <w:spacing w:before="480" w:after="240"/>
      <w:jc w:val="center"/>
    </w:pPr>
    <w:rPr>
      <w:rFonts w:ascii="Times New Roman" w:eastAsiaTheme="majorEastAsia" w:hAnsi="Times New Roman" w:cstheme="majorBidi"/>
      <w:b/>
      <w:bCs/>
      <w:sz w:val="36"/>
      <w:szCs w:val="36"/>
    </w:rPr>
  </w:style>
  <w:style w:type="paragraph" w:styleId="Subtitle">
    <w:name w:val="Subtitle"/>
    <w:basedOn w:val="Title"/>
    <w:next w:val="BodyText"/>
    <w:qFormat/>
    <w:rsid w:val="00C00B03"/>
    <w:pPr>
      <w:spacing w:before="240"/>
      <w:jc w:val="left"/>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C00B03"/>
  </w:style>
  <w:style w:type="character" w:styleId="PlaceholderText">
    <w:name w:val="Placeholder Text"/>
    <w:basedOn w:val="DefaultParagraphFont"/>
    <w:rsid w:val="00533686"/>
    <w:rPr>
      <w:color w:val="666666"/>
    </w:rPr>
  </w:style>
  <w:style w:type="paragraph" w:styleId="ListParagraph">
    <w:name w:val="List Paragraph"/>
    <w:basedOn w:val="Normal"/>
    <w:rsid w:val="00D56436"/>
    <w:pPr>
      <w:ind w:left="720"/>
      <w:contextualSpacing/>
    </w:pPr>
  </w:style>
  <w:style w:type="character" w:styleId="UnresolvedMention">
    <w:name w:val="Unresolved Mention"/>
    <w:basedOn w:val="DefaultParagraphFont"/>
    <w:uiPriority w:val="99"/>
    <w:semiHidden/>
    <w:unhideWhenUsed/>
    <w:rsid w:val="00CF5AA7"/>
    <w:rPr>
      <w:color w:val="605E5C"/>
      <w:shd w:val="clear" w:color="auto" w:fill="E1DFDD"/>
    </w:rPr>
  </w:style>
  <w:style w:type="paragraph" w:styleId="Header">
    <w:name w:val="header"/>
    <w:basedOn w:val="Normal"/>
    <w:link w:val="HeaderChar"/>
    <w:rsid w:val="00D6189E"/>
    <w:pPr>
      <w:tabs>
        <w:tab w:val="center" w:pos="4680"/>
        <w:tab w:val="right" w:pos="9360"/>
      </w:tabs>
      <w:spacing w:after="0"/>
    </w:pPr>
  </w:style>
  <w:style w:type="character" w:customStyle="1" w:styleId="HeaderChar">
    <w:name w:val="Header Char"/>
    <w:basedOn w:val="DefaultParagraphFont"/>
    <w:link w:val="Header"/>
    <w:rsid w:val="00D6189E"/>
  </w:style>
  <w:style w:type="paragraph" w:styleId="Footer">
    <w:name w:val="footer"/>
    <w:basedOn w:val="Normal"/>
    <w:link w:val="FooterChar"/>
    <w:rsid w:val="00D6189E"/>
    <w:pPr>
      <w:tabs>
        <w:tab w:val="center" w:pos="4680"/>
        <w:tab w:val="right" w:pos="9360"/>
      </w:tabs>
      <w:spacing w:after="0"/>
    </w:pPr>
  </w:style>
  <w:style w:type="character" w:customStyle="1" w:styleId="FooterChar">
    <w:name w:val="Footer Char"/>
    <w:basedOn w:val="DefaultParagraphFont"/>
    <w:link w:val="Footer"/>
    <w:rsid w:val="00D6189E"/>
  </w:style>
  <w:style w:type="paragraph" w:styleId="NoSpacing">
    <w:name w:val="No Spacing"/>
    <w:uiPriority w:val="1"/>
    <w:qFormat/>
    <w:rsid w:val="00AA475B"/>
    <w:pPr>
      <w:spacing w:after="0"/>
    </w:pPr>
    <w:rPr>
      <w:sz w:val="22"/>
      <w:szCs w:val="22"/>
      <w:lang w:val="en-GB"/>
    </w:rPr>
  </w:style>
  <w:style w:type="paragraph" w:styleId="Revision">
    <w:name w:val="Revision"/>
    <w:hidden/>
    <w:rsid w:val="00152475"/>
    <w:pPr>
      <w:spacing w:after="0"/>
    </w:pPr>
  </w:style>
  <w:style w:type="character" w:styleId="FollowedHyperlink">
    <w:name w:val="FollowedHyperlink"/>
    <w:basedOn w:val="DefaultParagraphFont"/>
    <w:rsid w:val="00EB7456"/>
    <w:rPr>
      <w:color w:val="800080" w:themeColor="followedHyperlink"/>
      <w:u w:val="single"/>
    </w:rPr>
  </w:style>
  <w:style w:type="character" w:customStyle="1" w:styleId="Heading2Char">
    <w:name w:val="Heading 2 Char"/>
    <w:basedOn w:val="DefaultParagraphFont"/>
    <w:link w:val="Heading2"/>
    <w:uiPriority w:val="9"/>
    <w:rsid w:val="007C0BF0"/>
    <w:rPr>
      <w:rFonts w:ascii="Times New Roman" w:eastAsiaTheme="majorEastAsia" w:hAnsi="Times New Roman"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jae/eju003" TargetMode="External"/><Relationship Id="rId18" Type="http://schemas.openxmlformats.org/officeDocument/2006/relationships/hyperlink" Target="https://doi.org/10.21275/art20162462" TargetMode="External"/><Relationship Id="rId26" Type="http://schemas.openxmlformats.org/officeDocument/2006/relationships/hyperlink" Target="https://www.academia.edu/download/96697578/IJIFER-D-2-2015.pdf" TargetMode="External"/><Relationship Id="rId21" Type="http://schemas.openxmlformats.org/officeDocument/2006/relationships/hyperlink" Target="https://doi.org/10.1016/j.worlddev.2011.12.001"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urban.org/sites/default/files/publication/27286/412332-Fiscal-Decentralization-in-Kenya-A-Small-Step-or-Giant-Leap-.PDF" TargetMode="External"/><Relationship Id="rId17" Type="http://schemas.openxmlformats.org/officeDocument/2006/relationships/hyperlink" Target="https://doi.org/10.24940/theijhss/2024/v12/i10/hs2410-011" TargetMode="External"/><Relationship Id="rId25" Type="http://schemas.openxmlformats.org/officeDocument/2006/relationships/hyperlink" Target="https://doi.org/10.47191/afmj/v6i11.02"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jecm.co.uk/wp-content/uploads/2018/09/6916.pdf" TargetMode="External"/><Relationship Id="rId20" Type="http://schemas.openxmlformats.org/officeDocument/2006/relationships/hyperlink" Target="https://doi.org/10.1016/j.jebo.2021.06.007" TargetMode="External"/><Relationship Id="rId29" Type="http://schemas.openxmlformats.org/officeDocument/2006/relationships/hyperlink" Target="https://www.strategicjournals.com/index.php/journal/article/view/1919/18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745/ejbir.2013/vol12n64868" TargetMode="External"/><Relationship Id="rId24" Type="http://schemas.openxmlformats.org/officeDocument/2006/relationships/hyperlink" Target="https://doi.org/10.14989/189726"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3233/IP-2002-0008" TargetMode="External"/><Relationship Id="rId23" Type="http://schemas.openxmlformats.org/officeDocument/2006/relationships/hyperlink" Target="https://doi.org/10.1002/aff2.58" TargetMode="External"/><Relationship Id="rId28" Type="http://schemas.openxmlformats.org/officeDocument/2006/relationships/hyperlink" Target="https://doi.org/10.2298/eka1189027s" TargetMode="External"/><Relationship Id="rId36" Type="http://schemas.openxmlformats.org/officeDocument/2006/relationships/fontTable" Target="fontTable.xml"/><Relationship Id="rId10" Type="http://schemas.openxmlformats.org/officeDocument/2006/relationships/hyperlink" Target="https://doi.org/10.1002/isd2.12112" TargetMode="External"/><Relationship Id="rId19" Type="http://schemas.openxmlformats.org/officeDocument/2006/relationships/hyperlink" Target="https://doi.org/10.61426/sjbcm.v10i1.256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47772/ijriss.2023.701077" TargetMode="External"/><Relationship Id="rId22" Type="http://schemas.openxmlformats.org/officeDocument/2006/relationships/hyperlink" Target="https://iajournals.org/articles/iajef_v5_i1_280_295.pdf" TargetMode="External"/><Relationship Id="rId27" Type="http://schemas.openxmlformats.org/officeDocument/2006/relationships/hyperlink" Target="https://doi.org/10.1080/23311886.2025.2458700"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1E4CC9F-D514-4291-95EF-ACF05F93951D}"/>
      </w:docPartPr>
      <w:docPartBody>
        <w:p w:rsidR="00BA1EAE" w:rsidRDefault="00A41F5C">
          <w:r w:rsidRPr="00C817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5C"/>
    <w:rsid w:val="00052128"/>
    <w:rsid w:val="000F10EB"/>
    <w:rsid w:val="00195D02"/>
    <w:rsid w:val="00272119"/>
    <w:rsid w:val="00280FE2"/>
    <w:rsid w:val="002B50A9"/>
    <w:rsid w:val="0058473D"/>
    <w:rsid w:val="00664DA0"/>
    <w:rsid w:val="008367B6"/>
    <w:rsid w:val="00870C08"/>
    <w:rsid w:val="00880F3A"/>
    <w:rsid w:val="009353BB"/>
    <w:rsid w:val="00A03F90"/>
    <w:rsid w:val="00A41F5C"/>
    <w:rsid w:val="00B047B4"/>
    <w:rsid w:val="00BA1EAE"/>
    <w:rsid w:val="00BC649E"/>
    <w:rsid w:val="00C3487C"/>
    <w:rsid w:val="00C932C6"/>
    <w:rsid w:val="00D031DC"/>
    <w:rsid w:val="00E740D1"/>
    <w:rsid w:val="00FC6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41F5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AB5FA0-2E4F-451E-BB4C-25BE67B5F753}">
  <we:reference id="wa200002694" version="1.1.0.0" store="en-US" storeType="OMEX"/>
  <we:alternateReferences>
    <we:reference id="WA200002694" version="1.1.0.0" store="" storeType="OMEX"/>
  </we:alternateReferences>
  <we:properties>
    <we:property name="87362027" value="[7546364]"/>
    <we:property name="156735894" value="[7546427]"/>
    <we:property name="179329117" value="[7546410]"/>
    <we:property name="324009000" value="[7546211]"/>
    <we:property name="378824374" value="[7571455]"/>
    <we:property name="391935682" value="[7546379]"/>
    <we:property name="393168768" value="[7571455]"/>
    <we:property name="396328757" value="[7546364]"/>
    <we:property name="428239927" value="[7546448]"/>
    <we:property name="525992891" value="[7546343]"/>
    <we:property name="597289824" value="[7546398]"/>
    <we:property name="743309785" value="[7546398]"/>
    <we:property name="752248146" value="[7546211]"/>
    <we:property name="802193641" value="[7546469]"/>
    <we:property name="876581688" value="[7571420]"/>
    <we:property name="1076397379" value="[7546211]"/>
    <we:property name="1148014248" value="[7571532]"/>
    <we:property name="1148719431" value="[7546410]"/>
    <we:property name="1187259081" value="[7571455]"/>
    <we:property name="1238433016" value="[7546398]"/>
    <we:property name="1267042581" value="[7571455]"/>
    <we:property name="1313987286" value="[7546469]"/>
    <we:property name="1387836343" value="[7546211]"/>
    <we:property name="1390999189" value="[7546413]"/>
    <we:property name="1461607996" value="[7546211]"/>
    <we:property name="1469315267" value="[7546443]"/>
    <we:property name="1513184431" value="[7571420]"/>
    <we:property name="1702814416" value="[7546413]"/>
    <we:property name="1789010553" value="[7571455]"/>
    <we:property name="1807046038" value="[7546448]"/>
    <we:property name="1835339215" value="[7571455]"/>
    <we:property name="1913966220" value="[7546443]"/>
    <we:property name="1990598443" value="[7546398]"/>
    <we:property name="2001764501" value="[7571846]"/>
    <we:property name="2098438094" value="[7546353]"/>
    <we:property name="2102754770" value="[7546211]"/>
    <we:property name="2107000739" value="[7546398]"/>
    <we:property name="2141455963" value="[7546436]"/>
    <we:property name="-100034233" value="[7571584]"/>
    <we:property name="-1028485336" value="[7571455]"/>
    <we:property name="-116293628" value="[7571420]"/>
    <we:property name="-1197232226" value="[7546443]"/>
    <we:property name="-1233781661" value="[7546410]"/>
    <we:property name="-125012608" value="[7546427]"/>
    <we:property name="-1297596251" value="[7546379]"/>
    <we:property name="-1361200683" value="[7546413]"/>
    <we:property name="-1412307704" value="[7546398]"/>
    <we:property name="-1422563924" value="[7546343]"/>
    <we:property name="-1427193563" value="[7546211]"/>
    <we:property name="-1447608383" value="[7546469]"/>
    <we:property name="-1559539867" value="[7571420]"/>
    <we:property name="-156852157" value="[7546211]"/>
    <we:property name="-1581212822" value="[7546436]"/>
    <we:property name="-1612128022" value="[7546364]"/>
    <we:property name="-1648047142" value="[7546364]"/>
    <we:property name="-1693528562" value="[7546448]"/>
    <we:property name="-1695910810" value="[7546211]"/>
    <we:property name="-1701766729" value="[7571567]"/>
    <we:property name="-1727127595" value="[7546398]"/>
    <we:property name="-1803765582" value="[7546379]"/>
    <we:property name="-1837455092" value="[7546353]"/>
    <we:property name="-1893878500" value="[7571455]"/>
    <we:property name="-1901968063" value="[7571532]"/>
    <we:property name="-1922174599" value="[7546443]"/>
    <we:property name="-2082903976" value="[7571420]"/>
    <we:property name="-221370411" value="[7571532]"/>
    <we:property name="-330289372" value="[7546398]"/>
    <we:property name="-401225138" value="[7546443]"/>
    <we:property name="-425494516" value="[7546398]"/>
    <we:property name="-471442466" value="[7546398]"/>
    <we:property name="-472531233" value="[7546343]"/>
    <we:property name="-502280225" value="[7546427]"/>
    <we:property name="-524019295" value="[7546379]"/>
    <we:property name="-643275366" value="[7546506]"/>
    <we:property name="-683584616" value="[7571567]"/>
    <we:property name="-709336563" value="[7546379]"/>
    <we:property name="-850796534" value="[7571420]"/>
    <we:property name="-931741629" value="[7546427]"/>
    <we:property name="-995097104" value="[7546398]"/>
    <we:property name="IvyCite-Style" value="{&quot;name&quot;:&quot;apa-7-cn&quot;,&quot;journals&quot;:[],&quot;created&quot;:&quot;2021-11-03T11:51:33.279638+08:00&quot;,&quot;modified&quot;:&quot;2021-09-10T11:20:38+08:00&quot;,&quot;source&quot;:&quot;ivysci&quot;,&quot;title&quot;:&quot;APA 7 中文版&quot;,&quot;short_title&quot;:&quot;APA CN 7&quot;,&quot;dependent&quot;:0,&quot;url&quot;:&quot;&quot;,&quot;summary&quot;:&quot;&quot;,&quot;is_vip_style&quot;:false,&quot;remark&quot;:&quot;&quot;,&quot;format&quot;:&quot;author-date&quot;,&quot;fields&quot;:[&quot;generic-base&quot;,&quot;psychology&quot;]}"/>
    <we:property name="IvyCite_AuthorYearFormat" value="[]"/>
    <we:property name="IvyUnlinkStatus"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91412-56B2-4D2E-B3BE-5BA05820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4776</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Fiscal Capacity under Devolution: Households, Livestock &amp; Fishing Activities in Kenya’s County Governments</vt:lpstr>
    </vt:vector>
  </TitlesOfParts>
  <Company/>
  <LinksUpToDate>false</LinksUpToDate>
  <CharactersWithSpaces>31937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Capacity under Devolution: Households, Livestock &amp; Fishing Activities in Kenya’s County Governments</dc:title>
  <dc:creator>Herman Githinji Mwangi</dc:creator>
  <cp:keywords/>
  <cp:lastModifiedBy>Editor-1183</cp:lastModifiedBy>
  <cp:revision>6</cp:revision>
  <dcterms:created xsi:type="dcterms:W3CDTF">2026-03-11T14:13:00Z</dcterms:created>
  <dcterms:modified xsi:type="dcterms:W3CDTF">2026-03-18T11:55:00Z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2026-01-25</vt:lpwstr>
  </property>
  <property fmtid="{D5CDD505-2E9C-101B-9397-08002B2CF9AE}" pid="3" name="output">
    <vt:lpwstr>word_document</vt:lpwstr>
  </property>
</Properties>
</file>