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5D65B" w14:textId="4EE19F43" w:rsidR="00840B8F" w:rsidRPr="00840B8F" w:rsidRDefault="00840B8F" w:rsidP="00840B8F">
      <w:pPr>
        <w:spacing w:after="0" w:line="240" w:lineRule="auto"/>
        <w:jc w:val="center"/>
        <w:rPr>
          <w:rFonts w:ascii="Times New Roman" w:hAnsi="Times New Roman" w:cs="Times New Roman"/>
          <w:b/>
          <w:bCs/>
          <w:color w:val="EE0000"/>
          <w:sz w:val="32"/>
          <w:szCs w:val="32"/>
        </w:rPr>
      </w:pPr>
      <w:r w:rsidRPr="00840B8F">
        <w:rPr>
          <w:rFonts w:ascii="Times New Roman" w:hAnsi="Times New Roman" w:cs="Times New Roman"/>
          <w:b/>
          <w:bCs/>
          <w:color w:val="EE0000"/>
          <w:sz w:val="32"/>
          <w:szCs w:val="32"/>
          <w:highlight w:val="yellow"/>
        </w:rPr>
        <w:t>Perception of Secondary-Level Prospective Teachers Toward MOOCs: A Comparative Study by Gender and Academic Stream</w:t>
      </w:r>
    </w:p>
    <w:p w14:paraId="43544807" w14:textId="77777777" w:rsidR="00FE5056" w:rsidRPr="00840B8F" w:rsidRDefault="00FE5056" w:rsidP="00460628">
      <w:pPr>
        <w:jc w:val="center"/>
        <w:rPr>
          <w:rFonts w:ascii="Times New Roman" w:hAnsi="Times New Roman" w:cs="Times New Roman"/>
          <w:color w:val="EE0000"/>
          <w:sz w:val="20"/>
          <w:szCs w:val="20"/>
        </w:rPr>
      </w:pPr>
    </w:p>
    <w:p w14:paraId="5612F4C1" w14:textId="5F365B2A" w:rsidR="001A789E" w:rsidRDefault="00460628" w:rsidP="00460628">
      <w:pPr>
        <w:jc w:val="center"/>
        <w:rPr>
          <w:rFonts w:ascii="Times New Roman" w:hAnsi="Times New Roman" w:cs="Times New Roman"/>
          <w:b/>
          <w:bCs/>
          <w:sz w:val="28"/>
          <w:szCs w:val="28"/>
        </w:rPr>
      </w:pPr>
      <w:r w:rsidRPr="000E137D">
        <w:rPr>
          <w:rFonts w:ascii="Times New Roman" w:hAnsi="Times New Roman" w:cs="Times New Roman"/>
          <w:b/>
          <w:bCs/>
          <w:sz w:val="28"/>
          <w:szCs w:val="28"/>
        </w:rPr>
        <w:t>Abstract</w:t>
      </w:r>
    </w:p>
    <w:p w14:paraId="7A09D04C" w14:textId="7D3FBFD1" w:rsidR="00E96AC2" w:rsidRPr="00233A17" w:rsidRDefault="00E96AC2" w:rsidP="003342AE">
      <w:pPr>
        <w:jc w:val="both"/>
        <w:rPr>
          <w:rFonts w:ascii="Times New Roman" w:hAnsi="Times New Roman" w:cs="Times New Roman"/>
          <w:color w:val="EE0000"/>
          <w:sz w:val="24"/>
          <w:szCs w:val="24"/>
        </w:rPr>
      </w:pPr>
      <w:r w:rsidRPr="00E96AC2">
        <w:rPr>
          <w:rFonts w:ascii="Times New Roman" w:hAnsi="Times New Roman" w:cs="Times New Roman"/>
          <w:sz w:val="24"/>
          <w:szCs w:val="24"/>
        </w:rPr>
        <w:t xml:space="preserve">With the rapid expansion of digital learning in education, Massive Open Online Courses (MOOCs) have emerged as valuable platforms for enhancing access and quality in teacher education. This study investigates the perception of secondary grade prospective teachers towards MOOCs, with a focus on how gender and academic stream influence these perceptions. </w:t>
      </w:r>
      <w:r w:rsidRPr="005D272A">
        <w:rPr>
          <w:rFonts w:ascii="Times New Roman" w:hAnsi="Times New Roman" w:cs="Times New Roman"/>
          <w:color w:val="EE0000"/>
          <w:sz w:val="24"/>
          <w:szCs w:val="24"/>
          <w:highlight w:val="yellow"/>
        </w:rPr>
        <w:t>The study employed a quantitative cross-sectional survey research design.</w:t>
      </w:r>
      <w:r w:rsidRPr="00E96AC2">
        <w:rPr>
          <w:rFonts w:ascii="Times New Roman" w:hAnsi="Times New Roman" w:cs="Times New Roman"/>
          <w:sz w:val="24"/>
          <w:szCs w:val="24"/>
        </w:rPr>
        <w:t xml:space="preserve"> A total of 259 B.Ed. students</w:t>
      </w:r>
      <w:r w:rsidR="006172B5">
        <w:rPr>
          <w:rFonts w:ascii="Times New Roman" w:hAnsi="Times New Roman" w:cs="Times New Roman"/>
          <w:sz w:val="24"/>
          <w:szCs w:val="24"/>
        </w:rPr>
        <w:t xml:space="preserve"> from Mysore</w:t>
      </w:r>
      <w:r w:rsidRPr="00E96AC2">
        <w:rPr>
          <w:rFonts w:ascii="Times New Roman" w:hAnsi="Times New Roman" w:cs="Times New Roman"/>
          <w:sz w:val="24"/>
          <w:szCs w:val="24"/>
        </w:rPr>
        <w:t xml:space="preserve"> </w:t>
      </w:r>
      <w:r w:rsidR="00E35599" w:rsidRPr="00E35599">
        <w:rPr>
          <w:rFonts w:ascii="Times New Roman" w:hAnsi="Times New Roman" w:cs="Times New Roman"/>
          <w:sz w:val="24"/>
          <w:szCs w:val="24"/>
        </w:rPr>
        <w:t xml:space="preserve">were selected </w:t>
      </w:r>
      <w:r w:rsidR="00E35599" w:rsidRPr="00F921C7">
        <w:rPr>
          <w:rFonts w:ascii="Times New Roman" w:hAnsi="Times New Roman" w:cs="Times New Roman"/>
          <w:color w:val="EE0000"/>
          <w:sz w:val="24"/>
          <w:szCs w:val="24"/>
          <w:highlight w:val="yellow"/>
        </w:rPr>
        <w:t>using a stratified random sampling technique</w:t>
      </w:r>
      <w:r w:rsidR="00E35599" w:rsidRPr="00F921C7">
        <w:rPr>
          <w:rFonts w:ascii="Times New Roman" w:hAnsi="Times New Roman" w:cs="Times New Roman"/>
          <w:color w:val="EE0000"/>
          <w:sz w:val="24"/>
          <w:szCs w:val="24"/>
        </w:rPr>
        <w:t xml:space="preserve"> </w:t>
      </w:r>
      <w:r w:rsidR="00E35599" w:rsidRPr="00E35599">
        <w:rPr>
          <w:rFonts w:ascii="Times New Roman" w:hAnsi="Times New Roman" w:cs="Times New Roman"/>
          <w:sz w:val="24"/>
          <w:szCs w:val="24"/>
        </w:rPr>
        <w:t>and surveyed</w:t>
      </w:r>
      <w:r w:rsidR="00F921C7">
        <w:rPr>
          <w:rFonts w:ascii="Times New Roman" w:hAnsi="Times New Roman" w:cs="Times New Roman"/>
          <w:sz w:val="24"/>
          <w:szCs w:val="24"/>
        </w:rPr>
        <w:t xml:space="preserve"> </w:t>
      </w:r>
      <w:r w:rsidRPr="00E96AC2">
        <w:rPr>
          <w:rFonts w:ascii="Times New Roman" w:hAnsi="Times New Roman" w:cs="Times New Roman"/>
          <w:sz w:val="24"/>
          <w:szCs w:val="24"/>
        </w:rPr>
        <w:t xml:space="preserve">using a validated 30-item perception scale covering five domains: study habits, learning outcomes, benefits and accessibility, usability and experience, and multimedia and resource sharing. </w:t>
      </w:r>
      <w:r w:rsidRPr="00086D26">
        <w:rPr>
          <w:rFonts w:ascii="Times New Roman" w:hAnsi="Times New Roman" w:cs="Times New Roman"/>
          <w:color w:val="EE0000"/>
          <w:sz w:val="24"/>
          <w:szCs w:val="24"/>
          <w:highlight w:val="yellow"/>
        </w:rPr>
        <w:t>The instrument demonstrated good reliability (Cronbach’s alpha = 0.843).</w:t>
      </w:r>
      <w:r w:rsidRPr="00E96AC2">
        <w:rPr>
          <w:rFonts w:ascii="Times New Roman" w:hAnsi="Times New Roman" w:cs="Times New Roman"/>
          <w:sz w:val="24"/>
          <w:szCs w:val="24"/>
        </w:rPr>
        <w:t xml:space="preserve"> The data were </w:t>
      </w:r>
      <w:proofErr w:type="spellStart"/>
      <w:r w:rsidRPr="00E96AC2">
        <w:rPr>
          <w:rFonts w:ascii="Times New Roman" w:hAnsi="Times New Roman" w:cs="Times New Roman"/>
          <w:sz w:val="24"/>
          <w:szCs w:val="24"/>
        </w:rPr>
        <w:t>analyzed</w:t>
      </w:r>
      <w:proofErr w:type="spellEnd"/>
      <w:r w:rsidRPr="00E96AC2">
        <w:rPr>
          <w:rFonts w:ascii="Times New Roman" w:hAnsi="Times New Roman" w:cs="Times New Roman"/>
          <w:sz w:val="24"/>
          <w:szCs w:val="24"/>
        </w:rPr>
        <w:t xml:space="preserve"> using descriptive statistics and independent samples t-tests</w:t>
      </w:r>
      <w:r w:rsidR="00EF5022">
        <w:rPr>
          <w:rFonts w:ascii="Times New Roman" w:hAnsi="Times New Roman" w:cs="Times New Roman"/>
          <w:sz w:val="24"/>
          <w:szCs w:val="24"/>
        </w:rPr>
        <w:t xml:space="preserve"> </w:t>
      </w:r>
      <w:r w:rsidR="00EF5022" w:rsidRPr="00EF5022">
        <w:rPr>
          <w:rFonts w:ascii="Times New Roman" w:hAnsi="Times New Roman" w:cs="Times New Roman"/>
          <w:color w:val="EE0000"/>
          <w:sz w:val="24"/>
          <w:szCs w:val="24"/>
          <w:highlight w:val="yellow"/>
        </w:rPr>
        <w:t>followed by Cohen’s d for effect size</w:t>
      </w:r>
      <w:r w:rsidRPr="00E96AC2">
        <w:rPr>
          <w:rFonts w:ascii="Times New Roman" w:hAnsi="Times New Roman" w:cs="Times New Roman"/>
          <w:sz w:val="24"/>
          <w:szCs w:val="24"/>
        </w:rPr>
        <w:t xml:space="preserve">. Results indicated that a majority of participants (79.9%) held a moderate perception of MOOCs. While gender differences in overall perception were not statistically significant, female participants rated higher in benefits and multimedia-related domains. Science stream students exhibited significantly more positive perceptions across multiple dimensions compared to their humanities counterparts. </w:t>
      </w:r>
      <w:r w:rsidRPr="00233A17">
        <w:rPr>
          <w:rFonts w:ascii="Times New Roman" w:hAnsi="Times New Roman" w:cs="Times New Roman"/>
          <w:color w:val="EE0000"/>
          <w:sz w:val="24"/>
          <w:szCs w:val="24"/>
          <w:highlight w:val="yellow"/>
        </w:rPr>
        <w:t xml:space="preserve">The findings </w:t>
      </w:r>
      <w:r w:rsidR="00711A8C">
        <w:rPr>
          <w:rFonts w:ascii="Times New Roman" w:hAnsi="Times New Roman" w:cs="Times New Roman"/>
          <w:color w:val="EE0000"/>
          <w:sz w:val="24"/>
          <w:szCs w:val="24"/>
          <w:highlight w:val="yellow"/>
        </w:rPr>
        <w:t>suggest integrating</w:t>
      </w:r>
      <w:r w:rsidRPr="00233A17">
        <w:rPr>
          <w:rFonts w:ascii="Times New Roman" w:hAnsi="Times New Roman" w:cs="Times New Roman"/>
          <w:color w:val="EE0000"/>
          <w:sz w:val="24"/>
          <w:szCs w:val="24"/>
          <w:highlight w:val="yellow"/>
        </w:rPr>
        <w:t xml:space="preserve"> structured MOOC orientation within B.Ed. programs, curricular integration of platforms such as SWAYAM for supplementary learning, and institutional initiatives to strengthen the digital competencies of prospective teachers for effective engagement with online learning environments.</w:t>
      </w:r>
    </w:p>
    <w:p w14:paraId="6C6B8B6E" w14:textId="7C6E5AEF" w:rsidR="003342AE" w:rsidRPr="003342AE" w:rsidRDefault="003342AE" w:rsidP="003342AE">
      <w:pPr>
        <w:jc w:val="both"/>
        <w:rPr>
          <w:rFonts w:ascii="Times New Roman" w:hAnsi="Times New Roman" w:cs="Times New Roman"/>
          <w:sz w:val="24"/>
          <w:szCs w:val="24"/>
        </w:rPr>
      </w:pPr>
      <w:r w:rsidRPr="003342AE">
        <w:rPr>
          <w:rFonts w:ascii="Times New Roman" w:hAnsi="Times New Roman" w:cs="Times New Roman"/>
          <w:b/>
          <w:bCs/>
          <w:sz w:val="24"/>
          <w:szCs w:val="24"/>
        </w:rPr>
        <w:t>Keywords</w:t>
      </w:r>
      <w:r w:rsidRPr="003342AE">
        <w:rPr>
          <w:rFonts w:ascii="Times New Roman" w:hAnsi="Times New Roman" w:cs="Times New Roman"/>
          <w:sz w:val="24"/>
          <w:szCs w:val="24"/>
        </w:rPr>
        <w:t>: MOOCs, perception, teacher education, SWAYAM, digital learning, prospective teachers</w:t>
      </w:r>
    </w:p>
    <w:p w14:paraId="463D5849" w14:textId="77777777" w:rsidR="00460628" w:rsidRDefault="00460628" w:rsidP="00093279">
      <w:pPr>
        <w:jc w:val="both"/>
        <w:rPr>
          <w:rFonts w:ascii="Times New Roman" w:hAnsi="Times New Roman" w:cs="Times New Roman"/>
          <w:sz w:val="24"/>
          <w:szCs w:val="24"/>
        </w:rPr>
      </w:pPr>
    </w:p>
    <w:p w14:paraId="29BD7307" w14:textId="15761998" w:rsidR="000642B7" w:rsidRDefault="000642B7" w:rsidP="00093279">
      <w:pPr>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37346B83" w14:textId="1048BA1F" w:rsidR="000642B7" w:rsidRPr="00DD1509" w:rsidRDefault="000642B7" w:rsidP="000642B7">
      <w:pPr>
        <w:jc w:val="both"/>
        <w:rPr>
          <w:rFonts w:ascii="Times New Roman" w:hAnsi="Times New Roman" w:cs="Times New Roman"/>
          <w:color w:val="EE0000"/>
          <w:sz w:val="24"/>
          <w:szCs w:val="24"/>
        </w:rPr>
      </w:pPr>
      <w:r w:rsidRPr="000642B7">
        <w:rPr>
          <w:rFonts w:ascii="Times New Roman" w:hAnsi="Times New Roman" w:cs="Times New Roman"/>
          <w:sz w:val="24"/>
          <w:szCs w:val="24"/>
        </w:rPr>
        <w:t xml:space="preserve">The growing integration of digital technology in education has led to the widespread adoption of Massive Open Online Courses (MOOCs), which offer flexible, low-cost learning opportunities to diverse learners globally (Li et al., 2013). In India, government initiatives like SWAYAM aim to mainstream MOOCs into formal education, including teacher training programs. </w:t>
      </w:r>
      <w:r w:rsidR="00DD1509" w:rsidRPr="00DD1509">
        <w:rPr>
          <w:rFonts w:ascii="Times New Roman" w:hAnsi="Times New Roman" w:cs="Times New Roman"/>
          <w:sz w:val="24"/>
          <w:szCs w:val="24"/>
        </w:rPr>
        <w:t xml:space="preserve">As future educators, prospective teachers must be equipped to navigate and integrate such platforms into their professional practice. </w:t>
      </w:r>
      <w:r w:rsidR="00DD1509" w:rsidRPr="00DD1509">
        <w:rPr>
          <w:rFonts w:ascii="Times New Roman" w:hAnsi="Times New Roman" w:cs="Times New Roman"/>
          <w:color w:val="EE0000"/>
          <w:sz w:val="24"/>
          <w:szCs w:val="24"/>
          <w:highlight w:val="yellow"/>
        </w:rPr>
        <w:t>Research on teachers’ digital competence highlights the growing importance of technological knowledge, skills, and attitudes in effectively using digital learning tools in educational settings (Smestad et al., 2023).</w:t>
      </w:r>
    </w:p>
    <w:p w14:paraId="29D1D82B" w14:textId="77777777" w:rsidR="002F4B86" w:rsidRDefault="002F4B86" w:rsidP="00093279">
      <w:pPr>
        <w:jc w:val="both"/>
        <w:rPr>
          <w:rFonts w:ascii="Times New Roman" w:hAnsi="Times New Roman" w:cs="Times New Roman"/>
          <w:sz w:val="24"/>
          <w:szCs w:val="24"/>
        </w:rPr>
      </w:pPr>
      <w:r w:rsidRPr="002F4B86">
        <w:rPr>
          <w:rFonts w:ascii="Times New Roman" w:hAnsi="Times New Roman" w:cs="Times New Roman"/>
          <w:sz w:val="24"/>
          <w:szCs w:val="24"/>
        </w:rPr>
        <w:t xml:space="preserve">Although MOOCs are increasingly relevant in teacher education, limited research has focused on the perceptions of secondary grade prospective teachers. Most existing studies </w:t>
      </w:r>
      <w:proofErr w:type="spellStart"/>
      <w:r w:rsidRPr="002F4B86">
        <w:rPr>
          <w:rFonts w:ascii="Times New Roman" w:hAnsi="Times New Roman" w:cs="Times New Roman"/>
          <w:sz w:val="24"/>
          <w:szCs w:val="24"/>
        </w:rPr>
        <w:t>center</w:t>
      </w:r>
      <w:proofErr w:type="spellEnd"/>
      <w:r w:rsidRPr="002F4B86">
        <w:rPr>
          <w:rFonts w:ascii="Times New Roman" w:hAnsi="Times New Roman" w:cs="Times New Roman"/>
          <w:sz w:val="24"/>
          <w:szCs w:val="24"/>
        </w:rPr>
        <w:t xml:space="preserve"> on undergraduate students, faculty members, or international learners, leaving a gap in understanding how B.Ed. trainees in India perceive these online courses (Majid et al., 2019; </w:t>
      </w:r>
      <w:proofErr w:type="spellStart"/>
      <w:r w:rsidRPr="002F4B86">
        <w:rPr>
          <w:rFonts w:ascii="Times New Roman" w:hAnsi="Times New Roman" w:cs="Times New Roman"/>
          <w:sz w:val="24"/>
          <w:szCs w:val="24"/>
        </w:rPr>
        <w:t>Aharony</w:t>
      </w:r>
      <w:proofErr w:type="spellEnd"/>
      <w:r w:rsidRPr="002F4B86">
        <w:rPr>
          <w:rFonts w:ascii="Times New Roman" w:hAnsi="Times New Roman" w:cs="Times New Roman"/>
          <w:sz w:val="24"/>
          <w:szCs w:val="24"/>
        </w:rPr>
        <w:t xml:space="preserve"> &amp; Bar-</w:t>
      </w:r>
      <w:proofErr w:type="spellStart"/>
      <w:r w:rsidRPr="002F4B86">
        <w:rPr>
          <w:rFonts w:ascii="Times New Roman" w:hAnsi="Times New Roman" w:cs="Times New Roman"/>
          <w:sz w:val="24"/>
          <w:szCs w:val="24"/>
        </w:rPr>
        <w:t>Ilan</w:t>
      </w:r>
      <w:proofErr w:type="spellEnd"/>
      <w:r w:rsidRPr="002F4B86">
        <w:rPr>
          <w:rFonts w:ascii="Times New Roman" w:hAnsi="Times New Roman" w:cs="Times New Roman"/>
          <w:sz w:val="24"/>
          <w:szCs w:val="24"/>
        </w:rPr>
        <w:t xml:space="preserve">, 2016; Patwardhan &amp; Yadav, 2022). </w:t>
      </w:r>
      <w:r w:rsidRPr="002F4B86">
        <w:rPr>
          <w:rFonts w:ascii="Times New Roman" w:hAnsi="Times New Roman" w:cs="Times New Roman"/>
          <w:color w:val="EE0000"/>
          <w:sz w:val="24"/>
          <w:szCs w:val="24"/>
          <w:highlight w:val="yellow"/>
        </w:rPr>
        <w:t xml:space="preserve">Recent empirical evidence from Indian teacher education institutions further indicates that awareness of MOOCs among secondary-level teacher trainees remains moderate, with notable gaps in policy knowledge and </w:t>
      </w:r>
      <w:r w:rsidRPr="002F4B86">
        <w:rPr>
          <w:rFonts w:ascii="Times New Roman" w:hAnsi="Times New Roman" w:cs="Times New Roman"/>
          <w:color w:val="EE0000"/>
          <w:sz w:val="24"/>
          <w:szCs w:val="24"/>
          <w:highlight w:val="yellow"/>
        </w:rPr>
        <w:lastRenderedPageBreak/>
        <w:t>platform-specific understanding (Divya et al., 2025).</w:t>
      </w:r>
      <w:r w:rsidRPr="002F4B86">
        <w:rPr>
          <w:rFonts w:ascii="Times New Roman" w:hAnsi="Times New Roman" w:cs="Times New Roman"/>
          <w:color w:val="EE0000"/>
          <w:sz w:val="24"/>
          <w:szCs w:val="24"/>
        </w:rPr>
        <w:t xml:space="preserve"> </w:t>
      </w:r>
      <w:r w:rsidRPr="002F4B86">
        <w:rPr>
          <w:rFonts w:ascii="Times New Roman" w:hAnsi="Times New Roman" w:cs="Times New Roman"/>
          <w:sz w:val="24"/>
          <w:szCs w:val="24"/>
        </w:rPr>
        <w:t>This highlights the need to examine not only awareness but also prospective teachers’ perceptions of MOOCs and their potential role in teacher education.</w:t>
      </w:r>
    </w:p>
    <w:p w14:paraId="6BA3395A" w14:textId="3ACB7199" w:rsidR="000642B7" w:rsidRDefault="003F4013" w:rsidP="00093279">
      <w:pPr>
        <w:jc w:val="both"/>
        <w:rPr>
          <w:rFonts w:ascii="Times New Roman" w:hAnsi="Times New Roman" w:cs="Times New Roman"/>
          <w:sz w:val="24"/>
          <w:szCs w:val="24"/>
        </w:rPr>
      </w:pPr>
      <w:r w:rsidRPr="003F4013">
        <w:rPr>
          <w:rFonts w:ascii="Times New Roman" w:hAnsi="Times New Roman" w:cs="Times New Roman"/>
          <w:sz w:val="24"/>
          <w:szCs w:val="24"/>
        </w:rPr>
        <w:t xml:space="preserve">This study addresses that gap by investigating the perception of MOOCs among secondary grade prospective teachers in Mysore, </w:t>
      </w:r>
      <w:r w:rsidRPr="003F4013">
        <w:rPr>
          <w:rFonts w:ascii="Times New Roman" w:hAnsi="Times New Roman" w:cs="Times New Roman"/>
          <w:color w:val="EE0000"/>
          <w:sz w:val="24"/>
          <w:szCs w:val="24"/>
          <w:highlight w:val="yellow"/>
        </w:rPr>
        <w:t>drawing on perspectives from technology adoption theories such as the Technology Acceptance Model that explain how perceived usefulness and usability influence engagement with digital learning platforms.</w:t>
      </w:r>
      <w:r w:rsidRPr="003F4013">
        <w:rPr>
          <w:rFonts w:ascii="Times New Roman" w:hAnsi="Times New Roman" w:cs="Times New Roman"/>
          <w:color w:val="EE0000"/>
          <w:sz w:val="24"/>
          <w:szCs w:val="24"/>
        </w:rPr>
        <w:t xml:space="preserve"> </w:t>
      </w:r>
      <w:r w:rsidR="000642B7" w:rsidRPr="000642B7">
        <w:rPr>
          <w:rFonts w:ascii="Times New Roman" w:hAnsi="Times New Roman" w:cs="Times New Roman"/>
          <w:sz w:val="24"/>
          <w:szCs w:val="24"/>
        </w:rPr>
        <w:t>It also examines differences in perception based on gender and academic stream, offering insights that may guide curriculum design, digital literacy training, and policy development in teacher education.</w:t>
      </w:r>
    </w:p>
    <w:p w14:paraId="02D6787F" w14:textId="77777777" w:rsidR="000642B7" w:rsidRDefault="000642B7" w:rsidP="00E91A75">
      <w:pPr>
        <w:jc w:val="both"/>
        <w:rPr>
          <w:rFonts w:ascii="Times New Roman" w:hAnsi="Times New Roman" w:cs="Times New Roman"/>
          <w:b/>
          <w:bCs/>
          <w:sz w:val="28"/>
          <w:szCs w:val="28"/>
        </w:rPr>
      </w:pPr>
      <w:r>
        <w:rPr>
          <w:rFonts w:ascii="Times New Roman" w:hAnsi="Times New Roman" w:cs="Times New Roman"/>
          <w:b/>
          <w:bCs/>
          <w:sz w:val="28"/>
          <w:szCs w:val="28"/>
        </w:rPr>
        <w:t xml:space="preserve">CONCEPTUAL FRAMEWORK </w:t>
      </w:r>
    </w:p>
    <w:p w14:paraId="1FE2D8B6" w14:textId="09AA797F" w:rsidR="000642B7" w:rsidRPr="00B22A90" w:rsidRDefault="000642B7" w:rsidP="000642B7">
      <w:pPr>
        <w:jc w:val="both"/>
        <w:rPr>
          <w:rFonts w:ascii="Times New Roman" w:hAnsi="Times New Roman" w:cs="Times New Roman"/>
          <w:color w:val="EE0000"/>
          <w:sz w:val="24"/>
          <w:szCs w:val="24"/>
        </w:rPr>
      </w:pPr>
      <w:r w:rsidRPr="000642B7">
        <w:rPr>
          <w:rFonts w:ascii="Times New Roman" w:hAnsi="Times New Roman" w:cs="Times New Roman"/>
          <w:sz w:val="24"/>
          <w:szCs w:val="24"/>
        </w:rPr>
        <w:t>The conceptual framework of this study is grounded in the intersection of digital education, teacher preparedness, and learner perception. Massive Open Online Courses (MOOCs) have emerged as transformative educational tools that extend learning opportunities beyond conventional boundaries through technology-enabled platforms. In the context of teacher education, MOOCs serve not only as supplementary learning resources but also as a means to cultivate digital literacy, pedagogical innovation, and professional development among prospective teachers.</w:t>
      </w:r>
      <w:r w:rsidR="00B22A90">
        <w:rPr>
          <w:rFonts w:ascii="Times New Roman" w:hAnsi="Times New Roman" w:cs="Times New Roman"/>
          <w:sz w:val="24"/>
          <w:szCs w:val="24"/>
        </w:rPr>
        <w:t xml:space="preserve"> </w:t>
      </w:r>
      <w:r w:rsidR="00B22A90" w:rsidRPr="00966918">
        <w:rPr>
          <w:rFonts w:ascii="Times New Roman" w:hAnsi="Times New Roman" w:cs="Times New Roman"/>
          <w:color w:val="EE0000"/>
          <w:sz w:val="24"/>
          <w:szCs w:val="24"/>
          <w:highlight w:val="yellow"/>
        </w:rPr>
        <w:t>The concept of teacher digital competence has been widely discussed in recent literature as a critical component for the successful integration of educational technologies. Research indicates that teachers must develop not only technical skills but also pedagogical and decision-making competencies to effectively utilize digital resources in diverse learning contexts (Domínguez-González et al., 2025). Similarly, studies examining teachers’ digital competence highlight that effective technology integration requires a combination of technological knowledge, pedagogical understanding, and positive attitudes toward digital learning environments (Smestad et al., 2023).</w:t>
      </w:r>
    </w:p>
    <w:p w14:paraId="5CA07B68" w14:textId="77777777" w:rsidR="000642B7" w:rsidRPr="000642B7" w:rsidRDefault="000642B7" w:rsidP="000642B7">
      <w:pPr>
        <w:jc w:val="both"/>
        <w:rPr>
          <w:rFonts w:ascii="Times New Roman" w:hAnsi="Times New Roman" w:cs="Times New Roman"/>
          <w:sz w:val="24"/>
          <w:szCs w:val="24"/>
        </w:rPr>
      </w:pPr>
      <w:r w:rsidRPr="000642B7">
        <w:rPr>
          <w:rFonts w:ascii="Times New Roman" w:hAnsi="Times New Roman" w:cs="Times New Roman"/>
          <w:sz w:val="24"/>
          <w:szCs w:val="24"/>
        </w:rPr>
        <w:t xml:space="preserve">This study conceptualizes </w:t>
      </w:r>
      <w:r w:rsidRPr="000642B7">
        <w:rPr>
          <w:rFonts w:ascii="Times New Roman" w:hAnsi="Times New Roman" w:cs="Times New Roman"/>
          <w:i/>
          <w:iCs/>
          <w:sz w:val="24"/>
          <w:szCs w:val="24"/>
        </w:rPr>
        <w:t>perception</w:t>
      </w:r>
      <w:r w:rsidRPr="000642B7">
        <w:rPr>
          <w:rFonts w:ascii="Times New Roman" w:hAnsi="Times New Roman" w:cs="Times New Roman"/>
          <w:sz w:val="24"/>
          <w:szCs w:val="24"/>
        </w:rPr>
        <w:t xml:space="preserve"> as the prospective teachers' cognitive, emotional, and evaluative response to MOOCs, shaped by their prior experiences, technological competence, and exposure to digital learning platforms such as SWAYAM. Drawing from existing literature (e.g., </w:t>
      </w:r>
      <w:proofErr w:type="spellStart"/>
      <w:r w:rsidRPr="000642B7">
        <w:rPr>
          <w:rFonts w:ascii="Times New Roman" w:hAnsi="Times New Roman" w:cs="Times New Roman"/>
          <w:sz w:val="24"/>
          <w:szCs w:val="24"/>
        </w:rPr>
        <w:t>Aharony</w:t>
      </w:r>
      <w:proofErr w:type="spellEnd"/>
      <w:r w:rsidRPr="000642B7">
        <w:rPr>
          <w:rFonts w:ascii="Times New Roman" w:hAnsi="Times New Roman" w:cs="Times New Roman"/>
          <w:sz w:val="24"/>
          <w:szCs w:val="24"/>
        </w:rPr>
        <w:t xml:space="preserve"> &amp; Bar-</w:t>
      </w:r>
      <w:proofErr w:type="spellStart"/>
      <w:r w:rsidRPr="000642B7">
        <w:rPr>
          <w:rFonts w:ascii="Times New Roman" w:hAnsi="Times New Roman" w:cs="Times New Roman"/>
          <w:sz w:val="24"/>
          <w:szCs w:val="24"/>
        </w:rPr>
        <w:t>Ilan</w:t>
      </w:r>
      <w:proofErr w:type="spellEnd"/>
      <w:r w:rsidRPr="000642B7">
        <w:rPr>
          <w:rFonts w:ascii="Times New Roman" w:hAnsi="Times New Roman" w:cs="Times New Roman"/>
          <w:sz w:val="24"/>
          <w:szCs w:val="24"/>
        </w:rPr>
        <w:t>, 2016; Majid et al., 2019), the study assumes that perception plays a critical role in influencing how and to what extent prospective teachers engage with MOOCs.</w:t>
      </w:r>
    </w:p>
    <w:p w14:paraId="2B210D1E" w14:textId="2334C085" w:rsidR="003342AE" w:rsidRDefault="000642B7" w:rsidP="000642B7">
      <w:pPr>
        <w:jc w:val="both"/>
        <w:rPr>
          <w:rFonts w:ascii="Times New Roman" w:hAnsi="Times New Roman" w:cs="Times New Roman"/>
          <w:sz w:val="24"/>
          <w:szCs w:val="24"/>
        </w:rPr>
      </w:pPr>
      <w:r w:rsidRPr="000642B7">
        <w:rPr>
          <w:rFonts w:ascii="Times New Roman" w:hAnsi="Times New Roman" w:cs="Times New Roman"/>
          <w:sz w:val="24"/>
          <w:szCs w:val="24"/>
        </w:rPr>
        <w:t xml:space="preserve">The framework identifies </w:t>
      </w:r>
      <w:r w:rsidRPr="000642B7">
        <w:rPr>
          <w:rFonts w:ascii="Times New Roman" w:hAnsi="Times New Roman" w:cs="Times New Roman"/>
          <w:b/>
          <w:bCs/>
          <w:sz w:val="24"/>
          <w:szCs w:val="24"/>
        </w:rPr>
        <w:t>five core domains</w:t>
      </w:r>
      <w:r w:rsidRPr="000642B7">
        <w:rPr>
          <w:rFonts w:ascii="Times New Roman" w:hAnsi="Times New Roman" w:cs="Times New Roman"/>
          <w:sz w:val="24"/>
          <w:szCs w:val="24"/>
        </w:rPr>
        <w:t xml:space="preserve"> that collectively form the construct of MOOC perception:</w:t>
      </w:r>
    </w:p>
    <w:p w14:paraId="07179825" w14:textId="45A25D09" w:rsidR="000642B7" w:rsidRPr="000642B7" w:rsidRDefault="003342AE" w:rsidP="000642B7">
      <w:pPr>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0D7E99B" wp14:editId="39F18DCC">
                <wp:simplePos x="0" y="0"/>
                <wp:positionH relativeFrom="column">
                  <wp:posOffset>139700</wp:posOffset>
                </wp:positionH>
                <wp:positionV relativeFrom="paragraph">
                  <wp:posOffset>2888615</wp:posOffset>
                </wp:positionV>
                <wp:extent cx="5130800" cy="279400"/>
                <wp:effectExtent l="0" t="0" r="0" b="6350"/>
                <wp:wrapNone/>
                <wp:docPr id="803344553" name="Text Box 2"/>
                <wp:cNvGraphicFramePr/>
                <a:graphic xmlns:a="http://schemas.openxmlformats.org/drawingml/2006/main">
                  <a:graphicData uri="http://schemas.microsoft.com/office/word/2010/wordprocessingShape">
                    <wps:wsp>
                      <wps:cNvSpPr txBox="1"/>
                      <wps:spPr>
                        <a:xfrm>
                          <a:off x="0" y="0"/>
                          <a:ext cx="5130800" cy="279400"/>
                        </a:xfrm>
                        <a:prstGeom prst="rect">
                          <a:avLst/>
                        </a:prstGeom>
                        <a:solidFill>
                          <a:schemeClr val="lt1"/>
                        </a:solidFill>
                        <a:ln w="6350">
                          <a:noFill/>
                        </a:ln>
                      </wps:spPr>
                      <wps:txbx>
                        <w:txbxContent>
                          <w:p w14:paraId="05234581" w14:textId="2A70AD5F" w:rsidR="003342AE" w:rsidRPr="003342AE" w:rsidRDefault="00F00799" w:rsidP="003342AE">
                            <w:pPr>
                              <w:jc w:val="center"/>
                              <w:rPr>
                                <w:rFonts w:ascii="Times New Roman" w:hAnsi="Times New Roman" w:cs="Times New Roman"/>
                                <w:b/>
                                <w:bCs/>
                                <w:sz w:val="20"/>
                                <w:szCs w:val="20"/>
                              </w:rPr>
                            </w:pPr>
                            <w:r>
                              <w:rPr>
                                <w:rFonts w:ascii="Times New Roman" w:hAnsi="Times New Roman" w:cs="Times New Roman"/>
                                <w:b/>
                                <w:bCs/>
                                <w:sz w:val="20"/>
                                <w:szCs w:val="20"/>
                              </w:rPr>
                              <w:t>Fig 1</w:t>
                            </w:r>
                            <w:r w:rsidR="00BD69E5">
                              <w:rPr>
                                <w:rFonts w:ascii="Times New Roman" w:hAnsi="Times New Roman" w:cs="Times New Roman"/>
                                <w:b/>
                                <w:bCs/>
                                <w:sz w:val="20"/>
                                <w:szCs w:val="20"/>
                              </w:rPr>
                              <w:t xml:space="preserve">. </w:t>
                            </w:r>
                            <w:r w:rsidR="003342AE" w:rsidRPr="003342AE">
                              <w:rPr>
                                <w:rFonts w:ascii="Times New Roman" w:hAnsi="Times New Roman" w:cs="Times New Roman"/>
                                <w:b/>
                                <w:bCs/>
                                <w:sz w:val="20"/>
                                <w:szCs w:val="20"/>
                              </w:rPr>
                              <w:t>Conceptual Framework for MOOC Perception Among Prospective Teachers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D7E99B" id="_x0000_t202" coordsize="21600,21600" o:spt="202" path="m,l,21600r21600,l21600,xe">
                <v:stroke joinstyle="miter"/>
                <v:path gradientshapeok="t" o:connecttype="rect"/>
              </v:shapetype>
              <v:shape id="Text Box 2" o:spid="_x0000_s1026" type="#_x0000_t202" style="position:absolute;left:0;text-align:left;margin-left:11pt;margin-top:227.45pt;width:404pt;height: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" fillcolor="white [3201]" stroked="f" strokeweight=".5pt">
                <v:textbox>
                  <w:txbxContent>
                    <w:p w14:paraId="05234581" w14:textId="2A70AD5F" w:rsidR="003342AE" w:rsidRPr="003342AE" w:rsidRDefault="00F00799" w:rsidP="003342AE">
                      <w:pPr>
                        <w:jc w:val="center"/>
                        <w:rPr>
                          <w:rFonts w:ascii="Times New Roman" w:hAnsi="Times New Roman" w:cs="Times New Roman"/>
                          <w:b/>
                          <w:bCs/>
                          <w:sz w:val="20"/>
                          <w:szCs w:val="20"/>
                        </w:rPr>
                      </w:pPr>
                      <w:r>
                        <w:rPr>
                          <w:rFonts w:ascii="Times New Roman" w:hAnsi="Times New Roman" w:cs="Times New Roman"/>
                          <w:b/>
                          <w:bCs/>
                          <w:sz w:val="20"/>
                          <w:szCs w:val="20"/>
                        </w:rPr>
                        <w:t>Fig 1</w:t>
                      </w:r>
                      <w:r w:rsidR="00BD69E5">
                        <w:rPr>
                          <w:rFonts w:ascii="Times New Roman" w:hAnsi="Times New Roman" w:cs="Times New Roman"/>
                          <w:b/>
                          <w:bCs/>
                          <w:sz w:val="20"/>
                          <w:szCs w:val="20"/>
                        </w:rPr>
                        <w:t xml:space="preserve">. </w:t>
                      </w:r>
                      <w:r w:rsidR="003342AE" w:rsidRPr="003342AE">
                        <w:rPr>
                          <w:rFonts w:ascii="Times New Roman" w:hAnsi="Times New Roman" w:cs="Times New Roman"/>
                          <w:b/>
                          <w:bCs/>
                          <w:sz w:val="20"/>
                          <w:szCs w:val="20"/>
                        </w:rPr>
                        <w:t>Conceptual Framework for MOOC Perception Among Prospective Teachers</w:t>
                      </w:r>
                    </w:p>
                  </w:txbxContent>
                </v:textbox>
              </v:shape>
            </w:pict>
          </mc:Fallback>
        </mc:AlternateContent>
      </w:r>
      <w:r>
        <w:rPr>
          <w:rFonts w:ascii="Times New Roman" w:hAnsi="Times New Roman" w:cs="Times New Roman"/>
          <w:noProof/>
          <w:sz w:val="24"/>
          <w:szCs w:val="24"/>
        </w:rPr>
        <w:drawing>
          <wp:inline distT="0" distB="0" distL="0" distR="0" wp14:anchorId="7A03BFC0" wp14:editId="364C106A">
            <wp:extent cx="5060950" cy="2878945"/>
            <wp:effectExtent l="0" t="0" r="6350" b="0"/>
            <wp:docPr id="701767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67417" name="Picture 701767417"/>
                    <pic:cNvPicPr/>
                  </pic:nvPicPr>
                  <pic:blipFill rotWithShape="1">
                    <a:blip r:embed="rId7">
                      <a:extLst>
                        <a:ext uri="{28A0092B-C50C-407E-A947-70E740481C1C}">
                          <a14:useLocalDpi xmlns:a14="http://schemas.microsoft.com/office/drawing/2010/main" val="0"/>
                        </a:ext>
                      </a:extLst>
                    </a:blip>
                    <a:srcRect l="24596" t="16349" r="23000" b="16289"/>
                    <a:stretch>
                      <a:fillRect/>
                    </a:stretch>
                  </pic:blipFill>
                  <pic:spPr bwMode="auto">
                    <a:xfrm>
                      <a:off x="0" y="0"/>
                      <a:ext cx="5081929" cy="2890879"/>
                    </a:xfrm>
                    <a:prstGeom prst="rect">
                      <a:avLst/>
                    </a:prstGeom>
                    <a:ln>
                      <a:noFill/>
                    </a:ln>
                    <a:extLst>
                      <a:ext uri="{53640926-AAD7-44D8-BBD7-CCE9431645EC}">
                        <a14:shadowObscured xmlns:a14="http://schemas.microsoft.com/office/drawing/2010/main"/>
                      </a:ext>
                    </a:extLst>
                  </pic:spPr>
                </pic:pic>
              </a:graphicData>
            </a:graphic>
          </wp:inline>
        </w:drawing>
      </w:r>
    </w:p>
    <w:p w14:paraId="554D2465" w14:textId="77777777" w:rsidR="003342AE" w:rsidRDefault="003342AE" w:rsidP="00E91A75">
      <w:pPr>
        <w:jc w:val="both"/>
        <w:rPr>
          <w:rFonts w:ascii="Times New Roman" w:hAnsi="Times New Roman" w:cs="Times New Roman"/>
          <w:sz w:val="24"/>
          <w:szCs w:val="24"/>
        </w:rPr>
      </w:pPr>
    </w:p>
    <w:p w14:paraId="4335ED8C" w14:textId="0F9B565F" w:rsidR="000642B7" w:rsidRPr="000642B7" w:rsidRDefault="000642B7" w:rsidP="00E91A75">
      <w:pPr>
        <w:jc w:val="both"/>
        <w:rPr>
          <w:rFonts w:ascii="Times New Roman" w:hAnsi="Times New Roman" w:cs="Times New Roman"/>
          <w:sz w:val="24"/>
          <w:szCs w:val="24"/>
        </w:rPr>
      </w:pPr>
      <w:r w:rsidRPr="000642B7">
        <w:rPr>
          <w:rFonts w:ascii="Times New Roman" w:hAnsi="Times New Roman" w:cs="Times New Roman"/>
          <w:sz w:val="24"/>
          <w:szCs w:val="24"/>
        </w:rPr>
        <w:t>Informed by this framework, the study investigates the overall perception of secondary grade prospective teachers towards MOOCs and examines how this perception varies across gender and academic streams. The goal is to generate actionable insights for teacher education institutions and policymakers seeking to integrate MOOCs effectively into pre-service teacher training programs.</w:t>
      </w:r>
    </w:p>
    <w:p w14:paraId="67EF7F83" w14:textId="43418BBD" w:rsidR="003342AE" w:rsidRPr="007D67F9" w:rsidRDefault="005E5AE9" w:rsidP="00E91A75">
      <w:pPr>
        <w:jc w:val="both"/>
        <w:rPr>
          <w:rFonts w:ascii="Times New Roman" w:hAnsi="Times New Roman" w:cs="Times New Roman"/>
          <w:color w:val="EE0000"/>
          <w:sz w:val="24"/>
          <w:szCs w:val="24"/>
        </w:rPr>
      </w:pPr>
      <w:r w:rsidRPr="007D67F9">
        <w:rPr>
          <w:rFonts w:ascii="Times New Roman" w:hAnsi="Times New Roman" w:cs="Times New Roman"/>
          <w:color w:val="EE0000"/>
          <w:sz w:val="24"/>
          <w:szCs w:val="24"/>
          <w:highlight w:val="yellow"/>
        </w:rPr>
        <w:t xml:space="preserve">The conceptual understanding of prospective teachers’ perceptions toward MOOCs can also be interpreted through established technology adoption frameworks such as the Technology Acceptance Model (TAM) proposed by Davis (1989). According to TAM, users’ acceptance of a technological system is primarily influenced by two factors: perceived usefulness and perceived ease of use, which subsequently shape attitudes and </w:t>
      </w:r>
      <w:proofErr w:type="spellStart"/>
      <w:r w:rsidRPr="007D67F9">
        <w:rPr>
          <w:rFonts w:ascii="Times New Roman" w:hAnsi="Times New Roman" w:cs="Times New Roman"/>
          <w:color w:val="EE0000"/>
          <w:sz w:val="24"/>
          <w:szCs w:val="24"/>
          <w:highlight w:val="yellow"/>
        </w:rPr>
        <w:t>behavioral</w:t>
      </w:r>
      <w:proofErr w:type="spellEnd"/>
      <w:r w:rsidRPr="007D67F9">
        <w:rPr>
          <w:rFonts w:ascii="Times New Roman" w:hAnsi="Times New Roman" w:cs="Times New Roman"/>
          <w:color w:val="EE0000"/>
          <w:sz w:val="24"/>
          <w:szCs w:val="24"/>
          <w:highlight w:val="yellow"/>
        </w:rPr>
        <w:t xml:space="preserve"> intentions toward technology adoption. In the context of MOOCs, perceived usefulness may relate to how prospective teachers view MOOCs in improving study habits and learning outcomes, while perceived ease of use corresponds to usability, accessibility, and platform experience. Therefore, examining prospective teachers’ perceptions across domains such as benefits, usability, and learning outcomes aligns with the broader theoretical understanding of technology acceptance in digital learning environments.</w:t>
      </w:r>
    </w:p>
    <w:p w14:paraId="7736E187" w14:textId="0B7A2524" w:rsidR="00E91A75" w:rsidRPr="00E91A75" w:rsidRDefault="00E91A75" w:rsidP="00E91A75">
      <w:pPr>
        <w:jc w:val="both"/>
        <w:rPr>
          <w:rFonts w:ascii="Times New Roman" w:hAnsi="Times New Roman" w:cs="Times New Roman"/>
          <w:b/>
          <w:bCs/>
          <w:sz w:val="28"/>
          <w:szCs w:val="28"/>
        </w:rPr>
      </w:pPr>
      <w:r w:rsidRPr="00F509FC">
        <w:rPr>
          <w:rFonts w:ascii="Times New Roman" w:hAnsi="Times New Roman" w:cs="Times New Roman"/>
          <w:b/>
          <w:bCs/>
          <w:sz w:val="28"/>
          <w:szCs w:val="28"/>
        </w:rPr>
        <w:t>REVIEW OF RELATED LITERATURE</w:t>
      </w:r>
    </w:p>
    <w:p w14:paraId="33A0E709" w14:textId="300092B8" w:rsidR="00E91A75" w:rsidRDefault="00E91A75" w:rsidP="00093279">
      <w:pPr>
        <w:jc w:val="both"/>
        <w:rPr>
          <w:rFonts w:ascii="Times New Roman" w:hAnsi="Times New Roman" w:cs="Times New Roman"/>
          <w:sz w:val="24"/>
          <w:szCs w:val="24"/>
        </w:rPr>
      </w:pPr>
      <w:r w:rsidRPr="00E91A75">
        <w:rPr>
          <w:rFonts w:ascii="Times New Roman" w:hAnsi="Times New Roman" w:cs="Times New Roman"/>
          <w:sz w:val="24"/>
          <w:szCs w:val="24"/>
        </w:rPr>
        <w:t>Massive Open Online Courses (MOOCs) have revolutionized educational approaches by providing flexible, accessible learning opportunities beyond traditional classroom settings. As these platforms continue gaining prominence in educational institutions worldwide, understanding how different stakeholders perceive MOOCs becomes crucial for effective implementation. This literature review examines existing research on perceptions toward MOOCs across diverse educational contexts, establishing a foundation for our study focusing specifically on secondary grade prospective teachers' perceptions of these online learning platforms.</w:t>
      </w:r>
    </w:p>
    <w:p w14:paraId="42A3638C"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 xml:space="preserve">Research on perceptions of MOOCs reveals complex and varied attitudes toward these online learning platforms. Li et al. (2013) explored students' perceptions of integrating MOOCs into </w:t>
      </w:r>
      <w:r w:rsidRPr="00E91A75">
        <w:rPr>
          <w:rFonts w:ascii="Times New Roman" w:hAnsi="Times New Roman" w:cs="Times New Roman"/>
          <w:sz w:val="24"/>
          <w:szCs w:val="24"/>
        </w:rPr>
        <w:lastRenderedPageBreak/>
        <w:t>a flipped classroom model. Their findings indicated a significant shift in students' attitudes towards e-learning, with generally positive perceptions and satisfaction with the MOOC-integrated approach, which appeared to enhance both engagement and learning outcomes.</w:t>
      </w:r>
    </w:p>
    <w:p w14:paraId="112ED31F"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Cole and Timmerman (2015) investigated college students' perceptions of MOOCs compared to media discussions. They found that students perceive MOOCs as demanding significant time and effort similar to traditional courses, rather than merely supplementary resources. The study identified six thematic categories of concern: reliability (64 mentions), accessibility (49), content (44), learning (41), communication (34), and outcomes (18). Students notably expected timely feedback from instructors, which often remained unmet, contributing to low completion rates.</w:t>
      </w:r>
    </w:p>
    <w:p w14:paraId="4C65F6E5" w14:textId="77777777" w:rsidR="00E91A75" w:rsidRPr="00E91A75" w:rsidRDefault="00E91A75" w:rsidP="00E91A75">
      <w:pPr>
        <w:jc w:val="both"/>
        <w:rPr>
          <w:rFonts w:ascii="Times New Roman" w:hAnsi="Times New Roman" w:cs="Times New Roman"/>
          <w:sz w:val="24"/>
          <w:szCs w:val="24"/>
        </w:rPr>
      </w:pPr>
      <w:proofErr w:type="spellStart"/>
      <w:r w:rsidRPr="00E91A75">
        <w:rPr>
          <w:rFonts w:ascii="Times New Roman" w:hAnsi="Times New Roman" w:cs="Times New Roman"/>
          <w:sz w:val="24"/>
          <w:szCs w:val="24"/>
        </w:rPr>
        <w:t>Aharony</w:t>
      </w:r>
      <w:proofErr w:type="spellEnd"/>
      <w:r w:rsidRPr="00E91A75">
        <w:rPr>
          <w:rFonts w:ascii="Times New Roman" w:hAnsi="Times New Roman" w:cs="Times New Roman"/>
          <w:sz w:val="24"/>
          <w:szCs w:val="24"/>
        </w:rPr>
        <w:t xml:space="preserve"> and Bar-</w:t>
      </w:r>
      <w:proofErr w:type="spellStart"/>
      <w:r w:rsidRPr="00E91A75">
        <w:rPr>
          <w:rFonts w:ascii="Times New Roman" w:hAnsi="Times New Roman" w:cs="Times New Roman"/>
          <w:sz w:val="24"/>
          <w:szCs w:val="24"/>
        </w:rPr>
        <w:t>Ilan</w:t>
      </w:r>
      <w:proofErr w:type="spellEnd"/>
      <w:r w:rsidRPr="00E91A75">
        <w:rPr>
          <w:rFonts w:ascii="Times New Roman" w:hAnsi="Times New Roman" w:cs="Times New Roman"/>
          <w:sz w:val="24"/>
          <w:szCs w:val="24"/>
        </w:rPr>
        <w:t xml:space="preserve"> (2016) examined how students perceive MOOCs and their emotional experiences while taking courses on MOOC platforms. Their research revealed that students underwent emotional changes during their learning journey—initially feeling uncertain and confused, but gradually developing confidence. Master's students, characterized as deeper learners, demonstrated more positive perceptions towards MOOCs compared to bachelor's students, who tended to be surface learners.</w:t>
      </w:r>
    </w:p>
    <w:p w14:paraId="7EBD9697" w14:textId="256741B5" w:rsidR="00E91A75" w:rsidRPr="00DE0903" w:rsidRDefault="00E91A75" w:rsidP="00E91A75">
      <w:pPr>
        <w:jc w:val="both"/>
        <w:rPr>
          <w:rFonts w:ascii="Times New Roman" w:hAnsi="Times New Roman" w:cs="Times New Roman"/>
          <w:color w:val="EE0000"/>
          <w:sz w:val="24"/>
          <w:szCs w:val="24"/>
        </w:rPr>
      </w:pPr>
      <w:r w:rsidRPr="00E91A75">
        <w:rPr>
          <w:rFonts w:ascii="Times New Roman" w:hAnsi="Times New Roman" w:cs="Times New Roman"/>
          <w:sz w:val="24"/>
          <w:szCs w:val="24"/>
        </w:rPr>
        <w:t xml:space="preserve">In Mongolia, </w:t>
      </w:r>
      <w:proofErr w:type="spellStart"/>
      <w:r w:rsidRPr="00E91A75">
        <w:rPr>
          <w:rFonts w:ascii="Times New Roman" w:hAnsi="Times New Roman" w:cs="Times New Roman"/>
          <w:sz w:val="24"/>
          <w:szCs w:val="24"/>
        </w:rPr>
        <w:t>Sukhbaataar</w:t>
      </w:r>
      <w:proofErr w:type="spellEnd"/>
      <w:r w:rsidRPr="00E91A75">
        <w:rPr>
          <w:rFonts w:ascii="Times New Roman" w:hAnsi="Times New Roman" w:cs="Times New Roman"/>
          <w:sz w:val="24"/>
          <w:szCs w:val="24"/>
        </w:rPr>
        <w:t xml:space="preserve"> et al. (2018) studied students' MOOC perception and found generally positive views, with many recognizing MOOCs as valuable educational resources. Despite enthusiasm for engagement, challenges such as limited access, insufficient digital skills, and concerns about academic quality hindered broader participation. Most students who participated in MOOCs reported completing at least one course, suggesting commitment once enrolled.</w:t>
      </w:r>
      <w:r w:rsidR="00811A42">
        <w:rPr>
          <w:rFonts w:ascii="Times New Roman" w:hAnsi="Times New Roman" w:cs="Times New Roman"/>
          <w:sz w:val="24"/>
          <w:szCs w:val="24"/>
        </w:rPr>
        <w:t xml:space="preserve"> </w:t>
      </w:r>
      <w:r w:rsidR="00811A42" w:rsidRPr="00DE0903">
        <w:rPr>
          <w:rFonts w:ascii="Times New Roman" w:hAnsi="Times New Roman" w:cs="Times New Roman"/>
          <w:color w:val="EE0000"/>
          <w:sz w:val="24"/>
          <w:szCs w:val="24"/>
          <w:highlight w:val="yellow"/>
        </w:rPr>
        <w:t>Similarly, Muniyandi</w:t>
      </w:r>
      <w:r w:rsidR="00DE0903" w:rsidRPr="00DE0903">
        <w:rPr>
          <w:rFonts w:ascii="Times New Roman" w:hAnsi="Times New Roman" w:cs="Times New Roman"/>
          <w:color w:val="EE0000"/>
          <w:sz w:val="24"/>
          <w:szCs w:val="24"/>
          <w:highlight w:val="yellow"/>
        </w:rPr>
        <w:t xml:space="preserve"> et al. (</w:t>
      </w:r>
      <w:r w:rsidR="00811A42" w:rsidRPr="00DE0903">
        <w:rPr>
          <w:rFonts w:ascii="Times New Roman" w:hAnsi="Times New Roman" w:cs="Times New Roman"/>
          <w:color w:val="EE0000"/>
          <w:sz w:val="24"/>
          <w:szCs w:val="24"/>
          <w:highlight w:val="yellow"/>
        </w:rPr>
        <w:t>2024) examined awareness and barriers related to SWAYAM MOOCs among prospective teachers in Tamil Nadu. Their findings indicated that prospective teachers demonstrated moderate levels of awareness, while barriers such as limited time, technological challenges, and preference for traditional classroom learning influenced participation in MOOCs.</w:t>
      </w:r>
    </w:p>
    <w:p w14:paraId="4A47122B"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Kumar and Al-</w:t>
      </w:r>
      <w:proofErr w:type="spellStart"/>
      <w:r w:rsidRPr="00E91A75">
        <w:rPr>
          <w:rFonts w:ascii="Times New Roman" w:hAnsi="Times New Roman" w:cs="Times New Roman"/>
          <w:sz w:val="24"/>
          <w:szCs w:val="24"/>
        </w:rPr>
        <w:t>Samarraie</w:t>
      </w:r>
      <w:proofErr w:type="spellEnd"/>
      <w:r w:rsidRPr="00E91A75">
        <w:rPr>
          <w:rFonts w:ascii="Times New Roman" w:hAnsi="Times New Roman" w:cs="Times New Roman"/>
          <w:sz w:val="24"/>
          <w:szCs w:val="24"/>
        </w:rPr>
        <w:t xml:space="preserve"> (2019) explored pre-university students' perceptions of MOOCs in Malaysia through a qualitative study. They found generally positive perceptions, with students reporting benefits such as acquiring additional knowledge, earning credits toward their diplomas, and participating in an online learning community. However, language competency and awareness were identified as significant barriers.</w:t>
      </w:r>
    </w:p>
    <w:p w14:paraId="2390EA71"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Majid et al. (2019) investigated postgraduate students' perceptions of MOOCs in enhancing their learning experience. Respondents agreed that MOOCs were well-organized (M=4.39), user-friendly (M=4.35), and enabled effective sharing of media and documents (M=4.35). They also reported that MOOCs facilitated meaningful learning by enabling reflection (M=4.43), improving concept understanding (M=4.41), and enhancing practice of learned concepts (M=4.39). However, concerns about technical glitches, poor internet connectivity, and insufficient or outdated content were also noted.</w:t>
      </w:r>
    </w:p>
    <w:p w14:paraId="097EBD55"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Ibrahim et al. (2020) identified students' perceptions of MOOC modules in study skills classes. Their findings highlighted that students generally perceive MOOCs as valuable resources that enhance learning experiences. Students appreciated the flexibility and accessibility of MOOCs but expressed concerns regarding content quality and limited instructor interaction. They indicated a desire for more structured guidance and support while navigating MOOCs.</w:t>
      </w:r>
    </w:p>
    <w:p w14:paraId="5E3215E8"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lastRenderedPageBreak/>
        <w:t>Kasch et al. (2021) explored students' perceptions of peer-feedback experiences in MOOCs. Their research showed that peer-feedback training positively affected students' perceptions, particularly regarding willingness, usefulness, preparedness, and overall attitude toward peer-feedback. Students with previous peer-feedback experience reported higher perception scores than those with limited or no experience.</w:t>
      </w:r>
    </w:p>
    <w:p w14:paraId="427F4FAE"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A more recent study by Patwardhan and Yadav (2022) investigated faculty perceptions of MOOCs. They found that while there is general awareness of MOOCs and their potential benefits for personal and professional development, active participation as instructors remains low. Despite enthusiasm for MOOCs, educators expressed concerns about the lack of institutional support and concrete policies that could facilitate their integration into traditional teaching frameworks.</w:t>
      </w:r>
    </w:p>
    <w:p w14:paraId="29209D5B" w14:textId="77777777" w:rsid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 xml:space="preserve">N.A. et al. (2023) </w:t>
      </w:r>
      <w:proofErr w:type="spellStart"/>
      <w:r w:rsidRPr="00E91A75">
        <w:rPr>
          <w:rFonts w:ascii="Times New Roman" w:hAnsi="Times New Roman" w:cs="Times New Roman"/>
          <w:sz w:val="24"/>
          <w:szCs w:val="24"/>
        </w:rPr>
        <w:t>analyzed</w:t>
      </w:r>
      <w:proofErr w:type="spellEnd"/>
      <w:r w:rsidRPr="00E91A75">
        <w:rPr>
          <w:rFonts w:ascii="Times New Roman" w:hAnsi="Times New Roman" w:cs="Times New Roman"/>
          <w:sz w:val="24"/>
          <w:szCs w:val="24"/>
        </w:rPr>
        <w:t xml:space="preserve"> the perceptions of students and teachers regarding the effectiveness of MOOCs on learning efficiency. Their findings indicated that MOOCs positively influence teaching and learning efficiency, with technology-based tools enhancing educational quality and providing global access to education. However, to optimize MOOCs' effectiveness in India, the researchers recommended improvements in infrastructure, inclusion of multilingual courses, and increased live interactions.</w:t>
      </w:r>
    </w:p>
    <w:p w14:paraId="3C5BB928" w14:textId="05A4E41A" w:rsidR="00713D21" w:rsidRPr="00713D21" w:rsidRDefault="00713D21" w:rsidP="00E91A75">
      <w:pPr>
        <w:jc w:val="both"/>
        <w:rPr>
          <w:rFonts w:ascii="Times New Roman" w:hAnsi="Times New Roman" w:cs="Times New Roman"/>
          <w:color w:val="EE0000"/>
          <w:sz w:val="24"/>
          <w:szCs w:val="24"/>
        </w:rPr>
      </w:pPr>
      <w:r w:rsidRPr="00713D21">
        <w:rPr>
          <w:rFonts w:ascii="Times New Roman" w:hAnsi="Times New Roman" w:cs="Times New Roman"/>
          <w:color w:val="EE0000"/>
          <w:sz w:val="24"/>
          <w:szCs w:val="24"/>
          <w:highlight w:val="yellow"/>
        </w:rPr>
        <w:t>A recent study by Gunjan (2025) examined the utilization of SWAYAM MOOCs among teacher education students in Delhi. The study reported that although many students were aware of SWAYAM and appreciated the flexibility of MOOCs, several barriers such as limited interaction, insufficient training in MOOC usage, and institutional support gaps influenced effective participation in online courses.</w:t>
      </w:r>
    </w:p>
    <w:p w14:paraId="3628C9D2" w14:textId="77777777" w:rsidR="00E91A75" w:rsidRPr="00E91A75" w:rsidRDefault="00E91A75" w:rsidP="00E91A75">
      <w:pPr>
        <w:jc w:val="both"/>
        <w:rPr>
          <w:rFonts w:ascii="Times New Roman" w:hAnsi="Times New Roman" w:cs="Times New Roman"/>
          <w:sz w:val="24"/>
          <w:szCs w:val="24"/>
        </w:rPr>
      </w:pPr>
      <w:r w:rsidRPr="00713D21">
        <w:rPr>
          <w:rFonts w:ascii="Times New Roman" w:hAnsi="Times New Roman" w:cs="Times New Roman"/>
          <w:sz w:val="24"/>
          <w:szCs w:val="24"/>
        </w:rPr>
        <w:t>The reviewed literature reveals complex perceptions toward MOOCs</w:t>
      </w:r>
      <w:r w:rsidRPr="00E91A75">
        <w:rPr>
          <w:rFonts w:ascii="Times New Roman" w:hAnsi="Times New Roman" w:cs="Times New Roman"/>
          <w:sz w:val="24"/>
          <w:szCs w:val="24"/>
        </w:rPr>
        <w:t xml:space="preserve"> across various populations. Studies consistently show generally positive attitudes, with participants appreciating MOOCs for their flexibility, content diversity, and potential for enhancing learning experiences (Li et al., 2013; Majid et al., 2019). However, concerns persist regarding technical challenges, content quality, limited instructor interaction, and completion rates (Cole &amp; Timmerman, 2015; Ibrahim et al., 2020). While existing research has examined perceptions among undergraduate students, postgraduate learners, faculty members, and pre-university students across different countries, there remains a notable gap regarding secondary grade prospective teachers' perspectives on MOOCs. This demographic represents a crucial bridge between teacher education and future classroom innovation, making their perceptions particularly valuable for understanding how MOOCs might be integrated into secondary education contexts.</w:t>
      </w:r>
    </w:p>
    <w:p w14:paraId="5974BA79" w14:textId="0FAAD44B" w:rsidR="00575F5F" w:rsidRDefault="00D5394C" w:rsidP="00575F5F">
      <w:pPr>
        <w:jc w:val="both"/>
        <w:rPr>
          <w:rFonts w:ascii="Times New Roman" w:hAnsi="Times New Roman" w:cs="Times New Roman"/>
          <w:sz w:val="24"/>
          <w:szCs w:val="24"/>
        </w:rPr>
      </w:pPr>
      <w:r w:rsidRPr="00D5394C">
        <w:rPr>
          <w:rFonts w:ascii="Times New Roman" w:hAnsi="Times New Roman" w:cs="Times New Roman"/>
          <w:color w:val="EE0000"/>
          <w:sz w:val="24"/>
          <w:szCs w:val="24"/>
          <w:highlight w:val="yellow"/>
        </w:rPr>
        <w:t>Understanding secondary grade prospective teachers' perceptions toward MOOCs addresses a significant gap in current literature while offering practical implications for teacher education programs and MOOC implementation strategies. Recent studies focusing on SWAYAM and digital competence among teachers further emphasize the importance of preparing prospective educators to effectively engage with online learning platforms and digital educational resources.</w:t>
      </w:r>
      <w:r w:rsidRPr="00D5394C">
        <w:rPr>
          <w:rFonts w:ascii="Times New Roman" w:hAnsi="Times New Roman" w:cs="Times New Roman"/>
          <w:color w:val="EE0000"/>
          <w:sz w:val="24"/>
          <w:szCs w:val="24"/>
        </w:rPr>
        <w:t xml:space="preserve"> </w:t>
      </w:r>
      <w:r w:rsidR="00E91A75" w:rsidRPr="00E91A75">
        <w:rPr>
          <w:rFonts w:ascii="Times New Roman" w:hAnsi="Times New Roman" w:cs="Times New Roman"/>
          <w:sz w:val="24"/>
          <w:szCs w:val="24"/>
        </w:rPr>
        <w:t xml:space="preserve">Previous studies have established that perceptions significantly influence engagement with and effective utilization of online learning platforms. By focusing specifically on secondary grade prospective teachers, this study provides insights that can inform teacher preparation programs, policy development, and support mechanisms designed to enhance these future educators' readiness to integrate MOOCs into their teaching practice. The findings will </w:t>
      </w:r>
      <w:r w:rsidR="00E91A75" w:rsidRPr="00E91A75">
        <w:rPr>
          <w:rFonts w:ascii="Times New Roman" w:hAnsi="Times New Roman" w:cs="Times New Roman"/>
          <w:sz w:val="24"/>
          <w:szCs w:val="24"/>
        </w:rPr>
        <w:lastRenderedPageBreak/>
        <w:t>contribute to the growing body of knowledge on MOOC perceptions while potentially influencing how the next generation of secondary education students encounters and engages with online learning opportunities.</w:t>
      </w:r>
      <w:bookmarkStart w:id="0" w:name="_Toc194179011"/>
    </w:p>
    <w:p w14:paraId="07040239" w14:textId="77777777" w:rsidR="006C2D3A" w:rsidRDefault="006C2D3A" w:rsidP="00575F5F">
      <w:pPr>
        <w:spacing w:line="240" w:lineRule="auto"/>
        <w:jc w:val="both"/>
        <w:rPr>
          <w:rFonts w:ascii="Times New Roman" w:hAnsi="Times New Roman" w:cs="Times New Roman"/>
          <w:sz w:val="24"/>
          <w:szCs w:val="24"/>
        </w:rPr>
      </w:pPr>
    </w:p>
    <w:p w14:paraId="19EF9BA3" w14:textId="6E229549" w:rsidR="00575F5F" w:rsidRPr="00575F5F" w:rsidRDefault="00575F5F" w:rsidP="00575F5F">
      <w:pPr>
        <w:spacing w:line="240" w:lineRule="auto"/>
        <w:jc w:val="both"/>
        <w:rPr>
          <w:rFonts w:ascii="Times New Roman" w:hAnsi="Times New Roman" w:cs="Times New Roman"/>
          <w:b/>
          <w:bCs/>
          <w:sz w:val="28"/>
          <w:szCs w:val="28"/>
        </w:rPr>
      </w:pPr>
      <w:r w:rsidRPr="00575F5F">
        <w:rPr>
          <w:rFonts w:ascii="Times New Roman" w:hAnsi="Times New Roman" w:cs="Times New Roman"/>
          <w:b/>
          <w:bCs/>
          <w:sz w:val="28"/>
          <w:szCs w:val="28"/>
        </w:rPr>
        <w:t>OBJECTIVES OF THE STUDY</w:t>
      </w:r>
      <w:bookmarkEnd w:id="0"/>
    </w:p>
    <w:p w14:paraId="18326906" w14:textId="77777777" w:rsidR="00575F5F" w:rsidRPr="008D484D" w:rsidRDefault="00575F5F" w:rsidP="00575F5F">
      <w:pPr>
        <w:spacing w:line="240" w:lineRule="auto"/>
        <w:rPr>
          <w:rFonts w:ascii="Times New Roman" w:hAnsi="Times New Roman" w:cs="Times New Roman"/>
          <w:sz w:val="24"/>
          <w:szCs w:val="24"/>
        </w:rPr>
      </w:pPr>
      <w:r w:rsidRPr="008D484D">
        <w:rPr>
          <w:rFonts w:ascii="Times New Roman" w:hAnsi="Times New Roman" w:cs="Times New Roman"/>
          <w:sz w:val="24"/>
          <w:szCs w:val="24"/>
        </w:rPr>
        <w:t>The objectives of the study are –</w:t>
      </w:r>
    </w:p>
    <w:p w14:paraId="05781B95" w14:textId="77777777" w:rsidR="00575F5F" w:rsidRPr="008D484D" w:rsidRDefault="00575F5F" w:rsidP="00575F5F">
      <w:pPr>
        <w:pStyle w:val="ListParagraph"/>
        <w:numPr>
          <w:ilvl w:val="0"/>
          <w:numId w:val="2"/>
        </w:numPr>
        <w:spacing w:line="240" w:lineRule="auto"/>
        <w:rPr>
          <w:rFonts w:ascii="Times New Roman" w:hAnsi="Times New Roman" w:cs="Times New Roman"/>
          <w:b/>
          <w:bCs/>
          <w:sz w:val="24"/>
          <w:szCs w:val="24"/>
          <w:u w:val="single"/>
        </w:rPr>
      </w:pPr>
      <w:r w:rsidRPr="008D484D">
        <w:rPr>
          <w:rFonts w:ascii="Times New Roman" w:hAnsi="Times New Roman" w:cs="Times New Roman"/>
          <w:sz w:val="24"/>
          <w:szCs w:val="24"/>
        </w:rPr>
        <w:t>To understand the perception of prospective teachers towards MOOCs.</w:t>
      </w:r>
    </w:p>
    <w:p w14:paraId="327BFABC" w14:textId="77777777" w:rsidR="00575F5F" w:rsidRPr="00575F5F" w:rsidRDefault="00575F5F" w:rsidP="00575F5F">
      <w:pPr>
        <w:pStyle w:val="ListParagraph"/>
        <w:numPr>
          <w:ilvl w:val="0"/>
          <w:numId w:val="2"/>
        </w:numPr>
        <w:spacing w:line="240" w:lineRule="auto"/>
        <w:rPr>
          <w:rFonts w:ascii="Times New Roman" w:hAnsi="Times New Roman" w:cs="Times New Roman"/>
          <w:b/>
          <w:bCs/>
          <w:sz w:val="24"/>
          <w:szCs w:val="24"/>
          <w:u w:val="single"/>
        </w:rPr>
      </w:pPr>
      <w:r w:rsidRPr="008D484D">
        <w:rPr>
          <w:rFonts w:ascii="Times New Roman" w:hAnsi="Times New Roman" w:cs="Times New Roman"/>
          <w:sz w:val="24"/>
          <w:szCs w:val="24"/>
        </w:rPr>
        <w:t>To compare the perception of male and female prospective teachers towards MOOCs.</w:t>
      </w:r>
    </w:p>
    <w:p w14:paraId="10DFBBE7" w14:textId="6FCD02C5" w:rsidR="00575F5F" w:rsidRPr="00575F5F" w:rsidRDefault="00575F5F" w:rsidP="00575F5F">
      <w:pPr>
        <w:pStyle w:val="ListParagraph"/>
        <w:numPr>
          <w:ilvl w:val="0"/>
          <w:numId w:val="2"/>
        </w:numPr>
        <w:spacing w:line="240" w:lineRule="auto"/>
        <w:rPr>
          <w:rFonts w:ascii="Times New Roman" w:hAnsi="Times New Roman" w:cs="Times New Roman"/>
          <w:b/>
          <w:bCs/>
          <w:sz w:val="24"/>
          <w:szCs w:val="24"/>
          <w:u w:val="single"/>
        </w:rPr>
      </w:pPr>
      <w:r w:rsidRPr="00575F5F">
        <w:rPr>
          <w:rFonts w:ascii="Times New Roman" w:hAnsi="Times New Roman" w:cs="Times New Roman"/>
          <w:sz w:val="24"/>
          <w:szCs w:val="24"/>
        </w:rPr>
        <w:t>To compare the perception of science and humanities prospective teachers towards MOOCs.</w:t>
      </w:r>
    </w:p>
    <w:p w14:paraId="778BF604" w14:textId="77777777" w:rsidR="003342AE" w:rsidRDefault="003342AE" w:rsidP="00575F5F">
      <w:pPr>
        <w:jc w:val="both"/>
        <w:rPr>
          <w:rFonts w:ascii="Times New Roman" w:hAnsi="Times New Roman" w:cs="Times New Roman"/>
          <w:b/>
          <w:bCs/>
          <w:sz w:val="28"/>
          <w:szCs w:val="28"/>
        </w:rPr>
      </w:pPr>
    </w:p>
    <w:p w14:paraId="5A778C0A" w14:textId="69FBAF96" w:rsidR="00575F5F" w:rsidRPr="00F509FC" w:rsidRDefault="00575F5F" w:rsidP="00575F5F">
      <w:pPr>
        <w:jc w:val="both"/>
        <w:rPr>
          <w:rFonts w:ascii="Times New Roman" w:hAnsi="Times New Roman" w:cs="Times New Roman"/>
          <w:b/>
          <w:bCs/>
          <w:sz w:val="28"/>
          <w:szCs w:val="28"/>
        </w:rPr>
      </w:pPr>
      <w:r w:rsidRPr="00F509FC">
        <w:rPr>
          <w:rFonts w:ascii="Times New Roman" w:hAnsi="Times New Roman" w:cs="Times New Roman"/>
          <w:b/>
          <w:bCs/>
          <w:sz w:val="28"/>
          <w:szCs w:val="28"/>
        </w:rPr>
        <w:t>METHODOLOGY</w:t>
      </w:r>
    </w:p>
    <w:p w14:paraId="374442E3" w14:textId="606B2312"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Research Design: </w:t>
      </w:r>
      <w:r w:rsidRPr="0095504A">
        <w:rPr>
          <w:rFonts w:ascii="Times New Roman" w:hAnsi="Times New Roman" w:cs="Times New Roman"/>
          <w:sz w:val="24"/>
          <w:szCs w:val="24"/>
        </w:rPr>
        <w:t>T</w:t>
      </w:r>
      <w:r>
        <w:rPr>
          <w:rFonts w:ascii="Times New Roman" w:hAnsi="Times New Roman" w:cs="Times New Roman"/>
          <w:sz w:val="24"/>
          <w:szCs w:val="24"/>
        </w:rPr>
        <w:t xml:space="preserve">o investigate the perception of prospective teachers towards </w:t>
      </w:r>
      <w:r w:rsidRPr="0095504A">
        <w:rPr>
          <w:rFonts w:ascii="Times New Roman" w:hAnsi="Times New Roman" w:cs="Times New Roman"/>
          <w:sz w:val="24"/>
          <w:szCs w:val="24"/>
        </w:rPr>
        <w:t>Massive Open Online Courses (MOOCs)</w:t>
      </w:r>
      <w:r>
        <w:rPr>
          <w:rFonts w:ascii="Times New Roman" w:hAnsi="Times New Roman" w:cs="Times New Roman"/>
          <w:sz w:val="24"/>
          <w:szCs w:val="24"/>
        </w:rPr>
        <w:t>, the</w:t>
      </w:r>
      <w:r w:rsidRPr="0095504A">
        <w:rPr>
          <w:rFonts w:ascii="Times New Roman" w:hAnsi="Times New Roman" w:cs="Times New Roman"/>
          <w:sz w:val="24"/>
          <w:szCs w:val="24"/>
        </w:rPr>
        <w:t xml:space="preserve"> study employs a quantitative research design </w:t>
      </w:r>
      <w:r>
        <w:rPr>
          <w:rFonts w:ascii="Times New Roman" w:hAnsi="Times New Roman" w:cs="Times New Roman"/>
          <w:sz w:val="24"/>
          <w:szCs w:val="24"/>
        </w:rPr>
        <w:t xml:space="preserve">along with a </w:t>
      </w:r>
      <w:r w:rsidRPr="0095504A">
        <w:rPr>
          <w:rFonts w:ascii="Times New Roman" w:hAnsi="Times New Roman" w:cs="Times New Roman"/>
          <w:sz w:val="24"/>
          <w:szCs w:val="24"/>
        </w:rPr>
        <w:t>cross-sectional survey method.</w:t>
      </w:r>
      <w:r>
        <w:rPr>
          <w:rFonts w:ascii="Times New Roman" w:hAnsi="Times New Roman" w:cs="Times New Roman"/>
          <w:sz w:val="24"/>
          <w:szCs w:val="24"/>
        </w:rPr>
        <w:t xml:space="preserve"> </w:t>
      </w:r>
    </w:p>
    <w:p w14:paraId="50C6BD7B" w14:textId="77777777"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Population: </w:t>
      </w:r>
      <w:r w:rsidRPr="0095504A">
        <w:rPr>
          <w:rFonts w:ascii="Times New Roman" w:hAnsi="Times New Roman" w:cs="Times New Roman"/>
          <w:sz w:val="24"/>
          <w:szCs w:val="24"/>
        </w:rPr>
        <w:t>The population of a study includes all the prospective teachers studying in B.Ed. Colleges (both government and private) approved by NCTE, recognized by the Government of Karnataka affiliated to the University of Mysore</w:t>
      </w:r>
      <w:r>
        <w:rPr>
          <w:rFonts w:ascii="Times New Roman" w:hAnsi="Times New Roman" w:cs="Times New Roman"/>
          <w:sz w:val="24"/>
          <w:szCs w:val="24"/>
        </w:rPr>
        <w:t>.</w:t>
      </w:r>
    </w:p>
    <w:p w14:paraId="735FE84E" w14:textId="0671EE4A"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Sample: </w:t>
      </w:r>
      <w:r w:rsidRPr="0095504A">
        <w:rPr>
          <w:rFonts w:ascii="Times New Roman" w:hAnsi="Times New Roman" w:cs="Times New Roman"/>
          <w:sz w:val="24"/>
          <w:szCs w:val="24"/>
        </w:rPr>
        <w:t xml:space="preserve">Stratified random sampling was used to select the sample for the present study. The sample includes 259 prospective teachers of 2 private and 1 government B.Ed. institutions of Mysore city </w:t>
      </w:r>
      <w:r>
        <w:rPr>
          <w:rFonts w:ascii="Times New Roman" w:hAnsi="Times New Roman" w:cs="Times New Roman"/>
          <w:sz w:val="24"/>
          <w:szCs w:val="24"/>
        </w:rPr>
        <w:t xml:space="preserve">were </w:t>
      </w:r>
      <w:r w:rsidRPr="0095504A">
        <w:rPr>
          <w:rFonts w:ascii="Times New Roman" w:hAnsi="Times New Roman" w:cs="Times New Roman"/>
          <w:sz w:val="24"/>
          <w:szCs w:val="24"/>
        </w:rPr>
        <w:t>selected randomly.</w:t>
      </w:r>
      <w:r>
        <w:rPr>
          <w:rFonts w:ascii="Times New Roman" w:hAnsi="Times New Roman" w:cs="Times New Roman"/>
          <w:sz w:val="24"/>
          <w:szCs w:val="24"/>
        </w:rPr>
        <w:t xml:space="preserve"> Out of the 259 prospective teachers, based on gender, a total of 58 male and 201 female prospective teachers, and based on stream, a total of 137 humanities and 122 science prospective teachers participated in the study.</w:t>
      </w:r>
      <w:r w:rsidR="00C22BF2">
        <w:rPr>
          <w:rFonts w:ascii="Times New Roman" w:hAnsi="Times New Roman" w:cs="Times New Roman"/>
          <w:sz w:val="24"/>
          <w:szCs w:val="24"/>
        </w:rPr>
        <w:t xml:space="preserve"> </w:t>
      </w:r>
      <w:r w:rsidR="00C22BF2" w:rsidRPr="00C22BF2">
        <w:rPr>
          <w:rFonts w:ascii="Times New Roman" w:hAnsi="Times New Roman" w:cs="Times New Roman"/>
          <w:color w:val="EE0000"/>
          <w:sz w:val="24"/>
          <w:szCs w:val="24"/>
          <w:highlight w:val="yellow"/>
        </w:rPr>
        <w:t>The sample size of 259 prospective teachers was considered adequate for the present study as it ensured representation across the selected teacher education institutions through stratified random sampling. The sample size was also sufficient to perform comparative statistical analyses, such as independent samples t-tests, to examine differences across gender and academic streams.</w:t>
      </w:r>
    </w:p>
    <w:p w14:paraId="415FE342" w14:textId="2CEF5224"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Tool Description: </w:t>
      </w:r>
      <w:r w:rsidRPr="00F6478B">
        <w:rPr>
          <w:rFonts w:ascii="Times New Roman" w:hAnsi="Times New Roman" w:cs="Times New Roman"/>
          <w:sz w:val="24"/>
          <w:szCs w:val="24"/>
        </w:rPr>
        <w:t xml:space="preserve">This study employs </w:t>
      </w:r>
      <w:r>
        <w:rPr>
          <w:rFonts w:ascii="Times New Roman" w:hAnsi="Times New Roman" w:cs="Times New Roman"/>
          <w:sz w:val="24"/>
          <w:szCs w:val="24"/>
        </w:rPr>
        <w:t xml:space="preserve">a </w:t>
      </w:r>
      <w:r w:rsidRPr="00F6478B">
        <w:rPr>
          <w:rFonts w:ascii="Times New Roman" w:hAnsi="Times New Roman" w:cs="Times New Roman"/>
          <w:sz w:val="24"/>
          <w:szCs w:val="24"/>
        </w:rPr>
        <w:t>primary quantitative data collection instrument: a</w:t>
      </w:r>
      <w:r>
        <w:rPr>
          <w:rFonts w:ascii="Times New Roman" w:hAnsi="Times New Roman" w:cs="Times New Roman"/>
          <w:sz w:val="24"/>
          <w:szCs w:val="24"/>
        </w:rPr>
        <w:t xml:space="preserve"> Perception Scale</w:t>
      </w:r>
      <w:r w:rsidRPr="00F6478B">
        <w:rPr>
          <w:rFonts w:ascii="Times New Roman" w:hAnsi="Times New Roman" w:cs="Times New Roman"/>
          <w:sz w:val="24"/>
          <w:szCs w:val="24"/>
        </w:rPr>
        <w:t>.</w:t>
      </w:r>
      <w:r>
        <w:rPr>
          <w:rFonts w:ascii="Times New Roman" w:hAnsi="Times New Roman" w:cs="Times New Roman"/>
          <w:sz w:val="24"/>
          <w:szCs w:val="24"/>
        </w:rPr>
        <w:t xml:space="preserve"> </w:t>
      </w:r>
    </w:p>
    <w:p w14:paraId="243A12CA" w14:textId="77777777" w:rsidR="00B06A7F" w:rsidRDefault="00575F5F" w:rsidP="00B06A7F">
      <w:pPr>
        <w:pStyle w:val="ListParagraph"/>
        <w:numPr>
          <w:ilvl w:val="0"/>
          <w:numId w:val="4"/>
        </w:numPr>
        <w:jc w:val="both"/>
        <w:rPr>
          <w:rFonts w:ascii="Times New Roman" w:hAnsi="Times New Roman" w:cs="Times New Roman"/>
          <w:sz w:val="24"/>
          <w:szCs w:val="24"/>
        </w:rPr>
      </w:pPr>
      <w:r>
        <w:rPr>
          <w:rFonts w:ascii="Times New Roman" w:hAnsi="Times New Roman" w:cs="Times New Roman"/>
          <w:b/>
          <w:bCs/>
          <w:i/>
          <w:iCs/>
          <w:sz w:val="24"/>
          <w:szCs w:val="24"/>
        </w:rPr>
        <w:t>Perception Scale</w:t>
      </w:r>
      <w:r w:rsidRPr="00174532">
        <w:rPr>
          <w:rFonts w:ascii="Times New Roman" w:hAnsi="Times New Roman" w:cs="Times New Roman"/>
          <w:b/>
          <w:bCs/>
          <w:i/>
          <w:iCs/>
          <w:sz w:val="24"/>
          <w:szCs w:val="24"/>
        </w:rPr>
        <w:t xml:space="preserve">: </w:t>
      </w:r>
      <w:r w:rsidR="00B06A7F" w:rsidRPr="008D484D">
        <w:rPr>
          <w:rFonts w:ascii="Times New Roman" w:hAnsi="Times New Roman" w:cs="Times New Roman"/>
          <w:sz w:val="24"/>
          <w:szCs w:val="24"/>
        </w:rPr>
        <w:t>The perception scale was developed to understand prospective teachers' attitudes, beliefs, and opinions about MOOCs. The scale employs a 5-point Likert format (Strongly Disagree to Strongly Agree) and consists of 30 statements organized into five thematic areas:</w:t>
      </w:r>
      <w:r w:rsidR="00B06A7F">
        <w:rPr>
          <w:rFonts w:ascii="Times New Roman" w:hAnsi="Times New Roman" w:cs="Times New Roman"/>
          <w:sz w:val="24"/>
          <w:szCs w:val="24"/>
        </w:rPr>
        <w:t xml:space="preserve"> MOOCs enhancing study habits, improving learning outcomes, benefits and accessibility of MOOCs, usability and platform experience, and multimedia and resource sharing.</w:t>
      </w:r>
      <w:r w:rsidRPr="00174532">
        <w:rPr>
          <w:rFonts w:ascii="Times New Roman" w:hAnsi="Times New Roman" w:cs="Times New Roman"/>
          <w:sz w:val="24"/>
          <w:szCs w:val="24"/>
        </w:rPr>
        <w:t xml:space="preserve"> </w:t>
      </w:r>
    </w:p>
    <w:p w14:paraId="4F87FA26" w14:textId="1DD6EA9A" w:rsidR="00575F5F" w:rsidRPr="00B06A7F" w:rsidRDefault="00575F5F" w:rsidP="00B06A7F">
      <w:pPr>
        <w:pStyle w:val="ListParagraph"/>
        <w:numPr>
          <w:ilvl w:val="0"/>
          <w:numId w:val="4"/>
        </w:numPr>
        <w:jc w:val="both"/>
        <w:rPr>
          <w:rFonts w:ascii="Times New Roman" w:hAnsi="Times New Roman" w:cs="Times New Roman"/>
          <w:sz w:val="24"/>
          <w:szCs w:val="24"/>
        </w:rPr>
      </w:pPr>
      <w:r w:rsidRPr="00B06A7F">
        <w:rPr>
          <w:rFonts w:ascii="Times New Roman" w:hAnsi="Times New Roman" w:cs="Times New Roman"/>
          <w:b/>
          <w:bCs/>
          <w:i/>
          <w:iCs/>
          <w:sz w:val="24"/>
          <w:szCs w:val="24"/>
        </w:rPr>
        <w:t xml:space="preserve">Reliability: </w:t>
      </w:r>
      <w:r w:rsidR="00B06A7F" w:rsidRPr="00B06A7F">
        <w:rPr>
          <w:rFonts w:ascii="Times New Roman" w:hAnsi="Times New Roman" w:cs="Times New Roman"/>
          <w:sz w:val="24"/>
          <w:szCs w:val="24"/>
        </w:rPr>
        <w:t>A</w:t>
      </w:r>
      <w:r w:rsidRPr="00B06A7F">
        <w:rPr>
          <w:rFonts w:ascii="Times New Roman" w:hAnsi="Times New Roman" w:cs="Times New Roman"/>
          <w:sz w:val="24"/>
          <w:szCs w:val="24"/>
        </w:rPr>
        <w:t xml:space="preserve"> pilot study involving a sample of 50 prospective teachers</w:t>
      </w:r>
      <w:r w:rsidR="00B06A7F" w:rsidRPr="00B06A7F">
        <w:rPr>
          <w:rFonts w:ascii="Times New Roman" w:hAnsi="Times New Roman" w:cs="Times New Roman"/>
          <w:sz w:val="24"/>
          <w:szCs w:val="24"/>
        </w:rPr>
        <w:t xml:space="preserve"> was conducted to establish the reliability of the Perception Scale</w:t>
      </w:r>
      <w:r w:rsidRPr="00B06A7F">
        <w:rPr>
          <w:rFonts w:ascii="Times New Roman" w:hAnsi="Times New Roman" w:cs="Times New Roman"/>
          <w:sz w:val="24"/>
          <w:szCs w:val="24"/>
        </w:rPr>
        <w:t>.</w:t>
      </w:r>
      <w:r w:rsidR="00B06A7F" w:rsidRPr="00B06A7F">
        <w:rPr>
          <w:rFonts w:ascii="Times New Roman" w:hAnsi="Times New Roman" w:cs="Times New Roman"/>
          <w:sz w:val="24"/>
          <w:szCs w:val="24"/>
        </w:rPr>
        <w:t xml:space="preserve"> The Cronbach's alpha value for the perception scale was found to be 0.843, which indicates high reliability according to standard psychometric criteria. This value exceeds the generally accepted threshold of 0.70, confirming that the tools demonstrate strong internal consistency and are reliable measures for assessing perception of MOOCs among prospective teachers.</w:t>
      </w:r>
    </w:p>
    <w:p w14:paraId="2E94569A" w14:textId="2B6F3697" w:rsidR="00575F5F" w:rsidRPr="0086095F" w:rsidRDefault="00575F5F" w:rsidP="00575F5F">
      <w:pPr>
        <w:pStyle w:val="ListParagraph"/>
        <w:numPr>
          <w:ilvl w:val="0"/>
          <w:numId w:val="4"/>
        </w:numPr>
        <w:jc w:val="both"/>
        <w:rPr>
          <w:rFonts w:ascii="Times New Roman" w:hAnsi="Times New Roman" w:cs="Times New Roman"/>
          <w:sz w:val="24"/>
          <w:szCs w:val="24"/>
        </w:rPr>
      </w:pPr>
      <w:r>
        <w:rPr>
          <w:rFonts w:ascii="Times New Roman" w:hAnsi="Times New Roman" w:cs="Times New Roman"/>
          <w:b/>
          <w:bCs/>
          <w:i/>
          <w:iCs/>
          <w:sz w:val="24"/>
          <w:szCs w:val="24"/>
        </w:rPr>
        <w:lastRenderedPageBreak/>
        <w:t>Validity:</w:t>
      </w:r>
      <w:r>
        <w:rPr>
          <w:rFonts w:ascii="Times New Roman" w:hAnsi="Times New Roman" w:cs="Times New Roman"/>
          <w:sz w:val="24"/>
          <w:szCs w:val="24"/>
        </w:rPr>
        <w:t xml:space="preserve"> </w:t>
      </w:r>
      <w:r w:rsidRPr="004E28ED">
        <w:rPr>
          <w:rFonts w:ascii="Times New Roman" w:hAnsi="Times New Roman" w:cs="Times New Roman"/>
          <w:sz w:val="24"/>
          <w:szCs w:val="24"/>
        </w:rPr>
        <w:t xml:space="preserve">Content validity was ensured through expert review and careful item selection. The original </w:t>
      </w:r>
      <w:r w:rsidR="00B06A7F">
        <w:rPr>
          <w:rFonts w:ascii="Times New Roman" w:hAnsi="Times New Roman" w:cs="Times New Roman"/>
          <w:sz w:val="24"/>
          <w:szCs w:val="24"/>
        </w:rPr>
        <w:t>51</w:t>
      </w:r>
      <w:r w:rsidRPr="004E28ED">
        <w:rPr>
          <w:rFonts w:ascii="Times New Roman" w:hAnsi="Times New Roman" w:cs="Times New Roman"/>
          <w:sz w:val="24"/>
          <w:szCs w:val="24"/>
        </w:rPr>
        <w:t xml:space="preserve">-item tool was reduced to </w:t>
      </w:r>
      <w:r w:rsidR="00B06A7F">
        <w:rPr>
          <w:rFonts w:ascii="Times New Roman" w:hAnsi="Times New Roman" w:cs="Times New Roman"/>
          <w:sz w:val="24"/>
          <w:szCs w:val="24"/>
        </w:rPr>
        <w:t>3</w:t>
      </w:r>
      <w:r w:rsidRPr="004E28ED">
        <w:rPr>
          <w:rFonts w:ascii="Times New Roman" w:hAnsi="Times New Roman" w:cs="Times New Roman"/>
          <w:sz w:val="24"/>
          <w:szCs w:val="24"/>
        </w:rPr>
        <w:t>0 focused questions across five domains, eliminating redundancies while retaining key concepts.</w:t>
      </w:r>
      <w:r w:rsidR="00B06A7F">
        <w:rPr>
          <w:rFonts w:ascii="Times New Roman" w:hAnsi="Times New Roman" w:cs="Times New Roman"/>
          <w:sz w:val="24"/>
          <w:szCs w:val="24"/>
        </w:rPr>
        <w:t xml:space="preserve"> </w:t>
      </w:r>
      <w:r w:rsidR="00B06A7F" w:rsidRPr="008D484D">
        <w:rPr>
          <w:rFonts w:ascii="Times New Roman" w:hAnsi="Times New Roman" w:cs="Times New Roman"/>
          <w:sz w:val="24"/>
          <w:szCs w:val="24"/>
        </w:rPr>
        <w:t>The revised scale preserved the essential dimensions of MOOC perception while creating a more efficient measurement tool.</w:t>
      </w:r>
    </w:p>
    <w:p w14:paraId="0BCB20C6" w14:textId="77777777"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Data Collection: </w:t>
      </w:r>
      <w:r w:rsidRPr="00174532">
        <w:rPr>
          <w:rFonts w:ascii="Times New Roman" w:hAnsi="Times New Roman" w:cs="Times New Roman"/>
          <w:sz w:val="24"/>
          <w:szCs w:val="24"/>
        </w:rPr>
        <w:t>Initially, contact was established with each of the three participating institutions through telephone calls</w:t>
      </w:r>
      <w:r>
        <w:rPr>
          <w:rFonts w:ascii="Times New Roman" w:hAnsi="Times New Roman" w:cs="Times New Roman"/>
          <w:sz w:val="24"/>
          <w:szCs w:val="24"/>
        </w:rPr>
        <w:t xml:space="preserve">, after which </w:t>
      </w:r>
      <w:r w:rsidRPr="00C24A2E">
        <w:rPr>
          <w:rFonts w:ascii="Times New Roman" w:hAnsi="Times New Roman" w:cs="Times New Roman"/>
          <w:sz w:val="24"/>
          <w:szCs w:val="24"/>
        </w:rPr>
        <w:t>the researcher arranged in-person visits to each institution.</w:t>
      </w:r>
      <w:r>
        <w:rPr>
          <w:rFonts w:ascii="Times New Roman" w:hAnsi="Times New Roman" w:cs="Times New Roman"/>
          <w:sz w:val="24"/>
          <w:szCs w:val="24"/>
        </w:rPr>
        <w:t xml:space="preserve"> The researcher used Google Forms to collect responses from the participants.</w:t>
      </w:r>
    </w:p>
    <w:p w14:paraId="0AB502B5" w14:textId="247D3FBB"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Data Analysis: </w:t>
      </w:r>
      <w:r w:rsidRPr="004E28ED">
        <w:rPr>
          <w:rFonts w:ascii="Times New Roman" w:hAnsi="Times New Roman" w:cs="Times New Roman"/>
          <w:sz w:val="24"/>
          <w:szCs w:val="24"/>
        </w:rPr>
        <w:t xml:space="preserve">Responses from the </w:t>
      </w:r>
      <w:r w:rsidR="00B06A7F">
        <w:rPr>
          <w:rFonts w:ascii="Times New Roman" w:hAnsi="Times New Roman" w:cs="Times New Roman"/>
          <w:sz w:val="24"/>
          <w:szCs w:val="24"/>
        </w:rPr>
        <w:t>perception scale</w:t>
      </w:r>
      <w:r w:rsidRPr="004E28ED">
        <w:rPr>
          <w:rFonts w:ascii="Times New Roman" w:hAnsi="Times New Roman" w:cs="Times New Roman"/>
          <w:sz w:val="24"/>
          <w:szCs w:val="24"/>
        </w:rPr>
        <w:t xml:space="preserve"> were </w:t>
      </w:r>
      <w:proofErr w:type="spellStart"/>
      <w:r w:rsidRPr="004E28ED">
        <w:rPr>
          <w:rFonts w:ascii="Times New Roman" w:hAnsi="Times New Roman" w:cs="Times New Roman"/>
          <w:sz w:val="24"/>
          <w:szCs w:val="24"/>
        </w:rPr>
        <w:t>analyzed</w:t>
      </w:r>
      <w:proofErr w:type="spellEnd"/>
      <w:r w:rsidRPr="004E28ED">
        <w:rPr>
          <w:rFonts w:ascii="Times New Roman" w:hAnsi="Times New Roman" w:cs="Times New Roman"/>
          <w:sz w:val="24"/>
          <w:szCs w:val="24"/>
        </w:rPr>
        <w:t xml:space="preserve"> using percentage analysis and t-test to test the following hypotheses:</w:t>
      </w:r>
    </w:p>
    <w:p w14:paraId="0E1D3691" w14:textId="77777777" w:rsidR="00B06A7F" w:rsidRPr="008D484D" w:rsidRDefault="00575F5F" w:rsidP="009875B4">
      <w:pPr>
        <w:pStyle w:val="ListParagraph"/>
        <w:numPr>
          <w:ilvl w:val="0"/>
          <w:numId w:val="5"/>
        </w:numPr>
        <w:spacing w:line="240" w:lineRule="auto"/>
        <w:jc w:val="both"/>
        <w:rPr>
          <w:rFonts w:ascii="Times New Roman" w:hAnsi="Times New Roman" w:cs="Times New Roman"/>
          <w:sz w:val="24"/>
          <w:szCs w:val="24"/>
        </w:rPr>
      </w:pPr>
      <w:r w:rsidRPr="008D484D">
        <w:rPr>
          <w:rFonts w:ascii="Times New Roman" w:hAnsi="Times New Roman" w:cs="Times New Roman"/>
          <w:sz w:val="24"/>
          <w:szCs w:val="24"/>
        </w:rPr>
        <w:t xml:space="preserve">H1: </w:t>
      </w:r>
      <w:r w:rsidR="00B06A7F" w:rsidRPr="008D484D">
        <w:rPr>
          <w:rFonts w:ascii="Times New Roman" w:hAnsi="Times New Roman" w:cs="Times New Roman"/>
          <w:sz w:val="24"/>
          <w:szCs w:val="24"/>
        </w:rPr>
        <w:t>There is no significant difference between the perception of male and female prospective teachers towards MOOCs.</w:t>
      </w:r>
    </w:p>
    <w:p w14:paraId="000DFD7B" w14:textId="4CC7EFC6" w:rsidR="00634DFA" w:rsidRDefault="00B06A7F" w:rsidP="00634DFA">
      <w:pPr>
        <w:pStyle w:val="ListParagraph"/>
        <w:numPr>
          <w:ilvl w:val="0"/>
          <w:numId w:val="5"/>
        </w:numPr>
        <w:spacing w:line="240" w:lineRule="auto"/>
        <w:jc w:val="both"/>
        <w:rPr>
          <w:rFonts w:ascii="Times New Roman" w:hAnsi="Times New Roman" w:cs="Times New Roman"/>
          <w:sz w:val="24"/>
          <w:szCs w:val="24"/>
        </w:rPr>
      </w:pPr>
      <w:r w:rsidRPr="00B06A7F">
        <w:rPr>
          <w:rFonts w:ascii="Times New Roman" w:hAnsi="Times New Roman" w:cs="Times New Roman"/>
          <w:sz w:val="24"/>
          <w:szCs w:val="24"/>
        </w:rPr>
        <w:t>H2: There is no significant difference between the perception of humanities and science prospective teachers towards MOOCs.</w:t>
      </w:r>
    </w:p>
    <w:p w14:paraId="01A26E65" w14:textId="7A75ECB8" w:rsidR="00634DFA" w:rsidRPr="00634DFA" w:rsidRDefault="00634DFA" w:rsidP="00634DFA">
      <w:pPr>
        <w:spacing w:line="240" w:lineRule="auto"/>
        <w:jc w:val="both"/>
        <w:rPr>
          <w:rFonts w:ascii="Times New Roman" w:hAnsi="Times New Roman" w:cs="Times New Roman"/>
          <w:color w:val="EE0000"/>
          <w:sz w:val="24"/>
          <w:szCs w:val="24"/>
        </w:rPr>
      </w:pPr>
      <w:r w:rsidRPr="00634DFA">
        <w:rPr>
          <w:rFonts w:ascii="Times New Roman" w:hAnsi="Times New Roman" w:cs="Times New Roman"/>
          <w:color w:val="EE0000"/>
          <w:sz w:val="24"/>
          <w:szCs w:val="24"/>
          <w:highlight w:val="yellow"/>
        </w:rPr>
        <w:t>Prior to conducting the independent samples t-test, the assumptions of normality and homogeneity of variance were examined. The data were approximately normally distributed, and Levene’s test indicated that the assumption of homogeneity of variance was satisfied.</w:t>
      </w:r>
    </w:p>
    <w:p w14:paraId="5F5CD798" w14:textId="41C52ECF" w:rsidR="006B2B79" w:rsidRDefault="007E7319" w:rsidP="007E7319">
      <w:pPr>
        <w:spacing w:line="240" w:lineRule="auto"/>
        <w:jc w:val="both"/>
        <w:rPr>
          <w:rFonts w:ascii="Times New Roman" w:hAnsi="Times New Roman" w:cs="Times New Roman"/>
          <w:i/>
          <w:iCs/>
          <w:color w:val="EE0000"/>
          <w:sz w:val="24"/>
          <w:szCs w:val="24"/>
        </w:rPr>
      </w:pPr>
      <w:r w:rsidRPr="001173F5">
        <w:rPr>
          <w:rFonts w:ascii="Times New Roman" w:hAnsi="Times New Roman" w:cs="Times New Roman"/>
          <w:color w:val="EE0000"/>
          <w:sz w:val="24"/>
          <w:szCs w:val="24"/>
          <w:highlight w:val="yellow"/>
        </w:rPr>
        <w:t xml:space="preserve">Further Cohen’s d was used to compute the effect sizes. </w:t>
      </w:r>
      <w:r w:rsidR="001173F5" w:rsidRPr="001173F5">
        <w:rPr>
          <w:rFonts w:ascii="Times New Roman" w:hAnsi="Times New Roman" w:cs="Times New Roman"/>
          <w:color w:val="EE0000"/>
          <w:sz w:val="24"/>
          <w:szCs w:val="24"/>
          <w:highlight w:val="yellow"/>
        </w:rPr>
        <w:t xml:space="preserve">Effect sizes were interpreted using Cohen’s (1988) guidelines, where </w:t>
      </w:r>
      <w:r w:rsidR="001173F5" w:rsidRPr="001173F5">
        <w:rPr>
          <w:rFonts w:ascii="Times New Roman" w:hAnsi="Times New Roman" w:cs="Times New Roman"/>
          <w:i/>
          <w:iCs/>
          <w:color w:val="EE0000"/>
          <w:sz w:val="24"/>
          <w:szCs w:val="24"/>
          <w:highlight w:val="yellow"/>
        </w:rPr>
        <w:t>d = 0.20 represents a small effect, d = 0.50 a medium effect, and d = 0.80 a large effect.</w:t>
      </w:r>
    </w:p>
    <w:p w14:paraId="6884F28E" w14:textId="36C58450" w:rsidR="005720A2" w:rsidRPr="00C97C29" w:rsidRDefault="00C97C29" w:rsidP="007E7319">
      <w:pPr>
        <w:spacing w:line="240" w:lineRule="auto"/>
        <w:jc w:val="both"/>
        <w:rPr>
          <w:rFonts w:ascii="Times New Roman" w:hAnsi="Times New Roman" w:cs="Times New Roman"/>
          <w:color w:val="EE0000"/>
          <w:sz w:val="24"/>
          <w:szCs w:val="24"/>
        </w:rPr>
      </w:pPr>
      <w:r w:rsidRPr="00C97C29">
        <w:rPr>
          <w:rFonts w:ascii="Times New Roman" w:hAnsi="Times New Roman" w:cs="Times New Roman"/>
          <w:color w:val="EE0000"/>
          <w:sz w:val="24"/>
          <w:szCs w:val="24"/>
          <w:highlight w:val="yellow"/>
        </w:rPr>
        <w:t xml:space="preserve">Also, ethical considerations were carefully followed during the conduct of the study. Participants were informed about the purpose of the research prior to data collection, and informed consent was obtained from all respondents. Participation in the study was entirely voluntary, and participants were assured that their responses would remain confidential and used solely for academic research purposes. No personally identifiable information was collected, and the data were </w:t>
      </w:r>
      <w:proofErr w:type="spellStart"/>
      <w:r w:rsidRPr="00C97C29">
        <w:rPr>
          <w:rFonts w:ascii="Times New Roman" w:hAnsi="Times New Roman" w:cs="Times New Roman"/>
          <w:color w:val="EE0000"/>
          <w:sz w:val="24"/>
          <w:szCs w:val="24"/>
          <w:highlight w:val="yellow"/>
        </w:rPr>
        <w:t>analyzed</w:t>
      </w:r>
      <w:proofErr w:type="spellEnd"/>
      <w:r w:rsidRPr="00C97C29">
        <w:rPr>
          <w:rFonts w:ascii="Times New Roman" w:hAnsi="Times New Roman" w:cs="Times New Roman"/>
          <w:color w:val="EE0000"/>
          <w:sz w:val="24"/>
          <w:szCs w:val="24"/>
          <w:highlight w:val="yellow"/>
        </w:rPr>
        <w:t xml:space="preserve"> in aggregated form to maintain participant anonymity.</w:t>
      </w:r>
    </w:p>
    <w:p w14:paraId="4245BDDA" w14:textId="1B1D6435" w:rsidR="00B06A7F" w:rsidRDefault="00B06A7F" w:rsidP="00B06A7F">
      <w:pPr>
        <w:spacing w:line="240" w:lineRule="auto"/>
        <w:jc w:val="both"/>
        <w:rPr>
          <w:rFonts w:ascii="Times New Roman" w:hAnsi="Times New Roman" w:cs="Times New Roman"/>
          <w:b/>
          <w:bCs/>
          <w:sz w:val="28"/>
          <w:szCs w:val="28"/>
        </w:rPr>
      </w:pPr>
      <w:r w:rsidRPr="00F509FC">
        <w:rPr>
          <w:rFonts w:ascii="Times New Roman" w:hAnsi="Times New Roman" w:cs="Times New Roman"/>
          <w:b/>
          <w:bCs/>
          <w:sz w:val="28"/>
          <w:szCs w:val="28"/>
        </w:rPr>
        <w:t>RESULTS</w:t>
      </w:r>
    </w:p>
    <w:p w14:paraId="561D9ACC" w14:textId="369091F0" w:rsidR="00194D27" w:rsidRDefault="00194D27" w:rsidP="00194D27">
      <w:pPr>
        <w:spacing w:line="240" w:lineRule="auto"/>
        <w:jc w:val="both"/>
        <w:rPr>
          <w:rFonts w:ascii="Times New Roman" w:hAnsi="Times New Roman" w:cs="Times New Roman"/>
          <w:sz w:val="24"/>
          <w:szCs w:val="24"/>
        </w:rPr>
      </w:pPr>
      <w:r w:rsidRPr="00194D27">
        <w:rPr>
          <w:rFonts w:ascii="Times New Roman" w:hAnsi="Times New Roman" w:cs="Times New Roman"/>
          <w:b/>
          <w:bCs/>
          <w:sz w:val="24"/>
          <w:szCs w:val="24"/>
        </w:rPr>
        <w:t xml:space="preserve">Research Objective 1 - </w:t>
      </w:r>
      <w:r w:rsidRPr="00194D27">
        <w:rPr>
          <w:rFonts w:ascii="Times New Roman" w:hAnsi="Times New Roman" w:cs="Times New Roman"/>
          <w:sz w:val="24"/>
          <w:szCs w:val="24"/>
        </w:rPr>
        <w:t>To understand the perception of prospective teachers towards MOOCs.</w:t>
      </w:r>
    </w:p>
    <w:p w14:paraId="6777A1DF" w14:textId="33D1EB48" w:rsidR="002516FF" w:rsidRPr="002516FF" w:rsidRDefault="002516FF" w:rsidP="002516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assess perception, a 30-item Likert scale (15 positive and 15 </w:t>
      </w:r>
      <w:proofErr w:type="gramStart"/>
      <w:r>
        <w:rPr>
          <w:rFonts w:ascii="Times New Roman" w:hAnsi="Times New Roman" w:cs="Times New Roman"/>
          <w:sz w:val="24"/>
          <w:szCs w:val="24"/>
        </w:rPr>
        <w:t>negative</w:t>
      </w:r>
      <w:proofErr w:type="gramEnd"/>
      <w:r>
        <w:rPr>
          <w:rFonts w:ascii="Times New Roman" w:hAnsi="Times New Roman" w:cs="Times New Roman"/>
          <w:sz w:val="24"/>
          <w:szCs w:val="24"/>
        </w:rPr>
        <w:t xml:space="preserve">, reverse-coded) was used. The total perception scores of 259 prospective teachers were </w:t>
      </w:r>
      <w:proofErr w:type="spellStart"/>
      <w:r>
        <w:rPr>
          <w:rFonts w:ascii="Times New Roman" w:hAnsi="Times New Roman" w:cs="Times New Roman"/>
          <w:sz w:val="24"/>
          <w:szCs w:val="24"/>
        </w:rPr>
        <w:t>analyzed</w:t>
      </w:r>
      <w:proofErr w:type="spellEnd"/>
      <w:r w:rsidRPr="002516FF">
        <w:rPr>
          <w:rFonts w:ascii="Times New Roman" w:hAnsi="Times New Roman" w:cs="Times New Roman"/>
          <w:sz w:val="24"/>
          <w:szCs w:val="24"/>
        </w:rPr>
        <w:t>.</w:t>
      </w:r>
    </w:p>
    <w:p w14:paraId="7389D1F5" w14:textId="77777777" w:rsidR="002516FF" w:rsidRPr="002516FF" w:rsidRDefault="002516FF" w:rsidP="002516FF">
      <w:pPr>
        <w:numPr>
          <w:ilvl w:val="0"/>
          <w:numId w:val="6"/>
        </w:num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Mean (M) = 99.08, Standard Deviation (SD) = 9.53</w:t>
      </w:r>
    </w:p>
    <w:p w14:paraId="55E36A55" w14:textId="173BF776" w:rsidR="002516FF" w:rsidRPr="002516FF" w:rsidRDefault="002516FF" w:rsidP="00194D27">
      <w:p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Using ±1 SD as cutoffs, perception was classified as follows:</w:t>
      </w:r>
    </w:p>
    <w:p w14:paraId="2BCB0255" w14:textId="77777777" w:rsidR="003342AE" w:rsidRDefault="003342AE" w:rsidP="002516FF">
      <w:pPr>
        <w:pStyle w:val="Caption"/>
        <w:rPr>
          <w:rFonts w:ascii="Times New Roman" w:hAnsi="Times New Roman" w:cs="Times New Roman"/>
          <w:b/>
          <w:bCs/>
          <w:i w:val="0"/>
          <w:iCs w:val="0"/>
          <w:color w:val="auto"/>
          <w:sz w:val="24"/>
          <w:szCs w:val="24"/>
        </w:rPr>
      </w:pPr>
      <w:bookmarkStart w:id="1" w:name="_Toc194257118"/>
    </w:p>
    <w:p w14:paraId="4CB25BD5" w14:textId="32121FFD" w:rsidR="009F4636" w:rsidRPr="002516FF" w:rsidRDefault="009F4636" w:rsidP="002516FF">
      <w:pPr>
        <w:pStyle w:val="Caption"/>
        <w:rPr>
          <w:rFonts w:ascii="Times New Roman" w:hAnsi="Times New Roman" w:cs="Times New Roman"/>
          <w:b/>
          <w:bCs/>
          <w:i w:val="0"/>
          <w:iCs w:val="0"/>
          <w:color w:val="auto"/>
          <w:sz w:val="24"/>
          <w:szCs w:val="24"/>
        </w:rPr>
      </w:pPr>
      <w:r w:rsidRPr="002516FF">
        <w:rPr>
          <w:rFonts w:ascii="Times New Roman" w:hAnsi="Times New Roman" w:cs="Times New Roman"/>
          <w:b/>
          <w:bCs/>
          <w:i w:val="0"/>
          <w:iCs w:val="0"/>
          <w:color w:val="auto"/>
          <w:sz w:val="24"/>
          <w:szCs w:val="24"/>
        </w:rPr>
        <w:t>Table 1</w:t>
      </w:r>
      <w:r w:rsidR="00BD69E5">
        <w:rPr>
          <w:rFonts w:ascii="Times New Roman" w:hAnsi="Times New Roman" w:cs="Times New Roman"/>
          <w:b/>
          <w:bCs/>
          <w:i w:val="0"/>
          <w:iCs w:val="0"/>
          <w:color w:val="auto"/>
          <w:sz w:val="24"/>
          <w:szCs w:val="24"/>
        </w:rPr>
        <w:t xml:space="preserve">. </w:t>
      </w:r>
      <w:r w:rsidRPr="002516FF">
        <w:rPr>
          <w:rFonts w:ascii="Times New Roman" w:hAnsi="Times New Roman" w:cs="Times New Roman"/>
          <w:b/>
          <w:bCs/>
          <w:i w:val="0"/>
          <w:iCs w:val="0"/>
          <w:color w:val="auto"/>
          <w:sz w:val="24"/>
          <w:szCs w:val="24"/>
        </w:rPr>
        <w:t>Distribution of Perception Intensities</w:t>
      </w:r>
      <w:bookmarkEnd w:id="1"/>
    </w:p>
    <w:tbl>
      <w:tblPr>
        <w:tblStyle w:val="TableGrid"/>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1304"/>
        <w:gridCol w:w="1757"/>
        <w:gridCol w:w="1474"/>
        <w:gridCol w:w="2891"/>
      </w:tblGrid>
      <w:tr w:rsidR="009F4636" w:rsidRPr="004C0D06" w14:paraId="59558961" w14:textId="77777777" w:rsidTr="00E55189">
        <w:trPr>
          <w:trHeight w:val="907"/>
        </w:trPr>
        <w:tc>
          <w:tcPr>
            <w:tcW w:w="2098" w:type="dxa"/>
            <w:tcBorders>
              <w:top w:val="single" w:sz="4" w:space="0" w:color="000000"/>
              <w:bottom w:val="single" w:sz="4" w:space="0" w:color="000000"/>
            </w:tcBorders>
            <w:vAlign w:val="center"/>
          </w:tcPr>
          <w:p w14:paraId="7179E17A"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b/>
                <w:bCs/>
              </w:rPr>
              <w:t>Perception Intensity</w:t>
            </w:r>
          </w:p>
        </w:tc>
        <w:tc>
          <w:tcPr>
            <w:tcW w:w="1304" w:type="dxa"/>
            <w:tcBorders>
              <w:top w:val="single" w:sz="4" w:space="0" w:color="000000"/>
              <w:bottom w:val="single" w:sz="4" w:space="0" w:color="000000"/>
            </w:tcBorders>
            <w:vAlign w:val="center"/>
          </w:tcPr>
          <w:p w14:paraId="6BCC031F"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b/>
                <w:bCs/>
              </w:rPr>
              <w:t>Score Range</w:t>
            </w:r>
          </w:p>
        </w:tc>
        <w:tc>
          <w:tcPr>
            <w:tcW w:w="1757" w:type="dxa"/>
            <w:tcBorders>
              <w:top w:val="single" w:sz="4" w:space="0" w:color="000000"/>
              <w:bottom w:val="single" w:sz="4" w:space="0" w:color="000000"/>
            </w:tcBorders>
            <w:vAlign w:val="center"/>
          </w:tcPr>
          <w:p w14:paraId="0CA0BB91" w14:textId="20B42D64" w:rsidR="009F4636" w:rsidRPr="004C0D06" w:rsidRDefault="009F4636" w:rsidP="009F4636">
            <w:pPr>
              <w:jc w:val="center"/>
              <w:rPr>
                <w:rFonts w:ascii="Times New Roman" w:hAnsi="Times New Roman" w:cs="Times New Roman"/>
              </w:rPr>
            </w:pPr>
            <w:r w:rsidRPr="004C0D06">
              <w:rPr>
                <w:rFonts w:ascii="Times New Roman" w:hAnsi="Times New Roman" w:cs="Times New Roman"/>
                <w:b/>
                <w:bCs/>
              </w:rPr>
              <w:t>Number of Respondents</w:t>
            </w:r>
          </w:p>
        </w:tc>
        <w:tc>
          <w:tcPr>
            <w:tcW w:w="1474" w:type="dxa"/>
            <w:tcBorders>
              <w:top w:val="single" w:sz="4" w:space="0" w:color="000000"/>
              <w:bottom w:val="single" w:sz="4" w:space="0" w:color="000000"/>
            </w:tcBorders>
            <w:vAlign w:val="center"/>
          </w:tcPr>
          <w:p w14:paraId="0D487488"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b/>
                <w:bCs/>
              </w:rPr>
              <w:t>Percentage</w:t>
            </w:r>
          </w:p>
        </w:tc>
        <w:tc>
          <w:tcPr>
            <w:tcW w:w="2891" w:type="dxa"/>
            <w:tcBorders>
              <w:top w:val="single" w:sz="4" w:space="0" w:color="000000"/>
              <w:bottom w:val="single" w:sz="4" w:space="0" w:color="000000"/>
            </w:tcBorders>
            <w:vAlign w:val="center"/>
          </w:tcPr>
          <w:p w14:paraId="2FAB4A7E"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b/>
                <w:bCs/>
              </w:rPr>
              <w:t>Statistical Interpretation</w:t>
            </w:r>
          </w:p>
        </w:tc>
      </w:tr>
      <w:tr w:rsidR="009F4636" w:rsidRPr="004C0D06" w14:paraId="23ED52E0" w14:textId="77777777" w:rsidTr="00E55189">
        <w:trPr>
          <w:trHeight w:val="907"/>
        </w:trPr>
        <w:tc>
          <w:tcPr>
            <w:tcW w:w="2098" w:type="dxa"/>
            <w:tcBorders>
              <w:top w:val="single" w:sz="4" w:space="0" w:color="000000"/>
            </w:tcBorders>
            <w:vAlign w:val="center"/>
          </w:tcPr>
          <w:p w14:paraId="418444A0" w14:textId="77777777" w:rsidR="009F4636" w:rsidRPr="004C0D06" w:rsidRDefault="009F4636" w:rsidP="009F4636">
            <w:pPr>
              <w:jc w:val="center"/>
              <w:rPr>
                <w:rFonts w:ascii="Times New Roman" w:hAnsi="Times New Roman" w:cs="Times New Roman"/>
                <w:b/>
                <w:bCs/>
              </w:rPr>
            </w:pPr>
            <w:r w:rsidRPr="004C0D06">
              <w:rPr>
                <w:rFonts w:ascii="Times New Roman" w:hAnsi="Times New Roman" w:cs="Times New Roman"/>
                <w:b/>
                <w:bCs/>
              </w:rPr>
              <w:t>High Perception</w:t>
            </w:r>
          </w:p>
        </w:tc>
        <w:tc>
          <w:tcPr>
            <w:tcW w:w="1304" w:type="dxa"/>
            <w:tcBorders>
              <w:top w:val="single" w:sz="4" w:space="0" w:color="000000"/>
            </w:tcBorders>
            <w:vAlign w:val="center"/>
          </w:tcPr>
          <w:p w14:paraId="0A4987AB"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 108.61</w:t>
            </w:r>
          </w:p>
        </w:tc>
        <w:tc>
          <w:tcPr>
            <w:tcW w:w="1757" w:type="dxa"/>
            <w:tcBorders>
              <w:top w:val="single" w:sz="4" w:space="0" w:color="000000"/>
            </w:tcBorders>
            <w:vAlign w:val="center"/>
          </w:tcPr>
          <w:p w14:paraId="41E660EB"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30</w:t>
            </w:r>
          </w:p>
        </w:tc>
        <w:tc>
          <w:tcPr>
            <w:tcW w:w="1474" w:type="dxa"/>
            <w:tcBorders>
              <w:top w:val="single" w:sz="4" w:space="0" w:color="000000"/>
            </w:tcBorders>
            <w:vAlign w:val="center"/>
          </w:tcPr>
          <w:p w14:paraId="3E21013F"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11.5%</w:t>
            </w:r>
          </w:p>
        </w:tc>
        <w:tc>
          <w:tcPr>
            <w:tcW w:w="2891" w:type="dxa"/>
            <w:tcBorders>
              <w:top w:val="single" w:sz="4" w:space="0" w:color="000000"/>
            </w:tcBorders>
            <w:vAlign w:val="center"/>
          </w:tcPr>
          <w:p w14:paraId="13399A9E" w14:textId="0F0076E5" w:rsidR="009F4636" w:rsidRPr="004C0D06" w:rsidRDefault="00E55189" w:rsidP="009F4636">
            <w:pPr>
              <w:jc w:val="both"/>
              <w:rPr>
                <w:rFonts w:ascii="Times New Roman" w:hAnsi="Times New Roman" w:cs="Times New Roman"/>
              </w:rPr>
            </w:pPr>
            <w:r w:rsidRPr="004C0D06">
              <w:rPr>
                <w:rFonts w:ascii="Times New Roman" w:hAnsi="Times New Roman" w:cs="Times New Roman"/>
              </w:rPr>
              <w:t>&gt;</w:t>
            </w:r>
            <w:r w:rsidR="009F4636" w:rsidRPr="004C0D06">
              <w:rPr>
                <w:rFonts w:ascii="Times New Roman" w:hAnsi="Times New Roman" w:cs="Times New Roman"/>
              </w:rPr>
              <w:t xml:space="preserve"> 1 </w:t>
            </w:r>
            <w:r w:rsidRPr="004C0D06">
              <w:rPr>
                <w:rFonts w:ascii="Times New Roman" w:hAnsi="Times New Roman" w:cs="Times New Roman"/>
              </w:rPr>
              <w:t>SD</w:t>
            </w:r>
            <w:r w:rsidR="009F4636" w:rsidRPr="004C0D06">
              <w:rPr>
                <w:rFonts w:ascii="Times New Roman" w:hAnsi="Times New Roman" w:cs="Times New Roman"/>
              </w:rPr>
              <w:t xml:space="preserve"> above </w:t>
            </w:r>
            <w:r w:rsidR="00863487" w:rsidRPr="004C0D06">
              <w:rPr>
                <w:rFonts w:ascii="Times New Roman" w:hAnsi="Times New Roman" w:cs="Times New Roman"/>
              </w:rPr>
              <w:t xml:space="preserve">the </w:t>
            </w:r>
            <w:r w:rsidR="009F4636" w:rsidRPr="004C0D06">
              <w:rPr>
                <w:rFonts w:ascii="Times New Roman" w:hAnsi="Times New Roman" w:cs="Times New Roman"/>
              </w:rPr>
              <w:t>mean</w:t>
            </w:r>
          </w:p>
        </w:tc>
      </w:tr>
      <w:tr w:rsidR="009F4636" w:rsidRPr="004C0D06" w14:paraId="0FB62020" w14:textId="77777777" w:rsidTr="00E55189">
        <w:trPr>
          <w:trHeight w:val="907"/>
        </w:trPr>
        <w:tc>
          <w:tcPr>
            <w:tcW w:w="2098" w:type="dxa"/>
            <w:vAlign w:val="center"/>
          </w:tcPr>
          <w:p w14:paraId="62912D0C" w14:textId="77777777" w:rsidR="009F4636" w:rsidRPr="004C0D06" w:rsidRDefault="009F4636" w:rsidP="009F4636">
            <w:pPr>
              <w:jc w:val="center"/>
              <w:rPr>
                <w:rFonts w:ascii="Times New Roman" w:hAnsi="Times New Roman" w:cs="Times New Roman"/>
                <w:b/>
                <w:bCs/>
              </w:rPr>
            </w:pPr>
            <w:r w:rsidRPr="004C0D06">
              <w:rPr>
                <w:rFonts w:ascii="Times New Roman" w:hAnsi="Times New Roman" w:cs="Times New Roman"/>
                <w:b/>
                <w:bCs/>
              </w:rPr>
              <w:lastRenderedPageBreak/>
              <w:t>Moderate Perception</w:t>
            </w:r>
          </w:p>
        </w:tc>
        <w:tc>
          <w:tcPr>
            <w:tcW w:w="1304" w:type="dxa"/>
            <w:vAlign w:val="center"/>
          </w:tcPr>
          <w:p w14:paraId="7679FEBF"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89.55 - 108.60</w:t>
            </w:r>
          </w:p>
        </w:tc>
        <w:tc>
          <w:tcPr>
            <w:tcW w:w="1757" w:type="dxa"/>
            <w:vAlign w:val="center"/>
          </w:tcPr>
          <w:p w14:paraId="412ED9FA"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207</w:t>
            </w:r>
          </w:p>
        </w:tc>
        <w:tc>
          <w:tcPr>
            <w:tcW w:w="1474" w:type="dxa"/>
            <w:vAlign w:val="center"/>
          </w:tcPr>
          <w:p w14:paraId="3D6D1793"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79.9%</w:t>
            </w:r>
          </w:p>
        </w:tc>
        <w:tc>
          <w:tcPr>
            <w:tcW w:w="2891" w:type="dxa"/>
            <w:vAlign w:val="center"/>
          </w:tcPr>
          <w:p w14:paraId="1D2E2E62" w14:textId="14814664" w:rsidR="009F4636" w:rsidRPr="004C0D06" w:rsidRDefault="009F4636" w:rsidP="009F4636">
            <w:pPr>
              <w:jc w:val="both"/>
              <w:rPr>
                <w:rFonts w:ascii="Times New Roman" w:hAnsi="Times New Roman" w:cs="Times New Roman"/>
              </w:rPr>
            </w:pPr>
            <w:r w:rsidRPr="004C0D06">
              <w:rPr>
                <w:rFonts w:ascii="Times New Roman" w:hAnsi="Times New Roman" w:cs="Times New Roman"/>
              </w:rPr>
              <w:t>Within</w:t>
            </w:r>
            <w:r w:rsidR="00E55189" w:rsidRPr="004C0D06">
              <w:rPr>
                <w:rFonts w:ascii="Times New Roman" w:hAnsi="Times New Roman" w:cs="Times New Roman"/>
              </w:rPr>
              <w:t xml:space="preserve"> ±</w:t>
            </w:r>
            <w:r w:rsidRPr="004C0D06">
              <w:rPr>
                <w:rFonts w:ascii="Times New Roman" w:hAnsi="Times New Roman" w:cs="Times New Roman"/>
              </w:rPr>
              <w:t xml:space="preserve">1 </w:t>
            </w:r>
            <w:r w:rsidR="00E55189" w:rsidRPr="004C0D06">
              <w:rPr>
                <w:rFonts w:ascii="Times New Roman" w:hAnsi="Times New Roman" w:cs="Times New Roman"/>
              </w:rPr>
              <w:t>SD</w:t>
            </w:r>
            <w:r w:rsidRPr="004C0D06">
              <w:rPr>
                <w:rFonts w:ascii="Times New Roman" w:hAnsi="Times New Roman" w:cs="Times New Roman"/>
              </w:rPr>
              <w:t xml:space="preserve"> of </w:t>
            </w:r>
            <w:r w:rsidR="00863487" w:rsidRPr="004C0D06">
              <w:rPr>
                <w:rFonts w:ascii="Times New Roman" w:hAnsi="Times New Roman" w:cs="Times New Roman"/>
              </w:rPr>
              <w:t xml:space="preserve">the </w:t>
            </w:r>
            <w:r w:rsidRPr="004C0D06">
              <w:rPr>
                <w:rFonts w:ascii="Times New Roman" w:hAnsi="Times New Roman" w:cs="Times New Roman"/>
              </w:rPr>
              <w:t>mean</w:t>
            </w:r>
          </w:p>
        </w:tc>
      </w:tr>
      <w:tr w:rsidR="009F4636" w:rsidRPr="004C0D06" w14:paraId="51FE49B8" w14:textId="77777777" w:rsidTr="00E55189">
        <w:trPr>
          <w:trHeight w:val="907"/>
        </w:trPr>
        <w:tc>
          <w:tcPr>
            <w:tcW w:w="2098" w:type="dxa"/>
            <w:tcBorders>
              <w:bottom w:val="single" w:sz="4" w:space="0" w:color="000000"/>
            </w:tcBorders>
            <w:vAlign w:val="center"/>
          </w:tcPr>
          <w:p w14:paraId="58FB19C8" w14:textId="77777777" w:rsidR="009F4636" w:rsidRPr="004C0D06" w:rsidRDefault="009F4636" w:rsidP="009F4636">
            <w:pPr>
              <w:jc w:val="center"/>
              <w:rPr>
                <w:rFonts w:ascii="Times New Roman" w:hAnsi="Times New Roman" w:cs="Times New Roman"/>
                <w:b/>
                <w:bCs/>
              </w:rPr>
            </w:pPr>
            <w:r w:rsidRPr="004C0D06">
              <w:rPr>
                <w:rFonts w:ascii="Times New Roman" w:hAnsi="Times New Roman" w:cs="Times New Roman"/>
                <w:b/>
                <w:bCs/>
              </w:rPr>
              <w:t>Low Perception</w:t>
            </w:r>
          </w:p>
        </w:tc>
        <w:tc>
          <w:tcPr>
            <w:tcW w:w="1304" w:type="dxa"/>
            <w:tcBorders>
              <w:bottom w:val="single" w:sz="4" w:space="0" w:color="000000"/>
            </w:tcBorders>
            <w:vAlign w:val="center"/>
          </w:tcPr>
          <w:p w14:paraId="3418E34D"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 89.54</w:t>
            </w:r>
          </w:p>
        </w:tc>
        <w:tc>
          <w:tcPr>
            <w:tcW w:w="1757" w:type="dxa"/>
            <w:tcBorders>
              <w:bottom w:val="single" w:sz="4" w:space="0" w:color="000000"/>
            </w:tcBorders>
            <w:vAlign w:val="center"/>
          </w:tcPr>
          <w:p w14:paraId="39D4CC0D"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22</w:t>
            </w:r>
          </w:p>
        </w:tc>
        <w:tc>
          <w:tcPr>
            <w:tcW w:w="1474" w:type="dxa"/>
            <w:tcBorders>
              <w:bottom w:val="single" w:sz="4" w:space="0" w:color="000000"/>
            </w:tcBorders>
            <w:vAlign w:val="center"/>
          </w:tcPr>
          <w:p w14:paraId="33A4E8B6"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8.5%</w:t>
            </w:r>
          </w:p>
        </w:tc>
        <w:tc>
          <w:tcPr>
            <w:tcW w:w="2891" w:type="dxa"/>
            <w:tcBorders>
              <w:bottom w:val="single" w:sz="4" w:space="0" w:color="000000"/>
            </w:tcBorders>
            <w:vAlign w:val="center"/>
          </w:tcPr>
          <w:p w14:paraId="58806DB9" w14:textId="77FF342B" w:rsidR="009F4636" w:rsidRPr="004C0D06" w:rsidRDefault="00E55189" w:rsidP="009F4636">
            <w:pPr>
              <w:jc w:val="both"/>
              <w:rPr>
                <w:rFonts w:ascii="Times New Roman" w:hAnsi="Times New Roman" w:cs="Times New Roman"/>
              </w:rPr>
            </w:pPr>
            <w:r w:rsidRPr="004C0D06">
              <w:rPr>
                <w:rFonts w:ascii="Times New Roman" w:hAnsi="Times New Roman" w:cs="Times New Roman"/>
              </w:rPr>
              <w:t>&gt;</w:t>
            </w:r>
            <w:r w:rsidR="009F4636" w:rsidRPr="004C0D06">
              <w:rPr>
                <w:rFonts w:ascii="Times New Roman" w:hAnsi="Times New Roman" w:cs="Times New Roman"/>
              </w:rPr>
              <w:t xml:space="preserve"> 1 </w:t>
            </w:r>
            <w:r w:rsidRPr="004C0D06">
              <w:rPr>
                <w:rFonts w:ascii="Times New Roman" w:hAnsi="Times New Roman" w:cs="Times New Roman"/>
              </w:rPr>
              <w:t>SD</w:t>
            </w:r>
            <w:r w:rsidR="009F4636" w:rsidRPr="004C0D06">
              <w:rPr>
                <w:rFonts w:ascii="Times New Roman" w:hAnsi="Times New Roman" w:cs="Times New Roman"/>
              </w:rPr>
              <w:t xml:space="preserve"> below </w:t>
            </w:r>
            <w:r w:rsidR="00863487" w:rsidRPr="004C0D06">
              <w:rPr>
                <w:rFonts w:ascii="Times New Roman" w:hAnsi="Times New Roman" w:cs="Times New Roman"/>
              </w:rPr>
              <w:t xml:space="preserve">the </w:t>
            </w:r>
            <w:r w:rsidR="009F4636" w:rsidRPr="004C0D06">
              <w:rPr>
                <w:rFonts w:ascii="Times New Roman" w:hAnsi="Times New Roman" w:cs="Times New Roman"/>
              </w:rPr>
              <w:t>mean</w:t>
            </w:r>
          </w:p>
        </w:tc>
      </w:tr>
    </w:tbl>
    <w:p w14:paraId="6EBE5C2C" w14:textId="50C2A7E4" w:rsidR="00156CC1" w:rsidRDefault="00156CC1" w:rsidP="00156CC1">
      <w:pPr>
        <w:spacing w:line="240" w:lineRule="auto"/>
        <w:jc w:val="both"/>
        <w:rPr>
          <w:rFonts w:ascii="Times New Roman" w:hAnsi="Times New Roman" w:cs="Times New Roman"/>
          <w:sz w:val="24"/>
          <w:szCs w:val="24"/>
        </w:rPr>
      </w:pPr>
    </w:p>
    <w:p w14:paraId="0828AAEE" w14:textId="0497FE93" w:rsidR="002516FF" w:rsidRDefault="00687180" w:rsidP="00156CC1">
      <w:pPr>
        <w:spacing w:line="240" w:lineRule="auto"/>
        <w:jc w:val="both"/>
        <w:rPr>
          <w:rFonts w:ascii="Times New Roman" w:hAnsi="Times New Roman" w:cs="Times New Roman"/>
          <w:sz w:val="24"/>
          <w:szCs w:val="24"/>
        </w:rPr>
      </w:pPr>
      <w:r w:rsidRPr="00B673A0">
        <w:rPr>
          <w:rFonts w:ascii="Times New Roman" w:hAnsi="Times New Roman" w:cs="Times New Roman"/>
          <w:color w:val="EE0000"/>
          <w:sz w:val="24"/>
          <w:szCs w:val="24"/>
          <w:highlight w:val="yellow"/>
        </w:rPr>
        <w:t>This classification approach using the mean ±1 standard deviation to categorize low, moderate, and high perception levels is commonly used in educational and psychological research to interpret Likert-scale distributions (Best &amp; Kahn, 2006; Cohen et al., 2018).</w:t>
      </w:r>
      <w:r w:rsidR="00B673A0">
        <w:rPr>
          <w:rFonts w:ascii="Times New Roman" w:hAnsi="Times New Roman" w:cs="Times New Roman"/>
          <w:sz w:val="24"/>
          <w:szCs w:val="24"/>
        </w:rPr>
        <w:t xml:space="preserve"> </w:t>
      </w:r>
      <w:r w:rsidR="002516FF" w:rsidRPr="002516FF">
        <w:rPr>
          <w:rFonts w:ascii="Times New Roman" w:hAnsi="Times New Roman" w:cs="Times New Roman"/>
          <w:sz w:val="24"/>
          <w:szCs w:val="24"/>
        </w:rPr>
        <w:t xml:space="preserve">The majority of respondents (79.9%) held a </w:t>
      </w:r>
      <w:r w:rsidR="002516FF" w:rsidRPr="002516FF">
        <w:rPr>
          <w:rFonts w:ascii="Times New Roman" w:hAnsi="Times New Roman" w:cs="Times New Roman"/>
          <w:b/>
          <w:bCs/>
          <w:sz w:val="24"/>
          <w:szCs w:val="24"/>
        </w:rPr>
        <w:t>moderate perception</w:t>
      </w:r>
      <w:r w:rsidR="002516FF" w:rsidRPr="002516FF">
        <w:rPr>
          <w:rFonts w:ascii="Times New Roman" w:hAnsi="Times New Roman" w:cs="Times New Roman"/>
          <w:sz w:val="24"/>
          <w:szCs w:val="24"/>
        </w:rPr>
        <w:t>, indicating general but cautious optimism towards MOOCs. A minority displayed either strong positivity (11.5%) or low perception (8.5%).</w:t>
      </w:r>
    </w:p>
    <w:p w14:paraId="51C20B48" w14:textId="77777777" w:rsidR="002516FF" w:rsidRDefault="002516FF" w:rsidP="00156CC1">
      <w:pPr>
        <w:spacing w:line="240" w:lineRule="auto"/>
        <w:jc w:val="both"/>
        <w:rPr>
          <w:rFonts w:ascii="Times New Roman" w:hAnsi="Times New Roman" w:cs="Times New Roman"/>
          <w:sz w:val="24"/>
          <w:szCs w:val="24"/>
        </w:rPr>
      </w:pPr>
    </w:p>
    <w:p w14:paraId="239B7FE4" w14:textId="70644543" w:rsidR="00156CC1" w:rsidRDefault="00156CC1" w:rsidP="00156CC1">
      <w:pPr>
        <w:spacing w:line="240" w:lineRule="auto"/>
        <w:jc w:val="both"/>
        <w:rPr>
          <w:rFonts w:ascii="Times New Roman" w:hAnsi="Times New Roman" w:cs="Times New Roman"/>
          <w:sz w:val="24"/>
          <w:szCs w:val="24"/>
        </w:rPr>
      </w:pPr>
      <w:r w:rsidRPr="00156CC1">
        <w:rPr>
          <w:rFonts w:ascii="Times New Roman" w:hAnsi="Times New Roman" w:cs="Times New Roman"/>
          <w:b/>
          <w:bCs/>
          <w:sz w:val="24"/>
          <w:szCs w:val="24"/>
        </w:rPr>
        <w:t xml:space="preserve">Research Objective 2 - </w:t>
      </w:r>
      <w:r w:rsidRPr="00156CC1">
        <w:rPr>
          <w:rFonts w:ascii="Times New Roman" w:hAnsi="Times New Roman" w:cs="Times New Roman"/>
          <w:sz w:val="24"/>
          <w:szCs w:val="24"/>
        </w:rPr>
        <w:t>To compare the perception of male and female prospective teachers towards MOOCs.</w:t>
      </w:r>
    </w:p>
    <w:p w14:paraId="7394A611" w14:textId="77777777" w:rsidR="002516FF" w:rsidRPr="002516FF" w:rsidRDefault="002516FF" w:rsidP="002516FF">
      <w:p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An independent samples t-test was conducted to compare perception scores between male and female prospective teachers.</w:t>
      </w:r>
    </w:p>
    <w:p w14:paraId="28B3DB34" w14:textId="77777777" w:rsidR="002516FF" w:rsidRPr="002516FF" w:rsidRDefault="002516FF" w:rsidP="002516FF">
      <w:pPr>
        <w:numPr>
          <w:ilvl w:val="0"/>
          <w:numId w:val="7"/>
        </w:num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Male (n = 58): M = 100.36, SD = 13.01</w:t>
      </w:r>
    </w:p>
    <w:p w14:paraId="16ED2BA4" w14:textId="77777777" w:rsidR="002516FF" w:rsidRPr="002516FF" w:rsidRDefault="002516FF" w:rsidP="002516FF">
      <w:pPr>
        <w:numPr>
          <w:ilvl w:val="0"/>
          <w:numId w:val="7"/>
        </w:num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Female (n = 201): M = 101.94, SD = 12.37</w:t>
      </w:r>
    </w:p>
    <w:p w14:paraId="23AFEC93" w14:textId="1A174833" w:rsidR="002516FF" w:rsidRPr="002516FF" w:rsidRDefault="002516FF" w:rsidP="002516FF">
      <w:pPr>
        <w:numPr>
          <w:ilvl w:val="0"/>
          <w:numId w:val="7"/>
        </w:num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 xml:space="preserve">t (257) = 0.843, p = .400 → </w:t>
      </w:r>
      <w:r w:rsidRPr="002516FF">
        <w:rPr>
          <w:rFonts w:ascii="Times New Roman" w:hAnsi="Times New Roman" w:cs="Times New Roman"/>
          <w:i/>
          <w:iCs/>
          <w:sz w:val="24"/>
          <w:szCs w:val="24"/>
        </w:rPr>
        <w:t>Not statistically significant</w:t>
      </w:r>
    </w:p>
    <w:p w14:paraId="28E69480" w14:textId="77777777" w:rsidR="002516FF" w:rsidRDefault="002516FF" w:rsidP="002516FF">
      <w:pPr>
        <w:spacing w:line="240" w:lineRule="auto"/>
        <w:jc w:val="both"/>
        <w:rPr>
          <w:rFonts w:ascii="Times New Roman" w:hAnsi="Times New Roman" w:cs="Times New Roman"/>
          <w:b/>
          <w:bCs/>
          <w:sz w:val="24"/>
          <w:szCs w:val="24"/>
        </w:rPr>
      </w:pPr>
    </w:p>
    <w:p w14:paraId="2F138D82" w14:textId="407BDD19" w:rsidR="002516FF" w:rsidRPr="002516FF" w:rsidRDefault="002516FF" w:rsidP="002516F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BD69E5">
        <w:rPr>
          <w:rFonts w:ascii="Times New Roman" w:hAnsi="Times New Roman" w:cs="Times New Roman"/>
          <w:b/>
          <w:bCs/>
          <w:sz w:val="24"/>
          <w:szCs w:val="24"/>
        </w:rPr>
        <w:t xml:space="preserve">. </w:t>
      </w:r>
      <w:r w:rsidRPr="002516FF">
        <w:rPr>
          <w:rFonts w:ascii="Times New Roman" w:hAnsi="Times New Roman" w:cs="Times New Roman"/>
          <w:b/>
          <w:bCs/>
          <w:sz w:val="24"/>
          <w:szCs w:val="24"/>
        </w:rPr>
        <w:t>Domain-wise Gender Comparison</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1304"/>
        <w:gridCol w:w="1474"/>
        <w:gridCol w:w="1247"/>
        <w:gridCol w:w="1247"/>
        <w:gridCol w:w="1247"/>
        <w:gridCol w:w="1474"/>
      </w:tblGrid>
      <w:tr w:rsidR="00156CC1" w:rsidRPr="004C0D06" w14:paraId="1FDB73C5" w14:textId="77777777" w:rsidTr="00E37D6F">
        <w:trPr>
          <w:trHeight w:val="907"/>
        </w:trPr>
        <w:tc>
          <w:tcPr>
            <w:tcW w:w="1644" w:type="dxa"/>
            <w:tcBorders>
              <w:top w:val="single" w:sz="4" w:space="0" w:color="auto"/>
              <w:bottom w:val="single" w:sz="4" w:space="0" w:color="auto"/>
            </w:tcBorders>
            <w:vAlign w:val="center"/>
          </w:tcPr>
          <w:p w14:paraId="70DCC66C" w14:textId="77777777"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Domain</w:t>
            </w:r>
          </w:p>
        </w:tc>
        <w:tc>
          <w:tcPr>
            <w:tcW w:w="1304" w:type="dxa"/>
            <w:tcBorders>
              <w:top w:val="single" w:sz="4" w:space="0" w:color="auto"/>
              <w:bottom w:val="single" w:sz="4" w:space="0" w:color="auto"/>
            </w:tcBorders>
            <w:vAlign w:val="center"/>
          </w:tcPr>
          <w:p w14:paraId="66B2B70A" w14:textId="77777777" w:rsidR="00E55189"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 xml:space="preserve">Male </w:t>
            </w:r>
          </w:p>
          <w:p w14:paraId="60B50130" w14:textId="6373A5F6"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Mean</w:t>
            </w:r>
          </w:p>
        </w:tc>
        <w:tc>
          <w:tcPr>
            <w:tcW w:w="1474" w:type="dxa"/>
            <w:tcBorders>
              <w:top w:val="single" w:sz="4" w:space="0" w:color="auto"/>
              <w:bottom w:val="single" w:sz="4" w:space="0" w:color="auto"/>
            </w:tcBorders>
            <w:vAlign w:val="center"/>
          </w:tcPr>
          <w:p w14:paraId="314AA5D7" w14:textId="77777777" w:rsidR="00E55189"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 xml:space="preserve">Female </w:t>
            </w:r>
          </w:p>
          <w:p w14:paraId="1AFB7445" w14:textId="7124F151"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Mean</w:t>
            </w:r>
          </w:p>
        </w:tc>
        <w:tc>
          <w:tcPr>
            <w:tcW w:w="1247" w:type="dxa"/>
            <w:tcBorders>
              <w:top w:val="single" w:sz="4" w:space="0" w:color="auto"/>
              <w:bottom w:val="single" w:sz="4" w:space="0" w:color="auto"/>
            </w:tcBorders>
            <w:vAlign w:val="center"/>
          </w:tcPr>
          <w:p w14:paraId="3BA828C6" w14:textId="77777777"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t-value</w:t>
            </w:r>
          </w:p>
        </w:tc>
        <w:tc>
          <w:tcPr>
            <w:tcW w:w="1247" w:type="dxa"/>
            <w:tcBorders>
              <w:top w:val="single" w:sz="4" w:space="0" w:color="auto"/>
              <w:bottom w:val="single" w:sz="4" w:space="0" w:color="auto"/>
            </w:tcBorders>
            <w:vAlign w:val="center"/>
          </w:tcPr>
          <w:p w14:paraId="3D310620" w14:textId="77777777"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p-value</w:t>
            </w:r>
          </w:p>
        </w:tc>
        <w:tc>
          <w:tcPr>
            <w:tcW w:w="1247" w:type="dxa"/>
            <w:tcBorders>
              <w:top w:val="single" w:sz="4" w:space="0" w:color="auto"/>
              <w:bottom w:val="single" w:sz="4" w:space="0" w:color="auto"/>
            </w:tcBorders>
            <w:vAlign w:val="center"/>
          </w:tcPr>
          <w:p w14:paraId="1CC4DD6F" w14:textId="77777777"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Cohen's d</w:t>
            </w:r>
          </w:p>
        </w:tc>
        <w:tc>
          <w:tcPr>
            <w:tcW w:w="1474" w:type="dxa"/>
            <w:tcBorders>
              <w:top w:val="single" w:sz="4" w:space="0" w:color="auto"/>
              <w:bottom w:val="single" w:sz="4" w:space="0" w:color="auto"/>
            </w:tcBorders>
            <w:vAlign w:val="center"/>
          </w:tcPr>
          <w:p w14:paraId="476F9CB4" w14:textId="77777777"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Significant Difference</w:t>
            </w:r>
          </w:p>
        </w:tc>
      </w:tr>
      <w:tr w:rsidR="00156CC1" w:rsidRPr="004C0D06" w14:paraId="7B6D3975" w14:textId="77777777" w:rsidTr="00E37D6F">
        <w:trPr>
          <w:trHeight w:val="907"/>
        </w:trPr>
        <w:tc>
          <w:tcPr>
            <w:tcW w:w="1644" w:type="dxa"/>
            <w:tcBorders>
              <w:top w:val="single" w:sz="4" w:space="0" w:color="auto"/>
            </w:tcBorders>
            <w:vAlign w:val="center"/>
          </w:tcPr>
          <w:p w14:paraId="40F4FFE4" w14:textId="0DE322BB" w:rsidR="00156CC1" w:rsidRPr="004C0D06" w:rsidRDefault="002516FF" w:rsidP="00E55189">
            <w:pPr>
              <w:rPr>
                <w:rFonts w:ascii="Times New Roman" w:hAnsi="Times New Roman" w:cs="Times New Roman"/>
                <w:b/>
                <w:bCs/>
              </w:rPr>
            </w:pPr>
            <w:r w:rsidRPr="004C0D06">
              <w:rPr>
                <w:rFonts w:ascii="Times New Roman" w:hAnsi="Times New Roman" w:cs="Times New Roman"/>
                <w:b/>
                <w:bCs/>
              </w:rPr>
              <w:t>Study Habits</w:t>
            </w:r>
          </w:p>
        </w:tc>
        <w:tc>
          <w:tcPr>
            <w:tcW w:w="1304" w:type="dxa"/>
            <w:tcBorders>
              <w:top w:val="single" w:sz="4" w:space="0" w:color="auto"/>
            </w:tcBorders>
            <w:vAlign w:val="center"/>
          </w:tcPr>
          <w:p w14:paraId="1209B7EE" w14:textId="61068F90"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3.72</w:t>
            </w:r>
          </w:p>
        </w:tc>
        <w:tc>
          <w:tcPr>
            <w:tcW w:w="1474" w:type="dxa"/>
            <w:tcBorders>
              <w:top w:val="single" w:sz="4" w:space="0" w:color="auto"/>
            </w:tcBorders>
            <w:vAlign w:val="center"/>
          </w:tcPr>
          <w:p w14:paraId="19E1E0BB" w14:textId="2EB78B9F"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3.68</w:t>
            </w:r>
          </w:p>
        </w:tc>
        <w:tc>
          <w:tcPr>
            <w:tcW w:w="1247" w:type="dxa"/>
            <w:tcBorders>
              <w:top w:val="single" w:sz="4" w:space="0" w:color="auto"/>
            </w:tcBorders>
            <w:vAlign w:val="center"/>
          </w:tcPr>
          <w:p w14:paraId="0977336A" w14:textId="554EB908" w:rsidR="00156CC1" w:rsidRPr="004C0D06" w:rsidRDefault="002516FF" w:rsidP="00E55189">
            <w:pPr>
              <w:jc w:val="center"/>
              <w:rPr>
                <w:rFonts w:ascii="Times New Roman" w:hAnsi="Times New Roman" w:cs="Times New Roman"/>
              </w:rPr>
            </w:pPr>
            <w:r w:rsidRPr="004C0D06">
              <w:rPr>
                <w:rFonts w:ascii="Times New Roman" w:hAnsi="Times New Roman" w:cs="Times New Roman"/>
              </w:rPr>
              <w:t>0.382</w:t>
            </w:r>
          </w:p>
        </w:tc>
        <w:tc>
          <w:tcPr>
            <w:tcW w:w="1247" w:type="dxa"/>
            <w:tcBorders>
              <w:top w:val="single" w:sz="4" w:space="0" w:color="auto"/>
            </w:tcBorders>
            <w:vAlign w:val="center"/>
          </w:tcPr>
          <w:p w14:paraId="3CFC15F1" w14:textId="10C280AD" w:rsidR="00156CC1" w:rsidRPr="004C0D06" w:rsidRDefault="002516FF" w:rsidP="00E55189">
            <w:pPr>
              <w:jc w:val="center"/>
              <w:rPr>
                <w:rFonts w:ascii="Times New Roman" w:hAnsi="Times New Roman" w:cs="Times New Roman"/>
              </w:rPr>
            </w:pPr>
            <w:r w:rsidRPr="004C0D06">
              <w:rPr>
                <w:rFonts w:ascii="Times New Roman" w:hAnsi="Times New Roman" w:cs="Times New Roman"/>
              </w:rPr>
              <w:t>0.703</w:t>
            </w:r>
          </w:p>
        </w:tc>
        <w:tc>
          <w:tcPr>
            <w:tcW w:w="1247" w:type="dxa"/>
            <w:tcBorders>
              <w:top w:val="single" w:sz="4" w:space="0" w:color="auto"/>
            </w:tcBorders>
            <w:vAlign w:val="center"/>
          </w:tcPr>
          <w:p w14:paraId="2DE28D60" w14:textId="33366D2E" w:rsidR="00156CC1" w:rsidRPr="004C0D06" w:rsidRDefault="00156CC1" w:rsidP="00E55189">
            <w:pPr>
              <w:jc w:val="center"/>
              <w:rPr>
                <w:rFonts w:ascii="Times New Roman" w:hAnsi="Times New Roman" w:cs="Times New Roman"/>
              </w:rPr>
            </w:pPr>
            <w:r w:rsidRPr="004C0D06">
              <w:rPr>
                <w:rFonts w:ascii="Times New Roman" w:hAnsi="Times New Roman" w:cs="Times New Roman"/>
              </w:rPr>
              <w:t>0.</w:t>
            </w:r>
            <w:r w:rsidR="006C2D3A" w:rsidRPr="004C0D06">
              <w:rPr>
                <w:rFonts w:ascii="Times New Roman" w:hAnsi="Times New Roman" w:cs="Times New Roman"/>
              </w:rPr>
              <w:t>04</w:t>
            </w:r>
          </w:p>
        </w:tc>
        <w:tc>
          <w:tcPr>
            <w:tcW w:w="1474" w:type="dxa"/>
            <w:tcBorders>
              <w:top w:val="single" w:sz="4" w:space="0" w:color="auto"/>
            </w:tcBorders>
            <w:shd w:val="clear" w:color="auto" w:fill="A8D08D" w:themeFill="accent6" w:themeFillTint="99"/>
            <w:vAlign w:val="center"/>
          </w:tcPr>
          <w:p w14:paraId="67567902" w14:textId="01D21DD6" w:rsidR="00156CC1" w:rsidRPr="004C0D06" w:rsidRDefault="006C2D3A" w:rsidP="00E55189">
            <w:pPr>
              <w:jc w:val="center"/>
              <w:rPr>
                <w:rFonts w:ascii="Times New Roman" w:hAnsi="Times New Roman" w:cs="Times New Roman"/>
              </w:rPr>
            </w:pPr>
            <w:r w:rsidRPr="004C0D06">
              <w:rPr>
                <w:rFonts w:ascii="Times New Roman" w:hAnsi="Times New Roman" w:cs="Times New Roman"/>
              </w:rPr>
              <w:t>No</w:t>
            </w:r>
          </w:p>
        </w:tc>
      </w:tr>
      <w:tr w:rsidR="00156CC1" w:rsidRPr="004C0D06" w14:paraId="35335C1B" w14:textId="77777777" w:rsidTr="00E37D6F">
        <w:trPr>
          <w:trHeight w:val="907"/>
        </w:trPr>
        <w:tc>
          <w:tcPr>
            <w:tcW w:w="1644" w:type="dxa"/>
            <w:vAlign w:val="center"/>
          </w:tcPr>
          <w:p w14:paraId="284247C0" w14:textId="63FB5C86" w:rsidR="00156CC1" w:rsidRPr="004C0D06" w:rsidRDefault="002516FF" w:rsidP="00E55189">
            <w:pPr>
              <w:rPr>
                <w:rFonts w:ascii="Times New Roman" w:hAnsi="Times New Roman" w:cs="Times New Roman"/>
                <w:b/>
                <w:bCs/>
              </w:rPr>
            </w:pPr>
            <w:r w:rsidRPr="004C0D06">
              <w:rPr>
                <w:rFonts w:ascii="Times New Roman" w:hAnsi="Times New Roman" w:cs="Times New Roman"/>
                <w:b/>
                <w:bCs/>
              </w:rPr>
              <w:t>Learning Outcomes</w:t>
            </w:r>
          </w:p>
        </w:tc>
        <w:tc>
          <w:tcPr>
            <w:tcW w:w="1304" w:type="dxa"/>
            <w:vAlign w:val="center"/>
          </w:tcPr>
          <w:p w14:paraId="11C7492D" w14:textId="4D67BB63"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3.52</w:t>
            </w:r>
          </w:p>
        </w:tc>
        <w:tc>
          <w:tcPr>
            <w:tcW w:w="1474" w:type="dxa"/>
            <w:vAlign w:val="center"/>
          </w:tcPr>
          <w:p w14:paraId="254EEE35" w14:textId="62DBAC8A"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3.54</w:t>
            </w:r>
          </w:p>
        </w:tc>
        <w:tc>
          <w:tcPr>
            <w:tcW w:w="1247" w:type="dxa"/>
            <w:vAlign w:val="center"/>
          </w:tcPr>
          <w:p w14:paraId="60153D32" w14:textId="7F995C15" w:rsidR="00156CC1" w:rsidRPr="004C0D06" w:rsidRDefault="002516FF" w:rsidP="00E55189">
            <w:pPr>
              <w:jc w:val="center"/>
              <w:rPr>
                <w:rFonts w:ascii="Times New Roman" w:hAnsi="Times New Roman" w:cs="Times New Roman"/>
              </w:rPr>
            </w:pPr>
            <w:r w:rsidRPr="004C0D06">
              <w:rPr>
                <w:rFonts w:ascii="Times New Roman" w:hAnsi="Times New Roman" w:cs="Times New Roman"/>
              </w:rPr>
              <w:t>-0.155</w:t>
            </w:r>
          </w:p>
        </w:tc>
        <w:tc>
          <w:tcPr>
            <w:tcW w:w="1247" w:type="dxa"/>
            <w:vAlign w:val="center"/>
          </w:tcPr>
          <w:p w14:paraId="29D98E1E" w14:textId="5B34275B"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0.877</w:t>
            </w:r>
          </w:p>
        </w:tc>
        <w:tc>
          <w:tcPr>
            <w:tcW w:w="1247" w:type="dxa"/>
            <w:vAlign w:val="center"/>
          </w:tcPr>
          <w:p w14:paraId="1A2DDE68" w14:textId="2D627B57"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0.02</w:t>
            </w:r>
          </w:p>
        </w:tc>
        <w:tc>
          <w:tcPr>
            <w:tcW w:w="1474" w:type="dxa"/>
            <w:shd w:val="clear" w:color="auto" w:fill="A8D08D" w:themeFill="accent6" w:themeFillTint="99"/>
            <w:vAlign w:val="center"/>
          </w:tcPr>
          <w:p w14:paraId="6CB9F686" w14:textId="77777777" w:rsidR="00156CC1" w:rsidRPr="004C0D06" w:rsidRDefault="00156CC1" w:rsidP="00E55189">
            <w:pPr>
              <w:jc w:val="center"/>
              <w:rPr>
                <w:rFonts w:ascii="Times New Roman" w:hAnsi="Times New Roman" w:cs="Times New Roman"/>
              </w:rPr>
            </w:pPr>
            <w:r w:rsidRPr="004C0D06">
              <w:rPr>
                <w:rFonts w:ascii="Times New Roman" w:hAnsi="Times New Roman" w:cs="Times New Roman"/>
              </w:rPr>
              <w:t>No</w:t>
            </w:r>
          </w:p>
        </w:tc>
      </w:tr>
      <w:tr w:rsidR="00156CC1" w:rsidRPr="004C0D06" w14:paraId="77AB3EAE" w14:textId="77777777" w:rsidTr="00E37D6F">
        <w:trPr>
          <w:trHeight w:val="907"/>
        </w:trPr>
        <w:tc>
          <w:tcPr>
            <w:tcW w:w="1644" w:type="dxa"/>
            <w:vAlign w:val="center"/>
          </w:tcPr>
          <w:p w14:paraId="0E61412B" w14:textId="5A5DBA1D" w:rsidR="00156CC1" w:rsidRPr="004C0D06" w:rsidRDefault="002516FF" w:rsidP="00E55189">
            <w:pPr>
              <w:rPr>
                <w:rFonts w:ascii="Times New Roman" w:hAnsi="Times New Roman" w:cs="Times New Roman"/>
                <w:b/>
                <w:bCs/>
              </w:rPr>
            </w:pPr>
            <w:r w:rsidRPr="004C0D06">
              <w:rPr>
                <w:rFonts w:ascii="Times New Roman" w:hAnsi="Times New Roman" w:cs="Times New Roman"/>
                <w:b/>
                <w:bCs/>
              </w:rPr>
              <w:t>Benefits and Accessibility</w:t>
            </w:r>
          </w:p>
        </w:tc>
        <w:tc>
          <w:tcPr>
            <w:tcW w:w="1304" w:type="dxa"/>
            <w:vAlign w:val="center"/>
          </w:tcPr>
          <w:p w14:paraId="440DBB6E" w14:textId="29AE5AC0"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3.17</w:t>
            </w:r>
          </w:p>
        </w:tc>
        <w:tc>
          <w:tcPr>
            <w:tcW w:w="1474" w:type="dxa"/>
            <w:vAlign w:val="center"/>
          </w:tcPr>
          <w:p w14:paraId="5DDC3643" w14:textId="2053F2A3"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3.41</w:t>
            </w:r>
          </w:p>
        </w:tc>
        <w:tc>
          <w:tcPr>
            <w:tcW w:w="1247" w:type="dxa"/>
            <w:vAlign w:val="center"/>
          </w:tcPr>
          <w:p w14:paraId="641A973B" w14:textId="3796454B" w:rsidR="00156CC1" w:rsidRPr="004C0D06" w:rsidRDefault="002516FF" w:rsidP="00E55189">
            <w:pPr>
              <w:jc w:val="center"/>
              <w:rPr>
                <w:rFonts w:ascii="Times New Roman" w:hAnsi="Times New Roman" w:cs="Times New Roman"/>
              </w:rPr>
            </w:pPr>
            <w:r w:rsidRPr="004C0D06">
              <w:rPr>
                <w:rFonts w:ascii="Times New Roman" w:hAnsi="Times New Roman" w:cs="Times New Roman"/>
              </w:rPr>
              <w:t>-2.424</w:t>
            </w:r>
          </w:p>
        </w:tc>
        <w:tc>
          <w:tcPr>
            <w:tcW w:w="1247" w:type="dxa"/>
            <w:vAlign w:val="center"/>
          </w:tcPr>
          <w:p w14:paraId="6B28AC0A" w14:textId="68BB653C"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0.016</w:t>
            </w:r>
          </w:p>
        </w:tc>
        <w:tc>
          <w:tcPr>
            <w:tcW w:w="1247" w:type="dxa"/>
            <w:vAlign w:val="center"/>
          </w:tcPr>
          <w:p w14:paraId="125CF445" w14:textId="519DCDE4" w:rsidR="00156CC1" w:rsidRPr="004C0D06" w:rsidRDefault="00156CC1" w:rsidP="00E55189">
            <w:pPr>
              <w:jc w:val="center"/>
              <w:rPr>
                <w:rFonts w:ascii="Times New Roman" w:hAnsi="Times New Roman" w:cs="Times New Roman"/>
              </w:rPr>
            </w:pPr>
            <w:r w:rsidRPr="004C0D06">
              <w:rPr>
                <w:rFonts w:ascii="Times New Roman" w:hAnsi="Times New Roman" w:cs="Times New Roman"/>
              </w:rPr>
              <w:t>0.</w:t>
            </w:r>
            <w:r w:rsidR="006C2D3A" w:rsidRPr="004C0D06">
              <w:rPr>
                <w:rFonts w:ascii="Times New Roman" w:hAnsi="Times New Roman" w:cs="Times New Roman"/>
              </w:rPr>
              <w:t>25</w:t>
            </w:r>
          </w:p>
        </w:tc>
        <w:tc>
          <w:tcPr>
            <w:tcW w:w="1474" w:type="dxa"/>
            <w:shd w:val="clear" w:color="auto" w:fill="FF5757"/>
            <w:vAlign w:val="center"/>
          </w:tcPr>
          <w:p w14:paraId="1313BFA1" w14:textId="77777777" w:rsidR="00156CC1" w:rsidRPr="004C0D06" w:rsidRDefault="00156CC1" w:rsidP="00E55189">
            <w:pPr>
              <w:jc w:val="center"/>
              <w:rPr>
                <w:rFonts w:ascii="Times New Roman" w:hAnsi="Times New Roman" w:cs="Times New Roman"/>
              </w:rPr>
            </w:pPr>
            <w:r w:rsidRPr="004C0D06">
              <w:rPr>
                <w:rFonts w:ascii="Times New Roman" w:hAnsi="Times New Roman" w:cs="Times New Roman"/>
              </w:rPr>
              <w:t>Yes</w:t>
            </w:r>
          </w:p>
        </w:tc>
      </w:tr>
      <w:tr w:rsidR="00156CC1" w:rsidRPr="004C0D06" w14:paraId="3CD33600" w14:textId="77777777" w:rsidTr="00E37D6F">
        <w:trPr>
          <w:trHeight w:val="907"/>
        </w:trPr>
        <w:tc>
          <w:tcPr>
            <w:tcW w:w="1644" w:type="dxa"/>
            <w:vAlign w:val="center"/>
          </w:tcPr>
          <w:p w14:paraId="7F908614" w14:textId="3D5BF50A" w:rsidR="00156CC1" w:rsidRPr="004C0D06" w:rsidRDefault="002516FF" w:rsidP="00E55189">
            <w:pPr>
              <w:rPr>
                <w:rFonts w:ascii="Times New Roman" w:hAnsi="Times New Roman" w:cs="Times New Roman"/>
                <w:b/>
                <w:bCs/>
              </w:rPr>
            </w:pPr>
            <w:r w:rsidRPr="004C0D06">
              <w:rPr>
                <w:rFonts w:ascii="Times New Roman" w:hAnsi="Times New Roman" w:cs="Times New Roman"/>
                <w:b/>
                <w:bCs/>
              </w:rPr>
              <w:t>Usability and Experience</w:t>
            </w:r>
          </w:p>
        </w:tc>
        <w:tc>
          <w:tcPr>
            <w:tcW w:w="1304" w:type="dxa"/>
            <w:vAlign w:val="center"/>
          </w:tcPr>
          <w:p w14:paraId="6674AA9E" w14:textId="6BCD23D3"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3.31</w:t>
            </w:r>
          </w:p>
        </w:tc>
        <w:tc>
          <w:tcPr>
            <w:tcW w:w="1474" w:type="dxa"/>
            <w:vAlign w:val="center"/>
          </w:tcPr>
          <w:p w14:paraId="24C26B42" w14:textId="131CCABB"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3.35</w:t>
            </w:r>
          </w:p>
        </w:tc>
        <w:tc>
          <w:tcPr>
            <w:tcW w:w="1247" w:type="dxa"/>
            <w:vAlign w:val="center"/>
          </w:tcPr>
          <w:p w14:paraId="5199801E" w14:textId="47F2FF96" w:rsidR="00156CC1" w:rsidRPr="004C0D06" w:rsidRDefault="002516FF" w:rsidP="00E55189">
            <w:pPr>
              <w:jc w:val="center"/>
              <w:rPr>
                <w:rFonts w:ascii="Times New Roman" w:hAnsi="Times New Roman" w:cs="Times New Roman"/>
              </w:rPr>
            </w:pPr>
            <w:r w:rsidRPr="004C0D06">
              <w:rPr>
                <w:rFonts w:ascii="Times New Roman" w:hAnsi="Times New Roman" w:cs="Times New Roman"/>
              </w:rPr>
              <w:t>-0.306</w:t>
            </w:r>
          </w:p>
        </w:tc>
        <w:tc>
          <w:tcPr>
            <w:tcW w:w="1247" w:type="dxa"/>
            <w:vAlign w:val="center"/>
          </w:tcPr>
          <w:p w14:paraId="08D4E122" w14:textId="5B67BC5E"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0.760</w:t>
            </w:r>
          </w:p>
        </w:tc>
        <w:tc>
          <w:tcPr>
            <w:tcW w:w="1247" w:type="dxa"/>
            <w:vAlign w:val="center"/>
          </w:tcPr>
          <w:p w14:paraId="69CD8DD8" w14:textId="12F74587" w:rsidR="00156CC1" w:rsidRPr="004C0D06" w:rsidRDefault="00156CC1" w:rsidP="00E55189">
            <w:pPr>
              <w:jc w:val="center"/>
              <w:rPr>
                <w:rFonts w:ascii="Times New Roman" w:hAnsi="Times New Roman" w:cs="Times New Roman"/>
              </w:rPr>
            </w:pPr>
            <w:r w:rsidRPr="004C0D06">
              <w:rPr>
                <w:rFonts w:ascii="Times New Roman" w:hAnsi="Times New Roman" w:cs="Times New Roman"/>
              </w:rPr>
              <w:t>0.</w:t>
            </w:r>
            <w:r w:rsidR="006C2D3A" w:rsidRPr="004C0D06">
              <w:rPr>
                <w:rFonts w:ascii="Times New Roman" w:hAnsi="Times New Roman" w:cs="Times New Roman"/>
              </w:rPr>
              <w:t>04</w:t>
            </w:r>
          </w:p>
        </w:tc>
        <w:tc>
          <w:tcPr>
            <w:tcW w:w="1474" w:type="dxa"/>
            <w:shd w:val="clear" w:color="auto" w:fill="A8D08D" w:themeFill="accent6" w:themeFillTint="99"/>
            <w:vAlign w:val="center"/>
          </w:tcPr>
          <w:p w14:paraId="0DC79607" w14:textId="5250151C" w:rsidR="00156CC1" w:rsidRPr="004C0D06" w:rsidRDefault="006C2D3A" w:rsidP="00E55189">
            <w:pPr>
              <w:jc w:val="center"/>
              <w:rPr>
                <w:rFonts w:ascii="Times New Roman" w:hAnsi="Times New Roman" w:cs="Times New Roman"/>
              </w:rPr>
            </w:pPr>
            <w:r w:rsidRPr="004C0D06">
              <w:rPr>
                <w:rFonts w:ascii="Times New Roman" w:hAnsi="Times New Roman" w:cs="Times New Roman"/>
              </w:rPr>
              <w:t>No</w:t>
            </w:r>
          </w:p>
        </w:tc>
      </w:tr>
      <w:tr w:rsidR="00156CC1" w:rsidRPr="004C0D06" w14:paraId="6727B0F1" w14:textId="77777777" w:rsidTr="00E37D6F">
        <w:trPr>
          <w:trHeight w:val="907"/>
        </w:trPr>
        <w:tc>
          <w:tcPr>
            <w:tcW w:w="1644" w:type="dxa"/>
            <w:tcBorders>
              <w:bottom w:val="single" w:sz="4" w:space="0" w:color="auto"/>
            </w:tcBorders>
            <w:vAlign w:val="center"/>
          </w:tcPr>
          <w:p w14:paraId="0DCB8554" w14:textId="30911F43" w:rsidR="00156CC1" w:rsidRPr="004C0D06" w:rsidRDefault="002516FF" w:rsidP="00E55189">
            <w:pPr>
              <w:rPr>
                <w:rFonts w:ascii="Times New Roman" w:hAnsi="Times New Roman" w:cs="Times New Roman"/>
                <w:b/>
                <w:bCs/>
              </w:rPr>
            </w:pPr>
            <w:r w:rsidRPr="004C0D06">
              <w:rPr>
                <w:rFonts w:ascii="Times New Roman" w:hAnsi="Times New Roman" w:cs="Times New Roman"/>
                <w:b/>
                <w:bCs/>
              </w:rPr>
              <w:t>Multimedia and Sharing</w:t>
            </w:r>
          </w:p>
        </w:tc>
        <w:tc>
          <w:tcPr>
            <w:tcW w:w="1304" w:type="dxa"/>
            <w:tcBorders>
              <w:bottom w:val="single" w:sz="4" w:space="0" w:color="auto"/>
            </w:tcBorders>
            <w:vAlign w:val="center"/>
          </w:tcPr>
          <w:p w14:paraId="53C6AD7F" w14:textId="12134393"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3.16</w:t>
            </w:r>
          </w:p>
        </w:tc>
        <w:tc>
          <w:tcPr>
            <w:tcW w:w="1474" w:type="dxa"/>
            <w:tcBorders>
              <w:bottom w:val="single" w:sz="4" w:space="0" w:color="auto"/>
            </w:tcBorders>
            <w:vAlign w:val="center"/>
          </w:tcPr>
          <w:p w14:paraId="07FAD401" w14:textId="19E8C675"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3.44</w:t>
            </w:r>
          </w:p>
        </w:tc>
        <w:tc>
          <w:tcPr>
            <w:tcW w:w="1247" w:type="dxa"/>
            <w:tcBorders>
              <w:bottom w:val="single" w:sz="4" w:space="0" w:color="auto"/>
            </w:tcBorders>
            <w:vAlign w:val="center"/>
          </w:tcPr>
          <w:p w14:paraId="3CA3EF4C" w14:textId="7A88957A" w:rsidR="00156CC1" w:rsidRPr="004C0D06" w:rsidRDefault="002516FF" w:rsidP="00E55189">
            <w:pPr>
              <w:jc w:val="center"/>
              <w:rPr>
                <w:rFonts w:ascii="Times New Roman" w:hAnsi="Times New Roman" w:cs="Times New Roman"/>
              </w:rPr>
            </w:pPr>
            <w:r w:rsidRPr="004C0D06">
              <w:rPr>
                <w:rFonts w:ascii="Times New Roman" w:hAnsi="Times New Roman" w:cs="Times New Roman"/>
              </w:rPr>
              <w:t>-2.442</w:t>
            </w:r>
          </w:p>
        </w:tc>
        <w:tc>
          <w:tcPr>
            <w:tcW w:w="1247" w:type="dxa"/>
            <w:tcBorders>
              <w:bottom w:val="single" w:sz="4" w:space="0" w:color="auto"/>
            </w:tcBorders>
            <w:vAlign w:val="center"/>
          </w:tcPr>
          <w:p w14:paraId="782014A4" w14:textId="31A03EE2"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0.015</w:t>
            </w:r>
          </w:p>
        </w:tc>
        <w:tc>
          <w:tcPr>
            <w:tcW w:w="1247" w:type="dxa"/>
            <w:tcBorders>
              <w:bottom w:val="single" w:sz="4" w:space="0" w:color="auto"/>
            </w:tcBorders>
            <w:vAlign w:val="center"/>
          </w:tcPr>
          <w:p w14:paraId="01C4D636" w14:textId="0215396D"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0.29</w:t>
            </w:r>
          </w:p>
        </w:tc>
        <w:tc>
          <w:tcPr>
            <w:tcW w:w="1474" w:type="dxa"/>
            <w:tcBorders>
              <w:bottom w:val="single" w:sz="4" w:space="0" w:color="auto"/>
            </w:tcBorders>
            <w:shd w:val="clear" w:color="auto" w:fill="FF5757"/>
            <w:vAlign w:val="center"/>
          </w:tcPr>
          <w:p w14:paraId="775A8831" w14:textId="1DE17044" w:rsidR="00156CC1" w:rsidRPr="004C0D06" w:rsidRDefault="006C2D3A" w:rsidP="00E55189">
            <w:pPr>
              <w:jc w:val="center"/>
              <w:rPr>
                <w:rFonts w:ascii="Times New Roman" w:hAnsi="Times New Roman" w:cs="Times New Roman"/>
              </w:rPr>
            </w:pPr>
            <w:r w:rsidRPr="004C0D06">
              <w:rPr>
                <w:rFonts w:ascii="Times New Roman" w:hAnsi="Times New Roman" w:cs="Times New Roman"/>
              </w:rPr>
              <w:t>Yes</w:t>
            </w:r>
          </w:p>
        </w:tc>
      </w:tr>
    </w:tbl>
    <w:p w14:paraId="2B8D2013" w14:textId="77777777" w:rsidR="00156CC1" w:rsidRDefault="00156CC1" w:rsidP="00B06A7F">
      <w:pPr>
        <w:spacing w:line="240" w:lineRule="auto"/>
        <w:jc w:val="both"/>
        <w:rPr>
          <w:rFonts w:ascii="Times New Roman" w:hAnsi="Times New Roman" w:cs="Times New Roman"/>
          <w:sz w:val="24"/>
          <w:szCs w:val="24"/>
        </w:rPr>
      </w:pPr>
    </w:p>
    <w:p w14:paraId="507FBCC4" w14:textId="6DC5CA24" w:rsidR="006C2D3A" w:rsidRDefault="006C2D3A" w:rsidP="00B06A7F">
      <w:p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lastRenderedPageBreak/>
        <w:t>Although overall perception did not differ significantly between genders, female respondents rated Benefits &amp; Accessibility and Multimedia domains significantly higher than males, though the effect sizes were small.</w:t>
      </w:r>
      <w:r w:rsidR="00104CA7">
        <w:rPr>
          <w:rFonts w:ascii="Times New Roman" w:hAnsi="Times New Roman" w:cs="Times New Roman"/>
          <w:sz w:val="24"/>
          <w:szCs w:val="24"/>
        </w:rPr>
        <w:t xml:space="preserve"> </w:t>
      </w:r>
    </w:p>
    <w:p w14:paraId="5E8D2E36" w14:textId="3AE740A7" w:rsidR="006C2D3A" w:rsidRDefault="006C2D3A" w:rsidP="006C2D3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Research Objective 3 - </w:t>
      </w:r>
      <w:r w:rsidRPr="006C2D3A">
        <w:rPr>
          <w:rFonts w:ascii="Times New Roman" w:hAnsi="Times New Roman" w:cs="Times New Roman"/>
          <w:sz w:val="24"/>
          <w:szCs w:val="24"/>
        </w:rPr>
        <w:t>To compare the perception of science and humanities prospective teachers towards MOOCs.</w:t>
      </w:r>
    </w:p>
    <w:p w14:paraId="47761336" w14:textId="77777777" w:rsidR="006C2D3A" w:rsidRPr="006C2D3A" w:rsidRDefault="006C2D3A" w:rsidP="006C2D3A">
      <w:p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An independent samples t-test was conducted between science and humanities students.</w:t>
      </w:r>
    </w:p>
    <w:p w14:paraId="17CBD8D5" w14:textId="77777777" w:rsidR="006C2D3A" w:rsidRPr="006C2D3A" w:rsidRDefault="006C2D3A" w:rsidP="006C2D3A">
      <w:pPr>
        <w:numPr>
          <w:ilvl w:val="0"/>
          <w:numId w:val="8"/>
        </w:num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Science (n = 122): M = 105.39, SD = 11.74</w:t>
      </w:r>
    </w:p>
    <w:p w14:paraId="024A3189" w14:textId="77777777" w:rsidR="006C2D3A" w:rsidRPr="006C2D3A" w:rsidRDefault="006C2D3A" w:rsidP="006C2D3A">
      <w:pPr>
        <w:numPr>
          <w:ilvl w:val="0"/>
          <w:numId w:val="8"/>
        </w:num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Humanities (n = 137): M = 98.19, SD = 12.23</w:t>
      </w:r>
    </w:p>
    <w:p w14:paraId="735AF330" w14:textId="64DE7317" w:rsidR="006C2D3A" w:rsidRPr="006C2D3A" w:rsidRDefault="006C2D3A" w:rsidP="006C2D3A">
      <w:pPr>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 </w:t>
      </w:r>
      <w:r w:rsidRPr="006C2D3A">
        <w:rPr>
          <w:rFonts w:ascii="Times New Roman" w:hAnsi="Times New Roman" w:cs="Times New Roman"/>
          <w:sz w:val="24"/>
          <w:szCs w:val="24"/>
        </w:rPr>
        <w:t xml:space="preserve">(257) = 4.821, p &lt; .001 → </w:t>
      </w:r>
      <w:r w:rsidRPr="006C2D3A">
        <w:rPr>
          <w:rFonts w:ascii="Times New Roman" w:hAnsi="Times New Roman" w:cs="Times New Roman"/>
          <w:i/>
          <w:iCs/>
          <w:sz w:val="24"/>
          <w:szCs w:val="24"/>
        </w:rPr>
        <w:t>Statistically significant</w:t>
      </w:r>
    </w:p>
    <w:p w14:paraId="77C5E824" w14:textId="77777777" w:rsidR="0013123B" w:rsidRDefault="0013123B" w:rsidP="006C2D3A">
      <w:pPr>
        <w:spacing w:line="240" w:lineRule="auto"/>
        <w:jc w:val="both"/>
        <w:rPr>
          <w:rFonts w:ascii="Times New Roman" w:hAnsi="Times New Roman" w:cs="Times New Roman"/>
          <w:b/>
          <w:bCs/>
          <w:sz w:val="24"/>
          <w:szCs w:val="24"/>
        </w:rPr>
      </w:pPr>
    </w:p>
    <w:p w14:paraId="03306EE8" w14:textId="66B99788" w:rsidR="006C2D3A" w:rsidRPr="006C2D3A" w:rsidRDefault="0013123B" w:rsidP="006C2D3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w:t>
      </w:r>
      <w:r w:rsidR="00BD69E5">
        <w:rPr>
          <w:rFonts w:ascii="Times New Roman" w:hAnsi="Times New Roman" w:cs="Times New Roman"/>
          <w:b/>
          <w:bCs/>
          <w:sz w:val="24"/>
          <w:szCs w:val="24"/>
        </w:rPr>
        <w:t xml:space="preserve">. </w:t>
      </w:r>
      <w:r w:rsidR="006C2D3A" w:rsidRPr="006C2D3A">
        <w:rPr>
          <w:rFonts w:ascii="Times New Roman" w:hAnsi="Times New Roman" w:cs="Times New Roman"/>
          <w:b/>
          <w:bCs/>
          <w:sz w:val="24"/>
          <w:szCs w:val="24"/>
        </w:rPr>
        <w:t>Domain-wise Stream Comparison</w:t>
      </w:r>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1304"/>
        <w:gridCol w:w="1304"/>
        <w:gridCol w:w="1247"/>
        <w:gridCol w:w="1247"/>
        <w:gridCol w:w="1361"/>
        <w:gridCol w:w="1361"/>
      </w:tblGrid>
      <w:tr w:rsidR="0029720D" w:rsidRPr="004C0D06" w14:paraId="15691080" w14:textId="77777777" w:rsidTr="00E37D6F">
        <w:trPr>
          <w:trHeight w:val="907"/>
        </w:trPr>
        <w:tc>
          <w:tcPr>
            <w:tcW w:w="1587" w:type="dxa"/>
            <w:tcBorders>
              <w:top w:val="single" w:sz="4" w:space="0" w:color="000000"/>
              <w:bottom w:val="single" w:sz="4" w:space="0" w:color="000000"/>
            </w:tcBorders>
            <w:vAlign w:val="center"/>
          </w:tcPr>
          <w:p w14:paraId="5F9E57BD"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Domain</w:t>
            </w:r>
          </w:p>
        </w:tc>
        <w:tc>
          <w:tcPr>
            <w:tcW w:w="1304" w:type="dxa"/>
            <w:tcBorders>
              <w:top w:val="single" w:sz="4" w:space="0" w:color="000000"/>
              <w:bottom w:val="single" w:sz="4" w:space="0" w:color="000000"/>
            </w:tcBorders>
            <w:vAlign w:val="center"/>
          </w:tcPr>
          <w:p w14:paraId="5898E4DF" w14:textId="2EB5DC6B" w:rsidR="006C2D3A" w:rsidRPr="00AD1D5A" w:rsidRDefault="00AD1D5A" w:rsidP="0013123B">
            <w:pPr>
              <w:jc w:val="center"/>
              <w:rPr>
                <w:rFonts w:ascii="Times New Roman" w:hAnsi="Times New Roman" w:cs="Times New Roman"/>
                <w:b/>
                <w:bCs/>
                <w:color w:val="EE0000"/>
                <w:highlight w:val="yellow"/>
              </w:rPr>
            </w:pPr>
            <w:r w:rsidRPr="00AD1D5A">
              <w:rPr>
                <w:rFonts w:ascii="Times New Roman" w:hAnsi="Times New Roman" w:cs="Times New Roman"/>
                <w:b/>
                <w:bCs/>
                <w:color w:val="EE0000"/>
                <w:highlight w:val="yellow"/>
              </w:rPr>
              <w:t>Humanities</w:t>
            </w:r>
            <w:r w:rsidR="006C2D3A" w:rsidRPr="00AD1D5A">
              <w:rPr>
                <w:rFonts w:ascii="Times New Roman" w:hAnsi="Times New Roman" w:cs="Times New Roman"/>
                <w:b/>
                <w:bCs/>
                <w:color w:val="EE0000"/>
                <w:highlight w:val="yellow"/>
              </w:rPr>
              <w:t xml:space="preserve"> Mean</w:t>
            </w:r>
          </w:p>
        </w:tc>
        <w:tc>
          <w:tcPr>
            <w:tcW w:w="1304" w:type="dxa"/>
            <w:tcBorders>
              <w:top w:val="single" w:sz="4" w:space="0" w:color="000000"/>
              <w:bottom w:val="single" w:sz="4" w:space="0" w:color="000000"/>
            </w:tcBorders>
            <w:vAlign w:val="center"/>
          </w:tcPr>
          <w:p w14:paraId="3C014C40" w14:textId="77777777" w:rsidR="00AD1D5A" w:rsidRPr="00AD1D5A" w:rsidRDefault="00AD1D5A" w:rsidP="0013123B">
            <w:pPr>
              <w:jc w:val="center"/>
              <w:rPr>
                <w:rFonts w:ascii="Times New Roman" w:hAnsi="Times New Roman" w:cs="Times New Roman"/>
                <w:b/>
                <w:bCs/>
                <w:color w:val="EE0000"/>
                <w:highlight w:val="yellow"/>
              </w:rPr>
            </w:pPr>
            <w:r w:rsidRPr="00AD1D5A">
              <w:rPr>
                <w:rFonts w:ascii="Times New Roman" w:hAnsi="Times New Roman" w:cs="Times New Roman"/>
                <w:b/>
                <w:bCs/>
                <w:color w:val="EE0000"/>
                <w:highlight w:val="yellow"/>
              </w:rPr>
              <w:t>Science</w:t>
            </w:r>
          </w:p>
          <w:p w14:paraId="7C911879" w14:textId="10DE5220" w:rsidR="006C2D3A" w:rsidRPr="00AD1D5A" w:rsidRDefault="006C2D3A" w:rsidP="0013123B">
            <w:pPr>
              <w:jc w:val="center"/>
              <w:rPr>
                <w:rFonts w:ascii="Times New Roman" w:hAnsi="Times New Roman" w:cs="Times New Roman"/>
                <w:b/>
                <w:bCs/>
                <w:color w:val="EE0000"/>
                <w:highlight w:val="yellow"/>
              </w:rPr>
            </w:pPr>
            <w:r w:rsidRPr="00AD1D5A">
              <w:rPr>
                <w:rFonts w:ascii="Times New Roman" w:hAnsi="Times New Roman" w:cs="Times New Roman"/>
                <w:b/>
                <w:bCs/>
                <w:color w:val="EE0000"/>
                <w:highlight w:val="yellow"/>
              </w:rPr>
              <w:t>Mean</w:t>
            </w:r>
          </w:p>
        </w:tc>
        <w:tc>
          <w:tcPr>
            <w:tcW w:w="1247" w:type="dxa"/>
            <w:tcBorders>
              <w:top w:val="single" w:sz="4" w:space="0" w:color="000000"/>
              <w:bottom w:val="single" w:sz="4" w:space="0" w:color="000000"/>
            </w:tcBorders>
            <w:vAlign w:val="center"/>
          </w:tcPr>
          <w:p w14:paraId="6564D583"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t-value</w:t>
            </w:r>
          </w:p>
        </w:tc>
        <w:tc>
          <w:tcPr>
            <w:tcW w:w="1247" w:type="dxa"/>
            <w:tcBorders>
              <w:top w:val="single" w:sz="4" w:space="0" w:color="000000"/>
              <w:bottom w:val="single" w:sz="4" w:space="0" w:color="000000"/>
            </w:tcBorders>
            <w:vAlign w:val="center"/>
          </w:tcPr>
          <w:p w14:paraId="685FF0A8"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p-value</w:t>
            </w:r>
          </w:p>
        </w:tc>
        <w:tc>
          <w:tcPr>
            <w:tcW w:w="1361" w:type="dxa"/>
            <w:tcBorders>
              <w:top w:val="single" w:sz="4" w:space="0" w:color="000000"/>
              <w:bottom w:val="single" w:sz="4" w:space="0" w:color="000000"/>
            </w:tcBorders>
            <w:vAlign w:val="center"/>
          </w:tcPr>
          <w:p w14:paraId="43A056B7"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Cohen's d</w:t>
            </w:r>
          </w:p>
        </w:tc>
        <w:tc>
          <w:tcPr>
            <w:tcW w:w="1361" w:type="dxa"/>
            <w:tcBorders>
              <w:top w:val="single" w:sz="4" w:space="0" w:color="000000"/>
              <w:bottom w:val="single" w:sz="4" w:space="0" w:color="000000"/>
            </w:tcBorders>
            <w:vAlign w:val="center"/>
          </w:tcPr>
          <w:p w14:paraId="792B83B8"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Significant Difference</w:t>
            </w:r>
          </w:p>
        </w:tc>
      </w:tr>
      <w:tr w:rsidR="0029720D" w:rsidRPr="004C0D06" w14:paraId="204433BC" w14:textId="77777777" w:rsidTr="00E37D6F">
        <w:trPr>
          <w:trHeight w:val="907"/>
        </w:trPr>
        <w:tc>
          <w:tcPr>
            <w:tcW w:w="1587" w:type="dxa"/>
            <w:tcBorders>
              <w:top w:val="single" w:sz="4" w:space="0" w:color="000000"/>
            </w:tcBorders>
            <w:vAlign w:val="center"/>
          </w:tcPr>
          <w:p w14:paraId="7AAAAC47" w14:textId="77777777" w:rsidR="006C2D3A" w:rsidRPr="004C0D06" w:rsidRDefault="006C2D3A" w:rsidP="0013123B">
            <w:pPr>
              <w:rPr>
                <w:rFonts w:ascii="Times New Roman" w:hAnsi="Times New Roman" w:cs="Times New Roman"/>
                <w:b/>
                <w:bCs/>
              </w:rPr>
            </w:pPr>
            <w:r w:rsidRPr="004C0D06">
              <w:rPr>
                <w:rFonts w:ascii="Times New Roman" w:hAnsi="Times New Roman" w:cs="Times New Roman"/>
                <w:b/>
                <w:bCs/>
              </w:rPr>
              <w:t>Study Habits</w:t>
            </w:r>
          </w:p>
        </w:tc>
        <w:tc>
          <w:tcPr>
            <w:tcW w:w="1304" w:type="dxa"/>
            <w:tcBorders>
              <w:top w:val="single" w:sz="4" w:space="0" w:color="000000"/>
            </w:tcBorders>
            <w:vAlign w:val="center"/>
          </w:tcPr>
          <w:p w14:paraId="00A01F53" w14:textId="49222331"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3.67</w:t>
            </w:r>
          </w:p>
        </w:tc>
        <w:tc>
          <w:tcPr>
            <w:tcW w:w="1304" w:type="dxa"/>
            <w:tcBorders>
              <w:top w:val="single" w:sz="4" w:space="0" w:color="000000"/>
            </w:tcBorders>
            <w:vAlign w:val="center"/>
          </w:tcPr>
          <w:p w14:paraId="19DE6CA0" w14:textId="1BF574EE"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3.79</w:t>
            </w:r>
          </w:p>
        </w:tc>
        <w:tc>
          <w:tcPr>
            <w:tcW w:w="1247" w:type="dxa"/>
            <w:tcBorders>
              <w:top w:val="single" w:sz="4" w:space="0" w:color="000000"/>
            </w:tcBorders>
            <w:vAlign w:val="center"/>
          </w:tcPr>
          <w:p w14:paraId="04F9F5D2" w14:textId="63573B88" w:rsidR="006C2D3A" w:rsidRPr="004C0D06" w:rsidRDefault="006C2D3A" w:rsidP="0013123B">
            <w:pPr>
              <w:jc w:val="center"/>
              <w:rPr>
                <w:rFonts w:ascii="Times New Roman" w:hAnsi="Times New Roman" w:cs="Times New Roman"/>
              </w:rPr>
            </w:pPr>
            <w:r w:rsidRPr="004C0D06">
              <w:rPr>
                <w:rFonts w:ascii="Times New Roman" w:hAnsi="Times New Roman" w:cs="Times New Roman"/>
              </w:rPr>
              <w:t>-1.681</w:t>
            </w:r>
          </w:p>
        </w:tc>
        <w:tc>
          <w:tcPr>
            <w:tcW w:w="1247" w:type="dxa"/>
            <w:tcBorders>
              <w:top w:val="single" w:sz="4" w:space="0" w:color="000000"/>
            </w:tcBorders>
            <w:vAlign w:val="center"/>
          </w:tcPr>
          <w:p w14:paraId="0458210B" w14:textId="79664C0C"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0.094</w:t>
            </w:r>
          </w:p>
        </w:tc>
        <w:tc>
          <w:tcPr>
            <w:tcW w:w="1361" w:type="dxa"/>
            <w:tcBorders>
              <w:top w:val="single" w:sz="4" w:space="0" w:color="000000"/>
            </w:tcBorders>
            <w:vAlign w:val="center"/>
          </w:tcPr>
          <w:p w14:paraId="43F8511D" w14:textId="483028AC"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0.18</w:t>
            </w:r>
          </w:p>
        </w:tc>
        <w:tc>
          <w:tcPr>
            <w:tcW w:w="1361" w:type="dxa"/>
            <w:tcBorders>
              <w:top w:val="single" w:sz="4" w:space="0" w:color="000000"/>
            </w:tcBorders>
            <w:shd w:val="clear" w:color="auto" w:fill="A8D08D" w:themeFill="accent6" w:themeFillTint="99"/>
            <w:vAlign w:val="center"/>
          </w:tcPr>
          <w:p w14:paraId="284CAAE1" w14:textId="7777777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No</w:t>
            </w:r>
          </w:p>
        </w:tc>
      </w:tr>
      <w:tr w:rsidR="00E37D6F" w:rsidRPr="004C0D06" w14:paraId="67C2B46C" w14:textId="77777777" w:rsidTr="00E37D6F">
        <w:trPr>
          <w:trHeight w:val="907"/>
        </w:trPr>
        <w:tc>
          <w:tcPr>
            <w:tcW w:w="1587" w:type="dxa"/>
            <w:vAlign w:val="center"/>
          </w:tcPr>
          <w:p w14:paraId="73817D66" w14:textId="77777777" w:rsidR="006C2D3A" w:rsidRPr="004C0D06" w:rsidRDefault="006C2D3A" w:rsidP="0013123B">
            <w:pPr>
              <w:rPr>
                <w:rFonts w:ascii="Times New Roman" w:hAnsi="Times New Roman" w:cs="Times New Roman"/>
                <w:b/>
                <w:bCs/>
              </w:rPr>
            </w:pPr>
            <w:r w:rsidRPr="004C0D06">
              <w:rPr>
                <w:rFonts w:ascii="Times New Roman" w:hAnsi="Times New Roman" w:cs="Times New Roman"/>
                <w:b/>
                <w:bCs/>
              </w:rPr>
              <w:t>Learning Outcomes</w:t>
            </w:r>
          </w:p>
        </w:tc>
        <w:tc>
          <w:tcPr>
            <w:tcW w:w="1304" w:type="dxa"/>
            <w:vAlign w:val="center"/>
          </w:tcPr>
          <w:p w14:paraId="49B4A48B" w14:textId="2CAAD5A8"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3.51</w:t>
            </w:r>
          </w:p>
        </w:tc>
        <w:tc>
          <w:tcPr>
            <w:tcW w:w="1304" w:type="dxa"/>
            <w:vAlign w:val="center"/>
          </w:tcPr>
          <w:p w14:paraId="32195751" w14:textId="604B819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3.59</w:t>
            </w:r>
          </w:p>
        </w:tc>
        <w:tc>
          <w:tcPr>
            <w:tcW w:w="1247" w:type="dxa"/>
            <w:vAlign w:val="center"/>
          </w:tcPr>
          <w:p w14:paraId="11378AB5" w14:textId="33B76F8C"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-0.861</w:t>
            </w:r>
          </w:p>
        </w:tc>
        <w:tc>
          <w:tcPr>
            <w:tcW w:w="1247" w:type="dxa"/>
            <w:vAlign w:val="center"/>
          </w:tcPr>
          <w:p w14:paraId="1AD0F1C9" w14:textId="09045170"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0.390</w:t>
            </w:r>
          </w:p>
        </w:tc>
        <w:tc>
          <w:tcPr>
            <w:tcW w:w="1361" w:type="dxa"/>
            <w:vAlign w:val="center"/>
          </w:tcPr>
          <w:p w14:paraId="5CD8700E" w14:textId="76A54583"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0.09</w:t>
            </w:r>
          </w:p>
        </w:tc>
        <w:tc>
          <w:tcPr>
            <w:tcW w:w="1361" w:type="dxa"/>
            <w:shd w:val="clear" w:color="auto" w:fill="A8D08D" w:themeFill="accent6" w:themeFillTint="99"/>
            <w:vAlign w:val="center"/>
          </w:tcPr>
          <w:p w14:paraId="764FA039" w14:textId="7777777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No</w:t>
            </w:r>
          </w:p>
        </w:tc>
      </w:tr>
      <w:tr w:rsidR="00E37D6F" w:rsidRPr="004C0D06" w14:paraId="3DE33321" w14:textId="77777777" w:rsidTr="00E37D6F">
        <w:trPr>
          <w:trHeight w:val="907"/>
        </w:trPr>
        <w:tc>
          <w:tcPr>
            <w:tcW w:w="1587" w:type="dxa"/>
            <w:vAlign w:val="center"/>
          </w:tcPr>
          <w:p w14:paraId="33908E0B" w14:textId="77777777" w:rsidR="006C2D3A" w:rsidRPr="004C0D06" w:rsidRDefault="006C2D3A" w:rsidP="0013123B">
            <w:pPr>
              <w:rPr>
                <w:rFonts w:ascii="Times New Roman" w:hAnsi="Times New Roman" w:cs="Times New Roman"/>
                <w:b/>
                <w:bCs/>
              </w:rPr>
            </w:pPr>
            <w:r w:rsidRPr="004C0D06">
              <w:rPr>
                <w:rFonts w:ascii="Times New Roman" w:hAnsi="Times New Roman" w:cs="Times New Roman"/>
                <w:b/>
                <w:bCs/>
              </w:rPr>
              <w:t>Benefits and Accessibility</w:t>
            </w:r>
          </w:p>
        </w:tc>
        <w:tc>
          <w:tcPr>
            <w:tcW w:w="1304" w:type="dxa"/>
            <w:vAlign w:val="center"/>
          </w:tcPr>
          <w:p w14:paraId="4BA60AAC" w14:textId="52C8C7EA"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3.29</w:t>
            </w:r>
          </w:p>
        </w:tc>
        <w:tc>
          <w:tcPr>
            <w:tcW w:w="1304" w:type="dxa"/>
            <w:vAlign w:val="center"/>
          </w:tcPr>
          <w:p w14:paraId="3BF437AF" w14:textId="19A6201B"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3.61</w:t>
            </w:r>
          </w:p>
        </w:tc>
        <w:tc>
          <w:tcPr>
            <w:tcW w:w="1247" w:type="dxa"/>
            <w:vAlign w:val="center"/>
          </w:tcPr>
          <w:p w14:paraId="23090E31" w14:textId="619A88EE"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-3.942</w:t>
            </w:r>
          </w:p>
        </w:tc>
        <w:tc>
          <w:tcPr>
            <w:tcW w:w="1247" w:type="dxa"/>
            <w:vAlign w:val="center"/>
          </w:tcPr>
          <w:p w14:paraId="2D722A92" w14:textId="6AB5147A" w:rsidR="006C2D3A" w:rsidRPr="004C0D06" w:rsidRDefault="006C2D3A" w:rsidP="0013123B">
            <w:pPr>
              <w:jc w:val="center"/>
              <w:rPr>
                <w:rFonts w:ascii="Times New Roman" w:hAnsi="Times New Roman" w:cs="Times New Roman"/>
              </w:rPr>
            </w:pPr>
            <w:r w:rsidRPr="004C0D06">
              <w:rPr>
                <w:rFonts w:ascii="Times New Roman" w:hAnsi="Times New Roman" w:cs="Times New Roman"/>
              </w:rPr>
              <w:t>&lt;0.001</w:t>
            </w:r>
          </w:p>
        </w:tc>
        <w:tc>
          <w:tcPr>
            <w:tcW w:w="1361" w:type="dxa"/>
            <w:vAlign w:val="center"/>
          </w:tcPr>
          <w:p w14:paraId="0FD7E26F" w14:textId="0770218B"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0.32</w:t>
            </w:r>
          </w:p>
        </w:tc>
        <w:tc>
          <w:tcPr>
            <w:tcW w:w="1361" w:type="dxa"/>
            <w:shd w:val="clear" w:color="auto" w:fill="FF5757"/>
            <w:vAlign w:val="center"/>
          </w:tcPr>
          <w:p w14:paraId="6816630F" w14:textId="7777777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Yes</w:t>
            </w:r>
          </w:p>
        </w:tc>
      </w:tr>
      <w:tr w:rsidR="00E37D6F" w:rsidRPr="004C0D06" w14:paraId="56AEB252" w14:textId="77777777" w:rsidTr="00E37D6F">
        <w:trPr>
          <w:trHeight w:val="907"/>
        </w:trPr>
        <w:tc>
          <w:tcPr>
            <w:tcW w:w="1587" w:type="dxa"/>
            <w:vAlign w:val="center"/>
          </w:tcPr>
          <w:p w14:paraId="502D5C6B" w14:textId="77777777" w:rsidR="006C2D3A" w:rsidRPr="004C0D06" w:rsidRDefault="006C2D3A" w:rsidP="0013123B">
            <w:pPr>
              <w:rPr>
                <w:rFonts w:ascii="Times New Roman" w:hAnsi="Times New Roman" w:cs="Times New Roman"/>
                <w:b/>
                <w:bCs/>
              </w:rPr>
            </w:pPr>
            <w:r w:rsidRPr="004C0D06">
              <w:rPr>
                <w:rFonts w:ascii="Times New Roman" w:hAnsi="Times New Roman" w:cs="Times New Roman"/>
                <w:b/>
                <w:bCs/>
              </w:rPr>
              <w:t>Usability and Experience</w:t>
            </w:r>
          </w:p>
        </w:tc>
        <w:tc>
          <w:tcPr>
            <w:tcW w:w="1304" w:type="dxa"/>
            <w:vAlign w:val="center"/>
          </w:tcPr>
          <w:p w14:paraId="773F5021" w14:textId="58ED41B9"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3.19</w:t>
            </w:r>
          </w:p>
        </w:tc>
        <w:tc>
          <w:tcPr>
            <w:tcW w:w="1304" w:type="dxa"/>
            <w:vAlign w:val="center"/>
          </w:tcPr>
          <w:p w14:paraId="52F20B55" w14:textId="0DF0A28E"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3.49</w:t>
            </w:r>
          </w:p>
        </w:tc>
        <w:tc>
          <w:tcPr>
            <w:tcW w:w="1247" w:type="dxa"/>
            <w:vAlign w:val="center"/>
          </w:tcPr>
          <w:p w14:paraId="2AA993C5" w14:textId="078A15A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-4.159</w:t>
            </w:r>
          </w:p>
        </w:tc>
        <w:tc>
          <w:tcPr>
            <w:tcW w:w="1247" w:type="dxa"/>
            <w:vAlign w:val="center"/>
          </w:tcPr>
          <w:p w14:paraId="4696C8E1" w14:textId="12F785A5" w:rsidR="006C2D3A" w:rsidRPr="004C0D06" w:rsidRDefault="006C2D3A" w:rsidP="0013123B">
            <w:pPr>
              <w:jc w:val="center"/>
              <w:rPr>
                <w:rFonts w:ascii="Times New Roman" w:hAnsi="Times New Roman" w:cs="Times New Roman"/>
              </w:rPr>
            </w:pPr>
            <w:r w:rsidRPr="004C0D06">
              <w:rPr>
                <w:rFonts w:ascii="Times New Roman" w:hAnsi="Times New Roman" w:cs="Times New Roman"/>
              </w:rPr>
              <w:t>&lt;0.001</w:t>
            </w:r>
          </w:p>
        </w:tc>
        <w:tc>
          <w:tcPr>
            <w:tcW w:w="1361" w:type="dxa"/>
            <w:vAlign w:val="center"/>
          </w:tcPr>
          <w:p w14:paraId="21A53130" w14:textId="622160C6"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0.31</w:t>
            </w:r>
          </w:p>
        </w:tc>
        <w:tc>
          <w:tcPr>
            <w:tcW w:w="1361" w:type="dxa"/>
            <w:shd w:val="clear" w:color="auto" w:fill="FF5757"/>
            <w:vAlign w:val="center"/>
          </w:tcPr>
          <w:p w14:paraId="595CC2EC" w14:textId="093F26C0" w:rsidR="006C2D3A" w:rsidRPr="004C0D06" w:rsidRDefault="006C2D3A" w:rsidP="0013123B">
            <w:pPr>
              <w:jc w:val="center"/>
              <w:rPr>
                <w:rFonts w:ascii="Times New Roman" w:hAnsi="Times New Roman" w:cs="Times New Roman"/>
              </w:rPr>
            </w:pPr>
            <w:r w:rsidRPr="004C0D06">
              <w:rPr>
                <w:rFonts w:ascii="Times New Roman" w:hAnsi="Times New Roman" w:cs="Times New Roman"/>
              </w:rPr>
              <w:t>Yes</w:t>
            </w:r>
          </w:p>
        </w:tc>
      </w:tr>
      <w:tr w:rsidR="0029720D" w:rsidRPr="004C0D06" w14:paraId="547873DA" w14:textId="77777777" w:rsidTr="00E37D6F">
        <w:trPr>
          <w:trHeight w:val="907"/>
        </w:trPr>
        <w:tc>
          <w:tcPr>
            <w:tcW w:w="1587" w:type="dxa"/>
            <w:tcBorders>
              <w:bottom w:val="single" w:sz="4" w:space="0" w:color="000000"/>
            </w:tcBorders>
            <w:vAlign w:val="center"/>
          </w:tcPr>
          <w:p w14:paraId="06FBE4C9" w14:textId="77777777" w:rsidR="006C2D3A" w:rsidRPr="004C0D06" w:rsidRDefault="006C2D3A" w:rsidP="0013123B">
            <w:pPr>
              <w:rPr>
                <w:rFonts w:ascii="Times New Roman" w:hAnsi="Times New Roman" w:cs="Times New Roman"/>
                <w:b/>
                <w:bCs/>
              </w:rPr>
            </w:pPr>
            <w:r w:rsidRPr="004C0D06">
              <w:rPr>
                <w:rFonts w:ascii="Times New Roman" w:hAnsi="Times New Roman" w:cs="Times New Roman"/>
                <w:b/>
                <w:bCs/>
              </w:rPr>
              <w:t>Multimedia and Sharing</w:t>
            </w:r>
          </w:p>
        </w:tc>
        <w:tc>
          <w:tcPr>
            <w:tcW w:w="1304" w:type="dxa"/>
            <w:tcBorders>
              <w:bottom w:val="single" w:sz="4" w:space="0" w:color="000000"/>
            </w:tcBorders>
            <w:vAlign w:val="center"/>
          </w:tcPr>
          <w:p w14:paraId="0884A334" w14:textId="72B932CD"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3.07</w:t>
            </w:r>
          </w:p>
        </w:tc>
        <w:tc>
          <w:tcPr>
            <w:tcW w:w="1304" w:type="dxa"/>
            <w:tcBorders>
              <w:bottom w:val="single" w:sz="4" w:space="0" w:color="000000"/>
            </w:tcBorders>
            <w:vAlign w:val="center"/>
          </w:tcPr>
          <w:p w14:paraId="6375AD7F" w14:textId="553D7119"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3.37</w:t>
            </w:r>
          </w:p>
        </w:tc>
        <w:tc>
          <w:tcPr>
            <w:tcW w:w="1247" w:type="dxa"/>
            <w:tcBorders>
              <w:bottom w:val="single" w:sz="4" w:space="0" w:color="000000"/>
            </w:tcBorders>
            <w:vAlign w:val="center"/>
          </w:tcPr>
          <w:p w14:paraId="348DD667" w14:textId="4D4E3C92"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-3.872</w:t>
            </w:r>
          </w:p>
        </w:tc>
        <w:tc>
          <w:tcPr>
            <w:tcW w:w="1247" w:type="dxa"/>
            <w:tcBorders>
              <w:bottom w:val="single" w:sz="4" w:space="0" w:color="000000"/>
            </w:tcBorders>
            <w:vAlign w:val="center"/>
          </w:tcPr>
          <w:p w14:paraId="4066EB29" w14:textId="653A8036" w:rsidR="006C2D3A" w:rsidRPr="004C0D06" w:rsidRDefault="006C2D3A" w:rsidP="0013123B">
            <w:pPr>
              <w:jc w:val="center"/>
              <w:rPr>
                <w:rFonts w:ascii="Times New Roman" w:hAnsi="Times New Roman" w:cs="Times New Roman"/>
              </w:rPr>
            </w:pPr>
            <w:r w:rsidRPr="004C0D06">
              <w:rPr>
                <w:rFonts w:ascii="Times New Roman" w:hAnsi="Times New Roman" w:cs="Times New Roman"/>
              </w:rPr>
              <w:t>&lt;0.001</w:t>
            </w:r>
          </w:p>
        </w:tc>
        <w:tc>
          <w:tcPr>
            <w:tcW w:w="1361" w:type="dxa"/>
            <w:tcBorders>
              <w:bottom w:val="single" w:sz="4" w:space="0" w:color="000000"/>
            </w:tcBorders>
            <w:vAlign w:val="center"/>
          </w:tcPr>
          <w:p w14:paraId="47585125" w14:textId="1E6BAF20"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0.30</w:t>
            </w:r>
          </w:p>
        </w:tc>
        <w:tc>
          <w:tcPr>
            <w:tcW w:w="1361" w:type="dxa"/>
            <w:tcBorders>
              <w:bottom w:val="single" w:sz="4" w:space="0" w:color="000000"/>
            </w:tcBorders>
            <w:shd w:val="clear" w:color="auto" w:fill="FF5757"/>
            <w:vAlign w:val="center"/>
          </w:tcPr>
          <w:p w14:paraId="222DDCB3" w14:textId="7777777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Yes</w:t>
            </w:r>
          </w:p>
        </w:tc>
      </w:tr>
    </w:tbl>
    <w:p w14:paraId="26F7C438" w14:textId="77777777" w:rsidR="006C2D3A" w:rsidRPr="006C2D3A" w:rsidRDefault="006C2D3A" w:rsidP="006C2D3A">
      <w:pPr>
        <w:spacing w:line="240" w:lineRule="auto"/>
        <w:jc w:val="both"/>
        <w:rPr>
          <w:rFonts w:ascii="Times New Roman" w:hAnsi="Times New Roman" w:cs="Times New Roman"/>
          <w:sz w:val="24"/>
          <w:szCs w:val="24"/>
        </w:rPr>
      </w:pPr>
    </w:p>
    <w:p w14:paraId="56EAA85F" w14:textId="50535EC3" w:rsidR="006C2D3A" w:rsidRDefault="006C2D3A" w:rsidP="00B06A7F">
      <w:p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Science students consistently rated MOOCs more positively across Benefits, Usability, and Multimedia domains. The differences were statistically significant with small effect sizes.</w:t>
      </w:r>
    </w:p>
    <w:p w14:paraId="72895A74" w14:textId="77777777" w:rsidR="006C2D3A" w:rsidRPr="006C2D3A" w:rsidRDefault="006C2D3A" w:rsidP="006C2D3A">
      <w:pPr>
        <w:spacing w:line="240" w:lineRule="auto"/>
        <w:jc w:val="both"/>
        <w:rPr>
          <w:rFonts w:ascii="Times New Roman" w:hAnsi="Times New Roman" w:cs="Times New Roman"/>
          <w:b/>
          <w:bCs/>
          <w:sz w:val="24"/>
          <w:szCs w:val="24"/>
        </w:rPr>
      </w:pPr>
      <w:r w:rsidRPr="006C2D3A">
        <w:rPr>
          <w:rFonts w:ascii="Times New Roman" w:hAnsi="Times New Roman" w:cs="Times New Roman"/>
          <w:b/>
          <w:bCs/>
          <w:sz w:val="24"/>
          <w:szCs w:val="24"/>
        </w:rPr>
        <w:t>Summary of Key Statistical Findings</w:t>
      </w:r>
    </w:p>
    <w:p w14:paraId="1A6011A6" w14:textId="77777777" w:rsidR="006C2D3A" w:rsidRPr="006C2D3A" w:rsidRDefault="006C2D3A" w:rsidP="006C2D3A">
      <w:pPr>
        <w:numPr>
          <w:ilvl w:val="0"/>
          <w:numId w:val="9"/>
        </w:num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Most participants had a moderate perception of MOOCs.</w:t>
      </w:r>
    </w:p>
    <w:p w14:paraId="5FC825DB" w14:textId="333D8331" w:rsidR="006C2D3A" w:rsidRPr="006C2D3A" w:rsidRDefault="006C2D3A" w:rsidP="006C2D3A">
      <w:pPr>
        <w:numPr>
          <w:ilvl w:val="0"/>
          <w:numId w:val="9"/>
        </w:num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No overall gender difference in total perception scores, but</w:t>
      </w:r>
      <w:r>
        <w:rPr>
          <w:rFonts w:ascii="Times New Roman" w:hAnsi="Times New Roman" w:cs="Times New Roman"/>
          <w:sz w:val="24"/>
          <w:szCs w:val="24"/>
        </w:rPr>
        <w:t xml:space="preserve"> f</w:t>
      </w:r>
      <w:r w:rsidRPr="006C2D3A">
        <w:rPr>
          <w:rFonts w:ascii="Times New Roman" w:hAnsi="Times New Roman" w:cs="Times New Roman"/>
          <w:sz w:val="24"/>
          <w:szCs w:val="24"/>
        </w:rPr>
        <w:t>emales showed significantly higher scores in Benefits and Multimedia.</w:t>
      </w:r>
    </w:p>
    <w:p w14:paraId="087401C8" w14:textId="67F3D19F" w:rsidR="006C2D3A" w:rsidRPr="006C2D3A" w:rsidRDefault="006C2D3A" w:rsidP="006C2D3A">
      <w:pPr>
        <w:numPr>
          <w:ilvl w:val="0"/>
          <w:numId w:val="9"/>
        </w:num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Science stream students showed significantly higher perception in</w:t>
      </w:r>
      <w:r>
        <w:rPr>
          <w:rFonts w:ascii="Times New Roman" w:hAnsi="Times New Roman" w:cs="Times New Roman"/>
          <w:sz w:val="24"/>
          <w:szCs w:val="24"/>
        </w:rPr>
        <w:t xml:space="preserve"> </w:t>
      </w:r>
      <w:r w:rsidRPr="006C2D3A">
        <w:rPr>
          <w:rFonts w:ascii="Times New Roman" w:hAnsi="Times New Roman" w:cs="Times New Roman"/>
          <w:sz w:val="24"/>
          <w:szCs w:val="24"/>
        </w:rPr>
        <w:t>Benefits &amp; Accessibility</w:t>
      </w:r>
      <w:r>
        <w:rPr>
          <w:rFonts w:ascii="Times New Roman" w:hAnsi="Times New Roman" w:cs="Times New Roman"/>
          <w:sz w:val="24"/>
          <w:szCs w:val="24"/>
        </w:rPr>
        <w:t xml:space="preserve">, </w:t>
      </w:r>
      <w:r w:rsidRPr="006C2D3A">
        <w:rPr>
          <w:rFonts w:ascii="Times New Roman" w:hAnsi="Times New Roman" w:cs="Times New Roman"/>
          <w:sz w:val="24"/>
          <w:szCs w:val="24"/>
        </w:rPr>
        <w:t>Usability &amp; Experience</w:t>
      </w:r>
      <w:r>
        <w:rPr>
          <w:rFonts w:ascii="Times New Roman" w:hAnsi="Times New Roman" w:cs="Times New Roman"/>
          <w:sz w:val="24"/>
          <w:szCs w:val="24"/>
        </w:rPr>
        <w:t xml:space="preserve">, and </w:t>
      </w:r>
      <w:r w:rsidRPr="006C2D3A">
        <w:rPr>
          <w:rFonts w:ascii="Times New Roman" w:hAnsi="Times New Roman" w:cs="Times New Roman"/>
          <w:sz w:val="24"/>
          <w:szCs w:val="24"/>
        </w:rPr>
        <w:t>Multimedia &amp; Resource Sharing</w:t>
      </w:r>
      <w:r>
        <w:rPr>
          <w:rFonts w:ascii="Times New Roman" w:hAnsi="Times New Roman" w:cs="Times New Roman"/>
          <w:sz w:val="24"/>
          <w:szCs w:val="24"/>
        </w:rPr>
        <w:t>.</w:t>
      </w:r>
    </w:p>
    <w:p w14:paraId="2A31DB5A" w14:textId="77777777" w:rsidR="006C2D3A" w:rsidRDefault="006C2D3A" w:rsidP="00B06A7F">
      <w:pPr>
        <w:spacing w:line="240" w:lineRule="auto"/>
        <w:jc w:val="both"/>
        <w:rPr>
          <w:rFonts w:ascii="Times New Roman" w:hAnsi="Times New Roman" w:cs="Times New Roman"/>
          <w:sz w:val="24"/>
          <w:szCs w:val="24"/>
        </w:rPr>
      </w:pPr>
    </w:p>
    <w:p w14:paraId="3FCBD0BF" w14:textId="420AFE0C" w:rsidR="00191783" w:rsidRPr="00191783" w:rsidRDefault="00191783" w:rsidP="00191783">
      <w:pPr>
        <w:spacing w:line="240" w:lineRule="auto"/>
        <w:jc w:val="both"/>
        <w:rPr>
          <w:rFonts w:ascii="Times New Roman" w:hAnsi="Times New Roman" w:cs="Times New Roman"/>
          <w:b/>
          <w:bCs/>
          <w:sz w:val="28"/>
          <w:szCs w:val="28"/>
        </w:rPr>
      </w:pPr>
      <w:r w:rsidRPr="00191783">
        <w:rPr>
          <w:rFonts w:ascii="Times New Roman" w:hAnsi="Times New Roman" w:cs="Times New Roman"/>
          <w:b/>
          <w:bCs/>
          <w:sz w:val="28"/>
          <w:szCs w:val="28"/>
        </w:rPr>
        <w:lastRenderedPageBreak/>
        <w:t>DISCUSSION</w:t>
      </w:r>
    </w:p>
    <w:p w14:paraId="0D6D64C4" w14:textId="5CF7B8D7" w:rsidR="003342AE" w:rsidRPr="00135CF8" w:rsidRDefault="00191783" w:rsidP="00191783">
      <w:pPr>
        <w:spacing w:line="240" w:lineRule="auto"/>
        <w:jc w:val="both"/>
        <w:rPr>
          <w:rFonts w:ascii="Times New Roman" w:hAnsi="Times New Roman" w:cs="Times New Roman"/>
          <w:color w:val="EE0000"/>
          <w:sz w:val="24"/>
          <w:szCs w:val="24"/>
        </w:rPr>
      </w:pPr>
      <w:r w:rsidRPr="00191783">
        <w:rPr>
          <w:rFonts w:ascii="Times New Roman" w:hAnsi="Times New Roman" w:cs="Times New Roman"/>
          <w:sz w:val="24"/>
          <w:szCs w:val="24"/>
        </w:rPr>
        <w:t>The findings of this study reveal insightful patterns regarding how secondary grade prospective teachers perceive Massive Open Online Courses (MOOCs), reflecting broader trends in digital readiness and online pedagogical adaptation in teacher education.</w:t>
      </w:r>
      <w:r w:rsidR="00CD3676">
        <w:rPr>
          <w:rFonts w:ascii="Times New Roman" w:hAnsi="Times New Roman" w:cs="Times New Roman"/>
          <w:sz w:val="24"/>
          <w:szCs w:val="24"/>
        </w:rPr>
        <w:t xml:space="preserve"> </w:t>
      </w:r>
    </w:p>
    <w:p w14:paraId="61C99B32" w14:textId="39EC44A6" w:rsidR="00191783" w:rsidRPr="001228EB" w:rsidRDefault="00191783" w:rsidP="00191783">
      <w:pPr>
        <w:spacing w:line="240" w:lineRule="auto"/>
        <w:jc w:val="both"/>
        <w:rPr>
          <w:rFonts w:ascii="Times New Roman" w:hAnsi="Times New Roman" w:cs="Times New Roman"/>
          <w:color w:val="EE0000"/>
          <w:sz w:val="24"/>
          <w:szCs w:val="24"/>
        </w:rPr>
      </w:pPr>
      <w:r w:rsidRPr="00191783">
        <w:rPr>
          <w:rFonts w:ascii="Times New Roman" w:hAnsi="Times New Roman" w:cs="Times New Roman"/>
          <w:sz w:val="24"/>
          <w:szCs w:val="24"/>
        </w:rPr>
        <w:t xml:space="preserve">First, the overall moderate perception among 79.9% of the participants indicates a cautiously positive attitude toward MOOCs. While only 11.5% held high perceptions, the fact that a large portion of prospective teachers were not dismissive suggests an openness to digital platforms like SWAYAM. This aligns with global findings (e.g., </w:t>
      </w:r>
      <w:proofErr w:type="spellStart"/>
      <w:r w:rsidRPr="00191783">
        <w:rPr>
          <w:rFonts w:ascii="Times New Roman" w:hAnsi="Times New Roman" w:cs="Times New Roman"/>
          <w:sz w:val="24"/>
          <w:szCs w:val="24"/>
        </w:rPr>
        <w:t>Aharony</w:t>
      </w:r>
      <w:proofErr w:type="spellEnd"/>
      <w:r w:rsidRPr="00191783">
        <w:rPr>
          <w:rFonts w:ascii="Times New Roman" w:hAnsi="Times New Roman" w:cs="Times New Roman"/>
          <w:sz w:val="24"/>
          <w:szCs w:val="24"/>
        </w:rPr>
        <w:t xml:space="preserve"> &amp; Bar-</w:t>
      </w:r>
      <w:proofErr w:type="spellStart"/>
      <w:r w:rsidRPr="00191783">
        <w:rPr>
          <w:rFonts w:ascii="Times New Roman" w:hAnsi="Times New Roman" w:cs="Times New Roman"/>
          <w:sz w:val="24"/>
          <w:szCs w:val="24"/>
        </w:rPr>
        <w:t>Ilan</w:t>
      </w:r>
      <w:proofErr w:type="spellEnd"/>
      <w:r w:rsidRPr="00191783">
        <w:rPr>
          <w:rFonts w:ascii="Times New Roman" w:hAnsi="Times New Roman" w:cs="Times New Roman"/>
          <w:sz w:val="24"/>
          <w:szCs w:val="24"/>
        </w:rPr>
        <w:t xml:space="preserve">, 2016; Majid et al., 2019) where learners gradually develop more </w:t>
      </w:r>
      <w:proofErr w:type="spellStart"/>
      <w:r w:rsidRPr="00191783">
        <w:rPr>
          <w:rFonts w:ascii="Times New Roman" w:hAnsi="Times New Roman" w:cs="Times New Roman"/>
          <w:sz w:val="24"/>
          <w:szCs w:val="24"/>
        </w:rPr>
        <w:t>favorable</w:t>
      </w:r>
      <w:proofErr w:type="spellEnd"/>
      <w:r w:rsidRPr="00191783">
        <w:rPr>
          <w:rFonts w:ascii="Times New Roman" w:hAnsi="Times New Roman" w:cs="Times New Roman"/>
          <w:sz w:val="24"/>
          <w:szCs w:val="24"/>
        </w:rPr>
        <w:t xml:space="preserve"> attitudes once they become familiar with MOOC structures.</w:t>
      </w:r>
      <w:r w:rsidR="00817949">
        <w:rPr>
          <w:rFonts w:ascii="Times New Roman" w:hAnsi="Times New Roman" w:cs="Times New Roman"/>
          <w:sz w:val="24"/>
          <w:szCs w:val="24"/>
        </w:rPr>
        <w:t xml:space="preserve"> </w:t>
      </w:r>
      <w:r w:rsidR="001228EB" w:rsidRPr="001228EB">
        <w:rPr>
          <w:rFonts w:ascii="Times New Roman" w:hAnsi="Times New Roman" w:cs="Times New Roman"/>
          <w:color w:val="EE0000"/>
          <w:sz w:val="24"/>
          <w:szCs w:val="24"/>
          <w:highlight w:val="yellow"/>
        </w:rPr>
        <w:t>Also,</w:t>
      </w:r>
      <w:r w:rsidR="001228EB" w:rsidRPr="001228EB">
        <w:rPr>
          <w:rFonts w:ascii="Times New Roman" w:hAnsi="Times New Roman" w:cs="Times New Roman"/>
          <w:color w:val="EE0000"/>
          <w:sz w:val="24"/>
          <w:szCs w:val="24"/>
        </w:rPr>
        <w:t xml:space="preserve"> </w:t>
      </w:r>
      <w:r w:rsidR="001228EB">
        <w:rPr>
          <w:rFonts w:ascii="Times New Roman" w:hAnsi="Times New Roman" w:cs="Times New Roman"/>
          <w:color w:val="EE0000"/>
          <w:sz w:val="24"/>
          <w:szCs w:val="24"/>
          <w:highlight w:val="yellow"/>
        </w:rPr>
        <w:t>t</w:t>
      </w:r>
      <w:r w:rsidR="00817949" w:rsidRPr="001228EB">
        <w:rPr>
          <w:rFonts w:ascii="Times New Roman" w:hAnsi="Times New Roman" w:cs="Times New Roman"/>
          <w:color w:val="EE0000"/>
          <w:sz w:val="24"/>
          <w:szCs w:val="24"/>
          <w:highlight w:val="yellow"/>
        </w:rPr>
        <w:t>hese findings are consistent with earlier research conducted among teacher trainees in Mysore, which also reported moderate awareness levels of MOOCs along with gaps in policy knowledge and platform-specific understanding (Divya et al., 2025).</w:t>
      </w:r>
    </w:p>
    <w:p w14:paraId="6895D47F" w14:textId="77777777" w:rsidR="008D53D8"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 xml:space="preserve">Gender-wise, the absence of a statistically significant difference in overall perception is consistent with several previous studies. However, the higher perception scores among females in the domains of </w:t>
      </w:r>
      <w:r w:rsidRPr="00191783">
        <w:rPr>
          <w:rFonts w:ascii="Times New Roman" w:hAnsi="Times New Roman" w:cs="Times New Roman"/>
          <w:i/>
          <w:iCs/>
          <w:sz w:val="24"/>
          <w:szCs w:val="24"/>
        </w:rPr>
        <w:t>Benefits and Accessibility</w:t>
      </w:r>
      <w:r w:rsidRPr="00191783">
        <w:rPr>
          <w:rFonts w:ascii="Times New Roman" w:hAnsi="Times New Roman" w:cs="Times New Roman"/>
          <w:sz w:val="24"/>
          <w:szCs w:val="24"/>
        </w:rPr>
        <w:t xml:space="preserve"> and </w:t>
      </w:r>
      <w:r w:rsidRPr="00191783">
        <w:rPr>
          <w:rFonts w:ascii="Times New Roman" w:hAnsi="Times New Roman" w:cs="Times New Roman"/>
          <w:i/>
          <w:iCs/>
          <w:sz w:val="24"/>
          <w:szCs w:val="24"/>
        </w:rPr>
        <w:t>Multimedia and Resource Sharing</w:t>
      </w:r>
      <w:r w:rsidRPr="00191783">
        <w:rPr>
          <w:rFonts w:ascii="Times New Roman" w:hAnsi="Times New Roman" w:cs="Times New Roman"/>
          <w:sz w:val="24"/>
          <w:szCs w:val="24"/>
        </w:rPr>
        <w:t xml:space="preserve"> point towards gendered nuances in digital engagement. </w:t>
      </w:r>
      <w:r w:rsidR="008D53D8" w:rsidRPr="008D53D8">
        <w:rPr>
          <w:rFonts w:ascii="Times New Roman" w:hAnsi="Times New Roman" w:cs="Times New Roman"/>
          <w:color w:val="EE0000"/>
          <w:sz w:val="24"/>
          <w:szCs w:val="24"/>
          <w:highlight w:val="yellow"/>
        </w:rPr>
        <w:t>This difference may reflect variations in engagement with flexible and multimedia learning formats. However, further research is required to better understand the underlying factors influencing these gender-based differences.</w:t>
      </w:r>
    </w:p>
    <w:p w14:paraId="3D7F1D67" w14:textId="2FA503F7" w:rsid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 xml:space="preserve">Stream-wise comparisons indicated statistically significant higher perception scores among science stream students. Their more </w:t>
      </w:r>
      <w:proofErr w:type="spellStart"/>
      <w:r w:rsidRPr="00191783">
        <w:rPr>
          <w:rFonts w:ascii="Times New Roman" w:hAnsi="Times New Roman" w:cs="Times New Roman"/>
          <w:sz w:val="24"/>
          <w:szCs w:val="24"/>
        </w:rPr>
        <w:t>favorable</w:t>
      </w:r>
      <w:proofErr w:type="spellEnd"/>
      <w:r w:rsidRPr="00191783">
        <w:rPr>
          <w:rFonts w:ascii="Times New Roman" w:hAnsi="Times New Roman" w:cs="Times New Roman"/>
          <w:sz w:val="24"/>
          <w:szCs w:val="24"/>
        </w:rPr>
        <w:t xml:space="preserve"> views on </w:t>
      </w:r>
      <w:r w:rsidRPr="00191783">
        <w:rPr>
          <w:rFonts w:ascii="Times New Roman" w:hAnsi="Times New Roman" w:cs="Times New Roman"/>
          <w:i/>
          <w:iCs/>
          <w:sz w:val="24"/>
          <w:szCs w:val="24"/>
        </w:rPr>
        <w:t>Usability</w:t>
      </w:r>
      <w:r w:rsidRPr="00191783">
        <w:rPr>
          <w:rFonts w:ascii="Times New Roman" w:hAnsi="Times New Roman" w:cs="Times New Roman"/>
          <w:sz w:val="24"/>
          <w:szCs w:val="24"/>
        </w:rPr>
        <w:t xml:space="preserve">, </w:t>
      </w:r>
      <w:r w:rsidRPr="00191783">
        <w:rPr>
          <w:rFonts w:ascii="Times New Roman" w:hAnsi="Times New Roman" w:cs="Times New Roman"/>
          <w:i/>
          <w:iCs/>
          <w:sz w:val="24"/>
          <w:szCs w:val="24"/>
        </w:rPr>
        <w:t>Benefits and Accessibility</w:t>
      </w:r>
      <w:r w:rsidRPr="00191783">
        <w:rPr>
          <w:rFonts w:ascii="Times New Roman" w:hAnsi="Times New Roman" w:cs="Times New Roman"/>
          <w:sz w:val="24"/>
          <w:szCs w:val="24"/>
        </w:rPr>
        <w:t xml:space="preserve">, and </w:t>
      </w:r>
      <w:r w:rsidRPr="00191783">
        <w:rPr>
          <w:rFonts w:ascii="Times New Roman" w:hAnsi="Times New Roman" w:cs="Times New Roman"/>
          <w:i/>
          <w:iCs/>
          <w:sz w:val="24"/>
          <w:szCs w:val="24"/>
        </w:rPr>
        <w:t>Multimedia Sharing</w:t>
      </w:r>
      <w:r w:rsidRPr="00191783">
        <w:rPr>
          <w:rFonts w:ascii="Times New Roman" w:hAnsi="Times New Roman" w:cs="Times New Roman"/>
          <w:sz w:val="24"/>
          <w:szCs w:val="24"/>
        </w:rPr>
        <w:t xml:space="preserve"> suggest greater familiarity and comfort with technological tools. Humanities students, by contrast, might require additional scaffolding to navigate MOOC platforms effectively. This result parallels findings by Kumar and Al-</w:t>
      </w:r>
      <w:proofErr w:type="spellStart"/>
      <w:r w:rsidRPr="00191783">
        <w:rPr>
          <w:rFonts w:ascii="Times New Roman" w:hAnsi="Times New Roman" w:cs="Times New Roman"/>
          <w:sz w:val="24"/>
          <w:szCs w:val="24"/>
        </w:rPr>
        <w:t>Samarraie</w:t>
      </w:r>
      <w:proofErr w:type="spellEnd"/>
      <w:r w:rsidRPr="00191783">
        <w:rPr>
          <w:rFonts w:ascii="Times New Roman" w:hAnsi="Times New Roman" w:cs="Times New Roman"/>
          <w:sz w:val="24"/>
          <w:szCs w:val="24"/>
        </w:rPr>
        <w:t xml:space="preserve"> (2019), which highlight the role of prior digital exposure in shaping perceptions.</w:t>
      </w:r>
    </w:p>
    <w:p w14:paraId="0F6CDA99" w14:textId="107890A7" w:rsidR="00BF6033" w:rsidRPr="00BF6033" w:rsidRDefault="00BF6033" w:rsidP="00191783">
      <w:pPr>
        <w:spacing w:line="240" w:lineRule="auto"/>
        <w:jc w:val="both"/>
        <w:rPr>
          <w:rFonts w:ascii="Times New Roman" w:hAnsi="Times New Roman" w:cs="Times New Roman"/>
          <w:color w:val="EE0000"/>
          <w:sz w:val="24"/>
          <w:szCs w:val="24"/>
        </w:rPr>
      </w:pPr>
      <w:r w:rsidRPr="00BF6033">
        <w:rPr>
          <w:rFonts w:ascii="Times New Roman" w:hAnsi="Times New Roman" w:cs="Times New Roman"/>
          <w:color w:val="EE0000"/>
          <w:sz w:val="24"/>
          <w:szCs w:val="24"/>
          <w:highlight w:val="yellow"/>
        </w:rPr>
        <w:t>These findings can be interpreted through the framework of the Technology Acceptance Model, which proposes that individuals’ adoption of digital technologies is influenced by their perceptions of usefulness and ease of use. In the present study, domains such as learning outcomes, study habits, and perceived benefits correspond to perceived usefulness, while usability, accessibility, and multimedia interaction reflect perceived ease of use. The generally positive ratings across these domains suggest that prospective teachers’ attitudes toward MOOCs are shaped by how beneficial and user-friendly they perceive these platforms to be.</w:t>
      </w:r>
    </w:p>
    <w:p w14:paraId="5097C7D7" w14:textId="77777777" w:rsid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Despite these generally positive findings, the data also uncovers areas of concern. The presence of 8.5% of students with low perception and significant knowledge gaps (especially in MOOC policies and platform specifics) highlight the need for systematic integration of MOOCs in teacher training curricula. Many students remain unaware of institutional initiatives like SWAYAM, even though these platforms are meant to serve their demographic. Moreover, concerns raised in prior literature—such as low instructor interaction, unclear course expectations, and digital infrastructure issues (Cole &amp; Timmerman, 2015; Ibrahim et al., 2020)—likely persist and may have influenced the perceptions in this study.</w:t>
      </w:r>
    </w:p>
    <w:p w14:paraId="18151C7A" w14:textId="31CFFA30" w:rsidR="00191783" w:rsidRDefault="00191783" w:rsidP="0019178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Suggestions for further research</w:t>
      </w:r>
    </w:p>
    <w:p w14:paraId="59FEF9A0" w14:textId="77777777" w:rsidR="002612AE" w:rsidRPr="002612AE" w:rsidRDefault="002612AE" w:rsidP="002612AE">
      <w:pPr>
        <w:spacing w:line="240" w:lineRule="auto"/>
        <w:jc w:val="both"/>
        <w:rPr>
          <w:rFonts w:ascii="Times New Roman" w:hAnsi="Times New Roman" w:cs="Times New Roman"/>
          <w:color w:val="EE0000"/>
          <w:sz w:val="24"/>
          <w:szCs w:val="24"/>
          <w:highlight w:val="yellow"/>
        </w:rPr>
      </w:pPr>
      <w:r w:rsidRPr="002612AE">
        <w:rPr>
          <w:rFonts w:ascii="Times New Roman" w:hAnsi="Times New Roman" w:cs="Times New Roman"/>
          <w:color w:val="EE0000"/>
          <w:sz w:val="24"/>
          <w:szCs w:val="24"/>
          <w:highlight w:val="yellow"/>
        </w:rPr>
        <w:t>Based on the findings of the present study, several directions for future research can be identified.</w:t>
      </w:r>
    </w:p>
    <w:p w14:paraId="25BB630A" w14:textId="5DC2C501" w:rsidR="002612AE" w:rsidRPr="002612AE" w:rsidRDefault="002612AE" w:rsidP="002612AE">
      <w:pPr>
        <w:spacing w:line="240" w:lineRule="auto"/>
        <w:jc w:val="both"/>
        <w:rPr>
          <w:rFonts w:ascii="Times New Roman" w:hAnsi="Times New Roman" w:cs="Times New Roman"/>
          <w:color w:val="EE0000"/>
          <w:sz w:val="24"/>
          <w:szCs w:val="24"/>
          <w:highlight w:val="yellow"/>
        </w:rPr>
      </w:pPr>
      <w:r w:rsidRPr="002612AE">
        <w:rPr>
          <w:rFonts w:ascii="Times New Roman" w:hAnsi="Times New Roman" w:cs="Times New Roman"/>
          <w:color w:val="EE0000"/>
          <w:sz w:val="24"/>
          <w:szCs w:val="24"/>
          <w:highlight w:val="yellow"/>
        </w:rPr>
        <w:t xml:space="preserve">Since the present study adopted a cross-sectional design and found that most prospective teachers held a moderate perception (79.9%) toward MOOCs, future research could conduct longitudinal studies to examine how perceptions evolve over time as teacher trainees gain </w:t>
      </w:r>
      <w:r w:rsidRPr="002612AE">
        <w:rPr>
          <w:rFonts w:ascii="Times New Roman" w:hAnsi="Times New Roman" w:cs="Times New Roman"/>
          <w:color w:val="EE0000"/>
          <w:sz w:val="24"/>
          <w:szCs w:val="24"/>
          <w:highlight w:val="yellow"/>
        </w:rPr>
        <w:lastRenderedPageBreak/>
        <w:t>greater exposure to MOOCs and digital learning platforms during their teacher education programs.</w:t>
      </w:r>
    </w:p>
    <w:p w14:paraId="20D35066" w14:textId="413F68A8" w:rsidR="002612AE" w:rsidRPr="002612AE" w:rsidRDefault="002612AE" w:rsidP="002612AE">
      <w:pPr>
        <w:spacing w:line="240" w:lineRule="auto"/>
        <w:jc w:val="both"/>
        <w:rPr>
          <w:rFonts w:ascii="Times New Roman" w:hAnsi="Times New Roman" w:cs="Times New Roman"/>
          <w:color w:val="EE0000"/>
          <w:sz w:val="24"/>
          <w:szCs w:val="24"/>
          <w:highlight w:val="yellow"/>
        </w:rPr>
      </w:pPr>
      <w:r w:rsidRPr="002612AE">
        <w:rPr>
          <w:rFonts w:ascii="Times New Roman" w:hAnsi="Times New Roman" w:cs="Times New Roman"/>
          <w:color w:val="EE0000"/>
          <w:sz w:val="24"/>
          <w:szCs w:val="24"/>
          <w:highlight w:val="yellow"/>
        </w:rPr>
        <w:t>While this study identified differences in perception across gender domains and significant differences between science and humanities students, the quantitative approach does not fully explain the reasons behind these variations. Therefore, qualitative or mixed-method studies involving interviews or focus groups could explore the underlying factors shaping prospective teachers’ attitudes toward MOOCs.</w:t>
      </w:r>
    </w:p>
    <w:p w14:paraId="65C023C2" w14:textId="40CEE309" w:rsidR="002612AE" w:rsidRPr="002612AE" w:rsidRDefault="002612AE" w:rsidP="002612AE">
      <w:pPr>
        <w:spacing w:line="240" w:lineRule="auto"/>
        <w:jc w:val="both"/>
        <w:rPr>
          <w:rFonts w:ascii="Times New Roman" w:hAnsi="Times New Roman" w:cs="Times New Roman"/>
          <w:color w:val="EE0000"/>
          <w:sz w:val="24"/>
          <w:szCs w:val="24"/>
          <w:highlight w:val="yellow"/>
        </w:rPr>
      </w:pPr>
      <w:r w:rsidRPr="002612AE">
        <w:rPr>
          <w:rFonts w:ascii="Times New Roman" w:hAnsi="Times New Roman" w:cs="Times New Roman"/>
          <w:color w:val="EE0000"/>
          <w:sz w:val="24"/>
          <w:szCs w:val="24"/>
          <w:highlight w:val="yellow"/>
        </w:rPr>
        <w:t>The study was limited to teacher education institutions in Mysore, which may influence the generalizability of the findings. Future studies could undertake regional or multi-state comparative research to examine how institutional context, digital infrastructure, and regional educational policies affect MOOC awareness, perception, and participation among prospective teachers.</w:t>
      </w:r>
    </w:p>
    <w:p w14:paraId="1728A6FD" w14:textId="07C4667E" w:rsidR="002612AE" w:rsidRPr="002612AE" w:rsidRDefault="002612AE" w:rsidP="002612AE">
      <w:pPr>
        <w:spacing w:line="240" w:lineRule="auto"/>
        <w:jc w:val="both"/>
        <w:rPr>
          <w:rFonts w:ascii="Times New Roman" w:hAnsi="Times New Roman" w:cs="Times New Roman"/>
          <w:color w:val="EE0000"/>
          <w:sz w:val="24"/>
          <w:szCs w:val="24"/>
        </w:rPr>
      </w:pPr>
      <w:r w:rsidRPr="002612AE">
        <w:rPr>
          <w:rFonts w:ascii="Times New Roman" w:hAnsi="Times New Roman" w:cs="Times New Roman"/>
          <w:color w:val="EE0000"/>
          <w:sz w:val="24"/>
          <w:szCs w:val="24"/>
          <w:highlight w:val="yellow"/>
        </w:rPr>
        <w:t>Since the findings suggest the need for greater integration of MOOCs and digital platforms like SWAYAM in teacher education, future research could investigate teacher educators’ perceptions and readiness to incorporate MOOCs into pre-service training, which would provide a more comprehensive understanding of institutional readiness for MOOC-based learning.</w:t>
      </w:r>
    </w:p>
    <w:p w14:paraId="1DEE7CCD" w14:textId="24CF17A3" w:rsidR="00281CB5" w:rsidRPr="006A555B" w:rsidRDefault="00281CB5" w:rsidP="00281CB5">
      <w:pPr>
        <w:spacing w:line="240" w:lineRule="auto"/>
        <w:jc w:val="both"/>
        <w:rPr>
          <w:rFonts w:ascii="Times New Roman" w:hAnsi="Times New Roman" w:cs="Times New Roman"/>
          <w:b/>
          <w:bCs/>
          <w:color w:val="EE0000"/>
          <w:sz w:val="28"/>
          <w:szCs w:val="28"/>
        </w:rPr>
      </w:pPr>
      <w:r w:rsidRPr="006A555B">
        <w:rPr>
          <w:rFonts w:ascii="Times New Roman" w:hAnsi="Times New Roman" w:cs="Times New Roman"/>
          <w:b/>
          <w:bCs/>
          <w:color w:val="EE0000"/>
          <w:sz w:val="28"/>
          <w:szCs w:val="28"/>
          <w:highlight w:val="yellow"/>
        </w:rPr>
        <w:t>LIMITATIONS</w:t>
      </w:r>
    </w:p>
    <w:p w14:paraId="0A056512" w14:textId="77777777" w:rsidR="0077680B" w:rsidRPr="0077680B" w:rsidRDefault="0077680B" w:rsidP="0077680B">
      <w:pPr>
        <w:spacing w:line="240" w:lineRule="auto"/>
        <w:jc w:val="both"/>
        <w:rPr>
          <w:rFonts w:ascii="Times New Roman" w:hAnsi="Times New Roman" w:cs="Times New Roman"/>
          <w:color w:val="EE0000"/>
          <w:sz w:val="24"/>
          <w:szCs w:val="24"/>
          <w:highlight w:val="yellow"/>
        </w:rPr>
      </w:pPr>
      <w:r w:rsidRPr="0077680B">
        <w:rPr>
          <w:rFonts w:ascii="Times New Roman" w:hAnsi="Times New Roman" w:cs="Times New Roman"/>
          <w:color w:val="EE0000"/>
          <w:sz w:val="24"/>
          <w:szCs w:val="24"/>
          <w:highlight w:val="yellow"/>
        </w:rPr>
        <w:t>While the present study provides useful insights into the perceptions of secondary-level prospective teachers toward MOOCs, certain limitations should be acknowledged.</w:t>
      </w:r>
    </w:p>
    <w:p w14:paraId="0C031020" w14:textId="77777777" w:rsidR="0077680B" w:rsidRPr="0077680B" w:rsidRDefault="0077680B" w:rsidP="0077680B">
      <w:pPr>
        <w:spacing w:line="240" w:lineRule="auto"/>
        <w:jc w:val="both"/>
        <w:rPr>
          <w:rFonts w:ascii="Times New Roman" w:hAnsi="Times New Roman" w:cs="Times New Roman"/>
          <w:color w:val="EE0000"/>
          <w:sz w:val="24"/>
          <w:szCs w:val="24"/>
          <w:highlight w:val="yellow"/>
        </w:rPr>
      </w:pPr>
      <w:r w:rsidRPr="0077680B">
        <w:rPr>
          <w:rFonts w:ascii="Times New Roman" w:hAnsi="Times New Roman" w:cs="Times New Roman"/>
          <w:color w:val="EE0000"/>
          <w:sz w:val="24"/>
          <w:szCs w:val="24"/>
          <w:highlight w:val="yellow"/>
        </w:rPr>
        <w:t>First, the study was conducted with a sample of 259 B.Ed. students from three teacher education institutions located in Mysore. Although stratified random sampling was used, the geographical scope of the sample is limited. Therefore, the findings may not be fully generalizable to prospective teachers from other regions of India or different institutional contexts.</w:t>
      </w:r>
    </w:p>
    <w:p w14:paraId="6C8E5205" w14:textId="77777777" w:rsidR="0077680B" w:rsidRPr="0077680B" w:rsidRDefault="0077680B" w:rsidP="0077680B">
      <w:pPr>
        <w:spacing w:line="240" w:lineRule="auto"/>
        <w:jc w:val="both"/>
        <w:rPr>
          <w:rFonts w:ascii="Times New Roman" w:hAnsi="Times New Roman" w:cs="Times New Roman"/>
          <w:color w:val="EE0000"/>
          <w:sz w:val="24"/>
          <w:szCs w:val="24"/>
          <w:highlight w:val="yellow"/>
        </w:rPr>
      </w:pPr>
      <w:r w:rsidRPr="0077680B">
        <w:rPr>
          <w:rFonts w:ascii="Times New Roman" w:hAnsi="Times New Roman" w:cs="Times New Roman"/>
          <w:color w:val="EE0000"/>
          <w:sz w:val="24"/>
          <w:szCs w:val="24"/>
          <w:highlight w:val="yellow"/>
        </w:rPr>
        <w:t>Second, the study relies on self-reported data collected through a perception scale. Such responses may be influenced by participants’ subjective interpretations, social desirability bias, or limited prior exposure to MOOCs. Consequently, the results reflect perceived attitudes rather than actual engagement or performance in MOOC environments.</w:t>
      </w:r>
    </w:p>
    <w:p w14:paraId="2AED8513" w14:textId="77777777" w:rsidR="0077680B" w:rsidRPr="0077680B" w:rsidRDefault="0077680B" w:rsidP="0077680B">
      <w:pPr>
        <w:spacing w:line="240" w:lineRule="auto"/>
        <w:jc w:val="both"/>
        <w:rPr>
          <w:rFonts w:ascii="Times New Roman" w:hAnsi="Times New Roman" w:cs="Times New Roman"/>
          <w:color w:val="EE0000"/>
          <w:sz w:val="24"/>
          <w:szCs w:val="24"/>
          <w:highlight w:val="yellow"/>
        </w:rPr>
      </w:pPr>
      <w:r w:rsidRPr="0077680B">
        <w:rPr>
          <w:rFonts w:ascii="Times New Roman" w:hAnsi="Times New Roman" w:cs="Times New Roman"/>
          <w:color w:val="EE0000"/>
          <w:sz w:val="24"/>
          <w:szCs w:val="24"/>
          <w:highlight w:val="yellow"/>
        </w:rPr>
        <w:t>Third, the research adopts a cross-sectional design, capturing participants’ perceptions at a single point in time. Perceptions toward MOOCs may evolve with increased exposure, training, or changes in digital infrastructure. A longitudinal approach could provide deeper insights into how these perceptions develop over time during teacher education programs.</w:t>
      </w:r>
    </w:p>
    <w:p w14:paraId="7516FC19" w14:textId="77777777" w:rsidR="0077680B" w:rsidRPr="0077680B" w:rsidRDefault="0077680B" w:rsidP="0077680B">
      <w:pPr>
        <w:spacing w:line="240" w:lineRule="auto"/>
        <w:jc w:val="both"/>
        <w:rPr>
          <w:rFonts w:ascii="Times New Roman" w:hAnsi="Times New Roman" w:cs="Times New Roman"/>
          <w:color w:val="EE0000"/>
          <w:sz w:val="24"/>
          <w:szCs w:val="24"/>
          <w:highlight w:val="yellow"/>
        </w:rPr>
      </w:pPr>
      <w:r w:rsidRPr="0077680B">
        <w:rPr>
          <w:rFonts w:ascii="Times New Roman" w:hAnsi="Times New Roman" w:cs="Times New Roman"/>
          <w:color w:val="EE0000"/>
          <w:sz w:val="24"/>
          <w:szCs w:val="24"/>
          <w:highlight w:val="yellow"/>
        </w:rPr>
        <w:t>Fourth, the study focuses primarily on two demographic variables—gender and academic stream. Other potentially influential factors such as prior digital literacy, previous MOOC participation, access to technological resources, and institutional support were not examined and may affect prospective teachers’ perceptions of MOOCs.</w:t>
      </w:r>
    </w:p>
    <w:p w14:paraId="0DD22EE4" w14:textId="77777777" w:rsidR="0077680B" w:rsidRPr="0077680B" w:rsidRDefault="0077680B" w:rsidP="0077680B">
      <w:pPr>
        <w:spacing w:line="240" w:lineRule="auto"/>
        <w:jc w:val="both"/>
        <w:rPr>
          <w:rFonts w:ascii="Times New Roman" w:hAnsi="Times New Roman" w:cs="Times New Roman"/>
          <w:color w:val="EE0000"/>
          <w:sz w:val="24"/>
          <w:szCs w:val="24"/>
          <w:highlight w:val="yellow"/>
        </w:rPr>
      </w:pPr>
      <w:r w:rsidRPr="0077680B">
        <w:rPr>
          <w:rFonts w:ascii="Times New Roman" w:hAnsi="Times New Roman" w:cs="Times New Roman"/>
          <w:color w:val="EE0000"/>
          <w:sz w:val="24"/>
          <w:szCs w:val="24"/>
          <w:highlight w:val="yellow"/>
        </w:rPr>
        <w:t>Finally, although the perception scale demonstrated good reliability, the study employed a quantitative survey approach that limits deeper exploration of the reasons behind participants’ attitudes. Incorporating qualitative methods such as interviews or focus group discussions could provide richer insights into the motivations, challenges, and contextual factors influencing prospective teachers’ engagement with MOOCs.</w:t>
      </w:r>
    </w:p>
    <w:p w14:paraId="535D9234" w14:textId="77777777" w:rsidR="0077680B" w:rsidRPr="0077680B" w:rsidRDefault="0077680B" w:rsidP="0077680B">
      <w:pPr>
        <w:spacing w:line="240" w:lineRule="auto"/>
        <w:jc w:val="both"/>
        <w:rPr>
          <w:rFonts w:ascii="Times New Roman" w:hAnsi="Times New Roman" w:cs="Times New Roman"/>
          <w:color w:val="EE0000"/>
          <w:sz w:val="24"/>
          <w:szCs w:val="24"/>
        </w:rPr>
      </w:pPr>
      <w:r w:rsidRPr="0077680B">
        <w:rPr>
          <w:rFonts w:ascii="Times New Roman" w:hAnsi="Times New Roman" w:cs="Times New Roman"/>
          <w:color w:val="EE0000"/>
          <w:sz w:val="24"/>
          <w:szCs w:val="24"/>
          <w:highlight w:val="yellow"/>
        </w:rPr>
        <w:lastRenderedPageBreak/>
        <w:t>Recognizing these limitations provides directions for future research to expand the scope, employ mixed-method approaches, and examine additional variables influencing the adoption and perception of MOOCs in teacher education.</w:t>
      </w:r>
    </w:p>
    <w:p w14:paraId="2766B833" w14:textId="181564AE" w:rsidR="00191783" w:rsidRPr="00191783" w:rsidRDefault="00191783" w:rsidP="00191783">
      <w:pPr>
        <w:spacing w:line="240" w:lineRule="auto"/>
        <w:jc w:val="both"/>
        <w:rPr>
          <w:rFonts w:ascii="Times New Roman" w:hAnsi="Times New Roman" w:cs="Times New Roman"/>
          <w:b/>
          <w:bCs/>
          <w:sz w:val="28"/>
          <w:szCs w:val="28"/>
        </w:rPr>
      </w:pPr>
      <w:r w:rsidRPr="00191783">
        <w:rPr>
          <w:rFonts w:ascii="Times New Roman" w:hAnsi="Times New Roman" w:cs="Times New Roman"/>
          <w:b/>
          <w:bCs/>
          <w:sz w:val="28"/>
          <w:szCs w:val="28"/>
        </w:rPr>
        <w:t>CONCLUSION</w:t>
      </w:r>
    </w:p>
    <w:p w14:paraId="31391502" w14:textId="77777777" w:rsidR="00191783" w:rsidRP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 xml:space="preserve">The findings of this study indicate that secondary grade prospective teachers in Mysore possess a generally moderate perception towards MOOCs, reflecting a balanced yet cautious optimism about their role in teacher education. While a majority of participants acknowledged the value of MOOCs in enhancing study habits, learning outcomes, and resource accessibility, certain gaps in awareness—particularly related to policy guidelines and technical usability—remain a concern. Notably, female students demonstrated a higher appreciation for the benefits and multimedia features of MOOCs, whereas science stream students exhibited significantly more </w:t>
      </w:r>
      <w:proofErr w:type="spellStart"/>
      <w:r w:rsidRPr="00191783">
        <w:rPr>
          <w:rFonts w:ascii="Times New Roman" w:hAnsi="Times New Roman" w:cs="Times New Roman"/>
          <w:sz w:val="24"/>
          <w:szCs w:val="24"/>
        </w:rPr>
        <w:t>favorable</w:t>
      </w:r>
      <w:proofErr w:type="spellEnd"/>
      <w:r w:rsidRPr="00191783">
        <w:rPr>
          <w:rFonts w:ascii="Times New Roman" w:hAnsi="Times New Roman" w:cs="Times New Roman"/>
          <w:sz w:val="24"/>
          <w:szCs w:val="24"/>
        </w:rPr>
        <w:t xml:space="preserve"> perceptions across all key domains compared to their humanities counterparts.</w:t>
      </w:r>
    </w:p>
    <w:p w14:paraId="75E7B282" w14:textId="77777777" w:rsidR="00191783" w:rsidRP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These differences suggest that prior exposure to digital tools and academic orientation influence how MOOCs are perceived and engaged with. The findings reinforce the importance of introducing structured MOOC orientation programs and integrating relevant modules into pre-service teacher training. Doing so will help ensure that future educators are not only digitally literate but also confident in utilizing online platforms to enrich their teaching practices.</w:t>
      </w:r>
    </w:p>
    <w:p w14:paraId="54B81BB0" w14:textId="0FB37015" w:rsid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As India continues to promote digital initiatives in education through platforms like SWAYAM, strengthening the digital readiness of prospective teachers is vital. Empowering teacher trainees with the necessary skills and awareness will not only improve their professional competence but also ensure that future classrooms are inclusive, tech-enabled, and aligned with 21st-century learning needs.</w:t>
      </w:r>
    </w:p>
    <w:p w14:paraId="3B46B61D" w14:textId="77777777" w:rsidR="00BD69E5" w:rsidRPr="00BD69E5" w:rsidRDefault="00BD69E5" w:rsidP="00BD69E5">
      <w:pPr>
        <w:spacing w:line="240" w:lineRule="auto"/>
        <w:jc w:val="both"/>
        <w:rPr>
          <w:rFonts w:ascii="Times New Roman" w:hAnsi="Times New Roman" w:cs="Times New Roman"/>
          <w:b/>
          <w:sz w:val="24"/>
          <w:szCs w:val="24"/>
        </w:rPr>
      </w:pPr>
      <w:r w:rsidRPr="00BD69E5">
        <w:rPr>
          <w:rFonts w:ascii="Times New Roman" w:hAnsi="Times New Roman" w:cs="Times New Roman"/>
          <w:b/>
          <w:sz w:val="24"/>
          <w:szCs w:val="24"/>
        </w:rPr>
        <w:t xml:space="preserve">Consent </w:t>
      </w:r>
    </w:p>
    <w:p w14:paraId="71DF8F8C" w14:textId="22C55489" w:rsidR="00BD69E5" w:rsidRDefault="00BD69E5" w:rsidP="00BD69E5">
      <w:pPr>
        <w:spacing w:line="240" w:lineRule="auto"/>
        <w:jc w:val="both"/>
        <w:rPr>
          <w:rFonts w:ascii="Times New Roman" w:hAnsi="Times New Roman" w:cs="Times New Roman"/>
          <w:sz w:val="24"/>
          <w:szCs w:val="24"/>
        </w:rPr>
      </w:pPr>
      <w:r w:rsidRPr="00BD69E5">
        <w:rPr>
          <w:rFonts w:ascii="Times New Roman" w:hAnsi="Times New Roman" w:cs="Times New Roman"/>
          <w:sz w:val="24"/>
          <w:szCs w:val="24"/>
        </w:rPr>
        <w:t>As per international standards or university standards, respondents’ written consent has been collected and preserved by the author(s).</w:t>
      </w:r>
    </w:p>
    <w:p w14:paraId="4F2D82DB" w14:textId="2001E806" w:rsidR="00FD33FA" w:rsidRDefault="00FD33FA" w:rsidP="00191783">
      <w:pPr>
        <w:spacing w:line="240" w:lineRule="auto"/>
        <w:jc w:val="both"/>
        <w:rPr>
          <w:rFonts w:ascii="Times New Roman" w:hAnsi="Times New Roman" w:cs="Times New Roman"/>
          <w:sz w:val="24"/>
          <w:szCs w:val="24"/>
        </w:rPr>
      </w:pPr>
    </w:p>
    <w:p w14:paraId="742EDC1E" w14:textId="77777777" w:rsidR="00FD33FA" w:rsidRPr="00CA3906" w:rsidRDefault="00FD33FA" w:rsidP="00FD33FA">
      <w:pPr>
        <w:rPr>
          <w:b/>
          <w:highlight w:val="yellow"/>
        </w:rPr>
      </w:pPr>
      <w:r w:rsidRPr="00CA3906">
        <w:rPr>
          <w:b/>
          <w:highlight w:val="yellow"/>
        </w:rPr>
        <w:t>Disclaimer (Artificial intelligence)</w:t>
      </w:r>
    </w:p>
    <w:p w14:paraId="41DBF264" w14:textId="77777777" w:rsidR="00386376" w:rsidRPr="00386376" w:rsidRDefault="00386376" w:rsidP="00386376">
      <w:pPr>
        <w:spacing w:line="240" w:lineRule="auto"/>
        <w:jc w:val="both"/>
        <w:rPr>
          <w:highlight w:val="yellow"/>
        </w:rPr>
      </w:pPr>
      <w:r w:rsidRPr="00386376">
        <w:rPr>
          <w:highlight w:val="yellow"/>
        </w:rPr>
        <w:t xml:space="preserve">The authors acknowledge the use of a generative artificial intelligence tool, </w:t>
      </w:r>
      <w:r w:rsidRPr="00386376">
        <w:rPr>
          <w:b/>
          <w:bCs/>
          <w:highlight w:val="yellow"/>
        </w:rPr>
        <w:t>ChatGPT (OpenAI)</w:t>
      </w:r>
      <w:r w:rsidRPr="00386376">
        <w:rPr>
          <w:highlight w:val="yellow"/>
        </w:rPr>
        <w:t xml:space="preserve">, during the preparation of this manuscript. The tool was used </w:t>
      </w:r>
      <w:r w:rsidRPr="00386376">
        <w:rPr>
          <w:b/>
          <w:bCs/>
          <w:highlight w:val="yellow"/>
        </w:rPr>
        <w:t>only for limited language editing, grammatical refinement, formatting of references in APA style, and drafting responses to reviewer comments</w:t>
      </w:r>
      <w:r w:rsidRPr="00386376">
        <w:rPr>
          <w:highlight w:val="yellow"/>
        </w:rPr>
        <w:t xml:space="preserve">. Example prompts included requests such as: </w:t>
      </w:r>
      <w:r w:rsidRPr="00386376">
        <w:rPr>
          <w:i/>
          <w:iCs/>
          <w:highlight w:val="yellow"/>
        </w:rPr>
        <w:t>“Rewrite the reviewer response in a polite academic tone,” “Format the following references in APA 7 style,”</w:t>
      </w:r>
      <w:r w:rsidRPr="00386376">
        <w:rPr>
          <w:highlight w:val="yellow"/>
        </w:rPr>
        <w:t xml:space="preserve"> and </w:t>
      </w:r>
      <w:r w:rsidRPr="00386376">
        <w:rPr>
          <w:i/>
          <w:iCs/>
          <w:highlight w:val="yellow"/>
        </w:rPr>
        <w:t>“Improve the clarity of this paragraph without changing its meaning.”</w:t>
      </w:r>
    </w:p>
    <w:p w14:paraId="2DEEB860" w14:textId="77777777" w:rsidR="00386376" w:rsidRPr="00386376" w:rsidRDefault="00386376" w:rsidP="00386376">
      <w:pPr>
        <w:spacing w:line="240" w:lineRule="auto"/>
        <w:jc w:val="both"/>
        <w:rPr>
          <w:highlight w:val="yellow"/>
        </w:rPr>
      </w:pPr>
      <w:r w:rsidRPr="00386376">
        <w:rPr>
          <w:highlight w:val="yellow"/>
        </w:rPr>
        <w:t xml:space="preserve">No AI tools were used for </w:t>
      </w:r>
      <w:r w:rsidRPr="00386376">
        <w:rPr>
          <w:b/>
          <w:bCs/>
          <w:highlight w:val="yellow"/>
        </w:rPr>
        <w:t>data collection, data analysis, interpretation of results, development of research methodology, or generation of scientific conclusions</w:t>
      </w:r>
      <w:r w:rsidRPr="00386376">
        <w:rPr>
          <w:highlight w:val="yellow"/>
        </w:rPr>
        <w:t>. All intellectual contributions, research design, data interpretation, and final content of the manuscript remain the sole responsibility of the authors. The authors have carefully reviewed and edited all AI-assisted outputs to ensure accuracy, originality, and compliance with academic standards.</w:t>
      </w:r>
    </w:p>
    <w:p w14:paraId="042EE734" w14:textId="77777777" w:rsidR="00FD33FA" w:rsidRDefault="00FD33FA" w:rsidP="00191783">
      <w:pPr>
        <w:spacing w:line="240" w:lineRule="auto"/>
        <w:jc w:val="both"/>
        <w:rPr>
          <w:rFonts w:ascii="Times New Roman" w:hAnsi="Times New Roman" w:cs="Times New Roman"/>
          <w:sz w:val="24"/>
          <w:szCs w:val="24"/>
        </w:rPr>
      </w:pPr>
    </w:p>
    <w:p w14:paraId="0A7FB542" w14:textId="77777777" w:rsidR="00191783" w:rsidRDefault="00191783" w:rsidP="00191783">
      <w:pPr>
        <w:spacing w:line="240" w:lineRule="auto"/>
        <w:jc w:val="both"/>
        <w:rPr>
          <w:rFonts w:ascii="Times New Roman" w:hAnsi="Times New Roman" w:cs="Times New Roman"/>
          <w:sz w:val="24"/>
          <w:szCs w:val="24"/>
        </w:rPr>
      </w:pPr>
    </w:p>
    <w:p w14:paraId="5F02078B" w14:textId="3320CB6E" w:rsidR="00191783" w:rsidRDefault="00191783" w:rsidP="00191783">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6DBF630E"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proofErr w:type="spellStart"/>
      <w:r w:rsidRPr="00BD69E5">
        <w:rPr>
          <w:rFonts w:ascii="Times New Roman" w:hAnsi="Times New Roman" w:cs="Times New Roman"/>
          <w:sz w:val="24"/>
          <w:szCs w:val="24"/>
        </w:rPr>
        <w:lastRenderedPageBreak/>
        <w:t>Aharony</w:t>
      </w:r>
      <w:proofErr w:type="spellEnd"/>
      <w:r w:rsidRPr="00BD69E5">
        <w:rPr>
          <w:rFonts w:ascii="Times New Roman" w:hAnsi="Times New Roman" w:cs="Times New Roman"/>
          <w:sz w:val="24"/>
          <w:szCs w:val="24"/>
        </w:rPr>
        <w:t xml:space="preserve">, N., &amp; Bar-Ilan, J. (2016). Students’ perceptions on MOOCs: An exploratory study. </w:t>
      </w:r>
      <w:r w:rsidRPr="00BD69E5">
        <w:rPr>
          <w:rFonts w:ascii="Times New Roman" w:hAnsi="Times New Roman" w:cs="Times New Roman"/>
          <w:i/>
          <w:iCs/>
          <w:sz w:val="24"/>
          <w:szCs w:val="24"/>
        </w:rPr>
        <w:t>Interdisciplinary Journal of e-Skills and Lifelong Learning, 12</w:t>
      </w:r>
      <w:r w:rsidRPr="00BD69E5">
        <w:rPr>
          <w:rFonts w:ascii="Times New Roman" w:hAnsi="Times New Roman" w:cs="Times New Roman"/>
          <w:sz w:val="24"/>
          <w:szCs w:val="24"/>
        </w:rPr>
        <w:t>, 145–162.</w:t>
      </w:r>
    </w:p>
    <w:p w14:paraId="624804E6"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color w:val="EE0000"/>
          <w:sz w:val="24"/>
          <w:szCs w:val="24"/>
          <w:highlight w:val="yellow"/>
        </w:rPr>
      </w:pPr>
      <w:r w:rsidRPr="00BD69E5">
        <w:rPr>
          <w:rFonts w:ascii="Times New Roman" w:hAnsi="Times New Roman" w:cs="Times New Roman"/>
          <w:color w:val="EE0000"/>
          <w:sz w:val="24"/>
          <w:szCs w:val="24"/>
          <w:highlight w:val="yellow"/>
        </w:rPr>
        <w:t xml:space="preserve">Cole, J. W., &amp; Kahn, J. V. (2006). </w:t>
      </w:r>
      <w:r w:rsidRPr="00BD69E5">
        <w:rPr>
          <w:rFonts w:ascii="Times New Roman" w:hAnsi="Times New Roman" w:cs="Times New Roman"/>
          <w:i/>
          <w:iCs/>
          <w:color w:val="EE0000"/>
          <w:sz w:val="24"/>
          <w:szCs w:val="24"/>
          <w:highlight w:val="yellow"/>
        </w:rPr>
        <w:t>Research in education</w:t>
      </w:r>
      <w:r w:rsidRPr="00BD69E5">
        <w:rPr>
          <w:rFonts w:ascii="Times New Roman" w:hAnsi="Times New Roman" w:cs="Times New Roman"/>
          <w:color w:val="EE0000"/>
          <w:sz w:val="24"/>
          <w:szCs w:val="24"/>
          <w:highlight w:val="yellow"/>
        </w:rPr>
        <w:t xml:space="preserve"> (10th ed.). Pearson Education.</w:t>
      </w:r>
    </w:p>
    <w:p w14:paraId="7FF0CC49"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color w:val="EE0000"/>
          <w:sz w:val="24"/>
          <w:szCs w:val="24"/>
          <w:highlight w:val="yellow"/>
        </w:rPr>
      </w:pPr>
      <w:r w:rsidRPr="00BD69E5">
        <w:rPr>
          <w:rFonts w:ascii="Times New Roman" w:hAnsi="Times New Roman" w:cs="Times New Roman"/>
          <w:color w:val="EE0000"/>
          <w:sz w:val="24"/>
          <w:szCs w:val="24"/>
          <w:highlight w:val="yellow"/>
        </w:rPr>
        <w:t xml:space="preserve">Cohen, J. (1988). </w:t>
      </w:r>
      <w:r w:rsidRPr="00BD69E5">
        <w:rPr>
          <w:rFonts w:ascii="Times New Roman" w:hAnsi="Times New Roman" w:cs="Times New Roman"/>
          <w:i/>
          <w:iCs/>
          <w:color w:val="EE0000"/>
          <w:sz w:val="24"/>
          <w:szCs w:val="24"/>
          <w:highlight w:val="yellow"/>
        </w:rPr>
        <w:t xml:space="preserve">Statistical power analysis for the </w:t>
      </w:r>
      <w:proofErr w:type="spellStart"/>
      <w:r w:rsidRPr="00BD69E5">
        <w:rPr>
          <w:rFonts w:ascii="Times New Roman" w:hAnsi="Times New Roman" w:cs="Times New Roman"/>
          <w:i/>
          <w:iCs/>
          <w:color w:val="EE0000"/>
          <w:sz w:val="24"/>
          <w:szCs w:val="24"/>
          <w:highlight w:val="yellow"/>
        </w:rPr>
        <w:t>behavioral</w:t>
      </w:r>
      <w:proofErr w:type="spellEnd"/>
      <w:r w:rsidRPr="00BD69E5">
        <w:rPr>
          <w:rFonts w:ascii="Times New Roman" w:hAnsi="Times New Roman" w:cs="Times New Roman"/>
          <w:i/>
          <w:iCs/>
          <w:color w:val="EE0000"/>
          <w:sz w:val="24"/>
          <w:szCs w:val="24"/>
          <w:highlight w:val="yellow"/>
        </w:rPr>
        <w:t xml:space="preserve"> sciences</w:t>
      </w:r>
      <w:r w:rsidRPr="00BD69E5">
        <w:rPr>
          <w:rFonts w:ascii="Times New Roman" w:hAnsi="Times New Roman" w:cs="Times New Roman"/>
          <w:color w:val="EE0000"/>
          <w:sz w:val="24"/>
          <w:szCs w:val="24"/>
          <w:highlight w:val="yellow"/>
        </w:rPr>
        <w:t xml:space="preserve"> (2nd ed.). Routledge. </w:t>
      </w:r>
      <w:hyperlink r:id="rId8" w:tgtFrame="_new" w:history="1">
        <w:r w:rsidRPr="00BD69E5">
          <w:rPr>
            <w:rStyle w:val="Hyperlink"/>
            <w:rFonts w:ascii="Times New Roman" w:hAnsi="Times New Roman" w:cs="Times New Roman"/>
            <w:color w:val="EE0000"/>
            <w:sz w:val="24"/>
            <w:szCs w:val="24"/>
            <w:highlight w:val="yellow"/>
          </w:rPr>
          <w:t>https://doi.org/10.4324/9780203771587</w:t>
        </w:r>
      </w:hyperlink>
    </w:p>
    <w:p w14:paraId="53D9F977"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color w:val="EE0000"/>
          <w:sz w:val="24"/>
          <w:szCs w:val="24"/>
        </w:rPr>
      </w:pPr>
      <w:r w:rsidRPr="00BD69E5">
        <w:rPr>
          <w:rFonts w:ascii="Times New Roman" w:hAnsi="Times New Roman" w:cs="Times New Roman"/>
          <w:color w:val="EE0000"/>
          <w:sz w:val="24"/>
          <w:szCs w:val="24"/>
          <w:highlight w:val="yellow"/>
        </w:rPr>
        <w:t xml:space="preserve">Cohen, L., Manion, L., &amp; Morrison, K. (2017). </w:t>
      </w:r>
      <w:r w:rsidRPr="00BD69E5">
        <w:rPr>
          <w:rFonts w:ascii="Times New Roman" w:hAnsi="Times New Roman" w:cs="Times New Roman"/>
          <w:i/>
          <w:iCs/>
          <w:color w:val="EE0000"/>
          <w:sz w:val="24"/>
          <w:szCs w:val="24"/>
          <w:highlight w:val="yellow"/>
        </w:rPr>
        <w:t>Research methods in education</w:t>
      </w:r>
      <w:r w:rsidRPr="00BD69E5">
        <w:rPr>
          <w:rFonts w:ascii="Times New Roman" w:hAnsi="Times New Roman" w:cs="Times New Roman"/>
          <w:color w:val="EE0000"/>
          <w:sz w:val="24"/>
          <w:szCs w:val="24"/>
          <w:highlight w:val="yellow"/>
        </w:rPr>
        <w:t xml:space="preserve"> (8th ed.). Routledge. </w:t>
      </w:r>
      <w:hyperlink r:id="rId9" w:tgtFrame="_new" w:history="1">
        <w:r w:rsidRPr="00BD69E5">
          <w:rPr>
            <w:rStyle w:val="Hyperlink"/>
            <w:rFonts w:ascii="Times New Roman" w:hAnsi="Times New Roman" w:cs="Times New Roman"/>
            <w:color w:val="EE0000"/>
            <w:sz w:val="24"/>
            <w:szCs w:val="24"/>
            <w:highlight w:val="yellow"/>
          </w:rPr>
          <w:t>https://doi.org/10.4324/9781315456539</w:t>
        </w:r>
      </w:hyperlink>
    </w:p>
    <w:p w14:paraId="6C442843"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r w:rsidRPr="00BD69E5">
        <w:rPr>
          <w:rFonts w:ascii="Times New Roman" w:hAnsi="Times New Roman" w:cs="Times New Roman"/>
          <w:sz w:val="24"/>
          <w:szCs w:val="24"/>
        </w:rPr>
        <w:t xml:space="preserve">Cole, A. W., &amp; Timmerman, C. E. (2015). What do current college students think about MOOCs? </w:t>
      </w:r>
      <w:r w:rsidRPr="00BD69E5">
        <w:rPr>
          <w:rFonts w:ascii="Times New Roman" w:hAnsi="Times New Roman" w:cs="Times New Roman"/>
          <w:i/>
          <w:iCs/>
          <w:sz w:val="24"/>
          <w:szCs w:val="24"/>
        </w:rPr>
        <w:t>Journal of Online Learning and Teaching, 11</w:t>
      </w:r>
      <w:r w:rsidRPr="00BD69E5">
        <w:rPr>
          <w:rFonts w:ascii="Times New Roman" w:hAnsi="Times New Roman" w:cs="Times New Roman"/>
          <w:sz w:val="24"/>
          <w:szCs w:val="24"/>
        </w:rPr>
        <w:t>(2), 188–202.</w:t>
      </w:r>
    </w:p>
    <w:p w14:paraId="0DC990F9" w14:textId="77777777" w:rsidR="00765C67" w:rsidRDefault="00765C67" w:rsidP="00BD69E5">
      <w:pPr>
        <w:pStyle w:val="ListParagraph"/>
        <w:numPr>
          <w:ilvl w:val="0"/>
          <w:numId w:val="13"/>
        </w:numPr>
        <w:spacing w:line="240" w:lineRule="auto"/>
        <w:jc w:val="both"/>
      </w:pPr>
      <w:r w:rsidRPr="00BD69E5">
        <w:rPr>
          <w:rFonts w:ascii="Times New Roman" w:hAnsi="Times New Roman" w:cs="Times New Roman"/>
          <w:color w:val="EE0000"/>
          <w:sz w:val="24"/>
          <w:szCs w:val="24"/>
          <w:highlight w:val="yellow"/>
        </w:rPr>
        <w:t xml:space="preserve">Davis, F. D. (1989). Perceived usefulness, perceived ease of use, and user acceptance of information technology. </w:t>
      </w:r>
      <w:r w:rsidRPr="00BD69E5">
        <w:rPr>
          <w:rFonts w:ascii="Times New Roman" w:hAnsi="Times New Roman" w:cs="Times New Roman"/>
          <w:i/>
          <w:iCs/>
          <w:color w:val="EE0000"/>
          <w:sz w:val="24"/>
          <w:szCs w:val="24"/>
          <w:highlight w:val="yellow"/>
        </w:rPr>
        <w:t>MIS Quarterly, 13</w:t>
      </w:r>
      <w:r w:rsidRPr="00BD69E5">
        <w:rPr>
          <w:rFonts w:ascii="Times New Roman" w:hAnsi="Times New Roman" w:cs="Times New Roman"/>
          <w:color w:val="EE0000"/>
          <w:sz w:val="24"/>
          <w:szCs w:val="24"/>
          <w:highlight w:val="yellow"/>
        </w:rPr>
        <w:t xml:space="preserve">(3), 319–340. </w:t>
      </w:r>
      <w:hyperlink r:id="rId10" w:tgtFrame="_new" w:history="1">
        <w:r w:rsidRPr="00BD69E5">
          <w:rPr>
            <w:rStyle w:val="Hyperlink"/>
            <w:rFonts w:ascii="Times New Roman" w:hAnsi="Times New Roman" w:cs="Times New Roman"/>
            <w:color w:val="EE0000"/>
            <w:sz w:val="24"/>
            <w:szCs w:val="24"/>
            <w:highlight w:val="yellow"/>
          </w:rPr>
          <w:t>https://doi.org/10.2307/249008</w:t>
        </w:r>
      </w:hyperlink>
    </w:p>
    <w:p w14:paraId="345A7F71" w14:textId="09E0CF70" w:rsidR="00330152" w:rsidRPr="00BD69E5" w:rsidRDefault="00330152" w:rsidP="00BD69E5">
      <w:pPr>
        <w:pStyle w:val="ListParagraph"/>
        <w:numPr>
          <w:ilvl w:val="0"/>
          <w:numId w:val="13"/>
        </w:numPr>
        <w:spacing w:line="240" w:lineRule="auto"/>
        <w:jc w:val="both"/>
        <w:rPr>
          <w:rFonts w:ascii="Times New Roman" w:hAnsi="Times New Roman" w:cs="Times New Roman"/>
          <w:color w:val="EE0000"/>
          <w:sz w:val="24"/>
          <w:szCs w:val="24"/>
          <w:highlight w:val="yellow"/>
        </w:rPr>
      </w:pPr>
      <w:r w:rsidRPr="00BD69E5">
        <w:rPr>
          <w:rFonts w:ascii="Times New Roman" w:hAnsi="Times New Roman" w:cs="Times New Roman"/>
          <w:color w:val="EE0000"/>
          <w:sz w:val="24"/>
          <w:szCs w:val="24"/>
          <w:highlight w:val="yellow"/>
        </w:rPr>
        <w:t>Divya, V. Sri, Dinesh Satapathy, and Deepak Kumar Pradhan. 2025. “Awareness of MOOCs Among Secondary-Level Teacher Trainees: A Cross-Sectional Study from India”. </w:t>
      </w:r>
      <w:r w:rsidRPr="00BD69E5">
        <w:rPr>
          <w:rFonts w:ascii="Times New Roman" w:hAnsi="Times New Roman" w:cs="Times New Roman"/>
          <w:i/>
          <w:iCs/>
          <w:color w:val="EE0000"/>
          <w:sz w:val="24"/>
          <w:szCs w:val="24"/>
          <w:highlight w:val="yellow"/>
        </w:rPr>
        <w:t>Journal of Education, Society and Behavioural Science</w:t>
      </w:r>
      <w:r w:rsidRPr="00BD69E5">
        <w:rPr>
          <w:rFonts w:ascii="Times New Roman" w:hAnsi="Times New Roman" w:cs="Times New Roman"/>
          <w:color w:val="EE0000"/>
          <w:sz w:val="24"/>
          <w:szCs w:val="24"/>
          <w:highlight w:val="yellow"/>
        </w:rPr>
        <w:t> 38 (4):221-31. https://doi.org/</w:t>
      </w:r>
      <w:bookmarkStart w:id="2" w:name="_GoBack"/>
      <w:r w:rsidRPr="00BD69E5">
        <w:rPr>
          <w:rFonts w:ascii="Times New Roman" w:hAnsi="Times New Roman" w:cs="Times New Roman"/>
          <w:color w:val="EE0000"/>
          <w:sz w:val="24"/>
          <w:szCs w:val="24"/>
          <w:highlight w:val="yellow"/>
        </w:rPr>
        <w:t>10.97</w:t>
      </w:r>
      <w:bookmarkEnd w:id="2"/>
      <w:r w:rsidRPr="00BD69E5">
        <w:rPr>
          <w:rFonts w:ascii="Times New Roman" w:hAnsi="Times New Roman" w:cs="Times New Roman"/>
          <w:color w:val="EE0000"/>
          <w:sz w:val="24"/>
          <w:szCs w:val="24"/>
          <w:highlight w:val="yellow"/>
        </w:rPr>
        <w:t>34/jesbs/2025/v38i41413.</w:t>
      </w:r>
    </w:p>
    <w:p w14:paraId="08CB530A"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color w:val="EE0000"/>
          <w:sz w:val="24"/>
          <w:szCs w:val="24"/>
          <w:highlight w:val="yellow"/>
        </w:rPr>
      </w:pPr>
      <w:r w:rsidRPr="00BD69E5">
        <w:rPr>
          <w:rFonts w:ascii="Times New Roman" w:hAnsi="Times New Roman" w:cs="Times New Roman"/>
          <w:color w:val="EE0000"/>
          <w:sz w:val="24"/>
          <w:szCs w:val="24"/>
          <w:highlight w:val="yellow"/>
        </w:rPr>
        <w:t>Domínguez-González, M. Á., Luque de la Rosa, A., Hervás-Gómez, C., &amp; Román-</w:t>
      </w:r>
      <w:proofErr w:type="spellStart"/>
      <w:r w:rsidRPr="00BD69E5">
        <w:rPr>
          <w:rFonts w:ascii="Times New Roman" w:hAnsi="Times New Roman" w:cs="Times New Roman"/>
          <w:color w:val="EE0000"/>
          <w:sz w:val="24"/>
          <w:szCs w:val="24"/>
          <w:highlight w:val="yellow"/>
        </w:rPr>
        <w:t>Graván</w:t>
      </w:r>
      <w:proofErr w:type="spellEnd"/>
      <w:r w:rsidRPr="00BD69E5">
        <w:rPr>
          <w:rFonts w:ascii="Times New Roman" w:hAnsi="Times New Roman" w:cs="Times New Roman"/>
          <w:color w:val="EE0000"/>
          <w:sz w:val="24"/>
          <w:szCs w:val="24"/>
          <w:highlight w:val="yellow"/>
        </w:rPr>
        <w:t xml:space="preserve">, P. (2025). Teacher digital competence: Keys for an educational future through a systematic review. </w:t>
      </w:r>
      <w:r w:rsidRPr="00BD69E5">
        <w:rPr>
          <w:rFonts w:ascii="Times New Roman" w:hAnsi="Times New Roman" w:cs="Times New Roman"/>
          <w:i/>
          <w:iCs/>
          <w:color w:val="EE0000"/>
          <w:sz w:val="24"/>
          <w:szCs w:val="24"/>
          <w:highlight w:val="yellow"/>
        </w:rPr>
        <w:t>Contemporary Educational Technology, 17</w:t>
      </w:r>
      <w:r w:rsidRPr="00BD69E5">
        <w:rPr>
          <w:rFonts w:ascii="Times New Roman" w:hAnsi="Times New Roman" w:cs="Times New Roman"/>
          <w:color w:val="EE0000"/>
          <w:sz w:val="24"/>
          <w:szCs w:val="24"/>
          <w:highlight w:val="yellow"/>
        </w:rPr>
        <w:t xml:space="preserve">(2), ep577. </w:t>
      </w:r>
      <w:hyperlink r:id="rId11" w:tgtFrame="_new" w:history="1">
        <w:r w:rsidRPr="00BD69E5">
          <w:rPr>
            <w:rStyle w:val="Hyperlink"/>
            <w:rFonts w:ascii="Times New Roman" w:hAnsi="Times New Roman" w:cs="Times New Roman"/>
            <w:color w:val="EE0000"/>
            <w:sz w:val="24"/>
            <w:szCs w:val="24"/>
            <w:highlight w:val="yellow"/>
          </w:rPr>
          <w:t>https://doi.org/10.30935/cedtech/16168</w:t>
        </w:r>
      </w:hyperlink>
    </w:p>
    <w:p w14:paraId="7B3D4B0B"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color w:val="EE0000"/>
          <w:sz w:val="24"/>
          <w:szCs w:val="24"/>
        </w:rPr>
      </w:pPr>
      <w:r w:rsidRPr="00BD69E5">
        <w:rPr>
          <w:rFonts w:ascii="Times New Roman" w:hAnsi="Times New Roman" w:cs="Times New Roman"/>
          <w:color w:val="EE0000"/>
          <w:sz w:val="24"/>
          <w:szCs w:val="24"/>
          <w:highlight w:val="yellow"/>
        </w:rPr>
        <w:t xml:space="preserve">Gunjan. (2025). Utilization of SWAYAM MOOCs by teacher education students: An analysis of awareness, attitudes, and barriers. </w:t>
      </w:r>
      <w:r w:rsidRPr="00BD69E5">
        <w:rPr>
          <w:rFonts w:ascii="Times New Roman" w:hAnsi="Times New Roman" w:cs="Times New Roman"/>
          <w:i/>
          <w:iCs/>
          <w:color w:val="EE0000"/>
          <w:sz w:val="24"/>
          <w:szCs w:val="24"/>
          <w:highlight w:val="yellow"/>
        </w:rPr>
        <w:t>International Journal of Novel Research and Development, 10</w:t>
      </w:r>
      <w:r w:rsidRPr="00BD69E5">
        <w:rPr>
          <w:rFonts w:ascii="Times New Roman" w:hAnsi="Times New Roman" w:cs="Times New Roman"/>
          <w:color w:val="EE0000"/>
          <w:sz w:val="24"/>
          <w:szCs w:val="24"/>
          <w:highlight w:val="yellow"/>
        </w:rPr>
        <w:t xml:space="preserve">(5), e398–e405. </w:t>
      </w:r>
      <w:hyperlink r:id="rId12" w:tgtFrame="_new" w:history="1">
        <w:r w:rsidRPr="00BD69E5">
          <w:rPr>
            <w:rStyle w:val="Hyperlink"/>
            <w:rFonts w:ascii="Times New Roman" w:hAnsi="Times New Roman" w:cs="Times New Roman"/>
            <w:color w:val="EE0000"/>
            <w:sz w:val="24"/>
            <w:szCs w:val="24"/>
            <w:highlight w:val="yellow"/>
          </w:rPr>
          <w:t>https://ijnrd.org/papers/IJNRD2505438.pdf</w:t>
        </w:r>
      </w:hyperlink>
    </w:p>
    <w:p w14:paraId="7974EFD6"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r w:rsidRPr="00BD69E5">
        <w:rPr>
          <w:rFonts w:ascii="Times New Roman" w:hAnsi="Times New Roman" w:cs="Times New Roman"/>
          <w:sz w:val="24"/>
          <w:szCs w:val="24"/>
        </w:rPr>
        <w:t xml:space="preserve">Ibrahim, N. H., </w:t>
      </w:r>
      <w:proofErr w:type="spellStart"/>
      <w:r w:rsidRPr="00BD69E5">
        <w:rPr>
          <w:rFonts w:ascii="Times New Roman" w:hAnsi="Times New Roman" w:cs="Times New Roman"/>
          <w:sz w:val="24"/>
          <w:szCs w:val="24"/>
        </w:rPr>
        <w:t>Masran</w:t>
      </w:r>
      <w:proofErr w:type="spellEnd"/>
      <w:r w:rsidRPr="00BD69E5">
        <w:rPr>
          <w:rFonts w:ascii="Times New Roman" w:hAnsi="Times New Roman" w:cs="Times New Roman"/>
          <w:sz w:val="24"/>
          <w:szCs w:val="24"/>
        </w:rPr>
        <w:t xml:space="preserve">, M. N., &amp; Rahim, I. N. A. (2020). Student perception towards MOOC in study skills class. </w:t>
      </w:r>
      <w:r w:rsidRPr="00BD69E5">
        <w:rPr>
          <w:rFonts w:ascii="Times New Roman" w:hAnsi="Times New Roman" w:cs="Times New Roman"/>
          <w:i/>
          <w:iCs/>
          <w:sz w:val="24"/>
          <w:szCs w:val="24"/>
        </w:rPr>
        <w:t>International Journal of Education and Pedagogy, 2</w:t>
      </w:r>
      <w:r w:rsidRPr="00BD69E5">
        <w:rPr>
          <w:rFonts w:ascii="Times New Roman" w:hAnsi="Times New Roman" w:cs="Times New Roman"/>
          <w:sz w:val="24"/>
          <w:szCs w:val="24"/>
        </w:rPr>
        <w:t>(2), 58–65.</w:t>
      </w:r>
    </w:p>
    <w:p w14:paraId="1621D4EA"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r w:rsidRPr="00BD69E5">
        <w:rPr>
          <w:rFonts w:ascii="Times New Roman" w:hAnsi="Times New Roman" w:cs="Times New Roman"/>
          <w:sz w:val="24"/>
          <w:szCs w:val="24"/>
        </w:rPr>
        <w:t xml:space="preserve">Kasch, J., van Rosmalen, P., Löhr, A., Klemke, R., </w:t>
      </w:r>
      <w:proofErr w:type="spellStart"/>
      <w:r w:rsidRPr="00BD69E5">
        <w:rPr>
          <w:rFonts w:ascii="Times New Roman" w:hAnsi="Times New Roman" w:cs="Times New Roman"/>
          <w:sz w:val="24"/>
          <w:szCs w:val="24"/>
        </w:rPr>
        <w:t>Antonaci</w:t>
      </w:r>
      <w:proofErr w:type="spellEnd"/>
      <w:r w:rsidRPr="00BD69E5">
        <w:rPr>
          <w:rFonts w:ascii="Times New Roman" w:hAnsi="Times New Roman" w:cs="Times New Roman"/>
          <w:sz w:val="24"/>
          <w:szCs w:val="24"/>
        </w:rPr>
        <w:t xml:space="preserve">, A., &amp; </w:t>
      </w:r>
      <w:proofErr w:type="spellStart"/>
      <w:r w:rsidRPr="00BD69E5">
        <w:rPr>
          <w:rFonts w:ascii="Times New Roman" w:hAnsi="Times New Roman" w:cs="Times New Roman"/>
          <w:sz w:val="24"/>
          <w:szCs w:val="24"/>
        </w:rPr>
        <w:t>Kalz</w:t>
      </w:r>
      <w:proofErr w:type="spellEnd"/>
      <w:r w:rsidRPr="00BD69E5">
        <w:rPr>
          <w:rFonts w:ascii="Times New Roman" w:hAnsi="Times New Roman" w:cs="Times New Roman"/>
          <w:sz w:val="24"/>
          <w:szCs w:val="24"/>
        </w:rPr>
        <w:t xml:space="preserve">, M. (2021). Students’ perceptions of the peer-feedback experience in MOOCs. </w:t>
      </w:r>
      <w:r w:rsidRPr="00BD69E5">
        <w:rPr>
          <w:rFonts w:ascii="Times New Roman" w:hAnsi="Times New Roman" w:cs="Times New Roman"/>
          <w:i/>
          <w:iCs/>
          <w:sz w:val="24"/>
          <w:szCs w:val="24"/>
        </w:rPr>
        <w:t>Distance Education, 42</w:t>
      </w:r>
      <w:r w:rsidRPr="00BD69E5">
        <w:rPr>
          <w:rFonts w:ascii="Times New Roman" w:hAnsi="Times New Roman" w:cs="Times New Roman"/>
          <w:sz w:val="24"/>
          <w:szCs w:val="24"/>
        </w:rPr>
        <w:t>(2), 1–19.</w:t>
      </w:r>
    </w:p>
    <w:p w14:paraId="2AF1C557"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r w:rsidRPr="00BD69E5">
        <w:rPr>
          <w:rFonts w:ascii="Times New Roman" w:hAnsi="Times New Roman" w:cs="Times New Roman"/>
          <w:sz w:val="24"/>
          <w:szCs w:val="24"/>
        </w:rPr>
        <w:t>Kumar, J. A., &amp; Al-</w:t>
      </w:r>
      <w:proofErr w:type="spellStart"/>
      <w:r w:rsidRPr="00BD69E5">
        <w:rPr>
          <w:rFonts w:ascii="Times New Roman" w:hAnsi="Times New Roman" w:cs="Times New Roman"/>
          <w:sz w:val="24"/>
          <w:szCs w:val="24"/>
        </w:rPr>
        <w:t>Samarraie</w:t>
      </w:r>
      <w:proofErr w:type="spellEnd"/>
      <w:r w:rsidRPr="00BD69E5">
        <w:rPr>
          <w:rFonts w:ascii="Times New Roman" w:hAnsi="Times New Roman" w:cs="Times New Roman"/>
          <w:sz w:val="24"/>
          <w:szCs w:val="24"/>
        </w:rPr>
        <w:t xml:space="preserve">, H. (2019). An investigation of novice pre-university students’ views towards MOOCs: The case of Malaysia. </w:t>
      </w:r>
      <w:r w:rsidRPr="00BD69E5">
        <w:rPr>
          <w:rFonts w:ascii="Times New Roman" w:hAnsi="Times New Roman" w:cs="Times New Roman"/>
          <w:i/>
          <w:iCs/>
          <w:sz w:val="24"/>
          <w:szCs w:val="24"/>
        </w:rPr>
        <w:t>The Reference Librarian, 60</w:t>
      </w:r>
      <w:r w:rsidRPr="00BD69E5">
        <w:rPr>
          <w:rFonts w:ascii="Times New Roman" w:hAnsi="Times New Roman" w:cs="Times New Roman"/>
          <w:sz w:val="24"/>
          <w:szCs w:val="24"/>
        </w:rPr>
        <w:t>(1), 3–14. https://doi.org/10.1080/02763877.2018.1533928</w:t>
      </w:r>
    </w:p>
    <w:p w14:paraId="182C5427"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r w:rsidRPr="00BD69E5">
        <w:rPr>
          <w:rFonts w:ascii="Times New Roman" w:hAnsi="Times New Roman" w:cs="Times New Roman"/>
          <w:sz w:val="24"/>
          <w:szCs w:val="24"/>
        </w:rPr>
        <w:t xml:space="preserve">Li, Y., Zhang, M., Bonk, C. J., &amp; Guo, Y. (2015). Integrating MOOC and flipped classroom practice in a traditional undergraduate course: Students’ experiences and perceptions. </w:t>
      </w:r>
      <w:r w:rsidRPr="00BD69E5">
        <w:rPr>
          <w:rFonts w:ascii="Times New Roman" w:hAnsi="Times New Roman" w:cs="Times New Roman"/>
          <w:i/>
          <w:iCs/>
          <w:sz w:val="24"/>
          <w:szCs w:val="24"/>
        </w:rPr>
        <w:t>International Journal of Emerging Technologies in Learning, 10</w:t>
      </w:r>
      <w:r w:rsidRPr="00BD69E5">
        <w:rPr>
          <w:rFonts w:ascii="Times New Roman" w:hAnsi="Times New Roman" w:cs="Times New Roman"/>
          <w:sz w:val="24"/>
          <w:szCs w:val="24"/>
        </w:rPr>
        <w:t>(6), 4–10.</w:t>
      </w:r>
    </w:p>
    <w:p w14:paraId="77A522D3"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r w:rsidRPr="00BD69E5">
        <w:rPr>
          <w:rFonts w:ascii="Times New Roman" w:hAnsi="Times New Roman" w:cs="Times New Roman"/>
          <w:sz w:val="24"/>
          <w:szCs w:val="24"/>
        </w:rPr>
        <w:t xml:space="preserve">Majid, F. A., Kamarudin, R., &amp; Zamin, A. A. M. (2019). Postgraduate students’ perception of massive open online courses (MOOCs) in enhancing their learning experience. </w:t>
      </w:r>
      <w:r w:rsidRPr="00BD69E5">
        <w:rPr>
          <w:rFonts w:ascii="Times New Roman" w:hAnsi="Times New Roman" w:cs="Times New Roman"/>
          <w:i/>
          <w:iCs/>
          <w:sz w:val="24"/>
          <w:szCs w:val="24"/>
        </w:rPr>
        <w:t>International Journal of Education &amp; Literacy Studies, 7</w:t>
      </w:r>
      <w:r w:rsidRPr="00BD69E5">
        <w:rPr>
          <w:rFonts w:ascii="Times New Roman" w:hAnsi="Times New Roman" w:cs="Times New Roman"/>
          <w:sz w:val="24"/>
          <w:szCs w:val="24"/>
        </w:rPr>
        <w:t>(4), 101–105.</w:t>
      </w:r>
    </w:p>
    <w:p w14:paraId="1535DD82"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color w:val="EE0000"/>
          <w:sz w:val="24"/>
          <w:szCs w:val="24"/>
        </w:rPr>
      </w:pPr>
      <w:r w:rsidRPr="00BD69E5">
        <w:rPr>
          <w:rFonts w:ascii="Times New Roman" w:hAnsi="Times New Roman" w:cs="Times New Roman"/>
          <w:color w:val="EE0000"/>
          <w:sz w:val="24"/>
          <w:szCs w:val="24"/>
          <w:highlight w:val="yellow"/>
        </w:rPr>
        <w:t xml:space="preserve">Muniyandi, M., Devaki, N., &amp; </w:t>
      </w:r>
      <w:proofErr w:type="spellStart"/>
      <w:r w:rsidRPr="00BD69E5">
        <w:rPr>
          <w:rFonts w:ascii="Times New Roman" w:hAnsi="Times New Roman" w:cs="Times New Roman"/>
          <w:color w:val="EE0000"/>
          <w:sz w:val="24"/>
          <w:szCs w:val="24"/>
          <w:highlight w:val="yellow"/>
        </w:rPr>
        <w:t>Nandhinidevi</w:t>
      </w:r>
      <w:proofErr w:type="spellEnd"/>
      <w:r w:rsidRPr="00BD69E5">
        <w:rPr>
          <w:rFonts w:ascii="Times New Roman" w:hAnsi="Times New Roman" w:cs="Times New Roman"/>
          <w:color w:val="EE0000"/>
          <w:sz w:val="24"/>
          <w:szCs w:val="24"/>
          <w:highlight w:val="yellow"/>
        </w:rPr>
        <w:t xml:space="preserve">, R. (2024). Awareness and barriers of SWAYAM courses (MOOCs) among prospective teachers in </w:t>
      </w:r>
      <w:proofErr w:type="spellStart"/>
      <w:r w:rsidRPr="00BD69E5">
        <w:rPr>
          <w:rFonts w:ascii="Times New Roman" w:hAnsi="Times New Roman" w:cs="Times New Roman"/>
          <w:color w:val="EE0000"/>
          <w:sz w:val="24"/>
          <w:szCs w:val="24"/>
          <w:highlight w:val="yellow"/>
        </w:rPr>
        <w:t>Dindigul</w:t>
      </w:r>
      <w:proofErr w:type="spellEnd"/>
      <w:r w:rsidRPr="00BD69E5">
        <w:rPr>
          <w:rFonts w:ascii="Times New Roman" w:hAnsi="Times New Roman" w:cs="Times New Roman"/>
          <w:color w:val="EE0000"/>
          <w:sz w:val="24"/>
          <w:szCs w:val="24"/>
          <w:highlight w:val="yellow"/>
        </w:rPr>
        <w:t xml:space="preserve"> District, Tamil Nadu, India. </w:t>
      </w:r>
      <w:r w:rsidRPr="00BD69E5">
        <w:rPr>
          <w:rFonts w:ascii="Times New Roman" w:hAnsi="Times New Roman" w:cs="Times New Roman"/>
          <w:i/>
          <w:iCs/>
          <w:color w:val="EE0000"/>
          <w:sz w:val="24"/>
          <w:szCs w:val="24"/>
          <w:highlight w:val="yellow"/>
        </w:rPr>
        <w:t>International Journal of Educational Sciences, 44</w:t>
      </w:r>
      <w:r w:rsidRPr="00BD69E5">
        <w:rPr>
          <w:rFonts w:ascii="Times New Roman" w:hAnsi="Times New Roman" w:cs="Times New Roman"/>
          <w:color w:val="EE0000"/>
          <w:sz w:val="24"/>
          <w:szCs w:val="24"/>
          <w:highlight w:val="yellow"/>
        </w:rPr>
        <w:t xml:space="preserve">(1–3), 15–22. </w:t>
      </w:r>
      <w:hyperlink r:id="rId13" w:tgtFrame="_new" w:history="1">
        <w:r w:rsidRPr="00BD69E5">
          <w:rPr>
            <w:rStyle w:val="Hyperlink"/>
            <w:rFonts w:ascii="Times New Roman" w:hAnsi="Times New Roman" w:cs="Times New Roman"/>
            <w:color w:val="EE0000"/>
            <w:sz w:val="24"/>
            <w:szCs w:val="24"/>
            <w:highlight w:val="yellow"/>
          </w:rPr>
          <w:t>https://doi.org/10.31901/24566322.2024/44.1-3.1307</w:t>
        </w:r>
      </w:hyperlink>
    </w:p>
    <w:p w14:paraId="4E7F8A95"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r w:rsidRPr="00BD69E5">
        <w:rPr>
          <w:rFonts w:ascii="Times New Roman" w:hAnsi="Times New Roman" w:cs="Times New Roman"/>
          <w:sz w:val="24"/>
          <w:szCs w:val="24"/>
        </w:rPr>
        <w:t xml:space="preserve">N. A., </w:t>
      </w:r>
      <w:proofErr w:type="spellStart"/>
      <w:r w:rsidRPr="00BD69E5">
        <w:rPr>
          <w:rFonts w:ascii="Times New Roman" w:hAnsi="Times New Roman" w:cs="Times New Roman"/>
          <w:sz w:val="24"/>
          <w:szCs w:val="24"/>
        </w:rPr>
        <w:t>Kulal</w:t>
      </w:r>
      <w:proofErr w:type="spellEnd"/>
      <w:r w:rsidRPr="00BD69E5">
        <w:rPr>
          <w:rFonts w:ascii="Times New Roman" w:hAnsi="Times New Roman" w:cs="Times New Roman"/>
          <w:sz w:val="24"/>
          <w:szCs w:val="24"/>
        </w:rPr>
        <w:t xml:space="preserve">, A., M. S. D., &amp; Dinesh, S. (2023). Effectiveness of MOOCs on learning efficiency of students: A perception study. </w:t>
      </w:r>
      <w:r w:rsidRPr="00BD69E5">
        <w:rPr>
          <w:rFonts w:ascii="Times New Roman" w:hAnsi="Times New Roman" w:cs="Times New Roman"/>
          <w:i/>
          <w:iCs/>
          <w:sz w:val="24"/>
          <w:szCs w:val="24"/>
        </w:rPr>
        <w:t>Journal of Research in Innovative Teaching and Learning.</w:t>
      </w:r>
      <w:r w:rsidRPr="00BD69E5">
        <w:rPr>
          <w:rFonts w:ascii="Times New Roman" w:hAnsi="Times New Roman" w:cs="Times New Roman"/>
          <w:sz w:val="24"/>
          <w:szCs w:val="24"/>
        </w:rPr>
        <w:t xml:space="preserve"> https://doi.org/10.1108/JRIT-10-2022-0060</w:t>
      </w:r>
    </w:p>
    <w:p w14:paraId="0DF4657A"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r w:rsidRPr="00BD69E5">
        <w:rPr>
          <w:rFonts w:ascii="Times New Roman" w:hAnsi="Times New Roman" w:cs="Times New Roman"/>
          <w:sz w:val="24"/>
          <w:szCs w:val="24"/>
        </w:rPr>
        <w:t xml:space="preserve">Patwardhan, A. A., &amp; Yadav, A. K. S. (2022). An empirical study of faculty perceptions of massive open online courses (MOOCs). </w:t>
      </w:r>
      <w:r w:rsidRPr="00BD69E5">
        <w:rPr>
          <w:rFonts w:ascii="Times New Roman" w:hAnsi="Times New Roman" w:cs="Times New Roman"/>
          <w:i/>
          <w:iCs/>
          <w:sz w:val="24"/>
          <w:szCs w:val="24"/>
        </w:rPr>
        <w:t>Library Waves, 8</w:t>
      </w:r>
      <w:r w:rsidRPr="00BD69E5">
        <w:rPr>
          <w:rFonts w:ascii="Times New Roman" w:hAnsi="Times New Roman" w:cs="Times New Roman"/>
          <w:sz w:val="24"/>
          <w:szCs w:val="24"/>
        </w:rPr>
        <w:t>(2), 78–94.</w:t>
      </w:r>
    </w:p>
    <w:p w14:paraId="73E5A9A5"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r w:rsidRPr="00BD69E5">
        <w:rPr>
          <w:rFonts w:ascii="Times New Roman" w:hAnsi="Times New Roman" w:cs="Times New Roman"/>
          <w:sz w:val="24"/>
          <w:szCs w:val="24"/>
        </w:rPr>
        <w:t xml:space="preserve">Smestad, B., Hatlevik, O. E., Johannesen, M., &amp; </w:t>
      </w:r>
      <w:proofErr w:type="spellStart"/>
      <w:r w:rsidRPr="00BD69E5">
        <w:rPr>
          <w:rFonts w:ascii="Times New Roman" w:hAnsi="Times New Roman" w:cs="Times New Roman"/>
          <w:sz w:val="24"/>
          <w:szCs w:val="24"/>
        </w:rPr>
        <w:t>Øgrim</w:t>
      </w:r>
      <w:proofErr w:type="spellEnd"/>
      <w:r w:rsidRPr="00BD69E5">
        <w:rPr>
          <w:rFonts w:ascii="Times New Roman" w:hAnsi="Times New Roman" w:cs="Times New Roman"/>
          <w:sz w:val="24"/>
          <w:szCs w:val="24"/>
        </w:rPr>
        <w:t xml:space="preserve">, L. (2023). Examining dimensions of teachers’ digital competence: A systematic review pre- and during COVID-19. </w:t>
      </w:r>
      <w:proofErr w:type="spellStart"/>
      <w:r w:rsidRPr="00BD69E5">
        <w:rPr>
          <w:rFonts w:ascii="Times New Roman" w:hAnsi="Times New Roman" w:cs="Times New Roman"/>
          <w:i/>
          <w:iCs/>
          <w:sz w:val="24"/>
          <w:szCs w:val="24"/>
        </w:rPr>
        <w:t>Heliyon</w:t>
      </w:r>
      <w:proofErr w:type="spellEnd"/>
      <w:r w:rsidRPr="00BD69E5">
        <w:rPr>
          <w:rFonts w:ascii="Times New Roman" w:hAnsi="Times New Roman" w:cs="Times New Roman"/>
          <w:i/>
          <w:iCs/>
          <w:sz w:val="24"/>
          <w:szCs w:val="24"/>
        </w:rPr>
        <w:t>, 9</w:t>
      </w:r>
      <w:r w:rsidRPr="00BD69E5">
        <w:rPr>
          <w:rFonts w:ascii="Times New Roman" w:hAnsi="Times New Roman" w:cs="Times New Roman"/>
          <w:sz w:val="24"/>
          <w:szCs w:val="24"/>
        </w:rPr>
        <w:t xml:space="preserve">(6), e16677. </w:t>
      </w:r>
      <w:hyperlink r:id="rId14" w:tgtFrame="_new" w:history="1">
        <w:r w:rsidRPr="00BD69E5">
          <w:rPr>
            <w:rStyle w:val="Hyperlink"/>
            <w:rFonts w:ascii="Times New Roman" w:hAnsi="Times New Roman" w:cs="Times New Roman"/>
            <w:sz w:val="24"/>
            <w:szCs w:val="24"/>
          </w:rPr>
          <w:t>https://doi.org/10.1016/j.heliyon.2023.e16677</w:t>
        </w:r>
      </w:hyperlink>
    </w:p>
    <w:p w14:paraId="4CAA2536" w14:textId="77777777" w:rsidR="00765C67" w:rsidRPr="00BD69E5" w:rsidRDefault="00765C67" w:rsidP="00BD69E5">
      <w:pPr>
        <w:pStyle w:val="ListParagraph"/>
        <w:numPr>
          <w:ilvl w:val="0"/>
          <w:numId w:val="13"/>
        </w:numPr>
        <w:spacing w:line="240" w:lineRule="auto"/>
        <w:jc w:val="both"/>
        <w:rPr>
          <w:rFonts w:ascii="Times New Roman" w:hAnsi="Times New Roman" w:cs="Times New Roman"/>
          <w:sz w:val="24"/>
          <w:szCs w:val="24"/>
        </w:rPr>
      </w:pPr>
      <w:proofErr w:type="spellStart"/>
      <w:r w:rsidRPr="00BD69E5">
        <w:rPr>
          <w:rFonts w:ascii="Times New Roman" w:hAnsi="Times New Roman" w:cs="Times New Roman"/>
          <w:sz w:val="24"/>
          <w:szCs w:val="24"/>
        </w:rPr>
        <w:lastRenderedPageBreak/>
        <w:t>Sukhbaataar</w:t>
      </w:r>
      <w:proofErr w:type="spellEnd"/>
      <w:r w:rsidRPr="00BD69E5">
        <w:rPr>
          <w:rFonts w:ascii="Times New Roman" w:hAnsi="Times New Roman" w:cs="Times New Roman"/>
          <w:sz w:val="24"/>
          <w:szCs w:val="24"/>
        </w:rPr>
        <w:t xml:space="preserve">, O., </w:t>
      </w:r>
      <w:proofErr w:type="spellStart"/>
      <w:r w:rsidRPr="00BD69E5">
        <w:rPr>
          <w:rFonts w:ascii="Times New Roman" w:hAnsi="Times New Roman" w:cs="Times New Roman"/>
          <w:sz w:val="24"/>
          <w:szCs w:val="24"/>
        </w:rPr>
        <w:t>Choimaa</w:t>
      </w:r>
      <w:proofErr w:type="spellEnd"/>
      <w:r w:rsidRPr="00BD69E5">
        <w:rPr>
          <w:rFonts w:ascii="Times New Roman" w:hAnsi="Times New Roman" w:cs="Times New Roman"/>
          <w:sz w:val="24"/>
          <w:szCs w:val="24"/>
        </w:rPr>
        <w:t xml:space="preserve">, L., &amp; </w:t>
      </w:r>
      <w:proofErr w:type="spellStart"/>
      <w:r w:rsidRPr="00BD69E5">
        <w:rPr>
          <w:rFonts w:ascii="Times New Roman" w:hAnsi="Times New Roman" w:cs="Times New Roman"/>
          <w:sz w:val="24"/>
          <w:szCs w:val="24"/>
        </w:rPr>
        <w:t>Usagawa</w:t>
      </w:r>
      <w:proofErr w:type="spellEnd"/>
      <w:r w:rsidRPr="00BD69E5">
        <w:rPr>
          <w:rFonts w:ascii="Times New Roman" w:hAnsi="Times New Roman" w:cs="Times New Roman"/>
          <w:sz w:val="24"/>
          <w:szCs w:val="24"/>
        </w:rPr>
        <w:t xml:space="preserve">, T. (2018). Students’ perception and experience of massive open online courses in Mongolia. </w:t>
      </w:r>
      <w:r w:rsidRPr="00BD69E5">
        <w:rPr>
          <w:rFonts w:ascii="Times New Roman" w:hAnsi="Times New Roman" w:cs="Times New Roman"/>
          <w:i/>
          <w:iCs/>
          <w:sz w:val="24"/>
          <w:szCs w:val="24"/>
        </w:rPr>
        <w:t>Creative Education, 9</w:t>
      </w:r>
      <w:r w:rsidRPr="00BD69E5">
        <w:rPr>
          <w:rFonts w:ascii="Times New Roman" w:hAnsi="Times New Roman" w:cs="Times New Roman"/>
          <w:sz w:val="24"/>
          <w:szCs w:val="24"/>
        </w:rPr>
        <w:t>, 1818–1828. https://doi.org/10.4236/ce.2018.911132</w:t>
      </w:r>
    </w:p>
    <w:p w14:paraId="4B18E26E" w14:textId="1F7F3275" w:rsidR="00191783" w:rsidRDefault="00191783" w:rsidP="00765C67">
      <w:pPr>
        <w:spacing w:line="240" w:lineRule="auto"/>
        <w:ind w:left="720" w:hanging="720"/>
        <w:jc w:val="both"/>
        <w:rPr>
          <w:rFonts w:ascii="Times New Roman" w:hAnsi="Times New Roman" w:cs="Times New Roman"/>
          <w:sz w:val="24"/>
          <w:szCs w:val="24"/>
        </w:rPr>
      </w:pPr>
    </w:p>
    <w:sectPr w:rsidR="00191783">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24948" w14:textId="77777777" w:rsidR="00C97777" w:rsidRDefault="00C97777" w:rsidP="00D209EF">
      <w:pPr>
        <w:spacing w:after="0" w:line="240" w:lineRule="auto"/>
      </w:pPr>
      <w:r>
        <w:separator/>
      </w:r>
    </w:p>
  </w:endnote>
  <w:endnote w:type="continuationSeparator" w:id="0">
    <w:p w14:paraId="713B6F33" w14:textId="77777777" w:rsidR="00C97777" w:rsidRDefault="00C97777" w:rsidP="00D2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DC297" w14:textId="77777777" w:rsidR="00C97777" w:rsidRDefault="00C97777" w:rsidP="00D209EF">
      <w:pPr>
        <w:spacing w:after="0" w:line="240" w:lineRule="auto"/>
      </w:pPr>
      <w:r>
        <w:separator/>
      </w:r>
    </w:p>
  </w:footnote>
  <w:footnote w:type="continuationSeparator" w:id="0">
    <w:p w14:paraId="7EAA9AA6" w14:textId="77777777" w:rsidR="00C97777" w:rsidRDefault="00C97777" w:rsidP="00D2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446E" w14:textId="145F3B2F" w:rsidR="00D209EF" w:rsidRDefault="00840B8F">
    <w:pPr>
      <w:pStyle w:val="Header"/>
    </w:pPr>
    <w:r>
      <w:rPr>
        <w:noProof/>
      </w:rPr>
      <mc:AlternateContent>
        <mc:Choice Requires="wps">
          <w:drawing>
            <wp:anchor distT="0" distB="0" distL="114300" distR="114300" simplePos="0" relativeHeight="251657216" behindDoc="1" locked="0" layoutInCell="0" allowOverlap="1" wp14:anchorId="11A3E5D7" wp14:editId="6F7FC96D">
              <wp:simplePos x="0" y="0"/>
              <wp:positionH relativeFrom="margin">
                <wp:align>center</wp:align>
              </wp:positionH>
              <wp:positionV relativeFrom="margin">
                <wp:align>center</wp:align>
              </wp:positionV>
              <wp:extent cx="6798310" cy="1282065"/>
              <wp:effectExtent l="0" t="2105025" r="0" b="1861185"/>
              <wp:wrapNone/>
              <wp:docPr id="756501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609FB6" w14:textId="77777777" w:rsidR="00840B8F" w:rsidRDefault="00840B8F" w:rsidP="00840B8F">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A3E5D7" id="_x0000_t202" coordsize="21600,21600" o:spt="202" path="m,l,21600r21600,l21600,xe">
              <v:stroke joinstyle="miter"/>
              <v:path gradientshapeok="t" o:connecttype="rect"/>
            </v:shapetype>
            <v:shape id="_x0000_s1027" type="#_x0000_t202" style="position:absolute;margin-left:0;margin-top:0;width:535.3pt;height:100.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" o:allowincell="f" filled="f" stroked="f">
              <v:stroke joinstyle="round"/>
              <o:lock v:ext="edit" shapetype="t"/>
              <v:textbox style="mso-fit-shape-to-text:t">
                <w:txbxContent>
                  <w:p w14:paraId="21609FB6" w14:textId="77777777" w:rsidR="00840B8F" w:rsidRDefault="00840B8F" w:rsidP="00840B8F">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A230" w14:textId="0BABF571" w:rsidR="00B65912" w:rsidRPr="00B65912" w:rsidRDefault="00B65912" w:rsidP="00B65912">
    <w:pPr>
      <w:pStyle w:val="Header"/>
      <w:jc w:val="right"/>
      <w:rPr>
        <w:rFonts w:ascii="Times New Roman" w:hAnsi="Times New Roman" w:cs="Times New Roman"/>
        <w:b/>
        <w:bCs/>
        <w:sz w:val="24"/>
        <w:szCs w:val="24"/>
      </w:rPr>
    </w:pPr>
    <w:r w:rsidRPr="00B65912">
      <w:rPr>
        <w:rFonts w:ascii="Times New Roman" w:hAnsi="Times New Roman" w:cs="Times New Roman"/>
        <w:b/>
        <w:bCs/>
        <w:sz w:val="24"/>
        <w:szCs w:val="24"/>
      </w:rPr>
      <w:t>Original Research Article</w:t>
    </w:r>
  </w:p>
  <w:p w14:paraId="1E2CD358" w14:textId="12FA0B1A" w:rsidR="00D209EF" w:rsidRDefault="00D20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04A4" w14:textId="4DC526F8" w:rsidR="00D209EF" w:rsidRDefault="00C97777">
    <w:pPr>
      <w:pStyle w:val="Header"/>
    </w:pPr>
    <w:r>
      <w:rPr>
        <w:noProof/>
      </w:rPr>
      <w:pict w14:anchorId="7056D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F25"/>
    <w:multiLevelType w:val="hybridMultilevel"/>
    <w:tmpl w:val="314CAFAE"/>
    <w:lvl w:ilvl="0" w:tplc="5DF4B2A6">
      <w:start w:val="1"/>
      <w:numFmt w:val="lowerLetter"/>
      <w:lvlText w:val="%1)"/>
      <w:lvlJc w:val="left"/>
      <w:pPr>
        <w:ind w:left="501" w:hanging="360"/>
      </w:pPr>
      <w:rPr>
        <w:rFonts w:hint="default"/>
        <w:b/>
        <w:i/>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 w15:restartNumberingAfterBreak="0">
    <w:nsid w:val="1EB537BE"/>
    <w:multiLevelType w:val="multilevel"/>
    <w:tmpl w:val="677E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F679B"/>
    <w:multiLevelType w:val="multilevel"/>
    <w:tmpl w:val="F86AB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62689"/>
    <w:multiLevelType w:val="multilevel"/>
    <w:tmpl w:val="051C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D510A"/>
    <w:multiLevelType w:val="hybridMultilevel"/>
    <w:tmpl w:val="40F20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1991D6B"/>
    <w:multiLevelType w:val="hybridMultilevel"/>
    <w:tmpl w:val="98F6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23FBF"/>
    <w:multiLevelType w:val="multilevel"/>
    <w:tmpl w:val="9386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B527B"/>
    <w:multiLevelType w:val="multilevel"/>
    <w:tmpl w:val="DCBC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F435C"/>
    <w:multiLevelType w:val="hybridMultilevel"/>
    <w:tmpl w:val="D81664D8"/>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9" w15:restartNumberingAfterBreak="0">
    <w:nsid w:val="6B8D4B77"/>
    <w:multiLevelType w:val="hybridMultilevel"/>
    <w:tmpl w:val="3D102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DC868EA"/>
    <w:multiLevelType w:val="hybridMultilevel"/>
    <w:tmpl w:val="8AD8013E"/>
    <w:lvl w:ilvl="0" w:tplc="F3F24AE8">
      <w:start w:val="1"/>
      <w:numFmt w:val="decimal"/>
      <w:lvlText w:val="%1."/>
      <w:lvlJc w:val="left"/>
      <w:pPr>
        <w:ind w:left="360" w:hanging="360"/>
      </w:pPr>
      <w:rPr>
        <w:rFonts w:hint="default"/>
        <w:b w:val="0"/>
        <w:b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74232423"/>
    <w:multiLevelType w:val="multilevel"/>
    <w:tmpl w:val="3C5890A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67589C"/>
    <w:multiLevelType w:val="multilevel"/>
    <w:tmpl w:val="267484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10"/>
  </w:num>
  <w:num w:numId="3">
    <w:abstractNumId w:val="11"/>
  </w:num>
  <w:num w:numId="4">
    <w:abstractNumId w:val="0"/>
  </w:num>
  <w:num w:numId="5">
    <w:abstractNumId w:val="12"/>
  </w:num>
  <w:num w:numId="6">
    <w:abstractNumId w:val="3"/>
  </w:num>
  <w:num w:numId="7">
    <w:abstractNumId w:val="6"/>
  </w:num>
  <w:num w:numId="8">
    <w:abstractNumId w:val="7"/>
  </w:num>
  <w:num w:numId="9">
    <w:abstractNumId w:val="2"/>
  </w:num>
  <w:num w:numId="10">
    <w:abstractNumId w:val="4"/>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28"/>
    <w:rsid w:val="00043470"/>
    <w:rsid w:val="000642B7"/>
    <w:rsid w:val="00084FB2"/>
    <w:rsid w:val="00085353"/>
    <w:rsid w:val="00085FD9"/>
    <w:rsid w:val="00086D26"/>
    <w:rsid w:val="00093279"/>
    <w:rsid w:val="00096D73"/>
    <w:rsid w:val="00104CA7"/>
    <w:rsid w:val="001173F5"/>
    <w:rsid w:val="001228EB"/>
    <w:rsid w:val="0013123B"/>
    <w:rsid w:val="00135CF8"/>
    <w:rsid w:val="00155446"/>
    <w:rsid w:val="00156CC1"/>
    <w:rsid w:val="001719D4"/>
    <w:rsid w:val="00191783"/>
    <w:rsid w:val="00194D27"/>
    <w:rsid w:val="001A789E"/>
    <w:rsid w:val="001B7090"/>
    <w:rsid w:val="001C7CF7"/>
    <w:rsid w:val="001E61D9"/>
    <w:rsid w:val="00233A17"/>
    <w:rsid w:val="002516FF"/>
    <w:rsid w:val="002612AE"/>
    <w:rsid w:val="00275E42"/>
    <w:rsid w:val="00276B6A"/>
    <w:rsid w:val="00281CB5"/>
    <w:rsid w:val="0029720D"/>
    <w:rsid w:val="002F4B86"/>
    <w:rsid w:val="00310160"/>
    <w:rsid w:val="00317CDE"/>
    <w:rsid w:val="00330152"/>
    <w:rsid w:val="00331FED"/>
    <w:rsid w:val="003342AE"/>
    <w:rsid w:val="00386376"/>
    <w:rsid w:val="00391629"/>
    <w:rsid w:val="003937CB"/>
    <w:rsid w:val="003A00F9"/>
    <w:rsid w:val="003A3D5D"/>
    <w:rsid w:val="003B2D1C"/>
    <w:rsid w:val="003C5E00"/>
    <w:rsid w:val="003F4013"/>
    <w:rsid w:val="00417EC1"/>
    <w:rsid w:val="0045037C"/>
    <w:rsid w:val="00460628"/>
    <w:rsid w:val="004C0D06"/>
    <w:rsid w:val="004F407F"/>
    <w:rsid w:val="005379BD"/>
    <w:rsid w:val="00542FDE"/>
    <w:rsid w:val="00546E6D"/>
    <w:rsid w:val="005720A2"/>
    <w:rsid w:val="005721E5"/>
    <w:rsid w:val="00575F5F"/>
    <w:rsid w:val="005B03B0"/>
    <w:rsid w:val="005B2164"/>
    <w:rsid w:val="005C6159"/>
    <w:rsid w:val="005C7694"/>
    <w:rsid w:val="005D272A"/>
    <w:rsid w:val="005E5AE9"/>
    <w:rsid w:val="006172B5"/>
    <w:rsid w:val="00634DFA"/>
    <w:rsid w:val="00635B0D"/>
    <w:rsid w:val="006700C6"/>
    <w:rsid w:val="00687180"/>
    <w:rsid w:val="006A555B"/>
    <w:rsid w:val="006B2802"/>
    <w:rsid w:val="006B2B79"/>
    <w:rsid w:val="006C2791"/>
    <w:rsid w:val="006C2D3A"/>
    <w:rsid w:val="006D571B"/>
    <w:rsid w:val="006F3603"/>
    <w:rsid w:val="00711A8C"/>
    <w:rsid w:val="00713D21"/>
    <w:rsid w:val="00735DCA"/>
    <w:rsid w:val="00765C67"/>
    <w:rsid w:val="0077680B"/>
    <w:rsid w:val="007C49E3"/>
    <w:rsid w:val="007C5D81"/>
    <w:rsid w:val="007D67F9"/>
    <w:rsid w:val="007E7159"/>
    <w:rsid w:val="007E7319"/>
    <w:rsid w:val="00811A42"/>
    <w:rsid w:val="008130A1"/>
    <w:rsid w:val="00816D5E"/>
    <w:rsid w:val="00817949"/>
    <w:rsid w:val="00840B8F"/>
    <w:rsid w:val="0085126B"/>
    <w:rsid w:val="00862BD0"/>
    <w:rsid w:val="00863487"/>
    <w:rsid w:val="00887E9B"/>
    <w:rsid w:val="008A2881"/>
    <w:rsid w:val="008A7CD9"/>
    <w:rsid w:val="008C10BB"/>
    <w:rsid w:val="008D53D8"/>
    <w:rsid w:val="008F3074"/>
    <w:rsid w:val="00906C4E"/>
    <w:rsid w:val="0095226B"/>
    <w:rsid w:val="00954B7E"/>
    <w:rsid w:val="00957577"/>
    <w:rsid w:val="00966918"/>
    <w:rsid w:val="009875B4"/>
    <w:rsid w:val="009A2CF4"/>
    <w:rsid w:val="009F411F"/>
    <w:rsid w:val="009F4636"/>
    <w:rsid w:val="00A422AB"/>
    <w:rsid w:val="00A6387B"/>
    <w:rsid w:val="00AC0305"/>
    <w:rsid w:val="00AD1D5A"/>
    <w:rsid w:val="00B06A7F"/>
    <w:rsid w:val="00B22A90"/>
    <w:rsid w:val="00B44662"/>
    <w:rsid w:val="00B46289"/>
    <w:rsid w:val="00B54352"/>
    <w:rsid w:val="00B65912"/>
    <w:rsid w:val="00B673A0"/>
    <w:rsid w:val="00B71607"/>
    <w:rsid w:val="00BD677D"/>
    <w:rsid w:val="00BD69E5"/>
    <w:rsid w:val="00BE7052"/>
    <w:rsid w:val="00BF412E"/>
    <w:rsid w:val="00BF6033"/>
    <w:rsid w:val="00C024D3"/>
    <w:rsid w:val="00C22BF2"/>
    <w:rsid w:val="00C9039E"/>
    <w:rsid w:val="00C97777"/>
    <w:rsid w:val="00C97C29"/>
    <w:rsid w:val="00CA2327"/>
    <w:rsid w:val="00CA4ED1"/>
    <w:rsid w:val="00CB2B86"/>
    <w:rsid w:val="00CC1E63"/>
    <w:rsid w:val="00CD3676"/>
    <w:rsid w:val="00D209EF"/>
    <w:rsid w:val="00D410A7"/>
    <w:rsid w:val="00D5394C"/>
    <w:rsid w:val="00D73F0E"/>
    <w:rsid w:val="00D750E4"/>
    <w:rsid w:val="00D94A1F"/>
    <w:rsid w:val="00DA2355"/>
    <w:rsid w:val="00DD1509"/>
    <w:rsid w:val="00DE0903"/>
    <w:rsid w:val="00E35599"/>
    <w:rsid w:val="00E37D6F"/>
    <w:rsid w:val="00E53EE8"/>
    <w:rsid w:val="00E55189"/>
    <w:rsid w:val="00E91A75"/>
    <w:rsid w:val="00E96AC2"/>
    <w:rsid w:val="00EA4667"/>
    <w:rsid w:val="00EA5627"/>
    <w:rsid w:val="00EA7E16"/>
    <w:rsid w:val="00EC3BF0"/>
    <w:rsid w:val="00EF5022"/>
    <w:rsid w:val="00F00799"/>
    <w:rsid w:val="00F03074"/>
    <w:rsid w:val="00F40F40"/>
    <w:rsid w:val="00F56D4B"/>
    <w:rsid w:val="00F921C7"/>
    <w:rsid w:val="00FB0995"/>
    <w:rsid w:val="00FD33FA"/>
    <w:rsid w:val="00FE50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F7A29C"/>
  <w15:chartTrackingRefBased/>
  <w15:docId w15:val="{DF61C809-2339-419A-BF28-A7B1167E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628"/>
  </w:style>
  <w:style w:type="paragraph" w:styleId="Heading1">
    <w:name w:val="heading 1"/>
    <w:basedOn w:val="Normal"/>
    <w:next w:val="Normal"/>
    <w:link w:val="Heading1Char"/>
    <w:uiPriority w:val="9"/>
    <w:qFormat/>
    <w:rsid w:val="00460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60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6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6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6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6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606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6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6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6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628"/>
    <w:rPr>
      <w:rFonts w:eastAsiaTheme="majorEastAsia" w:cstheme="majorBidi"/>
      <w:color w:val="272727" w:themeColor="text1" w:themeTint="D8"/>
    </w:rPr>
  </w:style>
  <w:style w:type="paragraph" w:styleId="Title">
    <w:name w:val="Title"/>
    <w:basedOn w:val="Normal"/>
    <w:next w:val="Normal"/>
    <w:link w:val="TitleChar"/>
    <w:uiPriority w:val="10"/>
    <w:qFormat/>
    <w:rsid w:val="00460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628"/>
    <w:pPr>
      <w:spacing w:before="160"/>
      <w:jc w:val="center"/>
    </w:pPr>
    <w:rPr>
      <w:i/>
      <w:iCs/>
      <w:color w:val="404040" w:themeColor="text1" w:themeTint="BF"/>
    </w:rPr>
  </w:style>
  <w:style w:type="character" w:customStyle="1" w:styleId="QuoteChar">
    <w:name w:val="Quote Char"/>
    <w:basedOn w:val="DefaultParagraphFont"/>
    <w:link w:val="Quote"/>
    <w:uiPriority w:val="29"/>
    <w:rsid w:val="00460628"/>
    <w:rPr>
      <w:i/>
      <w:iCs/>
      <w:color w:val="404040" w:themeColor="text1" w:themeTint="BF"/>
    </w:rPr>
  </w:style>
  <w:style w:type="paragraph" w:styleId="ListParagraph">
    <w:name w:val="List Paragraph"/>
    <w:basedOn w:val="Normal"/>
    <w:uiPriority w:val="34"/>
    <w:qFormat/>
    <w:rsid w:val="00460628"/>
    <w:pPr>
      <w:ind w:left="720"/>
      <w:contextualSpacing/>
    </w:pPr>
  </w:style>
  <w:style w:type="character" w:styleId="IntenseEmphasis">
    <w:name w:val="Intense Emphasis"/>
    <w:basedOn w:val="DefaultParagraphFont"/>
    <w:uiPriority w:val="21"/>
    <w:qFormat/>
    <w:rsid w:val="00460628"/>
    <w:rPr>
      <w:i/>
      <w:iCs/>
      <w:color w:val="2F5496" w:themeColor="accent1" w:themeShade="BF"/>
    </w:rPr>
  </w:style>
  <w:style w:type="paragraph" w:styleId="IntenseQuote">
    <w:name w:val="Intense Quote"/>
    <w:basedOn w:val="Normal"/>
    <w:next w:val="Normal"/>
    <w:link w:val="IntenseQuoteChar"/>
    <w:uiPriority w:val="30"/>
    <w:qFormat/>
    <w:rsid w:val="00460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628"/>
    <w:rPr>
      <w:i/>
      <w:iCs/>
      <w:color w:val="2F5496" w:themeColor="accent1" w:themeShade="BF"/>
    </w:rPr>
  </w:style>
  <w:style w:type="character" w:styleId="IntenseReference">
    <w:name w:val="Intense Reference"/>
    <w:basedOn w:val="DefaultParagraphFont"/>
    <w:uiPriority w:val="32"/>
    <w:qFormat/>
    <w:rsid w:val="00460628"/>
    <w:rPr>
      <w:b/>
      <w:bCs/>
      <w:smallCaps/>
      <w:color w:val="2F5496" w:themeColor="accent1" w:themeShade="BF"/>
      <w:spacing w:val="5"/>
    </w:rPr>
  </w:style>
  <w:style w:type="character" w:styleId="Hyperlink">
    <w:name w:val="Hyperlink"/>
    <w:basedOn w:val="DefaultParagraphFont"/>
    <w:uiPriority w:val="99"/>
    <w:unhideWhenUsed/>
    <w:rsid w:val="00460628"/>
    <w:rPr>
      <w:color w:val="0563C1" w:themeColor="hyperlink"/>
      <w:u w:val="single"/>
    </w:rPr>
  </w:style>
  <w:style w:type="table" w:styleId="TableGrid">
    <w:name w:val="Table Grid"/>
    <w:basedOn w:val="TableNormal"/>
    <w:uiPriority w:val="59"/>
    <w:rsid w:val="009F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F4636"/>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096D73"/>
    <w:rPr>
      <w:color w:val="605E5C"/>
      <w:shd w:val="clear" w:color="auto" w:fill="E1DFDD"/>
    </w:rPr>
  </w:style>
  <w:style w:type="paragraph" w:styleId="Header">
    <w:name w:val="header"/>
    <w:basedOn w:val="Normal"/>
    <w:link w:val="HeaderChar"/>
    <w:uiPriority w:val="99"/>
    <w:unhideWhenUsed/>
    <w:rsid w:val="00D20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9EF"/>
  </w:style>
  <w:style w:type="paragraph" w:styleId="Footer">
    <w:name w:val="footer"/>
    <w:basedOn w:val="Normal"/>
    <w:link w:val="FooterChar"/>
    <w:uiPriority w:val="99"/>
    <w:unhideWhenUsed/>
    <w:rsid w:val="00D20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69691">
      <w:bodyDiv w:val="1"/>
      <w:marLeft w:val="0"/>
      <w:marRight w:val="0"/>
      <w:marTop w:val="0"/>
      <w:marBottom w:val="0"/>
      <w:divBdr>
        <w:top w:val="none" w:sz="0" w:space="0" w:color="auto"/>
        <w:left w:val="none" w:sz="0" w:space="0" w:color="auto"/>
        <w:bottom w:val="none" w:sz="0" w:space="0" w:color="auto"/>
        <w:right w:val="none" w:sz="0" w:space="0" w:color="auto"/>
      </w:divBdr>
    </w:div>
    <w:div w:id="138040905">
      <w:bodyDiv w:val="1"/>
      <w:marLeft w:val="0"/>
      <w:marRight w:val="0"/>
      <w:marTop w:val="0"/>
      <w:marBottom w:val="0"/>
      <w:divBdr>
        <w:top w:val="none" w:sz="0" w:space="0" w:color="auto"/>
        <w:left w:val="none" w:sz="0" w:space="0" w:color="auto"/>
        <w:bottom w:val="none" w:sz="0" w:space="0" w:color="auto"/>
        <w:right w:val="none" w:sz="0" w:space="0" w:color="auto"/>
      </w:divBdr>
    </w:div>
    <w:div w:id="193659202">
      <w:bodyDiv w:val="1"/>
      <w:marLeft w:val="0"/>
      <w:marRight w:val="0"/>
      <w:marTop w:val="0"/>
      <w:marBottom w:val="0"/>
      <w:divBdr>
        <w:top w:val="none" w:sz="0" w:space="0" w:color="auto"/>
        <w:left w:val="none" w:sz="0" w:space="0" w:color="auto"/>
        <w:bottom w:val="none" w:sz="0" w:space="0" w:color="auto"/>
        <w:right w:val="none" w:sz="0" w:space="0" w:color="auto"/>
      </w:divBdr>
    </w:div>
    <w:div w:id="198396103">
      <w:bodyDiv w:val="1"/>
      <w:marLeft w:val="0"/>
      <w:marRight w:val="0"/>
      <w:marTop w:val="0"/>
      <w:marBottom w:val="0"/>
      <w:divBdr>
        <w:top w:val="none" w:sz="0" w:space="0" w:color="auto"/>
        <w:left w:val="none" w:sz="0" w:space="0" w:color="auto"/>
        <w:bottom w:val="none" w:sz="0" w:space="0" w:color="auto"/>
        <w:right w:val="none" w:sz="0" w:space="0" w:color="auto"/>
      </w:divBdr>
    </w:div>
    <w:div w:id="325714300">
      <w:bodyDiv w:val="1"/>
      <w:marLeft w:val="0"/>
      <w:marRight w:val="0"/>
      <w:marTop w:val="0"/>
      <w:marBottom w:val="0"/>
      <w:divBdr>
        <w:top w:val="none" w:sz="0" w:space="0" w:color="auto"/>
        <w:left w:val="none" w:sz="0" w:space="0" w:color="auto"/>
        <w:bottom w:val="none" w:sz="0" w:space="0" w:color="auto"/>
        <w:right w:val="none" w:sz="0" w:space="0" w:color="auto"/>
      </w:divBdr>
    </w:div>
    <w:div w:id="343094495">
      <w:bodyDiv w:val="1"/>
      <w:marLeft w:val="0"/>
      <w:marRight w:val="0"/>
      <w:marTop w:val="0"/>
      <w:marBottom w:val="0"/>
      <w:divBdr>
        <w:top w:val="none" w:sz="0" w:space="0" w:color="auto"/>
        <w:left w:val="none" w:sz="0" w:space="0" w:color="auto"/>
        <w:bottom w:val="none" w:sz="0" w:space="0" w:color="auto"/>
        <w:right w:val="none" w:sz="0" w:space="0" w:color="auto"/>
      </w:divBdr>
    </w:div>
    <w:div w:id="351302789">
      <w:bodyDiv w:val="1"/>
      <w:marLeft w:val="0"/>
      <w:marRight w:val="0"/>
      <w:marTop w:val="0"/>
      <w:marBottom w:val="0"/>
      <w:divBdr>
        <w:top w:val="none" w:sz="0" w:space="0" w:color="auto"/>
        <w:left w:val="none" w:sz="0" w:space="0" w:color="auto"/>
        <w:bottom w:val="none" w:sz="0" w:space="0" w:color="auto"/>
        <w:right w:val="none" w:sz="0" w:space="0" w:color="auto"/>
      </w:divBdr>
      <w:divsChild>
        <w:div w:id="1986549333">
          <w:marLeft w:val="0"/>
          <w:marRight w:val="0"/>
          <w:marTop w:val="0"/>
          <w:marBottom w:val="0"/>
          <w:divBdr>
            <w:top w:val="none" w:sz="0" w:space="0" w:color="auto"/>
            <w:left w:val="none" w:sz="0" w:space="0" w:color="auto"/>
            <w:bottom w:val="none" w:sz="0" w:space="0" w:color="auto"/>
            <w:right w:val="none" w:sz="0" w:space="0" w:color="auto"/>
          </w:divBdr>
          <w:divsChild>
            <w:div w:id="307056842">
              <w:marLeft w:val="0"/>
              <w:marRight w:val="0"/>
              <w:marTop w:val="0"/>
              <w:marBottom w:val="0"/>
              <w:divBdr>
                <w:top w:val="none" w:sz="0" w:space="0" w:color="auto"/>
                <w:left w:val="none" w:sz="0" w:space="0" w:color="auto"/>
                <w:bottom w:val="none" w:sz="0" w:space="0" w:color="auto"/>
                <w:right w:val="none" w:sz="0" w:space="0" w:color="auto"/>
              </w:divBdr>
              <w:divsChild>
                <w:div w:id="6685847">
                  <w:marLeft w:val="0"/>
                  <w:marRight w:val="0"/>
                  <w:marTop w:val="0"/>
                  <w:marBottom w:val="0"/>
                  <w:divBdr>
                    <w:top w:val="none" w:sz="0" w:space="0" w:color="auto"/>
                    <w:left w:val="none" w:sz="0" w:space="0" w:color="auto"/>
                    <w:bottom w:val="none" w:sz="0" w:space="0" w:color="auto"/>
                    <w:right w:val="none" w:sz="0" w:space="0" w:color="auto"/>
                  </w:divBdr>
                  <w:divsChild>
                    <w:div w:id="987594080">
                      <w:marLeft w:val="0"/>
                      <w:marRight w:val="0"/>
                      <w:marTop w:val="0"/>
                      <w:marBottom w:val="0"/>
                      <w:divBdr>
                        <w:top w:val="none" w:sz="0" w:space="0" w:color="auto"/>
                        <w:left w:val="none" w:sz="0" w:space="0" w:color="auto"/>
                        <w:bottom w:val="none" w:sz="0" w:space="0" w:color="auto"/>
                        <w:right w:val="none" w:sz="0" w:space="0" w:color="auto"/>
                      </w:divBdr>
                      <w:divsChild>
                        <w:div w:id="1439908483">
                          <w:marLeft w:val="0"/>
                          <w:marRight w:val="0"/>
                          <w:marTop w:val="0"/>
                          <w:marBottom w:val="0"/>
                          <w:divBdr>
                            <w:top w:val="none" w:sz="0" w:space="0" w:color="auto"/>
                            <w:left w:val="none" w:sz="0" w:space="0" w:color="auto"/>
                            <w:bottom w:val="none" w:sz="0" w:space="0" w:color="auto"/>
                            <w:right w:val="none" w:sz="0" w:space="0" w:color="auto"/>
                          </w:divBdr>
                          <w:divsChild>
                            <w:div w:id="1068070936">
                              <w:marLeft w:val="0"/>
                              <w:marRight w:val="0"/>
                              <w:marTop w:val="0"/>
                              <w:marBottom w:val="0"/>
                              <w:divBdr>
                                <w:top w:val="none" w:sz="0" w:space="0" w:color="auto"/>
                                <w:left w:val="none" w:sz="0" w:space="0" w:color="auto"/>
                                <w:bottom w:val="none" w:sz="0" w:space="0" w:color="auto"/>
                                <w:right w:val="none" w:sz="0" w:space="0" w:color="auto"/>
                              </w:divBdr>
                              <w:divsChild>
                                <w:div w:id="982739260">
                                  <w:marLeft w:val="0"/>
                                  <w:marRight w:val="0"/>
                                  <w:marTop w:val="0"/>
                                  <w:marBottom w:val="0"/>
                                  <w:divBdr>
                                    <w:top w:val="none" w:sz="0" w:space="0" w:color="auto"/>
                                    <w:left w:val="none" w:sz="0" w:space="0" w:color="auto"/>
                                    <w:bottom w:val="none" w:sz="0" w:space="0" w:color="auto"/>
                                    <w:right w:val="none" w:sz="0" w:space="0" w:color="auto"/>
                                  </w:divBdr>
                                  <w:divsChild>
                                    <w:div w:id="5870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0632">
                      <w:marLeft w:val="0"/>
                      <w:marRight w:val="0"/>
                      <w:marTop w:val="0"/>
                      <w:marBottom w:val="0"/>
                      <w:divBdr>
                        <w:top w:val="none" w:sz="0" w:space="0" w:color="auto"/>
                        <w:left w:val="none" w:sz="0" w:space="0" w:color="auto"/>
                        <w:bottom w:val="none" w:sz="0" w:space="0" w:color="auto"/>
                        <w:right w:val="none" w:sz="0" w:space="0" w:color="auto"/>
                      </w:divBdr>
                      <w:divsChild>
                        <w:div w:id="205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89631">
      <w:bodyDiv w:val="1"/>
      <w:marLeft w:val="0"/>
      <w:marRight w:val="0"/>
      <w:marTop w:val="0"/>
      <w:marBottom w:val="0"/>
      <w:divBdr>
        <w:top w:val="none" w:sz="0" w:space="0" w:color="auto"/>
        <w:left w:val="none" w:sz="0" w:space="0" w:color="auto"/>
        <w:bottom w:val="none" w:sz="0" w:space="0" w:color="auto"/>
        <w:right w:val="none" w:sz="0" w:space="0" w:color="auto"/>
      </w:divBdr>
    </w:div>
    <w:div w:id="423652057">
      <w:bodyDiv w:val="1"/>
      <w:marLeft w:val="0"/>
      <w:marRight w:val="0"/>
      <w:marTop w:val="0"/>
      <w:marBottom w:val="0"/>
      <w:divBdr>
        <w:top w:val="none" w:sz="0" w:space="0" w:color="auto"/>
        <w:left w:val="none" w:sz="0" w:space="0" w:color="auto"/>
        <w:bottom w:val="none" w:sz="0" w:space="0" w:color="auto"/>
        <w:right w:val="none" w:sz="0" w:space="0" w:color="auto"/>
      </w:divBdr>
      <w:divsChild>
        <w:div w:id="1361395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599465">
      <w:bodyDiv w:val="1"/>
      <w:marLeft w:val="0"/>
      <w:marRight w:val="0"/>
      <w:marTop w:val="0"/>
      <w:marBottom w:val="0"/>
      <w:divBdr>
        <w:top w:val="none" w:sz="0" w:space="0" w:color="auto"/>
        <w:left w:val="none" w:sz="0" w:space="0" w:color="auto"/>
        <w:bottom w:val="none" w:sz="0" w:space="0" w:color="auto"/>
        <w:right w:val="none" w:sz="0" w:space="0" w:color="auto"/>
      </w:divBdr>
    </w:div>
    <w:div w:id="448936742">
      <w:bodyDiv w:val="1"/>
      <w:marLeft w:val="0"/>
      <w:marRight w:val="0"/>
      <w:marTop w:val="0"/>
      <w:marBottom w:val="0"/>
      <w:divBdr>
        <w:top w:val="none" w:sz="0" w:space="0" w:color="auto"/>
        <w:left w:val="none" w:sz="0" w:space="0" w:color="auto"/>
        <w:bottom w:val="none" w:sz="0" w:space="0" w:color="auto"/>
        <w:right w:val="none" w:sz="0" w:space="0" w:color="auto"/>
      </w:divBdr>
    </w:div>
    <w:div w:id="449473585">
      <w:bodyDiv w:val="1"/>
      <w:marLeft w:val="0"/>
      <w:marRight w:val="0"/>
      <w:marTop w:val="0"/>
      <w:marBottom w:val="0"/>
      <w:divBdr>
        <w:top w:val="none" w:sz="0" w:space="0" w:color="auto"/>
        <w:left w:val="none" w:sz="0" w:space="0" w:color="auto"/>
        <w:bottom w:val="none" w:sz="0" w:space="0" w:color="auto"/>
        <w:right w:val="none" w:sz="0" w:space="0" w:color="auto"/>
      </w:divBdr>
    </w:div>
    <w:div w:id="466819601">
      <w:bodyDiv w:val="1"/>
      <w:marLeft w:val="0"/>
      <w:marRight w:val="0"/>
      <w:marTop w:val="0"/>
      <w:marBottom w:val="0"/>
      <w:divBdr>
        <w:top w:val="none" w:sz="0" w:space="0" w:color="auto"/>
        <w:left w:val="none" w:sz="0" w:space="0" w:color="auto"/>
        <w:bottom w:val="none" w:sz="0" w:space="0" w:color="auto"/>
        <w:right w:val="none" w:sz="0" w:space="0" w:color="auto"/>
      </w:divBdr>
    </w:div>
    <w:div w:id="599610693">
      <w:bodyDiv w:val="1"/>
      <w:marLeft w:val="0"/>
      <w:marRight w:val="0"/>
      <w:marTop w:val="0"/>
      <w:marBottom w:val="0"/>
      <w:divBdr>
        <w:top w:val="none" w:sz="0" w:space="0" w:color="auto"/>
        <w:left w:val="none" w:sz="0" w:space="0" w:color="auto"/>
        <w:bottom w:val="none" w:sz="0" w:space="0" w:color="auto"/>
        <w:right w:val="none" w:sz="0" w:space="0" w:color="auto"/>
      </w:divBdr>
    </w:div>
    <w:div w:id="665325541">
      <w:bodyDiv w:val="1"/>
      <w:marLeft w:val="0"/>
      <w:marRight w:val="0"/>
      <w:marTop w:val="0"/>
      <w:marBottom w:val="0"/>
      <w:divBdr>
        <w:top w:val="none" w:sz="0" w:space="0" w:color="auto"/>
        <w:left w:val="none" w:sz="0" w:space="0" w:color="auto"/>
        <w:bottom w:val="none" w:sz="0" w:space="0" w:color="auto"/>
        <w:right w:val="none" w:sz="0" w:space="0" w:color="auto"/>
      </w:divBdr>
    </w:div>
    <w:div w:id="673609460">
      <w:bodyDiv w:val="1"/>
      <w:marLeft w:val="0"/>
      <w:marRight w:val="0"/>
      <w:marTop w:val="0"/>
      <w:marBottom w:val="0"/>
      <w:divBdr>
        <w:top w:val="none" w:sz="0" w:space="0" w:color="auto"/>
        <w:left w:val="none" w:sz="0" w:space="0" w:color="auto"/>
        <w:bottom w:val="none" w:sz="0" w:space="0" w:color="auto"/>
        <w:right w:val="none" w:sz="0" w:space="0" w:color="auto"/>
      </w:divBdr>
    </w:div>
    <w:div w:id="683097690">
      <w:bodyDiv w:val="1"/>
      <w:marLeft w:val="0"/>
      <w:marRight w:val="0"/>
      <w:marTop w:val="0"/>
      <w:marBottom w:val="0"/>
      <w:divBdr>
        <w:top w:val="none" w:sz="0" w:space="0" w:color="auto"/>
        <w:left w:val="none" w:sz="0" w:space="0" w:color="auto"/>
        <w:bottom w:val="none" w:sz="0" w:space="0" w:color="auto"/>
        <w:right w:val="none" w:sz="0" w:space="0" w:color="auto"/>
      </w:divBdr>
    </w:div>
    <w:div w:id="727648116">
      <w:bodyDiv w:val="1"/>
      <w:marLeft w:val="0"/>
      <w:marRight w:val="0"/>
      <w:marTop w:val="0"/>
      <w:marBottom w:val="0"/>
      <w:divBdr>
        <w:top w:val="none" w:sz="0" w:space="0" w:color="auto"/>
        <w:left w:val="none" w:sz="0" w:space="0" w:color="auto"/>
        <w:bottom w:val="none" w:sz="0" w:space="0" w:color="auto"/>
        <w:right w:val="none" w:sz="0" w:space="0" w:color="auto"/>
      </w:divBdr>
    </w:div>
    <w:div w:id="755132039">
      <w:bodyDiv w:val="1"/>
      <w:marLeft w:val="0"/>
      <w:marRight w:val="0"/>
      <w:marTop w:val="0"/>
      <w:marBottom w:val="0"/>
      <w:divBdr>
        <w:top w:val="none" w:sz="0" w:space="0" w:color="auto"/>
        <w:left w:val="none" w:sz="0" w:space="0" w:color="auto"/>
        <w:bottom w:val="none" w:sz="0" w:space="0" w:color="auto"/>
        <w:right w:val="none" w:sz="0" w:space="0" w:color="auto"/>
      </w:divBdr>
    </w:div>
    <w:div w:id="804395078">
      <w:bodyDiv w:val="1"/>
      <w:marLeft w:val="0"/>
      <w:marRight w:val="0"/>
      <w:marTop w:val="0"/>
      <w:marBottom w:val="0"/>
      <w:divBdr>
        <w:top w:val="none" w:sz="0" w:space="0" w:color="auto"/>
        <w:left w:val="none" w:sz="0" w:space="0" w:color="auto"/>
        <w:bottom w:val="none" w:sz="0" w:space="0" w:color="auto"/>
        <w:right w:val="none" w:sz="0" w:space="0" w:color="auto"/>
      </w:divBdr>
      <w:divsChild>
        <w:div w:id="1550259656">
          <w:marLeft w:val="0"/>
          <w:marRight w:val="0"/>
          <w:marTop w:val="0"/>
          <w:marBottom w:val="0"/>
          <w:divBdr>
            <w:top w:val="none" w:sz="0" w:space="0" w:color="auto"/>
            <w:left w:val="none" w:sz="0" w:space="0" w:color="auto"/>
            <w:bottom w:val="none" w:sz="0" w:space="0" w:color="auto"/>
            <w:right w:val="none" w:sz="0" w:space="0" w:color="auto"/>
          </w:divBdr>
          <w:divsChild>
            <w:div w:id="1083183204">
              <w:marLeft w:val="0"/>
              <w:marRight w:val="0"/>
              <w:marTop w:val="0"/>
              <w:marBottom w:val="0"/>
              <w:divBdr>
                <w:top w:val="none" w:sz="0" w:space="0" w:color="auto"/>
                <w:left w:val="none" w:sz="0" w:space="0" w:color="auto"/>
                <w:bottom w:val="none" w:sz="0" w:space="0" w:color="auto"/>
                <w:right w:val="none" w:sz="0" w:space="0" w:color="auto"/>
              </w:divBdr>
              <w:divsChild>
                <w:div w:id="81881707">
                  <w:marLeft w:val="0"/>
                  <w:marRight w:val="0"/>
                  <w:marTop w:val="0"/>
                  <w:marBottom w:val="0"/>
                  <w:divBdr>
                    <w:top w:val="none" w:sz="0" w:space="0" w:color="auto"/>
                    <w:left w:val="none" w:sz="0" w:space="0" w:color="auto"/>
                    <w:bottom w:val="none" w:sz="0" w:space="0" w:color="auto"/>
                    <w:right w:val="none" w:sz="0" w:space="0" w:color="auto"/>
                  </w:divBdr>
                  <w:divsChild>
                    <w:div w:id="1492528034">
                      <w:marLeft w:val="0"/>
                      <w:marRight w:val="0"/>
                      <w:marTop w:val="0"/>
                      <w:marBottom w:val="0"/>
                      <w:divBdr>
                        <w:top w:val="none" w:sz="0" w:space="0" w:color="auto"/>
                        <w:left w:val="none" w:sz="0" w:space="0" w:color="auto"/>
                        <w:bottom w:val="none" w:sz="0" w:space="0" w:color="auto"/>
                        <w:right w:val="none" w:sz="0" w:space="0" w:color="auto"/>
                      </w:divBdr>
                      <w:divsChild>
                        <w:div w:id="666245551">
                          <w:marLeft w:val="0"/>
                          <w:marRight w:val="0"/>
                          <w:marTop w:val="0"/>
                          <w:marBottom w:val="0"/>
                          <w:divBdr>
                            <w:top w:val="none" w:sz="0" w:space="0" w:color="auto"/>
                            <w:left w:val="none" w:sz="0" w:space="0" w:color="auto"/>
                            <w:bottom w:val="none" w:sz="0" w:space="0" w:color="auto"/>
                            <w:right w:val="none" w:sz="0" w:space="0" w:color="auto"/>
                          </w:divBdr>
                          <w:divsChild>
                            <w:div w:id="751509490">
                              <w:marLeft w:val="0"/>
                              <w:marRight w:val="0"/>
                              <w:marTop w:val="0"/>
                              <w:marBottom w:val="0"/>
                              <w:divBdr>
                                <w:top w:val="none" w:sz="0" w:space="0" w:color="auto"/>
                                <w:left w:val="none" w:sz="0" w:space="0" w:color="auto"/>
                                <w:bottom w:val="none" w:sz="0" w:space="0" w:color="auto"/>
                                <w:right w:val="none" w:sz="0" w:space="0" w:color="auto"/>
                              </w:divBdr>
                              <w:divsChild>
                                <w:div w:id="2128885908">
                                  <w:marLeft w:val="0"/>
                                  <w:marRight w:val="0"/>
                                  <w:marTop w:val="0"/>
                                  <w:marBottom w:val="0"/>
                                  <w:divBdr>
                                    <w:top w:val="none" w:sz="0" w:space="0" w:color="auto"/>
                                    <w:left w:val="none" w:sz="0" w:space="0" w:color="auto"/>
                                    <w:bottom w:val="none" w:sz="0" w:space="0" w:color="auto"/>
                                    <w:right w:val="none" w:sz="0" w:space="0" w:color="auto"/>
                                  </w:divBdr>
                                  <w:divsChild>
                                    <w:div w:id="145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55455">
                      <w:marLeft w:val="0"/>
                      <w:marRight w:val="0"/>
                      <w:marTop w:val="0"/>
                      <w:marBottom w:val="0"/>
                      <w:divBdr>
                        <w:top w:val="none" w:sz="0" w:space="0" w:color="auto"/>
                        <w:left w:val="none" w:sz="0" w:space="0" w:color="auto"/>
                        <w:bottom w:val="none" w:sz="0" w:space="0" w:color="auto"/>
                        <w:right w:val="none" w:sz="0" w:space="0" w:color="auto"/>
                      </w:divBdr>
                      <w:divsChild>
                        <w:div w:id="2048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196275">
      <w:bodyDiv w:val="1"/>
      <w:marLeft w:val="0"/>
      <w:marRight w:val="0"/>
      <w:marTop w:val="0"/>
      <w:marBottom w:val="0"/>
      <w:divBdr>
        <w:top w:val="none" w:sz="0" w:space="0" w:color="auto"/>
        <w:left w:val="none" w:sz="0" w:space="0" w:color="auto"/>
        <w:bottom w:val="none" w:sz="0" w:space="0" w:color="auto"/>
        <w:right w:val="none" w:sz="0" w:space="0" w:color="auto"/>
      </w:divBdr>
    </w:div>
    <w:div w:id="856119315">
      <w:bodyDiv w:val="1"/>
      <w:marLeft w:val="0"/>
      <w:marRight w:val="0"/>
      <w:marTop w:val="0"/>
      <w:marBottom w:val="0"/>
      <w:divBdr>
        <w:top w:val="none" w:sz="0" w:space="0" w:color="auto"/>
        <w:left w:val="none" w:sz="0" w:space="0" w:color="auto"/>
        <w:bottom w:val="none" w:sz="0" w:space="0" w:color="auto"/>
        <w:right w:val="none" w:sz="0" w:space="0" w:color="auto"/>
      </w:divBdr>
    </w:div>
    <w:div w:id="857082648">
      <w:bodyDiv w:val="1"/>
      <w:marLeft w:val="0"/>
      <w:marRight w:val="0"/>
      <w:marTop w:val="0"/>
      <w:marBottom w:val="0"/>
      <w:divBdr>
        <w:top w:val="none" w:sz="0" w:space="0" w:color="auto"/>
        <w:left w:val="none" w:sz="0" w:space="0" w:color="auto"/>
        <w:bottom w:val="none" w:sz="0" w:space="0" w:color="auto"/>
        <w:right w:val="none" w:sz="0" w:space="0" w:color="auto"/>
      </w:divBdr>
    </w:div>
    <w:div w:id="962925209">
      <w:bodyDiv w:val="1"/>
      <w:marLeft w:val="0"/>
      <w:marRight w:val="0"/>
      <w:marTop w:val="0"/>
      <w:marBottom w:val="0"/>
      <w:divBdr>
        <w:top w:val="none" w:sz="0" w:space="0" w:color="auto"/>
        <w:left w:val="none" w:sz="0" w:space="0" w:color="auto"/>
        <w:bottom w:val="none" w:sz="0" w:space="0" w:color="auto"/>
        <w:right w:val="none" w:sz="0" w:space="0" w:color="auto"/>
      </w:divBdr>
    </w:div>
    <w:div w:id="1023021524">
      <w:bodyDiv w:val="1"/>
      <w:marLeft w:val="0"/>
      <w:marRight w:val="0"/>
      <w:marTop w:val="0"/>
      <w:marBottom w:val="0"/>
      <w:divBdr>
        <w:top w:val="none" w:sz="0" w:space="0" w:color="auto"/>
        <w:left w:val="none" w:sz="0" w:space="0" w:color="auto"/>
        <w:bottom w:val="none" w:sz="0" w:space="0" w:color="auto"/>
        <w:right w:val="none" w:sz="0" w:space="0" w:color="auto"/>
      </w:divBdr>
    </w:div>
    <w:div w:id="1037704032">
      <w:bodyDiv w:val="1"/>
      <w:marLeft w:val="0"/>
      <w:marRight w:val="0"/>
      <w:marTop w:val="0"/>
      <w:marBottom w:val="0"/>
      <w:divBdr>
        <w:top w:val="none" w:sz="0" w:space="0" w:color="auto"/>
        <w:left w:val="none" w:sz="0" w:space="0" w:color="auto"/>
        <w:bottom w:val="none" w:sz="0" w:space="0" w:color="auto"/>
        <w:right w:val="none" w:sz="0" w:space="0" w:color="auto"/>
      </w:divBdr>
    </w:div>
    <w:div w:id="1043478547">
      <w:bodyDiv w:val="1"/>
      <w:marLeft w:val="0"/>
      <w:marRight w:val="0"/>
      <w:marTop w:val="0"/>
      <w:marBottom w:val="0"/>
      <w:divBdr>
        <w:top w:val="none" w:sz="0" w:space="0" w:color="auto"/>
        <w:left w:val="none" w:sz="0" w:space="0" w:color="auto"/>
        <w:bottom w:val="none" w:sz="0" w:space="0" w:color="auto"/>
        <w:right w:val="none" w:sz="0" w:space="0" w:color="auto"/>
      </w:divBdr>
    </w:div>
    <w:div w:id="1056201117">
      <w:bodyDiv w:val="1"/>
      <w:marLeft w:val="0"/>
      <w:marRight w:val="0"/>
      <w:marTop w:val="0"/>
      <w:marBottom w:val="0"/>
      <w:divBdr>
        <w:top w:val="none" w:sz="0" w:space="0" w:color="auto"/>
        <w:left w:val="none" w:sz="0" w:space="0" w:color="auto"/>
        <w:bottom w:val="none" w:sz="0" w:space="0" w:color="auto"/>
        <w:right w:val="none" w:sz="0" w:space="0" w:color="auto"/>
      </w:divBdr>
    </w:div>
    <w:div w:id="1094590808">
      <w:bodyDiv w:val="1"/>
      <w:marLeft w:val="0"/>
      <w:marRight w:val="0"/>
      <w:marTop w:val="0"/>
      <w:marBottom w:val="0"/>
      <w:divBdr>
        <w:top w:val="none" w:sz="0" w:space="0" w:color="auto"/>
        <w:left w:val="none" w:sz="0" w:space="0" w:color="auto"/>
        <w:bottom w:val="none" w:sz="0" w:space="0" w:color="auto"/>
        <w:right w:val="none" w:sz="0" w:space="0" w:color="auto"/>
      </w:divBdr>
    </w:div>
    <w:div w:id="1099064181">
      <w:bodyDiv w:val="1"/>
      <w:marLeft w:val="0"/>
      <w:marRight w:val="0"/>
      <w:marTop w:val="0"/>
      <w:marBottom w:val="0"/>
      <w:divBdr>
        <w:top w:val="none" w:sz="0" w:space="0" w:color="auto"/>
        <w:left w:val="none" w:sz="0" w:space="0" w:color="auto"/>
        <w:bottom w:val="none" w:sz="0" w:space="0" w:color="auto"/>
        <w:right w:val="none" w:sz="0" w:space="0" w:color="auto"/>
      </w:divBdr>
      <w:divsChild>
        <w:div w:id="117429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673015">
      <w:bodyDiv w:val="1"/>
      <w:marLeft w:val="0"/>
      <w:marRight w:val="0"/>
      <w:marTop w:val="0"/>
      <w:marBottom w:val="0"/>
      <w:divBdr>
        <w:top w:val="none" w:sz="0" w:space="0" w:color="auto"/>
        <w:left w:val="none" w:sz="0" w:space="0" w:color="auto"/>
        <w:bottom w:val="none" w:sz="0" w:space="0" w:color="auto"/>
        <w:right w:val="none" w:sz="0" w:space="0" w:color="auto"/>
      </w:divBdr>
    </w:div>
    <w:div w:id="1327245268">
      <w:bodyDiv w:val="1"/>
      <w:marLeft w:val="0"/>
      <w:marRight w:val="0"/>
      <w:marTop w:val="0"/>
      <w:marBottom w:val="0"/>
      <w:divBdr>
        <w:top w:val="none" w:sz="0" w:space="0" w:color="auto"/>
        <w:left w:val="none" w:sz="0" w:space="0" w:color="auto"/>
        <w:bottom w:val="none" w:sz="0" w:space="0" w:color="auto"/>
        <w:right w:val="none" w:sz="0" w:space="0" w:color="auto"/>
      </w:divBdr>
    </w:div>
    <w:div w:id="1347637127">
      <w:bodyDiv w:val="1"/>
      <w:marLeft w:val="0"/>
      <w:marRight w:val="0"/>
      <w:marTop w:val="0"/>
      <w:marBottom w:val="0"/>
      <w:divBdr>
        <w:top w:val="none" w:sz="0" w:space="0" w:color="auto"/>
        <w:left w:val="none" w:sz="0" w:space="0" w:color="auto"/>
        <w:bottom w:val="none" w:sz="0" w:space="0" w:color="auto"/>
        <w:right w:val="none" w:sz="0" w:space="0" w:color="auto"/>
      </w:divBdr>
    </w:div>
    <w:div w:id="1427767570">
      <w:bodyDiv w:val="1"/>
      <w:marLeft w:val="0"/>
      <w:marRight w:val="0"/>
      <w:marTop w:val="0"/>
      <w:marBottom w:val="0"/>
      <w:divBdr>
        <w:top w:val="none" w:sz="0" w:space="0" w:color="auto"/>
        <w:left w:val="none" w:sz="0" w:space="0" w:color="auto"/>
        <w:bottom w:val="none" w:sz="0" w:space="0" w:color="auto"/>
        <w:right w:val="none" w:sz="0" w:space="0" w:color="auto"/>
      </w:divBdr>
    </w:div>
    <w:div w:id="1442610915">
      <w:bodyDiv w:val="1"/>
      <w:marLeft w:val="0"/>
      <w:marRight w:val="0"/>
      <w:marTop w:val="0"/>
      <w:marBottom w:val="0"/>
      <w:divBdr>
        <w:top w:val="none" w:sz="0" w:space="0" w:color="auto"/>
        <w:left w:val="none" w:sz="0" w:space="0" w:color="auto"/>
        <w:bottom w:val="none" w:sz="0" w:space="0" w:color="auto"/>
        <w:right w:val="none" w:sz="0" w:space="0" w:color="auto"/>
      </w:divBdr>
    </w:div>
    <w:div w:id="1460880652">
      <w:bodyDiv w:val="1"/>
      <w:marLeft w:val="0"/>
      <w:marRight w:val="0"/>
      <w:marTop w:val="0"/>
      <w:marBottom w:val="0"/>
      <w:divBdr>
        <w:top w:val="none" w:sz="0" w:space="0" w:color="auto"/>
        <w:left w:val="none" w:sz="0" w:space="0" w:color="auto"/>
        <w:bottom w:val="none" w:sz="0" w:space="0" w:color="auto"/>
        <w:right w:val="none" w:sz="0" w:space="0" w:color="auto"/>
      </w:divBdr>
    </w:div>
    <w:div w:id="1536771581">
      <w:bodyDiv w:val="1"/>
      <w:marLeft w:val="0"/>
      <w:marRight w:val="0"/>
      <w:marTop w:val="0"/>
      <w:marBottom w:val="0"/>
      <w:divBdr>
        <w:top w:val="none" w:sz="0" w:space="0" w:color="auto"/>
        <w:left w:val="none" w:sz="0" w:space="0" w:color="auto"/>
        <w:bottom w:val="none" w:sz="0" w:space="0" w:color="auto"/>
        <w:right w:val="none" w:sz="0" w:space="0" w:color="auto"/>
      </w:divBdr>
    </w:div>
    <w:div w:id="1556311410">
      <w:bodyDiv w:val="1"/>
      <w:marLeft w:val="0"/>
      <w:marRight w:val="0"/>
      <w:marTop w:val="0"/>
      <w:marBottom w:val="0"/>
      <w:divBdr>
        <w:top w:val="none" w:sz="0" w:space="0" w:color="auto"/>
        <w:left w:val="none" w:sz="0" w:space="0" w:color="auto"/>
        <w:bottom w:val="none" w:sz="0" w:space="0" w:color="auto"/>
        <w:right w:val="none" w:sz="0" w:space="0" w:color="auto"/>
      </w:divBdr>
    </w:div>
    <w:div w:id="1556971374">
      <w:bodyDiv w:val="1"/>
      <w:marLeft w:val="0"/>
      <w:marRight w:val="0"/>
      <w:marTop w:val="0"/>
      <w:marBottom w:val="0"/>
      <w:divBdr>
        <w:top w:val="none" w:sz="0" w:space="0" w:color="auto"/>
        <w:left w:val="none" w:sz="0" w:space="0" w:color="auto"/>
        <w:bottom w:val="none" w:sz="0" w:space="0" w:color="auto"/>
        <w:right w:val="none" w:sz="0" w:space="0" w:color="auto"/>
      </w:divBdr>
    </w:div>
    <w:div w:id="1677658226">
      <w:bodyDiv w:val="1"/>
      <w:marLeft w:val="0"/>
      <w:marRight w:val="0"/>
      <w:marTop w:val="0"/>
      <w:marBottom w:val="0"/>
      <w:divBdr>
        <w:top w:val="none" w:sz="0" w:space="0" w:color="auto"/>
        <w:left w:val="none" w:sz="0" w:space="0" w:color="auto"/>
        <w:bottom w:val="none" w:sz="0" w:space="0" w:color="auto"/>
        <w:right w:val="none" w:sz="0" w:space="0" w:color="auto"/>
      </w:divBdr>
    </w:div>
    <w:div w:id="1753890531">
      <w:bodyDiv w:val="1"/>
      <w:marLeft w:val="0"/>
      <w:marRight w:val="0"/>
      <w:marTop w:val="0"/>
      <w:marBottom w:val="0"/>
      <w:divBdr>
        <w:top w:val="none" w:sz="0" w:space="0" w:color="auto"/>
        <w:left w:val="none" w:sz="0" w:space="0" w:color="auto"/>
        <w:bottom w:val="none" w:sz="0" w:space="0" w:color="auto"/>
        <w:right w:val="none" w:sz="0" w:space="0" w:color="auto"/>
      </w:divBdr>
    </w:div>
    <w:div w:id="1771779474">
      <w:bodyDiv w:val="1"/>
      <w:marLeft w:val="0"/>
      <w:marRight w:val="0"/>
      <w:marTop w:val="0"/>
      <w:marBottom w:val="0"/>
      <w:divBdr>
        <w:top w:val="none" w:sz="0" w:space="0" w:color="auto"/>
        <w:left w:val="none" w:sz="0" w:space="0" w:color="auto"/>
        <w:bottom w:val="none" w:sz="0" w:space="0" w:color="auto"/>
        <w:right w:val="none" w:sz="0" w:space="0" w:color="auto"/>
      </w:divBdr>
    </w:div>
    <w:div w:id="1774400519">
      <w:bodyDiv w:val="1"/>
      <w:marLeft w:val="0"/>
      <w:marRight w:val="0"/>
      <w:marTop w:val="0"/>
      <w:marBottom w:val="0"/>
      <w:divBdr>
        <w:top w:val="none" w:sz="0" w:space="0" w:color="auto"/>
        <w:left w:val="none" w:sz="0" w:space="0" w:color="auto"/>
        <w:bottom w:val="none" w:sz="0" w:space="0" w:color="auto"/>
        <w:right w:val="none" w:sz="0" w:space="0" w:color="auto"/>
      </w:divBdr>
    </w:div>
    <w:div w:id="1790854728">
      <w:bodyDiv w:val="1"/>
      <w:marLeft w:val="0"/>
      <w:marRight w:val="0"/>
      <w:marTop w:val="0"/>
      <w:marBottom w:val="0"/>
      <w:divBdr>
        <w:top w:val="none" w:sz="0" w:space="0" w:color="auto"/>
        <w:left w:val="none" w:sz="0" w:space="0" w:color="auto"/>
        <w:bottom w:val="none" w:sz="0" w:space="0" w:color="auto"/>
        <w:right w:val="none" w:sz="0" w:space="0" w:color="auto"/>
      </w:divBdr>
    </w:div>
    <w:div w:id="1813983741">
      <w:bodyDiv w:val="1"/>
      <w:marLeft w:val="0"/>
      <w:marRight w:val="0"/>
      <w:marTop w:val="0"/>
      <w:marBottom w:val="0"/>
      <w:divBdr>
        <w:top w:val="none" w:sz="0" w:space="0" w:color="auto"/>
        <w:left w:val="none" w:sz="0" w:space="0" w:color="auto"/>
        <w:bottom w:val="none" w:sz="0" w:space="0" w:color="auto"/>
        <w:right w:val="none" w:sz="0" w:space="0" w:color="auto"/>
      </w:divBdr>
    </w:div>
    <w:div w:id="2018771339">
      <w:bodyDiv w:val="1"/>
      <w:marLeft w:val="0"/>
      <w:marRight w:val="0"/>
      <w:marTop w:val="0"/>
      <w:marBottom w:val="0"/>
      <w:divBdr>
        <w:top w:val="none" w:sz="0" w:space="0" w:color="auto"/>
        <w:left w:val="none" w:sz="0" w:space="0" w:color="auto"/>
        <w:bottom w:val="none" w:sz="0" w:space="0" w:color="auto"/>
        <w:right w:val="none" w:sz="0" w:space="0" w:color="auto"/>
      </w:divBdr>
    </w:div>
    <w:div w:id="2043630734">
      <w:bodyDiv w:val="1"/>
      <w:marLeft w:val="0"/>
      <w:marRight w:val="0"/>
      <w:marTop w:val="0"/>
      <w:marBottom w:val="0"/>
      <w:divBdr>
        <w:top w:val="none" w:sz="0" w:space="0" w:color="auto"/>
        <w:left w:val="none" w:sz="0" w:space="0" w:color="auto"/>
        <w:bottom w:val="none" w:sz="0" w:space="0" w:color="auto"/>
        <w:right w:val="none" w:sz="0" w:space="0" w:color="auto"/>
      </w:divBdr>
    </w:div>
    <w:div w:id="2098474079">
      <w:bodyDiv w:val="1"/>
      <w:marLeft w:val="0"/>
      <w:marRight w:val="0"/>
      <w:marTop w:val="0"/>
      <w:marBottom w:val="0"/>
      <w:divBdr>
        <w:top w:val="none" w:sz="0" w:space="0" w:color="auto"/>
        <w:left w:val="none" w:sz="0" w:space="0" w:color="auto"/>
        <w:bottom w:val="none" w:sz="0" w:space="0" w:color="auto"/>
        <w:right w:val="none" w:sz="0" w:space="0" w:color="auto"/>
      </w:divBdr>
    </w:div>
    <w:div w:id="2121534911">
      <w:bodyDiv w:val="1"/>
      <w:marLeft w:val="0"/>
      <w:marRight w:val="0"/>
      <w:marTop w:val="0"/>
      <w:marBottom w:val="0"/>
      <w:divBdr>
        <w:top w:val="none" w:sz="0" w:space="0" w:color="auto"/>
        <w:left w:val="none" w:sz="0" w:space="0" w:color="auto"/>
        <w:bottom w:val="none" w:sz="0" w:space="0" w:color="auto"/>
        <w:right w:val="none" w:sz="0" w:space="0" w:color="auto"/>
      </w:divBdr>
    </w:div>
    <w:div w:id="21454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771587" TargetMode="External"/><Relationship Id="rId13" Type="http://schemas.openxmlformats.org/officeDocument/2006/relationships/hyperlink" Target="https://doi.org/10.31901/24566322.2024/44.1-3.13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jnrd.org/papers/IJNRD2505438.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935/cedtech/1616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2307/2490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324/9781315456539" TargetMode="External"/><Relationship Id="rId14" Type="http://schemas.openxmlformats.org/officeDocument/2006/relationships/hyperlink" Target="https://doi.org/10.1016/j.heliyon.2023.e16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1852</TotalTime>
  <Pages>14</Pages>
  <Words>5655</Words>
  <Characters>32235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Divya</dc:creator>
  <cp:keywords/>
  <dc:description/>
  <cp:lastModifiedBy>Editor-1183</cp:lastModifiedBy>
  <cp:revision>119</cp:revision>
  <dcterms:created xsi:type="dcterms:W3CDTF">2025-04-15T12:20:00Z</dcterms:created>
  <dcterms:modified xsi:type="dcterms:W3CDTF">2026-03-07T06:02:00Z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fd11cb6b-5db4-433d-a231-fba52494d11a</vt:lpwstr>
  </property>
</Properties>
</file>