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6BF1B" w14:textId="4625B50D" w:rsidR="007306A5" w:rsidRDefault="007306A5" w:rsidP="007306A5">
      <w:pPr>
        <w:rPr>
          <w:rFonts w:ascii="Arial" w:hAnsi="Arial" w:cs="Arial"/>
          <w:b/>
          <w:bCs/>
          <w:sz w:val="36"/>
          <w:szCs w:val="36"/>
          <w:u w:val="single"/>
        </w:rPr>
      </w:pPr>
      <w:r w:rsidRPr="007306A5">
        <w:rPr>
          <w:rFonts w:ascii="Arial" w:hAnsi="Arial" w:cs="Arial"/>
          <w:b/>
          <w:bCs/>
          <w:sz w:val="36"/>
          <w:szCs w:val="36"/>
          <w:u w:val="single"/>
        </w:rPr>
        <w:t>Original Research Article</w:t>
      </w:r>
    </w:p>
    <w:p w14:paraId="41CFD999" w14:textId="77777777" w:rsidR="007306A5" w:rsidRPr="007306A5" w:rsidRDefault="007306A5" w:rsidP="007306A5">
      <w:pPr>
        <w:rPr>
          <w:rFonts w:ascii="Arial" w:hAnsi="Arial" w:cs="Arial"/>
          <w:b/>
          <w:bCs/>
          <w:sz w:val="36"/>
          <w:szCs w:val="36"/>
          <w:u w:val="single"/>
        </w:rPr>
      </w:pPr>
    </w:p>
    <w:p w14:paraId="481E672B" w14:textId="1CD52B31" w:rsidR="003A5B11" w:rsidRPr="00A63840" w:rsidRDefault="003A5B11" w:rsidP="007306A5">
      <w:pPr>
        <w:jc w:val="right"/>
        <w:rPr>
          <w:rFonts w:ascii="Arial" w:hAnsi="Arial" w:cs="Arial"/>
          <w:b/>
          <w:bCs/>
          <w:sz w:val="36"/>
          <w:szCs w:val="36"/>
        </w:rPr>
      </w:pPr>
      <w:r w:rsidRPr="00A63840">
        <w:rPr>
          <w:rFonts w:ascii="Arial" w:hAnsi="Arial" w:cs="Arial"/>
          <w:b/>
          <w:bCs/>
          <w:sz w:val="36"/>
          <w:szCs w:val="36"/>
        </w:rPr>
        <w:t>Design and Numerical Performance Assessment of a Variable-Geometry Two-Body Wave Energy Converter</w:t>
      </w:r>
    </w:p>
    <w:p w14:paraId="7B51E0C3" w14:textId="5168BDE1" w:rsidR="003336F4" w:rsidRPr="00A63840" w:rsidRDefault="003336F4" w:rsidP="003336F4">
      <w:pPr>
        <w:jc w:val="center"/>
        <w:rPr>
          <w:rFonts w:ascii="Arial" w:hAnsi="Arial" w:cs="Arial"/>
          <w:b/>
          <w:bCs/>
          <w:color w:val="000000" w:themeColor="text1"/>
          <w:sz w:val="36"/>
          <w:szCs w:val="36"/>
        </w:rPr>
      </w:pPr>
    </w:p>
    <w:p w14:paraId="6DB1B493" w14:textId="77777777" w:rsidR="00A258C3" w:rsidRPr="00A63840" w:rsidRDefault="00A258C3" w:rsidP="00441B6F">
      <w:pPr>
        <w:pStyle w:val="Author"/>
        <w:spacing w:line="240" w:lineRule="auto"/>
        <w:jc w:val="both"/>
        <w:rPr>
          <w:rFonts w:ascii="Arial" w:hAnsi="Arial" w:cs="Arial"/>
          <w:color w:val="000000" w:themeColor="text1"/>
          <w:sz w:val="36"/>
        </w:rPr>
      </w:pPr>
    </w:p>
    <w:p w14:paraId="5E5AFFD7" w14:textId="77777777" w:rsidR="002C57D2" w:rsidRPr="00A63840" w:rsidRDefault="002C57D2" w:rsidP="00441B6F">
      <w:pPr>
        <w:pStyle w:val="Affiliation"/>
        <w:spacing w:after="0" w:line="240" w:lineRule="auto"/>
        <w:jc w:val="both"/>
        <w:rPr>
          <w:rFonts w:ascii="Arial" w:hAnsi="Arial" w:cs="Arial"/>
          <w:color w:val="000000" w:themeColor="text1"/>
        </w:rPr>
      </w:pPr>
    </w:p>
    <w:p w14:paraId="347D0387" w14:textId="74BBC0FF" w:rsidR="00B01FCD" w:rsidRPr="00A63840" w:rsidRDefault="00B01FCD" w:rsidP="00441B6F">
      <w:pPr>
        <w:pStyle w:val="AbstHead"/>
        <w:spacing w:after="0"/>
        <w:jc w:val="both"/>
        <w:rPr>
          <w:rFonts w:ascii="Arial" w:hAnsi="Arial" w:cs="Arial"/>
          <w:color w:val="000000" w:themeColor="text1"/>
        </w:rPr>
      </w:pPr>
      <w:r w:rsidRPr="00A63840">
        <w:rPr>
          <w:rFonts w:ascii="Arial" w:hAnsi="Arial" w:cs="Arial"/>
          <w:color w:val="000000" w:themeColor="text1"/>
        </w:rPr>
        <w:t>ABSTRACT</w:t>
      </w:r>
      <w:r w:rsidR="0066510A" w:rsidRPr="00A63840">
        <w:rPr>
          <w:rFonts w:ascii="Arial" w:hAnsi="Arial" w:cs="Arial"/>
          <w:color w:val="000000" w:themeColor="text1"/>
        </w:rPr>
        <w:t xml:space="preserve"> </w:t>
      </w:r>
    </w:p>
    <w:p w14:paraId="3AFD2F2E" w14:textId="77777777" w:rsidR="00790ADA" w:rsidRPr="00A63840"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822AA4" w:rsidRPr="00A63840" w14:paraId="0D6D919F" w14:textId="77777777" w:rsidTr="001E44FE">
        <w:tc>
          <w:tcPr>
            <w:tcW w:w="9576" w:type="dxa"/>
            <w:shd w:val="clear" w:color="auto" w:fill="F2F2F2"/>
          </w:tcPr>
          <w:p w14:paraId="0F92E785" w14:textId="2AFAB2A1" w:rsidR="003A5B11" w:rsidRPr="00A63840" w:rsidRDefault="003A5B11" w:rsidP="003A5B11">
            <w:pPr>
              <w:jc w:val="both"/>
              <w:rPr>
                <w:rFonts w:ascii="Arial" w:hAnsi="Arial" w:cs="Arial"/>
                <w:lang w:val="en-TT" w:eastAsia="en-TT"/>
              </w:rPr>
            </w:pPr>
            <w:r w:rsidRPr="00637181">
              <w:rPr>
                <w:rFonts w:ascii="Arial" w:hAnsi="Arial" w:cs="Arial"/>
                <w:lang w:val="en-TT" w:eastAsia="en-TT"/>
              </w:rPr>
              <w:t xml:space="preserve">Wave energy converters (WECs) offer a promising pathway toward diversifying renewable energy portfolios, particularly for coastal and island regions with persistent wave climates. Among existing architectures, two-body WECs are attractive due to their ability to exploit relative motion and multiple degrees of freedom for enhanced energy capture. However, conventional designs often suffer from narrow-band performance and limited adaptability to varying sea states. </w:t>
            </w:r>
            <w:r w:rsidR="001E346E" w:rsidRPr="00637181">
              <w:rPr>
                <w:rFonts w:ascii="Arial" w:hAnsi="Arial" w:cs="Arial"/>
                <w:highlight w:val="yellow"/>
                <w:lang w:val="en-TT" w:eastAsia="en-TT"/>
              </w:rPr>
              <w:t>Th</w:t>
            </w:r>
            <w:r w:rsidR="00CE2EE0">
              <w:rPr>
                <w:rFonts w:ascii="Arial" w:hAnsi="Arial" w:cs="Arial"/>
                <w:highlight w:val="yellow"/>
                <w:lang w:val="en-TT" w:eastAsia="en-TT"/>
              </w:rPr>
              <w:t>e objective of this study is to</w:t>
            </w:r>
            <w:r w:rsidRPr="00637181">
              <w:rPr>
                <w:rFonts w:ascii="Arial" w:hAnsi="Arial" w:cs="Arial"/>
                <w:lang w:val="en-TT" w:eastAsia="en-TT"/>
              </w:rPr>
              <w:t xml:space="preserve"> design, numerical modelling, and performance evaluation of a two-body point absorber wave energy converter incorporating a mechanically realizable variable-geometry mechanism. The proposed system consists of a floating body and a submerged body coupled through a direct-drive linear power take-off (PTO), with adjustable float positioning enabled by an ACME power screw and worm-gear actuation. The variable geometry allows controlled modification of hydrostatic stability, restoring moments, and resonance characteristics. Hydrodynamic coefficients were computed using linear boundary element methods in ANSYS AQWA and integrated into WEC-Sim for time-domain simulations under both regular and irregular wave conditions. Structural integrity and fatigue performance were assessed using finite element analysis to ensure survivability under representative operational and extreme sea states. Simulation results demonstrate that float spatial configuration has a pronounced influence on hydrostatic stability, motion response, resonance behaviour, and power absorption efficiency</w:t>
            </w:r>
            <w:r w:rsidRPr="00020843">
              <w:rPr>
                <w:rFonts w:ascii="Arial" w:hAnsi="Arial" w:cs="Arial"/>
                <w:lang w:val="en-TT" w:eastAsia="en-TT"/>
              </w:rPr>
              <w:t xml:space="preserve">. Among the tested configurations, the intermediate (middle) geometry consistently achieved the most favourable balance between motion amplification and stability, resulting in superior energy capture potential across a wide range of wave periods and heights. </w:t>
            </w:r>
            <w:r w:rsidRPr="00584C09">
              <w:rPr>
                <w:rFonts w:ascii="Arial" w:hAnsi="Arial" w:cs="Arial"/>
                <w:lang w:val="en-TT" w:eastAsia="en-TT"/>
              </w:rPr>
              <w:t>The highest configuration</w:t>
            </w:r>
            <w:r w:rsidRPr="00A63840">
              <w:rPr>
                <w:rFonts w:ascii="Arial" w:hAnsi="Arial" w:cs="Arial"/>
                <w:lang w:val="en-TT" w:eastAsia="en-TT"/>
              </w:rPr>
              <w:t xml:space="preserve"> provided increased structural safety and reduced fatigue loading, while the lowest configuration exhibited reduced dynamic efficiency due to adverse righting moment characteristics.</w:t>
            </w:r>
          </w:p>
          <w:p w14:paraId="2EDA72A9" w14:textId="404950EA" w:rsidR="00505F06" w:rsidRPr="00A63840" w:rsidRDefault="003A5B11" w:rsidP="003A5B11">
            <w:pPr>
              <w:jc w:val="both"/>
              <w:rPr>
                <w:rFonts w:ascii="Arial" w:eastAsia="Calibri" w:hAnsi="Arial" w:cs="Arial"/>
                <w:color w:val="000000" w:themeColor="text1"/>
                <w:szCs w:val="22"/>
              </w:rPr>
            </w:pPr>
            <w:r w:rsidRPr="00A63840">
              <w:rPr>
                <w:rFonts w:ascii="Arial" w:hAnsi="Arial" w:cs="Arial"/>
                <w:lang w:val="en-TT" w:eastAsia="en-TT"/>
              </w:rPr>
              <w:t>Overall, the findings confirm that mechanically feasible variable-geometry integration significantly enhances the adaptability and performance of two-body WECs. The proposed design offers a scalable and robust solution for improving wave energy conversion efficiency under realistic, variable sea-state conditions, supporting the advancement of practical and deployable wave energy technologies.</w:t>
            </w:r>
          </w:p>
        </w:tc>
      </w:tr>
    </w:tbl>
    <w:p w14:paraId="3F782B2C" w14:textId="77777777" w:rsidR="00636EB2" w:rsidRPr="00A63840" w:rsidRDefault="00636EB2" w:rsidP="00441B6F">
      <w:pPr>
        <w:pStyle w:val="Body"/>
        <w:spacing w:after="0"/>
        <w:rPr>
          <w:rFonts w:ascii="Arial" w:hAnsi="Arial" w:cs="Arial"/>
          <w:i/>
          <w:color w:val="000000" w:themeColor="text1"/>
        </w:rPr>
      </w:pPr>
    </w:p>
    <w:p w14:paraId="7623FB91" w14:textId="77720E19" w:rsidR="005456EE" w:rsidRPr="00A63840" w:rsidRDefault="00A24E7E" w:rsidP="005456EE">
      <w:pPr>
        <w:rPr>
          <w:rFonts w:ascii="Arial" w:hAnsi="Arial" w:cs="Arial"/>
          <w:i/>
          <w:iCs/>
          <w:color w:val="000000" w:themeColor="text1"/>
          <w:w w:val="105"/>
        </w:rPr>
      </w:pPr>
      <w:r w:rsidRPr="00A63840">
        <w:rPr>
          <w:rFonts w:ascii="Arial" w:hAnsi="Arial" w:cs="Arial"/>
          <w:i/>
          <w:color w:val="000000" w:themeColor="text1"/>
        </w:rPr>
        <w:t xml:space="preserve">Keywords: </w:t>
      </w:r>
      <w:r w:rsidR="003A5B11" w:rsidRPr="00A63840">
        <w:rPr>
          <w:rFonts w:ascii="Arial" w:hAnsi="Arial" w:cs="Arial"/>
        </w:rPr>
        <w:t>Wave energy converter; Two-body point absorber; Hydrodynamic performance; Direct-drive power take-off; Numerical simulation; WEC-Sim; Renewable ocean energy.</w:t>
      </w:r>
    </w:p>
    <w:p w14:paraId="001D097C" w14:textId="1AB80F4C" w:rsidR="00A24E7E" w:rsidRPr="00A63840" w:rsidRDefault="00A24E7E" w:rsidP="00441B6F">
      <w:pPr>
        <w:pStyle w:val="Body"/>
        <w:spacing w:after="0"/>
        <w:rPr>
          <w:rFonts w:ascii="Arial" w:hAnsi="Arial" w:cs="Arial"/>
          <w:i/>
          <w:iCs/>
          <w:color w:val="000000" w:themeColor="text1"/>
        </w:rPr>
      </w:pPr>
    </w:p>
    <w:p w14:paraId="77951CFF" w14:textId="77777777" w:rsidR="00434024" w:rsidRPr="00A63840" w:rsidRDefault="00434024" w:rsidP="00434024">
      <w:pPr>
        <w:pStyle w:val="NomenclatureClauseTitle"/>
        <w:spacing w:before="0"/>
        <w:ind w:left="720"/>
        <w:rPr>
          <w:rFonts w:cs="Arial"/>
          <w:caps w:val="0"/>
          <w:color w:val="000000" w:themeColor="text1"/>
          <w:sz w:val="22"/>
          <w:szCs w:val="22"/>
        </w:rPr>
      </w:pPr>
    </w:p>
    <w:p w14:paraId="744DDF95" w14:textId="77824BF7" w:rsidR="002B6C79" w:rsidRPr="00A63840" w:rsidRDefault="00A74B0E" w:rsidP="001E346E">
      <w:pPr>
        <w:pStyle w:val="NomenclatureClauseTitle"/>
        <w:numPr>
          <w:ilvl w:val="0"/>
          <w:numId w:val="32"/>
        </w:numPr>
        <w:spacing w:before="0"/>
        <w:rPr>
          <w:rFonts w:cs="Arial"/>
          <w:color w:val="000000" w:themeColor="text1"/>
        </w:rPr>
      </w:pPr>
      <w:r w:rsidRPr="00A63840">
        <w:rPr>
          <w:rFonts w:cs="Arial"/>
          <w:caps w:val="0"/>
          <w:color w:val="000000" w:themeColor="text1"/>
          <w:sz w:val="22"/>
          <w:szCs w:val="22"/>
        </w:rPr>
        <w:t>INTRODUCTION</w:t>
      </w:r>
    </w:p>
    <w:p w14:paraId="3B186955" w14:textId="7DB9BC29" w:rsidR="00DD0D91" w:rsidRPr="00454E7C" w:rsidRDefault="00DD0D91" w:rsidP="00DD0D91">
      <w:pPr>
        <w:pStyle w:val="NormalWeb"/>
        <w:spacing w:before="0" w:beforeAutospacing="0" w:after="0" w:afterAutospacing="0"/>
        <w:jc w:val="both"/>
        <w:rPr>
          <w:rFonts w:ascii="Arial" w:hAnsi="Arial" w:cs="Arial"/>
          <w:sz w:val="20"/>
          <w:szCs w:val="20"/>
        </w:rPr>
      </w:pPr>
      <w:r w:rsidRPr="00454E7C">
        <w:rPr>
          <w:rFonts w:ascii="Arial" w:hAnsi="Arial" w:cs="Arial"/>
          <w:sz w:val="20"/>
          <w:szCs w:val="20"/>
        </w:rPr>
        <w:t xml:space="preserve">Wave energy converters (WECs) represent a class of technologies designed to harvest energy from ocean surface waves. A WEC is defined as </w:t>
      </w:r>
      <w:r w:rsidRPr="00454E7C">
        <w:rPr>
          <w:rStyle w:val="Strong"/>
          <w:rFonts w:ascii="Arial" w:hAnsi="Arial" w:cs="Arial"/>
          <w:b w:val="0"/>
          <w:bCs w:val="0"/>
          <w:sz w:val="20"/>
          <w:szCs w:val="20"/>
        </w:rPr>
        <w:t xml:space="preserve">a device that transforms the kinetic </w:t>
      </w:r>
      <w:r w:rsidRPr="00454E7C">
        <w:rPr>
          <w:rStyle w:val="Strong"/>
          <w:rFonts w:ascii="Arial" w:hAnsi="Arial" w:cs="Arial"/>
          <w:b w:val="0"/>
          <w:bCs w:val="0"/>
          <w:sz w:val="20"/>
          <w:szCs w:val="20"/>
        </w:rPr>
        <w:lastRenderedPageBreak/>
        <w:t>and potential energy of ocean waves into usable mechanical or electrical energy</w:t>
      </w:r>
      <w:r w:rsidRPr="00454E7C">
        <w:rPr>
          <w:rFonts w:ascii="Arial" w:hAnsi="Arial" w:cs="Arial"/>
          <w:sz w:val="20"/>
          <w:szCs w:val="20"/>
        </w:rPr>
        <w:t xml:space="preserve"> </w:t>
      </w:r>
      <w:r w:rsidR="005D1C41" w:rsidRPr="00454E7C">
        <w:rPr>
          <w:rFonts w:ascii="Arial" w:hAnsi="Arial" w:cs="Arial"/>
          <w:sz w:val="20"/>
          <w:szCs w:val="20"/>
        </w:rPr>
        <w:t>(</w:t>
      </w:r>
      <w:r w:rsidR="005D1C41" w:rsidRPr="00454E7C">
        <w:rPr>
          <w:rStyle w:val="Strong"/>
          <w:rFonts w:ascii="Arial" w:hAnsi="Arial" w:cs="Arial"/>
          <w:b w:val="0"/>
          <w:bCs w:val="0"/>
          <w:sz w:val="20"/>
          <w:szCs w:val="20"/>
        </w:rPr>
        <w:t>The Liquid Grid, 2025</w:t>
      </w:r>
      <w:r w:rsidR="005D1C41" w:rsidRPr="00454E7C">
        <w:rPr>
          <w:rFonts w:ascii="Arial" w:hAnsi="Arial" w:cs="Arial"/>
          <w:sz w:val="20"/>
          <w:szCs w:val="20"/>
        </w:rPr>
        <w:t>)</w:t>
      </w:r>
      <w:r w:rsidRPr="00454E7C">
        <w:rPr>
          <w:rFonts w:ascii="Arial" w:hAnsi="Arial" w:cs="Arial"/>
          <w:sz w:val="20"/>
          <w:szCs w:val="20"/>
        </w:rPr>
        <w:t xml:space="preserve">. Among the different WEC architectures, </w:t>
      </w:r>
      <w:r w:rsidRPr="00454E7C">
        <w:rPr>
          <w:rStyle w:val="Strong"/>
          <w:rFonts w:ascii="Arial" w:hAnsi="Arial" w:cs="Arial"/>
          <w:b w:val="0"/>
          <w:bCs w:val="0"/>
          <w:sz w:val="20"/>
          <w:szCs w:val="20"/>
        </w:rPr>
        <w:t>two-body systems</w:t>
      </w:r>
      <w:r w:rsidRPr="00454E7C">
        <w:rPr>
          <w:rFonts w:ascii="Arial" w:hAnsi="Arial" w:cs="Arial"/>
          <w:sz w:val="20"/>
          <w:szCs w:val="20"/>
        </w:rPr>
        <w:t xml:space="preserve"> are of particular interest due to their ability to generate energy through the </w:t>
      </w:r>
      <w:r w:rsidRPr="00454E7C">
        <w:rPr>
          <w:rStyle w:val="Strong"/>
          <w:rFonts w:ascii="Arial" w:hAnsi="Arial" w:cs="Arial"/>
          <w:b w:val="0"/>
          <w:bCs w:val="0"/>
          <w:sz w:val="20"/>
          <w:szCs w:val="20"/>
        </w:rPr>
        <w:t>relative motion between two mechanically coupled bodies</w:t>
      </w:r>
      <w:r w:rsidRPr="00454E7C">
        <w:rPr>
          <w:rFonts w:ascii="Arial" w:hAnsi="Arial" w:cs="Arial"/>
          <w:sz w:val="20"/>
          <w:szCs w:val="20"/>
        </w:rPr>
        <w:t xml:space="preserve">, allowing the exploitation of multiple degrees of freedom, such as heave and pitch </w:t>
      </w:r>
      <w:r w:rsidR="001D7721" w:rsidRPr="00454E7C">
        <w:rPr>
          <w:rFonts w:ascii="Arial" w:hAnsi="Arial" w:cs="Arial"/>
          <w:sz w:val="20"/>
          <w:szCs w:val="20"/>
        </w:rPr>
        <w:t>(</w:t>
      </w:r>
      <w:r w:rsidR="001D7721" w:rsidRPr="00454E7C">
        <w:rPr>
          <w:rStyle w:val="Strong"/>
          <w:rFonts w:ascii="Arial" w:hAnsi="Arial" w:cs="Arial"/>
          <w:b w:val="0"/>
          <w:bCs w:val="0"/>
          <w:sz w:val="20"/>
          <w:szCs w:val="20"/>
        </w:rPr>
        <w:t>Liang and Zuo, 2017</w:t>
      </w:r>
      <w:r w:rsidR="005D1C41" w:rsidRPr="00454E7C">
        <w:rPr>
          <w:rStyle w:val="Strong"/>
          <w:rFonts w:ascii="Arial" w:hAnsi="Arial" w:cs="Arial"/>
          <w:b w:val="0"/>
          <w:bCs w:val="0"/>
          <w:sz w:val="20"/>
          <w:szCs w:val="20"/>
        </w:rPr>
        <w:t>)</w:t>
      </w:r>
      <w:r w:rsidRPr="00454E7C">
        <w:rPr>
          <w:rFonts w:ascii="Arial" w:hAnsi="Arial" w:cs="Arial"/>
          <w:sz w:val="20"/>
          <w:szCs w:val="20"/>
        </w:rPr>
        <w:t xml:space="preserve">. Two-body WECs offer advantages over single-body systems, including enhanced </w:t>
      </w:r>
      <w:r w:rsidRPr="00454E7C">
        <w:rPr>
          <w:rStyle w:val="Strong"/>
          <w:rFonts w:ascii="Arial" w:hAnsi="Arial" w:cs="Arial"/>
          <w:b w:val="0"/>
          <w:bCs w:val="0"/>
          <w:sz w:val="20"/>
          <w:szCs w:val="20"/>
        </w:rPr>
        <w:t>power take-off (PTO) efficiency, improved hydrodynamic response, and mechanical robustness</w:t>
      </w:r>
      <w:r w:rsidRPr="00454E7C">
        <w:rPr>
          <w:rFonts w:ascii="Arial" w:hAnsi="Arial" w:cs="Arial"/>
          <w:sz w:val="20"/>
          <w:szCs w:val="20"/>
        </w:rPr>
        <w:t xml:space="preserve"> </w:t>
      </w:r>
      <w:r w:rsidR="00125B05" w:rsidRPr="00454E7C">
        <w:rPr>
          <w:rFonts w:ascii="Arial" w:hAnsi="Arial" w:cs="Arial"/>
          <w:sz w:val="20"/>
          <w:szCs w:val="20"/>
        </w:rPr>
        <w:t>(</w:t>
      </w:r>
      <w:proofErr w:type="spellStart"/>
      <w:r w:rsidR="00125B05" w:rsidRPr="00454E7C">
        <w:rPr>
          <w:rStyle w:val="Strong"/>
          <w:rFonts w:ascii="Arial" w:hAnsi="Arial" w:cs="Arial"/>
          <w:b w:val="0"/>
          <w:bCs w:val="0"/>
          <w:sz w:val="20"/>
          <w:szCs w:val="20"/>
        </w:rPr>
        <w:t>Aderinto</w:t>
      </w:r>
      <w:proofErr w:type="spellEnd"/>
      <w:r w:rsidR="00125B05" w:rsidRPr="00454E7C">
        <w:rPr>
          <w:rStyle w:val="Strong"/>
          <w:rFonts w:ascii="Arial" w:hAnsi="Arial" w:cs="Arial"/>
          <w:b w:val="0"/>
          <w:bCs w:val="0"/>
          <w:sz w:val="20"/>
          <w:szCs w:val="20"/>
        </w:rPr>
        <w:t xml:space="preserve"> and Li, 2019</w:t>
      </w:r>
      <w:r w:rsidR="00125B05" w:rsidRPr="00454E7C">
        <w:rPr>
          <w:rFonts w:ascii="Arial" w:hAnsi="Arial" w:cs="Arial"/>
          <w:sz w:val="20"/>
          <w:szCs w:val="20"/>
        </w:rPr>
        <w:t>)</w:t>
      </w:r>
      <w:r w:rsidRPr="00454E7C">
        <w:rPr>
          <w:rFonts w:ascii="Arial" w:hAnsi="Arial" w:cs="Arial"/>
          <w:sz w:val="20"/>
          <w:szCs w:val="20"/>
        </w:rPr>
        <w:t>.</w:t>
      </w:r>
    </w:p>
    <w:p w14:paraId="3803F94D" w14:textId="153174CB" w:rsidR="00DD0D91" w:rsidRPr="00454E7C" w:rsidRDefault="00741A58" w:rsidP="00B35725">
      <w:pPr>
        <w:pStyle w:val="NormalWeb"/>
        <w:spacing w:before="0" w:beforeAutospacing="0" w:after="0" w:afterAutospacing="0"/>
        <w:jc w:val="both"/>
        <w:rPr>
          <w:rFonts w:ascii="Arial" w:hAnsi="Arial" w:cs="Arial"/>
          <w:sz w:val="20"/>
          <w:szCs w:val="20"/>
        </w:rPr>
      </w:pPr>
      <w:r w:rsidRPr="00637181">
        <w:rPr>
          <w:rFonts w:ascii="Arial" w:hAnsi="Arial" w:cs="Arial"/>
          <w:sz w:val="20"/>
          <w:szCs w:val="20"/>
          <w:highlight w:val="yellow"/>
        </w:rPr>
        <w:t>Sea wave energy is being increasingly regarded in many countries as a major and promising resource (</w:t>
      </w:r>
      <w:proofErr w:type="spellStart"/>
      <w:r w:rsidRPr="00637181">
        <w:rPr>
          <w:rFonts w:ascii="Arial" w:hAnsi="Arial" w:cs="Arial"/>
          <w:sz w:val="20"/>
          <w:szCs w:val="20"/>
          <w:highlight w:val="yellow"/>
        </w:rPr>
        <w:t>Falcão</w:t>
      </w:r>
      <w:proofErr w:type="spellEnd"/>
      <w:r w:rsidRPr="00637181">
        <w:rPr>
          <w:rFonts w:ascii="Arial" w:hAnsi="Arial" w:cs="Arial"/>
          <w:sz w:val="20"/>
          <w:szCs w:val="20"/>
          <w:highlight w:val="yellow"/>
        </w:rPr>
        <w:t xml:space="preserve">, 2010; </w:t>
      </w:r>
      <w:proofErr w:type="spellStart"/>
      <w:r w:rsidRPr="00637181">
        <w:rPr>
          <w:rFonts w:ascii="Arial" w:hAnsi="Arial" w:cs="Arial"/>
          <w:sz w:val="20"/>
          <w:szCs w:val="20"/>
          <w:highlight w:val="yellow"/>
        </w:rPr>
        <w:t>Penalba</w:t>
      </w:r>
      <w:proofErr w:type="spellEnd"/>
      <w:r w:rsidRPr="00637181">
        <w:rPr>
          <w:rFonts w:ascii="Arial" w:hAnsi="Arial" w:cs="Arial"/>
          <w:sz w:val="20"/>
          <w:szCs w:val="20"/>
          <w:highlight w:val="yellow"/>
        </w:rPr>
        <w:t xml:space="preserve"> &amp; Ringwood, 2016</w:t>
      </w:r>
      <w:r w:rsidR="001108C9" w:rsidRPr="001108C9">
        <w:rPr>
          <w:rFonts w:ascii="Arial" w:hAnsi="Arial" w:cs="Arial"/>
          <w:sz w:val="20"/>
          <w:szCs w:val="20"/>
          <w:highlight w:val="yellow"/>
        </w:rPr>
        <w:t>; Rahman, 2024</w:t>
      </w:r>
      <w:r w:rsidRPr="001108C9">
        <w:rPr>
          <w:rFonts w:ascii="Arial" w:hAnsi="Arial" w:cs="Arial"/>
          <w:sz w:val="20"/>
          <w:szCs w:val="20"/>
          <w:highlight w:val="yellow"/>
        </w:rPr>
        <w:t>).</w:t>
      </w:r>
      <w:r w:rsidRPr="00741A58">
        <w:rPr>
          <w:rFonts w:ascii="Arial" w:hAnsi="Arial" w:cs="Arial"/>
          <w:sz w:val="20"/>
          <w:szCs w:val="20"/>
        </w:rPr>
        <w:t xml:space="preserve"> </w:t>
      </w:r>
      <w:r w:rsidR="00DD0D91" w:rsidRPr="00454E7C">
        <w:rPr>
          <w:rFonts w:ascii="Arial" w:hAnsi="Arial" w:cs="Arial"/>
          <w:sz w:val="20"/>
          <w:szCs w:val="20"/>
        </w:rPr>
        <w:t xml:space="preserve">The global transition toward </w:t>
      </w:r>
      <w:r w:rsidR="00DD0D91" w:rsidRPr="00454E7C">
        <w:rPr>
          <w:rStyle w:val="Strong"/>
          <w:rFonts w:ascii="Arial" w:hAnsi="Arial" w:cs="Arial"/>
          <w:b w:val="0"/>
          <w:bCs w:val="0"/>
          <w:sz w:val="20"/>
          <w:szCs w:val="20"/>
        </w:rPr>
        <w:t>low-carbon energy systems</w:t>
      </w:r>
      <w:r w:rsidR="00DD0D91" w:rsidRPr="00454E7C">
        <w:rPr>
          <w:rFonts w:ascii="Arial" w:hAnsi="Arial" w:cs="Arial"/>
          <w:sz w:val="20"/>
          <w:szCs w:val="20"/>
        </w:rPr>
        <w:t xml:space="preserve"> has intensified the demand for renewable alternatives to fossil fuel–based electricity generation </w:t>
      </w:r>
      <w:r w:rsidR="003B7979" w:rsidRPr="00454E7C">
        <w:rPr>
          <w:rFonts w:ascii="Arial" w:hAnsi="Arial" w:cs="Arial"/>
          <w:sz w:val="20"/>
          <w:szCs w:val="20"/>
        </w:rPr>
        <w:t>(</w:t>
      </w:r>
      <w:r w:rsidR="003B7979" w:rsidRPr="00454E7C">
        <w:rPr>
          <w:rStyle w:val="Strong"/>
          <w:rFonts w:ascii="Arial" w:hAnsi="Arial" w:cs="Arial"/>
          <w:b w:val="0"/>
          <w:bCs w:val="0"/>
          <w:sz w:val="20"/>
          <w:szCs w:val="20"/>
        </w:rPr>
        <w:t>International Energy Agency, 2024</w:t>
      </w:r>
      <w:r w:rsidR="003B7979" w:rsidRPr="00454E7C">
        <w:rPr>
          <w:rStyle w:val="Strong"/>
          <w:rFonts w:ascii="Arial" w:hAnsi="Arial" w:cs="Arial"/>
          <w:sz w:val="20"/>
          <w:szCs w:val="20"/>
        </w:rPr>
        <w:t>)</w:t>
      </w:r>
      <w:r w:rsidR="00DD0D91" w:rsidRPr="00454E7C">
        <w:rPr>
          <w:rFonts w:ascii="Arial" w:hAnsi="Arial" w:cs="Arial"/>
          <w:sz w:val="20"/>
          <w:szCs w:val="20"/>
        </w:rPr>
        <w:t xml:space="preserve">. </w:t>
      </w:r>
      <w:r w:rsidR="0056631C" w:rsidRPr="00637181">
        <w:rPr>
          <w:rFonts w:ascii="Arial" w:hAnsi="Arial" w:cs="Arial"/>
          <w:sz w:val="20"/>
          <w:szCs w:val="20"/>
          <w:highlight w:val="yellow"/>
        </w:rPr>
        <w:t>In 2030, renewable, predominantly wind and the solar systems, are expected to account for around 30% of the world's total power generation</w:t>
      </w:r>
      <w:r w:rsidR="00584C09" w:rsidRPr="00637181">
        <w:rPr>
          <w:rFonts w:ascii="Arial" w:hAnsi="Arial" w:cs="Arial"/>
          <w:sz w:val="20"/>
          <w:szCs w:val="20"/>
          <w:highlight w:val="yellow"/>
        </w:rPr>
        <w:t xml:space="preserve"> (</w:t>
      </w:r>
      <w:proofErr w:type="spellStart"/>
      <w:r w:rsidR="00584C09" w:rsidRPr="00637181">
        <w:rPr>
          <w:rFonts w:ascii="Arial" w:hAnsi="Arial" w:cs="Arial"/>
          <w:sz w:val="20"/>
          <w:szCs w:val="20"/>
          <w:highlight w:val="yellow"/>
        </w:rPr>
        <w:t>Shadmani</w:t>
      </w:r>
      <w:proofErr w:type="spellEnd"/>
      <w:r w:rsidR="00584C09" w:rsidRPr="00637181">
        <w:rPr>
          <w:rFonts w:ascii="Arial" w:hAnsi="Arial" w:cs="Arial"/>
          <w:sz w:val="20"/>
          <w:szCs w:val="20"/>
          <w:highlight w:val="yellow"/>
        </w:rPr>
        <w:t xml:space="preserve"> et al., 2024)</w:t>
      </w:r>
      <w:r w:rsidR="0056631C" w:rsidRPr="00637181">
        <w:rPr>
          <w:rFonts w:ascii="Arial" w:hAnsi="Arial" w:cs="Arial"/>
          <w:sz w:val="20"/>
          <w:szCs w:val="20"/>
          <w:highlight w:val="yellow"/>
        </w:rPr>
        <w:t>. In the last decades, many studies around the globe have shown interest in study and use of wave energy through the WECs</w:t>
      </w:r>
      <w:r w:rsidR="00584C09" w:rsidRPr="00637181">
        <w:rPr>
          <w:rFonts w:ascii="Arial" w:hAnsi="Arial" w:cs="Arial"/>
          <w:sz w:val="20"/>
          <w:szCs w:val="20"/>
          <w:highlight w:val="yellow"/>
        </w:rPr>
        <w:t xml:space="preserve"> (Clemente et al., 2023; Roach et al., 2025)</w:t>
      </w:r>
      <w:r w:rsidR="0056631C" w:rsidRPr="00637181">
        <w:rPr>
          <w:rFonts w:ascii="Arial" w:hAnsi="Arial" w:cs="Arial"/>
          <w:sz w:val="20"/>
          <w:szCs w:val="20"/>
          <w:highlight w:val="yellow"/>
        </w:rPr>
        <w:t xml:space="preserve">. </w:t>
      </w:r>
      <w:r w:rsidR="00DD0D91" w:rsidRPr="00637181">
        <w:rPr>
          <w:rFonts w:ascii="Arial" w:hAnsi="Arial" w:cs="Arial"/>
          <w:sz w:val="20"/>
          <w:szCs w:val="20"/>
          <w:highlight w:val="yellow"/>
        </w:rPr>
        <w:t>Th</w:t>
      </w:r>
      <w:r w:rsidR="000F45CF" w:rsidRPr="00637181">
        <w:rPr>
          <w:rFonts w:ascii="Arial" w:hAnsi="Arial" w:cs="Arial"/>
          <w:sz w:val="20"/>
          <w:szCs w:val="20"/>
          <w:highlight w:val="yellow"/>
        </w:rPr>
        <w:t>e</w:t>
      </w:r>
      <w:r w:rsidR="00DD0D91" w:rsidRPr="00637181">
        <w:rPr>
          <w:rFonts w:ascii="Arial" w:hAnsi="Arial" w:cs="Arial"/>
          <w:sz w:val="20"/>
          <w:szCs w:val="20"/>
          <w:highlight w:val="yellow"/>
        </w:rPr>
        <w:t xml:space="preserve"> need</w:t>
      </w:r>
      <w:r w:rsidR="009522C7" w:rsidRPr="009522C7">
        <w:rPr>
          <w:rFonts w:ascii="Arial" w:hAnsi="Arial" w:cs="Arial"/>
          <w:sz w:val="20"/>
          <w:szCs w:val="20"/>
          <w:highlight w:val="yellow"/>
        </w:rPr>
        <w:t xml:space="preserve"> for</w:t>
      </w:r>
      <w:r w:rsidR="000F45CF" w:rsidRPr="00637181">
        <w:rPr>
          <w:rFonts w:ascii="Arial" w:hAnsi="Arial" w:cs="Arial"/>
          <w:sz w:val="20"/>
          <w:szCs w:val="20"/>
          <w:highlight w:val="yellow"/>
        </w:rPr>
        <w:t xml:space="preserve"> renewable alternatives</w:t>
      </w:r>
      <w:r w:rsidR="00DD0D91" w:rsidRPr="00454E7C">
        <w:rPr>
          <w:rFonts w:ascii="Arial" w:hAnsi="Arial" w:cs="Arial"/>
          <w:sz w:val="20"/>
          <w:szCs w:val="20"/>
        </w:rPr>
        <w:t xml:space="preserve"> is particularly relevant in regions such as </w:t>
      </w:r>
      <w:r w:rsidR="00DD0D91" w:rsidRPr="00454E7C">
        <w:rPr>
          <w:rStyle w:val="Strong"/>
          <w:rFonts w:ascii="Arial" w:hAnsi="Arial" w:cs="Arial"/>
          <w:b w:val="0"/>
          <w:bCs w:val="0"/>
          <w:sz w:val="20"/>
          <w:szCs w:val="20"/>
        </w:rPr>
        <w:t>Trinidad and Tobago and the wider Caribbean</w:t>
      </w:r>
      <w:r w:rsidR="00DD0D91" w:rsidRPr="00454E7C">
        <w:rPr>
          <w:rFonts w:ascii="Arial" w:hAnsi="Arial" w:cs="Arial"/>
          <w:sz w:val="20"/>
          <w:szCs w:val="20"/>
        </w:rPr>
        <w:t xml:space="preserve">, where electricity generation remains heavily dependent on fossil fuels and associated greenhouse gas emissions </w:t>
      </w:r>
      <w:r w:rsidR="003B7979" w:rsidRPr="00454E7C">
        <w:rPr>
          <w:rFonts w:ascii="Arial" w:hAnsi="Arial" w:cs="Arial"/>
          <w:sz w:val="20"/>
          <w:szCs w:val="20"/>
        </w:rPr>
        <w:t>(</w:t>
      </w:r>
      <w:r w:rsidR="003B7979" w:rsidRPr="00454E7C">
        <w:rPr>
          <w:rStyle w:val="Strong"/>
          <w:rFonts w:ascii="Arial" w:hAnsi="Arial" w:cs="Arial"/>
          <w:b w:val="0"/>
          <w:bCs w:val="0"/>
          <w:sz w:val="20"/>
          <w:szCs w:val="20"/>
        </w:rPr>
        <w:t>Ritchie, Rosado, and Roser, 2024</w:t>
      </w:r>
      <w:r w:rsidR="003B7979" w:rsidRPr="00454E7C">
        <w:rPr>
          <w:rFonts w:ascii="Arial" w:hAnsi="Arial" w:cs="Arial"/>
          <w:sz w:val="20"/>
          <w:szCs w:val="20"/>
        </w:rPr>
        <w:t>)</w:t>
      </w:r>
      <w:r w:rsidR="00DD0D91" w:rsidRPr="00454E7C">
        <w:rPr>
          <w:rFonts w:ascii="Arial" w:hAnsi="Arial" w:cs="Arial"/>
          <w:sz w:val="20"/>
          <w:szCs w:val="20"/>
        </w:rPr>
        <w:t xml:space="preserve">. The Caribbean lies within the path of the Trade Winds, generating persistent </w:t>
      </w:r>
      <w:r w:rsidR="00DD0D91" w:rsidRPr="00454E7C">
        <w:rPr>
          <w:rStyle w:val="Strong"/>
          <w:rFonts w:ascii="Arial" w:hAnsi="Arial" w:cs="Arial"/>
          <w:b w:val="0"/>
          <w:bCs w:val="0"/>
          <w:sz w:val="20"/>
          <w:szCs w:val="20"/>
        </w:rPr>
        <w:t>wind-driven wave climates</w:t>
      </w:r>
      <w:r w:rsidR="00DD0D91" w:rsidRPr="00454E7C">
        <w:rPr>
          <w:rFonts w:ascii="Arial" w:hAnsi="Arial" w:cs="Arial"/>
          <w:sz w:val="20"/>
          <w:szCs w:val="20"/>
        </w:rPr>
        <w:t xml:space="preserve"> that represent an </w:t>
      </w:r>
      <w:r w:rsidR="00DD0D91" w:rsidRPr="00454E7C">
        <w:rPr>
          <w:rStyle w:val="Strong"/>
          <w:rFonts w:ascii="Arial" w:hAnsi="Arial" w:cs="Arial"/>
          <w:b w:val="0"/>
          <w:bCs w:val="0"/>
          <w:sz w:val="20"/>
          <w:szCs w:val="20"/>
        </w:rPr>
        <w:t>untapped renewable energy resource</w:t>
      </w:r>
      <w:r w:rsidR="00DD0D91" w:rsidRPr="00454E7C">
        <w:rPr>
          <w:rFonts w:ascii="Arial" w:hAnsi="Arial" w:cs="Arial"/>
          <w:sz w:val="20"/>
          <w:szCs w:val="20"/>
        </w:rPr>
        <w:t xml:space="preserve">. Harnessing wave energy in this region presents an opportunity to </w:t>
      </w:r>
      <w:r w:rsidR="00DD0D91" w:rsidRPr="00454E7C">
        <w:rPr>
          <w:rStyle w:val="Strong"/>
          <w:rFonts w:ascii="Arial" w:hAnsi="Arial" w:cs="Arial"/>
          <w:b w:val="0"/>
          <w:bCs w:val="0"/>
          <w:sz w:val="20"/>
          <w:szCs w:val="20"/>
        </w:rPr>
        <w:t>diversify energy supply, reduce CO</w:t>
      </w:r>
      <w:r w:rsidR="00DD0D91" w:rsidRPr="00454E7C">
        <w:rPr>
          <w:rStyle w:val="Strong"/>
          <w:rFonts w:ascii="Cambria Math" w:hAnsi="Cambria Math" w:cs="Cambria Math"/>
          <w:b w:val="0"/>
          <w:bCs w:val="0"/>
          <w:sz w:val="20"/>
          <w:szCs w:val="20"/>
        </w:rPr>
        <w:t>₂</w:t>
      </w:r>
      <w:r w:rsidR="00DD0D91" w:rsidRPr="00454E7C">
        <w:rPr>
          <w:rStyle w:val="Strong"/>
          <w:rFonts w:ascii="Arial" w:hAnsi="Arial" w:cs="Arial"/>
          <w:b w:val="0"/>
          <w:bCs w:val="0"/>
          <w:sz w:val="20"/>
          <w:szCs w:val="20"/>
        </w:rPr>
        <w:t xml:space="preserve"> emissions, and improve long-term energy security</w:t>
      </w:r>
      <w:r w:rsidR="00DD0D91" w:rsidRPr="00454E7C">
        <w:rPr>
          <w:rFonts w:ascii="Arial" w:hAnsi="Arial" w:cs="Arial"/>
          <w:sz w:val="20"/>
          <w:szCs w:val="20"/>
        </w:rPr>
        <w:t xml:space="preserve"> </w:t>
      </w:r>
      <w:r w:rsidR="00050DE1" w:rsidRPr="00454E7C">
        <w:rPr>
          <w:rFonts w:ascii="Arial" w:hAnsi="Arial" w:cs="Arial"/>
          <w:sz w:val="20"/>
          <w:szCs w:val="20"/>
        </w:rPr>
        <w:t>(</w:t>
      </w:r>
      <w:r w:rsidR="00050DE1" w:rsidRPr="00454E7C">
        <w:rPr>
          <w:rStyle w:val="Strong"/>
          <w:rFonts w:ascii="Arial" w:hAnsi="Arial" w:cs="Arial"/>
          <w:b w:val="0"/>
          <w:bCs w:val="0"/>
          <w:sz w:val="20"/>
          <w:szCs w:val="20"/>
        </w:rPr>
        <w:t>U.S. Environmental Protection Agency, 2015</w:t>
      </w:r>
      <w:r w:rsidR="00050DE1" w:rsidRPr="00454E7C">
        <w:rPr>
          <w:rFonts w:ascii="Arial" w:hAnsi="Arial" w:cs="Arial"/>
          <w:sz w:val="20"/>
          <w:szCs w:val="20"/>
        </w:rPr>
        <w:t>)</w:t>
      </w:r>
      <w:r w:rsidR="00DD0D91" w:rsidRPr="00454E7C">
        <w:rPr>
          <w:rFonts w:ascii="Arial" w:hAnsi="Arial" w:cs="Arial"/>
          <w:sz w:val="20"/>
          <w:szCs w:val="20"/>
        </w:rPr>
        <w:t>.</w:t>
      </w:r>
      <w:r w:rsidR="00B35725" w:rsidRPr="00454E7C">
        <w:rPr>
          <w:rFonts w:ascii="Arial" w:hAnsi="Arial" w:cs="Arial"/>
          <w:sz w:val="20"/>
          <w:szCs w:val="20"/>
        </w:rPr>
        <w:t xml:space="preserve"> </w:t>
      </w:r>
      <w:r w:rsidR="00AE21F5" w:rsidRPr="00637181">
        <w:rPr>
          <w:rFonts w:ascii="Arial" w:hAnsi="Arial" w:cs="Arial"/>
          <w:sz w:val="20"/>
          <w:szCs w:val="20"/>
          <w:highlight w:val="yellow"/>
        </w:rPr>
        <w:t>Wave power is superior in its power density, consistency, and engineering practicability. Wave energy generally has a higher energy flow per unit area (estimated at 2–3 kW/m</w:t>
      </w:r>
      <w:r w:rsidR="00AE21F5" w:rsidRPr="008F3156">
        <w:rPr>
          <w:rFonts w:ascii="Arial" w:hAnsi="Arial" w:cs="Arial"/>
          <w:sz w:val="20"/>
          <w:szCs w:val="20"/>
          <w:highlight w:val="yellow"/>
          <w:vertAlign w:val="superscript"/>
        </w:rPr>
        <w:t>2</w:t>
      </w:r>
      <w:r w:rsidR="00AE21F5" w:rsidRPr="00637181">
        <w:rPr>
          <w:rFonts w:ascii="Arial" w:hAnsi="Arial" w:cs="Arial"/>
          <w:sz w:val="20"/>
          <w:szCs w:val="20"/>
          <w:highlight w:val="yellow"/>
        </w:rPr>
        <w:t>) than that of wind energy (at 0.4–0.6 kW/m</w:t>
      </w:r>
      <w:r w:rsidR="00AE21F5" w:rsidRPr="008F3156">
        <w:rPr>
          <w:rFonts w:ascii="Arial" w:hAnsi="Arial" w:cs="Arial"/>
          <w:sz w:val="20"/>
          <w:szCs w:val="20"/>
          <w:highlight w:val="yellow"/>
          <w:vertAlign w:val="superscript"/>
        </w:rPr>
        <w:t>2</w:t>
      </w:r>
      <w:r w:rsidR="00AE21F5" w:rsidRPr="00637181">
        <w:rPr>
          <w:rFonts w:ascii="Arial" w:hAnsi="Arial" w:cs="Arial"/>
          <w:sz w:val="20"/>
          <w:szCs w:val="20"/>
          <w:highlight w:val="yellow"/>
        </w:rPr>
        <w:t>) or solar energy (at 0.1–0.2 kW/m</w:t>
      </w:r>
      <w:r w:rsidR="00AE21F5" w:rsidRPr="008F3156">
        <w:rPr>
          <w:rFonts w:ascii="Arial" w:hAnsi="Arial" w:cs="Arial"/>
          <w:sz w:val="20"/>
          <w:szCs w:val="20"/>
          <w:highlight w:val="yellow"/>
          <w:vertAlign w:val="superscript"/>
        </w:rPr>
        <w:t>2</w:t>
      </w:r>
      <w:r w:rsidR="00AE21F5" w:rsidRPr="00637181">
        <w:rPr>
          <w:rFonts w:ascii="Arial" w:hAnsi="Arial" w:cs="Arial"/>
          <w:sz w:val="20"/>
          <w:szCs w:val="20"/>
          <w:highlight w:val="yellow"/>
        </w:rPr>
        <w:t>) (Wang et al., 2024).</w:t>
      </w:r>
      <w:r w:rsidR="00AE21F5" w:rsidRPr="00AE21F5">
        <w:rPr>
          <w:rFonts w:ascii="Arial" w:hAnsi="Arial" w:cs="Arial"/>
          <w:sz w:val="20"/>
          <w:szCs w:val="20"/>
        </w:rPr>
        <w:t xml:space="preserve"> </w:t>
      </w:r>
      <w:r w:rsidR="00DD0D91" w:rsidRPr="00454E7C">
        <w:rPr>
          <w:rFonts w:ascii="Arial" w:hAnsi="Arial" w:cs="Arial"/>
          <w:sz w:val="20"/>
          <w:szCs w:val="20"/>
        </w:rPr>
        <w:t xml:space="preserve">Despite the ocean’s energetic potential, wave energy remains </w:t>
      </w:r>
      <w:r w:rsidR="00DD0D91" w:rsidRPr="00454E7C">
        <w:rPr>
          <w:rStyle w:val="Strong"/>
          <w:rFonts w:ascii="Arial" w:hAnsi="Arial" w:cs="Arial"/>
          <w:b w:val="0"/>
          <w:bCs w:val="0"/>
          <w:sz w:val="20"/>
          <w:szCs w:val="20"/>
        </w:rPr>
        <w:t>underutilized globally</w:t>
      </w:r>
      <w:r w:rsidR="00DD0D91" w:rsidRPr="00454E7C">
        <w:rPr>
          <w:rFonts w:ascii="Arial" w:hAnsi="Arial" w:cs="Arial"/>
          <w:sz w:val="20"/>
          <w:szCs w:val="20"/>
        </w:rPr>
        <w:t xml:space="preserve">. Barriers to widespread adoption include </w:t>
      </w:r>
      <w:r w:rsidR="00DD0D91" w:rsidRPr="00454E7C">
        <w:rPr>
          <w:rStyle w:val="Strong"/>
          <w:rFonts w:ascii="Arial" w:hAnsi="Arial" w:cs="Arial"/>
          <w:b w:val="0"/>
          <w:bCs w:val="0"/>
          <w:sz w:val="20"/>
          <w:szCs w:val="20"/>
        </w:rPr>
        <w:t>technological complexity, inconsistent wave climates, survivability in extreme sea states, high capital costs, and limited operational experience</w:t>
      </w:r>
      <w:r w:rsidR="00DD0D91" w:rsidRPr="00454E7C">
        <w:rPr>
          <w:rFonts w:ascii="Arial" w:hAnsi="Arial" w:cs="Arial"/>
          <w:sz w:val="20"/>
          <w:szCs w:val="20"/>
        </w:rPr>
        <w:t xml:space="preserve"> </w:t>
      </w:r>
      <w:r w:rsidR="00B35725" w:rsidRPr="00454E7C">
        <w:rPr>
          <w:rFonts w:ascii="Arial" w:hAnsi="Arial" w:cs="Arial"/>
          <w:sz w:val="20"/>
          <w:szCs w:val="20"/>
        </w:rPr>
        <w:t>(</w:t>
      </w:r>
      <w:r w:rsidR="00B35725" w:rsidRPr="00454E7C">
        <w:rPr>
          <w:rStyle w:val="Strong"/>
          <w:rFonts w:ascii="Arial" w:hAnsi="Arial" w:cs="Arial"/>
          <w:b w:val="0"/>
          <w:bCs w:val="0"/>
          <w:sz w:val="20"/>
          <w:szCs w:val="20"/>
        </w:rPr>
        <w:t>Guo et al., 2022</w:t>
      </w:r>
      <w:r w:rsidR="00B35725" w:rsidRPr="00454E7C">
        <w:rPr>
          <w:rFonts w:ascii="Arial" w:hAnsi="Arial" w:cs="Arial"/>
          <w:sz w:val="20"/>
          <w:szCs w:val="20"/>
        </w:rPr>
        <w:t>)</w:t>
      </w:r>
      <w:r w:rsidR="00DD0D91" w:rsidRPr="00454E7C">
        <w:rPr>
          <w:rFonts w:ascii="Arial" w:hAnsi="Arial" w:cs="Arial"/>
          <w:sz w:val="20"/>
          <w:szCs w:val="20"/>
        </w:rPr>
        <w:t xml:space="preserve">. Moreover, the inherent variability of ocean waves often leads to </w:t>
      </w:r>
      <w:r w:rsidR="00DD0D91" w:rsidRPr="00454E7C">
        <w:rPr>
          <w:rStyle w:val="Strong"/>
          <w:rFonts w:ascii="Arial" w:hAnsi="Arial" w:cs="Arial"/>
          <w:b w:val="0"/>
          <w:bCs w:val="0"/>
          <w:sz w:val="20"/>
          <w:szCs w:val="20"/>
        </w:rPr>
        <w:t>suboptimal energy capture</w:t>
      </w:r>
      <w:r w:rsidR="00DD0D91" w:rsidRPr="00454E7C">
        <w:rPr>
          <w:rFonts w:ascii="Arial" w:hAnsi="Arial" w:cs="Arial"/>
          <w:sz w:val="20"/>
          <w:szCs w:val="20"/>
        </w:rPr>
        <w:t xml:space="preserve">, highlighting the need for </w:t>
      </w:r>
      <w:r w:rsidR="00DD0D91" w:rsidRPr="00454E7C">
        <w:rPr>
          <w:rStyle w:val="Strong"/>
          <w:rFonts w:ascii="Arial" w:hAnsi="Arial" w:cs="Arial"/>
          <w:b w:val="0"/>
          <w:bCs w:val="0"/>
          <w:sz w:val="20"/>
          <w:szCs w:val="20"/>
        </w:rPr>
        <w:t>adaptive WEC designs capable of maintaining high performance across varying sea states</w:t>
      </w:r>
      <w:r w:rsidR="00DD0D91" w:rsidRPr="00454E7C">
        <w:rPr>
          <w:rFonts w:ascii="Arial" w:hAnsi="Arial" w:cs="Arial"/>
          <w:sz w:val="20"/>
          <w:szCs w:val="20"/>
        </w:rPr>
        <w:t xml:space="preserve">. A critical limitation in current WEC technology is the </w:t>
      </w:r>
      <w:r w:rsidR="00DD0D91" w:rsidRPr="00454E7C">
        <w:rPr>
          <w:rStyle w:val="Strong"/>
          <w:rFonts w:ascii="Arial" w:hAnsi="Arial" w:cs="Arial"/>
          <w:b w:val="0"/>
          <w:bCs w:val="0"/>
          <w:sz w:val="20"/>
          <w:szCs w:val="20"/>
        </w:rPr>
        <w:t>lack of mechanically realizable solutions for variable geometry systems</w:t>
      </w:r>
      <w:r w:rsidR="00DD0D91" w:rsidRPr="00454E7C">
        <w:rPr>
          <w:rFonts w:ascii="Arial" w:hAnsi="Arial" w:cs="Arial"/>
          <w:sz w:val="20"/>
          <w:szCs w:val="20"/>
        </w:rPr>
        <w:t xml:space="preserve">, which could dynamically optimize hydrodynamic response while ensuring structural integrity and operational reliability </w:t>
      </w:r>
      <w:r w:rsidR="00B35725" w:rsidRPr="00454E7C">
        <w:rPr>
          <w:rFonts w:ascii="Arial" w:hAnsi="Arial" w:cs="Arial"/>
          <w:sz w:val="20"/>
          <w:szCs w:val="20"/>
        </w:rPr>
        <w:t>(</w:t>
      </w:r>
      <w:r w:rsidR="00B35725" w:rsidRPr="00454E7C">
        <w:rPr>
          <w:rStyle w:val="Strong"/>
          <w:rFonts w:ascii="Arial" w:hAnsi="Arial" w:cs="Arial"/>
          <w:b w:val="0"/>
          <w:bCs w:val="0"/>
          <w:sz w:val="20"/>
          <w:szCs w:val="20"/>
        </w:rPr>
        <w:t>Tom et al., 2023</w:t>
      </w:r>
      <w:r w:rsidR="00B35725" w:rsidRPr="00454E7C">
        <w:rPr>
          <w:rFonts w:ascii="Arial" w:hAnsi="Arial" w:cs="Arial"/>
          <w:sz w:val="20"/>
          <w:szCs w:val="20"/>
        </w:rPr>
        <w:t xml:space="preserve">). </w:t>
      </w:r>
      <w:r w:rsidR="00DD0D91" w:rsidRPr="00454E7C">
        <w:rPr>
          <w:rFonts w:ascii="Arial" w:hAnsi="Arial" w:cs="Arial"/>
          <w:sz w:val="20"/>
          <w:szCs w:val="20"/>
        </w:rPr>
        <w:t xml:space="preserve">The </w:t>
      </w:r>
      <w:r w:rsidR="00DD0D91" w:rsidRPr="00454E7C">
        <w:rPr>
          <w:rStyle w:val="Strong"/>
          <w:rFonts w:ascii="Arial" w:hAnsi="Arial" w:cs="Arial"/>
          <w:b w:val="0"/>
          <w:bCs w:val="0"/>
          <w:sz w:val="20"/>
          <w:szCs w:val="20"/>
        </w:rPr>
        <w:t>primary aim</w:t>
      </w:r>
      <w:r w:rsidR="00DD0D91" w:rsidRPr="00454E7C">
        <w:rPr>
          <w:rFonts w:ascii="Arial" w:hAnsi="Arial" w:cs="Arial"/>
          <w:sz w:val="20"/>
          <w:szCs w:val="20"/>
        </w:rPr>
        <w:t xml:space="preserve"> of this study is to </w:t>
      </w:r>
      <w:r w:rsidR="00DD0D91" w:rsidRPr="00454E7C">
        <w:rPr>
          <w:rStyle w:val="Strong"/>
          <w:rFonts w:ascii="Arial" w:hAnsi="Arial" w:cs="Arial"/>
          <w:b w:val="0"/>
          <w:bCs w:val="0"/>
          <w:sz w:val="20"/>
          <w:szCs w:val="20"/>
        </w:rPr>
        <w:t>investigate the hydrodynamic and energy performance of a two-body WEC incorporating variable geometry</w:t>
      </w:r>
      <w:r w:rsidR="00DD0D91" w:rsidRPr="00454E7C">
        <w:rPr>
          <w:rFonts w:ascii="Arial" w:hAnsi="Arial" w:cs="Arial"/>
          <w:sz w:val="20"/>
          <w:szCs w:val="20"/>
        </w:rPr>
        <w:t xml:space="preserve">, with emphasis on quantifying how </w:t>
      </w:r>
      <w:r w:rsidR="00DD0D91" w:rsidRPr="00454E7C">
        <w:rPr>
          <w:rStyle w:val="Strong"/>
          <w:rFonts w:ascii="Arial" w:hAnsi="Arial" w:cs="Arial"/>
          <w:b w:val="0"/>
          <w:bCs w:val="0"/>
          <w:sz w:val="20"/>
          <w:szCs w:val="20"/>
        </w:rPr>
        <w:t>geometric adaptability influences power capture efficiency</w:t>
      </w:r>
      <w:r w:rsidR="00DD0D91" w:rsidRPr="00454E7C">
        <w:rPr>
          <w:rFonts w:ascii="Arial" w:hAnsi="Arial" w:cs="Arial"/>
          <w:sz w:val="20"/>
          <w:szCs w:val="20"/>
        </w:rPr>
        <w:t xml:space="preserve"> under varying wave conditions.</w:t>
      </w:r>
    </w:p>
    <w:p w14:paraId="0B7FC1BD" w14:textId="77777777" w:rsidR="00DD0D91" w:rsidRPr="00454E7C" w:rsidRDefault="00DD0D91" w:rsidP="00DD0D91">
      <w:pPr>
        <w:pStyle w:val="NormalWeb"/>
        <w:spacing w:before="0" w:beforeAutospacing="0" w:after="0" w:afterAutospacing="0"/>
        <w:jc w:val="both"/>
        <w:rPr>
          <w:rFonts w:ascii="Arial" w:hAnsi="Arial" w:cs="Arial"/>
          <w:sz w:val="20"/>
          <w:szCs w:val="20"/>
        </w:rPr>
      </w:pPr>
      <w:r w:rsidRPr="00454E7C">
        <w:rPr>
          <w:rFonts w:ascii="Arial" w:hAnsi="Arial" w:cs="Arial"/>
          <w:sz w:val="20"/>
          <w:szCs w:val="20"/>
        </w:rPr>
        <w:t xml:space="preserve">To achieve this aim, the study pursues the following </w:t>
      </w:r>
      <w:r w:rsidRPr="00454E7C">
        <w:rPr>
          <w:rStyle w:val="Strong"/>
          <w:rFonts w:ascii="Arial" w:hAnsi="Arial" w:cs="Arial"/>
          <w:b w:val="0"/>
          <w:bCs w:val="0"/>
          <w:sz w:val="20"/>
          <w:szCs w:val="20"/>
        </w:rPr>
        <w:t>objectives</w:t>
      </w:r>
      <w:r w:rsidRPr="00454E7C">
        <w:rPr>
          <w:rFonts w:ascii="Arial" w:hAnsi="Arial" w:cs="Arial"/>
          <w:sz w:val="20"/>
          <w:szCs w:val="20"/>
        </w:rPr>
        <w:t>:</w:t>
      </w:r>
    </w:p>
    <w:p w14:paraId="3F381D11" w14:textId="77777777" w:rsidR="00DD0D91" w:rsidRPr="00454E7C" w:rsidRDefault="00DD0D91" w:rsidP="00DD0D91">
      <w:pPr>
        <w:pStyle w:val="NormalWeb"/>
        <w:numPr>
          <w:ilvl w:val="0"/>
          <w:numId w:val="37"/>
        </w:numPr>
        <w:spacing w:before="0" w:beforeAutospacing="0" w:after="0" w:afterAutospacing="0"/>
        <w:jc w:val="both"/>
        <w:rPr>
          <w:rFonts w:ascii="Arial" w:hAnsi="Arial" w:cs="Arial"/>
          <w:sz w:val="20"/>
          <w:szCs w:val="20"/>
        </w:rPr>
      </w:pPr>
      <w:r w:rsidRPr="00454E7C">
        <w:rPr>
          <w:rStyle w:val="Strong"/>
          <w:rFonts w:ascii="Arial" w:hAnsi="Arial" w:cs="Arial"/>
          <w:b w:val="0"/>
          <w:bCs w:val="0"/>
          <w:sz w:val="20"/>
          <w:szCs w:val="20"/>
        </w:rPr>
        <w:t>Design a two-body WEC</w:t>
      </w:r>
      <w:r w:rsidRPr="00454E7C">
        <w:rPr>
          <w:rFonts w:ascii="Arial" w:hAnsi="Arial" w:cs="Arial"/>
          <w:sz w:val="20"/>
          <w:szCs w:val="20"/>
        </w:rPr>
        <w:t xml:space="preserve"> capable of harnessing both </w:t>
      </w:r>
      <w:r w:rsidRPr="00454E7C">
        <w:rPr>
          <w:rStyle w:val="Strong"/>
          <w:rFonts w:ascii="Arial" w:hAnsi="Arial" w:cs="Arial"/>
          <w:b w:val="0"/>
          <w:bCs w:val="0"/>
          <w:sz w:val="20"/>
          <w:szCs w:val="20"/>
        </w:rPr>
        <w:t>heave and pitch motion</w:t>
      </w:r>
      <w:r w:rsidRPr="00454E7C">
        <w:rPr>
          <w:rFonts w:ascii="Arial" w:hAnsi="Arial" w:cs="Arial"/>
          <w:sz w:val="20"/>
          <w:szCs w:val="20"/>
        </w:rPr>
        <w:t>.</w:t>
      </w:r>
    </w:p>
    <w:p w14:paraId="66BFF1DC" w14:textId="77777777" w:rsidR="00DD0D91" w:rsidRPr="00454E7C" w:rsidRDefault="00DD0D91" w:rsidP="00DD0D91">
      <w:pPr>
        <w:pStyle w:val="NormalWeb"/>
        <w:numPr>
          <w:ilvl w:val="0"/>
          <w:numId w:val="37"/>
        </w:numPr>
        <w:spacing w:before="0" w:beforeAutospacing="0" w:after="0" w:afterAutospacing="0"/>
        <w:jc w:val="both"/>
        <w:rPr>
          <w:rFonts w:ascii="Arial" w:hAnsi="Arial" w:cs="Arial"/>
          <w:sz w:val="20"/>
          <w:szCs w:val="20"/>
        </w:rPr>
      </w:pPr>
      <w:r w:rsidRPr="00454E7C">
        <w:rPr>
          <w:rStyle w:val="Strong"/>
          <w:rFonts w:ascii="Arial" w:hAnsi="Arial" w:cs="Arial"/>
          <w:b w:val="0"/>
          <w:bCs w:val="0"/>
          <w:sz w:val="20"/>
          <w:szCs w:val="20"/>
        </w:rPr>
        <w:t>Develop and integrate a controllable geometry mechanism</w:t>
      </w:r>
      <w:r w:rsidRPr="00454E7C">
        <w:rPr>
          <w:rFonts w:ascii="Arial" w:hAnsi="Arial" w:cs="Arial"/>
          <w:sz w:val="20"/>
          <w:szCs w:val="20"/>
        </w:rPr>
        <w:t xml:space="preserve"> to enhance energy capture across multiple sea states.</w:t>
      </w:r>
    </w:p>
    <w:p w14:paraId="6CAE7935" w14:textId="77777777" w:rsidR="00DD0D91" w:rsidRPr="00454E7C" w:rsidRDefault="00DD0D91" w:rsidP="00DD0D91">
      <w:pPr>
        <w:pStyle w:val="NormalWeb"/>
        <w:numPr>
          <w:ilvl w:val="0"/>
          <w:numId w:val="37"/>
        </w:numPr>
        <w:spacing w:before="0" w:beforeAutospacing="0" w:after="0" w:afterAutospacing="0"/>
        <w:jc w:val="both"/>
        <w:rPr>
          <w:rFonts w:ascii="Arial" w:hAnsi="Arial" w:cs="Arial"/>
          <w:sz w:val="20"/>
          <w:szCs w:val="20"/>
        </w:rPr>
      </w:pPr>
      <w:r w:rsidRPr="00454E7C">
        <w:rPr>
          <w:rStyle w:val="Strong"/>
          <w:rFonts w:ascii="Arial" w:hAnsi="Arial" w:cs="Arial"/>
          <w:b w:val="0"/>
          <w:bCs w:val="0"/>
          <w:sz w:val="20"/>
          <w:szCs w:val="20"/>
        </w:rPr>
        <w:t>Implement numerical simulations</w:t>
      </w:r>
      <w:r w:rsidRPr="00454E7C">
        <w:rPr>
          <w:rFonts w:ascii="Arial" w:hAnsi="Arial" w:cs="Arial"/>
          <w:sz w:val="20"/>
          <w:szCs w:val="20"/>
        </w:rPr>
        <w:t xml:space="preserve"> to evaluate system performance under both regular and irregular wave conditions.</w:t>
      </w:r>
    </w:p>
    <w:p w14:paraId="7C6CE2DB" w14:textId="77777777" w:rsidR="00DD0D91" w:rsidRPr="00454E7C" w:rsidRDefault="00DD0D91" w:rsidP="00DD0D91">
      <w:pPr>
        <w:pStyle w:val="NormalWeb"/>
        <w:numPr>
          <w:ilvl w:val="0"/>
          <w:numId w:val="37"/>
        </w:numPr>
        <w:spacing w:before="0" w:beforeAutospacing="0" w:after="0" w:afterAutospacing="0"/>
        <w:jc w:val="both"/>
        <w:rPr>
          <w:rFonts w:ascii="Arial" w:hAnsi="Arial" w:cs="Arial"/>
          <w:sz w:val="20"/>
          <w:szCs w:val="20"/>
        </w:rPr>
      </w:pPr>
      <w:r w:rsidRPr="00454E7C">
        <w:rPr>
          <w:rStyle w:val="Strong"/>
          <w:rFonts w:ascii="Arial" w:hAnsi="Arial" w:cs="Arial"/>
          <w:b w:val="0"/>
          <w:bCs w:val="0"/>
          <w:sz w:val="20"/>
          <w:szCs w:val="20"/>
        </w:rPr>
        <w:t>Extend and improve prior research</w:t>
      </w:r>
      <w:r w:rsidRPr="00454E7C">
        <w:rPr>
          <w:rFonts w:ascii="Arial" w:hAnsi="Arial" w:cs="Arial"/>
          <w:sz w:val="20"/>
          <w:szCs w:val="20"/>
        </w:rPr>
        <w:t xml:space="preserve"> on inflatable and controllable geometry WEC concepts, emphasizing </w:t>
      </w:r>
      <w:r w:rsidRPr="00454E7C">
        <w:rPr>
          <w:rStyle w:val="Strong"/>
          <w:rFonts w:ascii="Arial" w:hAnsi="Arial" w:cs="Arial"/>
          <w:b w:val="0"/>
          <w:bCs w:val="0"/>
          <w:sz w:val="20"/>
          <w:szCs w:val="20"/>
        </w:rPr>
        <w:t>practical mechanical implementation</w:t>
      </w:r>
      <w:r w:rsidRPr="00454E7C">
        <w:rPr>
          <w:rFonts w:ascii="Arial" w:hAnsi="Arial" w:cs="Arial"/>
          <w:sz w:val="20"/>
          <w:szCs w:val="20"/>
        </w:rPr>
        <w:t>.</w:t>
      </w:r>
    </w:p>
    <w:p w14:paraId="7847EE75" w14:textId="77777777" w:rsidR="00DD0D91" w:rsidRPr="00454E7C" w:rsidRDefault="00DD0D91" w:rsidP="00DD0D91">
      <w:pPr>
        <w:pStyle w:val="NormalWeb"/>
        <w:spacing w:before="0" w:beforeAutospacing="0" w:after="0" w:afterAutospacing="0"/>
        <w:jc w:val="both"/>
        <w:rPr>
          <w:rFonts w:ascii="Arial" w:hAnsi="Arial" w:cs="Arial"/>
          <w:sz w:val="20"/>
          <w:szCs w:val="20"/>
        </w:rPr>
      </w:pPr>
      <w:r w:rsidRPr="00454E7C">
        <w:rPr>
          <w:rFonts w:ascii="Arial" w:hAnsi="Arial" w:cs="Arial"/>
          <w:sz w:val="20"/>
          <w:szCs w:val="20"/>
        </w:rPr>
        <w:t xml:space="preserve">The </w:t>
      </w:r>
      <w:r w:rsidRPr="00454E7C">
        <w:rPr>
          <w:rStyle w:val="Strong"/>
          <w:rFonts w:ascii="Arial" w:hAnsi="Arial" w:cs="Arial"/>
          <w:b w:val="0"/>
          <w:bCs w:val="0"/>
          <w:sz w:val="20"/>
          <w:szCs w:val="20"/>
        </w:rPr>
        <w:t>scope</w:t>
      </w:r>
      <w:r w:rsidRPr="00454E7C">
        <w:rPr>
          <w:rFonts w:ascii="Arial" w:hAnsi="Arial" w:cs="Arial"/>
          <w:sz w:val="20"/>
          <w:szCs w:val="20"/>
        </w:rPr>
        <w:t xml:space="preserve"> of this study is limited to the </w:t>
      </w:r>
      <w:r w:rsidRPr="00454E7C">
        <w:rPr>
          <w:rStyle w:val="Strong"/>
          <w:rFonts w:ascii="Arial" w:hAnsi="Arial" w:cs="Arial"/>
          <w:b w:val="0"/>
          <w:bCs w:val="0"/>
          <w:sz w:val="20"/>
          <w:szCs w:val="20"/>
        </w:rPr>
        <w:t>conceptual design, mechanical configuration, and numerical simulation</w:t>
      </w:r>
      <w:r w:rsidRPr="00454E7C">
        <w:rPr>
          <w:rFonts w:ascii="Arial" w:hAnsi="Arial" w:cs="Arial"/>
          <w:sz w:val="20"/>
          <w:szCs w:val="20"/>
        </w:rPr>
        <w:t xml:space="preserve"> of a two-body WEC featuring adaptive geometry. Initial analyses involve a </w:t>
      </w:r>
      <w:r w:rsidRPr="00454E7C">
        <w:rPr>
          <w:rStyle w:val="Strong"/>
          <w:rFonts w:ascii="Arial" w:hAnsi="Arial" w:cs="Arial"/>
          <w:b w:val="0"/>
          <w:bCs w:val="0"/>
          <w:sz w:val="20"/>
          <w:szCs w:val="20"/>
        </w:rPr>
        <w:t>comparative evaluation of existing WEC classifications</w:t>
      </w:r>
      <w:r w:rsidRPr="00454E7C">
        <w:rPr>
          <w:rFonts w:ascii="Arial" w:hAnsi="Arial" w:cs="Arial"/>
          <w:sz w:val="20"/>
          <w:szCs w:val="20"/>
        </w:rPr>
        <w:t xml:space="preserve"> and conceptual configurations to identify architectures suitable for </w:t>
      </w:r>
      <w:r w:rsidRPr="00454E7C">
        <w:rPr>
          <w:rStyle w:val="Strong"/>
          <w:rFonts w:ascii="Arial" w:hAnsi="Arial" w:cs="Arial"/>
          <w:b w:val="0"/>
          <w:bCs w:val="0"/>
          <w:sz w:val="20"/>
          <w:szCs w:val="20"/>
        </w:rPr>
        <w:t>variable geometry mechanisms</w:t>
      </w:r>
      <w:r w:rsidRPr="00454E7C">
        <w:rPr>
          <w:rFonts w:ascii="Arial" w:hAnsi="Arial" w:cs="Arial"/>
          <w:sz w:val="20"/>
          <w:szCs w:val="20"/>
        </w:rPr>
        <w:t xml:space="preserve"> and efficient PTO integration.</w:t>
      </w:r>
    </w:p>
    <w:p w14:paraId="7A93E4ED" w14:textId="77777777" w:rsidR="00DD0D91" w:rsidRPr="00454E7C" w:rsidRDefault="00DD0D91" w:rsidP="00DD0D91">
      <w:pPr>
        <w:pStyle w:val="NormalWeb"/>
        <w:spacing w:before="0" w:beforeAutospacing="0" w:after="0" w:afterAutospacing="0"/>
        <w:jc w:val="both"/>
        <w:rPr>
          <w:rFonts w:ascii="Arial" w:hAnsi="Arial" w:cs="Arial"/>
          <w:sz w:val="20"/>
          <w:szCs w:val="20"/>
        </w:rPr>
      </w:pPr>
      <w:r w:rsidRPr="00454E7C">
        <w:rPr>
          <w:rFonts w:ascii="Arial" w:hAnsi="Arial" w:cs="Arial"/>
          <w:sz w:val="20"/>
          <w:szCs w:val="20"/>
        </w:rPr>
        <w:t xml:space="preserve">The </w:t>
      </w:r>
      <w:r w:rsidRPr="00454E7C">
        <w:rPr>
          <w:rStyle w:val="Strong"/>
          <w:rFonts w:ascii="Arial" w:hAnsi="Arial" w:cs="Arial"/>
          <w:b w:val="0"/>
          <w:bCs w:val="0"/>
          <w:sz w:val="20"/>
          <w:szCs w:val="20"/>
        </w:rPr>
        <w:t>final design</w:t>
      </w:r>
      <w:r w:rsidRPr="00454E7C">
        <w:rPr>
          <w:rFonts w:ascii="Arial" w:hAnsi="Arial" w:cs="Arial"/>
          <w:sz w:val="20"/>
          <w:szCs w:val="20"/>
        </w:rPr>
        <w:t xml:space="preserve"> is selected based on </w:t>
      </w:r>
      <w:r w:rsidRPr="00454E7C">
        <w:rPr>
          <w:rStyle w:val="Strong"/>
          <w:rFonts w:ascii="Arial" w:hAnsi="Arial" w:cs="Arial"/>
          <w:b w:val="0"/>
          <w:bCs w:val="0"/>
          <w:sz w:val="20"/>
          <w:szCs w:val="20"/>
        </w:rPr>
        <w:t>hydrodynamic performance, structural feasibility, and adaptability potential</w:t>
      </w:r>
      <w:r w:rsidRPr="00454E7C">
        <w:rPr>
          <w:rFonts w:ascii="Arial" w:hAnsi="Arial" w:cs="Arial"/>
          <w:sz w:val="20"/>
          <w:szCs w:val="20"/>
        </w:rPr>
        <w:t xml:space="preserve">, with emphasis on </w:t>
      </w:r>
      <w:r w:rsidRPr="00454E7C">
        <w:rPr>
          <w:rStyle w:val="Strong"/>
          <w:rFonts w:ascii="Arial" w:hAnsi="Arial" w:cs="Arial"/>
          <w:b w:val="0"/>
          <w:bCs w:val="0"/>
          <w:sz w:val="20"/>
          <w:szCs w:val="20"/>
        </w:rPr>
        <w:t>two-body interaction dynamics and variable geometry mechanisms</w:t>
      </w:r>
      <w:r w:rsidRPr="00454E7C">
        <w:rPr>
          <w:rFonts w:ascii="Arial" w:hAnsi="Arial" w:cs="Arial"/>
          <w:sz w:val="20"/>
          <w:szCs w:val="20"/>
        </w:rPr>
        <w:t xml:space="preserve">. Supporting documentation includes </w:t>
      </w:r>
      <w:r w:rsidRPr="00454E7C">
        <w:rPr>
          <w:rStyle w:val="Strong"/>
          <w:rFonts w:ascii="Arial" w:hAnsi="Arial" w:cs="Arial"/>
          <w:b w:val="0"/>
          <w:bCs w:val="0"/>
          <w:sz w:val="20"/>
          <w:szCs w:val="20"/>
        </w:rPr>
        <w:t xml:space="preserve">kinematic models, structural </w:t>
      </w:r>
      <w:r w:rsidRPr="00454E7C">
        <w:rPr>
          <w:rStyle w:val="Strong"/>
          <w:rFonts w:ascii="Arial" w:hAnsi="Arial" w:cs="Arial"/>
          <w:b w:val="0"/>
          <w:bCs w:val="0"/>
          <w:sz w:val="20"/>
          <w:szCs w:val="20"/>
        </w:rPr>
        <w:lastRenderedPageBreak/>
        <w:t>layouts, system calculations, and engineering diagrams</w:t>
      </w:r>
      <w:r w:rsidRPr="00454E7C">
        <w:rPr>
          <w:rFonts w:ascii="Arial" w:hAnsi="Arial" w:cs="Arial"/>
          <w:sz w:val="20"/>
          <w:szCs w:val="20"/>
        </w:rPr>
        <w:t xml:space="preserve"> such as Piping and Instrumentation Diagrams (P&amp;IDs).</w:t>
      </w:r>
    </w:p>
    <w:p w14:paraId="16C263FE" w14:textId="77777777" w:rsidR="00DD0D91" w:rsidRPr="00454E7C" w:rsidRDefault="00DD0D91" w:rsidP="00DD0D91">
      <w:pPr>
        <w:pStyle w:val="NormalWeb"/>
        <w:spacing w:before="0" w:beforeAutospacing="0" w:after="0" w:afterAutospacing="0"/>
        <w:jc w:val="both"/>
        <w:rPr>
          <w:rFonts w:ascii="Arial" w:hAnsi="Arial" w:cs="Arial"/>
          <w:sz w:val="20"/>
          <w:szCs w:val="20"/>
        </w:rPr>
      </w:pPr>
      <w:r w:rsidRPr="00454E7C">
        <w:rPr>
          <w:rFonts w:ascii="Arial" w:hAnsi="Arial" w:cs="Arial"/>
          <w:sz w:val="20"/>
          <w:szCs w:val="20"/>
        </w:rPr>
        <w:t xml:space="preserve">Due to constraints in manufacturing resources, the study does </w:t>
      </w:r>
      <w:r w:rsidRPr="00454E7C">
        <w:rPr>
          <w:rStyle w:val="Strong"/>
          <w:rFonts w:ascii="Arial" w:hAnsi="Arial" w:cs="Arial"/>
          <w:b w:val="0"/>
          <w:bCs w:val="0"/>
          <w:sz w:val="20"/>
          <w:szCs w:val="20"/>
        </w:rPr>
        <w:t>not extend to full-scale prototyping</w:t>
      </w:r>
      <w:r w:rsidRPr="00454E7C">
        <w:rPr>
          <w:rFonts w:ascii="Arial" w:hAnsi="Arial" w:cs="Arial"/>
          <w:sz w:val="20"/>
          <w:szCs w:val="20"/>
        </w:rPr>
        <w:t xml:space="preserve">. Instead, emphasis is placed on </w:t>
      </w:r>
      <w:r w:rsidRPr="00454E7C">
        <w:rPr>
          <w:rStyle w:val="Strong"/>
          <w:rFonts w:ascii="Arial" w:hAnsi="Arial" w:cs="Arial"/>
          <w:b w:val="0"/>
          <w:bCs w:val="0"/>
          <w:sz w:val="20"/>
          <w:szCs w:val="20"/>
        </w:rPr>
        <w:t>simulation-based evaluation</w:t>
      </w:r>
      <w:r w:rsidRPr="00454E7C">
        <w:rPr>
          <w:rFonts w:ascii="Arial" w:hAnsi="Arial" w:cs="Arial"/>
          <w:sz w:val="20"/>
          <w:szCs w:val="20"/>
        </w:rPr>
        <w:t>, which includes:</w:t>
      </w:r>
    </w:p>
    <w:p w14:paraId="3A82BF8C" w14:textId="77777777" w:rsidR="00DD0D91" w:rsidRPr="00454E7C" w:rsidRDefault="00DD0D91" w:rsidP="00DD0D91">
      <w:pPr>
        <w:pStyle w:val="NormalWeb"/>
        <w:numPr>
          <w:ilvl w:val="0"/>
          <w:numId w:val="38"/>
        </w:numPr>
        <w:spacing w:before="0" w:beforeAutospacing="0" w:after="0" w:afterAutospacing="0"/>
        <w:jc w:val="both"/>
        <w:rPr>
          <w:rFonts w:ascii="Arial" w:hAnsi="Arial" w:cs="Arial"/>
          <w:sz w:val="20"/>
          <w:szCs w:val="20"/>
        </w:rPr>
      </w:pPr>
      <w:r w:rsidRPr="00454E7C">
        <w:rPr>
          <w:rStyle w:val="Strong"/>
          <w:rFonts w:ascii="Arial" w:hAnsi="Arial" w:cs="Arial"/>
          <w:b w:val="0"/>
          <w:bCs w:val="0"/>
          <w:sz w:val="20"/>
          <w:szCs w:val="20"/>
        </w:rPr>
        <w:t>Structural simulations</w:t>
      </w:r>
      <w:r w:rsidRPr="00454E7C">
        <w:rPr>
          <w:rFonts w:ascii="Arial" w:hAnsi="Arial" w:cs="Arial"/>
          <w:sz w:val="20"/>
          <w:szCs w:val="20"/>
        </w:rPr>
        <w:t xml:space="preserve"> to assess mechanical resilience under representative wave loading.</w:t>
      </w:r>
    </w:p>
    <w:p w14:paraId="44FB2125" w14:textId="77777777" w:rsidR="00DD0D91" w:rsidRPr="00454E7C" w:rsidRDefault="00DD0D91" w:rsidP="00DD0D91">
      <w:pPr>
        <w:pStyle w:val="NormalWeb"/>
        <w:numPr>
          <w:ilvl w:val="0"/>
          <w:numId w:val="38"/>
        </w:numPr>
        <w:spacing w:before="0" w:beforeAutospacing="0" w:after="0" w:afterAutospacing="0"/>
        <w:jc w:val="both"/>
        <w:rPr>
          <w:rFonts w:ascii="Arial" w:hAnsi="Arial" w:cs="Arial"/>
          <w:sz w:val="20"/>
          <w:szCs w:val="20"/>
        </w:rPr>
      </w:pPr>
      <w:r w:rsidRPr="00454E7C">
        <w:rPr>
          <w:rStyle w:val="Strong"/>
          <w:rFonts w:ascii="Arial" w:hAnsi="Arial" w:cs="Arial"/>
          <w:b w:val="0"/>
          <w:bCs w:val="0"/>
          <w:sz w:val="20"/>
          <w:szCs w:val="20"/>
        </w:rPr>
        <w:t>Hydrodynamic simulations</w:t>
      </w:r>
      <w:r w:rsidRPr="00454E7C">
        <w:rPr>
          <w:rFonts w:ascii="Arial" w:hAnsi="Arial" w:cs="Arial"/>
          <w:sz w:val="20"/>
          <w:szCs w:val="20"/>
        </w:rPr>
        <w:t xml:space="preserve"> to quantify motion response and power absorption under varying wave frequencies and sea spectra.</w:t>
      </w:r>
    </w:p>
    <w:p w14:paraId="713366A0" w14:textId="3D22424E" w:rsidR="00DD0D91" w:rsidRPr="00454E7C" w:rsidRDefault="00DD0D91" w:rsidP="00DD0D91">
      <w:pPr>
        <w:pStyle w:val="NormalWeb"/>
        <w:spacing w:before="0" w:beforeAutospacing="0" w:after="0" w:afterAutospacing="0"/>
        <w:jc w:val="both"/>
        <w:rPr>
          <w:rFonts w:ascii="Arial" w:hAnsi="Arial" w:cs="Arial"/>
          <w:sz w:val="20"/>
          <w:szCs w:val="20"/>
        </w:rPr>
      </w:pPr>
      <w:r w:rsidRPr="00454E7C">
        <w:rPr>
          <w:rFonts w:ascii="Arial" w:hAnsi="Arial" w:cs="Arial"/>
          <w:sz w:val="20"/>
          <w:szCs w:val="20"/>
        </w:rPr>
        <w:t xml:space="preserve">Analytical calculations assume </w:t>
      </w:r>
      <w:r w:rsidRPr="00454E7C">
        <w:rPr>
          <w:rStyle w:val="Strong"/>
          <w:rFonts w:ascii="Arial" w:hAnsi="Arial" w:cs="Arial"/>
          <w:b w:val="0"/>
          <w:bCs w:val="0"/>
          <w:sz w:val="20"/>
          <w:szCs w:val="20"/>
        </w:rPr>
        <w:t>two-dimensional, uniform waves</w:t>
      </w:r>
      <w:r w:rsidRPr="00454E7C">
        <w:rPr>
          <w:rFonts w:ascii="Arial" w:hAnsi="Arial" w:cs="Arial"/>
          <w:sz w:val="20"/>
          <w:szCs w:val="20"/>
        </w:rPr>
        <w:t xml:space="preserve">, consistent with linear wave theory, to provide baseline performance assessments. The study prioritizes the </w:t>
      </w:r>
      <w:r w:rsidRPr="00454E7C">
        <w:rPr>
          <w:rStyle w:val="Strong"/>
          <w:rFonts w:ascii="Arial" w:hAnsi="Arial" w:cs="Arial"/>
          <w:b w:val="0"/>
          <w:bCs w:val="0"/>
          <w:sz w:val="20"/>
          <w:szCs w:val="20"/>
        </w:rPr>
        <w:t>effect of geometric adaptation on power output</w:t>
      </w:r>
      <w:r w:rsidRPr="00454E7C">
        <w:rPr>
          <w:rFonts w:ascii="Arial" w:hAnsi="Arial" w:cs="Arial"/>
          <w:sz w:val="20"/>
          <w:szCs w:val="20"/>
        </w:rPr>
        <w:t>, while PTO system design and experimental validation are treated as secondary components of the research.</w:t>
      </w:r>
    </w:p>
    <w:p w14:paraId="665677CF" w14:textId="77777777" w:rsidR="005D1C41" w:rsidRPr="00454E7C" w:rsidRDefault="005D1C41" w:rsidP="00DD0D91">
      <w:pPr>
        <w:pStyle w:val="NormalWeb"/>
        <w:spacing w:before="0" w:beforeAutospacing="0" w:after="0" w:afterAutospacing="0"/>
        <w:jc w:val="both"/>
        <w:rPr>
          <w:rFonts w:ascii="Arial" w:hAnsi="Arial" w:cs="Arial"/>
          <w:sz w:val="20"/>
          <w:szCs w:val="20"/>
        </w:rPr>
      </w:pPr>
    </w:p>
    <w:p w14:paraId="2C7D803F" w14:textId="1B415F48" w:rsidR="00DD0D91" w:rsidRPr="00A63840" w:rsidRDefault="00DD0D91" w:rsidP="00DD0D91">
      <w:pPr>
        <w:pStyle w:val="NomenclatureClauseTitle"/>
        <w:numPr>
          <w:ilvl w:val="0"/>
          <w:numId w:val="32"/>
        </w:numPr>
        <w:spacing w:before="0"/>
        <w:rPr>
          <w:rFonts w:cs="Arial"/>
          <w:color w:val="000000" w:themeColor="text1"/>
        </w:rPr>
      </w:pPr>
      <w:r w:rsidRPr="00A63840">
        <w:rPr>
          <w:rFonts w:cs="Arial"/>
          <w:caps w:val="0"/>
          <w:color w:val="000000" w:themeColor="text1"/>
          <w:sz w:val="22"/>
          <w:szCs w:val="22"/>
        </w:rPr>
        <w:t>LITERATURE REVIEW</w:t>
      </w:r>
    </w:p>
    <w:p w14:paraId="519892C4" w14:textId="77777777" w:rsidR="00DD0D91" w:rsidRPr="00A63840" w:rsidRDefault="00DD0D91" w:rsidP="00DD0D91">
      <w:pPr>
        <w:pStyle w:val="Heading2"/>
        <w:spacing w:before="0"/>
        <w:jc w:val="both"/>
        <w:rPr>
          <w:rFonts w:ascii="Arial" w:hAnsi="Arial" w:cs="Arial"/>
          <w:bCs/>
          <w:color w:val="auto"/>
          <w:sz w:val="20"/>
          <w:szCs w:val="20"/>
        </w:rPr>
      </w:pPr>
      <w:r w:rsidRPr="00A63840">
        <w:rPr>
          <w:rStyle w:val="Strong"/>
          <w:rFonts w:ascii="Arial" w:hAnsi="Arial" w:cs="Arial"/>
          <w:bCs w:val="0"/>
          <w:color w:val="auto"/>
          <w:sz w:val="20"/>
          <w:szCs w:val="20"/>
        </w:rPr>
        <w:t>2.1 Related Literature on Wave Energy and the Energy Sector</w:t>
      </w:r>
    </w:p>
    <w:p w14:paraId="65434EE1" w14:textId="77777777" w:rsidR="00DD0D91" w:rsidRPr="00454E7C" w:rsidRDefault="00DD0D91" w:rsidP="00DD0D91">
      <w:pPr>
        <w:pStyle w:val="NormalWeb"/>
        <w:spacing w:before="0" w:beforeAutospacing="0" w:after="0" w:afterAutospacing="0"/>
        <w:jc w:val="both"/>
        <w:rPr>
          <w:rFonts w:ascii="Arial" w:hAnsi="Arial" w:cs="Arial"/>
          <w:sz w:val="20"/>
          <w:szCs w:val="20"/>
        </w:rPr>
      </w:pPr>
      <w:r w:rsidRPr="00454E7C">
        <w:rPr>
          <w:rFonts w:ascii="Arial" w:hAnsi="Arial" w:cs="Arial"/>
          <w:sz w:val="20"/>
          <w:szCs w:val="20"/>
        </w:rPr>
        <w:t xml:space="preserve">A comprehensive review of existing literature was conducted to support the conceptual design, modelling, and performance assessment of a </w:t>
      </w:r>
      <w:r w:rsidRPr="00454E7C">
        <w:rPr>
          <w:rStyle w:val="Strong"/>
          <w:rFonts w:ascii="Arial" w:hAnsi="Arial" w:cs="Arial"/>
          <w:b w:val="0"/>
          <w:bCs w:val="0"/>
          <w:sz w:val="20"/>
          <w:szCs w:val="20"/>
        </w:rPr>
        <w:t>two-body wave energy converter (WEC)</w:t>
      </w:r>
      <w:r w:rsidRPr="00454E7C">
        <w:rPr>
          <w:rFonts w:ascii="Arial" w:hAnsi="Arial" w:cs="Arial"/>
          <w:sz w:val="20"/>
          <w:szCs w:val="20"/>
        </w:rPr>
        <w:t xml:space="preserve"> operating under variable wave conditions. The review spans energy industry trends, wave physics, WEC typologies, power take-off (PTO) mechanisms, corrosion protection, simulation frameworks, and prior two-body WEC research.</w:t>
      </w:r>
    </w:p>
    <w:p w14:paraId="6235FA3C" w14:textId="318205B1" w:rsidR="00DD0D91" w:rsidRPr="00454E7C" w:rsidRDefault="00DD0D91" w:rsidP="00DD0D91">
      <w:pPr>
        <w:pStyle w:val="NormalWeb"/>
        <w:spacing w:before="0" w:beforeAutospacing="0" w:after="0" w:afterAutospacing="0"/>
        <w:jc w:val="both"/>
        <w:rPr>
          <w:rFonts w:ascii="Arial" w:hAnsi="Arial" w:cs="Arial"/>
          <w:sz w:val="20"/>
          <w:szCs w:val="20"/>
        </w:rPr>
      </w:pPr>
      <w:r w:rsidRPr="00454E7C">
        <w:rPr>
          <w:rFonts w:ascii="Arial" w:hAnsi="Arial" w:cs="Arial"/>
          <w:sz w:val="20"/>
          <w:szCs w:val="20"/>
        </w:rPr>
        <w:t xml:space="preserve">The global energy sector remains a dominant contributor to greenhouse gas emissions, accounting for approximately </w:t>
      </w:r>
      <w:r w:rsidRPr="00454E7C">
        <w:rPr>
          <w:rStyle w:val="Strong"/>
          <w:rFonts w:ascii="Arial" w:hAnsi="Arial" w:cs="Arial"/>
          <w:b w:val="0"/>
          <w:bCs w:val="0"/>
          <w:sz w:val="20"/>
          <w:szCs w:val="20"/>
        </w:rPr>
        <w:t>25% of total U.S. emissions in 2022</w:t>
      </w:r>
      <w:r w:rsidRPr="00454E7C">
        <w:rPr>
          <w:rFonts w:ascii="Arial" w:hAnsi="Arial" w:cs="Arial"/>
          <w:sz w:val="20"/>
          <w:szCs w:val="20"/>
        </w:rPr>
        <w:t xml:space="preserve"> </w:t>
      </w:r>
      <w:r w:rsidR="00B35725" w:rsidRPr="00454E7C">
        <w:rPr>
          <w:rFonts w:ascii="Arial" w:hAnsi="Arial" w:cs="Arial"/>
          <w:sz w:val="20"/>
          <w:szCs w:val="20"/>
        </w:rPr>
        <w:t>(</w:t>
      </w:r>
      <w:r w:rsidR="00B35725" w:rsidRPr="00454E7C">
        <w:rPr>
          <w:rStyle w:val="Strong"/>
          <w:rFonts w:ascii="Arial" w:hAnsi="Arial" w:cs="Arial"/>
          <w:b w:val="0"/>
          <w:bCs w:val="0"/>
          <w:sz w:val="20"/>
          <w:szCs w:val="20"/>
        </w:rPr>
        <w:t>U.S. Environmental Protection Agency, 2015</w:t>
      </w:r>
      <w:r w:rsidR="00B35725" w:rsidRPr="00454E7C">
        <w:rPr>
          <w:rFonts w:ascii="Arial" w:hAnsi="Arial" w:cs="Arial"/>
          <w:sz w:val="20"/>
          <w:szCs w:val="20"/>
        </w:rPr>
        <w:t>)</w:t>
      </w:r>
      <w:r w:rsidRPr="00454E7C">
        <w:rPr>
          <w:rFonts w:ascii="Arial" w:hAnsi="Arial" w:cs="Arial"/>
          <w:sz w:val="20"/>
          <w:szCs w:val="20"/>
        </w:rPr>
        <w:t xml:space="preserve">. Electricity generation remains heavily dependent on fossil fuels, with </w:t>
      </w:r>
      <w:r w:rsidRPr="00454E7C">
        <w:rPr>
          <w:rStyle w:val="Strong"/>
          <w:rFonts w:ascii="Arial" w:hAnsi="Arial" w:cs="Arial"/>
          <w:b w:val="0"/>
          <w:bCs w:val="0"/>
          <w:sz w:val="20"/>
          <w:szCs w:val="20"/>
        </w:rPr>
        <w:t>coal producing 10,467.93 TWh and natural gas producing 6,622.93 TWh in 2023</w:t>
      </w:r>
      <w:r w:rsidRPr="00454E7C">
        <w:rPr>
          <w:rFonts w:ascii="Arial" w:hAnsi="Arial" w:cs="Arial"/>
          <w:sz w:val="20"/>
          <w:szCs w:val="20"/>
        </w:rPr>
        <w:t xml:space="preserve"> </w:t>
      </w:r>
      <w:r w:rsidR="004122BA" w:rsidRPr="00454E7C">
        <w:rPr>
          <w:rStyle w:val="Strong"/>
          <w:rFonts w:ascii="Arial" w:hAnsi="Arial" w:cs="Arial"/>
          <w:b w:val="0"/>
          <w:bCs w:val="0"/>
          <w:sz w:val="20"/>
          <w:szCs w:val="20"/>
        </w:rPr>
        <w:t>Ritchie, Rosado, and Roser, 2024</w:t>
      </w:r>
      <w:r w:rsidR="004122BA" w:rsidRPr="00454E7C">
        <w:rPr>
          <w:rFonts w:ascii="Arial" w:hAnsi="Arial" w:cs="Arial"/>
          <w:sz w:val="20"/>
          <w:szCs w:val="20"/>
        </w:rPr>
        <w:t xml:space="preserve">) </w:t>
      </w:r>
      <w:r w:rsidRPr="00454E7C">
        <w:rPr>
          <w:rFonts w:ascii="Arial" w:hAnsi="Arial" w:cs="Arial"/>
          <w:sz w:val="20"/>
          <w:szCs w:val="20"/>
        </w:rPr>
        <w:t xml:space="preserve">as shown in Table 1. Renewable energy contributions remain comparatively smaller, with </w:t>
      </w:r>
      <w:r w:rsidRPr="00454E7C">
        <w:rPr>
          <w:rStyle w:val="Strong"/>
          <w:rFonts w:ascii="Arial" w:hAnsi="Arial" w:cs="Arial"/>
          <w:b w:val="0"/>
          <w:bCs w:val="0"/>
          <w:sz w:val="20"/>
          <w:szCs w:val="20"/>
        </w:rPr>
        <w:t>wind (2,304.44 TWh)</w:t>
      </w:r>
      <w:r w:rsidRPr="00454E7C">
        <w:rPr>
          <w:rFonts w:ascii="Arial" w:hAnsi="Arial" w:cs="Arial"/>
          <w:sz w:val="20"/>
          <w:szCs w:val="20"/>
        </w:rPr>
        <w:t xml:space="preserve"> and </w:t>
      </w:r>
      <w:r w:rsidRPr="00454E7C">
        <w:rPr>
          <w:rStyle w:val="Strong"/>
          <w:rFonts w:ascii="Arial" w:hAnsi="Arial" w:cs="Arial"/>
          <w:b w:val="0"/>
          <w:bCs w:val="0"/>
          <w:sz w:val="20"/>
          <w:szCs w:val="20"/>
        </w:rPr>
        <w:t>solar (1,629.90 TWh)</w:t>
      </w:r>
      <w:r w:rsidRPr="00454E7C">
        <w:rPr>
          <w:rFonts w:ascii="Arial" w:hAnsi="Arial" w:cs="Arial"/>
          <w:b/>
          <w:bCs/>
          <w:sz w:val="20"/>
          <w:szCs w:val="20"/>
        </w:rPr>
        <w:t>,</w:t>
      </w:r>
      <w:r w:rsidRPr="00454E7C">
        <w:rPr>
          <w:rFonts w:ascii="Arial" w:hAnsi="Arial" w:cs="Arial"/>
          <w:sz w:val="20"/>
          <w:szCs w:val="20"/>
        </w:rPr>
        <w:t xml:space="preserve"> while </w:t>
      </w:r>
      <w:r w:rsidRPr="00454E7C">
        <w:rPr>
          <w:rStyle w:val="Strong"/>
          <w:rFonts w:ascii="Arial" w:hAnsi="Arial" w:cs="Arial"/>
          <w:b w:val="0"/>
          <w:bCs w:val="0"/>
          <w:sz w:val="20"/>
          <w:szCs w:val="20"/>
        </w:rPr>
        <w:t>wave energy production remains negligible</w:t>
      </w:r>
      <w:r w:rsidRPr="00454E7C">
        <w:rPr>
          <w:rFonts w:ascii="Arial" w:hAnsi="Arial" w:cs="Arial"/>
          <w:b/>
          <w:bCs/>
          <w:sz w:val="20"/>
          <w:szCs w:val="20"/>
        </w:rPr>
        <w:t xml:space="preserve"> </w:t>
      </w:r>
      <w:r w:rsidRPr="00454E7C">
        <w:rPr>
          <w:rFonts w:ascii="Arial" w:hAnsi="Arial" w:cs="Arial"/>
          <w:sz w:val="20"/>
          <w:szCs w:val="20"/>
        </w:rPr>
        <w:t xml:space="preserve">due to technological immaturity and limited commercial deployment. Global electricity demand is projected to </w:t>
      </w:r>
      <w:r w:rsidRPr="00454E7C">
        <w:rPr>
          <w:rStyle w:val="Strong"/>
          <w:rFonts w:ascii="Arial" w:hAnsi="Arial" w:cs="Arial"/>
          <w:b w:val="0"/>
          <w:bCs w:val="0"/>
          <w:sz w:val="20"/>
          <w:szCs w:val="20"/>
        </w:rPr>
        <w:t>increase by 4.1% by 2025</w:t>
      </w:r>
      <w:r w:rsidRPr="00454E7C">
        <w:rPr>
          <w:rFonts w:ascii="Arial" w:hAnsi="Arial" w:cs="Arial"/>
          <w:b/>
          <w:bCs/>
          <w:sz w:val="20"/>
          <w:szCs w:val="20"/>
        </w:rPr>
        <w:t xml:space="preserve"> </w:t>
      </w:r>
      <w:r w:rsidR="00297945" w:rsidRPr="00454E7C">
        <w:rPr>
          <w:rFonts w:ascii="Arial" w:hAnsi="Arial" w:cs="Arial"/>
          <w:sz w:val="20"/>
          <w:szCs w:val="20"/>
        </w:rPr>
        <w:t>(</w:t>
      </w:r>
      <w:r w:rsidR="00297945" w:rsidRPr="00454E7C">
        <w:rPr>
          <w:rStyle w:val="Strong"/>
          <w:rFonts w:ascii="Arial" w:hAnsi="Arial" w:cs="Arial"/>
          <w:b w:val="0"/>
          <w:bCs w:val="0"/>
          <w:sz w:val="20"/>
          <w:szCs w:val="20"/>
        </w:rPr>
        <w:t>International Energy Agency, 2024)</w:t>
      </w:r>
      <w:r w:rsidRPr="00454E7C">
        <w:rPr>
          <w:rFonts w:ascii="Arial" w:hAnsi="Arial" w:cs="Arial"/>
          <w:sz w:val="20"/>
          <w:szCs w:val="20"/>
        </w:rPr>
        <w:t>, reinforcing the urgency to diversify renewable energy portfolios.</w:t>
      </w:r>
    </w:p>
    <w:p w14:paraId="4BCDAA3C"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2C08A2DB" w14:textId="16489D82" w:rsidR="00DD0D91" w:rsidRPr="00454E7C" w:rsidRDefault="00DD0D91" w:rsidP="00DD0D91">
      <w:pPr>
        <w:pStyle w:val="Heading3"/>
        <w:spacing w:before="0"/>
        <w:jc w:val="center"/>
        <w:rPr>
          <w:rFonts w:ascii="Arial" w:hAnsi="Arial" w:cs="Arial"/>
          <w:color w:val="auto"/>
          <w:sz w:val="20"/>
          <w:szCs w:val="20"/>
        </w:rPr>
      </w:pPr>
      <w:r w:rsidRPr="00454E7C">
        <w:rPr>
          <w:rStyle w:val="Strong"/>
          <w:rFonts w:ascii="Arial" w:hAnsi="Arial" w:cs="Arial"/>
          <w:color w:val="auto"/>
          <w:sz w:val="20"/>
          <w:szCs w:val="20"/>
        </w:rPr>
        <w:t xml:space="preserve">Table 1. Global Electricity Generation by Source </w:t>
      </w:r>
      <w:r w:rsidR="001071BE" w:rsidRPr="00454E7C">
        <w:rPr>
          <w:rFonts w:ascii="Arial" w:hAnsi="Arial" w:cs="Arial"/>
          <w:color w:val="auto"/>
        </w:rPr>
        <w:t>(</w:t>
      </w:r>
      <w:r w:rsidR="001071BE" w:rsidRPr="00454E7C">
        <w:rPr>
          <w:rStyle w:val="Strong"/>
          <w:rFonts w:ascii="Arial" w:hAnsi="Arial" w:cs="Arial"/>
          <w:color w:val="auto"/>
        </w:rPr>
        <w:t>Ritchie, Rosado, and Roser, 2024</w:t>
      </w:r>
      <w:r w:rsidR="001071BE" w:rsidRPr="00454E7C">
        <w:rPr>
          <w:rFonts w:ascii="Arial" w:hAnsi="Arial" w:cs="Arial"/>
          <w:color w:val="auto"/>
        </w:rPr>
        <w:t>)</w:t>
      </w:r>
    </w:p>
    <w:tbl>
      <w:tblPr>
        <w:tblStyle w:val="TableGrid"/>
        <w:tblW w:w="6469" w:type="dxa"/>
        <w:jc w:val="center"/>
        <w:tblLook w:val="04A0" w:firstRow="1" w:lastRow="0" w:firstColumn="1" w:lastColumn="0" w:noHBand="0" w:noVBand="1"/>
      </w:tblPr>
      <w:tblGrid>
        <w:gridCol w:w="2323"/>
        <w:gridCol w:w="4146"/>
      </w:tblGrid>
      <w:tr w:rsidR="00DD0D91" w:rsidRPr="00A63840" w14:paraId="45631CB9" w14:textId="77777777" w:rsidTr="004C1736">
        <w:trPr>
          <w:trHeight w:val="74"/>
          <w:jc w:val="center"/>
        </w:trPr>
        <w:tc>
          <w:tcPr>
            <w:tcW w:w="0" w:type="auto"/>
            <w:hideMark/>
          </w:tcPr>
          <w:p w14:paraId="625C63FA" w14:textId="77777777" w:rsidR="00DD0D91" w:rsidRPr="00A63840" w:rsidRDefault="00DD0D91" w:rsidP="001E346E">
            <w:pPr>
              <w:rPr>
                <w:rFonts w:ascii="Arial" w:hAnsi="Arial" w:cs="Arial"/>
                <w:b/>
                <w:bCs/>
                <w:sz w:val="20"/>
                <w:szCs w:val="20"/>
              </w:rPr>
            </w:pPr>
            <w:r w:rsidRPr="00A63840">
              <w:rPr>
                <w:rFonts w:ascii="Arial" w:hAnsi="Arial" w:cs="Arial"/>
                <w:b/>
                <w:bCs/>
                <w:sz w:val="20"/>
                <w:szCs w:val="20"/>
              </w:rPr>
              <w:t>Energy Source</w:t>
            </w:r>
          </w:p>
        </w:tc>
        <w:tc>
          <w:tcPr>
            <w:tcW w:w="0" w:type="auto"/>
            <w:hideMark/>
          </w:tcPr>
          <w:p w14:paraId="0D746569" w14:textId="77777777" w:rsidR="00DD0D91" w:rsidRPr="00A63840" w:rsidRDefault="00DD0D91" w:rsidP="001E346E">
            <w:pPr>
              <w:rPr>
                <w:rFonts w:ascii="Arial" w:hAnsi="Arial" w:cs="Arial"/>
                <w:b/>
                <w:bCs/>
                <w:sz w:val="20"/>
                <w:szCs w:val="20"/>
              </w:rPr>
            </w:pPr>
            <w:r w:rsidRPr="00A63840">
              <w:rPr>
                <w:rFonts w:ascii="Arial" w:hAnsi="Arial" w:cs="Arial"/>
                <w:b/>
                <w:bCs/>
                <w:sz w:val="20"/>
                <w:szCs w:val="20"/>
              </w:rPr>
              <w:t>Electricity Production (TWh)</w:t>
            </w:r>
          </w:p>
        </w:tc>
      </w:tr>
      <w:tr w:rsidR="00DD0D91" w:rsidRPr="00A63840" w14:paraId="4E25CC29" w14:textId="77777777" w:rsidTr="004C1736">
        <w:trPr>
          <w:trHeight w:val="223"/>
          <w:jc w:val="center"/>
        </w:trPr>
        <w:tc>
          <w:tcPr>
            <w:tcW w:w="0" w:type="auto"/>
            <w:hideMark/>
          </w:tcPr>
          <w:p w14:paraId="0651CC2A" w14:textId="77777777" w:rsidR="00DD0D91" w:rsidRPr="00A63840" w:rsidRDefault="00DD0D91" w:rsidP="001E346E">
            <w:pPr>
              <w:rPr>
                <w:rFonts w:ascii="Arial" w:hAnsi="Arial" w:cs="Arial"/>
                <w:sz w:val="20"/>
                <w:szCs w:val="20"/>
              </w:rPr>
            </w:pPr>
            <w:r w:rsidRPr="00A63840">
              <w:rPr>
                <w:rFonts w:ascii="Arial" w:hAnsi="Arial" w:cs="Arial"/>
                <w:sz w:val="20"/>
                <w:szCs w:val="20"/>
              </w:rPr>
              <w:t>Coal</w:t>
            </w:r>
          </w:p>
        </w:tc>
        <w:tc>
          <w:tcPr>
            <w:tcW w:w="0" w:type="auto"/>
            <w:hideMark/>
          </w:tcPr>
          <w:p w14:paraId="0B120A67" w14:textId="77777777" w:rsidR="00DD0D91" w:rsidRPr="00A63840" w:rsidRDefault="00DD0D91" w:rsidP="001E346E">
            <w:pPr>
              <w:rPr>
                <w:rFonts w:ascii="Arial" w:hAnsi="Arial" w:cs="Arial"/>
                <w:sz w:val="20"/>
                <w:szCs w:val="20"/>
              </w:rPr>
            </w:pPr>
            <w:r w:rsidRPr="00A63840">
              <w:rPr>
                <w:rFonts w:ascii="Arial" w:hAnsi="Arial" w:cs="Arial"/>
                <w:sz w:val="20"/>
                <w:szCs w:val="20"/>
              </w:rPr>
              <w:t>10,467.93</w:t>
            </w:r>
          </w:p>
        </w:tc>
      </w:tr>
      <w:tr w:rsidR="00DD0D91" w:rsidRPr="00A63840" w14:paraId="23665FBE" w14:textId="77777777" w:rsidTr="004C1736">
        <w:trPr>
          <w:trHeight w:val="232"/>
          <w:jc w:val="center"/>
        </w:trPr>
        <w:tc>
          <w:tcPr>
            <w:tcW w:w="0" w:type="auto"/>
            <w:hideMark/>
          </w:tcPr>
          <w:p w14:paraId="1B162A52" w14:textId="77777777" w:rsidR="00DD0D91" w:rsidRPr="00A63840" w:rsidRDefault="00DD0D91" w:rsidP="001E346E">
            <w:pPr>
              <w:rPr>
                <w:rFonts w:ascii="Arial" w:hAnsi="Arial" w:cs="Arial"/>
                <w:sz w:val="20"/>
                <w:szCs w:val="20"/>
              </w:rPr>
            </w:pPr>
            <w:r w:rsidRPr="00A63840">
              <w:rPr>
                <w:rFonts w:ascii="Arial" w:hAnsi="Arial" w:cs="Arial"/>
                <w:sz w:val="20"/>
                <w:szCs w:val="20"/>
              </w:rPr>
              <w:t>Natural Gas</w:t>
            </w:r>
          </w:p>
        </w:tc>
        <w:tc>
          <w:tcPr>
            <w:tcW w:w="0" w:type="auto"/>
            <w:hideMark/>
          </w:tcPr>
          <w:p w14:paraId="3C625512" w14:textId="77777777" w:rsidR="00DD0D91" w:rsidRPr="00A63840" w:rsidRDefault="00DD0D91" w:rsidP="001E346E">
            <w:pPr>
              <w:rPr>
                <w:rFonts w:ascii="Arial" w:hAnsi="Arial" w:cs="Arial"/>
                <w:sz w:val="20"/>
                <w:szCs w:val="20"/>
              </w:rPr>
            </w:pPr>
            <w:r w:rsidRPr="00A63840">
              <w:rPr>
                <w:rFonts w:ascii="Arial" w:hAnsi="Arial" w:cs="Arial"/>
                <w:sz w:val="20"/>
                <w:szCs w:val="20"/>
              </w:rPr>
              <w:t>6,622.93</w:t>
            </w:r>
          </w:p>
        </w:tc>
      </w:tr>
      <w:tr w:rsidR="00DD0D91" w:rsidRPr="00A63840" w14:paraId="67532197" w14:textId="77777777" w:rsidTr="004C1736">
        <w:trPr>
          <w:trHeight w:val="223"/>
          <w:jc w:val="center"/>
        </w:trPr>
        <w:tc>
          <w:tcPr>
            <w:tcW w:w="0" w:type="auto"/>
            <w:hideMark/>
          </w:tcPr>
          <w:p w14:paraId="2973CB73" w14:textId="77777777" w:rsidR="00DD0D91" w:rsidRPr="00A63840" w:rsidRDefault="00DD0D91" w:rsidP="001E346E">
            <w:pPr>
              <w:rPr>
                <w:rFonts w:ascii="Arial" w:hAnsi="Arial" w:cs="Arial"/>
                <w:sz w:val="20"/>
                <w:szCs w:val="20"/>
              </w:rPr>
            </w:pPr>
            <w:r w:rsidRPr="00A63840">
              <w:rPr>
                <w:rFonts w:ascii="Arial" w:hAnsi="Arial" w:cs="Arial"/>
                <w:sz w:val="20"/>
                <w:szCs w:val="20"/>
              </w:rPr>
              <w:t>Wind</w:t>
            </w:r>
          </w:p>
        </w:tc>
        <w:tc>
          <w:tcPr>
            <w:tcW w:w="0" w:type="auto"/>
            <w:hideMark/>
          </w:tcPr>
          <w:p w14:paraId="5A50C2EF" w14:textId="77777777" w:rsidR="00DD0D91" w:rsidRPr="00A63840" w:rsidRDefault="00DD0D91" w:rsidP="001E346E">
            <w:pPr>
              <w:rPr>
                <w:rFonts w:ascii="Arial" w:hAnsi="Arial" w:cs="Arial"/>
                <w:sz w:val="20"/>
                <w:szCs w:val="20"/>
              </w:rPr>
            </w:pPr>
            <w:r w:rsidRPr="00A63840">
              <w:rPr>
                <w:rFonts w:ascii="Arial" w:hAnsi="Arial" w:cs="Arial"/>
                <w:sz w:val="20"/>
                <w:szCs w:val="20"/>
              </w:rPr>
              <w:t>2,304.44</w:t>
            </w:r>
          </w:p>
        </w:tc>
      </w:tr>
      <w:tr w:rsidR="00DD0D91" w:rsidRPr="00A63840" w14:paraId="7856EA9B" w14:textId="77777777" w:rsidTr="004C1736">
        <w:trPr>
          <w:trHeight w:val="232"/>
          <w:jc w:val="center"/>
        </w:trPr>
        <w:tc>
          <w:tcPr>
            <w:tcW w:w="0" w:type="auto"/>
            <w:hideMark/>
          </w:tcPr>
          <w:p w14:paraId="7B3C84BB" w14:textId="77777777" w:rsidR="00DD0D91" w:rsidRPr="00A63840" w:rsidRDefault="00DD0D91" w:rsidP="001E346E">
            <w:pPr>
              <w:rPr>
                <w:rFonts w:ascii="Arial" w:hAnsi="Arial" w:cs="Arial"/>
                <w:sz w:val="20"/>
                <w:szCs w:val="20"/>
              </w:rPr>
            </w:pPr>
            <w:r w:rsidRPr="00A63840">
              <w:rPr>
                <w:rFonts w:ascii="Arial" w:hAnsi="Arial" w:cs="Arial"/>
                <w:sz w:val="20"/>
                <w:szCs w:val="20"/>
              </w:rPr>
              <w:t>Solar</w:t>
            </w:r>
          </w:p>
        </w:tc>
        <w:tc>
          <w:tcPr>
            <w:tcW w:w="0" w:type="auto"/>
            <w:hideMark/>
          </w:tcPr>
          <w:p w14:paraId="5BBCE2D5" w14:textId="77777777" w:rsidR="00DD0D91" w:rsidRPr="00A63840" w:rsidRDefault="00DD0D91" w:rsidP="001E346E">
            <w:pPr>
              <w:rPr>
                <w:rFonts w:ascii="Arial" w:hAnsi="Arial" w:cs="Arial"/>
                <w:sz w:val="20"/>
                <w:szCs w:val="20"/>
              </w:rPr>
            </w:pPr>
            <w:r w:rsidRPr="00A63840">
              <w:rPr>
                <w:rFonts w:ascii="Arial" w:hAnsi="Arial" w:cs="Arial"/>
                <w:sz w:val="20"/>
                <w:szCs w:val="20"/>
              </w:rPr>
              <w:t>1,629.90</w:t>
            </w:r>
          </w:p>
        </w:tc>
      </w:tr>
      <w:tr w:rsidR="00DD0D91" w:rsidRPr="00A63840" w14:paraId="1EC0B642" w14:textId="77777777" w:rsidTr="004C1736">
        <w:trPr>
          <w:trHeight w:val="232"/>
          <w:jc w:val="center"/>
        </w:trPr>
        <w:tc>
          <w:tcPr>
            <w:tcW w:w="0" w:type="auto"/>
            <w:hideMark/>
          </w:tcPr>
          <w:p w14:paraId="3973255C" w14:textId="77777777" w:rsidR="00DD0D91" w:rsidRPr="00A63840" w:rsidRDefault="00DD0D91" w:rsidP="001E346E">
            <w:pPr>
              <w:rPr>
                <w:rFonts w:ascii="Arial" w:hAnsi="Arial" w:cs="Arial"/>
                <w:sz w:val="20"/>
                <w:szCs w:val="20"/>
              </w:rPr>
            </w:pPr>
            <w:r w:rsidRPr="00A63840">
              <w:rPr>
                <w:rFonts w:ascii="Arial" w:hAnsi="Arial" w:cs="Arial"/>
                <w:sz w:val="20"/>
                <w:szCs w:val="20"/>
              </w:rPr>
              <w:t>Wave</w:t>
            </w:r>
          </w:p>
        </w:tc>
        <w:tc>
          <w:tcPr>
            <w:tcW w:w="0" w:type="auto"/>
            <w:hideMark/>
          </w:tcPr>
          <w:p w14:paraId="116D0760" w14:textId="77777777" w:rsidR="00DD0D91" w:rsidRPr="00A63840" w:rsidRDefault="00DD0D91" w:rsidP="001E346E">
            <w:pPr>
              <w:rPr>
                <w:rFonts w:ascii="Arial" w:hAnsi="Arial" w:cs="Arial"/>
                <w:sz w:val="20"/>
                <w:szCs w:val="20"/>
              </w:rPr>
            </w:pPr>
            <w:r w:rsidRPr="00A63840">
              <w:rPr>
                <w:rFonts w:ascii="Arial" w:hAnsi="Arial" w:cs="Arial"/>
                <w:sz w:val="20"/>
                <w:szCs w:val="20"/>
              </w:rPr>
              <w:t>Negligible</w:t>
            </w:r>
          </w:p>
        </w:tc>
      </w:tr>
    </w:tbl>
    <w:p w14:paraId="621CC749" w14:textId="77777777" w:rsidR="00DD0D91" w:rsidRPr="00A63840" w:rsidRDefault="00DD0D91" w:rsidP="004C1736">
      <w:pPr>
        <w:pStyle w:val="Heading2"/>
        <w:spacing w:before="0"/>
        <w:jc w:val="both"/>
        <w:rPr>
          <w:rStyle w:val="Strong"/>
          <w:rFonts w:ascii="Arial" w:hAnsi="Arial" w:cs="Arial"/>
          <w:b w:val="0"/>
          <w:sz w:val="20"/>
          <w:szCs w:val="20"/>
        </w:rPr>
      </w:pPr>
    </w:p>
    <w:p w14:paraId="05161609" w14:textId="77777777" w:rsidR="00DD0D91" w:rsidRPr="00A63840" w:rsidRDefault="00DD0D91" w:rsidP="004C1736">
      <w:pPr>
        <w:pStyle w:val="Heading2"/>
        <w:spacing w:before="0"/>
        <w:jc w:val="both"/>
        <w:rPr>
          <w:rFonts w:ascii="Arial" w:hAnsi="Arial" w:cs="Arial"/>
          <w:bCs/>
          <w:color w:val="auto"/>
          <w:sz w:val="20"/>
          <w:szCs w:val="20"/>
        </w:rPr>
      </w:pPr>
      <w:r w:rsidRPr="00A63840">
        <w:rPr>
          <w:rStyle w:val="Strong"/>
          <w:rFonts w:ascii="Arial" w:hAnsi="Arial" w:cs="Arial"/>
          <w:bCs w:val="0"/>
          <w:color w:val="auto"/>
          <w:sz w:val="20"/>
          <w:szCs w:val="20"/>
        </w:rPr>
        <w:t>2.2 Ocean Waves and Energy Conversion Principles</w:t>
      </w:r>
    </w:p>
    <w:p w14:paraId="3B581AEE" w14:textId="77777777" w:rsidR="00DD0D91" w:rsidRPr="00A63840" w:rsidRDefault="00DD0D91" w:rsidP="004C1736">
      <w:pPr>
        <w:jc w:val="both"/>
        <w:rPr>
          <w:rFonts w:ascii="Arial" w:hAnsi="Arial" w:cs="Arial"/>
          <w:lang w:val="en-TT" w:eastAsia="en-TT"/>
        </w:rPr>
      </w:pPr>
      <w:r w:rsidRPr="00A63840">
        <w:rPr>
          <w:rFonts w:ascii="Arial" w:hAnsi="Arial" w:cs="Arial"/>
          <w:lang w:val="en-TT" w:eastAsia="en-TT"/>
        </w:rPr>
        <w:t>Ocean surface waves are primarily generated by wind forcing over open water and are governed by atmospheric conditions, fetch length, bathymetry, and ocean current interactions. Wind-generated waves are of particular interest for energy harvesting due to their relatively predictable spectral energy distribution and sustained energy density. Key wave parameters, including frequency, period, amplitude, and directional spreading, strongly influence WEC hydrodynamic response and power capture potential.</w:t>
      </w:r>
    </w:p>
    <w:p w14:paraId="3E0DF720" w14:textId="77777777" w:rsidR="00DD0D91" w:rsidRPr="00A63840" w:rsidRDefault="00DD0D91" w:rsidP="004C1736">
      <w:pPr>
        <w:jc w:val="both"/>
        <w:rPr>
          <w:rFonts w:ascii="Arial" w:hAnsi="Arial" w:cs="Arial"/>
          <w:lang w:val="en-TT" w:eastAsia="en-TT"/>
        </w:rPr>
      </w:pPr>
      <w:r w:rsidRPr="00A63840">
        <w:rPr>
          <w:rFonts w:ascii="Arial" w:hAnsi="Arial" w:cs="Arial"/>
          <w:lang w:val="en-TT" w:eastAsia="en-TT"/>
        </w:rPr>
        <w:t>Wave-to-energy conversion relies on fluid–structure interaction mechanisms, whereby oscillatory wave motion induces rigid-body or relative multi-body motion. Energy extraction is commonly achieved through heave, surge, pitch, or coupled body motions, depending on the WEC architecture and control strategy.</w:t>
      </w:r>
    </w:p>
    <w:p w14:paraId="38CE5839" w14:textId="77777777" w:rsidR="00DD0D91" w:rsidRPr="00A63840" w:rsidRDefault="00DD0D91" w:rsidP="004C1736">
      <w:pPr>
        <w:pStyle w:val="NormalWeb"/>
        <w:spacing w:before="0" w:beforeAutospacing="0" w:after="0" w:afterAutospacing="0"/>
        <w:jc w:val="both"/>
        <w:rPr>
          <w:rFonts w:ascii="Arial" w:hAnsi="Arial" w:cs="Arial"/>
          <w:b/>
          <w:sz w:val="20"/>
          <w:szCs w:val="20"/>
        </w:rPr>
      </w:pPr>
    </w:p>
    <w:p w14:paraId="5F1B5520" w14:textId="77777777" w:rsidR="00DD0D91" w:rsidRPr="00A63840" w:rsidRDefault="00DD0D91" w:rsidP="004C1736">
      <w:pPr>
        <w:pStyle w:val="Heading2"/>
        <w:spacing w:before="0"/>
        <w:jc w:val="both"/>
        <w:rPr>
          <w:rFonts w:ascii="Arial" w:hAnsi="Arial" w:cs="Arial"/>
          <w:b/>
          <w:color w:val="auto"/>
          <w:sz w:val="20"/>
          <w:szCs w:val="20"/>
        </w:rPr>
      </w:pPr>
      <w:r w:rsidRPr="00A63840">
        <w:rPr>
          <w:rStyle w:val="Strong"/>
          <w:rFonts w:ascii="Arial" w:hAnsi="Arial" w:cs="Arial"/>
          <w:bCs w:val="0"/>
          <w:color w:val="auto"/>
          <w:sz w:val="20"/>
          <w:szCs w:val="20"/>
        </w:rPr>
        <w:lastRenderedPageBreak/>
        <w:t>2.3 Classification of Wave Energy Converter Technologies</w:t>
      </w:r>
    </w:p>
    <w:p w14:paraId="369DA556" w14:textId="77777777" w:rsidR="00DD0D91" w:rsidRPr="00A63840" w:rsidRDefault="00DD0D91" w:rsidP="004C1736">
      <w:pPr>
        <w:jc w:val="both"/>
        <w:rPr>
          <w:rFonts w:ascii="Arial" w:hAnsi="Arial" w:cs="Arial"/>
        </w:rPr>
      </w:pPr>
      <w:r w:rsidRPr="00A63840">
        <w:rPr>
          <w:rFonts w:ascii="Arial" w:hAnsi="Arial" w:cs="Arial"/>
        </w:rPr>
        <w:t>Wave energy converters can be categorized according to operating principle, geometry, mooring configuration, and energy extraction mechanism. Major WEC technology classes include point absorbers, attenuators, oscillating water columns (OWCs), overtopping devices, oscillating wave surge converters, submerged pressure differential devices, and rotating mass systems. A comparative summary of key WEC types is presented in Table 2.</w:t>
      </w:r>
    </w:p>
    <w:p w14:paraId="58DC9F9E" w14:textId="77777777" w:rsidR="00DD0D91" w:rsidRPr="00A63840" w:rsidRDefault="00DD0D91" w:rsidP="004C1736">
      <w:pPr>
        <w:pStyle w:val="Heading3"/>
        <w:spacing w:before="0"/>
        <w:jc w:val="both"/>
        <w:rPr>
          <w:rStyle w:val="Strong"/>
          <w:rFonts w:ascii="Arial" w:hAnsi="Arial" w:cs="Arial"/>
          <w:b w:val="0"/>
          <w:bCs w:val="0"/>
          <w:sz w:val="20"/>
          <w:szCs w:val="20"/>
        </w:rPr>
      </w:pPr>
    </w:p>
    <w:p w14:paraId="22E46643" w14:textId="77777777" w:rsidR="00DD0D91" w:rsidRPr="00454E7C" w:rsidRDefault="00DD0D91" w:rsidP="00DD0D91">
      <w:pPr>
        <w:pStyle w:val="Heading3"/>
        <w:spacing w:before="0"/>
        <w:jc w:val="center"/>
        <w:rPr>
          <w:rFonts w:ascii="Arial" w:hAnsi="Arial" w:cs="Arial"/>
          <w:color w:val="auto"/>
          <w:sz w:val="20"/>
          <w:szCs w:val="20"/>
        </w:rPr>
      </w:pPr>
      <w:r w:rsidRPr="00454E7C">
        <w:rPr>
          <w:rStyle w:val="Strong"/>
          <w:rFonts w:ascii="Arial" w:hAnsi="Arial" w:cs="Arial"/>
          <w:color w:val="auto"/>
          <w:sz w:val="20"/>
          <w:szCs w:val="20"/>
        </w:rPr>
        <w:t>Table 2. Summary of WEC Technology Types</w:t>
      </w:r>
    </w:p>
    <w:tbl>
      <w:tblPr>
        <w:tblStyle w:val="TableGrid"/>
        <w:tblW w:w="8027" w:type="dxa"/>
        <w:jc w:val="center"/>
        <w:tblLook w:val="04A0" w:firstRow="1" w:lastRow="0" w:firstColumn="1" w:lastColumn="0" w:noHBand="0" w:noVBand="1"/>
      </w:tblPr>
      <w:tblGrid>
        <w:gridCol w:w="1583"/>
        <w:gridCol w:w="1596"/>
        <w:gridCol w:w="2533"/>
        <w:gridCol w:w="2315"/>
      </w:tblGrid>
      <w:tr w:rsidR="00DD0D91" w:rsidRPr="00A63840" w14:paraId="091AFA3B" w14:textId="77777777" w:rsidTr="001E346E">
        <w:trPr>
          <w:trHeight w:val="270"/>
          <w:jc w:val="center"/>
        </w:trPr>
        <w:tc>
          <w:tcPr>
            <w:tcW w:w="0" w:type="auto"/>
            <w:hideMark/>
          </w:tcPr>
          <w:p w14:paraId="2F33E777" w14:textId="77777777" w:rsidR="00DD0D91" w:rsidRPr="00A63840" w:rsidRDefault="00DD0D91" w:rsidP="001E346E">
            <w:pPr>
              <w:rPr>
                <w:rFonts w:ascii="Arial" w:hAnsi="Arial" w:cs="Arial"/>
                <w:b/>
                <w:bCs/>
                <w:sz w:val="20"/>
                <w:szCs w:val="20"/>
              </w:rPr>
            </w:pPr>
            <w:r w:rsidRPr="00A63840">
              <w:rPr>
                <w:rFonts w:ascii="Arial" w:hAnsi="Arial" w:cs="Arial"/>
                <w:b/>
                <w:bCs/>
                <w:sz w:val="20"/>
                <w:szCs w:val="20"/>
              </w:rPr>
              <w:t>WEC Type</w:t>
            </w:r>
          </w:p>
        </w:tc>
        <w:tc>
          <w:tcPr>
            <w:tcW w:w="0" w:type="auto"/>
            <w:hideMark/>
          </w:tcPr>
          <w:p w14:paraId="754392E0" w14:textId="77777777" w:rsidR="00DD0D91" w:rsidRPr="00A63840" w:rsidRDefault="00DD0D91" w:rsidP="001E346E">
            <w:pPr>
              <w:rPr>
                <w:rFonts w:ascii="Arial" w:hAnsi="Arial" w:cs="Arial"/>
                <w:b/>
                <w:bCs/>
                <w:sz w:val="20"/>
                <w:szCs w:val="20"/>
              </w:rPr>
            </w:pPr>
            <w:r w:rsidRPr="00A63840">
              <w:rPr>
                <w:rFonts w:ascii="Arial" w:hAnsi="Arial" w:cs="Arial"/>
                <w:b/>
                <w:bCs/>
                <w:sz w:val="20"/>
                <w:szCs w:val="20"/>
              </w:rPr>
              <w:t>Motion Mode</w:t>
            </w:r>
          </w:p>
        </w:tc>
        <w:tc>
          <w:tcPr>
            <w:tcW w:w="0" w:type="auto"/>
            <w:hideMark/>
          </w:tcPr>
          <w:p w14:paraId="3C6682A0" w14:textId="77777777" w:rsidR="00DD0D91" w:rsidRPr="00A63840" w:rsidRDefault="00DD0D91" w:rsidP="001E346E">
            <w:pPr>
              <w:rPr>
                <w:rFonts w:ascii="Arial" w:hAnsi="Arial" w:cs="Arial"/>
                <w:b/>
                <w:bCs/>
                <w:sz w:val="20"/>
                <w:szCs w:val="20"/>
              </w:rPr>
            </w:pPr>
            <w:r w:rsidRPr="00A63840">
              <w:rPr>
                <w:rFonts w:ascii="Arial" w:hAnsi="Arial" w:cs="Arial"/>
                <w:b/>
                <w:bCs/>
                <w:sz w:val="20"/>
                <w:szCs w:val="20"/>
              </w:rPr>
              <w:t>Key Feature</w:t>
            </w:r>
          </w:p>
        </w:tc>
        <w:tc>
          <w:tcPr>
            <w:tcW w:w="0" w:type="auto"/>
            <w:hideMark/>
          </w:tcPr>
          <w:p w14:paraId="43AE19A7" w14:textId="77777777" w:rsidR="00DD0D91" w:rsidRPr="00A63840" w:rsidRDefault="00DD0D91" w:rsidP="001E346E">
            <w:pPr>
              <w:rPr>
                <w:rFonts w:ascii="Arial" w:hAnsi="Arial" w:cs="Arial"/>
                <w:b/>
                <w:bCs/>
                <w:sz w:val="20"/>
                <w:szCs w:val="20"/>
              </w:rPr>
            </w:pPr>
            <w:r w:rsidRPr="00A63840">
              <w:rPr>
                <w:rFonts w:ascii="Arial" w:hAnsi="Arial" w:cs="Arial"/>
                <w:b/>
                <w:bCs/>
                <w:sz w:val="20"/>
                <w:szCs w:val="20"/>
              </w:rPr>
              <w:t>Two-Body Applicable</w:t>
            </w:r>
          </w:p>
        </w:tc>
      </w:tr>
      <w:tr w:rsidR="00DD0D91" w:rsidRPr="00A63840" w14:paraId="49232D76" w14:textId="77777777" w:rsidTr="001E346E">
        <w:trPr>
          <w:trHeight w:val="270"/>
          <w:jc w:val="center"/>
        </w:trPr>
        <w:tc>
          <w:tcPr>
            <w:tcW w:w="0" w:type="auto"/>
            <w:hideMark/>
          </w:tcPr>
          <w:p w14:paraId="6AFE65C0" w14:textId="77777777" w:rsidR="00DD0D91" w:rsidRPr="00A63840" w:rsidRDefault="00DD0D91" w:rsidP="001E346E">
            <w:pPr>
              <w:rPr>
                <w:rFonts w:ascii="Arial" w:hAnsi="Arial" w:cs="Arial"/>
                <w:sz w:val="20"/>
                <w:szCs w:val="20"/>
              </w:rPr>
            </w:pPr>
            <w:r w:rsidRPr="00A63840">
              <w:rPr>
                <w:rFonts w:ascii="Arial" w:hAnsi="Arial" w:cs="Arial"/>
                <w:sz w:val="20"/>
                <w:szCs w:val="20"/>
              </w:rPr>
              <w:t>Point Absorber</w:t>
            </w:r>
          </w:p>
        </w:tc>
        <w:tc>
          <w:tcPr>
            <w:tcW w:w="0" w:type="auto"/>
            <w:hideMark/>
          </w:tcPr>
          <w:p w14:paraId="3C92590E" w14:textId="77777777" w:rsidR="00DD0D91" w:rsidRPr="00A63840" w:rsidRDefault="00DD0D91" w:rsidP="001E346E">
            <w:pPr>
              <w:rPr>
                <w:rFonts w:ascii="Arial" w:hAnsi="Arial" w:cs="Arial"/>
                <w:sz w:val="20"/>
                <w:szCs w:val="20"/>
              </w:rPr>
            </w:pPr>
            <w:r w:rsidRPr="00A63840">
              <w:rPr>
                <w:rFonts w:ascii="Arial" w:hAnsi="Arial" w:cs="Arial"/>
                <w:sz w:val="20"/>
                <w:szCs w:val="20"/>
              </w:rPr>
              <w:t>Heave</w:t>
            </w:r>
          </w:p>
        </w:tc>
        <w:tc>
          <w:tcPr>
            <w:tcW w:w="0" w:type="auto"/>
            <w:hideMark/>
          </w:tcPr>
          <w:p w14:paraId="556F53EA" w14:textId="77777777" w:rsidR="00DD0D91" w:rsidRPr="00A63840" w:rsidRDefault="00DD0D91" w:rsidP="001E346E">
            <w:pPr>
              <w:rPr>
                <w:rFonts w:ascii="Arial" w:hAnsi="Arial" w:cs="Arial"/>
                <w:sz w:val="20"/>
                <w:szCs w:val="20"/>
              </w:rPr>
            </w:pPr>
            <w:r w:rsidRPr="00A63840">
              <w:rPr>
                <w:rFonts w:ascii="Arial" w:hAnsi="Arial" w:cs="Arial"/>
                <w:sz w:val="20"/>
                <w:szCs w:val="20"/>
              </w:rPr>
              <w:t>Compact &amp; efficient</w:t>
            </w:r>
          </w:p>
        </w:tc>
        <w:tc>
          <w:tcPr>
            <w:tcW w:w="0" w:type="auto"/>
            <w:hideMark/>
          </w:tcPr>
          <w:p w14:paraId="2AF30C14" w14:textId="77777777" w:rsidR="00DD0D91" w:rsidRPr="00A63840" w:rsidRDefault="00DD0D91" w:rsidP="001E346E">
            <w:pPr>
              <w:rPr>
                <w:rFonts w:ascii="Arial" w:hAnsi="Arial" w:cs="Arial"/>
                <w:sz w:val="20"/>
                <w:szCs w:val="20"/>
              </w:rPr>
            </w:pPr>
            <w:r w:rsidRPr="00A63840">
              <w:rPr>
                <w:rFonts w:ascii="Arial" w:hAnsi="Arial" w:cs="Arial"/>
                <w:sz w:val="20"/>
                <w:szCs w:val="20"/>
              </w:rPr>
              <w:t>Yes</w:t>
            </w:r>
          </w:p>
        </w:tc>
      </w:tr>
      <w:tr w:rsidR="00DD0D91" w:rsidRPr="00A63840" w14:paraId="08950A5D" w14:textId="77777777" w:rsidTr="001E346E">
        <w:trPr>
          <w:trHeight w:val="270"/>
          <w:jc w:val="center"/>
        </w:trPr>
        <w:tc>
          <w:tcPr>
            <w:tcW w:w="0" w:type="auto"/>
            <w:hideMark/>
          </w:tcPr>
          <w:p w14:paraId="6593EBAB" w14:textId="77777777" w:rsidR="00DD0D91" w:rsidRPr="00A63840" w:rsidRDefault="00DD0D91" w:rsidP="001E346E">
            <w:pPr>
              <w:rPr>
                <w:rFonts w:ascii="Arial" w:hAnsi="Arial" w:cs="Arial"/>
                <w:sz w:val="20"/>
                <w:szCs w:val="20"/>
              </w:rPr>
            </w:pPr>
            <w:r w:rsidRPr="00A63840">
              <w:rPr>
                <w:rFonts w:ascii="Arial" w:hAnsi="Arial" w:cs="Arial"/>
                <w:sz w:val="20"/>
                <w:szCs w:val="20"/>
              </w:rPr>
              <w:t>Attenuator</w:t>
            </w:r>
          </w:p>
        </w:tc>
        <w:tc>
          <w:tcPr>
            <w:tcW w:w="0" w:type="auto"/>
            <w:hideMark/>
          </w:tcPr>
          <w:p w14:paraId="76C4FD39" w14:textId="77777777" w:rsidR="00DD0D91" w:rsidRPr="00A63840" w:rsidRDefault="00DD0D91" w:rsidP="001E346E">
            <w:pPr>
              <w:rPr>
                <w:rFonts w:ascii="Arial" w:hAnsi="Arial" w:cs="Arial"/>
                <w:sz w:val="20"/>
                <w:szCs w:val="20"/>
              </w:rPr>
            </w:pPr>
            <w:r w:rsidRPr="00A63840">
              <w:rPr>
                <w:rFonts w:ascii="Arial" w:hAnsi="Arial" w:cs="Arial"/>
                <w:sz w:val="20"/>
                <w:szCs w:val="20"/>
              </w:rPr>
              <w:t>Pitch/Surge</w:t>
            </w:r>
          </w:p>
        </w:tc>
        <w:tc>
          <w:tcPr>
            <w:tcW w:w="0" w:type="auto"/>
            <w:hideMark/>
          </w:tcPr>
          <w:p w14:paraId="7E336871" w14:textId="77777777" w:rsidR="00DD0D91" w:rsidRPr="00A63840" w:rsidRDefault="00DD0D91" w:rsidP="001E346E">
            <w:pPr>
              <w:rPr>
                <w:rFonts w:ascii="Arial" w:hAnsi="Arial" w:cs="Arial"/>
                <w:sz w:val="20"/>
                <w:szCs w:val="20"/>
              </w:rPr>
            </w:pPr>
            <w:r w:rsidRPr="00A63840">
              <w:rPr>
                <w:rFonts w:ascii="Arial" w:hAnsi="Arial" w:cs="Arial"/>
                <w:sz w:val="20"/>
                <w:szCs w:val="20"/>
              </w:rPr>
              <w:t>Long multi-segment body</w:t>
            </w:r>
          </w:p>
        </w:tc>
        <w:tc>
          <w:tcPr>
            <w:tcW w:w="0" w:type="auto"/>
            <w:hideMark/>
          </w:tcPr>
          <w:p w14:paraId="153AB742" w14:textId="77777777" w:rsidR="00DD0D91" w:rsidRPr="00A63840" w:rsidRDefault="00DD0D91" w:rsidP="001E346E">
            <w:pPr>
              <w:rPr>
                <w:rFonts w:ascii="Arial" w:hAnsi="Arial" w:cs="Arial"/>
                <w:sz w:val="20"/>
                <w:szCs w:val="20"/>
              </w:rPr>
            </w:pPr>
            <w:r w:rsidRPr="00A63840">
              <w:rPr>
                <w:rFonts w:ascii="Arial" w:hAnsi="Arial" w:cs="Arial"/>
                <w:sz w:val="20"/>
                <w:szCs w:val="20"/>
              </w:rPr>
              <w:t>Yes</w:t>
            </w:r>
          </w:p>
        </w:tc>
      </w:tr>
      <w:tr w:rsidR="00DD0D91" w:rsidRPr="00A63840" w14:paraId="3C9F0080" w14:textId="77777777" w:rsidTr="001E346E">
        <w:trPr>
          <w:trHeight w:val="132"/>
          <w:jc w:val="center"/>
        </w:trPr>
        <w:tc>
          <w:tcPr>
            <w:tcW w:w="0" w:type="auto"/>
            <w:hideMark/>
          </w:tcPr>
          <w:p w14:paraId="58BB4BC7" w14:textId="77777777" w:rsidR="00DD0D91" w:rsidRPr="00A63840" w:rsidRDefault="00DD0D91" w:rsidP="001E346E">
            <w:pPr>
              <w:rPr>
                <w:rFonts w:ascii="Arial" w:hAnsi="Arial" w:cs="Arial"/>
                <w:sz w:val="20"/>
                <w:szCs w:val="20"/>
              </w:rPr>
            </w:pPr>
            <w:r w:rsidRPr="00A63840">
              <w:rPr>
                <w:rFonts w:ascii="Arial" w:hAnsi="Arial" w:cs="Arial"/>
                <w:sz w:val="20"/>
                <w:szCs w:val="20"/>
              </w:rPr>
              <w:t>OWC</w:t>
            </w:r>
          </w:p>
        </w:tc>
        <w:tc>
          <w:tcPr>
            <w:tcW w:w="0" w:type="auto"/>
            <w:hideMark/>
          </w:tcPr>
          <w:p w14:paraId="245701C3" w14:textId="77777777" w:rsidR="00DD0D91" w:rsidRPr="00A63840" w:rsidRDefault="00DD0D91" w:rsidP="001E346E">
            <w:pPr>
              <w:rPr>
                <w:rFonts w:ascii="Arial" w:hAnsi="Arial" w:cs="Arial"/>
                <w:sz w:val="20"/>
                <w:szCs w:val="20"/>
              </w:rPr>
            </w:pPr>
            <w:r w:rsidRPr="00A63840">
              <w:rPr>
                <w:rFonts w:ascii="Arial" w:hAnsi="Arial" w:cs="Arial"/>
                <w:sz w:val="20"/>
                <w:szCs w:val="20"/>
              </w:rPr>
              <w:t>Air turbine</w:t>
            </w:r>
          </w:p>
        </w:tc>
        <w:tc>
          <w:tcPr>
            <w:tcW w:w="0" w:type="auto"/>
            <w:hideMark/>
          </w:tcPr>
          <w:p w14:paraId="38EB61F8" w14:textId="77777777" w:rsidR="00DD0D91" w:rsidRPr="00A63840" w:rsidRDefault="00DD0D91" w:rsidP="001E346E">
            <w:pPr>
              <w:rPr>
                <w:rFonts w:ascii="Arial" w:hAnsi="Arial" w:cs="Arial"/>
                <w:sz w:val="20"/>
                <w:szCs w:val="20"/>
              </w:rPr>
            </w:pPr>
            <w:r w:rsidRPr="00A63840">
              <w:rPr>
                <w:rFonts w:ascii="Arial" w:hAnsi="Arial" w:cs="Arial"/>
                <w:sz w:val="20"/>
                <w:szCs w:val="20"/>
              </w:rPr>
              <w:t>Chamber-based</w:t>
            </w:r>
          </w:p>
        </w:tc>
        <w:tc>
          <w:tcPr>
            <w:tcW w:w="0" w:type="auto"/>
            <w:hideMark/>
          </w:tcPr>
          <w:p w14:paraId="391A2F8D" w14:textId="77777777" w:rsidR="00DD0D91" w:rsidRPr="00A63840" w:rsidRDefault="00DD0D91" w:rsidP="001E346E">
            <w:pPr>
              <w:rPr>
                <w:rFonts w:ascii="Arial" w:hAnsi="Arial" w:cs="Arial"/>
                <w:sz w:val="20"/>
                <w:szCs w:val="20"/>
              </w:rPr>
            </w:pPr>
            <w:r w:rsidRPr="00A63840">
              <w:rPr>
                <w:rFonts w:ascii="Arial" w:hAnsi="Arial" w:cs="Arial"/>
                <w:sz w:val="20"/>
                <w:szCs w:val="20"/>
              </w:rPr>
              <w:t>No</w:t>
            </w:r>
          </w:p>
        </w:tc>
      </w:tr>
      <w:tr w:rsidR="00DD0D91" w:rsidRPr="00A63840" w14:paraId="39826BC1" w14:textId="77777777" w:rsidTr="001E346E">
        <w:trPr>
          <w:trHeight w:val="270"/>
          <w:jc w:val="center"/>
        </w:trPr>
        <w:tc>
          <w:tcPr>
            <w:tcW w:w="0" w:type="auto"/>
            <w:hideMark/>
          </w:tcPr>
          <w:p w14:paraId="3AE304E5" w14:textId="77777777" w:rsidR="00DD0D91" w:rsidRPr="00A63840" w:rsidRDefault="00DD0D91" w:rsidP="001E346E">
            <w:pPr>
              <w:rPr>
                <w:rFonts w:ascii="Arial" w:hAnsi="Arial" w:cs="Arial"/>
                <w:sz w:val="20"/>
                <w:szCs w:val="20"/>
              </w:rPr>
            </w:pPr>
            <w:r w:rsidRPr="00A63840">
              <w:rPr>
                <w:rFonts w:ascii="Arial" w:hAnsi="Arial" w:cs="Arial"/>
                <w:sz w:val="20"/>
                <w:szCs w:val="20"/>
              </w:rPr>
              <w:t>Overtopping</w:t>
            </w:r>
          </w:p>
        </w:tc>
        <w:tc>
          <w:tcPr>
            <w:tcW w:w="0" w:type="auto"/>
            <w:hideMark/>
          </w:tcPr>
          <w:p w14:paraId="323F893A" w14:textId="77777777" w:rsidR="00DD0D91" w:rsidRPr="00A63840" w:rsidRDefault="00DD0D91" w:rsidP="001E346E">
            <w:pPr>
              <w:rPr>
                <w:rFonts w:ascii="Arial" w:hAnsi="Arial" w:cs="Arial"/>
                <w:sz w:val="20"/>
                <w:szCs w:val="20"/>
              </w:rPr>
            </w:pPr>
            <w:r w:rsidRPr="00A63840">
              <w:rPr>
                <w:rFonts w:ascii="Arial" w:hAnsi="Arial" w:cs="Arial"/>
                <w:sz w:val="20"/>
                <w:szCs w:val="20"/>
              </w:rPr>
              <w:t>Hydraulic head</w:t>
            </w:r>
          </w:p>
        </w:tc>
        <w:tc>
          <w:tcPr>
            <w:tcW w:w="0" w:type="auto"/>
            <w:hideMark/>
          </w:tcPr>
          <w:p w14:paraId="4A804D36" w14:textId="77777777" w:rsidR="00DD0D91" w:rsidRPr="00A63840" w:rsidRDefault="00DD0D91" w:rsidP="001E346E">
            <w:pPr>
              <w:rPr>
                <w:rFonts w:ascii="Arial" w:hAnsi="Arial" w:cs="Arial"/>
                <w:sz w:val="20"/>
                <w:szCs w:val="20"/>
              </w:rPr>
            </w:pPr>
            <w:r w:rsidRPr="00A63840">
              <w:rPr>
                <w:rFonts w:ascii="Arial" w:hAnsi="Arial" w:cs="Arial"/>
                <w:sz w:val="20"/>
                <w:szCs w:val="20"/>
              </w:rPr>
              <w:t>Water reservoir</w:t>
            </w:r>
          </w:p>
        </w:tc>
        <w:tc>
          <w:tcPr>
            <w:tcW w:w="0" w:type="auto"/>
            <w:hideMark/>
          </w:tcPr>
          <w:p w14:paraId="371EF3F9" w14:textId="77777777" w:rsidR="00DD0D91" w:rsidRPr="00A63840" w:rsidRDefault="00DD0D91" w:rsidP="001E346E">
            <w:pPr>
              <w:rPr>
                <w:rFonts w:ascii="Arial" w:hAnsi="Arial" w:cs="Arial"/>
                <w:sz w:val="20"/>
                <w:szCs w:val="20"/>
              </w:rPr>
            </w:pPr>
            <w:r w:rsidRPr="00A63840">
              <w:rPr>
                <w:rFonts w:ascii="Arial" w:hAnsi="Arial" w:cs="Arial"/>
                <w:sz w:val="20"/>
                <w:szCs w:val="20"/>
              </w:rPr>
              <w:t>No</w:t>
            </w:r>
          </w:p>
        </w:tc>
      </w:tr>
      <w:tr w:rsidR="00DD0D91" w:rsidRPr="00A63840" w14:paraId="46711107" w14:textId="77777777" w:rsidTr="001E346E">
        <w:trPr>
          <w:trHeight w:val="270"/>
          <w:jc w:val="center"/>
        </w:trPr>
        <w:tc>
          <w:tcPr>
            <w:tcW w:w="0" w:type="auto"/>
            <w:hideMark/>
          </w:tcPr>
          <w:p w14:paraId="5B6C8BDA" w14:textId="77777777" w:rsidR="00DD0D91" w:rsidRPr="00A63840" w:rsidRDefault="00DD0D91" w:rsidP="001E346E">
            <w:pPr>
              <w:rPr>
                <w:rFonts w:ascii="Arial" w:hAnsi="Arial" w:cs="Arial"/>
                <w:sz w:val="20"/>
                <w:szCs w:val="20"/>
              </w:rPr>
            </w:pPr>
            <w:r w:rsidRPr="00A63840">
              <w:rPr>
                <w:rFonts w:ascii="Arial" w:hAnsi="Arial" w:cs="Arial"/>
                <w:sz w:val="20"/>
                <w:szCs w:val="20"/>
              </w:rPr>
              <w:t>Rotating Mass</w:t>
            </w:r>
          </w:p>
        </w:tc>
        <w:tc>
          <w:tcPr>
            <w:tcW w:w="0" w:type="auto"/>
            <w:hideMark/>
          </w:tcPr>
          <w:p w14:paraId="6E3E01A2" w14:textId="77777777" w:rsidR="00DD0D91" w:rsidRPr="00A63840" w:rsidRDefault="00DD0D91" w:rsidP="001E346E">
            <w:pPr>
              <w:rPr>
                <w:rFonts w:ascii="Arial" w:hAnsi="Arial" w:cs="Arial"/>
                <w:sz w:val="20"/>
                <w:szCs w:val="20"/>
              </w:rPr>
            </w:pPr>
            <w:r w:rsidRPr="00A63840">
              <w:rPr>
                <w:rFonts w:ascii="Arial" w:hAnsi="Arial" w:cs="Arial"/>
                <w:sz w:val="20"/>
                <w:szCs w:val="20"/>
              </w:rPr>
              <w:t>Inertial</w:t>
            </w:r>
          </w:p>
        </w:tc>
        <w:tc>
          <w:tcPr>
            <w:tcW w:w="0" w:type="auto"/>
            <w:hideMark/>
          </w:tcPr>
          <w:p w14:paraId="5BD1A314" w14:textId="77777777" w:rsidR="00DD0D91" w:rsidRPr="00A63840" w:rsidRDefault="00DD0D91" w:rsidP="001E346E">
            <w:pPr>
              <w:rPr>
                <w:rFonts w:ascii="Arial" w:hAnsi="Arial" w:cs="Arial"/>
                <w:sz w:val="20"/>
                <w:szCs w:val="20"/>
              </w:rPr>
            </w:pPr>
            <w:r w:rsidRPr="00A63840">
              <w:rPr>
                <w:rFonts w:ascii="Arial" w:hAnsi="Arial" w:cs="Arial"/>
                <w:sz w:val="20"/>
                <w:szCs w:val="20"/>
              </w:rPr>
              <w:t>Gyroscopic</w:t>
            </w:r>
          </w:p>
        </w:tc>
        <w:tc>
          <w:tcPr>
            <w:tcW w:w="0" w:type="auto"/>
            <w:hideMark/>
          </w:tcPr>
          <w:p w14:paraId="146A2098" w14:textId="77777777" w:rsidR="00DD0D91" w:rsidRPr="00A63840" w:rsidRDefault="00DD0D91" w:rsidP="001E346E">
            <w:pPr>
              <w:rPr>
                <w:rFonts w:ascii="Arial" w:hAnsi="Arial" w:cs="Arial"/>
                <w:sz w:val="20"/>
                <w:szCs w:val="20"/>
              </w:rPr>
            </w:pPr>
            <w:r w:rsidRPr="00A63840">
              <w:rPr>
                <w:rFonts w:ascii="Arial" w:hAnsi="Arial" w:cs="Arial"/>
                <w:sz w:val="20"/>
                <w:szCs w:val="20"/>
              </w:rPr>
              <w:t>Yes</w:t>
            </w:r>
          </w:p>
        </w:tc>
      </w:tr>
    </w:tbl>
    <w:p w14:paraId="7AA72104"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78AA90BC"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Overtopping and OWC systems were excluded from this study because their single-body and turbine-based configurations differ fundamentally from two-body relative-motion WEC architectures. Two-body systems offer greater flexibility for resonance tuning, motion amplification, and adaptive control.</w:t>
      </w:r>
    </w:p>
    <w:p w14:paraId="427F66EC"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2C9C317E" w14:textId="77777777" w:rsidR="00DD0D91" w:rsidRPr="00A63840" w:rsidRDefault="00DD0D91" w:rsidP="00DD0D91">
      <w:pPr>
        <w:pStyle w:val="Heading2"/>
        <w:spacing w:before="0"/>
        <w:jc w:val="both"/>
        <w:rPr>
          <w:rFonts w:ascii="Arial" w:hAnsi="Arial" w:cs="Arial"/>
          <w:bCs/>
          <w:color w:val="auto"/>
          <w:sz w:val="20"/>
          <w:szCs w:val="20"/>
        </w:rPr>
      </w:pPr>
      <w:r w:rsidRPr="00A63840">
        <w:rPr>
          <w:rStyle w:val="Strong"/>
          <w:rFonts w:ascii="Arial" w:hAnsi="Arial" w:cs="Arial"/>
          <w:bCs w:val="0"/>
          <w:color w:val="auto"/>
          <w:sz w:val="20"/>
          <w:szCs w:val="20"/>
        </w:rPr>
        <w:t>2.4 Power Take-Off (PTO) and Electrical Conversion Technologies</w:t>
      </w:r>
    </w:p>
    <w:p w14:paraId="7F238CBB" w14:textId="4C590F22" w:rsidR="00DD0D91" w:rsidRPr="00454E7C"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The power take-off (PTO) subsystem plays a critical role in converting mechanical wave-induced motion into usable electrical energy. Common PTO configurations include </w:t>
      </w:r>
      <w:r w:rsidRPr="00454E7C">
        <w:rPr>
          <w:rFonts w:ascii="Arial" w:hAnsi="Arial" w:cs="Arial"/>
          <w:sz w:val="20"/>
          <w:szCs w:val="20"/>
        </w:rPr>
        <w:t xml:space="preserve">mechanical transmission systems driving rotary generators, hydraulic fluid circuits coupled to turbines, and direct-drive linear generators. Among these, direct-drive linear PTO systems have been identified as particularly attractive due to their reduced mechanical complexity, lower frictional losses, improved reliability, and suitability for offshore environments </w:t>
      </w:r>
      <w:r w:rsidR="00297945" w:rsidRPr="00454E7C">
        <w:rPr>
          <w:rFonts w:ascii="Arial" w:hAnsi="Arial" w:cs="Arial"/>
          <w:sz w:val="20"/>
          <w:szCs w:val="20"/>
        </w:rPr>
        <w:t>(</w:t>
      </w:r>
      <w:r w:rsidR="00297945" w:rsidRPr="00454E7C">
        <w:rPr>
          <w:rStyle w:val="Strong"/>
          <w:rFonts w:ascii="Arial" w:hAnsi="Arial" w:cs="Arial"/>
          <w:b w:val="0"/>
          <w:bCs w:val="0"/>
          <w:sz w:val="20"/>
          <w:szCs w:val="20"/>
        </w:rPr>
        <w:t>Guo et al., 2022</w:t>
      </w:r>
      <w:r w:rsidR="00297945" w:rsidRPr="00454E7C">
        <w:rPr>
          <w:rFonts w:ascii="Arial" w:hAnsi="Arial" w:cs="Arial"/>
          <w:sz w:val="20"/>
          <w:szCs w:val="20"/>
        </w:rPr>
        <w:t>)</w:t>
      </w:r>
      <w:r w:rsidRPr="00454E7C">
        <w:rPr>
          <w:rFonts w:ascii="Arial" w:hAnsi="Arial" w:cs="Arial"/>
          <w:sz w:val="20"/>
          <w:szCs w:val="20"/>
        </w:rPr>
        <w:t>. The elimination of rotary conversion stages further enhances efficiency and reduces maintenance requirements.</w:t>
      </w:r>
    </w:p>
    <w:p w14:paraId="11DAD999" w14:textId="77777777" w:rsidR="00DD0D91" w:rsidRPr="00454E7C" w:rsidRDefault="00DD0D91" w:rsidP="00DD0D91">
      <w:pPr>
        <w:pStyle w:val="NormalWeb"/>
        <w:spacing w:before="0" w:beforeAutospacing="0" w:after="0" w:afterAutospacing="0"/>
        <w:jc w:val="both"/>
        <w:rPr>
          <w:rFonts w:ascii="Arial" w:hAnsi="Arial" w:cs="Arial"/>
          <w:b/>
          <w:sz w:val="20"/>
          <w:szCs w:val="20"/>
        </w:rPr>
      </w:pPr>
    </w:p>
    <w:p w14:paraId="13DA7935" w14:textId="77777777" w:rsidR="00DD0D91" w:rsidRPr="00A63840" w:rsidRDefault="00DD0D91" w:rsidP="00DD0D91">
      <w:pPr>
        <w:pStyle w:val="Heading2"/>
        <w:spacing w:before="0"/>
        <w:jc w:val="both"/>
        <w:rPr>
          <w:rFonts w:ascii="Arial" w:hAnsi="Arial" w:cs="Arial"/>
          <w:b/>
          <w:color w:val="auto"/>
          <w:sz w:val="20"/>
          <w:szCs w:val="20"/>
        </w:rPr>
      </w:pPr>
      <w:r w:rsidRPr="00A63840">
        <w:rPr>
          <w:rStyle w:val="Strong"/>
          <w:rFonts w:ascii="Arial" w:hAnsi="Arial" w:cs="Arial"/>
          <w:bCs w:val="0"/>
          <w:color w:val="auto"/>
          <w:sz w:val="20"/>
          <w:szCs w:val="20"/>
        </w:rPr>
        <w:t>2.5 Corrosion Protection and Marine Anti-Fouling Systems</w:t>
      </w:r>
    </w:p>
    <w:p w14:paraId="3F68A9B1" w14:textId="77777777" w:rsidR="00DD0D91" w:rsidRPr="00A63840" w:rsidRDefault="00DD0D91" w:rsidP="00DD0D91">
      <w:pPr>
        <w:pStyle w:val="NormalWeb"/>
        <w:spacing w:before="0" w:beforeAutospacing="0" w:after="0" w:afterAutospacing="0"/>
        <w:jc w:val="both"/>
        <w:rPr>
          <w:rFonts w:ascii="Arial" w:hAnsi="Arial" w:cs="Arial"/>
          <w:b/>
          <w:bCs/>
          <w:sz w:val="20"/>
          <w:szCs w:val="20"/>
        </w:rPr>
      </w:pPr>
      <w:r w:rsidRPr="00A63840">
        <w:rPr>
          <w:rFonts w:ascii="Arial" w:hAnsi="Arial" w:cs="Arial"/>
          <w:sz w:val="20"/>
          <w:szCs w:val="20"/>
        </w:rPr>
        <w:t>WEC structures operate in harsh marine environments characterized by high salinity, humidity, biofouling, and mechanical wear. Effective corrosion protection is therefore essential to ensure long-term structural integrity and operational reliability.</w:t>
      </w:r>
    </w:p>
    <w:p w14:paraId="2D42B10F"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728F6A68" w14:textId="77777777" w:rsidR="00DD0D91" w:rsidRPr="00A63840" w:rsidRDefault="00DD0D91" w:rsidP="00DD0D91">
      <w:pPr>
        <w:pStyle w:val="Heading3"/>
        <w:spacing w:before="0"/>
        <w:rPr>
          <w:rFonts w:ascii="Arial" w:hAnsi="Arial" w:cs="Arial"/>
          <w:sz w:val="20"/>
          <w:szCs w:val="20"/>
        </w:rPr>
      </w:pPr>
      <w:r w:rsidRPr="00A63840">
        <w:rPr>
          <w:rStyle w:val="Strong"/>
          <w:rFonts w:ascii="Arial" w:hAnsi="Arial" w:cs="Arial"/>
          <w:sz w:val="20"/>
          <w:szCs w:val="20"/>
        </w:rPr>
        <w:t>2.5.1 Cathodic Protection</w:t>
      </w:r>
    </w:p>
    <w:p w14:paraId="02F20F72"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Cathodic protection systems mitigate electrochemical corrosion by employing sacrificial anodes that preferentially oxidize in seawater, thereby preserving the integrity of the protected structural components, as illustrated in </w:t>
      </w:r>
      <w:r w:rsidRPr="00A63840">
        <w:rPr>
          <w:rStyle w:val="Strong"/>
          <w:rFonts w:ascii="Arial" w:hAnsi="Arial" w:cs="Arial"/>
          <w:b w:val="0"/>
          <w:bCs w:val="0"/>
          <w:sz w:val="20"/>
          <w:szCs w:val="20"/>
        </w:rPr>
        <w:t>Figure 1</w:t>
      </w:r>
      <w:r w:rsidRPr="00A63840">
        <w:rPr>
          <w:rFonts w:ascii="Arial" w:hAnsi="Arial" w:cs="Arial"/>
          <w:b/>
          <w:bCs/>
          <w:sz w:val="20"/>
          <w:szCs w:val="20"/>
        </w:rPr>
        <w:t>.</w:t>
      </w:r>
    </w:p>
    <w:p w14:paraId="1B473F0A" w14:textId="77777777" w:rsidR="00DD0D91" w:rsidRPr="00A63840" w:rsidRDefault="00DD0D91" w:rsidP="00DD0D91">
      <w:pPr>
        <w:pStyle w:val="NormalWeb"/>
        <w:spacing w:before="0" w:beforeAutospacing="0" w:after="0" w:afterAutospacing="0"/>
        <w:jc w:val="center"/>
        <w:rPr>
          <w:rFonts w:ascii="Arial" w:hAnsi="Arial" w:cs="Arial"/>
          <w:sz w:val="20"/>
          <w:szCs w:val="20"/>
        </w:rPr>
      </w:pPr>
      <w:r w:rsidRPr="00A63840">
        <w:rPr>
          <w:rFonts w:ascii="Arial" w:hAnsi="Arial" w:cs="Arial"/>
          <w:noProof/>
          <w:sz w:val="20"/>
          <w:szCs w:val="20"/>
          <w:lang w:val="en-US" w:eastAsia="en-US"/>
        </w:rPr>
        <w:drawing>
          <wp:inline distT="0" distB="0" distL="0" distR="0" wp14:anchorId="3A4787D3" wp14:editId="5095041E">
            <wp:extent cx="2862542"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5376" cy="1516955"/>
                    </a:xfrm>
                    <a:prstGeom prst="rect">
                      <a:avLst/>
                    </a:prstGeom>
                    <a:noFill/>
                  </pic:spPr>
                </pic:pic>
              </a:graphicData>
            </a:graphic>
          </wp:inline>
        </w:drawing>
      </w:r>
    </w:p>
    <w:p w14:paraId="174A2613"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sz w:val="20"/>
          <w:szCs w:val="20"/>
        </w:rPr>
        <w:t>Figure 1. Schematic of Cathodic Protection via Electrolysis</w:t>
      </w:r>
    </w:p>
    <w:p w14:paraId="12A35D4E" w14:textId="77777777" w:rsidR="00DD0D91" w:rsidRPr="00A63840" w:rsidRDefault="00DD0D91" w:rsidP="00DD0D91">
      <w:pPr>
        <w:pStyle w:val="NormalWeb"/>
        <w:spacing w:before="0" w:beforeAutospacing="0" w:after="0" w:afterAutospacing="0"/>
        <w:jc w:val="both"/>
        <w:rPr>
          <w:rFonts w:ascii="Arial" w:hAnsi="Arial" w:cs="Arial"/>
          <w:b/>
          <w:bCs/>
          <w:sz w:val="20"/>
          <w:szCs w:val="20"/>
        </w:rPr>
      </w:pPr>
    </w:p>
    <w:p w14:paraId="203F27DE" w14:textId="77777777" w:rsidR="00DD0D91" w:rsidRPr="00A63840" w:rsidRDefault="00DD0D91" w:rsidP="00DD0D91">
      <w:pPr>
        <w:pStyle w:val="Heading3"/>
        <w:spacing w:before="0"/>
        <w:rPr>
          <w:rFonts w:ascii="Arial" w:hAnsi="Arial" w:cs="Arial"/>
          <w:b/>
          <w:bCs/>
          <w:color w:val="auto"/>
          <w:sz w:val="20"/>
          <w:szCs w:val="20"/>
        </w:rPr>
      </w:pPr>
      <w:r w:rsidRPr="00A63840">
        <w:rPr>
          <w:rStyle w:val="Strong"/>
          <w:rFonts w:ascii="Arial" w:hAnsi="Arial" w:cs="Arial"/>
          <w:color w:val="auto"/>
          <w:sz w:val="20"/>
          <w:szCs w:val="20"/>
        </w:rPr>
        <w:lastRenderedPageBreak/>
        <w:t>2.5.2 Anti-Fouling Coatings</w:t>
      </w:r>
    </w:p>
    <w:p w14:paraId="31E941C5" w14:textId="77777777" w:rsidR="00DD0D91" w:rsidRPr="00A63840" w:rsidRDefault="00DD0D91" w:rsidP="00DD0D91">
      <w:pPr>
        <w:rPr>
          <w:rFonts w:ascii="Arial" w:hAnsi="Arial" w:cs="Arial"/>
        </w:rPr>
      </w:pPr>
      <w:r w:rsidRPr="00A63840">
        <w:rPr>
          <w:rFonts w:ascii="Arial" w:hAnsi="Arial" w:cs="Arial"/>
        </w:rPr>
        <w:t>Marine biofouling increases hydrodynamic drag, mass loading, and structural degradation. Anti-fouling strategies include ablative coatings, hard low-adhesion coatings, and foul-release polymer-based coatings designed to minimize biological attachment.</w:t>
      </w:r>
    </w:p>
    <w:p w14:paraId="5C8CFF67" w14:textId="77777777" w:rsidR="00DD0D91" w:rsidRPr="00A63840" w:rsidRDefault="00DD0D91" w:rsidP="00DD0D91">
      <w:pPr>
        <w:pStyle w:val="Heading3"/>
        <w:spacing w:before="0"/>
        <w:rPr>
          <w:rStyle w:val="Strong"/>
          <w:rFonts w:ascii="Arial" w:hAnsi="Arial" w:cs="Arial"/>
          <w:b w:val="0"/>
          <w:bCs w:val="0"/>
          <w:sz w:val="20"/>
          <w:szCs w:val="20"/>
        </w:rPr>
      </w:pPr>
    </w:p>
    <w:p w14:paraId="282EEE48" w14:textId="77777777" w:rsidR="00DD0D91" w:rsidRPr="00A63840" w:rsidRDefault="00DD0D91" w:rsidP="00DD0D91">
      <w:pPr>
        <w:pStyle w:val="Heading3"/>
        <w:spacing w:before="0"/>
        <w:rPr>
          <w:rFonts w:ascii="Arial" w:hAnsi="Arial" w:cs="Arial"/>
          <w:color w:val="auto"/>
          <w:sz w:val="20"/>
          <w:szCs w:val="20"/>
        </w:rPr>
      </w:pPr>
      <w:r w:rsidRPr="00A63840">
        <w:rPr>
          <w:rStyle w:val="Strong"/>
          <w:rFonts w:ascii="Arial" w:hAnsi="Arial" w:cs="Arial"/>
          <w:color w:val="auto"/>
          <w:sz w:val="20"/>
          <w:szCs w:val="20"/>
        </w:rPr>
        <w:t>2.5.3 Topside Protective Paint Systems</w:t>
      </w:r>
    </w:p>
    <w:p w14:paraId="2B780E28"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Topside WEC structures are typically protected using epoxy primers, polyurethane coatings, and ultraviolet-resistant paint systems to prevent atmospheric corrosion and UV-induced material degradation.</w:t>
      </w:r>
    </w:p>
    <w:p w14:paraId="37C3F1BE"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731DDE5C" w14:textId="77777777" w:rsidR="00DD0D91" w:rsidRPr="00A63840" w:rsidRDefault="00DD0D91" w:rsidP="00DD0D91">
      <w:pPr>
        <w:pStyle w:val="Heading2"/>
        <w:spacing w:before="0"/>
        <w:jc w:val="both"/>
        <w:rPr>
          <w:rFonts w:ascii="Arial" w:hAnsi="Arial" w:cs="Arial"/>
          <w:bCs/>
          <w:color w:val="auto"/>
          <w:sz w:val="20"/>
          <w:szCs w:val="20"/>
        </w:rPr>
      </w:pPr>
      <w:r w:rsidRPr="00A63840">
        <w:rPr>
          <w:rStyle w:val="Strong"/>
          <w:rFonts w:ascii="Arial" w:hAnsi="Arial" w:cs="Arial"/>
          <w:bCs w:val="0"/>
          <w:color w:val="auto"/>
          <w:sz w:val="20"/>
          <w:szCs w:val="20"/>
        </w:rPr>
        <w:t>2.6 Linear Generator Technology for Two-Body WECs</w:t>
      </w:r>
    </w:p>
    <w:p w14:paraId="5BE8758B" w14:textId="3EFA99D2"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Linear electrical generators have gained increasing attention for two-body WEC applications due to their ability to convert translational motion directly into electrical energy. These systems typically consist of a translator containing permanent magnets and a stator equipped with copper windings, as shown in </w:t>
      </w:r>
      <w:r w:rsidRPr="00A63840">
        <w:rPr>
          <w:rStyle w:val="Strong"/>
          <w:rFonts w:ascii="Arial" w:hAnsi="Arial" w:cs="Arial"/>
          <w:b w:val="0"/>
          <w:bCs w:val="0"/>
          <w:sz w:val="20"/>
          <w:szCs w:val="20"/>
        </w:rPr>
        <w:t>Figure 2</w:t>
      </w:r>
      <w:r w:rsidRPr="00A63840">
        <w:rPr>
          <w:rFonts w:ascii="Arial" w:hAnsi="Arial" w:cs="Arial"/>
          <w:sz w:val="20"/>
          <w:szCs w:val="20"/>
        </w:rPr>
        <w:t xml:space="preserve"> </w:t>
      </w:r>
      <w:r w:rsidR="00E37325" w:rsidRPr="00454E7C">
        <w:rPr>
          <w:rFonts w:ascii="Arial" w:hAnsi="Arial" w:cs="Arial"/>
          <w:sz w:val="20"/>
          <w:szCs w:val="20"/>
        </w:rPr>
        <w:t>(</w:t>
      </w:r>
      <w:r w:rsidR="00E37325" w:rsidRPr="00454E7C">
        <w:rPr>
          <w:rStyle w:val="Strong"/>
          <w:rFonts w:ascii="Arial" w:hAnsi="Arial" w:cs="Arial"/>
          <w:b w:val="0"/>
          <w:bCs w:val="0"/>
          <w:sz w:val="20"/>
          <w:szCs w:val="20"/>
        </w:rPr>
        <w:t xml:space="preserve">Drew, Plummer, and </w:t>
      </w:r>
      <w:proofErr w:type="spellStart"/>
      <w:r w:rsidR="00E37325" w:rsidRPr="00454E7C">
        <w:rPr>
          <w:rStyle w:val="Strong"/>
          <w:rFonts w:ascii="Arial" w:hAnsi="Arial" w:cs="Arial"/>
          <w:b w:val="0"/>
          <w:bCs w:val="0"/>
          <w:sz w:val="20"/>
          <w:szCs w:val="20"/>
        </w:rPr>
        <w:t>Sahinkaya</w:t>
      </w:r>
      <w:proofErr w:type="spellEnd"/>
      <w:r w:rsidR="00E37325" w:rsidRPr="00454E7C">
        <w:rPr>
          <w:rStyle w:val="Strong"/>
          <w:rFonts w:ascii="Arial" w:hAnsi="Arial" w:cs="Arial"/>
          <w:b w:val="0"/>
          <w:bCs w:val="0"/>
          <w:sz w:val="20"/>
          <w:szCs w:val="20"/>
        </w:rPr>
        <w:t>, 2009</w:t>
      </w:r>
      <w:r w:rsidR="00E37325" w:rsidRPr="00454E7C">
        <w:rPr>
          <w:rFonts w:ascii="Arial" w:hAnsi="Arial" w:cs="Arial"/>
          <w:sz w:val="20"/>
          <w:szCs w:val="20"/>
        </w:rPr>
        <w:t>)</w:t>
      </w:r>
      <w:r w:rsidRPr="00454E7C">
        <w:rPr>
          <w:rFonts w:ascii="Arial" w:hAnsi="Arial" w:cs="Arial"/>
          <w:sz w:val="20"/>
          <w:szCs w:val="20"/>
        </w:rPr>
        <w:t>. Relative</w:t>
      </w:r>
      <w:r w:rsidRPr="00A63840">
        <w:rPr>
          <w:rFonts w:ascii="Arial" w:hAnsi="Arial" w:cs="Arial"/>
          <w:sz w:val="20"/>
          <w:szCs w:val="20"/>
        </w:rPr>
        <w:t xml:space="preserve"> vertical motion between floating and submerged bodies induces time-varying magnetic flux, generating electrical power without the mechanical losses associated with rotary systems.</w:t>
      </w:r>
    </w:p>
    <w:p w14:paraId="7FF234BA"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noProof/>
          <w:sz w:val="20"/>
          <w:szCs w:val="20"/>
          <w:lang w:val="en-US" w:eastAsia="en-US"/>
        </w:rPr>
        <w:drawing>
          <wp:inline distT="0" distB="0" distL="0" distR="0" wp14:anchorId="5D13B425" wp14:editId="57F2CB01">
            <wp:extent cx="3041650" cy="16510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1650" cy="1651000"/>
                    </a:xfrm>
                    <a:prstGeom prst="rect">
                      <a:avLst/>
                    </a:prstGeom>
                    <a:noFill/>
                  </pic:spPr>
                </pic:pic>
              </a:graphicData>
            </a:graphic>
          </wp:inline>
        </w:drawing>
      </w:r>
    </w:p>
    <w:p w14:paraId="09DDBE9B"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sz w:val="20"/>
          <w:szCs w:val="20"/>
        </w:rPr>
        <w:t>Figure 2. Linear Generator Translator–Stator Configuration [9]</w:t>
      </w:r>
    </w:p>
    <w:p w14:paraId="1AE5FDAD" w14:textId="77777777" w:rsidR="00DD0D91" w:rsidRPr="00A63840" w:rsidRDefault="00DD0D91" w:rsidP="00DD0D91">
      <w:pPr>
        <w:pStyle w:val="NormalWeb"/>
        <w:spacing w:before="0" w:beforeAutospacing="0" w:after="0" w:afterAutospacing="0"/>
        <w:jc w:val="both"/>
        <w:rPr>
          <w:rFonts w:ascii="Arial" w:hAnsi="Arial" w:cs="Arial"/>
          <w:b/>
          <w:bCs/>
          <w:sz w:val="20"/>
          <w:szCs w:val="20"/>
        </w:rPr>
      </w:pPr>
    </w:p>
    <w:p w14:paraId="0441A6A0" w14:textId="77777777" w:rsidR="00DD0D91" w:rsidRPr="00A63840" w:rsidRDefault="00DD0D91" w:rsidP="00DD0D91">
      <w:pPr>
        <w:pStyle w:val="Heading2"/>
        <w:spacing w:before="0"/>
        <w:jc w:val="both"/>
        <w:rPr>
          <w:rFonts w:ascii="Arial" w:hAnsi="Arial" w:cs="Arial"/>
          <w:bCs/>
          <w:color w:val="auto"/>
          <w:sz w:val="20"/>
          <w:szCs w:val="20"/>
        </w:rPr>
      </w:pPr>
      <w:r w:rsidRPr="00A63840">
        <w:rPr>
          <w:rStyle w:val="Strong"/>
          <w:rFonts w:ascii="Arial" w:hAnsi="Arial" w:cs="Arial"/>
          <w:bCs w:val="0"/>
          <w:color w:val="auto"/>
          <w:sz w:val="20"/>
          <w:szCs w:val="20"/>
        </w:rPr>
        <w:t>2.7 Technical Viability and Efficiency of Wave Energy Systems</w:t>
      </w:r>
    </w:p>
    <w:p w14:paraId="65A1F441" w14:textId="4C99A2FD" w:rsidR="00DD0D91" w:rsidRPr="00A63840" w:rsidRDefault="00DD0D91" w:rsidP="008B334D">
      <w:pPr>
        <w:jc w:val="both"/>
        <w:rPr>
          <w:rFonts w:ascii="Arial" w:hAnsi="Arial" w:cs="Arial"/>
          <w:lang w:val="en-TT" w:eastAsia="en-TT"/>
        </w:rPr>
      </w:pPr>
      <w:r w:rsidRPr="00A63840">
        <w:rPr>
          <w:rFonts w:ascii="Arial" w:hAnsi="Arial" w:cs="Arial"/>
          <w:lang w:val="en-TT" w:eastAsia="en-TT"/>
        </w:rPr>
        <w:t xml:space="preserve">Reported WEC energy capture efficiency varies significantly depending on device type, control strategy, wave climate, and PTO configuration. </w:t>
      </w:r>
      <w:r w:rsidR="008B334D" w:rsidRPr="00A63840">
        <w:rPr>
          <w:rFonts w:ascii="Arial" w:hAnsi="Arial" w:cs="Arial"/>
        </w:rPr>
        <w:t>Khatri and Wang (2020)</w:t>
      </w:r>
      <w:r w:rsidRPr="00A63840">
        <w:rPr>
          <w:rFonts w:ascii="Arial" w:hAnsi="Arial" w:cs="Arial"/>
          <w:lang w:val="en-TT" w:eastAsia="en-TT"/>
        </w:rPr>
        <w:t xml:space="preserve"> reported efficiency ranges of 5–51% for heaving WECs and 15–79% for pitching WECs, highlighting the performance sensitivity to motion mode and tuning strategy.</w:t>
      </w:r>
    </w:p>
    <w:p w14:paraId="1124614B" w14:textId="77777777" w:rsidR="00DD0D91" w:rsidRPr="00A63840" w:rsidRDefault="00DD0D91" w:rsidP="008B334D">
      <w:pPr>
        <w:jc w:val="both"/>
        <w:rPr>
          <w:rFonts w:ascii="Arial" w:hAnsi="Arial" w:cs="Arial"/>
          <w:lang w:val="en-TT" w:eastAsia="en-TT"/>
        </w:rPr>
      </w:pPr>
      <w:r w:rsidRPr="00A63840">
        <w:rPr>
          <w:rFonts w:ascii="Arial" w:hAnsi="Arial" w:cs="Arial"/>
          <w:lang w:val="en-TT" w:eastAsia="en-TT"/>
        </w:rPr>
        <w:t>Capital cost projections indicate a gradual decline in WEC deployment costs over time, reflecting technological maturation and economies of scale, as summarized in Table 3.</w:t>
      </w:r>
    </w:p>
    <w:p w14:paraId="078002B4" w14:textId="77777777" w:rsidR="008B334D" w:rsidRPr="00A63840" w:rsidRDefault="008B334D" w:rsidP="00DD0D91">
      <w:pPr>
        <w:pStyle w:val="Heading3"/>
        <w:spacing w:before="0"/>
        <w:jc w:val="center"/>
        <w:rPr>
          <w:rStyle w:val="Strong"/>
          <w:rFonts w:ascii="Arial" w:hAnsi="Arial" w:cs="Arial"/>
          <w:sz w:val="20"/>
          <w:szCs w:val="20"/>
        </w:rPr>
      </w:pPr>
    </w:p>
    <w:p w14:paraId="3BB54181" w14:textId="59FAD9BD" w:rsidR="00DD0D91" w:rsidRPr="00A63840" w:rsidRDefault="00DD0D91" w:rsidP="00DD0D91">
      <w:pPr>
        <w:pStyle w:val="Heading3"/>
        <w:spacing w:before="0"/>
        <w:jc w:val="center"/>
        <w:rPr>
          <w:rFonts w:ascii="Arial" w:hAnsi="Arial" w:cs="Arial"/>
          <w:sz w:val="20"/>
          <w:szCs w:val="20"/>
        </w:rPr>
      </w:pPr>
      <w:r w:rsidRPr="00A63840">
        <w:rPr>
          <w:rStyle w:val="Strong"/>
          <w:rFonts w:ascii="Arial" w:hAnsi="Arial" w:cs="Arial"/>
          <w:sz w:val="20"/>
          <w:szCs w:val="20"/>
        </w:rPr>
        <w:t>Table 3. Projected WEC Cost Trends</w:t>
      </w:r>
    </w:p>
    <w:tbl>
      <w:tblPr>
        <w:tblStyle w:val="TableGrid"/>
        <w:tblW w:w="6086" w:type="dxa"/>
        <w:jc w:val="center"/>
        <w:tblLook w:val="04A0" w:firstRow="1" w:lastRow="0" w:firstColumn="1" w:lastColumn="0" w:noHBand="0" w:noVBand="1"/>
      </w:tblPr>
      <w:tblGrid>
        <w:gridCol w:w="2090"/>
        <w:gridCol w:w="3996"/>
      </w:tblGrid>
      <w:tr w:rsidR="00DD0D91" w:rsidRPr="00A63840" w14:paraId="4E9D5DBE" w14:textId="77777777" w:rsidTr="001E346E">
        <w:trPr>
          <w:trHeight w:val="252"/>
          <w:jc w:val="center"/>
        </w:trPr>
        <w:tc>
          <w:tcPr>
            <w:tcW w:w="0" w:type="auto"/>
            <w:hideMark/>
          </w:tcPr>
          <w:p w14:paraId="339EC1BD" w14:textId="77777777" w:rsidR="00DD0D91" w:rsidRPr="00A63840" w:rsidRDefault="00DD0D91" w:rsidP="001E346E">
            <w:pPr>
              <w:rPr>
                <w:rFonts w:ascii="Arial" w:hAnsi="Arial" w:cs="Arial"/>
                <w:b/>
                <w:bCs/>
                <w:sz w:val="20"/>
                <w:szCs w:val="20"/>
              </w:rPr>
            </w:pPr>
            <w:r w:rsidRPr="00A63840">
              <w:rPr>
                <w:rFonts w:ascii="Arial" w:hAnsi="Arial" w:cs="Arial"/>
                <w:b/>
                <w:bCs/>
                <w:sz w:val="20"/>
                <w:szCs w:val="20"/>
              </w:rPr>
              <w:t>Period</w:t>
            </w:r>
          </w:p>
        </w:tc>
        <w:tc>
          <w:tcPr>
            <w:tcW w:w="0" w:type="auto"/>
            <w:hideMark/>
          </w:tcPr>
          <w:p w14:paraId="6C7B3B43" w14:textId="77777777" w:rsidR="00DD0D91" w:rsidRPr="00A63840" w:rsidRDefault="00DD0D91" w:rsidP="001E346E">
            <w:pPr>
              <w:rPr>
                <w:rFonts w:ascii="Arial" w:hAnsi="Arial" w:cs="Arial"/>
                <w:b/>
                <w:bCs/>
                <w:sz w:val="20"/>
                <w:szCs w:val="20"/>
              </w:rPr>
            </w:pPr>
            <w:r w:rsidRPr="00A63840">
              <w:rPr>
                <w:rFonts w:ascii="Arial" w:hAnsi="Arial" w:cs="Arial"/>
                <w:b/>
                <w:bCs/>
                <w:sz w:val="20"/>
                <w:szCs w:val="20"/>
              </w:rPr>
              <w:t>Estimated Cost ($/kW)</w:t>
            </w:r>
          </w:p>
        </w:tc>
      </w:tr>
      <w:tr w:rsidR="00DD0D91" w:rsidRPr="00A63840" w14:paraId="502DF817" w14:textId="77777777" w:rsidTr="001E346E">
        <w:trPr>
          <w:trHeight w:val="252"/>
          <w:jc w:val="center"/>
        </w:trPr>
        <w:tc>
          <w:tcPr>
            <w:tcW w:w="0" w:type="auto"/>
            <w:hideMark/>
          </w:tcPr>
          <w:p w14:paraId="06222B27" w14:textId="77777777" w:rsidR="00DD0D91" w:rsidRPr="00A63840" w:rsidRDefault="00DD0D91" w:rsidP="001E346E">
            <w:pPr>
              <w:rPr>
                <w:rFonts w:ascii="Arial" w:hAnsi="Arial" w:cs="Arial"/>
                <w:sz w:val="20"/>
                <w:szCs w:val="20"/>
              </w:rPr>
            </w:pPr>
            <w:r w:rsidRPr="00A63840">
              <w:rPr>
                <w:rFonts w:ascii="Arial" w:hAnsi="Arial" w:cs="Arial"/>
                <w:sz w:val="20"/>
                <w:szCs w:val="20"/>
              </w:rPr>
              <w:t>2008–2011</w:t>
            </w:r>
          </w:p>
        </w:tc>
        <w:tc>
          <w:tcPr>
            <w:tcW w:w="0" w:type="auto"/>
            <w:hideMark/>
          </w:tcPr>
          <w:p w14:paraId="67DE2493" w14:textId="77777777" w:rsidR="00DD0D91" w:rsidRPr="00A63840" w:rsidRDefault="00DD0D91" w:rsidP="001E346E">
            <w:pPr>
              <w:rPr>
                <w:rFonts w:ascii="Arial" w:hAnsi="Arial" w:cs="Arial"/>
                <w:sz w:val="20"/>
                <w:szCs w:val="20"/>
              </w:rPr>
            </w:pPr>
            <w:r w:rsidRPr="00A63840">
              <w:rPr>
                <w:rFonts w:ascii="Arial" w:hAnsi="Arial" w:cs="Arial"/>
                <w:sz w:val="20"/>
                <w:szCs w:val="20"/>
              </w:rPr>
              <w:t>2,600</w:t>
            </w:r>
          </w:p>
        </w:tc>
      </w:tr>
      <w:tr w:rsidR="00DD0D91" w:rsidRPr="00A63840" w14:paraId="56195D84" w14:textId="77777777" w:rsidTr="001E346E">
        <w:trPr>
          <w:trHeight w:val="242"/>
          <w:jc w:val="center"/>
        </w:trPr>
        <w:tc>
          <w:tcPr>
            <w:tcW w:w="0" w:type="auto"/>
            <w:hideMark/>
          </w:tcPr>
          <w:p w14:paraId="0E935849" w14:textId="77777777" w:rsidR="00DD0D91" w:rsidRPr="00A63840" w:rsidRDefault="00DD0D91" w:rsidP="001E346E">
            <w:pPr>
              <w:rPr>
                <w:rFonts w:ascii="Arial" w:hAnsi="Arial" w:cs="Arial"/>
                <w:sz w:val="20"/>
                <w:szCs w:val="20"/>
              </w:rPr>
            </w:pPr>
            <w:r w:rsidRPr="00A63840">
              <w:rPr>
                <w:rFonts w:ascii="Arial" w:hAnsi="Arial" w:cs="Arial"/>
                <w:sz w:val="20"/>
                <w:szCs w:val="20"/>
              </w:rPr>
              <w:t>2012–2023</w:t>
            </w:r>
          </w:p>
        </w:tc>
        <w:tc>
          <w:tcPr>
            <w:tcW w:w="0" w:type="auto"/>
            <w:hideMark/>
          </w:tcPr>
          <w:p w14:paraId="45AE9866" w14:textId="77777777" w:rsidR="00DD0D91" w:rsidRPr="00A63840" w:rsidRDefault="00DD0D91" w:rsidP="001E346E">
            <w:pPr>
              <w:rPr>
                <w:rFonts w:ascii="Arial" w:hAnsi="Arial" w:cs="Arial"/>
                <w:sz w:val="20"/>
                <w:szCs w:val="20"/>
              </w:rPr>
            </w:pPr>
            <w:r w:rsidRPr="00A63840">
              <w:rPr>
                <w:rFonts w:ascii="Arial" w:hAnsi="Arial" w:cs="Arial"/>
                <w:sz w:val="20"/>
                <w:szCs w:val="20"/>
              </w:rPr>
              <w:t>1,600</w:t>
            </w:r>
          </w:p>
        </w:tc>
      </w:tr>
      <w:tr w:rsidR="00DD0D91" w:rsidRPr="00A63840" w14:paraId="6DDCE12B" w14:textId="77777777" w:rsidTr="001E346E">
        <w:trPr>
          <w:trHeight w:val="252"/>
          <w:jc w:val="center"/>
        </w:trPr>
        <w:tc>
          <w:tcPr>
            <w:tcW w:w="0" w:type="auto"/>
            <w:hideMark/>
          </w:tcPr>
          <w:p w14:paraId="26257057" w14:textId="77777777" w:rsidR="00DD0D91" w:rsidRPr="00A63840" w:rsidRDefault="00DD0D91" w:rsidP="001E346E">
            <w:pPr>
              <w:rPr>
                <w:rFonts w:ascii="Arial" w:hAnsi="Arial" w:cs="Arial"/>
                <w:sz w:val="20"/>
                <w:szCs w:val="20"/>
              </w:rPr>
            </w:pPr>
            <w:r w:rsidRPr="00A63840">
              <w:rPr>
                <w:rFonts w:ascii="Arial" w:hAnsi="Arial" w:cs="Arial"/>
                <w:sz w:val="20"/>
                <w:szCs w:val="20"/>
              </w:rPr>
              <w:t>2024–2027</w:t>
            </w:r>
          </w:p>
        </w:tc>
        <w:tc>
          <w:tcPr>
            <w:tcW w:w="0" w:type="auto"/>
            <w:hideMark/>
          </w:tcPr>
          <w:p w14:paraId="055375DA" w14:textId="77777777" w:rsidR="00DD0D91" w:rsidRPr="00A63840" w:rsidRDefault="00DD0D91" w:rsidP="001E346E">
            <w:pPr>
              <w:rPr>
                <w:rFonts w:ascii="Arial" w:hAnsi="Arial" w:cs="Arial"/>
                <w:sz w:val="20"/>
                <w:szCs w:val="20"/>
              </w:rPr>
            </w:pPr>
            <w:r w:rsidRPr="00A63840">
              <w:rPr>
                <w:rFonts w:ascii="Arial" w:hAnsi="Arial" w:cs="Arial"/>
                <w:sz w:val="20"/>
                <w:szCs w:val="20"/>
              </w:rPr>
              <w:t>1,300</w:t>
            </w:r>
          </w:p>
        </w:tc>
      </w:tr>
    </w:tbl>
    <w:p w14:paraId="4DB71892"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04366CE3" w14:textId="77777777" w:rsidR="00DD0D91" w:rsidRPr="00A63840" w:rsidRDefault="00DD0D91" w:rsidP="00DD0D91">
      <w:pPr>
        <w:pStyle w:val="NormalWeb"/>
        <w:spacing w:before="0" w:beforeAutospacing="0" w:after="0" w:afterAutospacing="0"/>
        <w:jc w:val="both"/>
        <w:rPr>
          <w:rFonts w:ascii="Arial" w:hAnsi="Arial" w:cs="Arial"/>
          <w:b/>
          <w:bCs/>
          <w:sz w:val="20"/>
          <w:szCs w:val="20"/>
        </w:rPr>
      </w:pPr>
      <w:r w:rsidRPr="00A63840">
        <w:rPr>
          <w:rFonts w:ascii="Arial" w:hAnsi="Arial" w:cs="Arial"/>
          <w:sz w:val="20"/>
          <w:szCs w:val="20"/>
        </w:rPr>
        <w:t xml:space="preserve">Hybrid systems integrating </w:t>
      </w:r>
      <w:r w:rsidRPr="00A63840">
        <w:rPr>
          <w:rStyle w:val="Strong"/>
          <w:rFonts w:ascii="Arial" w:hAnsi="Arial" w:cs="Arial"/>
          <w:b w:val="0"/>
          <w:bCs w:val="0"/>
          <w:sz w:val="20"/>
          <w:szCs w:val="20"/>
        </w:rPr>
        <w:t>WECs with offshore wind platforms</w:t>
      </w:r>
      <w:r w:rsidRPr="00A63840">
        <w:rPr>
          <w:rFonts w:ascii="Arial" w:hAnsi="Arial" w:cs="Arial"/>
          <w:sz w:val="20"/>
          <w:szCs w:val="20"/>
        </w:rPr>
        <w:t xml:space="preserve"> have demonstrated enhanced system-level efficiency, particularly for </w:t>
      </w:r>
      <w:r w:rsidRPr="00A63840">
        <w:rPr>
          <w:rStyle w:val="Strong"/>
          <w:rFonts w:ascii="Arial" w:hAnsi="Arial" w:cs="Arial"/>
          <w:b w:val="0"/>
          <w:bCs w:val="0"/>
          <w:sz w:val="20"/>
          <w:szCs w:val="20"/>
        </w:rPr>
        <w:t>point absorber architectures</w:t>
      </w:r>
      <w:r w:rsidRPr="00A63840">
        <w:rPr>
          <w:rFonts w:ascii="Arial" w:hAnsi="Arial" w:cs="Arial"/>
          <w:b/>
          <w:bCs/>
          <w:sz w:val="20"/>
          <w:szCs w:val="20"/>
        </w:rPr>
        <w:t>.</w:t>
      </w:r>
    </w:p>
    <w:p w14:paraId="36FBFDC2"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7C42C547" w14:textId="77777777" w:rsidR="00DD0D91" w:rsidRPr="00A63840" w:rsidRDefault="00DD0D91" w:rsidP="00DD0D91">
      <w:pPr>
        <w:rPr>
          <w:rFonts w:ascii="Arial" w:hAnsi="Arial" w:cs="Arial"/>
          <w:lang w:val="en-TT" w:eastAsia="en-TT"/>
        </w:rPr>
      </w:pPr>
      <w:r w:rsidRPr="00A63840">
        <w:rPr>
          <w:rFonts w:ascii="Arial" w:hAnsi="Arial" w:cs="Arial"/>
          <w:b/>
          <w:bCs/>
          <w:lang w:val="en-TT" w:eastAsia="en-TT"/>
        </w:rPr>
        <w:t>2.8 Prior Research on Two-Body Wave Energy Converters</w:t>
      </w:r>
    </w:p>
    <w:p w14:paraId="289731C6" w14:textId="271F8C6D" w:rsidR="00DD0D91" w:rsidRPr="00A63840" w:rsidRDefault="00DD0D91" w:rsidP="008B334D">
      <w:pPr>
        <w:jc w:val="both"/>
        <w:rPr>
          <w:rFonts w:ascii="Arial" w:hAnsi="Arial" w:cs="Arial"/>
          <w:lang w:val="en-TT" w:eastAsia="en-TT"/>
        </w:rPr>
      </w:pPr>
      <w:r w:rsidRPr="00A63840">
        <w:rPr>
          <w:rFonts w:ascii="Arial" w:hAnsi="Arial" w:cs="Arial"/>
          <w:lang w:val="en-TT" w:eastAsia="en-TT"/>
        </w:rPr>
        <w:t>Recent studies have advanced the understanding of two-body wave energy converter (WEC) dynamics and performance optimization. Nathan Tom et al.</w:t>
      </w:r>
      <w:r w:rsidR="008B334D" w:rsidRPr="00A63840">
        <w:rPr>
          <w:rFonts w:ascii="Arial" w:hAnsi="Arial" w:cs="Arial"/>
          <w:lang w:val="en-TT" w:eastAsia="en-TT"/>
        </w:rPr>
        <w:t xml:space="preserve"> (2023)</w:t>
      </w:r>
      <w:r w:rsidRPr="00A63840">
        <w:rPr>
          <w:rFonts w:ascii="Arial" w:hAnsi="Arial" w:cs="Arial"/>
          <w:lang w:val="en-TT" w:eastAsia="en-TT"/>
        </w:rPr>
        <w:t xml:space="preserve"> examined inflatable two-body point absorbers and reported unexpectedly stable power performance </w:t>
      </w:r>
      <w:r w:rsidRPr="00A63840">
        <w:rPr>
          <w:rFonts w:ascii="Arial" w:hAnsi="Arial" w:cs="Arial"/>
          <w:lang w:val="en-TT" w:eastAsia="en-TT"/>
        </w:rPr>
        <w:lastRenderedPageBreak/>
        <w:t xml:space="preserve">across inflated and deflated operating states, under the assumption of rigid-body structural behaviour. Liang and Zou </w:t>
      </w:r>
      <w:r w:rsidR="004462DE" w:rsidRPr="00A63840">
        <w:rPr>
          <w:rFonts w:ascii="Arial" w:hAnsi="Arial" w:cs="Arial"/>
          <w:lang w:val="en-TT" w:eastAsia="en-TT"/>
        </w:rPr>
        <w:t>(2017)</w:t>
      </w:r>
      <w:r w:rsidRPr="00A63840">
        <w:rPr>
          <w:rFonts w:ascii="Arial" w:hAnsi="Arial" w:cs="Arial"/>
          <w:lang w:val="en-TT" w:eastAsia="en-TT"/>
        </w:rPr>
        <w:t xml:space="preserve"> developed a closed-form analytical expression for the average absorbed power in two-body WEC systems, demonstrating the dependence of power capture on mass, damping, and power take-off (PTO) parameters:</w:t>
      </w:r>
    </w:p>
    <w:p w14:paraId="4B5D51DF" w14:textId="77777777" w:rsidR="00DD0D91" w:rsidRPr="00A63840" w:rsidRDefault="00DC6634" w:rsidP="00DD0D91">
      <w:pPr>
        <w:rPr>
          <w:rFonts w:ascii="Arial" w:hAnsi="Arial" w:cs="Arial"/>
          <w:lang w:val="en-TT" w:eastAsia="en-TT"/>
        </w:rPr>
      </w:pPr>
      <m:oMath>
        <m:sSub>
          <m:sSubPr>
            <m:ctrlPr>
              <w:rPr>
                <w:rFonts w:ascii="Cambria Math" w:hAnsi="Cambria Math" w:cs="Arial"/>
                <w:lang w:val="en-TT" w:eastAsia="en-TT"/>
              </w:rPr>
            </m:ctrlPr>
          </m:sSubPr>
          <m:e>
            <m:r>
              <w:rPr>
                <w:rFonts w:ascii="Cambria Math" w:hAnsi="Cambria Math" w:cs="Arial"/>
                <w:lang w:val="en-TT" w:eastAsia="en-TT"/>
              </w:rPr>
              <m:t>P</m:t>
            </m:r>
          </m:e>
          <m:sub>
            <m:r>
              <w:rPr>
                <w:rFonts w:ascii="Cambria Math" w:hAnsi="Cambria Math" w:cs="Arial"/>
                <w:lang w:val="en-TT" w:eastAsia="en-TT"/>
              </w:rPr>
              <m:t>ave</m:t>
            </m:r>
          </m:sub>
        </m:sSub>
        <m:r>
          <w:rPr>
            <w:rFonts w:ascii="Cambria Math" w:hAnsi="Cambria Math" w:cs="Arial"/>
            <w:lang w:val="en-TT" w:eastAsia="en-TT"/>
          </w:rPr>
          <m:t>=</m:t>
        </m:r>
        <m:f>
          <m:fPr>
            <m:ctrlPr>
              <w:rPr>
                <w:rFonts w:ascii="Cambria Math" w:hAnsi="Cambria Math" w:cs="Arial"/>
                <w:lang w:val="en-TT" w:eastAsia="en-TT"/>
              </w:rPr>
            </m:ctrlPr>
          </m:fPr>
          <m:num>
            <m:r>
              <w:rPr>
                <w:rFonts w:ascii="Cambria Math" w:hAnsi="Cambria Math" w:cs="Arial"/>
                <w:lang w:val="en-TT" w:eastAsia="en-TT"/>
              </w:rPr>
              <m:t>1</m:t>
            </m:r>
          </m:num>
          <m:den>
            <m:sSup>
              <m:sSupPr>
                <m:ctrlPr>
                  <w:rPr>
                    <w:rFonts w:ascii="Cambria Math" w:hAnsi="Cambria Math" w:cs="Arial"/>
                    <w:lang w:val="en-TT" w:eastAsia="en-TT"/>
                  </w:rPr>
                </m:ctrlPr>
              </m:sSupPr>
              <m:e>
                <m:r>
                  <w:rPr>
                    <w:rFonts w:ascii="Cambria Math" w:hAnsi="Cambria Math" w:cs="Arial"/>
                    <w:lang w:val="en-TT" w:eastAsia="en-TT"/>
                  </w:rPr>
                  <m:t>ω</m:t>
                </m:r>
              </m:e>
              <m:sup>
                <m:r>
                  <w:rPr>
                    <w:rFonts w:ascii="Cambria Math" w:hAnsi="Cambria Math" w:cs="Arial"/>
                    <w:lang w:val="en-TT" w:eastAsia="en-TT"/>
                  </w:rPr>
                  <m:t>2</m:t>
                </m:r>
              </m:sup>
            </m:sSup>
            <m:sSub>
              <m:sSubPr>
                <m:ctrlPr>
                  <w:rPr>
                    <w:rFonts w:ascii="Cambria Math" w:hAnsi="Cambria Math" w:cs="Arial"/>
                    <w:lang w:val="en-TT" w:eastAsia="en-TT"/>
                  </w:rPr>
                </m:ctrlPr>
              </m:sSubPr>
              <m:e>
                <m:r>
                  <w:rPr>
                    <w:rFonts w:ascii="Cambria Math" w:hAnsi="Cambria Math" w:cs="Arial"/>
                    <w:lang w:val="en-TT" w:eastAsia="en-TT"/>
                  </w:rPr>
                  <m:t>c</m:t>
                </m:r>
              </m:e>
              <m:sub>
                <m:r>
                  <w:rPr>
                    <w:rFonts w:ascii="Cambria Math" w:hAnsi="Cambria Math" w:cs="Arial"/>
                    <w:lang w:val="en-TT" w:eastAsia="en-TT"/>
                  </w:rPr>
                  <m:t>pto</m:t>
                </m:r>
              </m:sub>
            </m:sSub>
          </m:den>
        </m:f>
        <m:sSup>
          <m:sSupPr>
            <m:ctrlPr>
              <w:rPr>
                <w:rFonts w:ascii="Cambria Math" w:hAnsi="Cambria Math" w:cs="Arial"/>
                <w:lang w:val="en-TT" w:eastAsia="en-TT"/>
              </w:rPr>
            </m:ctrlPr>
          </m:sSupPr>
          <m:e>
            <m:d>
              <m:dPr>
                <m:begChr m:val="|"/>
                <m:endChr m:val="|"/>
                <m:ctrlPr>
                  <w:rPr>
                    <w:rFonts w:ascii="Cambria Math" w:hAnsi="Cambria Math" w:cs="Arial"/>
                    <w:lang w:val="en-TT" w:eastAsia="en-TT"/>
                  </w:rPr>
                </m:ctrlPr>
              </m:dPr>
              <m:e>
                <m:f>
                  <m:fPr>
                    <m:ctrlPr>
                      <w:rPr>
                        <w:rFonts w:ascii="Cambria Math" w:hAnsi="Cambria Math" w:cs="Arial"/>
                        <w:lang w:val="en-TT" w:eastAsia="en-TT"/>
                      </w:rPr>
                    </m:ctrlPr>
                  </m:fPr>
                  <m:num>
                    <m:r>
                      <w:rPr>
                        <w:rFonts w:ascii="Cambria Math" w:hAnsi="Cambria Math" w:cs="Arial"/>
                        <w:lang w:val="en-TT" w:eastAsia="en-TT"/>
                      </w:rPr>
                      <m:t>p+iq</m:t>
                    </m:r>
                  </m:num>
                  <m:den>
                    <m:d>
                      <m:dPr>
                        <m:ctrlPr>
                          <w:rPr>
                            <w:rFonts w:ascii="Cambria Math" w:hAnsi="Cambria Math" w:cs="Arial"/>
                            <w:lang w:val="en-TT" w:eastAsia="en-TT"/>
                          </w:rPr>
                        </m:ctrlPr>
                      </m:dPr>
                      <m:e>
                        <m:r>
                          <w:rPr>
                            <w:rFonts w:ascii="Cambria Math" w:hAnsi="Cambria Math" w:cs="Arial"/>
                            <w:lang w:val="en-TT" w:eastAsia="en-TT"/>
                          </w:rPr>
                          <m:t>a+ib</m:t>
                        </m:r>
                      </m:e>
                    </m:d>
                    <m:sSub>
                      <m:sSubPr>
                        <m:ctrlPr>
                          <w:rPr>
                            <w:rFonts w:ascii="Cambria Math" w:hAnsi="Cambria Math" w:cs="Arial"/>
                            <w:lang w:val="en-TT" w:eastAsia="en-TT"/>
                          </w:rPr>
                        </m:ctrlPr>
                      </m:sSubPr>
                      <m:e>
                        <m:r>
                          <w:rPr>
                            <w:rFonts w:ascii="Cambria Math" w:hAnsi="Cambria Math" w:cs="Arial"/>
                            <w:lang w:val="en-TT" w:eastAsia="en-TT"/>
                          </w:rPr>
                          <m:t>c</m:t>
                        </m:r>
                      </m:e>
                      <m:sub>
                        <m:r>
                          <w:rPr>
                            <w:rFonts w:ascii="Cambria Math" w:hAnsi="Cambria Math" w:cs="Arial"/>
                            <w:lang w:val="en-TT" w:eastAsia="en-TT"/>
                          </w:rPr>
                          <m:t>pto</m:t>
                        </m:r>
                      </m:sub>
                    </m:sSub>
                    <m:r>
                      <w:rPr>
                        <w:rFonts w:ascii="Cambria Math" w:hAnsi="Cambria Math" w:cs="Arial"/>
                        <w:lang w:val="en-TT" w:eastAsia="en-TT"/>
                      </w:rPr>
                      <m:t>+</m:t>
                    </m:r>
                    <m:d>
                      <m:dPr>
                        <m:ctrlPr>
                          <w:rPr>
                            <w:rFonts w:ascii="Cambria Math" w:hAnsi="Cambria Math" w:cs="Arial"/>
                            <w:lang w:val="en-TT" w:eastAsia="en-TT"/>
                          </w:rPr>
                        </m:ctrlPr>
                      </m:dPr>
                      <m:e>
                        <m:r>
                          <w:rPr>
                            <w:rFonts w:ascii="Cambria Math" w:hAnsi="Cambria Math" w:cs="Arial"/>
                            <w:lang w:val="en-TT" w:eastAsia="en-TT"/>
                          </w:rPr>
                          <m:t>c+id</m:t>
                        </m:r>
                      </m:e>
                    </m:d>
                    <m:sSub>
                      <m:sSubPr>
                        <m:ctrlPr>
                          <w:rPr>
                            <w:rFonts w:ascii="Cambria Math" w:hAnsi="Cambria Math" w:cs="Arial"/>
                            <w:lang w:val="en-TT" w:eastAsia="en-TT"/>
                          </w:rPr>
                        </m:ctrlPr>
                      </m:sSubPr>
                      <m:e>
                        <m:r>
                          <w:rPr>
                            <w:rFonts w:ascii="Cambria Math" w:hAnsi="Cambria Math" w:cs="Arial"/>
                            <w:lang w:val="en-TT" w:eastAsia="en-TT"/>
                          </w:rPr>
                          <m:t>k</m:t>
                        </m:r>
                      </m:e>
                      <m:sub>
                        <m:r>
                          <w:rPr>
                            <w:rFonts w:ascii="Cambria Math" w:hAnsi="Cambria Math" w:cs="Arial"/>
                            <w:lang w:val="en-TT" w:eastAsia="en-TT"/>
                          </w:rPr>
                          <m:t>pto</m:t>
                        </m:r>
                      </m:sub>
                    </m:sSub>
                    <m:r>
                      <w:rPr>
                        <w:rFonts w:ascii="Cambria Math" w:hAnsi="Cambria Math" w:cs="Arial"/>
                        <w:lang w:val="en-TT" w:eastAsia="en-TT"/>
                      </w:rPr>
                      <m:t>+e+if</m:t>
                    </m:r>
                  </m:den>
                </m:f>
              </m:e>
            </m:d>
          </m:e>
          <m:sup>
            <m:r>
              <w:rPr>
                <w:rFonts w:ascii="Cambria Math" w:hAnsi="Cambria Math" w:cs="Arial"/>
                <w:lang w:val="en-TT" w:eastAsia="en-TT"/>
              </w:rPr>
              <m:t>2</m:t>
            </m:r>
          </m:sup>
        </m:sSup>
      </m:oMath>
      <w:r w:rsidR="00DD0D91" w:rsidRPr="00A63840">
        <w:rPr>
          <w:rFonts w:ascii="Arial" w:hAnsi="Arial" w:cs="Arial"/>
          <w:lang w:val="en-TT" w:eastAsia="en-TT"/>
        </w:rPr>
        <w:t>………………………. (1)</w:t>
      </w:r>
    </w:p>
    <w:p w14:paraId="561AA2CA" w14:textId="77777777" w:rsidR="00DD0D91" w:rsidRPr="00A63840" w:rsidRDefault="00DD0D91" w:rsidP="00DD0D91">
      <w:pPr>
        <w:rPr>
          <w:rFonts w:ascii="Arial" w:hAnsi="Arial" w:cs="Arial"/>
          <w:lang w:val="en-TT" w:eastAsia="en-TT"/>
        </w:rPr>
      </w:pPr>
    </w:p>
    <w:p w14:paraId="56E403DC" w14:textId="77777777" w:rsidR="00DD0D91" w:rsidRPr="00A63840" w:rsidRDefault="00DD0D91" w:rsidP="009427CC">
      <w:pPr>
        <w:jc w:val="both"/>
        <w:rPr>
          <w:rFonts w:ascii="Arial" w:hAnsi="Arial" w:cs="Arial"/>
          <w:lang w:val="en-TT" w:eastAsia="en-TT"/>
        </w:rPr>
      </w:pPr>
      <w:r w:rsidRPr="00A63840">
        <w:rPr>
          <w:rFonts w:ascii="Arial" w:hAnsi="Arial" w:cs="Arial"/>
          <w:lang w:val="en-TT" w:eastAsia="en-TT"/>
        </w:rPr>
        <w:t>Their analysis confirmed that two-body WECs consistently outperform equivalent single-body configurations across a wide range of mass and damping ratios, highlighting their superior resonance tuning capability and energy extraction efficiency.</w:t>
      </w:r>
    </w:p>
    <w:p w14:paraId="0474FF05" w14:textId="77777777" w:rsidR="00DD0D91" w:rsidRPr="00A63840" w:rsidRDefault="00DD0D91" w:rsidP="009427CC">
      <w:pPr>
        <w:jc w:val="both"/>
        <w:rPr>
          <w:rFonts w:ascii="Arial" w:hAnsi="Arial" w:cs="Arial"/>
          <w:b/>
          <w:bCs/>
          <w:lang w:val="en-TT" w:eastAsia="en-TT"/>
        </w:rPr>
      </w:pPr>
    </w:p>
    <w:p w14:paraId="17680C1B" w14:textId="77777777" w:rsidR="00DD0D91" w:rsidRPr="00A63840" w:rsidRDefault="00DD0D91" w:rsidP="009427CC">
      <w:pPr>
        <w:jc w:val="both"/>
        <w:rPr>
          <w:rFonts w:ascii="Arial" w:hAnsi="Arial" w:cs="Arial"/>
          <w:lang w:val="en-TT" w:eastAsia="en-TT"/>
        </w:rPr>
      </w:pPr>
      <w:r w:rsidRPr="00A63840">
        <w:rPr>
          <w:rFonts w:ascii="Arial" w:hAnsi="Arial" w:cs="Arial"/>
          <w:b/>
          <w:bCs/>
          <w:lang w:val="en-TT" w:eastAsia="en-TT"/>
        </w:rPr>
        <w:t xml:space="preserve">2.9 Commercial Reference: </w:t>
      </w:r>
      <w:proofErr w:type="spellStart"/>
      <w:r w:rsidRPr="00A63840">
        <w:rPr>
          <w:rFonts w:ascii="Arial" w:hAnsi="Arial" w:cs="Arial"/>
          <w:b/>
          <w:bCs/>
          <w:lang w:val="en-TT" w:eastAsia="en-TT"/>
        </w:rPr>
        <w:t>Weptos</w:t>
      </w:r>
      <w:proofErr w:type="spellEnd"/>
      <w:r w:rsidRPr="00A63840">
        <w:rPr>
          <w:rFonts w:ascii="Arial" w:hAnsi="Arial" w:cs="Arial"/>
          <w:b/>
          <w:bCs/>
          <w:lang w:val="en-TT" w:eastAsia="en-TT"/>
        </w:rPr>
        <w:t xml:space="preserve"> Multi-Body WEC</w:t>
      </w:r>
    </w:p>
    <w:p w14:paraId="0DA51E82" w14:textId="77777777" w:rsidR="00DD0D91" w:rsidRPr="00A63840" w:rsidRDefault="00DD0D91" w:rsidP="009427CC">
      <w:pPr>
        <w:jc w:val="both"/>
        <w:rPr>
          <w:rFonts w:ascii="Arial" w:hAnsi="Arial" w:cs="Arial"/>
          <w:lang w:val="en-TT" w:eastAsia="en-TT"/>
        </w:rPr>
      </w:pPr>
      <w:r w:rsidRPr="00A63840">
        <w:rPr>
          <w:rFonts w:ascii="Arial" w:hAnsi="Arial" w:cs="Arial"/>
          <w:lang w:val="en-TT" w:eastAsia="en-TT"/>
        </w:rPr>
        <w:t xml:space="preserve">The Danish company </w:t>
      </w:r>
      <w:proofErr w:type="spellStart"/>
      <w:r w:rsidRPr="00A63840">
        <w:rPr>
          <w:rFonts w:ascii="Arial" w:hAnsi="Arial" w:cs="Arial"/>
          <w:lang w:val="en-TT" w:eastAsia="en-TT"/>
        </w:rPr>
        <w:t>Weptos</w:t>
      </w:r>
      <w:proofErr w:type="spellEnd"/>
      <w:r w:rsidRPr="00A63840">
        <w:rPr>
          <w:rFonts w:ascii="Arial" w:hAnsi="Arial" w:cs="Arial"/>
          <w:lang w:val="en-TT" w:eastAsia="en-TT"/>
        </w:rPr>
        <w:t xml:space="preserve"> has developed a commercial multi-body WEC featuring a variable-geometry architecture that enables adaptive structural reconfiguration in response to changing sea states. The device reportedly achieves conversion efficiencies of up to 60% and megawatt-scale power output through controlled relative motion between interconnected floating elements and a supporting structural frame, demonstrating the commercial viability of adaptive multi-body WEC systems.</w:t>
      </w:r>
    </w:p>
    <w:p w14:paraId="12902BA2" w14:textId="77777777" w:rsidR="00DD0D91" w:rsidRPr="00A63840" w:rsidRDefault="00DD0D91" w:rsidP="00DD0D91">
      <w:pPr>
        <w:rPr>
          <w:rFonts w:ascii="Arial" w:hAnsi="Arial" w:cs="Arial"/>
          <w:b/>
          <w:bCs/>
          <w:lang w:val="en-TT" w:eastAsia="en-TT"/>
        </w:rPr>
      </w:pPr>
    </w:p>
    <w:p w14:paraId="3FE6A77D" w14:textId="77777777" w:rsidR="00DD0D91" w:rsidRPr="00A63840" w:rsidRDefault="00DD0D91" w:rsidP="00DD0D91">
      <w:pPr>
        <w:rPr>
          <w:rFonts w:ascii="Arial" w:hAnsi="Arial" w:cs="Arial"/>
          <w:lang w:val="en-TT" w:eastAsia="en-TT"/>
        </w:rPr>
      </w:pPr>
      <w:r w:rsidRPr="00A63840">
        <w:rPr>
          <w:rFonts w:ascii="Arial" w:hAnsi="Arial" w:cs="Arial"/>
          <w:b/>
          <w:bCs/>
          <w:lang w:val="en-TT" w:eastAsia="en-TT"/>
        </w:rPr>
        <w:t>2.10 Simulation Framework and Numerical Modelling</w:t>
      </w:r>
    </w:p>
    <w:p w14:paraId="0EB444C0" w14:textId="77777777" w:rsidR="00DD0D91" w:rsidRPr="00A63840" w:rsidRDefault="00DD0D91" w:rsidP="00FB5BEF">
      <w:pPr>
        <w:jc w:val="both"/>
        <w:rPr>
          <w:rFonts w:ascii="Arial" w:hAnsi="Arial" w:cs="Arial"/>
          <w:lang w:val="en-TT" w:eastAsia="en-TT"/>
        </w:rPr>
      </w:pPr>
      <w:r w:rsidRPr="00A63840">
        <w:rPr>
          <w:rFonts w:ascii="Arial" w:hAnsi="Arial" w:cs="Arial"/>
          <w:lang w:val="en-TT" w:eastAsia="en-TT"/>
        </w:rPr>
        <w:t>This study employs WEC-Sim, a time-domain simulation platform that model’s wave–structure interactions using hydrodynamic coefficients derived from a linear Boundary Element Method (BEM). The system dynamics are governed by the generalized equation of motion:</w:t>
      </w:r>
    </w:p>
    <w:p w14:paraId="34BE212A" w14:textId="77777777" w:rsidR="00DD0D91" w:rsidRPr="00A63840" w:rsidRDefault="00DD0D91" w:rsidP="00DD0D91">
      <w:pPr>
        <w:rPr>
          <w:rFonts w:ascii="Arial" w:hAnsi="Arial" w:cs="Arial"/>
          <w:lang w:val="en-TT" w:eastAsia="en-TT"/>
        </w:rPr>
      </w:pPr>
    </w:p>
    <w:p w14:paraId="7D0B108F" w14:textId="77777777" w:rsidR="00DD0D91" w:rsidRPr="00A63840" w:rsidRDefault="00DD0D91" w:rsidP="00DD0D91">
      <w:pPr>
        <w:rPr>
          <w:rFonts w:ascii="Arial" w:hAnsi="Arial" w:cs="Arial"/>
          <w:lang w:val="en-TT" w:eastAsia="en-TT"/>
        </w:rPr>
      </w:pPr>
      <m:oMath>
        <m:r>
          <w:rPr>
            <w:rFonts w:ascii="Cambria Math" w:hAnsi="Cambria Math" w:cs="Arial"/>
            <w:lang w:val="en-TT" w:eastAsia="en-TT"/>
          </w:rPr>
          <m:t>m</m:t>
        </m:r>
        <m:acc>
          <m:accPr>
            <m:chr m:val="̈"/>
            <m:ctrlPr>
              <w:rPr>
                <w:rFonts w:ascii="Cambria Math" w:hAnsi="Cambria Math" w:cs="Arial"/>
                <w:lang w:val="en-TT" w:eastAsia="en-TT"/>
              </w:rPr>
            </m:ctrlPr>
          </m:accPr>
          <m:e>
            <m:r>
              <w:rPr>
                <w:rFonts w:ascii="Cambria Math" w:hAnsi="Cambria Math" w:cs="Arial"/>
                <w:lang w:val="en-TT" w:eastAsia="en-TT"/>
              </w:rPr>
              <m:t>X</m:t>
            </m:r>
          </m:e>
        </m:acc>
        <m:r>
          <w:rPr>
            <w:rFonts w:ascii="Cambria Math" w:hAnsi="Cambria Math" w:cs="Arial"/>
            <w:lang w:val="en-TT" w:eastAsia="en-TT"/>
          </w:rPr>
          <m:t>=Fexc(t)+Fmd(t)+Frad(t)+Fpto(t)+Fv(t)+Fme(t)+FB(t)+Fm(t)</m:t>
        </m:r>
      </m:oMath>
      <w:r w:rsidRPr="00A63840">
        <w:rPr>
          <w:rFonts w:ascii="Arial" w:hAnsi="Arial" w:cs="Arial"/>
          <w:lang w:val="en-TT" w:eastAsia="en-TT"/>
        </w:rPr>
        <w:t>……………………………………………………………..…. (2)</w:t>
      </w:r>
    </w:p>
    <w:p w14:paraId="2C874905" w14:textId="77777777" w:rsidR="00DD0D91" w:rsidRPr="00A63840" w:rsidRDefault="00DD0D91" w:rsidP="00DD0D91">
      <w:pPr>
        <w:rPr>
          <w:rFonts w:ascii="Arial" w:hAnsi="Arial" w:cs="Arial"/>
          <w:lang w:val="en-TT" w:eastAsia="en-TT"/>
        </w:rPr>
      </w:pPr>
    </w:p>
    <w:p w14:paraId="5D08FD16" w14:textId="77777777" w:rsidR="00DD0D91" w:rsidRPr="00A63840" w:rsidRDefault="00DD0D91" w:rsidP="00FB5BEF">
      <w:pPr>
        <w:jc w:val="both"/>
        <w:rPr>
          <w:rFonts w:ascii="Arial" w:hAnsi="Arial" w:cs="Arial"/>
          <w:lang w:val="en-TT" w:eastAsia="en-TT"/>
        </w:rPr>
      </w:pPr>
      <w:r w:rsidRPr="00A63840">
        <w:rPr>
          <w:rFonts w:ascii="Arial" w:hAnsi="Arial" w:cs="Arial"/>
          <w:lang w:val="en-TT" w:eastAsia="en-TT"/>
        </w:rPr>
        <w:t>where the force components represent wave excitation, added mass effects, radiation damping, PTO reaction forces, viscous drag, mechanical constraints, hydrostatic restoring forces, and mooring loads, respectively. This framework enables coupled hydrodynamic–structural performance evaluation under realistic operational conditions.</w:t>
      </w:r>
    </w:p>
    <w:p w14:paraId="3CE21EA4" w14:textId="77777777" w:rsidR="00DD0D91" w:rsidRPr="00A63840" w:rsidRDefault="00DD0D91" w:rsidP="00FB5BEF">
      <w:pPr>
        <w:jc w:val="both"/>
        <w:rPr>
          <w:rFonts w:ascii="Arial" w:hAnsi="Arial" w:cs="Arial"/>
          <w:b/>
          <w:bCs/>
          <w:lang w:val="en-TT" w:eastAsia="en-TT"/>
        </w:rPr>
      </w:pPr>
    </w:p>
    <w:p w14:paraId="49BE57C3" w14:textId="77777777" w:rsidR="00DD0D91" w:rsidRPr="00A63840" w:rsidRDefault="00DD0D91" w:rsidP="00FB5BEF">
      <w:pPr>
        <w:jc w:val="both"/>
        <w:rPr>
          <w:rFonts w:ascii="Arial" w:hAnsi="Arial" w:cs="Arial"/>
          <w:lang w:val="en-TT" w:eastAsia="en-TT"/>
        </w:rPr>
      </w:pPr>
      <w:r w:rsidRPr="00A63840">
        <w:rPr>
          <w:rFonts w:ascii="Arial" w:hAnsi="Arial" w:cs="Arial"/>
          <w:b/>
          <w:bCs/>
          <w:lang w:val="en-TT" w:eastAsia="en-TT"/>
        </w:rPr>
        <w:t>2.11 Wave Testing Methodologies</w:t>
      </w:r>
    </w:p>
    <w:p w14:paraId="2639BA0B" w14:textId="77777777" w:rsidR="00DD0D91" w:rsidRPr="00A63840" w:rsidRDefault="00DD0D91" w:rsidP="00FB5BEF">
      <w:pPr>
        <w:jc w:val="both"/>
        <w:rPr>
          <w:rFonts w:ascii="Arial" w:hAnsi="Arial" w:cs="Arial"/>
          <w:lang w:val="en-TT" w:eastAsia="en-TT"/>
        </w:rPr>
      </w:pPr>
      <w:r w:rsidRPr="00A63840">
        <w:rPr>
          <w:rFonts w:ascii="Arial" w:hAnsi="Arial" w:cs="Arial"/>
          <w:lang w:val="en-TT" w:eastAsia="en-TT"/>
        </w:rPr>
        <w:t>Two principal wave testing protocols are widely adopted in WEC performance assessment. The first involves regular wave frequency sweep testing, which is used to characterize resonance behaviour and displacement response under constant wave amplitude conditions. The second involves irregular sea-state simulations based on the Pierson–Moskowitz spectrum:</w:t>
      </w:r>
    </w:p>
    <w:p w14:paraId="0FA3088C" w14:textId="77777777" w:rsidR="00DD0D91" w:rsidRPr="00A63840" w:rsidRDefault="00DD0D91" w:rsidP="00FB5BEF">
      <w:pPr>
        <w:jc w:val="both"/>
        <w:rPr>
          <w:rFonts w:ascii="Arial" w:hAnsi="Arial" w:cs="Arial"/>
          <w:lang w:val="en-TT" w:eastAsia="en-TT"/>
        </w:rPr>
      </w:pPr>
    </w:p>
    <w:p w14:paraId="7C8BA072" w14:textId="77777777" w:rsidR="00DD0D91" w:rsidRPr="00A63840" w:rsidRDefault="00DD0D91" w:rsidP="00FB5BEF">
      <w:pPr>
        <w:jc w:val="both"/>
        <w:rPr>
          <w:rFonts w:ascii="Arial" w:hAnsi="Arial" w:cs="Arial"/>
          <w:lang w:val="en-TT" w:eastAsia="en-TT"/>
        </w:rPr>
      </w:pPr>
      <m:oMath>
        <m:r>
          <m:rPr>
            <m:sty m:val="p"/>
          </m:rPr>
          <w:rPr>
            <w:rFonts w:ascii="Cambria Math" w:hAnsi="Cambria Math" w:cs="Arial"/>
            <w:lang w:val="en-TT" w:eastAsia="en-TT"/>
          </w:rPr>
          <m:t>S</m:t>
        </m:r>
        <m:r>
          <w:rPr>
            <w:rFonts w:ascii="Cambria Math" w:hAnsi="Cambria Math" w:cs="Arial"/>
            <w:lang w:val="en-TT" w:eastAsia="en-TT"/>
          </w:rPr>
          <m:t>(</m:t>
        </m:r>
        <m:r>
          <m:rPr>
            <m:sty m:val="p"/>
          </m:rPr>
          <w:rPr>
            <w:rFonts w:ascii="Cambria Math" w:hAnsi="Cambria Math" w:cs="Arial"/>
            <w:lang w:val="en-TT" w:eastAsia="en-TT"/>
          </w:rPr>
          <m:t>ω</m:t>
        </m:r>
        <m:r>
          <w:rPr>
            <w:rFonts w:ascii="Cambria Math" w:hAnsi="Cambria Math" w:cs="Arial"/>
            <w:lang w:val="en-TT" w:eastAsia="en-TT"/>
          </w:rPr>
          <m:t>)=526</m:t>
        </m:r>
        <m:sSubSup>
          <m:sSubSupPr>
            <m:ctrlPr>
              <w:rPr>
                <w:rFonts w:ascii="Cambria Math" w:hAnsi="Cambria Math" w:cs="Arial"/>
                <w:lang w:val="en-TT" w:eastAsia="en-TT"/>
              </w:rPr>
            </m:ctrlPr>
          </m:sSubSupPr>
          <m:e>
            <m:r>
              <m:rPr>
                <m:sty m:val="p"/>
              </m:rPr>
              <w:rPr>
                <w:rFonts w:ascii="Cambria Math" w:hAnsi="Cambria Math" w:cs="Arial"/>
                <w:lang w:val="en-TT" w:eastAsia="en-TT"/>
              </w:rPr>
              <m:t>H</m:t>
            </m:r>
          </m:e>
          <m:sub>
            <m:r>
              <m:rPr>
                <m:sty m:val="p"/>
              </m:rPr>
              <w:rPr>
                <w:rFonts w:ascii="Cambria Math" w:hAnsi="Cambria Math" w:cs="Arial"/>
                <w:lang w:val="en-TT" w:eastAsia="en-TT"/>
              </w:rPr>
              <m:t>s</m:t>
            </m:r>
          </m:sub>
          <m:sup>
            <m:r>
              <w:rPr>
                <w:rFonts w:ascii="Cambria Math" w:hAnsi="Cambria Math" w:cs="Arial"/>
                <w:lang w:val="en-TT" w:eastAsia="en-TT"/>
              </w:rPr>
              <m:t>2</m:t>
            </m:r>
          </m:sup>
        </m:sSubSup>
        <m:sSubSup>
          <m:sSubSupPr>
            <m:ctrlPr>
              <w:rPr>
                <w:rFonts w:ascii="Cambria Math" w:hAnsi="Cambria Math" w:cs="Arial"/>
                <w:lang w:val="en-TT" w:eastAsia="en-TT"/>
              </w:rPr>
            </m:ctrlPr>
          </m:sSubSupPr>
          <m:e>
            <m:r>
              <m:rPr>
                <m:sty m:val="p"/>
              </m:rPr>
              <w:rPr>
                <w:rFonts w:ascii="Cambria Math" w:hAnsi="Cambria Math" w:cs="Arial"/>
                <w:lang w:val="en-TT" w:eastAsia="en-TT"/>
              </w:rPr>
              <m:t>T</m:t>
            </m:r>
          </m:e>
          <m:sub>
            <m:r>
              <m:rPr>
                <m:sty m:val="p"/>
              </m:rPr>
              <w:rPr>
                <w:rFonts w:ascii="Cambria Math" w:hAnsi="Cambria Math" w:cs="Arial"/>
                <w:lang w:val="en-TT" w:eastAsia="en-TT"/>
              </w:rPr>
              <m:t>e</m:t>
            </m:r>
          </m:sub>
          <m:sup>
            <m:r>
              <w:rPr>
                <w:rFonts w:ascii="Cambria Math" w:hAnsi="Cambria Math" w:cs="Arial"/>
                <w:lang w:val="en-TT" w:eastAsia="en-TT"/>
              </w:rPr>
              <m:t>-4</m:t>
            </m:r>
          </m:sup>
        </m:sSubSup>
        <m:sSup>
          <m:sSupPr>
            <m:ctrlPr>
              <w:rPr>
                <w:rFonts w:ascii="Cambria Math" w:hAnsi="Cambria Math" w:cs="Arial"/>
                <w:lang w:val="en-TT" w:eastAsia="en-TT"/>
              </w:rPr>
            </m:ctrlPr>
          </m:sSupPr>
          <m:e>
            <m:r>
              <w:rPr>
                <w:rFonts w:ascii="Cambria Math" w:hAnsi="Cambria Math" w:cs="Arial"/>
                <w:lang w:val="en-TT" w:eastAsia="en-TT"/>
              </w:rPr>
              <m:t>ω</m:t>
            </m:r>
          </m:e>
          <m:sup>
            <m:r>
              <w:rPr>
                <w:rFonts w:ascii="Cambria Math" w:hAnsi="Cambria Math" w:cs="Arial"/>
                <w:lang w:val="en-TT" w:eastAsia="en-TT"/>
              </w:rPr>
              <m:t>-5</m:t>
            </m:r>
          </m:sup>
        </m:sSup>
        <m:r>
          <m:rPr>
            <m:sty m:val="p"/>
          </m:rPr>
          <w:rPr>
            <w:rFonts w:ascii="Cambria Math" w:hAnsi="Cambria Math" w:cs="Arial"/>
            <w:lang w:val="en-TT" w:eastAsia="en-TT"/>
          </w:rPr>
          <m:t>exp</m:t>
        </m:r>
        <m:d>
          <m:dPr>
            <m:ctrlPr>
              <w:rPr>
                <w:rFonts w:ascii="Cambria Math" w:hAnsi="Cambria Math" w:cs="Arial"/>
                <w:lang w:val="en-TT" w:eastAsia="en-TT"/>
              </w:rPr>
            </m:ctrlPr>
          </m:dPr>
          <m:e>
            <m:r>
              <w:rPr>
                <w:rFonts w:ascii="Cambria Math" w:hAnsi="Cambria Math" w:cs="Arial"/>
                <w:lang w:val="en-TT" w:eastAsia="en-TT"/>
              </w:rPr>
              <m:t>-1054</m:t>
            </m:r>
            <m:sSubSup>
              <m:sSubSupPr>
                <m:ctrlPr>
                  <w:rPr>
                    <w:rFonts w:ascii="Cambria Math" w:hAnsi="Cambria Math" w:cs="Arial"/>
                    <w:lang w:val="en-TT" w:eastAsia="en-TT"/>
                  </w:rPr>
                </m:ctrlPr>
              </m:sSubSupPr>
              <m:e>
                <m:r>
                  <m:rPr>
                    <m:sty m:val="p"/>
                  </m:rPr>
                  <w:rPr>
                    <w:rFonts w:ascii="Cambria Math" w:hAnsi="Cambria Math" w:cs="Arial"/>
                    <w:lang w:val="en-TT" w:eastAsia="en-TT"/>
                  </w:rPr>
                  <m:t>T</m:t>
                </m:r>
              </m:e>
              <m:sub>
                <m:r>
                  <m:rPr>
                    <m:sty m:val="p"/>
                  </m:rPr>
                  <w:rPr>
                    <w:rFonts w:ascii="Cambria Math" w:hAnsi="Cambria Math" w:cs="Arial"/>
                    <w:lang w:val="en-TT" w:eastAsia="en-TT"/>
                  </w:rPr>
                  <m:t>e</m:t>
                </m:r>
              </m:sub>
              <m:sup>
                <m:r>
                  <w:rPr>
                    <w:rFonts w:ascii="Cambria Math" w:hAnsi="Cambria Math" w:cs="Arial"/>
                    <w:lang w:val="en-TT" w:eastAsia="en-TT"/>
                  </w:rPr>
                  <m:t>-4</m:t>
                </m:r>
              </m:sup>
            </m:sSubSup>
            <m:sSup>
              <m:sSupPr>
                <m:ctrlPr>
                  <w:rPr>
                    <w:rFonts w:ascii="Cambria Math" w:hAnsi="Cambria Math" w:cs="Arial"/>
                    <w:lang w:val="en-TT" w:eastAsia="en-TT"/>
                  </w:rPr>
                </m:ctrlPr>
              </m:sSupPr>
              <m:e>
                <m:r>
                  <w:rPr>
                    <w:rFonts w:ascii="Cambria Math" w:hAnsi="Cambria Math" w:cs="Arial"/>
                    <w:lang w:val="en-TT" w:eastAsia="en-TT"/>
                  </w:rPr>
                  <m:t>ω</m:t>
                </m:r>
              </m:e>
              <m:sup>
                <m:r>
                  <w:rPr>
                    <w:rFonts w:ascii="Cambria Math" w:hAnsi="Cambria Math" w:cs="Arial"/>
                    <w:lang w:val="en-TT" w:eastAsia="en-TT"/>
                  </w:rPr>
                  <m:t>-4</m:t>
                </m:r>
              </m:sup>
            </m:sSup>
          </m:e>
        </m:d>
      </m:oMath>
      <w:r w:rsidRPr="00A63840">
        <w:rPr>
          <w:rFonts w:ascii="Arial" w:hAnsi="Arial" w:cs="Arial"/>
          <w:lang w:val="en-TT" w:eastAsia="en-TT"/>
        </w:rPr>
        <w:t>……………………... (3)</w:t>
      </w:r>
    </w:p>
    <w:p w14:paraId="13974175" w14:textId="77777777" w:rsidR="00DD0D91" w:rsidRPr="00A63840" w:rsidRDefault="00DD0D91" w:rsidP="00FB5BEF">
      <w:pPr>
        <w:jc w:val="both"/>
        <w:rPr>
          <w:rFonts w:ascii="Arial" w:hAnsi="Arial" w:cs="Arial"/>
          <w:lang w:val="en-TT" w:eastAsia="en-TT"/>
        </w:rPr>
      </w:pPr>
      <w:r w:rsidRPr="00A63840">
        <w:rPr>
          <w:rFonts w:ascii="Arial" w:hAnsi="Arial" w:cs="Arial"/>
          <w:lang w:val="en-TT" w:eastAsia="en-TT"/>
        </w:rPr>
        <w:t>The corresponding mean absorbed power under irregular waves is computed as:</w:t>
      </w:r>
    </w:p>
    <w:p w14:paraId="2CB6EBB7" w14:textId="77777777" w:rsidR="00DD0D91" w:rsidRPr="00A63840" w:rsidRDefault="00DD0D91" w:rsidP="00FB5BEF">
      <w:pPr>
        <w:jc w:val="both"/>
        <w:rPr>
          <w:rFonts w:ascii="Arial" w:hAnsi="Arial" w:cs="Arial"/>
          <w:lang w:val="en-TT" w:eastAsia="en-TT"/>
        </w:rPr>
      </w:pPr>
    </w:p>
    <w:p w14:paraId="007D8687" w14:textId="77777777" w:rsidR="00DD0D91" w:rsidRPr="00A63840" w:rsidRDefault="00DC6634" w:rsidP="00FB5BEF">
      <w:pPr>
        <w:jc w:val="both"/>
        <w:rPr>
          <w:rFonts w:ascii="Arial" w:hAnsi="Arial" w:cs="Arial"/>
          <w:lang w:val="en-TT" w:eastAsia="en-TT"/>
        </w:rPr>
      </w:pPr>
      <m:oMath>
        <m:sSub>
          <m:sSubPr>
            <m:ctrlPr>
              <w:rPr>
                <w:rFonts w:ascii="Cambria Math" w:hAnsi="Cambria Math" w:cs="Arial"/>
                <w:lang w:val="en-TT" w:eastAsia="en-TT"/>
              </w:rPr>
            </m:ctrlPr>
          </m:sSubPr>
          <m:e>
            <m:r>
              <m:rPr>
                <m:sty m:val="p"/>
              </m:rPr>
              <w:rPr>
                <w:rFonts w:ascii="Cambria Math" w:hAnsi="Cambria Math" w:cs="Arial"/>
                <w:lang w:val="en-TT" w:eastAsia="en-TT"/>
              </w:rPr>
              <m:t>P</m:t>
            </m:r>
          </m:e>
          <m:sub>
            <m:r>
              <m:rPr>
                <m:sty m:val="p"/>
              </m:rPr>
              <w:rPr>
                <w:rFonts w:ascii="Cambria Math" w:hAnsi="Cambria Math" w:cs="Arial"/>
                <w:lang w:val="en-TT" w:eastAsia="en-TT"/>
              </w:rPr>
              <m:t>irr</m:t>
            </m:r>
          </m:sub>
        </m:sSub>
        <m:r>
          <w:rPr>
            <w:rFonts w:ascii="Cambria Math" w:hAnsi="Cambria Math" w:cs="Arial"/>
            <w:lang w:val="en-TT" w:eastAsia="en-TT"/>
          </w:rPr>
          <m:t>=</m:t>
        </m:r>
        <m:nary>
          <m:naryPr>
            <m:limLoc m:val="subSup"/>
            <m:grow m:val="1"/>
            <m:ctrlPr>
              <w:rPr>
                <w:rFonts w:ascii="Cambria Math" w:hAnsi="Cambria Math" w:cs="Arial"/>
                <w:lang w:val="en-TT" w:eastAsia="en-TT"/>
              </w:rPr>
            </m:ctrlPr>
          </m:naryPr>
          <m:sub>
            <m:r>
              <w:rPr>
                <w:rFonts w:ascii="Cambria Math" w:hAnsi="Cambria Math" w:cs="Arial"/>
                <w:lang w:val="en-TT" w:eastAsia="en-TT"/>
              </w:rPr>
              <m:t>0</m:t>
            </m:r>
          </m:sub>
          <m:sup>
            <m:r>
              <w:rPr>
                <w:rFonts w:ascii="Cambria Math" w:hAnsi="Cambria Math" w:cs="Arial"/>
                <w:lang w:val="en-TT" w:eastAsia="en-TT"/>
              </w:rPr>
              <m:t>∞</m:t>
            </m:r>
          </m:sup>
          <m:e/>
        </m:nary>
        <m:sSub>
          <m:sSubPr>
            <m:ctrlPr>
              <w:rPr>
                <w:rFonts w:ascii="Cambria Math" w:hAnsi="Cambria Math" w:cs="Arial"/>
                <w:lang w:val="en-TT" w:eastAsia="en-TT"/>
              </w:rPr>
            </m:ctrlPr>
          </m:sSubPr>
          <m:e>
            <m:r>
              <m:rPr>
                <m:sty m:val="p"/>
              </m:rPr>
              <w:rPr>
                <w:rFonts w:ascii="Cambria Math" w:hAnsi="Cambria Math" w:cs="Arial"/>
                <w:lang w:val="en-TT" w:eastAsia="en-TT"/>
              </w:rPr>
              <m:t>P</m:t>
            </m:r>
          </m:e>
          <m:sub>
            <m:r>
              <m:rPr>
                <m:sty m:val="p"/>
              </m:rPr>
              <w:rPr>
                <w:rFonts w:ascii="Cambria Math" w:hAnsi="Cambria Math" w:cs="Arial"/>
                <w:lang w:val="en-TT" w:eastAsia="en-TT"/>
              </w:rPr>
              <m:t>ave</m:t>
            </m:r>
          </m:sub>
        </m:sSub>
        <m:d>
          <m:dPr>
            <m:ctrlPr>
              <w:rPr>
                <w:rFonts w:ascii="Cambria Math" w:hAnsi="Cambria Math" w:cs="Arial"/>
                <w:i/>
                <w:lang w:val="en-TT" w:eastAsia="en-TT"/>
              </w:rPr>
            </m:ctrlPr>
          </m:dPr>
          <m:e>
            <m:r>
              <m:rPr>
                <m:sty m:val="p"/>
              </m:rPr>
              <w:rPr>
                <w:rFonts w:ascii="Cambria Math" w:hAnsi="Cambria Math" w:cs="Arial"/>
                <w:lang w:val="en-TT" w:eastAsia="en-TT"/>
              </w:rPr>
              <m:t>ω</m:t>
            </m:r>
          </m:e>
        </m:d>
        <m:r>
          <m:rPr>
            <m:sty m:val="p"/>
          </m:rPr>
          <w:rPr>
            <w:rFonts w:ascii="Cambria Math" w:hAnsi="Cambria Math" w:cs="Arial"/>
            <w:lang w:val="en-TT" w:eastAsia="en-TT"/>
          </w:rPr>
          <m:t>S</m:t>
        </m:r>
        <m:d>
          <m:dPr>
            <m:ctrlPr>
              <w:rPr>
                <w:rFonts w:ascii="Cambria Math" w:hAnsi="Cambria Math" w:cs="Arial"/>
                <w:i/>
                <w:lang w:val="en-TT" w:eastAsia="en-TT"/>
              </w:rPr>
            </m:ctrlPr>
          </m:dPr>
          <m:e>
            <m:r>
              <m:rPr>
                <m:sty m:val="p"/>
              </m:rPr>
              <w:rPr>
                <w:rFonts w:ascii="Cambria Math" w:hAnsi="Cambria Math" w:cs="Arial"/>
                <w:lang w:val="en-TT" w:eastAsia="en-TT"/>
              </w:rPr>
              <m:t>ω</m:t>
            </m:r>
          </m:e>
        </m:d>
        <m:r>
          <m:rPr>
            <m:sty m:val="p"/>
          </m:rPr>
          <w:rPr>
            <w:rFonts w:ascii="Cambria Math" w:hAnsi="Cambria Math" w:cs="Arial"/>
            <w:lang w:val="en-TT" w:eastAsia="en-TT"/>
          </w:rPr>
          <m:t>dω</m:t>
        </m:r>
      </m:oMath>
      <w:r w:rsidR="00DD0D91" w:rsidRPr="00A63840">
        <w:rPr>
          <w:rFonts w:ascii="Arial" w:hAnsi="Arial" w:cs="Arial"/>
          <w:lang w:val="en-TT" w:eastAsia="en-TT"/>
        </w:rPr>
        <w:t>………………………………………. (4)</w:t>
      </w:r>
    </w:p>
    <w:p w14:paraId="6A9EA19D" w14:textId="77777777" w:rsidR="00DD0D91" w:rsidRPr="00A63840" w:rsidRDefault="00DD0D91" w:rsidP="00FB5BEF">
      <w:pPr>
        <w:jc w:val="both"/>
        <w:rPr>
          <w:rFonts w:ascii="Arial" w:hAnsi="Arial" w:cs="Arial"/>
          <w:lang w:val="en-TT" w:eastAsia="en-TT"/>
        </w:rPr>
      </w:pPr>
      <w:r w:rsidRPr="00A63840">
        <w:rPr>
          <w:rFonts w:ascii="Arial" w:hAnsi="Arial" w:cs="Arial"/>
          <w:lang w:val="en-TT" w:eastAsia="en-TT"/>
        </w:rPr>
        <w:t>These methodologies enable robust evaluation of WEC energy capture performance under both deterministic and stochastic wave environments.</w:t>
      </w:r>
    </w:p>
    <w:p w14:paraId="62AAE332" w14:textId="77777777" w:rsidR="00DD0D91" w:rsidRPr="00A63840" w:rsidRDefault="00DD0D91" w:rsidP="00FB5BEF">
      <w:pPr>
        <w:jc w:val="both"/>
        <w:rPr>
          <w:rFonts w:ascii="Arial" w:hAnsi="Arial" w:cs="Arial"/>
          <w:b/>
          <w:bCs/>
          <w:lang w:val="en-TT" w:eastAsia="en-TT"/>
        </w:rPr>
      </w:pPr>
    </w:p>
    <w:p w14:paraId="50DACE54" w14:textId="77777777" w:rsidR="00DD0D91" w:rsidRPr="00A63840" w:rsidRDefault="00DD0D91" w:rsidP="00FB5BEF">
      <w:pPr>
        <w:jc w:val="both"/>
        <w:rPr>
          <w:rFonts w:ascii="Arial" w:hAnsi="Arial" w:cs="Arial"/>
          <w:lang w:val="en-TT" w:eastAsia="en-TT"/>
        </w:rPr>
      </w:pPr>
      <w:r w:rsidRPr="00A63840">
        <w:rPr>
          <w:rFonts w:ascii="Arial" w:hAnsi="Arial" w:cs="Arial"/>
          <w:b/>
          <w:bCs/>
          <w:lang w:val="en-TT" w:eastAsia="en-TT"/>
        </w:rPr>
        <w:t>2.12 Identified Research Gap</w:t>
      </w:r>
    </w:p>
    <w:p w14:paraId="752A4C32" w14:textId="77777777" w:rsidR="00DD0D91" w:rsidRPr="00A63840" w:rsidRDefault="00DD0D91" w:rsidP="00FB5BEF">
      <w:pPr>
        <w:jc w:val="both"/>
        <w:rPr>
          <w:rFonts w:ascii="Arial" w:hAnsi="Arial" w:cs="Arial"/>
          <w:lang w:val="en-TT" w:eastAsia="en-TT"/>
        </w:rPr>
      </w:pPr>
      <w:r w:rsidRPr="00A63840">
        <w:rPr>
          <w:rFonts w:ascii="Arial" w:hAnsi="Arial" w:cs="Arial"/>
          <w:lang w:val="en-TT" w:eastAsia="en-TT"/>
        </w:rPr>
        <w:t xml:space="preserve">Although prior investigations have explored two-body and variable-geometry WEC concepts, existing studies do not present a fully realizable mechanical actuation strategy capable of enabling adaptive geometry control under real ocean operating conditions. This study addresses this gap by proposing and validating a mechanically feasible adjustable two-body </w:t>
      </w:r>
      <w:r w:rsidRPr="00A63840">
        <w:rPr>
          <w:rFonts w:ascii="Arial" w:hAnsi="Arial" w:cs="Arial"/>
          <w:lang w:val="en-TT" w:eastAsia="en-TT"/>
        </w:rPr>
        <w:lastRenderedPageBreak/>
        <w:t>WEC architecture supported by integrated structural, actuation, and control mechanisms designed for practical deployment in offshore environments.</w:t>
      </w:r>
    </w:p>
    <w:p w14:paraId="72BA18A4" w14:textId="77777777" w:rsidR="00DD0D91" w:rsidRPr="00A63840" w:rsidRDefault="00DD0D91" w:rsidP="00FB5BEF">
      <w:pPr>
        <w:jc w:val="both"/>
        <w:rPr>
          <w:rFonts w:ascii="Arial" w:hAnsi="Arial" w:cs="Arial"/>
          <w:b/>
          <w:bCs/>
          <w:lang w:val="en-TT" w:eastAsia="en-TT"/>
        </w:rPr>
      </w:pPr>
    </w:p>
    <w:p w14:paraId="68503CCB" w14:textId="77777777" w:rsidR="00DD0D91" w:rsidRPr="00A63840" w:rsidRDefault="00DD0D91" w:rsidP="00FB5BEF">
      <w:pPr>
        <w:jc w:val="both"/>
        <w:rPr>
          <w:rFonts w:ascii="Arial" w:hAnsi="Arial" w:cs="Arial"/>
          <w:lang w:val="en-TT" w:eastAsia="en-TT"/>
        </w:rPr>
      </w:pPr>
      <w:r w:rsidRPr="00A63840">
        <w:rPr>
          <w:rFonts w:ascii="Arial" w:hAnsi="Arial" w:cs="Arial"/>
          <w:b/>
          <w:bCs/>
          <w:lang w:val="en-TT" w:eastAsia="en-TT"/>
        </w:rPr>
        <w:t>2.13 Patent Review and Technological Relevance</w:t>
      </w:r>
    </w:p>
    <w:p w14:paraId="69392344" w14:textId="77777777" w:rsidR="00DD0D91" w:rsidRPr="00A63840" w:rsidRDefault="00DD0D91" w:rsidP="00FB5BEF">
      <w:pPr>
        <w:jc w:val="both"/>
        <w:rPr>
          <w:rFonts w:ascii="Arial" w:hAnsi="Arial" w:cs="Arial"/>
          <w:lang w:val="en-TT" w:eastAsia="en-TT"/>
        </w:rPr>
      </w:pPr>
      <w:r w:rsidRPr="00A63840">
        <w:rPr>
          <w:rFonts w:ascii="Arial" w:hAnsi="Arial" w:cs="Arial"/>
          <w:lang w:val="en-TT" w:eastAsia="en-TT"/>
        </w:rPr>
        <w:t>A targeted review of relevant patents was conducted to identify existing technological solutions and assess their applicability to the proposed system. The patents summarized in Table 4 provide insights into key enabling mechanisms, including linear actuation, buoyancy control, relative body motion, and stability enhancement. Collectively, these prior inventions inform the structural configuration, motion regulation strategy, and control architecture of the proposed design, while also highlighting areas where innovation and system-level integration can advance beyond current state-of-the-art technologies.</w:t>
      </w:r>
    </w:p>
    <w:p w14:paraId="500ADAA4" w14:textId="77777777" w:rsidR="00DD0D91" w:rsidRPr="00A63840" w:rsidRDefault="00DD0D91" w:rsidP="00DD0D91">
      <w:pPr>
        <w:rPr>
          <w:rFonts w:ascii="Arial" w:hAnsi="Arial" w:cs="Arial"/>
          <w:lang w:val="en-TT" w:eastAsia="en-TT"/>
        </w:rPr>
      </w:pPr>
    </w:p>
    <w:p w14:paraId="4B72B7D8" w14:textId="77777777" w:rsidR="00DD0D91" w:rsidRPr="00A63840" w:rsidRDefault="00DD0D91" w:rsidP="00FB5BEF">
      <w:pPr>
        <w:jc w:val="center"/>
        <w:rPr>
          <w:rFonts w:ascii="Arial" w:hAnsi="Arial" w:cs="Arial"/>
          <w:lang w:val="en-TT" w:eastAsia="en-TT"/>
        </w:rPr>
      </w:pPr>
      <w:r w:rsidRPr="00A63840">
        <w:rPr>
          <w:rFonts w:ascii="Arial" w:hAnsi="Arial" w:cs="Arial"/>
          <w:b/>
          <w:bCs/>
          <w:lang w:val="en-TT" w:eastAsia="en-TT"/>
        </w:rPr>
        <w:t>Table 4. Summary of Relevant Patents</w:t>
      </w:r>
    </w:p>
    <w:tbl>
      <w:tblPr>
        <w:tblStyle w:val="TableGrid"/>
        <w:tblW w:w="6945" w:type="dxa"/>
        <w:jc w:val="center"/>
        <w:tblLook w:val="04A0" w:firstRow="1" w:lastRow="0" w:firstColumn="1" w:lastColumn="0" w:noHBand="0" w:noVBand="1"/>
      </w:tblPr>
      <w:tblGrid>
        <w:gridCol w:w="1359"/>
        <w:gridCol w:w="1500"/>
        <w:gridCol w:w="1921"/>
        <w:gridCol w:w="2165"/>
      </w:tblGrid>
      <w:tr w:rsidR="00DD0D91" w:rsidRPr="00A63840" w14:paraId="1B7F52A4" w14:textId="77777777" w:rsidTr="00FB5BEF">
        <w:trPr>
          <w:trHeight w:val="43"/>
          <w:jc w:val="center"/>
        </w:trPr>
        <w:tc>
          <w:tcPr>
            <w:tcW w:w="0" w:type="auto"/>
            <w:hideMark/>
          </w:tcPr>
          <w:p w14:paraId="0B03B363" w14:textId="77777777" w:rsidR="00DD0D91" w:rsidRPr="00A63840" w:rsidRDefault="00DD0D91" w:rsidP="001E346E">
            <w:pPr>
              <w:jc w:val="center"/>
              <w:rPr>
                <w:rFonts w:ascii="Arial" w:hAnsi="Arial" w:cs="Arial"/>
                <w:b/>
                <w:bCs/>
                <w:sz w:val="20"/>
                <w:szCs w:val="20"/>
                <w:lang w:val="en-TT" w:eastAsia="en-TT"/>
              </w:rPr>
            </w:pPr>
            <w:r w:rsidRPr="00A63840">
              <w:rPr>
                <w:rFonts w:ascii="Arial" w:hAnsi="Arial" w:cs="Arial"/>
                <w:b/>
                <w:bCs/>
                <w:sz w:val="20"/>
                <w:szCs w:val="20"/>
                <w:lang w:val="en-TT" w:eastAsia="en-TT"/>
              </w:rPr>
              <w:t>Patent</w:t>
            </w:r>
          </w:p>
        </w:tc>
        <w:tc>
          <w:tcPr>
            <w:tcW w:w="1500" w:type="dxa"/>
            <w:hideMark/>
          </w:tcPr>
          <w:p w14:paraId="28058F3E" w14:textId="77777777" w:rsidR="00DD0D91" w:rsidRPr="00A63840" w:rsidRDefault="00DD0D91" w:rsidP="001E346E">
            <w:pPr>
              <w:jc w:val="center"/>
              <w:rPr>
                <w:rFonts w:ascii="Arial" w:hAnsi="Arial" w:cs="Arial"/>
                <w:b/>
                <w:bCs/>
                <w:sz w:val="20"/>
                <w:szCs w:val="20"/>
                <w:lang w:val="en-TT" w:eastAsia="en-TT"/>
              </w:rPr>
            </w:pPr>
            <w:r w:rsidRPr="00A63840">
              <w:rPr>
                <w:rFonts w:ascii="Arial" w:hAnsi="Arial" w:cs="Arial"/>
                <w:b/>
                <w:bCs/>
                <w:sz w:val="20"/>
                <w:szCs w:val="20"/>
                <w:lang w:val="en-TT" w:eastAsia="en-TT"/>
              </w:rPr>
              <w:t>Inventor</w:t>
            </w:r>
          </w:p>
        </w:tc>
        <w:tc>
          <w:tcPr>
            <w:tcW w:w="1921" w:type="dxa"/>
            <w:hideMark/>
          </w:tcPr>
          <w:p w14:paraId="785512CA" w14:textId="77777777" w:rsidR="00DD0D91" w:rsidRPr="00A63840" w:rsidRDefault="00DD0D91" w:rsidP="001E346E">
            <w:pPr>
              <w:jc w:val="center"/>
              <w:rPr>
                <w:rFonts w:ascii="Arial" w:hAnsi="Arial" w:cs="Arial"/>
                <w:b/>
                <w:bCs/>
                <w:sz w:val="20"/>
                <w:szCs w:val="20"/>
                <w:lang w:val="en-TT" w:eastAsia="en-TT"/>
              </w:rPr>
            </w:pPr>
            <w:r w:rsidRPr="00A63840">
              <w:rPr>
                <w:rFonts w:ascii="Arial" w:hAnsi="Arial" w:cs="Arial"/>
                <w:b/>
                <w:bCs/>
                <w:sz w:val="20"/>
                <w:szCs w:val="20"/>
                <w:lang w:val="en-TT" w:eastAsia="en-TT"/>
              </w:rPr>
              <w:t>Key Contribution</w:t>
            </w:r>
          </w:p>
        </w:tc>
        <w:tc>
          <w:tcPr>
            <w:tcW w:w="0" w:type="auto"/>
            <w:hideMark/>
          </w:tcPr>
          <w:p w14:paraId="72BEC458" w14:textId="77777777" w:rsidR="00DD0D91" w:rsidRPr="00A63840" w:rsidRDefault="00DD0D91" w:rsidP="001E346E">
            <w:pPr>
              <w:jc w:val="center"/>
              <w:rPr>
                <w:rFonts w:ascii="Arial" w:hAnsi="Arial" w:cs="Arial"/>
                <w:b/>
                <w:bCs/>
                <w:sz w:val="20"/>
                <w:szCs w:val="20"/>
                <w:lang w:val="en-TT" w:eastAsia="en-TT"/>
              </w:rPr>
            </w:pPr>
            <w:r w:rsidRPr="00A63840">
              <w:rPr>
                <w:rFonts w:ascii="Arial" w:hAnsi="Arial" w:cs="Arial"/>
                <w:b/>
                <w:bCs/>
                <w:sz w:val="20"/>
                <w:szCs w:val="20"/>
                <w:lang w:val="en-TT" w:eastAsia="en-TT"/>
              </w:rPr>
              <w:t>Technological Relevance</w:t>
            </w:r>
          </w:p>
        </w:tc>
      </w:tr>
      <w:tr w:rsidR="00DD0D91" w:rsidRPr="00A63840" w14:paraId="7AEBB126" w14:textId="77777777" w:rsidTr="00FB5BEF">
        <w:trPr>
          <w:trHeight w:val="87"/>
          <w:jc w:val="center"/>
        </w:trPr>
        <w:tc>
          <w:tcPr>
            <w:tcW w:w="0" w:type="auto"/>
            <w:hideMark/>
          </w:tcPr>
          <w:p w14:paraId="7E921BFD" w14:textId="77777777" w:rsidR="00DD0D91" w:rsidRPr="00A63840" w:rsidRDefault="00DD0D91" w:rsidP="001E346E">
            <w:pPr>
              <w:rPr>
                <w:rFonts w:ascii="Arial" w:hAnsi="Arial" w:cs="Arial"/>
                <w:sz w:val="20"/>
                <w:szCs w:val="20"/>
                <w:lang w:val="en-TT" w:eastAsia="en-TT"/>
              </w:rPr>
            </w:pPr>
            <w:r w:rsidRPr="00A63840">
              <w:rPr>
                <w:rFonts w:ascii="Arial" w:hAnsi="Arial" w:cs="Arial"/>
                <w:sz w:val="20"/>
                <w:szCs w:val="20"/>
                <w:lang w:val="en-TT" w:eastAsia="en-TT"/>
              </w:rPr>
              <w:t>Lead Screw Drive</w:t>
            </w:r>
          </w:p>
        </w:tc>
        <w:tc>
          <w:tcPr>
            <w:tcW w:w="1500" w:type="dxa"/>
            <w:hideMark/>
          </w:tcPr>
          <w:p w14:paraId="4648C4E0" w14:textId="3C76D782" w:rsidR="00DD0D91" w:rsidRPr="00A63840" w:rsidRDefault="00DD0D91" w:rsidP="001E346E">
            <w:pPr>
              <w:rPr>
                <w:rFonts w:ascii="Arial" w:hAnsi="Arial" w:cs="Arial"/>
                <w:sz w:val="20"/>
                <w:szCs w:val="20"/>
                <w:lang w:val="en-TT" w:eastAsia="en-TT"/>
              </w:rPr>
            </w:pPr>
            <w:r w:rsidRPr="00A63840">
              <w:rPr>
                <w:rFonts w:ascii="Arial" w:hAnsi="Arial" w:cs="Arial"/>
                <w:sz w:val="20"/>
                <w:szCs w:val="20"/>
                <w:lang w:val="en-TT" w:eastAsia="en-TT"/>
              </w:rPr>
              <w:t xml:space="preserve">Freund (2000) </w:t>
            </w:r>
          </w:p>
        </w:tc>
        <w:tc>
          <w:tcPr>
            <w:tcW w:w="1921" w:type="dxa"/>
            <w:hideMark/>
          </w:tcPr>
          <w:p w14:paraId="70B5AAE6" w14:textId="77777777" w:rsidR="00DD0D91" w:rsidRPr="00A63840" w:rsidRDefault="00DD0D91" w:rsidP="001E346E">
            <w:pPr>
              <w:rPr>
                <w:rFonts w:ascii="Arial" w:hAnsi="Arial" w:cs="Arial"/>
                <w:sz w:val="20"/>
                <w:szCs w:val="20"/>
                <w:lang w:val="en-TT" w:eastAsia="en-TT"/>
              </w:rPr>
            </w:pPr>
            <w:r w:rsidRPr="00A63840">
              <w:rPr>
                <w:rFonts w:ascii="Arial" w:hAnsi="Arial" w:cs="Arial"/>
                <w:sz w:val="20"/>
                <w:szCs w:val="20"/>
                <w:lang w:val="en-TT" w:eastAsia="en-TT"/>
              </w:rPr>
              <w:t>Linear actuation mechanism</w:t>
            </w:r>
          </w:p>
        </w:tc>
        <w:tc>
          <w:tcPr>
            <w:tcW w:w="0" w:type="auto"/>
            <w:hideMark/>
          </w:tcPr>
          <w:p w14:paraId="046A3E7B" w14:textId="77777777" w:rsidR="00DD0D91" w:rsidRPr="00A63840" w:rsidRDefault="00DD0D91" w:rsidP="001E346E">
            <w:pPr>
              <w:rPr>
                <w:rFonts w:ascii="Arial" w:hAnsi="Arial" w:cs="Arial"/>
                <w:sz w:val="20"/>
                <w:szCs w:val="20"/>
                <w:lang w:val="en-TT" w:eastAsia="en-TT"/>
              </w:rPr>
            </w:pPr>
            <w:r w:rsidRPr="00A63840">
              <w:rPr>
                <w:rFonts w:ascii="Arial" w:hAnsi="Arial" w:cs="Arial"/>
                <w:sz w:val="20"/>
                <w:szCs w:val="20"/>
                <w:lang w:val="en-TT" w:eastAsia="en-TT"/>
              </w:rPr>
              <w:t>Enables structural and positional adjustment</w:t>
            </w:r>
          </w:p>
        </w:tc>
      </w:tr>
      <w:tr w:rsidR="00DD0D91" w:rsidRPr="00A63840" w14:paraId="646ABC23" w14:textId="77777777" w:rsidTr="00FB5BEF">
        <w:trPr>
          <w:trHeight w:val="87"/>
          <w:jc w:val="center"/>
        </w:trPr>
        <w:tc>
          <w:tcPr>
            <w:tcW w:w="0" w:type="auto"/>
            <w:hideMark/>
          </w:tcPr>
          <w:p w14:paraId="3EF7EF0C" w14:textId="77777777" w:rsidR="00DD0D91" w:rsidRPr="00A63840" w:rsidRDefault="00DD0D91" w:rsidP="001E346E">
            <w:pPr>
              <w:rPr>
                <w:rFonts w:ascii="Arial" w:hAnsi="Arial" w:cs="Arial"/>
                <w:sz w:val="20"/>
                <w:szCs w:val="20"/>
                <w:lang w:val="en-TT" w:eastAsia="en-TT"/>
              </w:rPr>
            </w:pPr>
            <w:r w:rsidRPr="00A63840">
              <w:rPr>
                <w:rFonts w:ascii="Arial" w:hAnsi="Arial" w:cs="Arial"/>
                <w:sz w:val="20"/>
                <w:szCs w:val="20"/>
                <w:lang w:val="en-TT" w:eastAsia="en-TT"/>
              </w:rPr>
              <w:t>Air Suspension</w:t>
            </w:r>
          </w:p>
        </w:tc>
        <w:tc>
          <w:tcPr>
            <w:tcW w:w="1500" w:type="dxa"/>
            <w:hideMark/>
          </w:tcPr>
          <w:p w14:paraId="489A7D18" w14:textId="37BDA4C5" w:rsidR="00DD0D91" w:rsidRPr="00A63840" w:rsidRDefault="00DD0D91" w:rsidP="001E346E">
            <w:pPr>
              <w:rPr>
                <w:rFonts w:ascii="Arial" w:hAnsi="Arial" w:cs="Arial"/>
                <w:sz w:val="20"/>
                <w:szCs w:val="20"/>
                <w:lang w:val="en-TT" w:eastAsia="en-TT"/>
              </w:rPr>
            </w:pPr>
            <w:r w:rsidRPr="00A63840">
              <w:rPr>
                <w:rFonts w:ascii="Arial" w:hAnsi="Arial" w:cs="Arial"/>
                <w:sz w:val="20"/>
                <w:szCs w:val="20"/>
                <w:lang w:val="en-TT" w:eastAsia="en-TT"/>
              </w:rPr>
              <w:t xml:space="preserve">Hammond (2011) </w:t>
            </w:r>
          </w:p>
        </w:tc>
        <w:tc>
          <w:tcPr>
            <w:tcW w:w="1921" w:type="dxa"/>
            <w:hideMark/>
          </w:tcPr>
          <w:p w14:paraId="69BDE479" w14:textId="77777777" w:rsidR="00DD0D91" w:rsidRPr="00A63840" w:rsidRDefault="00DD0D91" w:rsidP="001E346E">
            <w:pPr>
              <w:rPr>
                <w:rFonts w:ascii="Arial" w:hAnsi="Arial" w:cs="Arial"/>
                <w:sz w:val="20"/>
                <w:szCs w:val="20"/>
                <w:lang w:val="en-TT" w:eastAsia="en-TT"/>
              </w:rPr>
            </w:pPr>
            <w:r w:rsidRPr="00A63840">
              <w:rPr>
                <w:rFonts w:ascii="Arial" w:hAnsi="Arial" w:cs="Arial"/>
                <w:sz w:val="20"/>
                <w:szCs w:val="20"/>
                <w:lang w:val="en-TT" w:eastAsia="en-TT"/>
              </w:rPr>
              <w:t>Pressure-controlled pneumatic system</w:t>
            </w:r>
          </w:p>
        </w:tc>
        <w:tc>
          <w:tcPr>
            <w:tcW w:w="0" w:type="auto"/>
            <w:hideMark/>
          </w:tcPr>
          <w:p w14:paraId="34F2DF3B" w14:textId="77777777" w:rsidR="00DD0D91" w:rsidRPr="00A63840" w:rsidRDefault="00DD0D91" w:rsidP="001E346E">
            <w:pPr>
              <w:rPr>
                <w:rFonts w:ascii="Arial" w:hAnsi="Arial" w:cs="Arial"/>
                <w:sz w:val="20"/>
                <w:szCs w:val="20"/>
                <w:lang w:val="en-TT" w:eastAsia="en-TT"/>
              </w:rPr>
            </w:pPr>
            <w:r w:rsidRPr="00A63840">
              <w:rPr>
                <w:rFonts w:ascii="Arial" w:hAnsi="Arial" w:cs="Arial"/>
                <w:sz w:val="20"/>
                <w:szCs w:val="20"/>
                <w:lang w:val="en-TT" w:eastAsia="en-TT"/>
              </w:rPr>
              <w:t>Supports buoyancy and load modulation</w:t>
            </w:r>
          </w:p>
        </w:tc>
      </w:tr>
      <w:tr w:rsidR="00DD0D91" w:rsidRPr="00A63840" w14:paraId="0C9A86C5" w14:textId="77777777" w:rsidTr="00FB5BEF">
        <w:trPr>
          <w:trHeight w:val="87"/>
          <w:jc w:val="center"/>
        </w:trPr>
        <w:tc>
          <w:tcPr>
            <w:tcW w:w="0" w:type="auto"/>
            <w:hideMark/>
          </w:tcPr>
          <w:p w14:paraId="6DC08585" w14:textId="77777777" w:rsidR="00DD0D91" w:rsidRPr="00A63840" w:rsidRDefault="00DD0D91" w:rsidP="001E346E">
            <w:pPr>
              <w:rPr>
                <w:rFonts w:ascii="Arial" w:hAnsi="Arial" w:cs="Arial"/>
                <w:sz w:val="20"/>
                <w:szCs w:val="20"/>
                <w:lang w:val="en-TT" w:eastAsia="en-TT"/>
              </w:rPr>
            </w:pPr>
            <w:r w:rsidRPr="00A63840">
              <w:rPr>
                <w:rFonts w:ascii="Arial" w:hAnsi="Arial" w:cs="Arial"/>
                <w:sz w:val="20"/>
                <w:szCs w:val="20"/>
                <w:lang w:val="en-TT" w:eastAsia="en-TT"/>
              </w:rPr>
              <w:t>Two-Body WEC</w:t>
            </w:r>
          </w:p>
        </w:tc>
        <w:tc>
          <w:tcPr>
            <w:tcW w:w="1500" w:type="dxa"/>
            <w:hideMark/>
          </w:tcPr>
          <w:p w14:paraId="0DCF345C" w14:textId="0D9E6D4C" w:rsidR="00DD0D91" w:rsidRPr="00A63840" w:rsidRDefault="00DD0D91" w:rsidP="001E346E">
            <w:pPr>
              <w:rPr>
                <w:rFonts w:ascii="Arial" w:hAnsi="Arial" w:cs="Arial"/>
                <w:sz w:val="20"/>
                <w:szCs w:val="20"/>
                <w:lang w:val="en-TT" w:eastAsia="en-TT"/>
              </w:rPr>
            </w:pPr>
            <w:proofErr w:type="spellStart"/>
            <w:r w:rsidRPr="00A63840">
              <w:rPr>
                <w:rFonts w:ascii="Arial" w:hAnsi="Arial" w:cs="Arial"/>
                <w:sz w:val="20"/>
                <w:szCs w:val="20"/>
                <w:lang w:val="en-TT" w:eastAsia="en-TT"/>
              </w:rPr>
              <w:t>Protter</w:t>
            </w:r>
            <w:proofErr w:type="spellEnd"/>
            <w:r w:rsidRPr="00A63840">
              <w:rPr>
                <w:rFonts w:ascii="Arial" w:hAnsi="Arial" w:cs="Arial"/>
                <w:sz w:val="20"/>
                <w:szCs w:val="20"/>
                <w:lang w:val="en-TT" w:eastAsia="en-TT"/>
              </w:rPr>
              <w:t xml:space="preserve"> et al. (2011) </w:t>
            </w:r>
          </w:p>
        </w:tc>
        <w:tc>
          <w:tcPr>
            <w:tcW w:w="1921" w:type="dxa"/>
            <w:hideMark/>
          </w:tcPr>
          <w:p w14:paraId="61185668" w14:textId="77777777" w:rsidR="00DD0D91" w:rsidRPr="00A63840" w:rsidRDefault="00DD0D91" w:rsidP="001E346E">
            <w:pPr>
              <w:rPr>
                <w:rFonts w:ascii="Arial" w:hAnsi="Arial" w:cs="Arial"/>
                <w:sz w:val="20"/>
                <w:szCs w:val="20"/>
                <w:lang w:val="en-TT" w:eastAsia="en-TT"/>
              </w:rPr>
            </w:pPr>
            <w:r w:rsidRPr="00A63840">
              <w:rPr>
                <w:rFonts w:ascii="Arial" w:hAnsi="Arial" w:cs="Arial"/>
                <w:sz w:val="20"/>
                <w:szCs w:val="20"/>
                <w:lang w:val="en-TT" w:eastAsia="en-TT"/>
              </w:rPr>
              <w:t>Float–pillar relative motion concept</w:t>
            </w:r>
          </w:p>
        </w:tc>
        <w:tc>
          <w:tcPr>
            <w:tcW w:w="0" w:type="auto"/>
            <w:hideMark/>
          </w:tcPr>
          <w:p w14:paraId="7DB7BB54" w14:textId="77777777" w:rsidR="00DD0D91" w:rsidRPr="00A63840" w:rsidRDefault="00DD0D91" w:rsidP="001E346E">
            <w:pPr>
              <w:rPr>
                <w:rFonts w:ascii="Arial" w:hAnsi="Arial" w:cs="Arial"/>
                <w:sz w:val="20"/>
                <w:szCs w:val="20"/>
                <w:lang w:val="en-TT" w:eastAsia="en-TT"/>
              </w:rPr>
            </w:pPr>
            <w:r w:rsidRPr="00A63840">
              <w:rPr>
                <w:rFonts w:ascii="Arial" w:hAnsi="Arial" w:cs="Arial"/>
                <w:sz w:val="20"/>
                <w:szCs w:val="20"/>
                <w:lang w:val="en-TT" w:eastAsia="en-TT"/>
              </w:rPr>
              <w:t>Forms the core wave energy conversion architecture</w:t>
            </w:r>
          </w:p>
        </w:tc>
      </w:tr>
      <w:tr w:rsidR="00DD0D91" w:rsidRPr="00A63840" w14:paraId="19E56069" w14:textId="77777777" w:rsidTr="00FB5BEF">
        <w:trPr>
          <w:trHeight w:val="88"/>
          <w:jc w:val="center"/>
        </w:trPr>
        <w:tc>
          <w:tcPr>
            <w:tcW w:w="0" w:type="auto"/>
            <w:hideMark/>
          </w:tcPr>
          <w:p w14:paraId="1F30F3C8" w14:textId="77777777" w:rsidR="00DD0D91" w:rsidRPr="00A63840" w:rsidRDefault="00DD0D91" w:rsidP="001E346E">
            <w:pPr>
              <w:rPr>
                <w:rFonts w:ascii="Arial" w:hAnsi="Arial" w:cs="Arial"/>
                <w:sz w:val="20"/>
                <w:szCs w:val="20"/>
                <w:lang w:val="en-TT" w:eastAsia="en-TT"/>
              </w:rPr>
            </w:pPr>
            <w:r w:rsidRPr="00A63840">
              <w:rPr>
                <w:rFonts w:ascii="Arial" w:hAnsi="Arial" w:cs="Arial"/>
                <w:sz w:val="20"/>
                <w:szCs w:val="20"/>
                <w:lang w:val="en-TT" w:eastAsia="en-TT"/>
              </w:rPr>
              <w:t>Hydraulic Array</w:t>
            </w:r>
          </w:p>
        </w:tc>
        <w:tc>
          <w:tcPr>
            <w:tcW w:w="1500" w:type="dxa"/>
            <w:hideMark/>
          </w:tcPr>
          <w:p w14:paraId="34050CAF" w14:textId="06DE10B3" w:rsidR="00DD0D91" w:rsidRPr="00A63840" w:rsidRDefault="00DD0D91" w:rsidP="001E346E">
            <w:pPr>
              <w:rPr>
                <w:rFonts w:ascii="Arial" w:hAnsi="Arial" w:cs="Arial"/>
                <w:sz w:val="20"/>
                <w:szCs w:val="20"/>
                <w:lang w:val="en-TT" w:eastAsia="en-TT"/>
              </w:rPr>
            </w:pPr>
            <w:r w:rsidRPr="00A63840">
              <w:rPr>
                <w:rFonts w:ascii="Arial" w:hAnsi="Arial" w:cs="Arial"/>
                <w:sz w:val="20"/>
                <w:szCs w:val="20"/>
                <w:lang w:val="en-TT" w:eastAsia="en-TT"/>
              </w:rPr>
              <w:t xml:space="preserve">Tempel et al. (2016) </w:t>
            </w:r>
          </w:p>
        </w:tc>
        <w:tc>
          <w:tcPr>
            <w:tcW w:w="1921" w:type="dxa"/>
            <w:hideMark/>
          </w:tcPr>
          <w:p w14:paraId="40C464EC" w14:textId="77777777" w:rsidR="00DD0D91" w:rsidRPr="00A63840" w:rsidRDefault="00DD0D91" w:rsidP="001E346E">
            <w:pPr>
              <w:rPr>
                <w:rFonts w:ascii="Arial" w:hAnsi="Arial" w:cs="Arial"/>
                <w:sz w:val="20"/>
                <w:szCs w:val="20"/>
                <w:lang w:val="en-TT" w:eastAsia="en-TT"/>
              </w:rPr>
            </w:pPr>
            <w:r w:rsidRPr="00A63840">
              <w:rPr>
                <w:rFonts w:ascii="Arial" w:hAnsi="Arial" w:cs="Arial"/>
                <w:sz w:val="20"/>
                <w:szCs w:val="20"/>
                <w:lang w:val="en-TT" w:eastAsia="en-TT"/>
              </w:rPr>
              <w:t>Motion compensation and stabilization platform</w:t>
            </w:r>
          </w:p>
        </w:tc>
        <w:tc>
          <w:tcPr>
            <w:tcW w:w="0" w:type="auto"/>
            <w:hideMark/>
          </w:tcPr>
          <w:p w14:paraId="49609949" w14:textId="77777777" w:rsidR="00DD0D91" w:rsidRPr="00A63840" w:rsidRDefault="00DD0D91" w:rsidP="001E346E">
            <w:pPr>
              <w:rPr>
                <w:rFonts w:ascii="Arial" w:hAnsi="Arial" w:cs="Arial"/>
                <w:sz w:val="20"/>
                <w:szCs w:val="20"/>
                <w:lang w:val="en-TT" w:eastAsia="en-TT"/>
              </w:rPr>
            </w:pPr>
            <w:r w:rsidRPr="00A63840">
              <w:rPr>
                <w:rFonts w:ascii="Arial" w:hAnsi="Arial" w:cs="Arial"/>
                <w:sz w:val="20"/>
                <w:szCs w:val="20"/>
                <w:lang w:val="en-TT" w:eastAsia="en-TT"/>
              </w:rPr>
              <w:t>Enhances system stability and dynamic response</w:t>
            </w:r>
          </w:p>
        </w:tc>
      </w:tr>
    </w:tbl>
    <w:p w14:paraId="0FB05C49" w14:textId="77777777" w:rsidR="00DD0D91" w:rsidRPr="00A63840" w:rsidRDefault="00DD0D91" w:rsidP="00DD0D91">
      <w:pPr>
        <w:pStyle w:val="Heading1"/>
        <w:spacing w:before="0" w:after="0"/>
        <w:jc w:val="both"/>
        <w:rPr>
          <w:rStyle w:val="Strong"/>
          <w:rFonts w:cs="Arial"/>
          <w:b/>
          <w:bCs w:val="0"/>
          <w:sz w:val="20"/>
        </w:rPr>
      </w:pPr>
    </w:p>
    <w:p w14:paraId="7F91241B" w14:textId="77777777" w:rsidR="00FB5BEF" w:rsidRPr="00A63840" w:rsidRDefault="00FB5BEF" w:rsidP="00454C95">
      <w:pPr>
        <w:pStyle w:val="NormalWeb"/>
        <w:spacing w:before="0" w:beforeAutospacing="0" w:after="0" w:afterAutospacing="0"/>
        <w:jc w:val="both"/>
        <w:rPr>
          <w:rFonts w:ascii="Arial" w:hAnsi="Arial" w:cs="Arial"/>
          <w:sz w:val="20"/>
          <w:szCs w:val="20"/>
        </w:rPr>
      </w:pPr>
    </w:p>
    <w:p w14:paraId="7E232A93" w14:textId="4CBD5947" w:rsidR="00FB5BEF" w:rsidRPr="00A63840" w:rsidRDefault="00FB5BEF" w:rsidP="00454C95">
      <w:pPr>
        <w:pStyle w:val="NomenclatureClauseTitle"/>
        <w:numPr>
          <w:ilvl w:val="0"/>
          <w:numId w:val="32"/>
        </w:numPr>
        <w:spacing w:before="0"/>
        <w:rPr>
          <w:rFonts w:cs="Arial"/>
          <w:color w:val="000000" w:themeColor="text1"/>
        </w:rPr>
      </w:pPr>
      <w:r w:rsidRPr="00A63840">
        <w:rPr>
          <w:rFonts w:cs="Arial"/>
          <w:caps w:val="0"/>
          <w:color w:val="000000" w:themeColor="text1"/>
          <w:sz w:val="22"/>
          <w:szCs w:val="22"/>
        </w:rPr>
        <w:t>METHODOLOGY</w:t>
      </w:r>
    </w:p>
    <w:p w14:paraId="21285B3D" w14:textId="3815D14D" w:rsidR="00DD0D91" w:rsidRPr="00454E7C" w:rsidRDefault="00DD0D91" w:rsidP="00454C95">
      <w:pPr>
        <w:jc w:val="both"/>
        <w:rPr>
          <w:rFonts w:ascii="Arial" w:hAnsi="Arial" w:cs="Arial"/>
          <w:lang w:val="en-TT" w:eastAsia="en-TT"/>
        </w:rPr>
      </w:pPr>
      <w:r w:rsidRPr="00454E7C">
        <w:rPr>
          <w:rFonts w:ascii="Arial" w:hAnsi="Arial" w:cs="Arial"/>
          <w:lang w:val="en-TT" w:eastAsia="en-TT"/>
        </w:rPr>
        <w:t xml:space="preserve">The final design of the proposed two-body wave energy converter (WEC) was developed through an integrated design–simulation framework focused exclusively on the optimized system configuration. The finalized architecture adopts a float–pillar arrangement coupled with a variable-geometry mechanism that enables adaptive tuning of the device’s natural frequency, thereby enhancing resonance matching, motion control, and energy capture across a range of wave conditions </w:t>
      </w:r>
      <w:r w:rsidR="00FB5BEF" w:rsidRPr="00454E7C">
        <w:rPr>
          <w:rFonts w:ascii="Arial" w:hAnsi="Arial" w:cs="Arial"/>
        </w:rPr>
        <w:t>(</w:t>
      </w:r>
      <w:r w:rsidR="00FB5BEF" w:rsidRPr="00454E7C">
        <w:rPr>
          <w:rStyle w:val="Strong"/>
          <w:rFonts w:ascii="Arial" w:hAnsi="Arial" w:cs="Arial"/>
          <w:b w:val="0"/>
          <w:bCs w:val="0"/>
        </w:rPr>
        <w:t>Liang and Zuo, 2017; Guo et al., 2022; Tom et al., 2023</w:t>
      </w:r>
      <w:r w:rsidR="00FB5BEF" w:rsidRPr="00454E7C">
        <w:rPr>
          <w:rFonts w:ascii="Arial" w:hAnsi="Arial" w:cs="Arial"/>
        </w:rPr>
        <w:t>).</w:t>
      </w:r>
    </w:p>
    <w:p w14:paraId="2440F420" w14:textId="7A74E1CC" w:rsidR="00DD0D91" w:rsidRPr="00454E7C" w:rsidRDefault="00DD0D91" w:rsidP="00454C95">
      <w:pPr>
        <w:jc w:val="both"/>
        <w:rPr>
          <w:rFonts w:ascii="Arial" w:hAnsi="Arial" w:cs="Arial"/>
          <w:lang w:val="en-TT" w:eastAsia="en-TT"/>
        </w:rPr>
      </w:pPr>
      <w:r w:rsidRPr="00454E7C">
        <w:rPr>
          <w:rFonts w:ascii="Arial" w:hAnsi="Arial" w:cs="Arial"/>
          <w:lang w:val="en-TT" w:eastAsia="en-TT"/>
        </w:rPr>
        <w:t xml:space="preserve">The complete mechanical layout, principal geometric parameters, inertial properties, and power take-off (PTO) integration of the final WEC are presented in Figure 3, which illustrates the structural configuration and kinematic relationships governing relative body motion. Hydrodynamic coefficients for the finalized geometry were computed using the Boundary Element Method (BEM) in ANSYS AQWA and imported into WEC-Sim via BEMIO to perform time-domain simulations of six-degree-of-freedom (6-DOF) motion and absorbed power under regular and irregular wave conditions, consistent with linear wave theory assumptions </w:t>
      </w:r>
      <w:r w:rsidR="00FB5BEF" w:rsidRPr="00454E7C">
        <w:rPr>
          <w:rFonts w:ascii="Arial" w:hAnsi="Arial" w:cs="Arial"/>
        </w:rPr>
        <w:t>(</w:t>
      </w:r>
      <w:proofErr w:type="spellStart"/>
      <w:r w:rsidR="00FB5BEF" w:rsidRPr="00454E7C">
        <w:rPr>
          <w:rStyle w:val="Strong"/>
          <w:rFonts w:ascii="Arial" w:hAnsi="Arial" w:cs="Arial"/>
          <w:b w:val="0"/>
          <w:bCs w:val="0"/>
        </w:rPr>
        <w:t>Falnes</w:t>
      </w:r>
      <w:proofErr w:type="spellEnd"/>
      <w:r w:rsidR="00FB5BEF" w:rsidRPr="00454E7C">
        <w:rPr>
          <w:rStyle w:val="Strong"/>
          <w:rFonts w:ascii="Arial" w:hAnsi="Arial" w:cs="Arial"/>
          <w:b w:val="0"/>
          <w:bCs w:val="0"/>
        </w:rPr>
        <w:t>, 2002</w:t>
      </w:r>
      <w:r w:rsidR="00FB5BEF" w:rsidRPr="00454E7C">
        <w:rPr>
          <w:rFonts w:ascii="Arial" w:hAnsi="Arial" w:cs="Arial"/>
        </w:rPr>
        <w:t>)</w:t>
      </w:r>
      <w:r w:rsidRPr="00454E7C">
        <w:rPr>
          <w:rFonts w:ascii="Arial" w:hAnsi="Arial" w:cs="Arial"/>
          <w:lang w:val="en-TT" w:eastAsia="en-TT"/>
        </w:rPr>
        <w:t>.</w:t>
      </w:r>
    </w:p>
    <w:p w14:paraId="6AE2359B" w14:textId="007C74CF" w:rsidR="00DD0D91" w:rsidRPr="00454E7C" w:rsidRDefault="00DD0D91" w:rsidP="00454C95">
      <w:pPr>
        <w:jc w:val="both"/>
        <w:rPr>
          <w:rFonts w:ascii="Arial" w:hAnsi="Arial" w:cs="Arial"/>
          <w:lang w:val="en-TT" w:eastAsia="en-TT"/>
        </w:rPr>
      </w:pPr>
      <w:r w:rsidRPr="00454E7C">
        <w:rPr>
          <w:rFonts w:ascii="Arial" w:hAnsi="Arial" w:cs="Arial"/>
          <w:lang w:val="en-TT" w:eastAsia="en-TT"/>
        </w:rPr>
        <w:t xml:space="preserve">Structural integrity and fatigue resistance of the final design were verified using finite element analysis in ANSYS Mechanical under both operational and extreme sea-state loading, ensuring compliance with durability and survivability criteria </w:t>
      </w:r>
      <w:r w:rsidR="00FB5BEF" w:rsidRPr="00454E7C">
        <w:rPr>
          <w:rFonts w:ascii="Arial" w:hAnsi="Arial" w:cs="Arial"/>
        </w:rPr>
        <w:t>(</w:t>
      </w:r>
      <w:r w:rsidR="00FB5BEF" w:rsidRPr="00454E7C">
        <w:rPr>
          <w:rStyle w:val="Strong"/>
          <w:rFonts w:ascii="Arial" w:hAnsi="Arial" w:cs="Arial"/>
          <w:b w:val="0"/>
          <w:bCs w:val="0"/>
        </w:rPr>
        <w:t>Pahl et al., 2007; Guo et al., 2022</w:t>
      </w:r>
      <w:r w:rsidR="00FB5BEF" w:rsidRPr="00454E7C">
        <w:rPr>
          <w:rFonts w:ascii="Arial" w:hAnsi="Arial" w:cs="Arial"/>
        </w:rPr>
        <w:t>).</w:t>
      </w:r>
      <w:r w:rsidRPr="00454E7C">
        <w:rPr>
          <w:rFonts w:ascii="Arial" w:hAnsi="Arial" w:cs="Arial"/>
          <w:lang w:val="en-TT" w:eastAsia="en-TT"/>
        </w:rPr>
        <w:t xml:space="preserve"> Iterative refinement of geometric dimensions, mass distribution, and PTO coupling was conducted until convergence was achieved in terms of motion stability, structural safety, and energy conversion performance.</w:t>
      </w:r>
    </w:p>
    <w:p w14:paraId="032F6E2D" w14:textId="05B5D658" w:rsidR="00DD0D91" w:rsidRPr="00454E7C" w:rsidRDefault="00DD0D91" w:rsidP="00454C95">
      <w:pPr>
        <w:jc w:val="both"/>
        <w:rPr>
          <w:rFonts w:ascii="Arial" w:hAnsi="Arial" w:cs="Arial"/>
          <w:lang w:val="en-TT" w:eastAsia="en-TT"/>
        </w:rPr>
      </w:pPr>
      <w:r w:rsidRPr="00454E7C">
        <w:rPr>
          <w:rFonts w:ascii="Arial" w:hAnsi="Arial" w:cs="Arial"/>
          <w:lang w:val="en-TT" w:eastAsia="en-TT"/>
        </w:rPr>
        <w:t xml:space="preserve">The resulting final design represents a simulation-validated, technically robust, and scalable two-body WEC configuration with adaptive hydrodynamic behaviour and performance </w:t>
      </w:r>
      <w:r w:rsidRPr="00454E7C">
        <w:rPr>
          <w:rFonts w:ascii="Arial" w:hAnsi="Arial" w:cs="Arial"/>
          <w:lang w:val="en-TT" w:eastAsia="en-TT"/>
        </w:rPr>
        <w:lastRenderedPageBreak/>
        <w:t xml:space="preserve">characteristics aligned with contemporary state-of-the-art wave energy system engineering </w:t>
      </w:r>
      <w:r w:rsidR="00454C95" w:rsidRPr="00454E7C">
        <w:rPr>
          <w:rFonts w:ascii="Arial" w:hAnsi="Arial" w:cs="Arial"/>
        </w:rPr>
        <w:t>(</w:t>
      </w:r>
      <w:r w:rsidR="00454C95" w:rsidRPr="00454E7C">
        <w:rPr>
          <w:rStyle w:val="Strong"/>
          <w:rFonts w:ascii="Arial" w:hAnsi="Arial" w:cs="Arial"/>
          <w:b w:val="0"/>
          <w:bCs w:val="0"/>
        </w:rPr>
        <w:t>Liang and Zuo, 2017; Tom et al., 2023</w:t>
      </w:r>
      <w:r w:rsidR="00454C95" w:rsidRPr="00454E7C">
        <w:rPr>
          <w:rFonts w:ascii="Arial" w:hAnsi="Arial" w:cs="Arial"/>
        </w:rPr>
        <w:t>).</w:t>
      </w:r>
    </w:p>
    <w:p w14:paraId="4DA2795B" w14:textId="77777777" w:rsidR="00DD0D91" w:rsidRPr="00A63840" w:rsidRDefault="00DD0D91" w:rsidP="00454C95">
      <w:pPr>
        <w:jc w:val="both"/>
        <w:rPr>
          <w:rFonts w:ascii="Arial" w:hAnsi="Arial" w:cs="Arial"/>
          <w:lang w:val="en-TT" w:eastAsia="en-TT"/>
        </w:rPr>
      </w:pPr>
    </w:p>
    <w:p w14:paraId="6D167D10" w14:textId="77777777" w:rsidR="00DD0D91" w:rsidRPr="00A63840" w:rsidRDefault="00DD0D91" w:rsidP="00DD0D91">
      <w:pPr>
        <w:jc w:val="center"/>
        <w:rPr>
          <w:rFonts w:ascii="Arial" w:hAnsi="Arial" w:cs="Arial"/>
          <w:lang w:val="en-TT" w:eastAsia="en-TT"/>
        </w:rPr>
      </w:pPr>
      <w:r w:rsidRPr="00A63840">
        <w:rPr>
          <w:rFonts w:ascii="Arial" w:hAnsi="Arial" w:cs="Arial"/>
          <w:noProof/>
        </w:rPr>
        <w:drawing>
          <wp:inline distT="0" distB="0" distL="0" distR="0" wp14:anchorId="1862BDDB" wp14:editId="1F1A41E5">
            <wp:extent cx="2200910" cy="16065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910" cy="1606550"/>
                    </a:xfrm>
                    <a:prstGeom prst="rect">
                      <a:avLst/>
                    </a:prstGeom>
                    <a:noFill/>
                  </pic:spPr>
                </pic:pic>
              </a:graphicData>
            </a:graphic>
          </wp:inline>
        </w:drawing>
      </w:r>
    </w:p>
    <w:p w14:paraId="12C8B9F7" w14:textId="77777777" w:rsidR="00DD0D91" w:rsidRPr="00A63840" w:rsidRDefault="00DD0D91" w:rsidP="00DD0D91">
      <w:pPr>
        <w:jc w:val="center"/>
        <w:rPr>
          <w:rFonts w:ascii="Arial" w:hAnsi="Arial" w:cs="Arial"/>
          <w:b/>
          <w:bCs/>
          <w:lang w:val="en-TT" w:eastAsia="en-TT"/>
        </w:rPr>
      </w:pPr>
      <w:r w:rsidRPr="00A63840">
        <w:rPr>
          <w:rFonts w:ascii="Arial" w:hAnsi="Arial" w:cs="Arial"/>
          <w:b/>
          <w:bCs/>
          <w:lang w:val="en-TT" w:eastAsia="en-TT"/>
        </w:rPr>
        <w:t>Figure 3. The two-body variable-geometry wave energy converter</w:t>
      </w:r>
    </w:p>
    <w:p w14:paraId="3992E29E" w14:textId="77777777" w:rsidR="00DD0D91" w:rsidRPr="00A63840" w:rsidRDefault="00DD0D91" w:rsidP="00DD0D91">
      <w:pPr>
        <w:jc w:val="center"/>
        <w:rPr>
          <w:rFonts w:ascii="Arial" w:hAnsi="Arial" w:cs="Arial"/>
          <w:lang w:val="en-TT" w:eastAsia="en-TT"/>
        </w:rPr>
      </w:pPr>
    </w:p>
    <w:p w14:paraId="23E9317C" w14:textId="13052231" w:rsidR="00DD0D91" w:rsidRPr="00A63840" w:rsidRDefault="00AB185D" w:rsidP="00DD0D91">
      <w:pPr>
        <w:pStyle w:val="Heading2"/>
        <w:spacing w:before="0"/>
        <w:jc w:val="both"/>
        <w:rPr>
          <w:rFonts w:ascii="Arial" w:hAnsi="Arial" w:cs="Arial"/>
          <w:b/>
          <w:bCs/>
          <w:color w:val="auto"/>
          <w:sz w:val="20"/>
          <w:szCs w:val="20"/>
        </w:rPr>
      </w:pPr>
      <w:r w:rsidRPr="00A63840">
        <w:rPr>
          <w:rFonts w:ascii="Arial" w:hAnsi="Arial" w:cs="Arial"/>
          <w:b/>
          <w:bCs/>
          <w:color w:val="auto"/>
          <w:sz w:val="20"/>
          <w:szCs w:val="20"/>
        </w:rPr>
        <w:t>3</w:t>
      </w:r>
      <w:r w:rsidR="00DD0D91" w:rsidRPr="00A63840">
        <w:rPr>
          <w:rFonts w:ascii="Arial" w:hAnsi="Arial" w:cs="Arial"/>
          <w:b/>
          <w:bCs/>
          <w:color w:val="auto"/>
          <w:sz w:val="20"/>
          <w:szCs w:val="20"/>
        </w:rPr>
        <w:t xml:space="preserve">.1 Design </w:t>
      </w:r>
      <w:r w:rsidRPr="00A63840">
        <w:rPr>
          <w:rFonts w:ascii="Arial" w:hAnsi="Arial" w:cs="Arial"/>
          <w:b/>
          <w:bCs/>
          <w:color w:val="auto"/>
          <w:sz w:val="20"/>
          <w:szCs w:val="20"/>
        </w:rPr>
        <w:t>of t</w:t>
      </w:r>
      <w:r w:rsidRPr="00A63840">
        <w:rPr>
          <w:rFonts w:ascii="Arial" w:hAnsi="Arial" w:cs="Arial"/>
          <w:b/>
          <w:bCs/>
          <w:color w:val="auto"/>
          <w:sz w:val="20"/>
          <w:szCs w:val="20"/>
          <w:lang w:val="en-TT" w:eastAsia="en-TT"/>
        </w:rPr>
        <w:t>he two-body variable-geometry wave energy converter</w:t>
      </w:r>
    </w:p>
    <w:p w14:paraId="441C26AE"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The final WEC is a </w:t>
      </w:r>
      <w:r w:rsidRPr="00A63840">
        <w:rPr>
          <w:rStyle w:val="Strong"/>
          <w:rFonts w:ascii="Arial" w:hAnsi="Arial" w:cs="Arial"/>
          <w:b w:val="0"/>
          <w:bCs w:val="0"/>
          <w:sz w:val="20"/>
          <w:szCs w:val="20"/>
        </w:rPr>
        <w:t>point absorber with variable geometry shown in Figure 4</w:t>
      </w:r>
      <w:r w:rsidRPr="00A63840">
        <w:rPr>
          <w:rFonts w:ascii="Arial" w:hAnsi="Arial" w:cs="Arial"/>
          <w:b/>
          <w:bCs/>
          <w:sz w:val="20"/>
          <w:szCs w:val="20"/>
        </w:rPr>
        <w:t>,</w:t>
      </w:r>
      <w:r w:rsidRPr="00A63840">
        <w:rPr>
          <w:rFonts w:ascii="Arial" w:hAnsi="Arial" w:cs="Arial"/>
          <w:sz w:val="20"/>
          <w:szCs w:val="20"/>
        </w:rPr>
        <w:t xml:space="preserve"> designed to maximize robustness, operational versatility, and energy capture efficiency under varying wave conditions. The design emphasizes </w:t>
      </w:r>
      <w:r w:rsidRPr="00A63840">
        <w:rPr>
          <w:rStyle w:val="Strong"/>
          <w:rFonts w:ascii="Arial" w:hAnsi="Arial" w:cs="Arial"/>
          <w:b w:val="0"/>
          <w:bCs w:val="0"/>
          <w:sz w:val="20"/>
          <w:szCs w:val="20"/>
        </w:rPr>
        <w:t>structural integrity</w:t>
      </w:r>
      <w:r w:rsidRPr="00A63840">
        <w:rPr>
          <w:rFonts w:ascii="Arial" w:hAnsi="Arial" w:cs="Arial"/>
          <w:b/>
          <w:bCs/>
          <w:sz w:val="20"/>
          <w:szCs w:val="20"/>
        </w:rPr>
        <w:t xml:space="preserve">, </w:t>
      </w:r>
      <w:r w:rsidRPr="00A63840">
        <w:rPr>
          <w:rStyle w:val="Strong"/>
          <w:rFonts w:ascii="Arial" w:hAnsi="Arial" w:cs="Arial"/>
          <w:b w:val="0"/>
          <w:bCs w:val="0"/>
          <w:sz w:val="20"/>
          <w:szCs w:val="20"/>
        </w:rPr>
        <w:t>adjustable floats</w:t>
      </w:r>
      <w:r w:rsidRPr="00A63840">
        <w:rPr>
          <w:rFonts w:ascii="Arial" w:hAnsi="Arial" w:cs="Arial"/>
          <w:sz w:val="20"/>
          <w:szCs w:val="20"/>
        </w:rPr>
        <w:t xml:space="preserve"> to optimize buoyancy and restoring moments, and a </w:t>
      </w:r>
      <w:r w:rsidRPr="00A63840">
        <w:rPr>
          <w:rStyle w:val="Strong"/>
          <w:rFonts w:ascii="Arial" w:hAnsi="Arial" w:cs="Arial"/>
          <w:b w:val="0"/>
          <w:bCs w:val="0"/>
          <w:sz w:val="20"/>
          <w:szCs w:val="20"/>
        </w:rPr>
        <w:t>direct-drive power take-off (PTO)</w:t>
      </w:r>
      <w:r w:rsidRPr="00A63840">
        <w:rPr>
          <w:rFonts w:ascii="Arial" w:hAnsi="Arial" w:cs="Arial"/>
          <w:b/>
          <w:bCs/>
          <w:sz w:val="20"/>
          <w:szCs w:val="20"/>
        </w:rPr>
        <w:t xml:space="preserve"> </w:t>
      </w:r>
      <w:r w:rsidRPr="00A63840">
        <w:rPr>
          <w:rFonts w:ascii="Arial" w:hAnsi="Arial" w:cs="Arial"/>
          <w:sz w:val="20"/>
          <w:szCs w:val="20"/>
        </w:rPr>
        <w:t>to reduce mechanical losses and enhance reliability.</w:t>
      </w:r>
    </w:p>
    <w:p w14:paraId="0704C9BD"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5DBC1A0C"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noProof/>
          <w:sz w:val="20"/>
          <w:szCs w:val="20"/>
          <w:lang w:val="en-US" w:eastAsia="en-US"/>
        </w:rPr>
        <w:drawing>
          <wp:inline distT="0" distB="0" distL="0" distR="0" wp14:anchorId="4D5E9EAB" wp14:editId="41F9F3F7">
            <wp:extent cx="2761615" cy="188796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5794" cy="1897661"/>
                    </a:xfrm>
                    <a:prstGeom prst="rect">
                      <a:avLst/>
                    </a:prstGeom>
                    <a:noFill/>
                  </pic:spPr>
                </pic:pic>
              </a:graphicData>
            </a:graphic>
          </wp:inline>
        </w:drawing>
      </w:r>
    </w:p>
    <w:p w14:paraId="144015A7" w14:textId="77777777" w:rsidR="00DD0D91" w:rsidRPr="00A63840" w:rsidRDefault="00DD0D91" w:rsidP="00DD0D91">
      <w:pPr>
        <w:pStyle w:val="NormalWeb"/>
        <w:spacing w:before="0" w:beforeAutospacing="0" w:after="0" w:afterAutospacing="0"/>
        <w:jc w:val="center"/>
        <w:rPr>
          <w:rFonts w:ascii="Arial" w:hAnsi="Arial" w:cs="Arial"/>
          <w:bCs/>
          <w:sz w:val="20"/>
          <w:szCs w:val="20"/>
        </w:rPr>
      </w:pPr>
      <w:r w:rsidRPr="00A63840">
        <w:rPr>
          <w:rStyle w:val="Strong"/>
          <w:rFonts w:ascii="Arial" w:hAnsi="Arial" w:cs="Arial"/>
          <w:sz w:val="20"/>
          <w:szCs w:val="20"/>
        </w:rPr>
        <w:t>Figure 4. Final Point Absorber WEC with Variable Geometry and Direct-Drive PTO</w:t>
      </w:r>
    </w:p>
    <w:p w14:paraId="798B7298" w14:textId="77777777" w:rsidR="00DD0D91" w:rsidRPr="00A63840" w:rsidRDefault="00DD0D91" w:rsidP="00DD0D91">
      <w:pPr>
        <w:pStyle w:val="Heading2"/>
        <w:spacing w:before="0"/>
        <w:rPr>
          <w:rFonts w:ascii="Arial" w:hAnsi="Arial" w:cs="Arial"/>
          <w:bCs/>
          <w:sz w:val="20"/>
          <w:szCs w:val="20"/>
        </w:rPr>
      </w:pPr>
    </w:p>
    <w:p w14:paraId="75B823A2" w14:textId="02CB2E29" w:rsidR="00DD0D91" w:rsidRPr="00A63840" w:rsidRDefault="00AB185D" w:rsidP="00DD0D91">
      <w:pPr>
        <w:pStyle w:val="Heading2"/>
        <w:spacing w:before="0"/>
        <w:rPr>
          <w:rFonts w:ascii="Arial" w:hAnsi="Arial" w:cs="Arial"/>
          <w:b/>
          <w:bCs/>
          <w:color w:val="auto"/>
          <w:sz w:val="20"/>
          <w:szCs w:val="20"/>
        </w:rPr>
      </w:pPr>
      <w:r w:rsidRPr="00A63840">
        <w:rPr>
          <w:rFonts w:ascii="Arial" w:hAnsi="Arial" w:cs="Arial"/>
          <w:b/>
          <w:bCs/>
          <w:color w:val="auto"/>
          <w:sz w:val="20"/>
          <w:szCs w:val="20"/>
        </w:rPr>
        <w:t>3</w:t>
      </w:r>
      <w:r w:rsidR="00DD0D91" w:rsidRPr="00A63840">
        <w:rPr>
          <w:rFonts w:ascii="Arial" w:hAnsi="Arial" w:cs="Arial"/>
          <w:b/>
          <w:bCs/>
          <w:color w:val="auto"/>
          <w:sz w:val="20"/>
          <w:szCs w:val="20"/>
        </w:rPr>
        <w:t>.2 Structural Components</w:t>
      </w:r>
    </w:p>
    <w:p w14:paraId="343BE5C7" w14:textId="6F903ED8" w:rsidR="00DD0D91" w:rsidRPr="00A63840" w:rsidRDefault="00AB185D" w:rsidP="00DD0D91">
      <w:pPr>
        <w:pStyle w:val="Heading3"/>
        <w:spacing w:before="0"/>
        <w:rPr>
          <w:rFonts w:ascii="Arial" w:hAnsi="Arial" w:cs="Arial"/>
          <w:b/>
          <w:bCs/>
          <w:color w:val="auto"/>
          <w:sz w:val="20"/>
          <w:szCs w:val="20"/>
        </w:rPr>
      </w:pPr>
      <w:r w:rsidRPr="00A63840">
        <w:rPr>
          <w:rFonts w:ascii="Arial" w:hAnsi="Arial" w:cs="Arial"/>
          <w:b/>
          <w:bCs/>
          <w:color w:val="auto"/>
          <w:sz w:val="20"/>
          <w:szCs w:val="20"/>
        </w:rPr>
        <w:t>3</w:t>
      </w:r>
      <w:r w:rsidR="00DD0D91" w:rsidRPr="00A63840">
        <w:rPr>
          <w:rFonts w:ascii="Arial" w:hAnsi="Arial" w:cs="Arial"/>
          <w:b/>
          <w:bCs/>
          <w:color w:val="auto"/>
          <w:sz w:val="20"/>
          <w:szCs w:val="20"/>
        </w:rPr>
        <w:t>.2.1. Submerged Body</w:t>
      </w:r>
    </w:p>
    <w:p w14:paraId="78EADABB"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The submerged body ensures hydrostatic stability and forms the base for the floating structure (Figure 5). Fabricated from </w:t>
      </w:r>
      <w:r w:rsidRPr="00A63840">
        <w:rPr>
          <w:rStyle w:val="Strong"/>
          <w:rFonts w:ascii="Arial" w:hAnsi="Arial" w:cs="Arial"/>
          <w:b w:val="0"/>
          <w:bCs w:val="0"/>
          <w:sz w:val="20"/>
          <w:szCs w:val="20"/>
        </w:rPr>
        <w:t>NPS 36 Schedule 40 steel</w:t>
      </w:r>
      <w:r w:rsidRPr="00A63840">
        <w:rPr>
          <w:rFonts w:ascii="Arial" w:hAnsi="Arial" w:cs="Arial"/>
          <w:b/>
          <w:bCs/>
          <w:sz w:val="20"/>
          <w:szCs w:val="20"/>
        </w:rPr>
        <w:t>,</w:t>
      </w:r>
      <w:r w:rsidRPr="00A63840">
        <w:rPr>
          <w:rFonts w:ascii="Arial" w:hAnsi="Arial" w:cs="Arial"/>
          <w:sz w:val="20"/>
          <w:szCs w:val="20"/>
        </w:rPr>
        <w:t xml:space="preserve"> the hollowed disk is reinforced with internal webs to reduce weight and increase torsional stiffness. Hydrostatic alignment between the </w:t>
      </w:r>
      <w:proofErr w:type="spellStart"/>
      <w:r w:rsidRPr="00A63840">
        <w:rPr>
          <w:rStyle w:val="Strong"/>
          <w:rFonts w:ascii="Arial" w:hAnsi="Arial" w:cs="Arial"/>
          <w:b w:val="0"/>
          <w:bCs w:val="0"/>
          <w:sz w:val="20"/>
          <w:szCs w:val="20"/>
        </w:rPr>
        <w:t>center</w:t>
      </w:r>
      <w:proofErr w:type="spellEnd"/>
      <w:r w:rsidRPr="00A63840">
        <w:rPr>
          <w:rStyle w:val="Strong"/>
          <w:rFonts w:ascii="Arial" w:hAnsi="Arial" w:cs="Arial"/>
          <w:b w:val="0"/>
          <w:bCs w:val="0"/>
          <w:sz w:val="20"/>
          <w:szCs w:val="20"/>
        </w:rPr>
        <w:t xml:space="preserve"> of buoyancy (COB)</w:t>
      </w:r>
      <w:r w:rsidRPr="00A63840">
        <w:rPr>
          <w:rFonts w:ascii="Arial" w:hAnsi="Arial" w:cs="Arial"/>
          <w:b/>
          <w:bCs/>
          <w:sz w:val="20"/>
          <w:szCs w:val="20"/>
        </w:rPr>
        <w:t xml:space="preserve"> </w:t>
      </w:r>
      <w:r w:rsidRPr="00A63840">
        <w:rPr>
          <w:rFonts w:ascii="Arial" w:hAnsi="Arial" w:cs="Arial"/>
          <w:sz w:val="20"/>
          <w:szCs w:val="20"/>
        </w:rPr>
        <w:t xml:space="preserve">and </w:t>
      </w:r>
      <w:proofErr w:type="spellStart"/>
      <w:r w:rsidRPr="00A63840">
        <w:rPr>
          <w:rStyle w:val="Strong"/>
          <w:rFonts w:ascii="Arial" w:hAnsi="Arial" w:cs="Arial"/>
          <w:b w:val="0"/>
          <w:bCs w:val="0"/>
          <w:sz w:val="20"/>
          <w:szCs w:val="20"/>
        </w:rPr>
        <w:t>center</w:t>
      </w:r>
      <w:proofErr w:type="spellEnd"/>
      <w:r w:rsidRPr="00A63840">
        <w:rPr>
          <w:rStyle w:val="Strong"/>
          <w:rFonts w:ascii="Arial" w:hAnsi="Arial" w:cs="Arial"/>
          <w:b w:val="0"/>
          <w:bCs w:val="0"/>
          <w:sz w:val="20"/>
          <w:szCs w:val="20"/>
        </w:rPr>
        <w:t xml:space="preserve"> of gravity (COG)</w:t>
      </w:r>
      <w:r w:rsidRPr="00A63840">
        <w:rPr>
          <w:rFonts w:ascii="Arial" w:hAnsi="Arial" w:cs="Arial"/>
          <w:sz w:val="20"/>
          <w:szCs w:val="20"/>
        </w:rPr>
        <w:t xml:space="preserve"> maximizes restoring moments.</w:t>
      </w:r>
    </w:p>
    <w:p w14:paraId="64D63729" w14:textId="77777777" w:rsidR="00DD0D91" w:rsidRPr="00A63840" w:rsidRDefault="00DC6634" w:rsidP="00DD0D91">
      <w:pPr>
        <w:pStyle w:val="NormalWeb"/>
        <w:spacing w:before="0" w:beforeAutospacing="0" w:after="0" w:afterAutospacing="0"/>
        <w:jc w:val="both"/>
        <w:rPr>
          <w:rFonts w:ascii="Arial" w:hAnsi="Arial" w:cs="Arial"/>
          <w:sz w:val="20"/>
          <w:szCs w:val="20"/>
        </w:rPr>
      </w:pPr>
      <m:oMath>
        <m:sSub>
          <m:sSubPr>
            <m:ctrlPr>
              <w:rPr>
                <w:rFonts w:ascii="Cambria Math" w:hAnsi="Cambria Math" w:cs="Arial"/>
                <w:sz w:val="20"/>
                <w:szCs w:val="20"/>
              </w:rPr>
            </m:ctrlPr>
          </m:sSubPr>
          <m:e>
            <m:r>
              <m:rPr>
                <m:sty m:val="p"/>
              </m:rPr>
              <w:rPr>
                <w:rFonts w:ascii="Cambria Math" w:hAnsi="Cambria Math" w:cs="Arial"/>
                <w:sz w:val="20"/>
                <w:szCs w:val="20"/>
              </w:rPr>
              <m:t>m</m:t>
            </m:r>
          </m:e>
          <m:sub>
            <m:r>
              <m:rPr>
                <m:sty m:val="p"/>
              </m:rPr>
              <w:rPr>
                <w:rFonts w:ascii="Cambria Math" w:hAnsi="Cambria Math" w:cs="Arial"/>
                <w:sz w:val="20"/>
                <w:szCs w:val="20"/>
              </w:rPr>
              <m:t>displaced</m:t>
            </m:r>
          </m:sub>
        </m:sSub>
        <m:r>
          <w:rPr>
            <w:rFonts w:ascii="Cambria Math" w:hAnsi="Cambria Math" w:cs="Arial"/>
            <w:sz w:val="20"/>
            <w:szCs w:val="20"/>
          </w:rPr>
          <m:t>=</m:t>
        </m:r>
        <m:r>
          <m:rPr>
            <m:sty m:val="p"/>
          </m:rPr>
          <w:rPr>
            <w:rFonts w:ascii="Cambria Math" w:hAnsi="Cambria Math" w:cs="Arial"/>
            <w:sz w:val="20"/>
            <w:szCs w:val="20"/>
          </w:rPr>
          <m:t>ρ</m:t>
        </m:r>
        <m:r>
          <w:rPr>
            <w:rFonts w:ascii="Cambria Math" w:hAnsi="Cambria Math" w:cs="Arial"/>
            <w:sz w:val="20"/>
            <w:szCs w:val="20"/>
          </w:rPr>
          <m:t>(</m:t>
        </m:r>
        <m:r>
          <m:rPr>
            <m:sty m:val="p"/>
          </m:rPr>
          <w:rPr>
            <w:rFonts w:ascii="Cambria Math" w:hAnsi="Cambria Math" w:cs="Arial"/>
            <w:sz w:val="20"/>
            <w:szCs w:val="20"/>
          </w:rPr>
          <m:t>Vpipe</m:t>
        </m:r>
        <m:r>
          <w:rPr>
            <w:rFonts w:ascii="Cambria Math" w:hAnsi="Cambria Math" w:cs="Arial"/>
            <w:sz w:val="20"/>
            <w:szCs w:val="20"/>
          </w:rPr>
          <m:t>+</m:t>
        </m:r>
        <m:r>
          <m:rPr>
            <m:sty m:val="p"/>
          </m:rPr>
          <w:rPr>
            <w:rFonts w:ascii="Cambria Math" w:hAnsi="Cambria Math" w:cs="Arial"/>
            <w:sz w:val="20"/>
            <w:szCs w:val="20"/>
          </w:rPr>
          <m:t>Vdisk</m:t>
        </m:r>
        <m:r>
          <w:rPr>
            <w:rFonts w:ascii="Cambria Math" w:hAnsi="Cambria Math" w:cs="Arial"/>
            <w:sz w:val="20"/>
            <w:szCs w:val="20"/>
          </w:rPr>
          <m:t>)</m:t>
        </m:r>
      </m:oMath>
      <w:r w:rsidR="00DD0D91" w:rsidRPr="00A63840">
        <w:rPr>
          <w:rFonts w:ascii="Arial" w:hAnsi="Arial" w:cs="Arial"/>
          <w:sz w:val="20"/>
          <w:szCs w:val="20"/>
        </w:rPr>
        <w:t>………………………………….… (5)</w:t>
      </w:r>
    </w:p>
    <w:p w14:paraId="090F0A39" w14:textId="77777777" w:rsidR="00DD0D91" w:rsidRPr="00A63840" w:rsidRDefault="00DC6634" w:rsidP="00DD0D91">
      <w:pPr>
        <w:pStyle w:val="NormalWeb"/>
        <w:spacing w:before="0" w:beforeAutospacing="0" w:after="0" w:afterAutospacing="0"/>
        <w:jc w:val="both"/>
        <w:rPr>
          <w:rFonts w:ascii="Arial" w:hAnsi="Arial" w:cs="Arial"/>
          <w:sz w:val="20"/>
          <w:szCs w:val="20"/>
        </w:rPr>
      </w:pPr>
      <m:oMath>
        <m:sSub>
          <m:sSubPr>
            <m:ctrlPr>
              <w:rPr>
                <w:rFonts w:ascii="Cambria Math" w:hAnsi="Cambria Math" w:cs="Arial"/>
                <w:sz w:val="20"/>
                <w:szCs w:val="20"/>
              </w:rPr>
            </m:ctrlPr>
          </m:sSubPr>
          <m:e>
            <m:r>
              <m:rPr>
                <m:sty m:val="p"/>
              </m:rPr>
              <w:rPr>
                <w:rFonts w:ascii="Cambria Math" w:hAnsi="Cambria Math" w:cs="Arial"/>
                <w:sz w:val="20"/>
                <w:szCs w:val="20"/>
              </w:rPr>
              <m:t>m</m:t>
            </m:r>
          </m:e>
          <m:sub>
            <m:r>
              <m:rPr>
                <m:sty m:val="p"/>
              </m:rPr>
              <w:rPr>
                <w:rFonts w:ascii="Cambria Math" w:hAnsi="Cambria Math" w:cs="Arial"/>
                <w:sz w:val="20"/>
                <w:szCs w:val="20"/>
              </w:rPr>
              <m:t>displaced</m:t>
            </m:r>
          </m:sub>
        </m:sSub>
        <m:r>
          <w:rPr>
            <w:rFonts w:ascii="Cambria Math" w:hAnsi="Cambria Math" w:cs="Arial"/>
            <w:sz w:val="20"/>
            <w:szCs w:val="20"/>
          </w:rPr>
          <m:t>=</m:t>
        </m:r>
        <m:r>
          <m:rPr>
            <m:sty m:val="p"/>
          </m:rPr>
          <w:rPr>
            <w:rFonts w:ascii="Cambria Math" w:hAnsi="Cambria Math" w:cs="Arial"/>
            <w:sz w:val="20"/>
            <w:szCs w:val="20"/>
          </w:rPr>
          <m:t xml:space="preserve">11,477.34 kg </m:t>
        </m:r>
      </m:oMath>
      <w:r w:rsidR="00DD0D91" w:rsidRPr="00A63840">
        <w:rPr>
          <w:rFonts w:ascii="Arial" w:hAnsi="Arial" w:cs="Arial"/>
          <w:sz w:val="20"/>
          <w:szCs w:val="20"/>
        </w:rPr>
        <w:t>.</w:t>
      </w:r>
    </w:p>
    <w:p w14:paraId="2107D685"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noProof/>
          <w:sz w:val="20"/>
          <w:szCs w:val="20"/>
          <w:lang w:val="en-US" w:eastAsia="en-US"/>
        </w:rPr>
        <w:lastRenderedPageBreak/>
        <w:drawing>
          <wp:inline distT="0" distB="0" distL="0" distR="0" wp14:anchorId="2D112F83" wp14:editId="075873D5">
            <wp:extent cx="1846384" cy="1192500"/>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9358" cy="1200879"/>
                    </a:xfrm>
                    <a:prstGeom prst="rect">
                      <a:avLst/>
                    </a:prstGeom>
                    <a:noFill/>
                  </pic:spPr>
                </pic:pic>
              </a:graphicData>
            </a:graphic>
          </wp:inline>
        </w:drawing>
      </w:r>
    </w:p>
    <w:p w14:paraId="44BD6D6E" w14:textId="77777777" w:rsidR="00DD0D91" w:rsidRPr="00A63840" w:rsidRDefault="00DD0D91" w:rsidP="00DD0D91">
      <w:pPr>
        <w:pStyle w:val="NormalWeb"/>
        <w:spacing w:before="0" w:beforeAutospacing="0" w:after="0" w:afterAutospacing="0"/>
        <w:jc w:val="center"/>
        <w:rPr>
          <w:rFonts w:ascii="Arial" w:hAnsi="Arial" w:cs="Arial"/>
          <w:b/>
          <w:bCs/>
          <w:sz w:val="20"/>
          <w:szCs w:val="20"/>
        </w:rPr>
      </w:pPr>
      <w:r w:rsidRPr="00A63840">
        <w:rPr>
          <w:rStyle w:val="Strong"/>
          <w:rFonts w:ascii="Arial" w:hAnsi="Arial" w:cs="Arial"/>
          <w:sz w:val="20"/>
          <w:szCs w:val="20"/>
        </w:rPr>
        <w:t>Figures 5. Submerged Body Geometry and COB–COG Alignment.</w:t>
      </w:r>
    </w:p>
    <w:p w14:paraId="321BE8E2" w14:textId="77777777" w:rsidR="00DD0D91" w:rsidRPr="00A63840" w:rsidRDefault="00DD0D91" w:rsidP="00DD0D91">
      <w:pPr>
        <w:pStyle w:val="Heading3"/>
        <w:spacing w:before="0"/>
        <w:rPr>
          <w:rFonts w:ascii="Arial" w:hAnsi="Arial" w:cs="Arial"/>
          <w:b/>
          <w:bCs/>
          <w:sz w:val="20"/>
          <w:szCs w:val="20"/>
        </w:rPr>
      </w:pPr>
    </w:p>
    <w:p w14:paraId="73C1EA5C" w14:textId="5A3C7F06" w:rsidR="00DD0D91" w:rsidRPr="00A63840" w:rsidRDefault="00AB185D" w:rsidP="00DD0D91">
      <w:pPr>
        <w:pStyle w:val="Heading3"/>
        <w:spacing w:before="0"/>
        <w:rPr>
          <w:rFonts w:ascii="Arial" w:hAnsi="Arial" w:cs="Arial"/>
          <w:b/>
          <w:bCs/>
          <w:color w:val="auto"/>
          <w:sz w:val="20"/>
          <w:szCs w:val="20"/>
        </w:rPr>
      </w:pPr>
      <w:r w:rsidRPr="00A63840">
        <w:rPr>
          <w:rFonts w:ascii="Arial" w:hAnsi="Arial" w:cs="Arial"/>
          <w:b/>
          <w:bCs/>
          <w:color w:val="auto"/>
          <w:sz w:val="20"/>
          <w:szCs w:val="20"/>
        </w:rPr>
        <w:t>3</w:t>
      </w:r>
      <w:r w:rsidR="00DD0D91" w:rsidRPr="00A63840">
        <w:rPr>
          <w:rFonts w:ascii="Arial" w:hAnsi="Arial" w:cs="Arial"/>
          <w:b/>
          <w:bCs/>
          <w:color w:val="auto"/>
          <w:sz w:val="20"/>
          <w:szCs w:val="20"/>
        </w:rPr>
        <w:t>.2.2. Floating Body</w:t>
      </w:r>
    </w:p>
    <w:p w14:paraId="7148B777"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The elliptical floating body converts heave motion into electrical energy via a </w:t>
      </w:r>
      <w:r w:rsidRPr="00A63840">
        <w:rPr>
          <w:rStyle w:val="Strong"/>
          <w:rFonts w:ascii="Arial" w:hAnsi="Arial" w:cs="Arial"/>
          <w:b w:val="0"/>
          <w:bCs w:val="0"/>
          <w:sz w:val="20"/>
          <w:szCs w:val="20"/>
        </w:rPr>
        <w:t>direct-drive PTO (Figure 6)</w:t>
      </w:r>
      <w:r w:rsidRPr="00A63840">
        <w:rPr>
          <w:rFonts w:ascii="Arial" w:hAnsi="Arial" w:cs="Arial"/>
          <w:b/>
          <w:bCs/>
          <w:sz w:val="20"/>
          <w:szCs w:val="20"/>
        </w:rPr>
        <w:t>.</w:t>
      </w:r>
      <w:r w:rsidRPr="00A63840">
        <w:rPr>
          <w:rFonts w:ascii="Arial" w:hAnsi="Arial" w:cs="Arial"/>
          <w:sz w:val="20"/>
          <w:szCs w:val="20"/>
        </w:rPr>
        <w:t xml:space="preserve"> Internal bulkheads create watertight compartments to protect critical systems. Three variable geometry positions enable tuning of stability and energy capture: </w:t>
      </w:r>
      <w:r w:rsidRPr="00A63840">
        <w:rPr>
          <w:rStyle w:val="Strong"/>
          <w:rFonts w:ascii="Arial" w:hAnsi="Arial" w:cs="Arial"/>
          <w:b w:val="0"/>
          <w:bCs w:val="0"/>
          <w:sz w:val="20"/>
          <w:szCs w:val="20"/>
        </w:rPr>
        <w:t>highest</w:t>
      </w:r>
      <w:r w:rsidRPr="00A63840">
        <w:rPr>
          <w:rFonts w:ascii="Arial" w:hAnsi="Arial" w:cs="Arial"/>
          <w:sz w:val="20"/>
          <w:szCs w:val="20"/>
        </w:rPr>
        <w:t xml:space="preserve"> (maximal righting moment), </w:t>
      </w:r>
      <w:r w:rsidRPr="00A63840">
        <w:rPr>
          <w:rStyle w:val="Strong"/>
          <w:rFonts w:ascii="Arial" w:hAnsi="Arial" w:cs="Arial"/>
          <w:b w:val="0"/>
          <w:bCs w:val="0"/>
          <w:sz w:val="20"/>
          <w:szCs w:val="20"/>
        </w:rPr>
        <w:t>middle</w:t>
      </w:r>
      <w:r w:rsidRPr="00A63840">
        <w:rPr>
          <w:rFonts w:ascii="Arial" w:hAnsi="Arial" w:cs="Arial"/>
          <w:sz w:val="20"/>
          <w:szCs w:val="20"/>
        </w:rPr>
        <w:t xml:space="preserve"> (balanced), and </w:t>
      </w:r>
      <w:r w:rsidRPr="00A63840">
        <w:rPr>
          <w:rStyle w:val="Strong"/>
          <w:rFonts w:ascii="Arial" w:hAnsi="Arial" w:cs="Arial"/>
          <w:b w:val="0"/>
          <w:bCs w:val="0"/>
          <w:sz w:val="20"/>
          <w:szCs w:val="20"/>
        </w:rPr>
        <w:t>lowest</w:t>
      </w:r>
      <w:r w:rsidRPr="00A63840">
        <w:rPr>
          <w:rFonts w:ascii="Arial" w:hAnsi="Arial" w:cs="Arial"/>
          <w:sz w:val="20"/>
          <w:szCs w:val="20"/>
        </w:rPr>
        <w:t xml:space="preserve"> (COG above COB for extreme conditions).</w:t>
      </w:r>
    </w:p>
    <w:p w14:paraId="0DB34DBD"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32BA08BA"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noProof/>
          <w:sz w:val="20"/>
          <w:szCs w:val="20"/>
          <w:lang w:val="en-US" w:eastAsia="en-US"/>
        </w:rPr>
        <w:drawing>
          <wp:inline distT="0" distB="0" distL="0" distR="0" wp14:anchorId="6760718B" wp14:editId="79F0C00D">
            <wp:extent cx="2835275" cy="1306527"/>
            <wp:effectExtent l="0" t="0" r="317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3934" cy="1319733"/>
                    </a:xfrm>
                    <a:prstGeom prst="rect">
                      <a:avLst/>
                    </a:prstGeom>
                    <a:noFill/>
                  </pic:spPr>
                </pic:pic>
              </a:graphicData>
            </a:graphic>
          </wp:inline>
        </w:drawing>
      </w:r>
    </w:p>
    <w:p w14:paraId="25EDA2D6" w14:textId="77777777" w:rsidR="00DD0D91" w:rsidRPr="00A63840" w:rsidRDefault="00DD0D91" w:rsidP="009A63EE">
      <w:pPr>
        <w:pStyle w:val="NormalWeb"/>
        <w:spacing w:before="0" w:beforeAutospacing="0" w:after="0" w:afterAutospacing="0"/>
        <w:jc w:val="center"/>
        <w:rPr>
          <w:rFonts w:ascii="Arial" w:hAnsi="Arial" w:cs="Arial"/>
          <w:sz w:val="20"/>
          <w:szCs w:val="20"/>
        </w:rPr>
      </w:pPr>
      <w:r w:rsidRPr="00A63840">
        <w:rPr>
          <w:rStyle w:val="Strong"/>
          <w:rFonts w:ascii="Arial" w:hAnsi="Arial" w:cs="Arial"/>
          <w:sz w:val="20"/>
          <w:szCs w:val="20"/>
        </w:rPr>
        <w:t>Figures 6. Floating Body and Variable Geometry Configurations</w:t>
      </w:r>
    </w:p>
    <w:p w14:paraId="288CA85C" w14:textId="77777777" w:rsidR="00DD0D91" w:rsidRPr="00A63840" w:rsidRDefault="00DD0D91" w:rsidP="009A63EE">
      <w:pPr>
        <w:pStyle w:val="Heading3"/>
        <w:spacing w:before="0"/>
        <w:jc w:val="center"/>
        <w:rPr>
          <w:rFonts w:ascii="Arial" w:hAnsi="Arial" w:cs="Arial"/>
          <w:b/>
          <w:bCs/>
          <w:color w:val="auto"/>
          <w:sz w:val="20"/>
          <w:szCs w:val="20"/>
        </w:rPr>
      </w:pPr>
    </w:p>
    <w:p w14:paraId="3723A93D" w14:textId="24B5A117" w:rsidR="00DD0D91" w:rsidRPr="00A63840" w:rsidRDefault="00AB185D" w:rsidP="009A63EE">
      <w:pPr>
        <w:pStyle w:val="Heading3"/>
        <w:spacing w:before="0"/>
        <w:jc w:val="both"/>
        <w:rPr>
          <w:rFonts w:ascii="Arial" w:hAnsi="Arial" w:cs="Arial"/>
          <w:b/>
          <w:bCs/>
          <w:color w:val="auto"/>
          <w:sz w:val="20"/>
          <w:szCs w:val="20"/>
        </w:rPr>
      </w:pPr>
      <w:r w:rsidRPr="00A63840">
        <w:rPr>
          <w:rFonts w:ascii="Arial" w:hAnsi="Arial" w:cs="Arial"/>
          <w:b/>
          <w:bCs/>
          <w:color w:val="auto"/>
          <w:sz w:val="20"/>
          <w:szCs w:val="20"/>
        </w:rPr>
        <w:t>3</w:t>
      </w:r>
      <w:r w:rsidR="00DD0D91" w:rsidRPr="00A63840">
        <w:rPr>
          <w:rFonts w:ascii="Arial" w:hAnsi="Arial" w:cs="Arial"/>
          <w:b/>
          <w:bCs/>
          <w:color w:val="auto"/>
          <w:sz w:val="20"/>
          <w:szCs w:val="20"/>
        </w:rPr>
        <w:t>.2.3. Structural Arms</w:t>
      </w:r>
    </w:p>
    <w:p w14:paraId="6E205E80" w14:textId="77777777" w:rsidR="00DD0D91" w:rsidRPr="00A63840" w:rsidRDefault="00DD0D91" w:rsidP="009A63EE">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Trussed steel arms support the floating body, providing buoyant support and structural stiffness. Finite element analysis confirmed a </w:t>
      </w:r>
      <w:r w:rsidRPr="00A63840">
        <w:rPr>
          <w:rStyle w:val="Strong"/>
          <w:rFonts w:ascii="Arial" w:hAnsi="Arial" w:cs="Arial"/>
          <w:b w:val="0"/>
          <w:bCs w:val="0"/>
          <w:sz w:val="20"/>
          <w:szCs w:val="20"/>
        </w:rPr>
        <w:t>Factor of Safety (FOS)</w:t>
      </w:r>
      <w:r w:rsidRPr="00A63840">
        <w:rPr>
          <w:rFonts w:ascii="Arial" w:hAnsi="Arial" w:cs="Arial"/>
          <w:sz w:val="20"/>
          <w:szCs w:val="20"/>
        </w:rPr>
        <w:t xml:space="preserve"> increased from 1.48 to 1.80 through tube thickness adjustments.</w:t>
      </w:r>
    </w:p>
    <w:p w14:paraId="6AD6506E" w14:textId="77777777" w:rsidR="00DD0D91" w:rsidRPr="00A63840" w:rsidRDefault="00DD0D91" w:rsidP="009A63EE">
      <w:pPr>
        <w:pStyle w:val="Heading3"/>
        <w:spacing w:before="0"/>
        <w:jc w:val="both"/>
        <w:rPr>
          <w:rFonts w:ascii="Arial" w:hAnsi="Arial" w:cs="Arial"/>
          <w:color w:val="auto"/>
          <w:sz w:val="20"/>
          <w:szCs w:val="20"/>
        </w:rPr>
      </w:pPr>
    </w:p>
    <w:p w14:paraId="3AD87696" w14:textId="3BFB12DB" w:rsidR="00DD0D91" w:rsidRPr="00A63840" w:rsidRDefault="00AB185D" w:rsidP="009A63EE">
      <w:pPr>
        <w:pStyle w:val="Heading3"/>
        <w:spacing w:before="0"/>
        <w:jc w:val="both"/>
        <w:rPr>
          <w:rFonts w:ascii="Arial" w:hAnsi="Arial" w:cs="Arial"/>
          <w:b/>
          <w:bCs/>
          <w:color w:val="auto"/>
          <w:sz w:val="20"/>
          <w:szCs w:val="20"/>
        </w:rPr>
      </w:pPr>
      <w:r w:rsidRPr="00A63840">
        <w:rPr>
          <w:rFonts w:ascii="Arial" w:hAnsi="Arial" w:cs="Arial"/>
          <w:b/>
          <w:bCs/>
          <w:color w:val="auto"/>
          <w:sz w:val="20"/>
          <w:szCs w:val="20"/>
        </w:rPr>
        <w:t>3</w:t>
      </w:r>
      <w:r w:rsidR="00DD0D91" w:rsidRPr="00A63840">
        <w:rPr>
          <w:rFonts w:ascii="Arial" w:hAnsi="Arial" w:cs="Arial"/>
          <w:b/>
          <w:bCs/>
          <w:color w:val="auto"/>
          <w:sz w:val="20"/>
          <w:szCs w:val="20"/>
        </w:rPr>
        <w:t>.2.4. Power Screw Mechanism</w:t>
      </w:r>
    </w:p>
    <w:p w14:paraId="1D4A1E41" w14:textId="77777777" w:rsidR="00DD0D91" w:rsidRPr="00A63840" w:rsidRDefault="00DD0D91" w:rsidP="009A63EE">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Lead screws with worm-gear actuation adjust float height, controlling buoyancy and restoring forces (Figure 7). Screw sizing and torque were calculated to ensure precise operation.</w:t>
      </w:r>
    </w:p>
    <w:p w14:paraId="3F775B36" w14:textId="77777777" w:rsidR="00DD0D91" w:rsidRPr="00A63840" w:rsidRDefault="00DD0D91" w:rsidP="009A63EE">
      <w:pPr>
        <w:pStyle w:val="NormalWeb"/>
        <w:spacing w:before="0" w:beforeAutospacing="0" w:after="0" w:afterAutospacing="0"/>
        <w:jc w:val="both"/>
        <w:rPr>
          <w:rFonts w:ascii="Arial" w:hAnsi="Arial" w:cs="Arial"/>
          <w:sz w:val="20"/>
          <w:szCs w:val="20"/>
        </w:rPr>
      </w:pPr>
    </w:p>
    <w:p w14:paraId="60F2F7EA" w14:textId="77777777" w:rsidR="00DD0D91" w:rsidRPr="00A63840" w:rsidRDefault="00DD0D91" w:rsidP="009A63EE">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noProof/>
          <w:sz w:val="20"/>
          <w:szCs w:val="20"/>
          <w:lang w:val="en-US" w:eastAsia="en-US"/>
        </w:rPr>
        <w:drawing>
          <wp:inline distT="0" distB="0" distL="0" distR="0" wp14:anchorId="2404BBC5" wp14:editId="64A43095">
            <wp:extent cx="2863806" cy="13487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638" cy="1356667"/>
                    </a:xfrm>
                    <a:prstGeom prst="rect">
                      <a:avLst/>
                    </a:prstGeom>
                    <a:noFill/>
                  </pic:spPr>
                </pic:pic>
              </a:graphicData>
            </a:graphic>
          </wp:inline>
        </w:drawing>
      </w:r>
    </w:p>
    <w:p w14:paraId="641DA8EB" w14:textId="77777777" w:rsidR="00DD0D91" w:rsidRPr="00A63840" w:rsidRDefault="00DD0D91" w:rsidP="00DD0D91">
      <w:pPr>
        <w:pStyle w:val="NormalWeb"/>
        <w:spacing w:before="0" w:beforeAutospacing="0" w:after="0" w:afterAutospacing="0"/>
        <w:jc w:val="center"/>
        <w:rPr>
          <w:rFonts w:ascii="Arial" w:hAnsi="Arial" w:cs="Arial"/>
          <w:b/>
          <w:bCs/>
          <w:sz w:val="20"/>
          <w:szCs w:val="20"/>
        </w:rPr>
      </w:pPr>
      <w:r w:rsidRPr="00A63840">
        <w:rPr>
          <w:rStyle w:val="Strong"/>
          <w:rFonts w:ascii="Arial" w:hAnsi="Arial" w:cs="Arial"/>
          <w:sz w:val="20"/>
          <w:szCs w:val="20"/>
        </w:rPr>
        <w:t>Figure 7. ACME Power Screw and Worm Gear Mechanism</w:t>
      </w:r>
    </w:p>
    <w:p w14:paraId="60E62233" w14:textId="77777777" w:rsidR="00DD0D91" w:rsidRPr="00A63840" w:rsidRDefault="00DD0D91" w:rsidP="00DD0D91">
      <w:pPr>
        <w:pStyle w:val="Heading3"/>
        <w:spacing w:before="0"/>
        <w:rPr>
          <w:rFonts w:ascii="Arial" w:hAnsi="Arial" w:cs="Arial"/>
          <w:b/>
          <w:bCs/>
          <w:color w:val="auto"/>
          <w:sz w:val="20"/>
          <w:szCs w:val="20"/>
        </w:rPr>
      </w:pPr>
    </w:p>
    <w:p w14:paraId="77BAEEC4" w14:textId="41CE5E4C" w:rsidR="00DD0D91" w:rsidRPr="00A63840" w:rsidRDefault="00AB185D" w:rsidP="00DD0D91">
      <w:pPr>
        <w:pStyle w:val="Heading3"/>
        <w:spacing w:before="0"/>
        <w:rPr>
          <w:rFonts w:ascii="Arial" w:hAnsi="Arial" w:cs="Arial"/>
          <w:b/>
          <w:bCs/>
          <w:color w:val="auto"/>
          <w:sz w:val="20"/>
          <w:szCs w:val="20"/>
        </w:rPr>
      </w:pPr>
      <w:r w:rsidRPr="00A63840">
        <w:rPr>
          <w:rFonts w:ascii="Arial" w:hAnsi="Arial" w:cs="Arial"/>
          <w:b/>
          <w:bCs/>
          <w:color w:val="auto"/>
          <w:sz w:val="20"/>
          <w:szCs w:val="20"/>
        </w:rPr>
        <w:t>3</w:t>
      </w:r>
      <w:r w:rsidR="00DD0D91" w:rsidRPr="00A63840">
        <w:rPr>
          <w:rFonts w:ascii="Arial" w:hAnsi="Arial" w:cs="Arial"/>
          <w:b/>
          <w:bCs/>
          <w:color w:val="auto"/>
          <w:sz w:val="20"/>
          <w:szCs w:val="20"/>
        </w:rPr>
        <w:t>.2.5. Power Take-Off System</w:t>
      </w:r>
    </w:p>
    <w:p w14:paraId="5966D927" w14:textId="77777777" w:rsidR="00DD0D91" w:rsidRPr="00A63840" w:rsidRDefault="00DD0D91" w:rsidP="009A63EE">
      <w:pPr>
        <w:pStyle w:val="NormalWeb"/>
        <w:spacing w:before="0" w:beforeAutospacing="0" w:after="0" w:afterAutospacing="0"/>
        <w:jc w:val="both"/>
        <w:rPr>
          <w:rStyle w:val="katex-mathml"/>
          <w:rFonts w:ascii="Arial" w:eastAsiaTheme="majorEastAsia" w:hAnsi="Arial" w:cs="Arial"/>
          <w:sz w:val="20"/>
          <w:szCs w:val="20"/>
        </w:rPr>
      </w:pPr>
      <w:r w:rsidRPr="00A63840">
        <w:rPr>
          <w:rFonts w:ascii="Arial" w:hAnsi="Arial" w:cs="Arial"/>
          <w:sz w:val="20"/>
          <w:szCs w:val="20"/>
        </w:rPr>
        <w:t xml:space="preserve">The </w:t>
      </w:r>
      <w:r w:rsidRPr="00A63840">
        <w:rPr>
          <w:rStyle w:val="Strong"/>
          <w:rFonts w:ascii="Arial" w:hAnsi="Arial" w:cs="Arial"/>
          <w:b w:val="0"/>
          <w:bCs w:val="0"/>
          <w:sz w:val="20"/>
          <w:szCs w:val="20"/>
        </w:rPr>
        <w:t>direct-drive PTO</w:t>
      </w:r>
      <w:r w:rsidRPr="00A63840">
        <w:rPr>
          <w:rFonts w:ascii="Arial" w:hAnsi="Arial" w:cs="Arial"/>
          <w:sz w:val="20"/>
          <w:szCs w:val="20"/>
        </w:rPr>
        <w:t xml:space="preserve"> (Figure 8) converts relative heave motion into electricity, minimizing mechanical losses. Wave parameters A is 1.5 m and T is 10 s produce a maximum force of 42.05 </w:t>
      </w:r>
      <w:proofErr w:type="spellStart"/>
      <w:r w:rsidRPr="00A63840">
        <w:rPr>
          <w:rFonts w:ascii="Arial" w:hAnsi="Arial" w:cs="Arial"/>
          <w:sz w:val="20"/>
          <w:szCs w:val="20"/>
        </w:rPr>
        <w:t>kN</w:t>
      </w:r>
      <w:proofErr w:type="spellEnd"/>
      <w:r w:rsidRPr="00A63840">
        <w:rPr>
          <w:rFonts w:ascii="Arial" w:hAnsi="Arial" w:cs="Arial"/>
          <w:sz w:val="20"/>
          <w:szCs w:val="20"/>
        </w:rPr>
        <w:t xml:space="preserve">, with dynamic properties </w:t>
      </w:r>
      <w:proofErr w:type="spellStart"/>
      <w:r w:rsidRPr="00A63840">
        <w:rPr>
          <w:rStyle w:val="katex-mathml"/>
          <w:rFonts w:ascii="Arial" w:hAnsi="Arial" w:cs="Arial"/>
          <w:sz w:val="20"/>
          <w:szCs w:val="20"/>
        </w:rPr>
        <w:t>K</w:t>
      </w:r>
      <w:r w:rsidRPr="00A63840">
        <w:rPr>
          <w:rStyle w:val="katex-mathml"/>
          <w:rFonts w:ascii="Arial" w:hAnsi="Arial" w:cs="Arial"/>
          <w:sz w:val="20"/>
          <w:szCs w:val="20"/>
          <w:vertAlign w:val="subscript"/>
        </w:rPr>
        <w:t>d</w:t>
      </w:r>
      <w:proofErr w:type="spellEnd"/>
      <w:r w:rsidRPr="00A63840">
        <w:rPr>
          <w:rStyle w:val="katex-mathml"/>
          <w:rFonts w:ascii="Arial" w:eastAsiaTheme="majorEastAsia" w:hAnsi="Arial" w:cs="Arial"/>
          <w:sz w:val="20"/>
          <w:szCs w:val="20"/>
          <w:vertAlign w:val="subscript"/>
        </w:rPr>
        <w:t xml:space="preserve"> </w:t>
      </w:r>
      <w:r w:rsidRPr="00A63840">
        <w:rPr>
          <w:rFonts w:ascii="Arial" w:hAnsi="Arial" w:cs="Arial"/>
          <w:sz w:val="20"/>
          <w:szCs w:val="20"/>
        </w:rPr>
        <w:t xml:space="preserve">is </w:t>
      </w:r>
      <w:r w:rsidRPr="00A63840">
        <w:rPr>
          <w:rStyle w:val="katex-mathml"/>
          <w:rFonts w:ascii="Arial" w:hAnsi="Arial" w:cs="Arial"/>
          <w:sz w:val="20"/>
          <w:szCs w:val="20"/>
        </w:rPr>
        <w:t>173,817.79 N/m,</w:t>
      </w:r>
      <w:r w:rsidRPr="00A63840">
        <w:rPr>
          <w:rStyle w:val="katex-mathml"/>
          <w:rFonts w:ascii="Arial" w:eastAsiaTheme="majorEastAsia" w:hAnsi="Arial" w:cs="Arial"/>
          <w:sz w:val="20"/>
          <w:szCs w:val="20"/>
        </w:rPr>
        <w:t xml:space="preserve"> </w:t>
      </w:r>
      <w:proofErr w:type="spellStart"/>
      <w:r w:rsidRPr="00A63840">
        <w:rPr>
          <w:rStyle w:val="katex-mathml"/>
          <w:rFonts w:ascii="Arial" w:hAnsi="Arial" w:cs="Arial"/>
          <w:sz w:val="20"/>
          <w:szCs w:val="20"/>
        </w:rPr>
        <w:t>ω</w:t>
      </w:r>
      <w:r w:rsidRPr="00A63840">
        <w:rPr>
          <w:rStyle w:val="katex-mathml"/>
          <w:rFonts w:ascii="Arial" w:hAnsi="Arial" w:cs="Arial"/>
          <w:sz w:val="20"/>
          <w:szCs w:val="20"/>
          <w:vertAlign w:val="subscript"/>
        </w:rPr>
        <w:t>n</w:t>
      </w:r>
      <w:proofErr w:type="spellEnd"/>
      <w:r w:rsidRPr="00A63840">
        <w:rPr>
          <w:rStyle w:val="katex-mathml"/>
          <w:rFonts w:ascii="Arial" w:eastAsiaTheme="majorEastAsia" w:hAnsi="Arial" w:cs="Arial"/>
          <w:sz w:val="20"/>
          <w:szCs w:val="20"/>
        </w:rPr>
        <w:t xml:space="preserve"> </w:t>
      </w:r>
      <w:r w:rsidRPr="00A63840">
        <w:rPr>
          <w:rFonts w:ascii="Arial" w:hAnsi="Arial" w:cs="Arial"/>
          <w:sz w:val="20"/>
          <w:szCs w:val="20"/>
        </w:rPr>
        <w:t xml:space="preserve">is </w:t>
      </w:r>
      <w:r w:rsidRPr="00A63840">
        <w:rPr>
          <w:rStyle w:val="katex-mathml"/>
          <w:rFonts w:ascii="Arial" w:hAnsi="Arial" w:cs="Arial"/>
          <w:sz w:val="20"/>
          <w:szCs w:val="20"/>
        </w:rPr>
        <w:t>5.4277 rad/s,</w:t>
      </w:r>
      <w:r w:rsidRPr="00A63840">
        <w:rPr>
          <w:rStyle w:val="katex-mathml"/>
          <w:rFonts w:ascii="Arial" w:eastAsiaTheme="majorEastAsia" w:hAnsi="Arial" w:cs="Arial"/>
          <w:sz w:val="20"/>
          <w:szCs w:val="20"/>
        </w:rPr>
        <w:t xml:space="preserve"> while </w:t>
      </w:r>
      <w:r w:rsidRPr="00A63840">
        <w:rPr>
          <w:rStyle w:val="katex-mathml"/>
          <w:rFonts w:ascii="Arial" w:hAnsi="Arial" w:cs="Arial"/>
          <w:sz w:val="20"/>
          <w:szCs w:val="20"/>
        </w:rPr>
        <w:t>ζ=</w:t>
      </w:r>
      <w:r w:rsidRPr="00A63840">
        <w:rPr>
          <w:rStyle w:val="katex-mathml"/>
          <w:rFonts w:ascii="Arial" w:eastAsiaTheme="majorEastAsia" w:hAnsi="Arial" w:cs="Arial"/>
          <w:sz w:val="20"/>
          <w:szCs w:val="20"/>
        </w:rPr>
        <w:t xml:space="preserve"> </w:t>
      </w:r>
      <w:r w:rsidRPr="00A63840">
        <w:rPr>
          <w:rStyle w:val="katex-mathml"/>
          <w:rFonts w:ascii="Arial" w:hAnsi="Arial" w:cs="Arial"/>
          <w:sz w:val="20"/>
          <w:szCs w:val="20"/>
        </w:rPr>
        <w:t>0.15</w:t>
      </w:r>
      <w:r w:rsidRPr="00A63840">
        <w:rPr>
          <w:rStyle w:val="katex-mathml"/>
          <w:rFonts w:ascii="Arial" w:eastAsiaTheme="majorEastAsia" w:hAnsi="Arial" w:cs="Arial"/>
          <w:sz w:val="20"/>
          <w:szCs w:val="20"/>
        </w:rPr>
        <w:t>.</w:t>
      </w:r>
    </w:p>
    <w:p w14:paraId="59A5820F" w14:textId="77777777" w:rsidR="00DD0D91" w:rsidRPr="00A63840" w:rsidRDefault="00DD0D91" w:rsidP="009A63EE">
      <w:pPr>
        <w:pStyle w:val="NormalWeb"/>
        <w:spacing w:before="0" w:beforeAutospacing="0" w:after="0" w:afterAutospacing="0"/>
        <w:jc w:val="center"/>
        <w:rPr>
          <w:rFonts w:ascii="Arial" w:hAnsi="Arial" w:cs="Arial"/>
          <w:sz w:val="20"/>
          <w:szCs w:val="20"/>
        </w:rPr>
      </w:pPr>
    </w:p>
    <w:p w14:paraId="3D7B71EF" w14:textId="77777777" w:rsidR="00DD0D91" w:rsidRPr="00A63840" w:rsidRDefault="00DD0D91" w:rsidP="009A63EE">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noProof/>
          <w:sz w:val="20"/>
          <w:szCs w:val="20"/>
          <w:lang w:val="en-US" w:eastAsia="en-US"/>
        </w:rPr>
        <w:lastRenderedPageBreak/>
        <w:drawing>
          <wp:inline distT="0" distB="0" distL="0" distR="0" wp14:anchorId="09E8B0EE" wp14:editId="3ED8440C">
            <wp:extent cx="3141784" cy="1553845"/>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7427" cy="1571473"/>
                    </a:xfrm>
                    <a:prstGeom prst="rect">
                      <a:avLst/>
                    </a:prstGeom>
                    <a:noFill/>
                  </pic:spPr>
                </pic:pic>
              </a:graphicData>
            </a:graphic>
          </wp:inline>
        </w:drawing>
      </w:r>
    </w:p>
    <w:p w14:paraId="43CEBAA9" w14:textId="77777777" w:rsidR="00DD0D91" w:rsidRPr="00A63840" w:rsidRDefault="00DD0D91" w:rsidP="009A63EE">
      <w:pPr>
        <w:pStyle w:val="NormalWeb"/>
        <w:spacing w:before="0" w:beforeAutospacing="0" w:after="0" w:afterAutospacing="0"/>
        <w:jc w:val="center"/>
        <w:rPr>
          <w:rFonts w:ascii="Arial" w:hAnsi="Arial" w:cs="Arial"/>
          <w:b/>
          <w:bCs/>
          <w:sz w:val="20"/>
          <w:szCs w:val="20"/>
        </w:rPr>
      </w:pPr>
      <w:r w:rsidRPr="00A63840">
        <w:rPr>
          <w:rStyle w:val="Strong"/>
          <w:rFonts w:ascii="Arial" w:hAnsi="Arial" w:cs="Arial"/>
          <w:sz w:val="20"/>
          <w:szCs w:val="20"/>
        </w:rPr>
        <w:t>Figure 8. Direct-Drive PTO System Schematic</w:t>
      </w:r>
    </w:p>
    <w:p w14:paraId="6CDBC141" w14:textId="77777777" w:rsidR="00DD0D91" w:rsidRPr="00A63840" w:rsidRDefault="00DD0D91" w:rsidP="009A63EE">
      <w:pPr>
        <w:pStyle w:val="Heading3"/>
        <w:spacing w:before="0"/>
        <w:jc w:val="both"/>
        <w:rPr>
          <w:rFonts w:ascii="Arial" w:hAnsi="Arial" w:cs="Arial"/>
          <w:b/>
          <w:bCs/>
          <w:color w:val="auto"/>
          <w:sz w:val="20"/>
          <w:szCs w:val="20"/>
        </w:rPr>
      </w:pPr>
    </w:p>
    <w:p w14:paraId="4591CEFA" w14:textId="77777777" w:rsidR="00DD0D91" w:rsidRPr="00A63840" w:rsidRDefault="00DD0D91" w:rsidP="009A63EE">
      <w:pPr>
        <w:pStyle w:val="Heading3"/>
        <w:spacing w:before="0"/>
        <w:jc w:val="both"/>
        <w:rPr>
          <w:rFonts w:ascii="Arial" w:hAnsi="Arial" w:cs="Arial"/>
          <w:b/>
          <w:bCs/>
          <w:color w:val="auto"/>
          <w:sz w:val="20"/>
          <w:szCs w:val="20"/>
        </w:rPr>
      </w:pPr>
      <w:r w:rsidRPr="00A63840">
        <w:rPr>
          <w:rFonts w:ascii="Arial" w:hAnsi="Arial" w:cs="Arial"/>
          <w:b/>
          <w:bCs/>
          <w:color w:val="auto"/>
          <w:sz w:val="20"/>
          <w:szCs w:val="20"/>
        </w:rPr>
        <w:t>Corrosion Protection and Durability</w:t>
      </w:r>
    </w:p>
    <w:p w14:paraId="05BE2A1C" w14:textId="77777777" w:rsidR="00DD0D91" w:rsidRPr="00A63840" w:rsidRDefault="00DD0D91" w:rsidP="009A63EE">
      <w:pPr>
        <w:pStyle w:val="NormalWeb"/>
        <w:numPr>
          <w:ilvl w:val="0"/>
          <w:numId w:val="39"/>
        </w:numPr>
        <w:spacing w:before="0" w:beforeAutospacing="0" w:after="0" w:afterAutospacing="0"/>
        <w:jc w:val="both"/>
        <w:rPr>
          <w:rFonts w:ascii="Arial" w:hAnsi="Arial" w:cs="Arial"/>
          <w:sz w:val="20"/>
          <w:szCs w:val="20"/>
        </w:rPr>
      </w:pPr>
      <w:r w:rsidRPr="00A63840">
        <w:rPr>
          <w:rStyle w:val="Strong"/>
          <w:rFonts w:ascii="Arial" w:hAnsi="Arial" w:cs="Arial"/>
          <w:b w:val="0"/>
          <w:bCs w:val="0"/>
          <w:sz w:val="20"/>
          <w:szCs w:val="20"/>
        </w:rPr>
        <w:t>Sacrificial zinc anodes</w:t>
      </w:r>
      <w:r w:rsidRPr="00A63840">
        <w:rPr>
          <w:rFonts w:ascii="Arial" w:hAnsi="Arial" w:cs="Arial"/>
          <w:sz w:val="20"/>
          <w:szCs w:val="20"/>
        </w:rPr>
        <w:t xml:space="preserve"> for cathodic protection.</w:t>
      </w:r>
    </w:p>
    <w:p w14:paraId="6B622D1D" w14:textId="77777777" w:rsidR="00DD0D91" w:rsidRPr="00A63840" w:rsidRDefault="00DD0D91" w:rsidP="009A63EE">
      <w:pPr>
        <w:pStyle w:val="NormalWeb"/>
        <w:numPr>
          <w:ilvl w:val="0"/>
          <w:numId w:val="39"/>
        </w:numPr>
        <w:spacing w:before="0" w:beforeAutospacing="0" w:after="0" w:afterAutospacing="0"/>
        <w:jc w:val="both"/>
        <w:rPr>
          <w:rFonts w:ascii="Arial" w:hAnsi="Arial" w:cs="Arial"/>
          <w:sz w:val="20"/>
          <w:szCs w:val="20"/>
        </w:rPr>
      </w:pPr>
      <w:r w:rsidRPr="00A63840">
        <w:rPr>
          <w:rStyle w:val="Strong"/>
          <w:rFonts w:ascii="Arial" w:hAnsi="Arial" w:cs="Arial"/>
          <w:b w:val="0"/>
          <w:bCs w:val="0"/>
          <w:sz w:val="20"/>
          <w:szCs w:val="20"/>
        </w:rPr>
        <w:t>316L stainless steel</w:t>
      </w:r>
      <w:r w:rsidRPr="00A63840">
        <w:rPr>
          <w:rFonts w:ascii="Arial" w:hAnsi="Arial" w:cs="Arial"/>
          <w:sz w:val="20"/>
          <w:szCs w:val="20"/>
        </w:rPr>
        <w:t xml:space="preserve"> for exposed screws with marine-grade lubrication.</w:t>
      </w:r>
    </w:p>
    <w:p w14:paraId="3069B389" w14:textId="77777777" w:rsidR="00DD0D91" w:rsidRPr="00A63840" w:rsidRDefault="00DD0D91" w:rsidP="00DD0D91">
      <w:pPr>
        <w:pStyle w:val="NormalWeb"/>
        <w:numPr>
          <w:ilvl w:val="0"/>
          <w:numId w:val="39"/>
        </w:numPr>
        <w:spacing w:before="0" w:beforeAutospacing="0" w:after="0" w:afterAutospacing="0"/>
        <w:jc w:val="both"/>
        <w:rPr>
          <w:rFonts w:ascii="Arial" w:hAnsi="Arial" w:cs="Arial"/>
          <w:sz w:val="20"/>
          <w:szCs w:val="20"/>
        </w:rPr>
      </w:pPr>
      <w:r w:rsidRPr="00A63840">
        <w:rPr>
          <w:rStyle w:val="Strong"/>
          <w:rFonts w:ascii="Arial" w:hAnsi="Arial" w:cs="Arial"/>
          <w:b w:val="0"/>
          <w:bCs w:val="0"/>
          <w:sz w:val="20"/>
          <w:szCs w:val="20"/>
        </w:rPr>
        <w:t>Multi-layer epoxy and antifouling coatings</w:t>
      </w:r>
      <w:r w:rsidRPr="00A63840">
        <w:rPr>
          <w:rFonts w:ascii="Arial" w:hAnsi="Arial" w:cs="Arial"/>
          <w:sz w:val="20"/>
          <w:szCs w:val="20"/>
        </w:rPr>
        <w:t xml:space="preserve"> to prevent biofouling and surface degradation.</w:t>
      </w:r>
    </w:p>
    <w:p w14:paraId="62196E4D" w14:textId="77777777" w:rsidR="00DD0D91" w:rsidRPr="00A63840" w:rsidRDefault="00DD0D91" w:rsidP="00DD0D91">
      <w:pPr>
        <w:pStyle w:val="NormalWeb"/>
        <w:spacing w:before="0" w:beforeAutospacing="0" w:after="0" w:afterAutospacing="0"/>
        <w:jc w:val="both"/>
        <w:rPr>
          <w:rStyle w:val="Strong"/>
          <w:rFonts w:ascii="Arial" w:hAnsi="Arial" w:cs="Arial"/>
          <w:sz w:val="20"/>
          <w:szCs w:val="20"/>
        </w:rPr>
      </w:pPr>
    </w:p>
    <w:p w14:paraId="04A97085" w14:textId="22AE2844" w:rsidR="00DD0D91" w:rsidRPr="00A63840" w:rsidRDefault="0035504C" w:rsidP="0035504C">
      <w:pPr>
        <w:pStyle w:val="Heading1"/>
        <w:numPr>
          <w:ilvl w:val="0"/>
          <w:numId w:val="32"/>
        </w:numPr>
        <w:spacing w:before="0" w:after="0"/>
        <w:contextualSpacing/>
        <w:rPr>
          <w:rFonts w:cs="Arial"/>
          <w:sz w:val="22"/>
          <w:szCs w:val="22"/>
        </w:rPr>
      </w:pPr>
      <w:r w:rsidRPr="00A63840">
        <w:rPr>
          <w:rFonts w:cs="Arial"/>
          <w:sz w:val="22"/>
          <w:szCs w:val="22"/>
        </w:rPr>
        <w:t>NUMERICAL SIMULATION AND HYDRODYNAMIC MODELING OF THE WAVE ENERGY CONVERTER</w:t>
      </w:r>
    </w:p>
    <w:p w14:paraId="1DA1F60F" w14:textId="3113BA8B" w:rsidR="00DD0D91" w:rsidRPr="00A63840" w:rsidRDefault="00AB185D" w:rsidP="00DD0D91">
      <w:pPr>
        <w:pStyle w:val="Heading2"/>
        <w:spacing w:before="0"/>
        <w:contextualSpacing/>
        <w:rPr>
          <w:rFonts w:ascii="Arial" w:hAnsi="Arial" w:cs="Arial"/>
          <w:b/>
          <w:bCs/>
          <w:color w:val="auto"/>
          <w:sz w:val="20"/>
          <w:szCs w:val="20"/>
        </w:rPr>
      </w:pPr>
      <w:r w:rsidRPr="00A63840">
        <w:rPr>
          <w:rFonts w:ascii="Arial" w:hAnsi="Arial" w:cs="Arial"/>
          <w:b/>
          <w:bCs/>
          <w:color w:val="auto"/>
          <w:sz w:val="20"/>
          <w:szCs w:val="20"/>
        </w:rPr>
        <w:t>4</w:t>
      </w:r>
      <w:r w:rsidR="00DD0D91" w:rsidRPr="00A63840">
        <w:rPr>
          <w:rFonts w:ascii="Arial" w:hAnsi="Arial" w:cs="Arial"/>
          <w:b/>
          <w:bCs/>
          <w:color w:val="auto"/>
          <w:sz w:val="20"/>
          <w:szCs w:val="20"/>
        </w:rPr>
        <w:t>.1 Geometry Preparation and Model Simplification</w:t>
      </w:r>
    </w:p>
    <w:p w14:paraId="69696A19" w14:textId="77777777" w:rsidR="00DD0D91" w:rsidRPr="00A63840" w:rsidRDefault="00DD0D91" w:rsidP="00DD0D91">
      <w:pPr>
        <w:pStyle w:val="NormalWeb"/>
        <w:spacing w:before="0" w:beforeAutospacing="0" w:after="0" w:afterAutospacing="0"/>
        <w:contextualSpacing/>
        <w:jc w:val="both"/>
        <w:rPr>
          <w:rFonts w:ascii="Arial" w:hAnsi="Arial" w:cs="Arial"/>
          <w:sz w:val="20"/>
          <w:szCs w:val="20"/>
        </w:rPr>
      </w:pPr>
      <w:r w:rsidRPr="00A63840">
        <w:rPr>
          <w:rFonts w:ascii="Arial" w:hAnsi="Arial" w:cs="Arial"/>
          <w:sz w:val="20"/>
          <w:szCs w:val="20"/>
        </w:rPr>
        <w:t>To enable accurate hydrodynamic simulation while complying with computational constraints imposed by the student version of ANSYS AQWA, a simplified representation of the wave energy converter (WEC) geometry was developed in SolidWorks (Figure 9). The simplified model preserved all externally wetted surfaces relevant to wave–structure interaction while eliminating non-essential internal details to reduce mesh complexity.</w:t>
      </w:r>
    </w:p>
    <w:p w14:paraId="0C183A52" w14:textId="77777777" w:rsidR="00DD0D91" w:rsidRPr="00A63840" w:rsidRDefault="00DD0D91" w:rsidP="00DD0D91">
      <w:pPr>
        <w:pStyle w:val="NormalWeb"/>
        <w:spacing w:before="0" w:beforeAutospacing="0" w:after="0" w:afterAutospacing="0"/>
        <w:contextualSpacing/>
        <w:jc w:val="both"/>
        <w:rPr>
          <w:rFonts w:ascii="Arial" w:hAnsi="Arial" w:cs="Arial"/>
          <w:sz w:val="20"/>
          <w:szCs w:val="20"/>
        </w:rPr>
      </w:pPr>
      <w:r w:rsidRPr="00A63840">
        <w:rPr>
          <w:rFonts w:ascii="Arial" w:hAnsi="Arial" w:cs="Arial"/>
          <w:sz w:val="20"/>
          <w:szCs w:val="20"/>
        </w:rPr>
        <w:t>The finalized geometry was exported as a STEP file and imported into the ANSYS environment. The model orientation was adjusted to align the vertical axis with the global Z-direction, after which it was translated such that, the mean free surface intersected the geometry at the anticipated waterline. A thin-surface extraction process was applied to ensure only external wetted surfaces were retained, preventing solver errors associated with volumetric thickness. The model was then partitioned into submerged and above-water components to support independent hydrodynamic property assignment.</w:t>
      </w:r>
    </w:p>
    <w:p w14:paraId="18820B39" w14:textId="77777777" w:rsidR="00DD0D91" w:rsidRPr="00A63840" w:rsidRDefault="00DD0D91" w:rsidP="00DD0D91">
      <w:pPr>
        <w:pStyle w:val="NormalWeb"/>
        <w:spacing w:before="0" w:beforeAutospacing="0" w:after="0" w:afterAutospacing="0"/>
        <w:contextualSpacing/>
        <w:jc w:val="both"/>
        <w:rPr>
          <w:rFonts w:ascii="Arial" w:hAnsi="Arial" w:cs="Arial"/>
          <w:sz w:val="20"/>
          <w:szCs w:val="20"/>
        </w:rPr>
      </w:pPr>
    </w:p>
    <w:p w14:paraId="4FF53C5C" w14:textId="77777777" w:rsidR="00DD0D91" w:rsidRPr="00A63840" w:rsidRDefault="00DD0D91" w:rsidP="00DD0D91">
      <w:pPr>
        <w:pStyle w:val="NormalWeb"/>
        <w:spacing w:before="0" w:beforeAutospacing="0" w:after="0" w:afterAutospacing="0"/>
        <w:contextualSpacing/>
        <w:jc w:val="center"/>
        <w:rPr>
          <w:rStyle w:val="Strong"/>
          <w:rFonts w:ascii="Arial" w:hAnsi="Arial" w:cs="Arial"/>
          <w:sz w:val="20"/>
          <w:szCs w:val="20"/>
        </w:rPr>
      </w:pPr>
      <w:r w:rsidRPr="00A63840">
        <w:rPr>
          <w:rStyle w:val="Strong"/>
          <w:rFonts w:ascii="Arial" w:hAnsi="Arial" w:cs="Arial"/>
          <w:noProof/>
          <w:sz w:val="20"/>
          <w:szCs w:val="20"/>
          <w:lang w:val="en-US" w:eastAsia="en-US"/>
        </w:rPr>
        <w:drawing>
          <wp:inline distT="0" distB="0" distL="0" distR="0" wp14:anchorId="09B752EF" wp14:editId="08FF50B2">
            <wp:extent cx="2953089" cy="1403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3357" cy="1431990"/>
                    </a:xfrm>
                    <a:prstGeom prst="rect">
                      <a:avLst/>
                    </a:prstGeom>
                    <a:noFill/>
                  </pic:spPr>
                </pic:pic>
              </a:graphicData>
            </a:graphic>
          </wp:inline>
        </w:drawing>
      </w:r>
    </w:p>
    <w:p w14:paraId="0E19672C" w14:textId="77777777" w:rsidR="00DD0D91" w:rsidRPr="00A63840" w:rsidRDefault="00DD0D91" w:rsidP="00DD0D91">
      <w:pPr>
        <w:pStyle w:val="NormalWeb"/>
        <w:spacing w:before="0" w:beforeAutospacing="0" w:after="0" w:afterAutospacing="0"/>
        <w:contextualSpacing/>
        <w:jc w:val="center"/>
        <w:rPr>
          <w:rFonts w:ascii="Arial" w:hAnsi="Arial" w:cs="Arial"/>
          <w:sz w:val="20"/>
          <w:szCs w:val="20"/>
        </w:rPr>
      </w:pPr>
      <w:r w:rsidRPr="00A63840">
        <w:rPr>
          <w:rStyle w:val="Strong"/>
          <w:rFonts w:ascii="Arial" w:hAnsi="Arial" w:cs="Arial"/>
          <w:sz w:val="20"/>
          <w:szCs w:val="20"/>
        </w:rPr>
        <w:t>Figure 9. Simplified WEC geometry prepared for AQWA analysis</w:t>
      </w:r>
    </w:p>
    <w:p w14:paraId="7F97BCFA" w14:textId="5B05BE17" w:rsidR="00DD0D91" w:rsidRPr="00A63840" w:rsidRDefault="00AB185D" w:rsidP="00DD0D91">
      <w:pPr>
        <w:pStyle w:val="Heading2"/>
        <w:spacing w:before="0"/>
        <w:contextualSpacing/>
        <w:rPr>
          <w:rFonts w:ascii="Arial" w:hAnsi="Arial" w:cs="Arial"/>
          <w:b/>
          <w:bCs/>
          <w:color w:val="auto"/>
          <w:sz w:val="20"/>
          <w:szCs w:val="20"/>
        </w:rPr>
      </w:pPr>
      <w:r w:rsidRPr="00A63840">
        <w:rPr>
          <w:rFonts w:ascii="Arial" w:hAnsi="Arial" w:cs="Arial"/>
          <w:b/>
          <w:bCs/>
          <w:color w:val="auto"/>
          <w:sz w:val="20"/>
          <w:szCs w:val="20"/>
        </w:rPr>
        <w:t>4</w:t>
      </w:r>
      <w:r w:rsidR="00DD0D91" w:rsidRPr="00A63840">
        <w:rPr>
          <w:rFonts w:ascii="Arial" w:hAnsi="Arial" w:cs="Arial"/>
          <w:b/>
          <w:bCs/>
          <w:color w:val="auto"/>
          <w:sz w:val="20"/>
          <w:szCs w:val="20"/>
        </w:rPr>
        <w:t>.2 Mesh Generation</w:t>
      </w:r>
    </w:p>
    <w:p w14:paraId="7B39B349" w14:textId="77777777" w:rsidR="00DD0D91" w:rsidRPr="00A63840" w:rsidRDefault="00DD0D91" w:rsidP="0035504C">
      <w:pPr>
        <w:pStyle w:val="NormalWeb"/>
        <w:spacing w:before="0" w:beforeAutospacing="0" w:after="0" w:afterAutospacing="0"/>
        <w:contextualSpacing/>
        <w:jc w:val="both"/>
        <w:rPr>
          <w:rFonts w:ascii="Arial" w:hAnsi="Arial" w:cs="Arial"/>
          <w:sz w:val="20"/>
          <w:szCs w:val="20"/>
        </w:rPr>
      </w:pPr>
      <w:r w:rsidRPr="00A63840">
        <w:rPr>
          <w:rFonts w:ascii="Arial" w:hAnsi="Arial" w:cs="Arial"/>
          <w:sz w:val="20"/>
          <w:szCs w:val="20"/>
        </w:rPr>
        <w:t>Surface meshing was performed using quadrilateral elements (Figure 10). Mesh density was refined iteratively through a trial-and-error process to ensure that the total element count remained below the 2,000-element limit while maintaining adequate geometric fidelity and numerical stability.</w:t>
      </w:r>
    </w:p>
    <w:p w14:paraId="6F9FEA15" w14:textId="77777777" w:rsidR="00DD0D91" w:rsidRPr="00A63840" w:rsidRDefault="00DD0D91" w:rsidP="0035504C">
      <w:pPr>
        <w:pStyle w:val="NormalWeb"/>
        <w:spacing w:before="0" w:beforeAutospacing="0" w:after="0" w:afterAutospacing="0"/>
        <w:contextualSpacing/>
        <w:jc w:val="both"/>
        <w:rPr>
          <w:rFonts w:ascii="Arial" w:hAnsi="Arial" w:cs="Arial"/>
          <w:sz w:val="20"/>
          <w:szCs w:val="20"/>
        </w:rPr>
      </w:pPr>
      <w:r w:rsidRPr="00A63840">
        <w:rPr>
          <w:rFonts w:ascii="Arial" w:hAnsi="Arial" w:cs="Arial"/>
          <w:sz w:val="20"/>
          <w:szCs w:val="20"/>
        </w:rPr>
        <w:t>This approach ensured a balance between computational efficiency and hydrodynamic solution accuracy.</w:t>
      </w:r>
    </w:p>
    <w:p w14:paraId="64E41D7D" w14:textId="77777777" w:rsidR="00DD0D91" w:rsidRPr="00A63840" w:rsidRDefault="00DD0D91" w:rsidP="0035504C">
      <w:pPr>
        <w:pStyle w:val="NormalWeb"/>
        <w:spacing w:before="0" w:beforeAutospacing="0" w:after="0" w:afterAutospacing="0"/>
        <w:contextualSpacing/>
        <w:jc w:val="both"/>
        <w:rPr>
          <w:rFonts w:ascii="Arial" w:hAnsi="Arial" w:cs="Arial"/>
          <w:sz w:val="20"/>
          <w:szCs w:val="20"/>
        </w:rPr>
      </w:pPr>
    </w:p>
    <w:p w14:paraId="1E4C39FA" w14:textId="77777777" w:rsidR="00DD0D91" w:rsidRPr="00A63840" w:rsidRDefault="00DD0D91" w:rsidP="00DD0D91">
      <w:pPr>
        <w:pStyle w:val="NormalWeb"/>
        <w:spacing w:before="0" w:beforeAutospacing="0" w:after="0" w:afterAutospacing="0"/>
        <w:contextualSpacing/>
        <w:jc w:val="center"/>
        <w:rPr>
          <w:rStyle w:val="Strong"/>
          <w:rFonts w:ascii="Arial" w:hAnsi="Arial" w:cs="Arial"/>
          <w:sz w:val="20"/>
          <w:szCs w:val="20"/>
        </w:rPr>
      </w:pPr>
      <w:r w:rsidRPr="00A63840">
        <w:rPr>
          <w:rStyle w:val="Strong"/>
          <w:rFonts w:ascii="Arial" w:hAnsi="Arial" w:cs="Arial"/>
          <w:noProof/>
          <w:sz w:val="20"/>
          <w:szCs w:val="20"/>
          <w:lang w:val="en-US" w:eastAsia="en-US"/>
        </w:rPr>
        <w:lastRenderedPageBreak/>
        <w:drawing>
          <wp:inline distT="0" distB="0" distL="0" distR="0" wp14:anchorId="56C0E685" wp14:editId="4FEF2F6F">
            <wp:extent cx="3071909" cy="144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7920" cy="1469485"/>
                    </a:xfrm>
                    <a:prstGeom prst="rect">
                      <a:avLst/>
                    </a:prstGeom>
                    <a:noFill/>
                  </pic:spPr>
                </pic:pic>
              </a:graphicData>
            </a:graphic>
          </wp:inline>
        </w:drawing>
      </w:r>
    </w:p>
    <w:p w14:paraId="6D58DF12" w14:textId="77777777" w:rsidR="00DD0D91" w:rsidRPr="00A63840" w:rsidRDefault="00DD0D91" w:rsidP="00DD0D91">
      <w:pPr>
        <w:pStyle w:val="NormalWeb"/>
        <w:spacing w:before="0" w:beforeAutospacing="0" w:after="0" w:afterAutospacing="0"/>
        <w:contextualSpacing/>
        <w:jc w:val="center"/>
        <w:rPr>
          <w:rFonts w:ascii="Arial" w:hAnsi="Arial" w:cs="Arial"/>
          <w:sz w:val="20"/>
          <w:szCs w:val="20"/>
        </w:rPr>
      </w:pPr>
      <w:r w:rsidRPr="00A63840">
        <w:rPr>
          <w:rStyle w:val="Strong"/>
          <w:rFonts w:ascii="Arial" w:hAnsi="Arial" w:cs="Arial"/>
          <w:sz w:val="20"/>
          <w:szCs w:val="20"/>
        </w:rPr>
        <w:t>Figure 10. Quadrilateral mesh of the WEC geometry</w:t>
      </w:r>
    </w:p>
    <w:p w14:paraId="057298AC" w14:textId="77777777" w:rsidR="00DD0D91" w:rsidRPr="00A63840" w:rsidRDefault="00DD0D91" w:rsidP="00DD0D91">
      <w:pPr>
        <w:pStyle w:val="Heading2"/>
        <w:spacing w:before="0"/>
        <w:contextualSpacing/>
        <w:jc w:val="center"/>
        <w:rPr>
          <w:rFonts w:ascii="Arial" w:hAnsi="Arial" w:cs="Arial"/>
          <w:sz w:val="20"/>
          <w:szCs w:val="20"/>
        </w:rPr>
      </w:pPr>
    </w:p>
    <w:p w14:paraId="1857BDF4" w14:textId="346A4BF6" w:rsidR="00DD0D91" w:rsidRPr="00A63840" w:rsidRDefault="00AB185D" w:rsidP="00DD0D91">
      <w:pPr>
        <w:pStyle w:val="Heading2"/>
        <w:spacing w:before="0"/>
        <w:contextualSpacing/>
        <w:rPr>
          <w:rFonts w:ascii="Arial" w:hAnsi="Arial" w:cs="Arial"/>
          <w:b/>
          <w:bCs/>
          <w:color w:val="auto"/>
          <w:sz w:val="20"/>
          <w:szCs w:val="20"/>
        </w:rPr>
      </w:pPr>
      <w:r w:rsidRPr="00A63840">
        <w:rPr>
          <w:rFonts w:ascii="Arial" w:hAnsi="Arial" w:cs="Arial"/>
          <w:b/>
          <w:bCs/>
          <w:color w:val="auto"/>
          <w:sz w:val="20"/>
          <w:szCs w:val="20"/>
        </w:rPr>
        <w:t>4</w:t>
      </w:r>
      <w:r w:rsidR="00DD0D91" w:rsidRPr="00A63840">
        <w:rPr>
          <w:rFonts w:ascii="Arial" w:hAnsi="Arial" w:cs="Arial"/>
          <w:b/>
          <w:bCs/>
          <w:color w:val="auto"/>
          <w:sz w:val="20"/>
          <w:szCs w:val="20"/>
        </w:rPr>
        <w:t>.3 Hydrodynamic Diffraction and Hydrostatic Modeling</w:t>
      </w:r>
    </w:p>
    <w:p w14:paraId="791EE758" w14:textId="77777777" w:rsidR="00DD0D91" w:rsidRPr="00A63840" w:rsidRDefault="00DD0D91" w:rsidP="0035504C">
      <w:pPr>
        <w:pStyle w:val="NormalWeb"/>
        <w:spacing w:before="0" w:beforeAutospacing="0" w:after="0" w:afterAutospacing="0"/>
        <w:contextualSpacing/>
        <w:jc w:val="both"/>
        <w:rPr>
          <w:rFonts w:ascii="Arial" w:hAnsi="Arial" w:cs="Arial"/>
          <w:sz w:val="20"/>
          <w:szCs w:val="20"/>
        </w:rPr>
      </w:pPr>
      <w:r w:rsidRPr="00A63840">
        <w:rPr>
          <w:rFonts w:ascii="Arial" w:hAnsi="Arial" w:cs="Arial"/>
          <w:sz w:val="20"/>
          <w:szCs w:val="20"/>
        </w:rPr>
        <w:t>The meshed model was imported into ANSYS AQWA to compute linear diffraction–radiation hydrodynamic coefficients. Mass and inertia properties were assigned separately to the floating body and submerged body, as summarized in Tables 5 and 6.</w:t>
      </w:r>
    </w:p>
    <w:p w14:paraId="319E1388" w14:textId="77777777" w:rsidR="00DD0D91" w:rsidRPr="00A63840" w:rsidRDefault="00DD0D91" w:rsidP="00DD0D91">
      <w:pPr>
        <w:pStyle w:val="Heading3"/>
        <w:spacing w:before="0"/>
        <w:jc w:val="center"/>
        <w:rPr>
          <w:rStyle w:val="Strong"/>
          <w:rFonts w:ascii="Arial" w:hAnsi="Arial" w:cs="Arial"/>
          <w:color w:val="auto"/>
          <w:sz w:val="20"/>
          <w:szCs w:val="20"/>
        </w:rPr>
      </w:pPr>
    </w:p>
    <w:p w14:paraId="186005ED" w14:textId="77777777" w:rsidR="00DD0D91" w:rsidRPr="00A63840" w:rsidRDefault="00DD0D91" w:rsidP="00DD0D91">
      <w:pPr>
        <w:pStyle w:val="Heading3"/>
        <w:spacing w:before="0"/>
        <w:jc w:val="center"/>
        <w:rPr>
          <w:rStyle w:val="Strong"/>
          <w:rFonts w:ascii="Arial" w:hAnsi="Arial" w:cs="Arial"/>
          <w:color w:val="auto"/>
          <w:sz w:val="20"/>
          <w:szCs w:val="20"/>
        </w:rPr>
      </w:pPr>
      <w:r w:rsidRPr="00A63840">
        <w:rPr>
          <w:rStyle w:val="Strong"/>
          <w:rFonts w:ascii="Arial" w:hAnsi="Arial" w:cs="Arial"/>
          <w:color w:val="auto"/>
          <w:sz w:val="20"/>
          <w:szCs w:val="20"/>
        </w:rPr>
        <w:t>Table 5: Mass and Inertia Properties of the Body</w:t>
      </w:r>
    </w:p>
    <w:tbl>
      <w:tblPr>
        <w:tblStyle w:val="TableGrid"/>
        <w:tblW w:w="7917" w:type="dxa"/>
        <w:jc w:val="center"/>
        <w:tblLook w:val="04A0" w:firstRow="1" w:lastRow="0" w:firstColumn="1" w:lastColumn="0" w:noHBand="0" w:noVBand="1"/>
      </w:tblPr>
      <w:tblGrid>
        <w:gridCol w:w="3348"/>
        <w:gridCol w:w="1101"/>
        <w:gridCol w:w="2560"/>
        <w:gridCol w:w="908"/>
      </w:tblGrid>
      <w:tr w:rsidR="00DD0D91" w:rsidRPr="00A63840" w14:paraId="665522B1" w14:textId="77777777" w:rsidTr="006D40F6">
        <w:trPr>
          <w:trHeight w:val="252"/>
          <w:jc w:val="center"/>
        </w:trPr>
        <w:tc>
          <w:tcPr>
            <w:tcW w:w="0" w:type="auto"/>
            <w:hideMark/>
          </w:tcPr>
          <w:p w14:paraId="36D00D72" w14:textId="77777777" w:rsidR="00DD0D91" w:rsidRPr="00A63840" w:rsidRDefault="00DD0D91" w:rsidP="001E346E">
            <w:pPr>
              <w:rPr>
                <w:rFonts w:ascii="Arial" w:hAnsi="Arial" w:cs="Arial"/>
                <w:sz w:val="20"/>
                <w:szCs w:val="20"/>
              </w:rPr>
            </w:pPr>
            <w:r w:rsidRPr="00A63840">
              <w:rPr>
                <w:rFonts w:ascii="Arial" w:hAnsi="Arial" w:cs="Arial"/>
                <w:sz w:val="20"/>
                <w:szCs w:val="20"/>
              </w:rPr>
              <w:t>Property</w:t>
            </w:r>
          </w:p>
        </w:tc>
        <w:tc>
          <w:tcPr>
            <w:tcW w:w="0" w:type="auto"/>
            <w:hideMark/>
          </w:tcPr>
          <w:p w14:paraId="66A098AA" w14:textId="77777777" w:rsidR="00DD0D91" w:rsidRPr="00A63840" w:rsidRDefault="00DD0D91" w:rsidP="001E346E">
            <w:pPr>
              <w:rPr>
                <w:rFonts w:ascii="Arial" w:hAnsi="Arial" w:cs="Arial"/>
                <w:sz w:val="20"/>
                <w:szCs w:val="20"/>
              </w:rPr>
            </w:pPr>
            <w:r w:rsidRPr="00A63840">
              <w:rPr>
                <w:rFonts w:ascii="Arial" w:hAnsi="Arial" w:cs="Arial"/>
                <w:sz w:val="20"/>
                <w:szCs w:val="20"/>
              </w:rPr>
              <w:t>Symbol</w:t>
            </w:r>
          </w:p>
        </w:tc>
        <w:tc>
          <w:tcPr>
            <w:tcW w:w="0" w:type="auto"/>
            <w:hideMark/>
          </w:tcPr>
          <w:p w14:paraId="3A0DB230" w14:textId="77777777" w:rsidR="00DD0D91" w:rsidRPr="00A63840" w:rsidRDefault="00DD0D91" w:rsidP="001E346E">
            <w:pPr>
              <w:rPr>
                <w:rFonts w:ascii="Arial" w:hAnsi="Arial" w:cs="Arial"/>
                <w:sz w:val="20"/>
                <w:szCs w:val="20"/>
              </w:rPr>
            </w:pPr>
            <w:r w:rsidRPr="00A63840">
              <w:rPr>
                <w:rFonts w:ascii="Arial" w:hAnsi="Arial" w:cs="Arial"/>
                <w:sz w:val="20"/>
                <w:szCs w:val="20"/>
              </w:rPr>
              <w:t>Value</w:t>
            </w:r>
          </w:p>
        </w:tc>
        <w:tc>
          <w:tcPr>
            <w:tcW w:w="0" w:type="auto"/>
            <w:hideMark/>
          </w:tcPr>
          <w:p w14:paraId="3A799BA7" w14:textId="77777777" w:rsidR="00DD0D91" w:rsidRPr="00A63840" w:rsidRDefault="00DD0D91" w:rsidP="001E346E">
            <w:pPr>
              <w:rPr>
                <w:rFonts w:ascii="Arial" w:hAnsi="Arial" w:cs="Arial"/>
                <w:sz w:val="20"/>
                <w:szCs w:val="20"/>
              </w:rPr>
            </w:pPr>
            <w:r w:rsidRPr="00A63840">
              <w:rPr>
                <w:rFonts w:ascii="Arial" w:hAnsi="Arial" w:cs="Arial"/>
                <w:sz w:val="20"/>
                <w:szCs w:val="20"/>
              </w:rPr>
              <w:t>Unit</w:t>
            </w:r>
          </w:p>
        </w:tc>
      </w:tr>
      <w:tr w:rsidR="00DD0D91" w:rsidRPr="00A63840" w14:paraId="75B68B48" w14:textId="77777777" w:rsidTr="006D40F6">
        <w:trPr>
          <w:trHeight w:val="243"/>
          <w:jc w:val="center"/>
        </w:trPr>
        <w:tc>
          <w:tcPr>
            <w:tcW w:w="0" w:type="auto"/>
            <w:hideMark/>
          </w:tcPr>
          <w:p w14:paraId="6B20D603" w14:textId="77777777" w:rsidR="00DD0D91" w:rsidRPr="00A63840" w:rsidRDefault="00DD0D91" w:rsidP="001E346E">
            <w:pPr>
              <w:rPr>
                <w:rFonts w:ascii="Arial" w:hAnsi="Arial" w:cs="Arial"/>
                <w:sz w:val="20"/>
                <w:szCs w:val="20"/>
              </w:rPr>
            </w:pPr>
            <w:r w:rsidRPr="00A63840">
              <w:rPr>
                <w:rFonts w:ascii="Arial" w:hAnsi="Arial" w:cs="Arial"/>
                <w:sz w:val="20"/>
                <w:szCs w:val="20"/>
              </w:rPr>
              <w:t>Mass</w:t>
            </w:r>
          </w:p>
        </w:tc>
        <w:tc>
          <w:tcPr>
            <w:tcW w:w="0" w:type="auto"/>
            <w:hideMark/>
          </w:tcPr>
          <w:p w14:paraId="65BF18A4" w14:textId="77777777" w:rsidR="00DD0D91" w:rsidRPr="00A63840" w:rsidRDefault="00DD0D91" w:rsidP="001E346E">
            <w:pPr>
              <w:rPr>
                <w:rFonts w:ascii="Arial" w:hAnsi="Arial" w:cs="Arial"/>
                <w:sz w:val="20"/>
                <w:szCs w:val="20"/>
              </w:rPr>
            </w:pPr>
            <w:r w:rsidRPr="00A63840">
              <w:rPr>
                <w:rFonts w:ascii="Arial" w:hAnsi="Arial" w:cs="Arial"/>
                <w:sz w:val="20"/>
                <w:szCs w:val="20"/>
              </w:rPr>
              <w:t>m</w:t>
            </w:r>
          </w:p>
        </w:tc>
        <w:tc>
          <w:tcPr>
            <w:tcW w:w="0" w:type="auto"/>
            <w:hideMark/>
          </w:tcPr>
          <w:p w14:paraId="6F21269D" w14:textId="77777777" w:rsidR="00DD0D91" w:rsidRPr="00A63840" w:rsidRDefault="00DD0D91" w:rsidP="001E346E">
            <w:pPr>
              <w:rPr>
                <w:rFonts w:ascii="Arial" w:hAnsi="Arial" w:cs="Arial"/>
                <w:sz w:val="20"/>
                <w:szCs w:val="20"/>
              </w:rPr>
            </w:pPr>
            <w:r w:rsidRPr="00A63840">
              <w:rPr>
                <w:rFonts w:ascii="Arial" w:hAnsi="Arial" w:cs="Arial"/>
                <w:sz w:val="20"/>
                <w:szCs w:val="20"/>
              </w:rPr>
              <w:t>5900</w:t>
            </w:r>
          </w:p>
        </w:tc>
        <w:tc>
          <w:tcPr>
            <w:tcW w:w="0" w:type="auto"/>
            <w:hideMark/>
          </w:tcPr>
          <w:p w14:paraId="65D34979" w14:textId="77777777" w:rsidR="00DD0D91" w:rsidRPr="00A63840" w:rsidRDefault="00DD0D91" w:rsidP="001E346E">
            <w:pPr>
              <w:rPr>
                <w:rFonts w:ascii="Arial" w:hAnsi="Arial" w:cs="Arial"/>
                <w:sz w:val="20"/>
                <w:szCs w:val="20"/>
              </w:rPr>
            </w:pPr>
            <w:r w:rsidRPr="00A63840">
              <w:rPr>
                <w:rFonts w:ascii="Arial" w:hAnsi="Arial" w:cs="Arial"/>
                <w:sz w:val="20"/>
                <w:szCs w:val="20"/>
              </w:rPr>
              <w:t>kg</w:t>
            </w:r>
          </w:p>
        </w:tc>
      </w:tr>
      <w:tr w:rsidR="00DD0D91" w:rsidRPr="00A63840" w14:paraId="415AA310" w14:textId="77777777" w:rsidTr="006D40F6">
        <w:trPr>
          <w:trHeight w:val="252"/>
          <w:jc w:val="center"/>
        </w:trPr>
        <w:tc>
          <w:tcPr>
            <w:tcW w:w="0" w:type="auto"/>
            <w:hideMark/>
          </w:tcPr>
          <w:p w14:paraId="770A51AC" w14:textId="77777777" w:rsidR="00DD0D91" w:rsidRPr="00A63840" w:rsidRDefault="00DD0D91" w:rsidP="001E346E">
            <w:pPr>
              <w:rPr>
                <w:rFonts w:ascii="Arial" w:hAnsi="Arial" w:cs="Arial"/>
                <w:sz w:val="20"/>
                <w:szCs w:val="20"/>
              </w:rPr>
            </w:pPr>
            <w:r w:rsidRPr="00A63840">
              <w:rPr>
                <w:rFonts w:ascii="Arial" w:hAnsi="Arial" w:cs="Arial"/>
                <w:sz w:val="20"/>
                <w:szCs w:val="20"/>
              </w:rPr>
              <w:t>Radius of Gyration (x-axis)</w:t>
            </w:r>
          </w:p>
        </w:tc>
        <w:tc>
          <w:tcPr>
            <w:tcW w:w="0" w:type="auto"/>
            <w:hideMark/>
          </w:tcPr>
          <w:p w14:paraId="61EC31E3" w14:textId="77777777" w:rsidR="00DD0D91" w:rsidRPr="00A63840" w:rsidRDefault="00DD0D91" w:rsidP="001E346E">
            <w:pPr>
              <w:rPr>
                <w:rFonts w:ascii="Arial" w:hAnsi="Arial" w:cs="Arial"/>
                <w:sz w:val="20"/>
                <w:szCs w:val="20"/>
              </w:rPr>
            </w:pPr>
            <w:proofErr w:type="spellStart"/>
            <w:r w:rsidRPr="00A63840">
              <w:rPr>
                <w:rFonts w:ascii="Arial" w:hAnsi="Arial" w:cs="Arial"/>
                <w:sz w:val="20"/>
                <w:szCs w:val="20"/>
              </w:rPr>
              <w:t>Kxx</w:t>
            </w:r>
            <w:proofErr w:type="spellEnd"/>
          </w:p>
        </w:tc>
        <w:tc>
          <w:tcPr>
            <w:tcW w:w="0" w:type="auto"/>
            <w:hideMark/>
          </w:tcPr>
          <w:p w14:paraId="3D42BBCA" w14:textId="77777777" w:rsidR="00DD0D91" w:rsidRPr="00A63840" w:rsidRDefault="00DD0D91" w:rsidP="001E346E">
            <w:pPr>
              <w:rPr>
                <w:rFonts w:ascii="Arial" w:hAnsi="Arial" w:cs="Arial"/>
                <w:sz w:val="20"/>
                <w:szCs w:val="20"/>
              </w:rPr>
            </w:pPr>
            <w:r w:rsidRPr="00A63840">
              <w:rPr>
                <w:rFonts w:ascii="Arial" w:hAnsi="Arial" w:cs="Arial"/>
                <w:sz w:val="20"/>
                <w:szCs w:val="20"/>
              </w:rPr>
              <w:t>0.610640119818706</w:t>
            </w:r>
          </w:p>
        </w:tc>
        <w:tc>
          <w:tcPr>
            <w:tcW w:w="0" w:type="auto"/>
            <w:hideMark/>
          </w:tcPr>
          <w:p w14:paraId="442B048E" w14:textId="77777777" w:rsidR="00DD0D91" w:rsidRPr="00A63840" w:rsidRDefault="00DD0D91" w:rsidP="001E346E">
            <w:pPr>
              <w:rPr>
                <w:rFonts w:ascii="Arial" w:hAnsi="Arial" w:cs="Arial"/>
                <w:sz w:val="20"/>
                <w:szCs w:val="20"/>
              </w:rPr>
            </w:pPr>
            <w:r w:rsidRPr="00A63840">
              <w:rPr>
                <w:rFonts w:ascii="Arial" w:hAnsi="Arial" w:cs="Arial"/>
                <w:sz w:val="20"/>
                <w:szCs w:val="20"/>
              </w:rPr>
              <w:t>m</w:t>
            </w:r>
          </w:p>
        </w:tc>
      </w:tr>
      <w:tr w:rsidR="00DD0D91" w:rsidRPr="00A63840" w14:paraId="19BDE7F7" w14:textId="77777777" w:rsidTr="006D40F6">
        <w:trPr>
          <w:trHeight w:val="252"/>
          <w:jc w:val="center"/>
        </w:trPr>
        <w:tc>
          <w:tcPr>
            <w:tcW w:w="0" w:type="auto"/>
            <w:hideMark/>
          </w:tcPr>
          <w:p w14:paraId="4D2E70BB" w14:textId="77777777" w:rsidR="00DD0D91" w:rsidRPr="00A63840" w:rsidRDefault="00DD0D91" w:rsidP="001E346E">
            <w:pPr>
              <w:rPr>
                <w:rFonts w:ascii="Arial" w:hAnsi="Arial" w:cs="Arial"/>
                <w:sz w:val="20"/>
                <w:szCs w:val="20"/>
              </w:rPr>
            </w:pPr>
            <w:r w:rsidRPr="00A63840">
              <w:rPr>
                <w:rFonts w:ascii="Arial" w:hAnsi="Arial" w:cs="Arial"/>
                <w:sz w:val="20"/>
                <w:szCs w:val="20"/>
              </w:rPr>
              <w:t>Radius of Gyration (y-axis)</w:t>
            </w:r>
          </w:p>
        </w:tc>
        <w:tc>
          <w:tcPr>
            <w:tcW w:w="0" w:type="auto"/>
            <w:hideMark/>
          </w:tcPr>
          <w:p w14:paraId="09A7A08F" w14:textId="77777777" w:rsidR="00DD0D91" w:rsidRPr="00A63840" w:rsidRDefault="00DD0D91" w:rsidP="001E346E">
            <w:pPr>
              <w:rPr>
                <w:rFonts w:ascii="Arial" w:hAnsi="Arial" w:cs="Arial"/>
                <w:sz w:val="20"/>
                <w:szCs w:val="20"/>
              </w:rPr>
            </w:pPr>
            <w:proofErr w:type="spellStart"/>
            <w:r w:rsidRPr="00A63840">
              <w:rPr>
                <w:rFonts w:ascii="Arial" w:hAnsi="Arial" w:cs="Arial"/>
                <w:sz w:val="20"/>
                <w:szCs w:val="20"/>
              </w:rPr>
              <w:t>Kyy</w:t>
            </w:r>
            <w:proofErr w:type="spellEnd"/>
            <w:r w:rsidRPr="00A63840">
              <w:rPr>
                <w:rFonts w:ascii="Arial" w:hAnsi="Arial" w:cs="Arial"/>
                <w:sz w:val="20"/>
                <w:szCs w:val="20"/>
              </w:rPr>
              <w:t>​</w:t>
            </w:r>
          </w:p>
        </w:tc>
        <w:tc>
          <w:tcPr>
            <w:tcW w:w="0" w:type="auto"/>
            <w:hideMark/>
          </w:tcPr>
          <w:p w14:paraId="7EC753A1" w14:textId="77777777" w:rsidR="00DD0D91" w:rsidRPr="00A63840" w:rsidRDefault="00DD0D91" w:rsidP="001E346E">
            <w:pPr>
              <w:rPr>
                <w:rFonts w:ascii="Arial" w:hAnsi="Arial" w:cs="Arial"/>
                <w:sz w:val="20"/>
                <w:szCs w:val="20"/>
              </w:rPr>
            </w:pPr>
            <w:r w:rsidRPr="00A63840">
              <w:rPr>
                <w:rFonts w:ascii="Arial" w:hAnsi="Arial" w:cs="Arial"/>
                <w:sz w:val="20"/>
                <w:szCs w:val="20"/>
              </w:rPr>
              <w:t>1.301889109818824</w:t>
            </w:r>
          </w:p>
        </w:tc>
        <w:tc>
          <w:tcPr>
            <w:tcW w:w="0" w:type="auto"/>
            <w:hideMark/>
          </w:tcPr>
          <w:p w14:paraId="3FE044D8" w14:textId="77777777" w:rsidR="00DD0D91" w:rsidRPr="00A63840" w:rsidRDefault="00DD0D91" w:rsidP="001E346E">
            <w:pPr>
              <w:rPr>
                <w:rFonts w:ascii="Arial" w:hAnsi="Arial" w:cs="Arial"/>
                <w:sz w:val="20"/>
                <w:szCs w:val="20"/>
              </w:rPr>
            </w:pPr>
            <w:r w:rsidRPr="00A63840">
              <w:rPr>
                <w:rFonts w:ascii="Arial" w:hAnsi="Arial" w:cs="Arial"/>
                <w:sz w:val="20"/>
                <w:szCs w:val="20"/>
              </w:rPr>
              <w:t>m</w:t>
            </w:r>
          </w:p>
        </w:tc>
      </w:tr>
      <w:tr w:rsidR="00DD0D91" w:rsidRPr="00A63840" w14:paraId="714095A4" w14:textId="77777777" w:rsidTr="006D40F6">
        <w:trPr>
          <w:trHeight w:val="243"/>
          <w:jc w:val="center"/>
        </w:trPr>
        <w:tc>
          <w:tcPr>
            <w:tcW w:w="0" w:type="auto"/>
            <w:hideMark/>
          </w:tcPr>
          <w:p w14:paraId="2578ABE0" w14:textId="77777777" w:rsidR="00DD0D91" w:rsidRPr="00A63840" w:rsidRDefault="00DD0D91" w:rsidP="001E346E">
            <w:pPr>
              <w:rPr>
                <w:rFonts w:ascii="Arial" w:hAnsi="Arial" w:cs="Arial"/>
                <w:sz w:val="20"/>
                <w:szCs w:val="20"/>
              </w:rPr>
            </w:pPr>
            <w:r w:rsidRPr="00A63840">
              <w:rPr>
                <w:rFonts w:ascii="Arial" w:hAnsi="Arial" w:cs="Arial"/>
                <w:sz w:val="20"/>
                <w:szCs w:val="20"/>
              </w:rPr>
              <w:t>Radius of Gyration (z-axis)</w:t>
            </w:r>
          </w:p>
        </w:tc>
        <w:tc>
          <w:tcPr>
            <w:tcW w:w="0" w:type="auto"/>
            <w:hideMark/>
          </w:tcPr>
          <w:p w14:paraId="21666C3F" w14:textId="77777777" w:rsidR="00DD0D91" w:rsidRPr="00A63840" w:rsidRDefault="00DD0D91" w:rsidP="001E346E">
            <w:pPr>
              <w:rPr>
                <w:rFonts w:ascii="Arial" w:hAnsi="Arial" w:cs="Arial"/>
                <w:sz w:val="20"/>
                <w:szCs w:val="20"/>
              </w:rPr>
            </w:pPr>
            <w:proofErr w:type="spellStart"/>
            <w:r w:rsidRPr="00A63840">
              <w:rPr>
                <w:rFonts w:ascii="Arial" w:hAnsi="Arial" w:cs="Arial"/>
                <w:sz w:val="20"/>
                <w:szCs w:val="20"/>
              </w:rPr>
              <w:t>Kzz</w:t>
            </w:r>
            <w:proofErr w:type="spellEnd"/>
            <w:r w:rsidRPr="00A63840">
              <w:rPr>
                <w:rFonts w:ascii="Arial" w:hAnsi="Arial" w:cs="Arial"/>
                <w:sz w:val="20"/>
                <w:szCs w:val="20"/>
              </w:rPr>
              <w:t>​</w:t>
            </w:r>
          </w:p>
        </w:tc>
        <w:tc>
          <w:tcPr>
            <w:tcW w:w="0" w:type="auto"/>
            <w:hideMark/>
          </w:tcPr>
          <w:p w14:paraId="71536561" w14:textId="77777777" w:rsidR="00DD0D91" w:rsidRPr="00A63840" w:rsidRDefault="00DD0D91" w:rsidP="001E346E">
            <w:pPr>
              <w:rPr>
                <w:rFonts w:ascii="Arial" w:hAnsi="Arial" w:cs="Arial"/>
                <w:sz w:val="20"/>
                <w:szCs w:val="20"/>
              </w:rPr>
            </w:pPr>
            <w:r w:rsidRPr="00A63840">
              <w:rPr>
                <w:rFonts w:ascii="Arial" w:hAnsi="Arial" w:cs="Arial"/>
                <w:sz w:val="20"/>
                <w:szCs w:val="20"/>
              </w:rPr>
              <w:t>1.23508045438893</w:t>
            </w:r>
          </w:p>
        </w:tc>
        <w:tc>
          <w:tcPr>
            <w:tcW w:w="0" w:type="auto"/>
            <w:hideMark/>
          </w:tcPr>
          <w:p w14:paraId="276538CB" w14:textId="77777777" w:rsidR="00DD0D91" w:rsidRPr="00A63840" w:rsidRDefault="00DD0D91" w:rsidP="001E346E">
            <w:pPr>
              <w:rPr>
                <w:rFonts w:ascii="Arial" w:hAnsi="Arial" w:cs="Arial"/>
                <w:sz w:val="20"/>
                <w:szCs w:val="20"/>
              </w:rPr>
            </w:pPr>
            <w:r w:rsidRPr="00A63840">
              <w:rPr>
                <w:rFonts w:ascii="Arial" w:hAnsi="Arial" w:cs="Arial"/>
                <w:sz w:val="20"/>
                <w:szCs w:val="20"/>
              </w:rPr>
              <w:t>m</w:t>
            </w:r>
          </w:p>
        </w:tc>
      </w:tr>
      <w:tr w:rsidR="00DD0D91" w:rsidRPr="00A63840" w14:paraId="61844CCA" w14:textId="77777777" w:rsidTr="006D40F6">
        <w:trPr>
          <w:trHeight w:val="252"/>
          <w:jc w:val="center"/>
        </w:trPr>
        <w:tc>
          <w:tcPr>
            <w:tcW w:w="0" w:type="auto"/>
            <w:hideMark/>
          </w:tcPr>
          <w:p w14:paraId="55B9A2DF" w14:textId="77777777" w:rsidR="00DD0D91" w:rsidRPr="00A63840" w:rsidRDefault="00DD0D91" w:rsidP="001E346E">
            <w:pPr>
              <w:rPr>
                <w:rFonts w:ascii="Arial" w:hAnsi="Arial" w:cs="Arial"/>
                <w:sz w:val="20"/>
                <w:szCs w:val="20"/>
              </w:rPr>
            </w:pPr>
            <w:r w:rsidRPr="00A63840">
              <w:rPr>
                <w:rFonts w:ascii="Arial" w:hAnsi="Arial" w:cs="Arial"/>
                <w:sz w:val="20"/>
                <w:szCs w:val="20"/>
              </w:rPr>
              <w:t>Moment of Inertia (x-axis)</w:t>
            </w:r>
          </w:p>
        </w:tc>
        <w:tc>
          <w:tcPr>
            <w:tcW w:w="0" w:type="auto"/>
            <w:hideMark/>
          </w:tcPr>
          <w:p w14:paraId="4DAA2D3D" w14:textId="77777777" w:rsidR="00DD0D91" w:rsidRPr="00A63840" w:rsidRDefault="00DD0D91" w:rsidP="001E346E">
            <w:pPr>
              <w:rPr>
                <w:rFonts w:ascii="Arial" w:hAnsi="Arial" w:cs="Arial"/>
                <w:sz w:val="20"/>
                <w:szCs w:val="20"/>
              </w:rPr>
            </w:pPr>
            <w:proofErr w:type="spellStart"/>
            <w:r w:rsidRPr="00A63840">
              <w:rPr>
                <w:rFonts w:ascii="Arial" w:hAnsi="Arial" w:cs="Arial"/>
                <w:sz w:val="20"/>
                <w:szCs w:val="20"/>
              </w:rPr>
              <w:t>Ixx</w:t>
            </w:r>
            <w:proofErr w:type="spellEnd"/>
            <w:r w:rsidRPr="00A63840">
              <w:rPr>
                <w:rFonts w:ascii="Arial" w:hAnsi="Arial" w:cs="Arial"/>
                <w:sz w:val="20"/>
                <w:szCs w:val="20"/>
              </w:rPr>
              <w:t>​</w:t>
            </w:r>
          </w:p>
        </w:tc>
        <w:tc>
          <w:tcPr>
            <w:tcW w:w="0" w:type="auto"/>
            <w:hideMark/>
          </w:tcPr>
          <w:p w14:paraId="14964A0A" w14:textId="77777777" w:rsidR="00DD0D91" w:rsidRPr="00A63840" w:rsidRDefault="00DD0D91" w:rsidP="001E346E">
            <w:pPr>
              <w:rPr>
                <w:rFonts w:ascii="Arial" w:hAnsi="Arial" w:cs="Arial"/>
                <w:sz w:val="20"/>
                <w:szCs w:val="20"/>
              </w:rPr>
            </w:pPr>
            <w:r w:rsidRPr="00A63840">
              <w:rPr>
                <w:rFonts w:ascii="Arial" w:hAnsi="Arial" w:cs="Arial"/>
                <w:sz w:val="20"/>
                <w:szCs w:val="20"/>
              </w:rPr>
              <w:t>2200</w:t>
            </w:r>
          </w:p>
        </w:tc>
        <w:tc>
          <w:tcPr>
            <w:tcW w:w="0" w:type="auto"/>
            <w:hideMark/>
          </w:tcPr>
          <w:p w14:paraId="64A3230B" w14:textId="77777777" w:rsidR="00DD0D91" w:rsidRPr="00A63840" w:rsidRDefault="00DD0D91" w:rsidP="001E346E">
            <w:pPr>
              <w:rPr>
                <w:rFonts w:ascii="Arial" w:hAnsi="Arial" w:cs="Arial"/>
                <w:sz w:val="20"/>
                <w:szCs w:val="20"/>
              </w:rPr>
            </w:pPr>
            <w:r w:rsidRPr="00A63840">
              <w:rPr>
                <w:rFonts w:ascii="Arial" w:hAnsi="Arial" w:cs="Arial"/>
                <w:sz w:val="20"/>
                <w:szCs w:val="20"/>
              </w:rPr>
              <w:t>kg·m²</w:t>
            </w:r>
          </w:p>
        </w:tc>
      </w:tr>
      <w:tr w:rsidR="00DD0D91" w:rsidRPr="00A63840" w14:paraId="358674B6" w14:textId="77777777" w:rsidTr="006D40F6">
        <w:trPr>
          <w:trHeight w:val="243"/>
          <w:jc w:val="center"/>
        </w:trPr>
        <w:tc>
          <w:tcPr>
            <w:tcW w:w="0" w:type="auto"/>
            <w:hideMark/>
          </w:tcPr>
          <w:p w14:paraId="2B82BB86" w14:textId="77777777" w:rsidR="00DD0D91" w:rsidRPr="00A63840" w:rsidRDefault="00DD0D91" w:rsidP="001E346E">
            <w:pPr>
              <w:rPr>
                <w:rFonts w:ascii="Arial" w:hAnsi="Arial" w:cs="Arial"/>
                <w:sz w:val="20"/>
                <w:szCs w:val="20"/>
              </w:rPr>
            </w:pPr>
            <w:r w:rsidRPr="00A63840">
              <w:rPr>
                <w:rFonts w:ascii="Arial" w:hAnsi="Arial" w:cs="Arial"/>
                <w:sz w:val="20"/>
                <w:szCs w:val="20"/>
              </w:rPr>
              <w:t>Product of Inertia (</w:t>
            </w:r>
            <w:proofErr w:type="spellStart"/>
            <w:r w:rsidRPr="00A63840">
              <w:rPr>
                <w:rFonts w:ascii="Arial" w:hAnsi="Arial" w:cs="Arial"/>
                <w:sz w:val="20"/>
                <w:szCs w:val="20"/>
              </w:rPr>
              <w:t>xy</w:t>
            </w:r>
            <w:proofErr w:type="spellEnd"/>
            <w:r w:rsidRPr="00A63840">
              <w:rPr>
                <w:rFonts w:ascii="Arial" w:hAnsi="Arial" w:cs="Arial"/>
                <w:sz w:val="20"/>
                <w:szCs w:val="20"/>
              </w:rPr>
              <w:t>-plane)</w:t>
            </w:r>
          </w:p>
        </w:tc>
        <w:tc>
          <w:tcPr>
            <w:tcW w:w="0" w:type="auto"/>
            <w:hideMark/>
          </w:tcPr>
          <w:p w14:paraId="5160CADC" w14:textId="77777777" w:rsidR="00DD0D91" w:rsidRPr="00A63840" w:rsidRDefault="00DD0D91" w:rsidP="001E346E">
            <w:pPr>
              <w:rPr>
                <w:rFonts w:ascii="Arial" w:hAnsi="Arial" w:cs="Arial"/>
                <w:sz w:val="20"/>
                <w:szCs w:val="20"/>
              </w:rPr>
            </w:pPr>
            <w:proofErr w:type="spellStart"/>
            <w:r w:rsidRPr="00A63840">
              <w:rPr>
                <w:rFonts w:ascii="Arial" w:hAnsi="Arial" w:cs="Arial"/>
                <w:sz w:val="20"/>
                <w:szCs w:val="20"/>
              </w:rPr>
              <w:t>Ixy</w:t>
            </w:r>
            <w:proofErr w:type="spellEnd"/>
            <w:r w:rsidRPr="00A63840">
              <w:rPr>
                <w:rFonts w:ascii="Arial" w:hAnsi="Arial" w:cs="Arial"/>
                <w:sz w:val="20"/>
                <w:szCs w:val="20"/>
              </w:rPr>
              <w:t>​</w:t>
            </w:r>
          </w:p>
        </w:tc>
        <w:tc>
          <w:tcPr>
            <w:tcW w:w="0" w:type="auto"/>
            <w:hideMark/>
          </w:tcPr>
          <w:p w14:paraId="09534932" w14:textId="77777777" w:rsidR="00DD0D91" w:rsidRPr="00A63840" w:rsidRDefault="00DD0D91" w:rsidP="001E346E">
            <w:pPr>
              <w:rPr>
                <w:rFonts w:ascii="Arial" w:hAnsi="Arial" w:cs="Arial"/>
                <w:sz w:val="20"/>
                <w:szCs w:val="20"/>
              </w:rPr>
            </w:pPr>
            <w:r w:rsidRPr="00A63840">
              <w:rPr>
                <w:rFonts w:ascii="Arial" w:hAnsi="Arial" w:cs="Arial"/>
                <w:sz w:val="20"/>
                <w:szCs w:val="20"/>
              </w:rPr>
              <w:t>0.0</w:t>
            </w:r>
          </w:p>
        </w:tc>
        <w:tc>
          <w:tcPr>
            <w:tcW w:w="0" w:type="auto"/>
            <w:hideMark/>
          </w:tcPr>
          <w:p w14:paraId="5B2BAC86" w14:textId="77777777" w:rsidR="00DD0D91" w:rsidRPr="00A63840" w:rsidRDefault="00DD0D91" w:rsidP="001E346E">
            <w:pPr>
              <w:rPr>
                <w:rFonts w:ascii="Arial" w:hAnsi="Arial" w:cs="Arial"/>
                <w:sz w:val="20"/>
                <w:szCs w:val="20"/>
              </w:rPr>
            </w:pPr>
            <w:r w:rsidRPr="00A63840">
              <w:rPr>
                <w:rFonts w:ascii="Arial" w:hAnsi="Arial" w:cs="Arial"/>
                <w:sz w:val="20"/>
                <w:szCs w:val="20"/>
              </w:rPr>
              <w:t>kg·m²</w:t>
            </w:r>
          </w:p>
        </w:tc>
      </w:tr>
      <w:tr w:rsidR="00DD0D91" w:rsidRPr="00A63840" w14:paraId="463241B5" w14:textId="77777777" w:rsidTr="006D40F6">
        <w:trPr>
          <w:trHeight w:val="252"/>
          <w:jc w:val="center"/>
        </w:trPr>
        <w:tc>
          <w:tcPr>
            <w:tcW w:w="0" w:type="auto"/>
            <w:hideMark/>
          </w:tcPr>
          <w:p w14:paraId="02383067" w14:textId="77777777" w:rsidR="00DD0D91" w:rsidRPr="00A63840" w:rsidRDefault="00DD0D91" w:rsidP="001E346E">
            <w:pPr>
              <w:rPr>
                <w:rFonts w:ascii="Arial" w:hAnsi="Arial" w:cs="Arial"/>
                <w:sz w:val="20"/>
                <w:szCs w:val="20"/>
              </w:rPr>
            </w:pPr>
            <w:r w:rsidRPr="00A63840">
              <w:rPr>
                <w:rFonts w:ascii="Arial" w:hAnsi="Arial" w:cs="Arial"/>
                <w:sz w:val="20"/>
                <w:szCs w:val="20"/>
              </w:rPr>
              <w:t>Product of Inertia (</w:t>
            </w:r>
            <w:proofErr w:type="spellStart"/>
            <w:r w:rsidRPr="00A63840">
              <w:rPr>
                <w:rFonts w:ascii="Arial" w:hAnsi="Arial" w:cs="Arial"/>
                <w:sz w:val="20"/>
                <w:szCs w:val="20"/>
              </w:rPr>
              <w:t>xz</w:t>
            </w:r>
            <w:proofErr w:type="spellEnd"/>
            <w:r w:rsidRPr="00A63840">
              <w:rPr>
                <w:rFonts w:ascii="Arial" w:hAnsi="Arial" w:cs="Arial"/>
                <w:sz w:val="20"/>
                <w:szCs w:val="20"/>
              </w:rPr>
              <w:t>-plane)</w:t>
            </w:r>
          </w:p>
        </w:tc>
        <w:tc>
          <w:tcPr>
            <w:tcW w:w="0" w:type="auto"/>
            <w:hideMark/>
          </w:tcPr>
          <w:p w14:paraId="40A5A16E" w14:textId="77777777" w:rsidR="00DD0D91" w:rsidRPr="00A63840" w:rsidRDefault="00DD0D91" w:rsidP="001E346E">
            <w:pPr>
              <w:rPr>
                <w:rFonts w:ascii="Arial" w:hAnsi="Arial" w:cs="Arial"/>
                <w:sz w:val="20"/>
                <w:szCs w:val="20"/>
              </w:rPr>
            </w:pPr>
            <w:proofErr w:type="spellStart"/>
            <w:r w:rsidRPr="00A63840">
              <w:rPr>
                <w:rFonts w:ascii="Arial" w:hAnsi="Arial" w:cs="Arial"/>
                <w:sz w:val="20"/>
                <w:szCs w:val="20"/>
              </w:rPr>
              <w:t>Ixz</w:t>
            </w:r>
            <w:proofErr w:type="spellEnd"/>
            <w:r w:rsidRPr="00A63840">
              <w:rPr>
                <w:rFonts w:ascii="Arial" w:hAnsi="Arial" w:cs="Arial"/>
                <w:sz w:val="20"/>
                <w:szCs w:val="20"/>
              </w:rPr>
              <w:t>​</w:t>
            </w:r>
          </w:p>
        </w:tc>
        <w:tc>
          <w:tcPr>
            <w:tcW w:w="0" w:type="auto"/>
            <w:hideMark/>
          </w:tcPr>
          <w:p w14:paraId="2D2ED3C7" w14:textId="77777777" w:rsidR="00DD0D91" w:rsidRPr="00A63840" w:rsidRDefault="00DD0D91" w:rsidP="001E346E">
            <w:pPr>
              <w:rPr>
                <w:rFonts w:ascii="Arial" w:hAnsi="Arial" w:cs="Arial"/>
                <w:sz w:val="20"/>
                <w:szCs w:val="20"/>
              </w:rPr>
            </w:pPr>
            <w:r w:rsidRPr="00A63840">
              <w:rPr>
                <w:rFonts w:ascii="Arial" w:hAnsi="Arial" w:cs="Arial"/>
                <w:sz w:val="20"/>
                <w:szCs w:val="20"/>
              </w:rPr>
              <w:t>0.0</w:t>
            </w:r>
          </w:p>
        </w:tc>
        <w:tc>
          <w:tcPr>
            <w:tcW w:w="0" w:type="auto"/>
            <w:hideMark/>
          </w:tcPr>
          <w:p w14:paraId="787F4977" w14:textId="77777777" w:rsidR="00DD0D91" w:rsidRPr="00A63840" w:rsidRDefault="00DD0D91" w:rsidP="001E346E">
            <w:pPr>
              <w:rPr>
                <w:rFonts w:ascii="Arial" w:hAnsi="Arial" w:cs="Arial"/>
                <w:sz w:val="20"/>
                <w:szCs w:val="20"/>
              </w:rPr>
            </w:pPr>
            <w:r w:rsidRPr="00A63840">
              <w:rPr>
                <w:rFonts w:ascii="Arial" w:hAnsi="Arial" w:cs="Arial"/>
                <w:sz w:val="20"/>
                <w:szCs w:val="20"/>
              </w:rPr>
              <w:t>kg·m²</w:t>
            </w:r>
          </w:p>
        </w:tc>
      </w:tr>
      <w:tr w:rsidR="00DD0D91" w:rsidRPr="00A63840" w14:paraId="2DA3CA29" w14:textId="77777777" w:rsidTr="006D40F6">
        <w:trPr>
          <w:trHeight w:val="252"/>
          <w:jc w:val="center"/>
        </w:trPr>
        <w:tc>
          <w:tcPr>
            <w:tcW w:w="0" w:type="auto"/>
            <w:hideMark/>
          </w:tcPr>
          <w:p w14:paraId="110F90C0" w14:textId="77777777" w:rsidR="00DD0D91" w:rsidRPr="00A63840" w:rsidRDefault="00DD0D91" w:rsidP="001E346E">
            <w:pPr>
              <w:rPr>
                <w:rFonts w:ascii="Arial" w:hAnsi="Arial" w:cs="Arial"/>
                <w:sz w:val="20"/>
                <w:szCs w:val="20"/>
              </w:rPr>
            </w:pPr>
            <w:r w:rsidRPr="00A63840">
              <w:rPr>
                <w:rFonts w:ascii="Arial" w:hAnsi="Arial" w:cs="Arial"/>
                <w:sz w:val="20"/>
                <w:szCs w:val="20"/>
              </w:rPr>
              <w:t>Moment of Inertia (y-axis)</w:t>
            </w:r>
          </w:p>
        </w:tc>
        <w:tc>
          <w:tcPr>
            <w:tcW w:w="0" w:type="auto"/>
            <w:hideMark/>
          </w:tcPr>
          <w:p w14:paraId="1D30E0FB" w14:textId="77777777" w:rsidR="00DD0D91" w:rsidRPr="00A63840" w:rsidRDefault="00DD0D91" w:rsidP="001E346E">
            <w:pPr>
              <w:rPr>
                <w:rFonts w:ascii="Arial" w:hAnsi="Arial" w:cs="Arial"/>
                <w:sz w:val="20"/>
                <w:szCs w:val="20"/>
              </w:rPr>
            </w:pPr>
            <w:proofErr w:type="spellStart"/>
            <w:r w:rsidRPr="00A63840">
              <w:rPr>
                <w:rFonts w:ascii="Arial" w:hAnsi="Arial" w:cs="Arial"/>
                <w:sz w:val="20"/>
                <w:szCs w:val="20"/>
              </w:rPr>
              <w:t>Iyy</w:t>
            </w:r>
            <w:proofErr w:type="spellEnd"/>
            <w:r w:rsidRPr="00A63840">
              <w:rPr>
                <w:rFonts w:ascii="Arial" w:hAnsi="Arial" w:cs="Arial"/>
                <w:sz w:val="20"/>
                <w:szCs w:val="20"/>
              </w:rPr>
              <w:t>​</w:t>
            </w:r>
          </w:p>
        </w:tc>
        <w:tc>
          <w:tcPr>
            <w:tcW w:w="0" w:type="auto"/>
            <w:hideMark/>
          </w:tcPr>
          <w:p w14:paraId="7733BEBE" w14:textId="77777777" w:rsidR="00DD0D91" w:rsidRPr="00A63840" w:rsidRDefault="00DD0D91" w:rsidP="001E346E">
            <w:pPr>
              <w:rPr>
                <w:rFonts w:ascii="Arial" w:hAnsi="Arial" w:cs="Arial"/>
                <w:sz w:val="20"/>
                <w:szCs w:val="20"/>
              </w:rPr>
            </w:pPr>
            <w:r w:rsidRPr="00A63840">
              <w:rPr>
                <w:rFonts w:ascii="Arial" w:hAnsi="Arial" w:cs="Arial"/>
                <w:sz w:val="20"/>
                <w:szCs w:val="20"/>
              </w:rPr>
              <w:t>10000</w:t>
            </w:r>
          </w:p>
        </w:tc>
        <w:tc>
          <w:tcPr>
            <w:tcW w:w="0" w:type="auto"/>
            <w:hideMark/>
          </w:tcPr>
          <w:p w14:paraId="17297CC2" w14:textId="77777777" w:rsidR="00DD0D91" w:rsidRPr="00A63840" w:rsidRDefault="00DD0D91" w:rsidP="001E346E">
            <w:pPr>
              <w:rPr>
                <w:rFonts w:ascii="Arial" w:hAnsi="Arial" w:cs="Arial"/>
                <w:sz w:val="20"/>
                <w:szCs w:val="20"/>
              </w:rPr>
            </w:pPr>
            <w:r w:rsidRPr="00A63840">
              <w:rPr>
                <w:rFonts w:ascii="Arial" w:hAnsi="Arial" w:cs="Arial"/>
                <w:sz w:val="20"/>
                <w:szCs w:val="20"/>
              </w:rPr>
              <w:t>kg·m²</w:t>
            </w:r>
          </w:p>
        </w:tc>
      </w:tr>
      <w:tr w:rsidR="00DD0D91" w:rsidRPr="00A63840" w14:paraId="18C7BF85" w14:textId="77777777" w:rsidTr="006D40F6">
        <w:trPr>
          <w:trHeight w:val="243"/>
          <w:jc w:val="center"/>
        </w:trPr>
        <w:tc>
          <w:tcPr>
            <w:tcW w:w="0" w:type="auto"/>
            <w:hideMark/>
          </w:tcPr>
          <w:p w14:paraId="7F8F5CC2" w14:textId="77777777" w:rsidR="00DD0D91" w:rsidRPr="00A63840" w:rsidRDefault="00DD0D91" w:rsidP="001E346E">
            <w:pPr>
              <w:rPr>
                <w:rFonts w:ascii="Arial" w:hAnsi="Arial" w:cs="Arial"/>
                <w:sz w:val="20"/>
                <w:szCs w:val="20"/>
              </w:rPr>
            </w:pPr>
            <w:r w:rsidRPr="00A63840">
              <w:rPr>
                <w:rFonts w:ascii="Arial" w:hAnsi="Arial" w:cs="Arial"/>
                <w:sz w:val="20"/>
                <w:szCs w:val="20"/>
              </w:rPr>
              <w:t>Product of Inertia (</w:t>
            </w:r>
            <w:proofErr w:type="spellStart"/>
            <w:r w:rsidRPr="00A63840">
              <w:rPr>
                <w:rFonts w:ascii="Arial" w:hAnsi="Arial" w:cs="Arial"/>
                <w:sz w:val="20"/>
                <w:szCs w:val="20"/>
              </w:rPr>
              <w:t>yz</w:t>
            </w:r>
            <w:proofErr w:type="spellEnd"/>
            <w:r w:rsidRPr="00A63840">
              <w:rPr>
                <w:rFonts w:ascii="Arial" w:hAnsi="Arial" w:cs="Arial"/>
                <w:sz w:val="20"/>
                <w:szCs w:val="20"/>
              </w:rPr>
              <w:t>-plane)</w:t>
            </w:r>
          </w:p>
        </w:tc>
        <w:tc>
          <w:tcPr>
            <w:tcW w:w="0" w:type="auto"/>
            <w:hideMark/>
          </w:tcPr>
          <w:p w14:paraId="39E684D3" w14:textId="77777777" w:rsidR="00DD0D91" w:rsidRPr="00A63840" w:rsidRDefault="00DD0D91" w:rsidP="001E346E">
            <w:pPr>
              <w:rPr>
                <w:rFonts w:ascii="Arial" w:hAnsi="Arial" w:cs="Arial"/>
                <w:sz w:val="20"/>
                <w:szCs w:val="20"/>
              </w:rPr>
            </w:pPr>
            <w:proofErr w:type="spellStart"/>
            <w:r w:rsidRPr="00A63840">
              <w:rPr>
                <w:rFonts w:ascii="Arial" w:hAnsi="Arial" w:cs="Arial"/>
                <w:sz w:val="20"/>
                <w:szCs w:val="20"/>
              </w:rPr>
              <w:t>Iyz</w:t>
            </w:r>
            <w:proofErr w:type="spellEnd"/>
            <w:r w:rsidRPr="00A63840">
              <w:rPr>
                <w:rFonts w:ascii="Arial" w:hAnsi="Arial" w:cs="Arial"/>
                <w:sz w:val="20"/>
                <w:szCs w:val="20"/>
              </w:rPr>
              <w:t>​</w:t>
            </w:r>
          </w:p>
        </w:tc>
        <w:tc>
          <w:tcPr>
            <w:tcW w:w="0" w:type="auto"/>
            <w:hideMark/>
          </w:tcPr>
          <w:p w14:paraId="5B82605A" w14:textId="77777777" w:rsidR="00DD0D91" w:rsidRPr="00A63840" w:rsidRDefault="00DD0D91" w:rsidP="001E346E">
            <w:pPr>
              <w:rPr>
                <w:rFonts w:ascii="Arial" w:hAnsi="Arial" w:cs="Arial"/>
                <w:sz w:val="20"/>
                <w:szCs w:val="20"/>
              </w:rPr>
            </w:pPr>
            <w:r w:rsidRPr="00A63840">
              <w:rPr>
                <w:rFonts w:ascii="Arial" w:hAnsi="Arial" w:cs="Arial"/>
                <w:sz w:val="20"/>
                <w:szCs w:val="20"/>
              </w:rPr>
              <w:t>0.0</w:t>
            </w:r>
          </w:p>
        </w:tc>
        <w:tc>
          <w:tcPr>
            <w:tcW w:w="0" w:type="auto"/>
            <w:hideMark/>
          </w:tcPr>
          <w:p w14:paraId="33B74466" w14:textId="77777777" w:rsidR="00DD0D91" w:rsidRPr="00A63840" w:rsidRDefault="00DD0D91" w:rsidP="001E346E">
            <w:pPr>
              <w:rPr>
                <w:rFonts w:ascii="Arial" w:hAnsi="Arial" w:cs="Arial"/>
                <w:sz w:val="20"/>
                <w:szCs w:val="20"/>
              </w:rPr>
            </w:pPr>
            <w:r w:rsidRPr="00A63840">
              <w:rPr>
                <w:rFonts w:ascii="Arial" w:hAnsi="Arial" w:cs="Arial"/>
                <w:sz w:val="20"/>
                <w:szCs w:val="20"/>
              </w:rPr>
              <w:t>kg·m²</w:t>
            </w:r>
          </w:p>
        </w:tc>
      </w:tr>
      <w:tr w:rsidR="00DD0D91" w:rsidRPr="00A63840" w14:paraId="08328834" w14:textId="77777777" w:rsidTr="006D40F6">
        <w:trPr>
          <w:trHeight w:val="252"/>
          <w:jc w:val="center"/>
        </w:trPr>
        <w:tc>
          <w:tcPr>
            <w:tcW w:w="0" w:type="auto"/>
            <w:hideMark/>
          </w:tcPr>
          <w:p w14:paraId="420B0937" w14:textId="77777777" w:rsidR="00DD0D91" w:rsidRPr="00A63840" w:rsidRDefault="00DD0D91" w:rsidP="001E346E">
            <w:pPr>
              <w:rPr>
                <w:rFonts w:ascii="Arial" w:hAnsi="Arial" w:cs="Arial"/>
                <w:sz w:val="20"/>
                <w:szCs w:val="20"/>
              </w:rPr>
            </w:pPr>
            <w:r w:rsidRPr="00A63840">
              <w:rPr>
                <w:rFonts w:ascii="Arial" w:hAnsi="Arial" w:cs="Arial"/>
                <w:sz w:val="20"/>
                <w:szCs w:val="20"/>
              </w:rPr>
              <w:t>Moment of Inertia (z-axis)</w:t>
            </w:r>
          </w:p>
        </w:tc>
        <w:tc>
          <w:tcPr>
            <w:tcW w:w="0" w:type="auto"/>
            <w:hideMark/>
          </w:tcPr>
          <w:p w14:paraId="3C6D49CA" w14:textId="77777777" w:rsidR="00DD0D91" w:rsidRPr="00A63840" w:rsidRDefault="00DD0D91" w:rsidP="001E346E">
            <w:pPr>
              <w:rPr>
                <w:rFonts w:ascii="Arial" w:hAnsi="Arial" w:cs="Arial"/>
                <w:sz w:val="20"/>
                <w:szCs w:val="20"/>
              </w:rPr>
            </w:pPr>
            <w:r w:rsidRPr="00A63840">
              <w:rPr>
                <w:rFonts w:ascii="Arial" w:hAnsi="Arial" w:cs="Arial"/>
                <w:sz w:val="20"/>
                <w:szCs w:val="20"/>
              </w:rPr>
              <w:t>Izz​</w:t>
            </w:r>
          </w:p>
        </w:tc>
        <w:tc>
          <w:tcPr>
            <w:tcW w:w="0" w:type="auto"/>
            <w:hideMark/>
          </w:tcPr>
          <w:p w14:paraId="47B496CF" w14:textId="77777777" w:rsidR="00DD0D91" w:rsidRPr="00A63840" w:rsidRDefault="00DD0D91" w:rsidP="001E346E">
            <w:pPr>
              <w:rPr>
                <w:rFonts w:ascii="Arial" w:hAnsi="Arial" w:cs="Arial"/>
                <w:sz w:val="20"/>
                <w:szCs w:val="20"/>
              </w:rPr>
            </w:pPr>
            <w:r w:rsidRPr="00A63840">
              <w:rPr>
                <w:rFonts w:ascii="Arial" w:hAnsi="Arial" w:cs="Arial"/>
                <w:sz w:val="20"/>
                <w:szCs w:val="20"/>
              </w:rPr>
              <w:t>9000</w:t>
            </w:r>
          </w:p>
        </w:tc>
        <w:tc>
          <w:tcPr>
            <w:tcW w:w="0" w:type="auto"/>
            <w:hideMark/>
          </w:tcPr>
          <w:p w14:paraId="760A6786" w14:textId="77777777" w:rsidR="00DD0D91" w:rsidRPr="00A63840" w:rsidRDefault="00DD0D91" w:rsidP="001E346E">
            <w:pPr>
              <w:rPr>
                <w:rFonts w:ascii="Arial" w:hAnsi="Arial" w:cs="Arial"/>
                <w:sz w:val="20"/>
                <w:szCs w:val="20"/>
              </w:rPr>
            </w:pPr>
            <w:r w:rsidRPr="00A63840">
              <w:rPr>
                <w:rFonts w:ascii="Arial" w:hAnsi="Arial" w:cs="Arial"/>
                <w:sz w:val="20"/>
                <w:szCs w:val="20"/>
              </w:rPr>
              <w:t>kg·m²</w:t>
            </w:r>
          </w:p>
        </w:tc>
      </w:tr>
    </w:tbl>
    <w:p w14:paraId="159FE492" w14:textId="77777777" w:rsidR="00DD0D91" w:rsidRPr="00A63840" w:rsidRDefault="00DD0D91" w:rsidP="00DD0D91">
      <w:pPr>
        <w:pStyle w:val="NormalWeb"/>
        <w:spacing w:before="0" w:beforeAutospacing="0" w:after="0" w:afterAutospacing="0"/>
        <w:contextualSpacing/>
        <w:jc w:val="center"/>
        <w:rPr>
          <w:rFonts w:ascii="Arial" w:hAnsi="Arial" w:cs="Arial"/>
          <w:b/>
          <w:bCs/>
          <w:sz w:val="20"/>
          <w:szCs w:val="20"/>
        </w:rPr>
      </w:pPr>
    </w:p>
    <w:p w14:paraId="321078ED" w14:textId="77777777" w:rsidR="00DD0D91" w:rsidRPr="00A63840" w:rsidRDefault="00DD0D91" w:rsidP="00DD0D91">
      <w:pPr>
        <w:pStyle w:val="NormalWeb"/>
        <w:spacing w:before="0" w:beforeAutospacing="0" w:after="0" w:afterAutospacing="0"/>
        <w:contextualSpacing/>
        <w:jc w:val="center"/>
        <w:rPr>
          <w:rFonts w:ascii="Arial" w:hAnsi="Arial" w:cs="Arial"/>
          <w:b/>
          <w:bCs/>
          <w:sz w:val="20"/>
          <w:szCs w:val="20"/>
        </w:rPr>
      </w:pPr>
      <w:r w:rsidRPr="00A63840">
        <w:rPr>
          <w:rFonts w:ascii="Arial" w:hAnsi="Arial" w:cs="Arial"/>
          <w:b/>
          <w:bCs/>
          <w:sz w:val="20"/>
          <w:szCs w:val="20"/>
        </w:rPr>
        <w:t>Table 6: Mass and Inertia Properties of the Body</w:t>
      </w:r>
    </w:p>
    <w:tbl>
      <w:tblPr>
        <w:tblStyle w:val="TableGrid"/>
        <w:tblW w:w="7993" w:type="dxa"/>
        <w:jc w:val="center"/>
        <w:tblLook w:val="04A0" w:firstRow="1" w:lastRow="0" w:firstColumn="1" w:lastColumn="0" w:noHBand="0" w:noVBand="1"/>
      </w:tblPr>
      <w:tblGrid>
        <w:gridCol w:w="3409"/>
        <w:gridCol w:w="1193"/>
        <w:gridCol w:w="2466"/>
        <w:gridCol w:w="925"/>
      </w:tblGrid>
      <w:tr w:rsidR="00DD0D91" w:rsidRPr="00A63840" w14:paraId="4080E3B8" w14:textId="77777777" w:rsidTr="006D40F6">
        <w:trPr>
          <w:trHeight w:val="186"/>
          <w:jc w:val="center"/>
        </w:trPr>
        <w:tc>
          <w:tcPr>
            <w:tcW w:w="0" w:type="auto"/>
            <w:hideMark/>
          </w:tcPr>
          <w:p w14:paraId="3CFBE54E" w14:textId="77777777" w:rsidR="00DD0D91" w:rsidRPr="00A63840" w:rsidRDefault="00DD0D91" w:rsidP="001E346E">
            <w:pPr>
              <w:jc w:val="center"/>
              <w:rPr>
                <w:rFonts w:ascii="Arial" w:hAnsi="Arial" w:cs="Arial"/>
                <w:b/>
                <w:bCs/>
                <w:sz w:val="20"/>
                <w:szCs w:val="20"/>
                <w:lang w:eastAsia="en-TT"/>
              </w:rPr>
            </w:pPr>
            <w:r w:rsidRPr="00A63840">
              <w:rPr>
                <w:rFonts w:ascii="Arial" w:hAnsi="Arial" w:cs="Arial"/>
                <w:b/>
                <w:bCs/>
                <w:sz w:val="20"/>
                <w:szCs w:val="20"/>
                <w:lang w:eastAsia="en-TT"/>
              </w:rPr>
              <w:t>Property</w:t>
            </w:r>
          </w:p>
        </w:tc>
        <w:tc>
          <w:tcPr>
            <w:tcW w:w="0" w:type="auto"/>
            <w:hideMark/>
          </w:tcPr>
          <w:p w14:paraId="2698A692" w14:textId="77777777" w:rsidR="00DD0D91" w:rsidRPr="00A63840" w:rsidRDefault="00DD0D91" w:rsidP="001E346E">
            <w:pPr>
              <w:jc w:val="center"/>
              <w:rPr>
                <w:rFonts w:ascii="Arial" w:hAnsi="Arial" w:cs="Arial"/>
                <w:b/>
                <w:bCs/>
                <w:sz w:val="20"/>
                <w:szCs w:val="20"/>
                <w:lang w:eastAsia="en-TT"/>
              </w:rPr>
            </w:pPr>
            <w:r w:rsidRPr="00A63840">
              <w:rPr>
                <w:rFonts w:ascii="Arial" w:hAnsi="Arial" w:cs="Arial"/>
                <w:b/>
                <w:bCs/>
                <w:sz w:val="20"/>
                <w:szCs w:val="20"/>
                <w:lang w:eastAsia="en-TT"/>
              </w:rPr>
              <w:t>Symbol</w:t>
            </w:r>
          </w:p>
        </w:tc>
        <w:tc>
          <w:tcPr>
            <w:tcW w:w="0" w:type="auto"/>
            <w:hideMark/>
          </w:tcPr>
          <w:p w14:paraId="493B0295" w14:textId="77777777" w:rsidR="00DD0D91" w:rsidRPr="00A63840" w:rsidRDefault="00DD0D91" w:rsidP="001E346E">
            <w:pPr>
              <w:jc w:val="center"/>
              <w:rPr>
                <w:rFonts w:ascii="Arial" w:hAnsi="Arial" w:cs="Arial"/>
                <w:b/>
                <w:bCs/>
                <w:sz w:val="20"/>
                <w:szCs w:val="20"/>
                <w:lang w:eastAsia="en-TT"/>
              </w:rPr>
            </w:pPr>
            <w:r w:rsidRPr="00A63840">
              <w:rPr>
                <w:rFonts w:ascii="Arial" w:hAnsi="Arial" w:cs="Arial"/>
                <w:b/>
                <w:bCs/>
                <w:sz w:val="20"/>
                <w:szCs w:val="20"/>
                <w:lang w:eastAsia="en-TT"/>
              </w:rPr>
              <w:t>Value</w:t>
            </w:r>
          </w:p>
        </w:tc>
        <w:tc>
          <w:tcPr>
            <w:tcW w:w="0" w:type="auto"/>
            <w:hideMark/>
          </w:tcPr>
          <w:p w14:paraId="77DEFC45" w14:textId="77777777" w:rsidR="00DD0D91" w:rsidRPr="00A63840" w:rsidRDefault="00DD0D91" w:rsidP="001E346E">
            <w:pPr>
              <w:jc w:val="center"/>
              <w:rPr>
                <w:rFonts w:ascii="Arial" w:hAnsi="Arial" w:cs="Arial"/>
                <w:b/>
                <w:bCs/>
                <w:sz w:val="20"/>
                <w:szCs w:val="20"/>
                <w:lang w:eastAsia="en-TT"/>
              </w:rPr>
            </w:pPr>
            <w:r w:rsidRPr="00A63840">
              <w:rPr>
                <w:rFonts w:ascii="Arial" w:hAnsi="Arial" w:cs="Arial"/>
                <w:b/>
                <w:bCs/>
                <w:sz w:val="20"/>
                <w:szCs w:val="20"/>
                <w:lang w:eastAsia="en-TT"/>
              </w:rPr>
              <w:t>Unit</w:t>
            </w:r>
          </w:p>
        </w:tc>
      </w:tr>
      <w:tr w:rsidR="00DD0D91" w:rsidRPr="00A63840" w14:paraId="728170B0" w14:textId="77777777" w:rsidTr="006D40F6">
        <w:trPr>
          <w:trHeight w:val="193"/>
          <w:jc w:val="center"/>
        </w:trPr>
        <w:tc>
          <w:tcPr>
            <w:tcW w:w="0" w:type="auto"/>
            <w:hideMark/>
          </w:tcPr>
          <w:p w14:paraId="2BACDF0A"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Mass</w:t>
            </w:r>
          </w:p>
        </w:tc>
        <w:tc>
          <w:tcPr>
            <w:tcW w:w="0" w:type="auto"/>
            <w:hideMark/>
          </w:tcPr>
          <w:p w14:paraId="21F54A44"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m</w:t>
            </w:r>
          </w:p>
        </w:tc>
        <w:tc>
          <w:tcPr>
            <w:tcW w:w="0" w:type="auto"/>
            <w:hideMark/>
          </w:tcPr>
          <w:p w14:paraId="5A2EDF0E"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14,350</w:t>
            </w:r>
          </w:p>
        </w:tc>
        <w:tc>
          <w:tcPr>
            <w:tcW w:w="0" w:type="auto"/>
            <w:hideMark/>
          </w:tcPr>
          <w:p w14:paraId="532FF972"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kg</w:t>
            </w:r>
          </w:p>
        </w:tc>
      </w:tr>
      <w:tr w:rsidR="00DD0D91" w:rsidRPr="00A63840" w14:paraId="6A894DB0" w14:textId="77777777" w:rsidTr="006D40F6">
        <w:trPr>
          <w:trHeight w:val="186"/>
          <w:jc w:val="center"/>
        </w:trPr>
        <w:tc>
          <w:tcPr>
            <w:tcW w:w="0" w:type="auto"/>
            <w:hideMark/>
          </w:tcPr>
          <w:p w14:paraId="6ACD0DD1"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Radius of Gyration (x-axis)</w:t>
            </w:r>
          </w:p>
        </w:tc>
        <w:tc>
          <w:tcPr>
            <w:tcW w:w="0" w:type="auto"/>
            <w:hideMark/>
          </w:tcPr>
          <w:p w14:paraId="5797EAC2" w14:textId="77777777" w:rsidR="00DD0D91" w:rsidRPr="00A63840" w:rsidRDefault="00DD0D91" w:rsidP="001E346E">
            <w:pPr>
              <w:rPr>
                <w:rFonts w:ascii="Arial" w:hAnsi="Arial" w:cs="Arial"/>
                <w:sz w:val="20"/>
                <w:szCs w:val="20"/>
                <w:lang w:eastAsia="en-TT"/>
              </w:rPr>
            </w:pPr>
            <w:proofErr w:type="spellStart"/>
            <w:r w:rsidRPr="00A63840">
              <w:rPr>
                <w:rFonts w:ascii="Arial" w:hAnsi="Arial" w:cs="Arial"/>
                <w:sz w:val="20"/>
                <w:szCs w:val="20"/>
                <w:lang w:eastAsia="en-TT"/>
              </w:rPr>
              <w:t>Kxx</w:t>
            </w:r>
            <w:proofErr w:type="spellEnd"/>
            <w:r w:rsidRPr="00A63840">
              <w:rPr>
                <w:rFonts w:ascii="Arial" w:hAnsi="Arial" w:cs="Arial"/>
                <w:sz w:val="20"/>
                <w:szCs w:val="20"/>
                <w:lang w:eastAsia="en-TT"/>
              </w:rPr>
              <w:t>​</w:t>
            </w:r>
          </w:p>
        </w:tc>
        <w:tc>
          <w:tcPr>
            <w:tcW w:w="0" w:type="auto"/>
            <w:hideMark/>
          </w:tcPr>
          <w:p w14:paraId="7A15FA9A"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1.6272933428529</w:t>
            </w:r>
          </w:p>
        </w:tc>
        <w:tc>
          <w:tcPr>
            <w:tcW w:w="0" w:type="auto"/>
            <w:hideMark/>
          </w:tcPr>
          <w:p w14:paraId="383BD5E4"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m</w:t>
            </w:r>
          </w:p>
        </w:tc>
      </w:tr>
      <w:tr w:rsidR="00DD0D91" w:rsidRPr="00A63840" w14:paraId="6A9F0653" w14:textId="77777777" w:rsidTr="006D40F6">
        <w:trPr>
          <w:trHeight w:val="186"/>
          <w:jc w:val="center"/>
        </w:trPr>
        <w:tc>
          <w:tcPr>
            <w:tcW w:w="0" w:type="auto"/>
            <w:hideMark/>
          </w:tcPr>
          <w:p w14:paraId="30764C2E"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Radius of Gyration (y-axis)</w:t>
            </w:r>
          </w:p>
        </w:tc>
        <w:tc>
          <w:tcPr>
            <w:tcW w:w="0" w:type="auto"/>
            <w:hideMark/>
          </w:tcPr>
          <w:p w14:paraId="45554220" w14:textId="77777777" w:rsidR="00DD0D91" w:rsidRPr="00A63840" w:rsidRDefault="00DD0D91" w:rsidP="001E346E">
            <w:pPr>
              <w:rPr>
                <w:rFonts w:ascii="Arial" w:hAnsi="Arial" w:cs="Arial"/>
                <w:sz w:val="20"/>
                <w:szCs w:val="20"/>
                <w:lang w:eastAsia="en-TT"/>
              </w:rPr>
            </w:pPr>
            <w:proofErr w:type="spellStart"/>
            <w:r w:rsidRPr="00A63840">
              <w:rPr>
                <w:rFonts w:ascii="Arial" w:hAnsi="Arial" w:cs="Arial"/>
                <w:sz w:val="20"/>
                <w:szCs w:val="20"/>
                <w:lang w:eastAsia="en-TT"/>
              </w:rPr>
              <w:t>Kyy</w:t>
            </w:r>
            <w:proofErr w:type="spellEnd"/>
            <w:r w:rsidRPr="00A63840">
              <w:rPr>
                <w:rFonts w:ascii="Arial" w:hAnsi="Arial" w:cs="Arial"/>
                <w:sz w:val="20"/>
                <w:szCs w:val="20"/>
                <w:lang w:eastAsia="en-TT"/>
              </w:rPr>
              <w:t>​</w:t>
            </w:r>
          </w:p>
        </w:tc>
        <w:tc>
          <w:tcPr>
            <w:tcW w:w="0" w:type="auto"/>
            <w:hideMark/>
          </w:tcPr>
          <w:p w14:paraId="72D68F0D"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1.97545919329918</w:t>
            </w:r>
          </w:p>
        </w:tc>
        <w:tc>
          <w:tcPr>
            <w:tcW w:w="0" w:type="auto"/>
            <w:hideMark/>
          </w:tcPr>
          <w:p w14:paraId="2C3AE63A"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m</w:t>
            </w:r>
          </w:p>
        </w:tc>
      </w:tr>
      <w:tr w:rsidR="00DD0D91" w:rsidRPr="00A63840" w14:paraId="4B84B9CE" w14:textId="77777777" w:rsidTr="006D40F6">
        <w:trPr>
          <w:trHeight w:val="193"/>
          <w:jc w:val="center"/>
        </w:trPr>
        <w:tc>
          <w:tcPr>
            <w:tcW w:w="0" w:type="auto"/>
            <w:hideMark/>
          </w:tcPr>
          <w:p w14:paraId="71C29463"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Radius of Gyration (z-axis)</w:t>
            </w:r>
          </w:p>
        </w:tc>
        <w:tc>
          <w:tcPr>
            <w:tcW w:w="0" w:type="auto"/>
            <w:hideMark/>
          </w:tcPr>
          <w:p w14:paraId="50C38BEE" w14:textId="77777777" w:rsidR="00DD0D91" w:rsidRPr="00A63840" w:rsidRDefault="00DD0D91" w:rsidP="001E346E">
            <w:pPr>
              <w:rPr>
                <w:rFonts w:ascii="Arial" w:hAnsi="Arial" w:cs="Arial"/>
                <w:sz w:val="20"/>
                <w:szCs w:val="20"/>
                <w:lang w:eastAsia="en-TT"/>
              </w:rPr>
            </w:pPr>
            <w:proofErr w:type="spellStart"/>
            <w:r w:rsidRPr="00A63840">
              <w:rPr>
                <w:rFonts w:ascii="Arial" w:hAnsi="Arial" w:cs="Arial"/>
                <w:sz w:val="20"/>
                <w:szCs w:val="20"/>
                <w:lang w:eastAsia="en-TT"/>
              </w:rPr>
              <w:t>Kzz</w:t>
            </w:r>
            <w:proofErr w:type="spellEnd"/>
            <w:r w:rsidRPr="00A63840">
              <w:rPr>
                <w:rFonts w:ascii="Arial" w:hAnsi="Arial" w:cs="Arial"/>
                <w:sz w:val="20"/>
                <w:szCs w:val="20"/>
                <w:lang w:eastAsia="en-TT"/>
              </w:rPr>
              <w:t>​</w:t>
            </w:r>
          </w:p>
        </w:tc>
        <w:tc>
          <w:tcPr>
            <w:tcW w:w="0" w:type="auto"/>
            <w:hideMark/>
          </w:tcPr>
          <w:p w14:paraId="78DC0DF0"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1.6272933428529</w:t>
            </w:r>
          </w:p>
        </w:tc>
        <w:tc>
          <w:tcPr>
            <w:tcW w:w="0" w:type="auto"/>
            <w:hideMark/>
          </w:tcPr>
          <w:p w14:paraId="2D0FA048"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m</w:t>
            </w:r>
          </w:p>
        </w:tc>
      </w:tr>
      <w:tr w:rsidR="00DD0D91" w:rsidRPr="00A63840" w14:paraId="473320CE" w14:textId="77777777" w:rsidTr="006D40F6">
        <w:trPr>
          <w:trHeight w:val="186"/>
          <w:jc w:val="center"/>
        </w:trPr>
        <w:tc>
          <w:tcPr>
            <w:tcW w:w="0" w:type="auto"/>
            <w:hideMark/>
          </w:tcPr>
          <w:p w14:paraId="3DD8F0E6"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Moment of Inertia (x-axis)</w:t>
            </w:r>
          </w:p>
        </w:tc>
        <w:tc>
          <w:tcPr>
            <w:tcW w:w="0" w:type="auto"/>
            <w:hideMark/>
          </w:tcPr>
          <w:p w14:paraId="469E71F5" w14:textId="77777777" w:rsidR="00DD0D91" w:rsidRPr="00A63840" w:rsidRDefault="00DD0D91" w:rsidP="001E346E">
            <w:pPr>
              <w:rPr>
                <w:rFonts w:ascii="Arial" w:hAnsi="Arial" w:cs="Arial"/>
                <w:sz w:val="20"/>
                <w:szCs w:val="20"/>
                <w:lang w:eastAsia="en-TT"/>
              </w:rPr>
            </w:pPr>
            <w:proofErr w:type="spellStart"/>
            <w:r w:rsidRPr="00A63840">
              <w:rPr>
                <w:rFonts w:ascii="Arial" w:hAnsi="Arial" w:cs="Arial"/>
                <w:sz w:val="20"/>
                <w:szCs w:val="20"/>
                <w:lang w:eastAsia="en-TT"/>
              </w:rPr>
              <w:t>Ixx</w:t>
            </w:r>
            <w:proofErr w:type="spellEnd"/>
            <w:r w:rsidRPr="00A63840">
              <w:rPr>
                <w:rFonts w:ascii="Arial" w:hAnsi="Arial" w:cs="Arial"/>
                <w:sz w:val="20"/>
                <w:szCs w:val="20"/>
                <w:lang w:eastAsia="en-TT"/>
              </w:rPr>
              <w:t>​</w:t>
            </w:r>
          </w:p>
        </w:tc>
        <w:tc>
          <w:tcPr>
            <w:tcW w:w="0" w:type="auto"/>
            <w:hideMark/>
          </w:tcPr>
          <w:p w14:paraId="4786AC01"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38,000</w:t>
            </w:r>
          </w:p>
        </w:tc>
        <w:tc>
          <w:tcPr>
            <w:tcW w:w="0" w:type="auto"/>
            <w:hideMark/>
          </w:tcPr>
          <w:p w14:paraId="148180B3"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kg·m²</w:t>
            </w:r>
          </w:p>
        </w:tc>
      </w:tr>
      <w:tr w:rsidR="00DD0D91" w:rsidRPr="00A63840" w14:paraId="31465277" w14:textId="77777777" w:rsidTr="006D40F6">
        <w:trPr>
          <w:trHeight w:val="186"/>
          <w:jc w:val="center"/>
        </w:trPr>
        <w:tc>
          <w:tcPr>
            <w:tcW w:w="0" w:type="auto"/>
            <w:hideMark/>
          </w:tcPr>
          <w:p w14:paraId="0F7E4725"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Product of Inertia (</w:t>
            </w:r>
            <w:proofErr w:type="spellStart"/>
            <w:r w:rsidRPr="00A63840">
              <w:rPr>
                <w:rFonts w:ascii="Arial" w:hAnsi="Arial" w:cs="Arial"/>
                <w:sz w:val="20"/>
                <w:szCs w:val="20"/>
                <w:lang w:eastAsia="en-TT"/>
              </w:rPr>
              <w:t>xy</w:t>
            </w:r>
            <w:proofErr w:type="spellEnd"/>
            <w:r w:rsidRPr="00A63840">
              <w:rPr>
                <w:rFonts w:ascii="Arial" w:hAnsi="Arial" w:cs="Arial"/>
                <w:sz w:val="20"/>
                <w:szCs w:val="20"/>
                <w:lang w:eastAsia="en-TT"/>
              </w:rPr>
              <w:t>-plane)</w:t>
            </w:r>
          </w:p>
        </w:tc>
        <w:tc>
          <w:tcPr>
            <w:tcW w:w="0" w:type="auto"/>
            <w:hideMark/>
          </w:tcPr>
          <w:p w14:paraId="7A7C14C7" w14:textId="77777777" w:rsidR="00DD0D91" w:rsidRPr="00A63840" w:rsidRDefault="00DD0D91" w:rsidP="001E346E">
            <w:pPr>
              <w:rPr>
                <w:rFonts w:ascii="Arial" w:hAnsi="Arial" w:cs="Arial"/>
                <w:sz w:val="20"/>
                <w:szCs w:val="20"/>
                <w:lang w:eastAsia="en-TT"/>
              </w:rPr>
            </w:pPr>
            <w:proofErr w:type="spellStart"/>
            <w:r w:rsidRPr="00A63840">
              <w:rPr>
                <w:rFonts w:ascii="Arial" w:hAnsi="Arial" w:cs="Arial"/>
                <w:sz w:val="20"/>
                <w:szCs w:val="20"/>
                <w:lang w:eastAsia="en-TT"/>
              </w:rPr>
              <w:t>Ixy</w:t>
            </w:r>
            <w:proofErr w:type="spellEnd"/>
            <w:r w:rsidRPr="00A63840">
              <w:rPr>
                <w:rFonts w:ascii="Arial" w:hAnsi="Arial" w:cs="Arial"/>
                <w:sz w:val="20"/>
                <w:szCs w:val="20"/>
                <w:lang w:eastAsia="en-TT"/>
              </w:rPr>
              <w:t>​</w:t>
            </w:r>
          </w:p>
        </w:tc>
        <w:tc>
          <w:tcPr>
            <w:tcW w:w="0" w:type="auto"/>
            <w:hideMark/>
          </w:tcPr>
          <w:p w14:paraId="05361B4B"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0.0</w:t>
            </w:r>
          </w:p>
        </w:tc>
        <w:tc>
          <w:tcPr>
            <w:tcW w:w="0" w:type="auto"/>
            <w:hideMark/>
          </w:tcPr>
          <w:p w14:paraId="07C1CF9C"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kg·m²</w:t>
            </w:r>
          </w:p>
        </w:tc>
      </w:tr>
      <w:tr w:rsidR="00DD0D91" w:rsidRPr="00A63840" w14:paraId="4DD1320E" w14:textId="77777777" w:rsidTr="006D40F6">
        <w:trPr>
          <w:trHeight w:val="193"/>
          <w:jc w:val="center"/>
        </w:trPr>
        <w:tc>
          <w:tcPr>
            <w:tcW w:w="0" w:type="auto"/>
            <w:hideMark/>
          </w:tcPr>
          <w:p w14:paraId="71D65AF2"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Product of Inertia (</w:t>
            </w:r>
            <w:proofErr w:type="spellStart"/>
            <w:r w:rsidRPr="00A63840">
              <w:rPr>
                <w:rFonts w:ascii="Arial" w:hAnsi="Arial" w:cs="Arial"/>
                <w:sz w:val="20"/>
                <w:szCs w:val="20"/>
                <w:lang w:eastAsia="en-TT"/>
              </w:rPr>
              <w:t>xz</w:t>
            </w:r>
            <w:proofErr w:type="spellEnd"/>
            <w:r w:rsidRPr="00A63840">
              <w:rPr>
                <w:rFonts w:ascii="Arial" w:hAnsi="Arial" w:cs="Arial"/>
                <w:sz w:val="20"/>
                <w:szCs w:val="20"/>
                <w:lang w:eastAsia="en-TT"/>
              </w:rPr>
              <w:t>-plane)</w:t>
            </w:r>
          </w:p>
        </w:tc>
        <w:tc>
          <w:tcPr>
            <w:tcW w:w="0" w:type="auto"/>
            <w:hideMark/>
          </w:tcPr>
          <w:p w14:paraId="476BED33" w14:textId="77777777" w:rsidR="00DD0D91" w:rsidRPr="00A63840" w:rsidRDefault="00DD0D91" w:rsidP="001E346E">
            <w:pPr>
              <w:rPr>
                <w:rFonts w:ascii="Arial" w:hAnsi="Arial" w:cs="Arial"/>
                <w:sz w:val="20"/>
                <w:szCs w:val="20"/>
                <w:lang w:eastAsia="en-TT"/>
              </w:rPr>
            </w:pPr>
            <w:proofErr w:type="spellStart"/>
            <w:r w:rsidRPr="00A63840">
              <w:rPr>
                <w:rFonts w:ascii="Arial" w:hAnsi="Arial" w:cs="Arial"/>
                <w:sz w:val="20"/>
                <w:szCs w:val="20"/>
                <w:lang w:eastAsia="en-TT"/>
              </w:rPr>
              <w:t>Ixz</w:t>
            </w:r>
            <w:proofErr w:type="spellEnd"/>
            <w:r w:rsidRPr="00A63840">
              <w:rPr>
                <w:rFonts w:ascii="Arial" w:hAnsi="Arial" w:cs="Arial"/>
                <w:sz w:val="20"/>
                <w:szCs w:val="20"/>
                <w:lang w:eastAsia="en-TT"/>
              </w:rPr>
              <w:t>​</w:t>
            </w:r>
          </w:p>
        </w:tc>
        <w:tc>
          <w:tcPr>
            <w:tcW w:w="0" w:type="auto"/>
            <w:hideMark/>
          </w:tcPr>
          <w:p w14:paraId="12779DF7"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0.0</w:t>
            </w:r>
          </w:p>
        </w:tc>
        <w:tc>
          <w:tcPr>
            <w:tcW w:w="0" w:type="auto"/>
            <w:hideMark/>
          </w:tcPr>
          <w:p w14:paraId="11F3B771"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kg·m²</w:t>
            </w:r>
          </w:p>
        </w:tc>
      </w:tr>
      <w:tr w:rsidR="00DD0D91" w:rsidRPr="00A63840" w14:paraId="3E1F7564" w14:textId="77777777" w:rsidTr="006D40F6">
        <w:trPr>
          <w:trHeight w:val="186"/>
          <w:jc w:val="center"/>
        </w:trPr>
        <w:tc>
          <w:tcPr>
            <w:tcW w:w="0" w:type="auto"/>
            <w:hideMark/>
          </w:tcPr>
          <w:p w14:paraId="6D7A3247"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Moment of Inertia (y-axis)</w:t>
            </w:r>
          </w:p>
        </w:tc>
        <w:tc>
          <w:tcPr>
            <w:tcW w:w="0" w:type="auto"/>
            <w:hideMark/>
          </w:tcPr>
          <w:p w14:paraId="03E7BCEA" w14:textId="77777777" w:rsidR="00DD0D91" w:rsidRPr="00A63840" w:rsidRDefault="00DD0D91" w:rsidP="001E346E">
            <w:pPr>
              <w:rPr>
                <w:rFonts w:ascii="Arial" w:hAnsi="Arial" w:cs="Arial"/>
                <w:sz w:val="20"/>
                <w:szCs w:val="20"/>
                <w:lang w:eastAsia="en-TT"/>
              </w:rPr>
            </w:pPr>
            <w:proofErr w:type="spellStart"/>
            <w:r w:rsidRPr="00A63840">
              <w:rPr>
                <w:rFonts w:ascii="Arial" w:hAnsi="Arial" w:cs="Arial"/>
                <w:sz w:val="20"/>
                <w:szCs w:val="20"/>
                <w:lang w:eastAsia="en-TT"/>
              </w:rPr>
              <w:t>Iyy</w:t>
            </w:r>
            <w:proofErr w:type="spellEnd"/>
            <w:r w:rsidRPr="00A63840">
              <w:rPr>
                <w:rFonts w:ascii="Arial" w:hAnsi="Arial" w:cs="Arial"/>
                <w:sz w:val="20"/>
                <w:szCs w:val="20"/>
                <w:lang w:eastAsia="en-TT"/>
              </w:rPr>
              <w:t>​</w:t>
            </w:r>
          </w:p>
        </w:tc>
        <w:tc>
          <w:tcPr>
            <w:tcW w:w="0" w:type="auto"/>
            <w:hideMark/>
          </w:tcPr>
          <w:p w14:paraId="6C471EDE"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56,000</w:t>
            </w:r>
          </w:p>
        </w:tc>
        <w:tc>
          <w:tcPr>
            <w:tcW w:w="0" w:type="auto"/>
            <w:hideMark/>
          </w:tcPr>
          <w:p w14:paraId="7F781DE2"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kg·m²</w:t>
            </w:r>
          </w:p>
        </w:tc>
      </w:tr>
      <w:tr w:rsidR="00DD0D91" w:rsidRPr="00A63840" w14:paraId="2709D9FF" w14:textId="77777777" w:rsidTr="006D40F6">
        <w:trPr>
          <w:trHeight w:val="186"/>
          <w:jc w:val="center"/>
        </w:trPr>
        <w:tc>
          <w:tcPr>
            <w:tcW w:w="0" w:type="auto"/>
            <w:hideMark/>
          </w:tcPr>
          <w:p w14:paraId="57E754C5"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Product of Inertia (</w:t>
            </w:r>
            <w:proofErr w:type="spellStart"/>
            <w:r w:rsidRPr="00A63840">
              <w:rPr>
                <w:rFonts w:ascii="Arial" w:hAnsi="Arial" w:cs="Arial"/>
                <w:sz w:val="20"/>
                <w:szCs w:val="20"/>
                <w:lang w:eastAsia="en-TT"/>
              </w:rPr>
              <w:t>yz</w:t>
            </w:r>
            <w:proofErr w:type="spellEnd"/>
            <w:r w:rsidRPr="00A63840">
              <w:rPr>
                <w:rFonts w:ascii="Arial" w:hAnsi="Arial" w:cs="Arial"/>
                <w:sz w:val="20"/>
                <w:szCs w:val="20"/>
                <w:lang w:eastAsia="en-TT"/>
              </w:rPr>
              <w:t>-plane)</w:t>
            </w:r>
          </w:p>
        </w:tc>
        <w:tc>
          <w:tcPr>
            <w:tcW w:w="0" w:type="auto"/>
            <w:hideMark/>
          </w:tcPr>
          <w:p w14:paraId="60ABE26E" w14:textId="77777777" w:rsidR="00DD0D91" w:rsidRPr="00A63840" w:rsidRDefault="00DD0D91" w:rsidP="001E346E">
            <w:pPr>
              <w:rPr>
                <w:rFonts w:ascii="Arial" w:hAnsi="Arial" w:cs="Arial"/>
                <w:sz w:val="20"/>
                <w:szCs w:val="20"/>
                <w:lang w:eastAsia="en-TT"/>
              </w:rPr>
            </w:pPr>
            <w:proofErr w:type="spellStart"/>
            <w:r w:rsidRPr="00A63840">
              <w:rPr>
                <w:rFonts w:ascii="Arial" w:hAnsi="Arial" w:cs="Arial"/>
                <w:sz w:val="20"/>
                <w:szCs w:val="20"/>
                <w:lang w:eastAsia="en-TT"/>
              </w:rPr>
              <w:t>Iyz</w:t>
            </w:r>
            <w:proofErr w:type="spellEnd"/>
            <w:r w:rsidRPr="00A63840">
              <w:rPr>
                <w:rFonts w:ascii="Arial" w:hAnsi="Arial" w:cs="Arial"/>
                <w:sz w:val="20"/>
                <w:szCs w:val="20"/>
                <w:lang w:eastAsia="en-TT"/>
              </w:rPr>
              <w:t>​</w:t>
            </w:r>
          </w:p>
        </w:tc>
        <w:tc>
          <w:tcPr>
            <w:tcW w:w="0" w:type="auto"/>
            <w:hideMark/>
          </w:tcPr>
          <w:p w14:paraId="3D1A8023"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0.0</w:t>
            </w:r>
          </w:p>
        </w:tc>
        <w:tc>
          <w:tcPr>
            <w:tcW w:w="0" w:type="auto"/>
            <w:hideMark/>
          </w:tcPr>
          <w:p w14:paraId="3CB280F4"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kg·m²</w:t>
            </w:r>
          </w:p>
        </w:tc>
      </w:tr>
      <w:tr w:rsidR="00DD0D91" w:rsidRPr="00A63840" w14:paraId="2C74DD76" w14:textId="77777777" w:rsidTr="006D40F6">
        <w:trPr>
          <w:trHeight w:val="193"/>
          <w:jc w:val="center"/>
        </w:trPr>
        <w:tc>
          <w:tcPr>
            <w:tcW w:w="0" w:type="auto"/>
            <w:hideMark/>
          </w:tcPr>
          <w:p w14:paraId="3FFCDECF"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Moment of Inertia (z-axis)</w:t>
            </w:r>
          </w:p>
        </w:tc>
        <w:tc>
          <w:tcPr>
            <w:tcW w:w="0" w:type="auto"/>
            <w:hideMark/>
          </w:tcPr>
          <w:p w14:paraId="62FC7680"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Izz​</w:t>
            </w:r>
          </w:p>
        </w:tc>
        <w:tc>
          <w:tcPr>
            <w:tcW w:w="0" w:type="auto"/>
            <w:hideMark/>
          </w:tcPr>
          <w:p w14:paraId="0A5AFB66"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38,000</w:t>
            </w:r>
          </w:p>
        </w:tc>
        <w:tc>
          <w:tcPr>
            <w:tcW w:w="0" w:type="auto"/>
            <w:hideMark/>
          </w:tcPr>
          <w:p w14:paraId="5F6B24EF" w14:textId="77777777" w:rsidR="00DD0D91" w:rsidRPr="00A63840" w:rsidRDefault="00DD0D91" w:rsidP="001E346E">
            <w:pPr>
              <w:rPr>
                <w:rFonts w:ascii="Arial" w:hAnsi="Arial" w:cs="Arial"/>
                <w:sz w:val="20"/>
                <w:szCs w:val="20"/>
                <w:lang w:eastAsia="en-TT"/>
              </w:rPr>
            </w:pPr>
            <w:r w:rsidRPr="00A63840">
              <w:rPr>
                <w:rFonts w:ascii="Arial" w:hAnsi="Arial" w:cs="Arial"/>
                <w:sz w:val="20"/>
                <w:szCs w:val="20"/>
                <w:lang w:eastAsia="en-TT"/>
              </w:rPr>
              <w:t>kg·m²</w:t>
            </w:r>
          </w:p>
        </w:tc>
      </w:tr>
    </w:tbl>
    <w:p w14:paraId="1A60BC48" w14:textId="77777777" w:rsidR="00DD0D91" w:rsidRPr="00A63840" w:rsidRDefault="00DD0D91" w:rsidP="00DD0D91">
      <w:pPr>
        <w:pStyle w:val="NormalWeb"/>
        <w:spacing w:before="0" w:beforeAutospacing="0" w:after="0" w:afterAutospacing="0"/>
        <w:contextualSpacing/>
        <w:rPr>
          <w:rFonts w:ascii="Arial" w:hAnsi="Arial" w:cs="Arial"/>
          <w:sz w:val="20"/>
          <w:szCs w:val="20"/>
        </w:rPr>
      </w:pPr>
    </w:p>
    <w:p w14:paraId="0C23C36B" w14:textId="77777777" w:rsidR="00DD0D91" w:rsidRPr="00A63840" w:rsidRDefault="00DD0D91" w:rsidP="0035504C">
      <w:pPr>
        <w:pStyle w:val="NormalWeb"/>
        <w:spacing w:before="0" w:beforeAutospacing="0" w:after="0" w:afterAutospacing="0"/>
        <w:contextualSpacing/>
        <w:jc w:val="both"/>
        <w:rPr>
          <w:rFonts w:ascii="Arial" w:hAnsi="Arial" w:cs="Arial"/>
          <w:sz w:val="20"/>
          <w:szCs w:val="20"/>
        </w:rPr>
      </w:pPr>
      <w:r w:rsidRPr="00A63840">
        <w:rPr>
          <w:rFonts w:ascii="Arial" w:hAnsi="Arial" w:cs="Arial"/>
          <w:sz w:val="20"/>
          <w:szCs w:val="20"/>
        </w:rPr>
        <w:t>Hydrostatic analysis produced key equilibrium parameters including total displacement, centre of buoyancy (COB), metacentric height, and restoring stiffness. These results confirmed stable equilibrium conditions across all geometric configurations. Hydrodynamic coefficients were exported in LIS and AH</w:t>
      </w:r>
      <w:r w:rsidRPr="00A63840">
        <w:rPr>
          <w:rStyle w:val="HTMLCode"/>
          <w:rFonts w:ascii="Arial" w:hAnsi="Arial" w:cs="Arial"/>
        </w:rPr>
        <w:t>1</w:t>
      </w:r>
      <w:r w:rsidRPr="00A63840">
        <w:rPr>
          <w:rFonts w:ascii="Arial" w:hAnsi="Arial" w:cs="Arial"/>
          <w:sz w:val="20"/>
          <w:szCs w:val="20"/>
        </w:rPr>
        <w:t xml:space="preserve"> formats for subsequent time-domain processing.</w:t>
      </w:r>
    </w:p>
    <w:p w14:paraId="530C8842" w14:textId="77777777" w:rsidR="00DD0D91" w:rsidRPr="00A63840" w:rsidRDefault="00DD0D91" w:rsidP="0035504C">
      <w:pPr>
        <w:pStyle w:val="NormalWeb"/>
        <w:spacing w:before="0" w:beforeAutospacing="0" w:after="0" w:afterAutospacing="0"/>
        <w:contextualSpacing/>
        <w:jc w:val="both"/>
        <w:rPr>
          <w:rFonts w:ascii="Arial" w:hAnsi="Arial" w:cs="Arial"/>
          <w:sz w:val="20"/>
          <w:szCs w:val="20"/>
        </w:rPr>
      </w:pPr>
    </w:p>
    <w:p w14:paraId="22D42225" w14:textId="1E89CA12" w:rsidR="00DD0D91" w:rsidRPr="00A63840" w:rsidRDefault="00AB185D" w:rsidP="0035504C">
      <w:pPr>
        <w:pStyle w:val="Heading2"/>
        <w:spacing w:before="0"/>
        <w:contextualSpacing/>
        <w:jc w:val="both"/>
        <w:rPr>
          <w:rFonts w:ascii="Arial" w:hAnsi="Arial" w:cs="Arial"/>
          <w:b/>
          <w:bCs/>
          <w:color w:val="auto"/>
          <w:sz w:val="20"/>
          <w:szCs w:val="20"/>
        </w:rPr>
      </w:pPr>
      <w:r w:rsidRPr="00A63840">
        <w:rPr>
          <w:rFonts w:ascii="Arial" w:hAnsi="Arial" w:cs="Arial"/>
          <w:b/>
          <w:bCs/>
          <w:color w:val="auto"/>
          <w:sz w:val="20"/>
          <w:szCs w:val="20"/>
        </w:rPr>
        <w:t>4</w:t>
      </w:r>
      <w:r w:rsidR="00DD0D91" w:rsidRPr="00A63840">
        <w:rPr>
          <w:rFonts w:ascii="Arial" w:hAnsi="Arial" w:cs="Arial"/>
          <w:b/>
          <w:bCs/>
          <w:color w:val="auto"/>
          <w:sz w:val="20"/>
          <w:szCs w:val="20"/>
        </w:rPr>
        <w:t>.4 Time-Domain Simulation Using WEC-Sim</w:t>
      </w:r>
    </w:p>
    <w:p w14:paraId="3F2EBAEF" w14:textId="77777777" w:rsidR="00DD0D91" w:rsidRPr="00A63840" w:rsidRDefault="00DD0D91" w:rsidP="0035504C">
      <w:pPr>
        <w:pStyle w:val="NormalWeb"/>
        <w:spacing w:before="0" w:beforeAutospacing="0" w:after="0" w:afterAutospacing="0"/>
        <w:contextualSpacing/>
        <w:jc w:val="both"/>
        <w:rPr>
          <w:rFonts w:ascii="Arial" w:hAnsi="Arial" w:cs="Arial"/>
          <w:sz w:val="20"/>
          <w:szCs w:val="20"/>
        </w:rPr>
      </w:pPr>
      <w:r w:rsidRPr="00A63840">
        <w:rPr>
          <w:rFonts w:ascii="Arial" w:hAnsi="Arial" w:cs="Arial"/>
          <w:sz w:val="20"/>
          <w:szCs w:val="20"/>
        </w:rPr>
        <w:t xml:space="preserve">Hydrodynamic output files were processed using the Boundary Element Method Input/Output (BEMIO) tool to generate </w:t>
      </w:r>
      <w:r w:rsidRPr="00A63840">
        <w:rPr>
          <w:rStyle w:val="HTMLCode"/>
          <w:rFonts w:ascii="Arial" w:hAnsi="Arial" w:cs="Arial"/>
        </w:rPr>
        <w:t>.h5</w:t>
      </w:r>
      <w:r w:rsidRPr="00A63840">
        <w:rPr>
          <w:rFonts w:ascii="Arial" w:hAnsi="Arial" w:cs="Arial"/>
          <w:sz w:val="20"/>
          <w:szCs w:val="20"/>
        </w:rPr>
        <w:t xml:space="preserve"> datasets compatible with WEC-Sim (Figure 11). </w:t>
      </w:r>
      <w:r w:rsidRPr="00A63840">
        <w:rPr>
          <w:rFonts w:ascii="Arial" w:hAnsi="Arial" w:cs="Arial"/>
          <w:sz w:val="20"/>
          <w:szCs w:val="20"/>
        </w:rPr>
        <w:lastRenderedPageBreak/>
        <w:t>The system response was then simulated in six degrees of freedom (surge, sway, heave, roll, pitch, yaw) under two wave excitation scenarios:</w:t>
      </w:r>
    </w:p>
    <w:p w14:paraId="7EC64653" w14:textId="77777777" w:rsidR="00DD0D91" w:rsidRPr="00A63840" w:rsidRDefault="00DD0D91" w:rsidP="0035504C">
      <w:pPr>
        <w:pStyle w:val="NormalWeb"/>
        <w:numPr>
          <w:ilvl w:val="0"/>
          <w:numId w:val="40"/>
        </w:numPr>
        <w:spacing w:before="0" w:beforeAutospacing="0" w:after="0" w:afterAutospacing="0"/>
        <w:contextualSpacing/>
        <w:jc w:val="both"/>
        <w:rPr>
          <w:rFonts w:ascii="Arial" w:hAnsi="Arial" w:cs="Arial"/>
          <w:sz w:val="20"/>
          <w:szCs w:val="20"/>
        </w:rPr>
      </w:pPr>
      <w:r w:rsidRPr="00A63840">
        <w:rPr>
          <w:rStyle w:val="Strong"/>
          <w:rFonts w:ascii="Arial" w:hAnsi="Arial" w:cs="Arial"/>
          <w:b w:val="0"/>
          <w:bCs w:val="0"/>
          <w:sz w:val="20"/>
          <w:szCs w:val="20"/>
        </w:rPr>
        <w:t>Constant wave height with varying wave period</w:t>
      </w:r>
    </w:p>
    <w:p w14:paraId="1784E6C0" w14:textId="77777777" w:rsidR="00DD0D91" w:rsidRPr="00A63840" w:rsidRDefault="00DD0D91" w:rsidP="0035504C">
      <w:pPr>
        <w:pStyle w:val="NormalWeb"/>
        <w:numPr>
          <w:ilvl w:val="0"/>
          <w:numId w:val="40"/>
        </w:numPr>
        <w:spacing w:before="0" w:beforeAutospacing="0" w:after="0" w:afterAutospacing="0"/>
        <w:contextualSpacing/>
        <w:jc w:val="both"/>
        <w:rPr>
          <w:rFonts w:ascii="Arial" w:hAnsi="Arial" w:cs="Arial"/>
          <w:sz w:val="20"/>
          <w:szCs w:val="20"/>
        </w:rPr>
      </w:pPr>
      <w:r w:rsidRPr="00A63840">
        <w:rPr>
          <w:rStyle w:val="Strong"/>
          <w:rFonts w:ascii="Arial" w:hAnsi="Arial" w:cs="Arial"/>
          <w:b w:val="0"/>
          <w:bCs w:val="0"/>
          <w:sz w:val="20"/>
          <w:szCs w:val="20"/>
        </w:rPr>
        <w:t>Constant wave period with varying wave height</w:t>
      </w:r>
    </w:p>
    <w:p w14:paraId="60950C52" w14:textId="77777777" w:rsidR="00DD0D91" w:rsidRPr="00A63840" w:rsidRDefault="00DD0D91" w:rsidP="0035504C">
      <w:pPr>
        <w:pStyle w:val="NormalWeb"/>
        <w:spacing w:before="0" w:beforeAutospacing="0" w:after="0" w:afterAutospacing="0"/>
        <w:contextualSpacing/>
        <w:jc w:val="both"/>
        <w:rPr>
          <w:rFonts w:ascii="Arial" w:hAnsi="Arial" w:cs="Arial"/>
          <w:sz w:val="20"/>
          <w:szCs w:val="20"/>
        </w:rPr>
      </w:pPr>
      <w:r w:rsidRPr="00A63840">
        <w:rPr>
          <w:rFonts w:ascii="Arial" w:hAnsi="Arial" w:cs="Arial"/>
          <w:sz w:val="20"/>
          <w:szCs w:val="20"/>
        </w:rPr>
        <w:t>Steady-state motion amplitudes, velocities, accelerations, and power outputs were extracted and tabulated.</w:t>
      </w:r>
    </w:p>
    <w:p w14:paraId="510684F3" w14:textId="77777777" w:rsidR="00DD0D91" w:rsidRPr="00A63840" w:rsidRDefault="00DD0D91" w:rsidP="00DD0D91">
      <w:pPr>
        <w:pStyle w:val="NormalWeb"/>
        <w:spacing w:before="0" w:beforeAutospacing="0" w:after="0" w:afterAutospacing="0"/>
        <w:contextualSpacing/>
        <w:jc w:val="center"/>
        <w:rPr>
          <w:rStyle w:val="Strong"/>
          <w:rFonts w:ascii="Arial" w:hAnsi="Arial" w:cs="Arial"/>
          <w:sz w:val="20"/>
          <w:szCs w:val="20"/>
        </w:rPr>
      </w:pPr>
      <w:r w:rsidRPr="00A63840">
        <w:rPr>
          <w:rStyle w:val="Strong"/>
          <w:rFonts w:ascii="Arial" w:hAnsi="Arial" w:cs="Arial"/>
          <w:noProof/>
          <w:sz w:val="20"/>
          <w:szCs w:val="20"/>
          <w:lang w:val="en-US" w:eastAsia="en-US"/>
        </w:rPr>
        <w:drawing>
          <wp:inline distT="0" distB="0" distL="0" distR="0" wp14:anchorId="793DDC8A" wp14:editId="5542904B">
            <wp:extent cx="2253615" cy="123175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2765" cy="1236751"/>
                    </a:xfrm>
                    <a:prstGeom prst="rect">
                      <a:avLst/>
                    </a:prstGeom>
                    <a:noFill/>
                  </pic:spPr>
                </pic:pic>
              </a:graphicData>
            </a:graphic>
          </wp:inline>
        </w:drawing>
      </w:r>
    </w:p>
    <w:p w14:paraId="02272BFB" w14:textId="77777777" w:rsidR="00DD0D91" w:rsidRPr="00A63840" w:rsidRDefault="00DD0D91" w:rsidP="00DD0D91">
      <w:pPr>
        <w:pStyle w:val="NormalWeb"/>
        <w:spacing w:before="0" w:beforeAutospacing="0" w:after="0" w:afterAutospacing="0"/>
        <w:contextualSpacing/>
        <w:jc w:val="center"/>
        <w:rPr>
          <w:rFonts w:ascii="Arial" w:hAnsi="Arial" w:cs="Arial"/>
          <w:sz w:val="20"/>
          <w:szCs w:val="20"/>
        </w:rPr>
      </w:pPr>
      <w:r w:rsidRPr="00A63840">
        <w:rPr>
          <w:rStyle w:val="Strong"/>
          <w:rFonts w:ascii="Arial" w:hAnsi="Arial" w:cs="Arial"/>
          <w:sz w:val="20"/>
          <w:szCs w:val="20"/>
        </w:rPr>
        <w:t>Figure 11. Definition of six rigid-body degrees of freedom in WEC-Sim.</w:t>
      </w:r>
    </w:p>
    <w:p w14:paraId="33CEFD86" w14:textId="77777777" w:rsidR="00DD0D91" w:rsidRPr="00A63840" w:rsidRDefault="00DD0D91" w:rsidP="00DD0D91">
      <w:pPr>
        <w:pStyle w:val="Heading2"/>
        <w:spacing w:before="0"/>
        <w:contextualSpacing/>
        <w:jc w:val="both"/>
        <w:rPr>
          <w:rFonts w:ascii="Arial" w:hAnsi="Arial" w:cs="Arial"/>
          <w:color w:val="auto"/>
          <w:sz w:val="20"/>
          <w:szCs w:val="20"/>
        </w:rPr>
      </w:pPr>
    </w:p>
    <w:p w14:paraId="26E0C025" w14:textId="2ADBA95B" w:rsidR="00DD0D91" w:rsidRPr="00A63840" w:rsidRDefault="00AB185D" w:rsidP="00DD0D91">
      <w:pPr>
        <w:pStyle w:val="Heading3"/>
        <w:spacing w:before="0"/>
        <w:rPr>
          <w:rFonts w:ascii="Arial" w:hAnsi="Arial" w:cs="Arial"/>
          <w:color w:val="auto"/>
          <w:sz w:val="20"/>
          <w:szCs w:val="20"/>
        </w:rPr>
      </w:pPr>
      <w:r w:rsidRPr="00A63840">
        <w:rPr>
          <w:rStyle w:val="Strong"/>
          <w:rFonts w:ascii="Arial" w:hAnsi="Arial" w:cs="Arial"/>
          <w:color w:val="auto"/>
          <w:sz w:val="20"/>
          <w:szCs w:val="20"/>
        </w:rPr>
        <w:t>4</w:t>
      </w:r>
      <w:r w:rsidR="00DD0D91" w:rsidRPr="00A63840">
        <w:rPr>
          <w:rStyle w:val="Strong"/>
          <w:rFonts w:ascii="Arial" w:hAnsi="Arial" w:cs="Arial"/>
          <w:color w:val="auto"/>
          <w:sz w:val="20"/>
          <w:szCs w:val="20"/>
        </w:rPr>
        <w:t>.5 Motion Response Under Constant Wave Height and Constant Wave Period</w:t>
      </w:r>
    </w:p>
    <w:p w14:paraId="17381A58"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The motion response of the device was evaluated under two controlled conditions: (</w:t>
      </w:r>
      <w:proofErr w:type="spellStart"/>
      <w:r w:rsidRPr="00A63840">
        <w:rPr>
          <w:rFonts w:ascii="Arial" w:hAnsi="Arial" w:cs="Arial"/>
          <w:sz w:val="20"/>
          <w:szCs w:val="20"/>
        </w:rPr>
        <w:t>i</w:t>
      </w:r>
      <w:proofErr w:type="spellEnd"/>
      <w:r w:rsidRPr="00A63840">
        <w:rPr>
          <w:rFonts w:ascii="Arial" w:hAnsi="Arial" w:cs="Arial"/>
          <w:sz w:val="20"/>
          <w:szCs w:val="20"/>
        </w:rPr>
        <w:t>) constant wave height with varying wave period, and (ii) constant wave period with varying wave height. Across all float configurations, surge and heave responses exhibited a monotonic increase with wave period, indicating stronger hydrodynamic excitation at lower wave frequencies. This trend suggests that the system approaches resonance under longer-period wave conditions, resulting in amplified oscillatory motion and increased energy capture potential.</w:t>
      </w:r>
    </w:p>
    <w:p w14:paraId="5E575FB5"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Among the tested layouts, the </w:t>
      </w:r>
      <w:r w:rsidRPr="00A63840">
        <w:rPr>
          <w:rStyle w:val="Strong"/>
          <w:rFonts w:ascii="Arial" w:hAnsi="Arial" w:cs="Arial"/>
          <w:b w:val="0"/>
          <w:bCs w:val="0"/>
          <w:sz w:val="20"/>
          <w:szCs w:val="20"/>
        </w:rPr>
        <w:t>middle float arrangement</w:t>
      </w:r>
      <w:r w:rsidRPr="00A63840">
        <w:rPr>
          <w:rFonts w:ascii="Arial" w:hAnsi="Arial" w:cs="Arial"/>
          <w:sz w:val="20"/>
          <w:szCs w:val="20"/>
        </w:rPr>
        <w:t xml:space="preserve"> consistently demonstrated superior dynamic performance. Under constant wave height conditions, this configuration produced the highest power output, reflecting improved resonance tuning and more effective hydrodynamic coupling between the interacting bodies. The enhanced response indicates a more optimal balance between radiation damping, excitation force alignment, and power take-off (PTO) efficiency.</w:t>
      </w:r>
    </w:p>
    <w:p w14:paraId="58FF965E"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Similarly, under constant wave period conditions, displacement amplitudes scaled approximately linearly with wave height across all degrees of freedom, confirming the proportional relationship between wave energy input and structural response. The middle configuration again exhibited the most favourable response characteristics, achieving higher motion amplification while maintaining system stability. This indicates that the arrangement effectively maximizes energy extraction without inducing excessive dynamic instability or structural loading.</w:t>
      </w:r>
    </w:p>
    <w:p w14:paraId="60387867"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Overall, the combined results confirm that float spatial configuration plays a critical role in governing motion response, resonance behaviour, and power absorption efficiency. The middle arrangement emerges as the most hydrodynamically efficient design, providing an optimal trade-off between excitation enhancement, motion controllability, and energy conversion performance.</w:t>
      </w:r>
    </w:p>
    <w:p w14:paraId="716FE29A" w14:textId="051DE742" w:rsidR="00DD0D91" w:rsidRPr="00A63840" w:rsidRDefault="00DD0D91" w:rsidP="00DD0D91">
      <w:pPr>
        <w:pStyle w:val="NormalWeb"/>
        <w:spacing w:before="0" w:beforeAutospacing="0" w:after="0" w:afterAutospacing="0"/>
        <w:jc w:val="both"/>
        <w:rPr>
          <w:rFonts w:ascii="Arial" w:hAnsi="Arial" w:cs="Arial"/>
          <w:sz w:val="20"/>
          <w:szCs w:val="20"/>
        </w:rPr>
      </w:pPr>
    </w:p>
    <w:p w14:paraId="47EE3443" w14:textId="42F3D2C1" w:rsidR="00AB185D" w:rsidRPr="00A63840" w:rsidRDefault="00AB185D" w:rsidP="001E346E">
      <w:pPr>
        <w:pStyle w:val="NomenclatureClauseTitle"/>
        <w:numPr>
          <w:ilvl w:val="0"/>
          <w:numId w:val="32"/>
        </w:numPr>
        <w:spacing w:before="0"/>
        <w:rPr>
          <w:rFonts w:cs="Arial"/>
          <w:color w:val="000000" w:themeColor="text1"/>
          <w:sz w:val="22"/>
          <w:szCs w:val="22"/>
        </w:rPr>
      </w:pPr>
      <w:r w:rsidRPr="00A63840">
        <w:rPr>
          <w:rFonts w:cs="Arial"/>
          <w:color w:val="000000" w:themeColor="text1"/>
          <w:sz w:val="22"/>
          <w:szCs w:val="22"/>
        </w:rPr>
        <w:t>RESULTS AND DISCUSSIONS</w:t>
      </w:r>
    </w:p>
    <w:p w14:paraId="1B2B95BB" w14:textId="247EECA1" w:rsidR="00DD0D91" w:rsidRPr="00A63840" w:rsidRDefault="00AB185D" w:rsidP="00DD0D91">
      <w:pPr>
        <w:pStyle w:val="Heading3"/>
        <w:spacing w:before="0"/>
        <w:rPr>
          <w:rFonts w:ascii="Arial" w:hAnsi="Arial" w:cs="Arial"/>
          <w:color w:val="auto"/>
          <w:sz w:val="20"/>
          <w:szCs w:val="20"/>
        </w:rPr>
      </w:pPr>
      <w:r w:rsidRPr="00A63840">
        <w:rPr>
          <w:rStyle w:val="Strong"/>
          <w:rFonts w:ascii="Arial" w:hAnsi="Arial" w:cs="Arial"/>
          <w:color w:val="auto"/>
          <w:sz w:val="20"/>
          <w:szCs w:val="20"/>
        </w:rPr>
        <w:t>5</w:t>
      </w:r>
      <w:r w:rsidR="00DD0D91" w:rsidRPr="00A63840">
        <w:rPr>
          <w:rStyle w:val="Strong"/>
          <w:rFonts w:ascii="Arial" w:hAnsi="Arial" w:cs="Arial"/>
          <w:color w:val="auto"/>
          <w:sz w:val="20"/>
          <w:szCs w:val="20"/>
        </w:rPr>
        <w:t>.1 Verification of Hydrostatic Stability Across Float Arrangements</w:t>
      </w:r>
    </w:p>
    <w:p w14:paraId="721BD59C"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Before evaluating the dynamic response results from WEC-Sim, hydrostatic equilibrium characteristics were examined to verify whether the intended design objectives for each float configuration had been achieved. The primary objective was to control the relative positioning of the </w:t>
      </w:r>
      <w:r w:rsidRPr="00A63840">
        <w:rPr>
          <w:rStyle w:val="Strong"/>
          <w:rFonts w:ascii="Arial" w:hAnsi="Arial" w:cs="Arial"/>
          <w:b w:val="0"/>
          <w:bCs w:val="0"/>
          <w:sz w:val="20"/>
          <w:szCs w:val="20"/>
        </w:rPr>
        <w:t>centre of gravity (COG)</w:t>
      </w:r>
      <w:r w:rsidRPr="00A63840">
        <w:rPr>
          <w:rFonts w:ascii="Arial" w:hAnsi="Arial" w:cs="Arial"/>
          <w:sz w:val="20"/>
          <w:szCs w:val="20"/>
        </w:rPr>
        <w:t xml:space="preserve"> and the </w:t>
      </w:r>
      <w:r w:rsidRPr="00A63840">
        <w:rPr>
          <w:rStyle w:val="Strong"/>
          <w:rFonts w:ascii="Arial" w:hAnsi="Arial" w:cs="Arial"/>
          <w:b w:val="0"/>
          <w:bCs w:val="0"/>
          <w:sz w:val="20"/>
          <w:szCs w:val="20"/>
        </w:rPr>
        <w:t>centre of buoyancy (COB)</w:t>
      </w:r>
      <w:r w:rsidRPr="00A63840">
        <w:rPr>
          <w:rFonts w:ascii="Arial" w:hAnsi="Arial" w:cs="Arial"/>
          <w:sz w:val="20"/>
          <w:szCs w:val="20"/>
        </w:rPr>
        <w:t xml:space="preserve"> in order to regulate stability and influence motion response.</w:t>
      </w:r>
    </w:p>
    <w:p w14:paraId="30DEC818" w14:textId="77777777" w:rsidR="00DD0D91" w:rsidRPr="00A63840" w:rsidRDefault="00DD0D91" w:rsidP="00DD0D91">
      <w:pPr>
        <w:pStyle w:val="NormalWeb"/>
        <w:spacing w:before="0" w:beforeAutospacing="0" w:after="0" w:afterAutospacing="0"/>
        <w:jc w:val="both"/>
        <w:rPr>
          <w:rFonts w:ascii="Arial" w:hAnsi="Arial" w:cs="Arial"/>
          <w:b/>
          <w:bCs/>
          <w:sz w:val="20"/>
          <w:szCs w:val="20"/>
        </w:rPr>
      </w:pPr>
      <w:r w:rsidRPr="00A63840">
        <w:rPr>
          <w:rFonts w:ascii="Arial" w:hAnsi="Arial" w:cs="Arial"/>
          <w:sz w:val="20"/>
          <w:szCs w:val="20"/>
        </w:rPr>
        <w:t xml:space="preserve">For the </w:t>
      </w:r>
      <w:r w:rsidRPr="00A63840">
        <w:rPr>
          <w:rStyle w:val="Strong"/>
          <w:rFonts w:ascii="Arial" w:hAnsi="Arial" w:cs="Arial"/>
          <w:b w:val="0"/>
          <w:bCs w:val="0"/>
          <w:sz w:val="20"/>
          <w:szCs w:val="20"/>
        </w:rPr>
        <w:t>upper arrangement</w:t>
      </w:r>
      <w:r w:rsidRPr="00A63840">
        <w:rPr>
          <w:rFonts w:ascii="Arial" w:hAnsi="Arial" w:cs="Arial"/>
          <w:b/>
          <w:bCs/>
          <w:sz w:val="20"/>
          <w:szCs w:val="20"/>
        </w:rPr>
        <w:t>,</w:t>
      </w:r>
      <w:r w:rsidRPr="00A63840">
        <w:rPr>
          <w:rFonts w:ascii="Arial" w:hAnsi="Arial" w:cs="Arial"/>
          <w:sz w:val="20"/>
          <w:szCs w:val="20"/>
        </w:rPr>
        <w:t xml:space="preserve"> the lowest float configuration attained the targeted hydrostatic condition, with the COB located at approximately −0.25 m and the COG at −0.24 m. This confirms that the desired near-neutral stability state was successfully achieved. In the </w:t>
      </w:r>
      <w:r w:rsidRPr="00A63840">
        <w:rPr>
          <w:rStyle w:val="Strong"/>
          <w:rFonts w:ascii="Arial" w:hAnsi="Arial" w:cs="Arial"/>
          <w:b w:val="0"/>
          <w:bCs w:val="0"/>
          <w:sz w:val="20"/>
          <w:szCs w:val="20"/>
        </w:rPr>
        <w:t xml:space="preserve">middle </w:t>
      </w:r>
      <w:r w:rsidRPr="00A63840">
        <w:rPr>
          <w:rStyle w:val="Strong"/>
          <w:rFonts w:ascii="Arial" w:hAnsi="Arial" w:cs="Arial"/>
          <w:b w:val="0"/>
          <w:bCs w:val="0"/>
          <w:sz w:val="20"/>
          <w:szCs w:val="20"/>
        </w:rPr>
        <w:lastRenderedPageBreak/>
        <w:t>configuration</w:t>
      </w:r>
      <w:r w:rsidRPr="00A63840">
        <w:rPr>
          <w:rFonts w:ascii="Arial" w:hAnsi="Arial" w:cs="Arial"/>
          <w:b/>
          <w:bCs/>
          <w:sz w:val="20"/>
          <w:szCs w:val="20"/>
        </w:rPr>
        <w:t>,</w:t>
      </w:r>
      <w:r w:rsidRPr="00A63840">
        <w:rPr>
          <w:rFonts w:ascii="Arial" w:hAnsi="Arial" w:cs="Arial"/>
          <w:sz w:val="20"/>
          <w:szCs w:val="20"/>
        </w:rPr>
        <w:t xml:space="preserve"> the COG was positioned below the COB, producing a </w:t>
      </w:r>
      <w:r w:rsidRPr="00A63840">
        <w:rPr>
          <w:rStyle w:val="Strong"/>
          <w:rFonts w:ascii="Arial" w:hAnsi="Arial" w:cs="Arial"/>
          <w:b w:val="0"/>
          <w:bCs w:val="0"/>
          <w:sz w:val="20"/>
          <w:szCs w:val="20"/>
        </w:rPr>
        <w:t>positive righting moment</w:t>
      </w:r>
      <w:r w:rsidRPr="00A63840">
        <w:rPr>
          <w:rFonts w:ascii="Arial" w:hAnsi="Arial" w:cs="Arial"/>
          <w:sz w:val="20"/>
          <w:szCs w:val="20"/>
        </w:rPr>
        <w:t xml:space="preserve"> and improved restoring stability. A comparable trend was observed for the </w:t>
      </w:r>
      <w:r w:rsidRPr="00A63840">
        <w:rPr>
          <w:rStyle w:val="Strong"/>
          <w:rFonts w:ascii="Arial" w:hAnsi="Arial" w:cs="Arial"/>
          <w:b w:val="0"/>
          <w:bCs w:val="0"/>
          <w:sz w:val="20"/>
          <w:szCs w:val="20"/>
        </w:rPr>
        <w:t>highest configuration</w:t>
      </w:r>
      <w:r w:rsidRPr="00A63840">
        <w:rPr>
          <w:rFonts w:ascii="Arial" w:hAnsi="Arial" w:cs="Arial"/>
          <w:b/>
          <w:bCs/>
          <w:sz w:val="20"/>
          <w:szCs w:val="20"/>
        </w:rPr>
        <w:t>,</w:t>
      </w:r>
      <w:r w:rsidRPr="00A63840">
        <w:rPr>
          <w:rFonts w:ascii="Arial" w:hAnsi="Arial" w:cs="Arial"/>
          <w:sz w:val="20"/>
          <w:szCs w:val="20"/>
        </w:rPr>
        <w:t xml:space="preserve"> where enhanced separation between the COG and COB further increased hydrostatic stability in the </w:t>
      </w:r>
      <w:r w:rsidRPr="00A63840">
        <w:rPr>
          <w:rStyle w:val="Strong"/>
          <w:rFonts w:ascii="Arial" w:hAnsi="Arial" w:cs="Arial"/>
          <w:b w:val="0"/>
          <w:bCs w:val="0"/>
          <w:sz w:val="20"/>
          <w:szCs w:val="20"/>
        </w:rPr>
        <w:t>lowest arrangement</w:t>
      </w:r>
      <w:r w:rsidRPr="00A63840">
        <w:rPr>
          <w:rFonts w:ascii="Arial" w:hAnsi="Arial" w:cs="Arial"/>
          <w:b/>
          <w:bCs/>
          <w:sz w:val="20"/>
          <w:szCs w:val="20"/>
        </w:rPr>
        <w:t>.</w:t>
      </w:r>
    </w:p>
    <w:p w14:paraId="6DAF1576" w14:textId="77777777" w:rsidR="00DD0D91" w:rsidRPr="00A63840" w:rsidRDefault="00DD0D91" w:rsidP="00DD0D91">
      <w:pPr>
        <w:pStyle w:val="NormalWeb"/>
        <w:spacing w:before="0" w:beforeAutospacing="0" w:after="0" w:afterAutospacing="0"/>
        <w:jc w:val="both"/>
        <w:rPr>
          <w:rFonts w:ascii="Arial" w:hAnsi="Arial" w:cs="Arial"/>
          <w:b/>
          <w:bCs/>
          <w:sz w:val="20"/>
          <w:szCs w:val="20"/>
        </w:rPr>
      </w:pPr>
      <w:r w:rsidRPr="00A63840">
        <w:rPr>
          <w:rFonts w:ascii="Arial" w:hAnsi="Arial" w:cs="Arial"/>
          <w:sz w:val="20"/>
          <w:szCs w:val="20"/>
        </w:rPr>
        <w:t xml:space="preserve">Overall, the progressive variation in COG–COB alignment across configurations establishes a systematic increase in hydrostatic stability. These differences are expected to significantly influence subsequent </w:t>
      </w:r>
      <w:r w:rsidRPr="00A63840">
        <w:rPr>
          <w:rStyle w:val="Strong"/>
          <w:rFonts w:ascii="Arial" w:hAnsi="Arial" w:cs="Arial"/>
          <w:b w:val="0"/>
          <w:bCs w:val="0"/>
          <w:sz w:val="20"/>
          <w:szCs w:val="20"/>
        </w:rPr>
        <w:t>dynamic response behaviour</w:t>
      </w:r>
      <w:r w:rsidRPr="00A63840">
        <w:rPr>
          <w:rFonts w:ascii="Arial" w:hAnsi="Arial" w:cs="Arial"/>
          <w:b/>
          <w:bCs/>
          <w:sz w:val="20"/>
          <w:szCs w:val="20"/>
        </w:rPr>
        <w:t xml:space="preserve">, </w:t>
      </w:r>
      <w:r w:rsidRPr="00A63840">
        <w:rPr>
          <w:rStyle w:val="Strong"/>
          <w:rFonts w:ascii="Arial" w:hAnsi="Arial" w:cs="Arial"/>
          <w:b w:val="0"/>
          <w:bCs w:val="0"/>
          <w:sz w:val="20"/>
          <w:szCs w:val="20"/>
        </w:rPr>
        <w:t>motion amplitude</w:t>
      </w:r>
      <w:r w:rsidRPr="00A63840">
        <w:rPr>
          <w:rFonts w:ascii="Arial" w:hAnsi="Arial" w:cs="Arial"/>
          <w:b/>
          <w:bCs/>
          <w:sz w:val="20"/>
          <w:szCs w:val="20"/>
        </w:rPr>
        <w:t xml:space="preserve">, and </w:t>
      </w:r>
      <w:r w:rsidRPr="00A63840">
        <w:rPr>
          <w:rStyle w:val="Strong"/>
          <w:rFonts w:ascii="Arial" w:hAnsi="Arial" w:cs="Arial"/>
          <w:b w:val="0"/>
          <w:bCs w:val="0"/>
          <w:sz w:val="20"/>
          <w:szCs w:val="20"/>
        </w:rPr>
        <w:t>wave energy absorption performance</w:t>
      </w:r>
      <w:r w:rsidRPr="00A63840">
        <w:rPr>
          <w:rFonts w:ascii="Arial" w:hAnsi="Arial" w:cs="Arial"/>
          <w:b/>
          <w:bCs/>
          <w:sz w:val="20"/>
          <w:szCs w:val="20"/>
        </w:rPr>
        <w:t>.</w:t>
      </w:r>
    </w:p>
    <w:p w14:paraId="70D73A6A" w14:textId="77777777" w:rsidR="00DD0D91" w:rsidRPr="00A63840" w:rsidRDefault="00DD0D91" w:rsidP="00DD0D91">
      <w:pPr>
        <w:pStyle w:val="NormalWeb"/>
        <w:tabs>
          <w:tab w:val="left" w:pos="5447"/>
        </w:tabs>
        <w:spacing w:before="0" w:beforeAutospacing="0" w:after="0" w:afterAutospacing="0"/>
        <w:jc w:val="both"/>
        <w:rPr>
          <w:rFonts w:ascii="Arial" w:hAnsi="Arial" w:cs="Arial"/>
          <w:sz w:val="20"/>
          <w:szCs w:val="20"/>
        </w:rPr>
      </w:pPr>
      <w:r w:rsidRPr="00A63840">
        <w:rPr>
          <w:rFonts w:ascii="Arial" w:hAnsi="Arial" w:cs="Arial"/>
          <w:sz w:val="20"/>
          <w:szCs w:val="20"/>
        </w:rPr>
        <w:tab/>
      </w:r>
    </w:p>
    <w:p w14:paraId="0BE8D9BD" w14:textId="760CBC15" w:rsidR="00DD0D91" w:rsidRPr="00A63840" w:rsidRDefault="00AB185D" w:rsidP="00DD0D91">
      <w:pPr>
        <w:pStyle w:val="Heading2"/>
        <w:spacing w:before="0"/>
        <w:rPr>
          <w:rFonts w:ascii="Arial" w:hAnsi="Arial" w:cs="Arial"/>
          <w:bCs/>
          <w:color w:val="auto"/>
          <w:sz w:val="20"/>
          <w:szCs w:val="20"/>
        </w:rPr>
      </w:pPr>
      <w:r w:rsidRPr="00A63840">
        <w:rPr>
          <w:rStyle w:val="Strong"/>
          <w:rFonts w:ascii="Arial" w:hAnsi="Arial" w:cs="Arial"/>
          <w:bCs w:val="0"/>
          <w:color w:val="auto"/>
          <w:sz w:val="20"/>
          <w:szCs w:val="20"/>
        </w:rPr>
        <w:t>5</w:t>
      </w:r>
      <w:r w:rsidR="00DD0D91" w:rsidRPr="00A63840">
        <w:rPr>
          <w:rStyle w:val="Strong"/>
          <w:rFonts w:ascii="Arial" w:hAnsi="Arial" w:cs="Arial"/>
          <w:bCs w:val="0"/>
          <w:color w:val="auto"/>
          <w:sz w:val="20"/>
          <w:szCs w:val="20"/>
        </w:rPr>
        <w:t>.2 Motion Response Under Constant Wave Height</w:t>
      </w:r>
    </w:p>
    <w:p w14:paraId="7EF5EA6B"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To enable direct comparative analysis, simulated motion response data were plotted and superimposed across configurations for each degree of freedom (DOF). Representative results are shown in </w:t>
      </w:r>
      <w:r w:rsidRPr="00A63840">
        <w:rPr>
          <w:rStyle w:val="Strong"/>
          <w:rFonts w:ascii="Arial" w:hAnsi="Arial" w:cs="Arial"/>
          <w:sz w:val="20"/>
          <w:szCs w:val="20"/>
        </w:rPr>
        <w:t>Figure 12</w:t>
      </w:r>
      <w:r w:rsidRPr="00A63840">
        <w:rPr>
          <w:rFonts w:ascii="Arial" w:hAnsi="Arial" w:cs="Arial"/>
          <w:b/>
          <w:bCs/>
          <w:sz w:val="20"/>
          <w:szCs w:val="20"/>
        </w:rPr>
        <w:t>,</w:t>
      </w:r>
      <w:r w:rsidRPr="00A63840">
        <w:rPr>
          <w:rFonts w:ascii="Arial" w:hAnsi="Arial" w:cs="Arial"/>
          <w:sz w:val="20"/>
          <w:szCs w:val="20"/>
        </w:rPr>
        <w:t xml:space="preserve"> which presents the surge response of Body 1 under varying wave periods.</w:t>
      </w:r>
    </w:p>
    <w:p w14:paraId="3B2F0501"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15DFD434" w14:textId="77777777" w:rsidR="00DD0D91" w:rsidRPr="00A63840" w:rsidRDefault="00DD0D91" w:rsidP="00DD0D91">
      <w:pPr>
        <w:pStyle w:val="NormalWeb"/>
        <w:spacing w:before="0" w:beforeAutospacing="0" w:after="0" w:afterAutospacing="0"/>
        <w:jc w:val="center"/>
        <w:rPr>
          <w:rFonts w:ascii="Arial" w:hAnsi="Arial" w:cs="Arial"/>
          <w:sz w:val="20"/>
          <w:szCs w:val="20"/>
        </w:rPr>
      </w:pPr>
      <w:r w:rsidRPr="00A63840">
        <w:rPr>
          <w:rFonts w:ascii="Arial" w:hAnsi="Arial" w:cs="Arial"/>
          <w:noProof/>
          <w:sz w:val="20"/>
          <w:szCs w:val="20"/>
          <w:lang w:val="en-US" w:eastAsia="en-US"/>
        </w:rPr>
        <w:drawing>
          <wp:inline distT="0" distB="0" distL="0" distR="0" wp14:anchorId="75A67851" wp14:editId="0E62AAEC">
            <wp:extent cx="4026361" cy="17994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6805" cy="1844384"/>
                    </a:xfrm>
                    <a:prstGeom prst="rect">
                      <a:avLst/>
                    </a:prstGeom>
                    <a:noFill/>
                  </pic:spPr>
                </pic:pic>
              </a:graphicData>
            </a:graphic>
          </wp:inline>
        </w:drawing>
      </w:r>
    </w:p>
    <w:p w14:paraId="46DC8464" w14:textId="77777777" w:rsidR="00DD0D91" w:rsidRPr="00A63840" w:rsidRDefault="00DD0D91" w:rsidP="00DD0D91">
      <w:pPr>
        <w:pStyle w:val="Heading3"/>
        <w:spacing w:before="0"/>
        <w:jc w:val="center"/>
        <w:rPr>
          <w:rStyle w:val="Strong"/>
          <w:rFonts w:ascii="Arial" w:hAnsi="Arial" w:cs="Arial"/>
          <w:color w:val="auto"/>
          <w:sz w:val="20"/>
          <w:szCs w:val="20"/>
        </w:rPr>
      </w:pPr>
      <w:r w:rsidRPr="00A63840">
        <w:rPr>
          <w:rStyle w:val="Strong"/>
          <w:rFonts w:ascii="Arial" w:hAnsi="Arial" w:cs="Arial"/>
          <w:color w:val="auto"/>
          <w:sz w:val="20"/>
          <w:szCs w:val="20"/>
        </w:rPr>
        <w:t xml:space="preserve">Figure 12. </w:t>
      </w:r>
      <w:r w:rsidRPr="00A63840">
        <w:rPr>
          <w:rFonts w:ascii="Arial" w:hAnsi="Arial" w:cs="Arial"/>
          <w:b/>
          <w:bCs/>
          <w:color w:val="auto"/>
          <w:sz w:val="20"/>
          <w:szCs w:val="20"/>
        </w:rPr>
        <w:t>Relationship Between</w:t>
      </w:r>
      <w:r w:rsidRPr="00A63840">
        <w:rPr>
          <w:rFonts w:ascii="Arial" w:hAnsi="Arial" w:cs="Arial"/>
          <w:color w:val="auto"/>
          <w:sz w:val="20"/>
          <w:szCs w:val="20"/>
        </w:rPr>
        <w:t xml:space="preserve"> </w:t>
      </w:r>
      <w:r w:rsidRPr="00A63840">
        <w:rPr>
          <w:rStyle w:val="Strong"/>
          <w:rFonts w:ascii="Arial" w:hAnsi="Arial" w:cs="Arial"/>
          <w:color w:val="auto"/>
          <w:sz w:val="20"/>
          <w:szCs w:val="20"/>
        </w:rPr>
        <w:t>Surge and Period for body 1</w:t>
      </w:r>
    </w:p>
    <w:p w14:paraId="14CFBE55" w14:textId="77777777" w:rsidR="00DD0D91" w:rsidRPr="00A63840" w:rsidRDefault="00DD0D91" w:rsidP="00DD0D91">
      <w:pPr>
        <w:pStyle w:val="Heading3"/>
        <w:spacing w:before="0"/>
        <w:rPr>
          <w:rFonts w:ascii="Arial" w:hAnsi="Arial" w:cs="Arial"/>
          <w:color w:val="auto"/>
          <w:sz w:val="20"/>
          <w:szCs w:val="20"/>
        </w:rPr>
      </w:pPr>
      <w:r w:rsidRPr="00A63840">
        <w:rPr>
          <w:rStyle w:val="Strong"/>
          <w:rFonts w:ascii="Arial" w:hAnsi="Arial" w:cs="Arial"/>
          <w:color w:val="auto"/>
          <w:sz w:val="20"/>
          <w:szCs w:val="20"/>
        </w:rPr>
        <w:t>Surge Response (Body 1)</w:t>
      </w:r>
    </w:p>
    <w:p w14:paraId="00C579BB"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As observed in </w:t>
      </w:r>
      <w:r w:rsidRPr="00A63840">
        <w:rPr>
          <w:rStyle w:val="Strong"/>
          <w:rFonts w:ascii="Arial" w:hAnsi="Arial" w:cs="Arial"/>
          <w:b w:val="0"/>
          <w:bCs w:val="0"/>
          <w:sz w:val="20"/>
          <w:szCs w:val="20"/>
        </w:rPr>
        <w:t>Figure 12</w:t>
      </w:r>
      <w:r w:rsidRPr="00A63840">
        <w:rPr>
          <w:rFonts w:ascii="Arial" w:hAnsi="Arial" w:cs="Arial"/>
          <w:sz w:val="20"/>
          <w:szCs w:val="20"/>
        </w:rPr>
        <w:t xml:space="preserve">, surge displacement exhibits an approximately linear increase with wave period. This trend is notable, as increasing period corresponds to decreasing wave frequency, which would conventionally reduce excitation. The observed behaviour suggests wave phase interactions that may induce </w:t>
      </w:r>
      <w:r w:rsidRPr="00A63840">
        <w:rPr>
          <w:rStyle w:val="Strong"/>
          <w:rFonts w:ascii="Arial" w:hAnsi="Arial" w:cs="Arial"/>
          <w:b w:val="0"/>
          <w:bCs w:val="0"/>
          <w:sz w:val="20"/>
          <w:szCs w:val="20"/>
        </w:rPr>
        <w:t>destructive interference</w:t>
      </w:r>
      <w:r w:rsidRPr="00A63840">
        <w:rPr>
          <w:rFonts w:ascii="Arial" w:hAnsi="Arial" w:cs="Arial"/>
          <w:b/>
          <w:bCs/>
          <w:sz w:val="20"/>
          <w:szCs w:val="20"/>
        </w:rPr>
        <w:t>,</w:t>
      </w:r>
      <w:r w:rsidRPr="00A63840">
        <w:rPr>
          <w:rFonts w:ascii="Arial" w:hAnsi="Arial" w:cs="Arial"/>
          <w:sz w:val="20"/>
          <w:szCs w:val="20"/>
        </w:rPr>
        <w:t xml:space="preserve"> limiting effective excitation due to opposing wave forces acting on the structure.</w:t>
      </w:r>
    </w:p>
    <w:p w14:paraId="32DBACE9"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Among the three configurations, the </w:t>
      </w:r>
      <w:r w:rsidRPr="00A63840">
        <w:rPr>
          <w:rStyle w:val="Strong"/>
          <w:rFonts w:ascii="Arial" w:hAnsi="Arial" w:cs="Arial"/>
          <w:b w:val="0"/>
          <w:bCs w:val="0"/>
          <w:sz w:val="20"/>
          <w:szCs w:val="20"/>
        </w:rPr>
        <w:t>highest arrangement consistently produced the</w:t>
      </w:r>
      <w:r w:rsidRPr="00A63840">
        <w:rPr>
          <w:rStyle w:val="Strong"/>
          <w:rFonts w:ascii="Arial" w:hAnsi="Arial" w:cs="Arial"/>
          <w:sz w:val="20"/>
          <w:szCs w:val="20"/>
        </w:rPr>
        <w:t xml:space="preserve"> </w:t>
      </w:r>
      <w:r w:rsidRPr="00A63840">
        <w:rPr>
          <w:rStyle w:val="Strong"/>
          <w:rFonts w:ascii="Arial" w:hAnsi="Arial" w:cs="Arial"/>
          <w:b w:val="0"/>
          <w:bCs w:val="0"/>
          <w:sz w:val="20"/>
          <w:szCs w:val="20"/>
        </w:rPr>
        <w:t>smallest surge response</w:t>
      </w:r>
      <w:r w:rsidRPr="00A63840">
        <w:rPr>
          <w:rFonts w:ascii="Arial" w:hAnsi="Arial" w:cs="Arial"/>
          <w:b/>
          <w:bCs/>
          <w:sz w:val="20"/>
          <w:szCs w:val="20"/>
        </w:rPr>
        <w:t>,</w:t>
      </w:r>
      <w:r w:rsidRPr="00A63840">
        <w:rPr>
          <w:rFonts w:ascii="Arial" w:hAnsi="Arial" w:cs="Arial"/>
          <w:sz w:val="20"/>
          <w:szCs w:val="20"/>
        </w:rPr>
        <w:t xml:space="preserve"> indicating greater hydrodynamic damping. The </w:t>
      </w:r>
      <w:r w:rsidRPr="00A63840">
        <w:rPr>
          <w:rStyle w:val="Strong"/>
          <w:rFonts w:ascii="Arial" w:hAnsi="Arial" w:cs="Arial"/>
          <w:b w:val="0"/>
          <w:bCs w:val="0"/>
          <w:sz w:val="20"/>
          <w:szCs w:val="20"/>
        </w:rPr>
        <w:t>middle arrangement exhibited slightly lower surge displacement than the lowest arrangement</w:t>
      </w:r>
      <w:r w:rsidRPr="00A63840">
        <w:rPr>
          <w:rFonts w:ascii="Arial" w:hAnsi="Arial" w:cs="Arial"/>
          <w:b/>
          <w:bCs/>
          <w:sz w:val="20"/>
          <w:szCs w:val="20"/>
        </w:rPr>
        <w:t>,</w:t>
      </w:r>
      <w:r w:rsidRPr="00A63840">
        <w:rPr>
          <w:rFonts w:ascii="Arial" w:hAnsi="Arial" w:cs="Arial"/>
          <w:sz w:val="20"/>
          <w:szCs w:val="20"/>
        </w:rPr>
        <w:t xml:space="preserve"> consistent with expectations based on improved stability and motion control.</w:t>
      </w:r>
    </w:p>
    <w:p w14:paraId="30854668" w14:textId="77777777" w:rsidR="00DD0D91" w:rsidRPr="00A63840" w:rsidRDefault="00DD0D91" w:rsidP="00DD0D91">
      <w:pPr>
        <w:pStyle w:val="Heading3"/>
        <w:spacing w:before="0"/>
        <w:rPr>
          <w:rStyle w:val="Strong"/>
          <w:rFonts w:ascii="Arial" w:hAnsi="Arial" w:cs="Arial"/>
          <w:b w:val="0"/>
          <w:bCs w:val="0"/>
          <w:sz w:val="20"/>
          <w:szCs w:val="20"/>
        </w:rPr>
      </w:pPr>
    </w:p>
    <w:p w14:paraId="03EAC802" w14:textId="77777777" w:rsidR="00DD0D91" w:rsidRPr="00A63840" w:rsidRDefault="00DD0D91" w:rsidP="00DD0D91">
      <w:pPr>
        <w:pStyle w:val="Heading3"/>
        <w:spacing w:before="0"/>
        <w:rPr>
          <w:rFonts w:ascii="Arial" w:hAnsi="Arial" w:cs="Arial"/>
          <w:color w:val="auto"/>
          <w:sz w:val="20"/>
          <w:szCs w:val="20"/>
        </w:rPr>
      </w:pPr>
      <w:r w:rsidRPr="00A63840">
        <w:rPr>
          <w:rStyle w:val="Strong"/>
          <w:rFonts w:ascii="Arial" w:hAnsi="Arial" w:cs="Arial"/>
          <w:color w:val="auto"/>
          <w:sz w:val="20"/>
          <w:szCs w:val="20"/>
        </w:rPr>
        <w:t>Heave Response (Body 1)</w:t>
      </w:r>
    </w:p>
    <w:p w14:paraId="6107A3BE"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The heave response of Body 1 is presented in </w:t>
      </w:r>
      <w:r w:rsidRPr="00A63840">
        <w:rPr>
          <w:rStyle w:val="Strong"/>
          <w:rFonts w:ascii="Arial" w:hAnsi="Arial" w:cs="Arial"/>
          <w:b w:val="0"/>
          <w:bCs w:val="0"/>
          <w:sz w:val="20"/>
          <w:szCs w:val="20"/>
        </w:rPr>
        <w:t>Figure 13</w:t>
      </w:r>
      <w:r w:rsidRPr="00A63840">
        <w:rPr>
          <w:rFonts w:ascii="Arial" w:hAnsi="Arial" w:cs="Arial"/>
          <w:sz w:val="20"/>
          <w:szCs w:val="20"/>
        </w:rPr>
        <w:t xml:space="preserve">. Unlike surge, heave motion increased </w:t>
      </w:r>
      <w:r w:rsidRPr="00A63840">
        <w:rPr>
          <w:rStyle w:val="Strong"/>
          <w:rFonts w:ascii="Arial" w:hAnsi="Arial" w:cs="Arial"/>
          <w:b w:val="0"/>
          <w:bCs w:val="0"/>
          <w:sz w:val="20"/>
          <w:szCs w:val="20"/>
        </w:rPr>
        <w:t>nonlinearly</w:t>
      </w:r>
      <w:r w:rsidRPr="00A63840">
        <w:rPr>
          <w:rFonts w:ascii="Arial" w:hAnsi="Arial" w:cs="Arial"/>
          <w:b/>
          <w:bCs/>
          <w:sz w:val="20"/>
          <w:szCs w:val="20"/>
        </w:rPr>
        <w:t>,</w:t>
      </w:r>
      <w:r w:rsidRPr="00A63840">
        <w:rPr>
          <w:rFonts w:ascii="Arial" w:hAnsi="Arial" w:cs="Arial"/>
          <w:sz w:val="20"/>
          <w:szCs w:val="20"/>
        </w:rPr>
        <w:t xml:space="preserve"> displaying an exponential rise with increasing wave period. This nonlinear amplification is attributed to resonance effects and phase-dependent wave-body interaction.</w:t>
      </w:r>
    </w:p>
    <w:p w14:paraId="7D219C41"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The </w:t>
      </w:r>
      <w:r w:rsidRPr="00A63840">
        <w:rPr>
          <w:rStyle w:val="Strong"/>
          <w:rFonts w:ascii="Arial" w:hAnsi="Arial" w:cs="Arial"/>
          <w:b w:val="0"/>
          <w:bCs w:val="0"/>
          <w:sz w:val="20"/>
          <w:szCs w:val="20"/>
        </w:rPr>
        <w:t>highest arrangement again demonstrated the lowest displacement</w:t>
      </w:r>
      <w:r w:rsidRPr="00A63840">
        <w:rPr>
          <w:rFonts w:ascii="Arial" w:hAnsi="Arial" w:cs="Arial"/>
          <w:b/>
          <w:bCs/>
          <w:sz w:val="20"/>
          <w:szCs w:val="20"/>
        </w:rPr>
        <w:t>,</w:t>
      </w:r>
      <w:r w:rsidRPr="00A63840">
        <w:rPr>
          <w:rFonts w:ascii="Arial" w:hAnsi="Arial" w:cs="Arial"/>
          <w:sz w:val="20"/>
          <w:szCs w:val="20"/>
        </w:rPr>
        <w:t xml:space="preserve"> while the </w:t>
      </w:r>
      <w:r w:rsidRPr="00A63840">
        <w:rPr>
          <w:rStyle w:val="Strong"/>
          <w:rFonts w:ascii="Arial" w:hAnsi="Arial" w:cs="Arial"/>
          <w:b w:val="0"/>
          <w:bCs w:val="0"/>
          <w:sz w:val="20"/>
          <w:szCs w:val="20"/>
        </w:rPr>
        <w:t>middle arrangement exceeded the lowest arrangement</w:t>
      </w:r>
      <w:r w:rsidRPr="00A63840">
        <w:rPr>
          <w:rFonts w:ascii="Arial" w:hAnsi="Arial" w:cs="Arial"/>
          <w:sz w:val="20"/>
          <w:szCs w:val="20"/>
        </w:rPr>
        <w:t xml:space="preserve"> in heave response. This counterintuitive behaviour is likely linked to hydrostatic stability characteristics: the lowest arrangement exhibits a </w:t>
      </w:r>
      <w:r w:rsidRPr="00A63840">
        <w:rPr>
          <w:rStyle w:val="Strong"/>
          <w:rFonts w:ascii="Arial" w:hAnsi="Arial" w:cs="Arial"/>
          <w:b w:val="0"/>
          <w:bCs w:val="0"/>
          <w:sz w:val="20"/>
          <w:szCs w:val="20"/>
        </w:rPr>
        <w:t>negative righting moment</w:t>
      </w:r>
      <w:r w:rsidRPr="00A63840">
        <w:rPr>
          <w:rFonts w:ascii="Arial" w:hAnsi="Arial" w:cs="Arial"/>
          <w:b/>
          <w:bCs/>
          <w:sz w:val="20"/>
          <w:szCs w:val="20"/>
        </w:rPr>
        <w:t>,</w:t>
      </w:r>
      <w:r w:rsidRPr="00A63840">
        <w:rPr>
          <w:rFonts w:ascii="Arial" w:hAnsi="Arial" w:cs="Arial"/>
          <w:sz w:val="20"/>
          <w:szCs w:val="20"/>
        </w:rPr>
        <w:t xml:space="preserve"> reducing its ability to oscillate in phase with incoming waves, thereby degrading motion efficiency. In contrast, the middle configuration maintains a </w:t>
      </w:r>
      <w:r w:rsidRPr="00A63840">
        <w:rPr>
          <w:rStyle w:val="Strong"/>
          <w:rFonts w:ascii="Arial" w:hAnsi="Arial" w:cs="Arial"/>
          <w:b w:val="0"/>
          <w:bCs w:val="0"/>
          <w:sz w:val="20"/>
          <w:szCs w:val="20"/>
        </w:rPr>
        <w:t>positive righting moment</w:t>
      </w:r>
      <w:r w:rsidRPr="00A63840">
        <w:rPr>
          <w:rFonts w:ascii="Arial" w:hAnsi="Arial" w:cs="Arial"/>
          <w:b/>
          <w:bCs/>
          <w:sz w:val="20"/>
          <w:szCs w:val="20"/>
        </w:rPr>
        <w:t>,</w:t>
      </w:r>
      <w:r w:rsidRPr="00A63840">
        <w:rPr>
          <w:rFonts w:ascii="Arial" w:hAnsi="Arial" w:cs="Arial"/>
          <w:sz w:val="20"/>
          <w:szCs w:val="20"/>
        </w:rPr>
        <w:t xml:space="preserve"> enabling more effective oscillatory coupling with wave excitation.</w:t>
      </w:r>
    </w:p>
    <w:p w14:paraId="0D746540"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455CF0A3" w14:textId="77777777" w:rsidR="00DD0D91" w:rsidRPr="00A63840" w:rsidRDefault="00DD0D91" w:rsidP="00DD0D91">
      <w:pPr>
        <w:pStyle w:val="Heading3"/>
        <w:spacing w:before="0"/>
        <w:jc w:val="center"/>
        <w:rPr>
          <w:rStyle w:val="Strong"/>
          <w:rFonts w:ascii="Arial" w:hAnsi="Arial" w:cs="Arial"/>
          <w:b w:val="0"/>
          <w:bCs w:val="0"/>
          <w:sz w:val="20"/>
          <w:szCs w:val="20"/>
        </w:rPr>
      </w:pPr>
      <w:r w:rsidRPr="00A63840">
        <w:rPr>
          <w:rStyle w:val="Strong"/>
          <w:rFonts w:ascii="Arial" w:hAnsi="Arial" w:cs="Arial"/>
          <w:b w:val="0"/>
          <w:bCs w:val="0"/>
          <w:noProof/>
          <w:sz w:val="20"/>
          <w:szCs w:val="20"/>
        </w:rPr>
        <w:lastRenderedPageBreak/>
        <w:drawing>
          <wp:inline distT="0" distB="0" distL="0" distR="0" wp14:anchorId="7A43DDFF" wp14:editId="18A87DAB">
            <wp:extent cx="3583876" cy="1881554"/>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8435" cy="1915448"/>
                    </a:xfrm>
                    <a:prstGeom prst="rect">
                      <a:avLst/>
                    </a:prstGeom>
                    <a:noFill/>
                  </pic:spPr>
                </pic:pic>
              </a:graphicData>
            </a:graphic>
          </wp:inline>
        </w:drawing>
      </w:r>
    </w:p>
    <w:p w14:paraId="19887363" w14:textId="77777777" w:rsidR="00DD0D91" w:rsidRPr="00A63840" w:rsidRDefault="00DD0D91" w:rsidP="00DD0D91">
      <w:pPr>
        <w:widowControl w:val="0"/>
        <w:ind w:right="114"/>
        <w:jc w:val="center"/>
        <w:rPr>
          <w:rFonts w:ascii="Arial" w:hAnsi="Arial" w:cs="Arial"/>
          <w:b/>
          <w:bCs/>
        </w:rPr>
      </w:pPr>
      <w:r w:rsidRPr="00A63840">
        <w:rPr>
          <w:rFonts w:ascii="Arial" w:hAnsi="Arial" w:cs="Arial"/>
          <w:b/>
          <w:bCs/>
        </w:rPr>
        <w:t>Fi</w:t>
      </w:r>
      <w:r w:rsidRPr="00A63840">
        <w:rPr>
          <w:rFonts w:ascii="Arial" w:hAnsi="Arial" w:cs="Arial"/>
          <w:b/>
          <w:bCs/>
          <w:spacing w:val="1"/>
        </w:rPr>
        <w:t>g</w:t>
      </w:r>
      <w:r w:rsidRPr="00A63840">
        <w:rPr>
          <w:rFonts w:ascii="Arial" w:hAnsi="Arial" w:cs="Arial"/>
          <w:b/>
          <w:bCs/>
          <w:spacing w:val="2"/>
        </w:rPr>
        <w:t>u</w:t>
      </w:r>
      <w:r w:rsidRPr="00A63840">
        <w:rPr>
          <w:rFonts w:ascii="Arial" w:hAnsi="Arial" w:cs="Arial"/>
          <w:b/>
          <w:bCs/>
        </w:rPr>
        <w:t>re</w:t>
      </w:r>
      <w:r w:rsidRPr="00A63840">
        <w:rPr>
          <w:rFonts w:ascii="Arial" w:hAnsi="Arial" w:cs="Arial"/>
          <w:b/>
          <w:bCs/>
          <w:spacing w:val="-2"/>
        </w:rPr>
        <w:t xml:space="preserve"> 13.</w:t>
      </w:r>
      <w:r w:rsidRPr="00A63840">
        <w:rPr>
          <w:rFonts w:ascii="Arial" w:hAnsi="Arial" w:cs="Arial"/>
          <w:b/>
          <w:bCs/>
          <w:spacing w:val="1"/>
        </w:rPr>
        <w:t xml:space="preserve"> </w:t>
      </w:r>
      <w:r w:rsidRPr="00A63840">
        <w:rPr>
          <w:rFonts w:ascii="Arial" w:hAnsi="Arial" w:cs="Arial"/>
          <w:b/>
          <w:bCs/>
        </w:rPr>
        <w:t>Relationship Between He</w:t>
      </w:r>
      <w:r w:rsidRPr="00A63840">
        <w:rPr>
          <w:rFonts w:ascii="Arial" w:hAnsi="Arial" w:cs="Arial"/>
          <w:b/>
          <w:bCs/>
          <w:spacing w:val="1"/>
        </w:rPr>
        <w:t>a</w:t>
      </w:r>
      <w:r w:rsidRPr="00A63840">
        <w:rPr>
          <w:rFonts w:ascii="Arial" w:hAnsi="Arial" w:cs="Arial"/>
          <w:b/>
          <w:bCs/>
        </w:rPr>
        <w:t>ve and Peri</w:t>
      </w:r>
      <w:r w:rsidRPr="00A63840">
        <w:rPr>
          <w:rFonts w:ascii="Arial" w:hAnsi="Arial" w:cs="Arial"/>
          <w:b/>
          <w:bCs/>
          <w:spacing w:val="-1"/>
        </w:rPr>
        <w:t>o</w:t>
      </w:r>
      <w:r w:rsidRPr="00A63840">
        <w:rPr>
          <w:rFonts w:ascii="Arial" w:hAnsi="Arial" w:cs="Arial"/>
          <w:b/>
          <w:bCs/>
        </w:rPr>
        <w:t>d</w:t>
      </w:r>
      <w:r w:rsidRPr="00A63840">
        <w:rPr>
          <w:rFonts w:ascii="Arial" w:hAnsi="Arial" w:cs="Arial"/>
          <w:b/>
          <w:bCs/>
          <w:spacing w:val="1"/>
        </w:rPr>
        <w:t xml:space="preserve"> for </w:t>
      </w:r>
      <w:r w:rsidRPr="00A63840">
        <w:rPr>
          <w:rFonts w:ascii="Arial" w:hAnsi="Arial" w:cs="Arial"/>
          <w:b/>
          <w:bCs/>
          <w:spacing w:val="-1"/>
        </w:rPr>
        <w:t>b</w:t>
      </w:r>
      <w:r w:rsidRPr="00A63840">
        <w:rPr>
          <w:rFonts w:ascii="Arial" w:hAnsi="Arial" w:cs="Arial"/>
          <w:b/>
          <w:bCs/>
        </w:rPr>
        <w:t>o</w:t>
      </w:r>
      <w:r w:rsidRPr="00A63840">
        <w:rPr>
          <w:rFonts w:ascii="Arial" w:hAnsi="Arial" w:cs="Arial"/>
          <w:b/>
          <w:bCs/>
          <w:spacing w:val="2"/>
        </w:rPr>
        <w:t>d</w:t>
      </w:r>
      <w:r w:rsidRPr="00A63840">
        <w:rPr>
          <w:rFonts w:ascii="Arial" w:hAnsi="Arial" w:cs="Arial"/>
          <w:b/>
          <w:bCs/>
        </w:rPr>
        <w:t>y</w:t>
      </w:r>
      <w:r w:rsidRPr="00A63840">
        <w:rPr>
          <w:rFonts w:ascii="Arial" w:hAnsi="Arial" w:cs="Arial"/>
          <w:b/>
          <w:bCs/>
          <w:spacing w:val="-2"/>
        </w:rPr>
        <w:t xml:space="preserve"> </w:t>
      </w:r>
      <w:r w:rsidRPr="00A63840">
        <w:rPr>
          <w:rFonts w:ascii="Arial" w:hAnsi="Arial" w:cs="Arial"/>
          <w:b/>
          <w:bCs/>
        </w:rPr>
        <w:t>1</w:t>
      </w:r>
    </w:p>
    <w:p w14:paraId="22BF4C19" w14:textId="77777777" w:rsidR="00DD0D91" w:rsidRPr="00A63840" w:rsidRDefault="00DD0D91" w:rsidP="00DD0D91">
      <w:pPr>
        <w:pStyle w:val="Heading3"/>
        <w:spacing w:before="0"/>
        <w:rPr>
          <w:rStyle w:val="Strong"/>
          <w:rFonts w:ascii="Arial" w:hAnsi="Arial" w:cs="Arial"/>
          <w:b w:val="0"/>
          <w:bCs w:val="0"/>
          <w:color w:val="auto"/>
          <w:sz w:val="20"/>
          <w:szCs w:val="20"/>
        </w:rPr>
      </w:pPr>
    </w:p>
    <w:p w14:paraId="1FD7183A" w14:textId="77777777" w:rsidR="00DD0D91" w:rsidRPr="00A63840" w:rsidRDefault="00DD0D91" w:rsidP="00DD0D91">
      <w:pPr>
        <w:pStyle w:val="Heading3"/>
        <w:spacing w:before="0"/>
        <w:rPr>
          <w:rFonts w:ascii="Arial" w:hAnsi="Arial" w:cs="Arial"/>
          <w:color w:val="auto"/>
          <w:sz w:val="20"/>
          <w:szCs w:val="20"/>
        </w:rPr>
      </w:pPr>
      <w:r w:rsidRPr="00A63840">
        <w:rPr>
          <w:rStyle w:val="Strong"/>
          <w:rFonts w:ascii="Arial" w:hAnsi="Arial" w:cs="Arial"/>
          <w:color w:val="auto"/>
          <w:sz w:val="20"/>
          <w:szCs w:val="20"/>
        </w:rPr>
        <w:t>Pitch Response (Body 1)</w:t>
      </w:r>
    </w:p>
    <w:p w14:paraId="19C924F1"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Pitch motion trends for Body 1 are shown in </w:t>
      </w:r>
      <w:r w:rsidRPr="00A63840">
        <w:rPr>
          <w:rStyle w:val="Strong"/>
          <w:rFonts w:ascii="Arial" w:hAnsi="Arial" w:cs="Arial"/>
          <w:b w:val="0"/>
          <w:bCs w:val="0"/>
          <w:sz w:val="20"/>
          <w:szCs w:val="20"/>
        </w:rPr>
        <w:t>Figure 14</w:t>
      </w:r>
      <w:r w:rsidRPr="00A63840">
        <w:rPr>
          <w:rFonts w:ascii="Arial" w:hAnsi="Arial" w:cs="Arial"/>
          <w:b/>
          <w:bCs/>
          <w:sz w:val="20"/>
          <w:szCs w:val="20"/>
        </w:rPr>
        <w:t>.</w:t>
      </w:r>
      <w:r w:rsidRPr="00A63840">
        <w:rPr>
          <w:rFonts w:ascii="Arial" w:hAnsi="Arial" w:cs="Arial"/>
          <w:sz w:val="20"/>
          <w:szCs w:val="20"/>
        </w:rPr>
        <w:t xml:space="preserve"> The response follows a </w:t>
      </w:r>
      <w:r w:rsidRPr="00A63840">
        <w:rPr>
          <w:rStyle w:val="Strong"/>
          <w:rFonts w:ascii="Arial" w:hAnsi="Arial" w:cs="Arial"/>
          <w:b w:val="0"/>
          <w:bCs w:val="0"/>
          <w:sz w:val="20"/>
          <w:szCs w:val="20"/>
        </w:rPr>
        <w:t>parabolic profile</w:t>
      </w:r>
      <w:r w:rsidRPr="00A63840">
        <w:rPr>
          <w:rFonts w:ascii="Arial" w:hAnsi="Arial" w:cs="Arial"/>
          <w:b/>
          <w:bCs/>
          <w:sz w:val="20"/>
          <w:szCs w:val="20"/>
        </w:rPr>
        <w:t>,</w:t>
      </w:r>
      <w:r w:rsidRPr="00A63840">
        <w:rPr>
          <w:rFonts w:ascii="Arial" w:hAnsi="Arial" w:cs="Arial"/>
          <w:sz w:val="20"/>
          <w:szCs w:val="20"/>
        </w:rPr>
        <w:t xml:space="preserve"> characteristic of resonance-driven wave-body interaction. The stationary peak corresponds to the </w:t>
      </w:r>
      <w:r w:rsidRPr="00A63840">
        <w:rPr>
          <w:rStyle w:val="Strong"/>
          <w:rFonts w:ascii="Arial" w:hAnsi="Arial" w:cs="Arial"/>
          <w:b w:val="0"/>
          <w:bCs w:val="0"/>
          <w:sz w:val="20"/>
          <w:szCs w:val="20"/>
        </w:rPr>
        <w:t>optimal wave period</w:t>
      </w:r>
      <w:r w:rsidRPr="00A63840">
        <w:rPr>
          <w:rFonts w:ascii="Arial" w:hAnsi="Arial" w:cs="Arial"/>
          <w:sz w:val="20"/>
          <w:szCs w:val="20"/>
        </w:rPr>
        <w:t xml:space="preserve"> where energy absorption is maximized.</w:t>
      </w:r>
    </w:p>
    <w:p w14:paraId="549AEA0C"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Across much of the wave period range, the </w:t>
      </w:r>
      <w:r w:rsidRPr="00A63840">
        <w:rPr>
          <w:rStyle w:val="Strong"/>
          <w:rFonts w:ascii="Arial" w:hAnsi="Arial" w:cs="Arial"/>
          <w:b w:val="0"/>
          <w:bCs w:val="0"/>
          <w:sz w:val="20"/>
          <w:szCs w:val="20"/>
        </w:rPr>
        <w:t>middle arrangement exhibited the greatest pitch response</w:t>
      </w:r>
      <w:r w:rsidRPr="00A63840">
        <w:rPr>
          <w:rFonts w:ascii="Arial" w:hAnsi="Arial" w:cs="Arial"/>
          <w:b/>
          <w:bCs/>
          <w:sz w:val="20"/>
          <w:szCs w:val="20"/>
        </w:rPr>
        <w:t xml:space="preserve">, </w:t>
      </w:r>
      <w:r w:rsidRPr="00A63840">
        <w:rPr>
          <w:rFonts w:ascii="Arial" w:hAnsi="Arial" w:cs="Arial"/>
          <w:sz w:val="20"/>
          <w:szCs w:val="20"/>
        </w:rPr>
        <w:t>though the</w:t>
      </w:r>
      <w:r w:rsidRPr="00A63840">
        <w:rPr>
          <w:rFonts w:ascii="Arial" w:hAnsi="Arial" w:cs="Arial"/>
          <w:b/>
          <w:bCs/>
          <w:sz w:val="20"/>
          <w:szCs w:val="20"/>
        </w:rPr>
        <w:t xml:space="preserve"> </w:t>
      </w:r>
      <w:r w:rsidRPr="00A63840">
        <w:rPr>
          <w:rStyle w:val="Strong"/>
          <w:rFonts w:ascii="Arial" w:hAnsi="Arial" w:cs="Arial"/>
          <w:b w:val="0"/>
          <w:bCs w:val="0"/>
          <w:sz w:val="20"/>
          <w:szCs w:val="20"/>
        </w:rPr>
        <w:t>highest arrangement surpassed it at longer periods</w:t>
      </w:r>
      <w:r w:rsidRPr="00A63840">
        <w:rPr>
          <w:rFonts w:ascii="Arial" w:hAnsi="Arial" w:cs="Arial"/>
          <w:sz w:val="20"/>
          <w:szCs w:val="20"/>
        </w:rPr>
        <w:t xml:space="preserve">. This suggests that the highest configuration approaches its </w:t>
      </w:r>
      <w:r w:rsidRPr="00A63840">
        <w:rPr>
          <w:rStyle w:val="Strong"/>
          <w:rFonts w:ascii="Arial" w:hAnsi="Arial" w:cs="Arial"/>
          <w:b w:val="0"/>
          <w:bCs w:val="0"/>
          <w:sz w:val="20"/>
          <w:szCs w:val="20"/>
        </w:rPr>
        <w:t>eigenfrequency</w:t>
      </w:r>
      <w:r w:rsidRPr="00A63840">
        <w:rPr>
          <w:rFonts w:ascii="Arial" w:hAnsi="Arial" w:cs="Arial"/>
          <w:b/>
          <w:bCs/>
          <w:sz w:val="20"/>
          <w:szCs w:val="20"/>
        </w:rPr>
        <w:t xml:space="preserve">, </w:t>
      </w:r>
      <w:r w:rsidRPr="00A63840">
        <w:rPr>
          <w:rFonts w:ascii="Arial" w:hAnsi="Arial" w:cs="Arial"/>
          <w:sz w:val="20"/>
          <w:szCs w:val="20"/>
        </w:rPr>
        <w:t>resulting in amplified rotational motion as resonance conditions intensify.</w:t>
      </w:r>
    </w:p>
    <w:p w14:paraId="5611A68D" w14:textId="77777777" w:rsidR="00DD0D91" w:rsidRPr="00A63840" w:rsidRDefault="00DD0D91" w:rsidP="00DD0D91">
      <w:pPr>
        <w:pStyle w:val="NormalWeb"/>
        <w:spacing w:before="0" w:beforeAutospacing="0" w:after="0" w:afterAutospacing="0"/>
        <w:jc w:val="center"/>
        <w:rPr>
          <w:rFonts w:ascii="Arial" w:hAnsi="Arial" w:cs="Arial"/>
          <w:sz w:val="20"/>
          <w:szCs w:val="20"/>
        </w:rPr>
      </w:pPr>
      <w:r w:rsidRPr="00A63840">
        <w:rPr>
          <w:rFonts w:ascii="Arial" w:hAnsi="Arial" w:cs="Arial"/>
          <w:noProof/>
          <w:sz w:val="20"/>
          <w:szCs w:val="20"/>
          <w:lang w:val="en-US" w:eastAsia="en-US"/>
        </w:rPr>
        <w:drawing>
          <wp:inline distT="0" distB="0" distL="0" distR="0" wp14:anchorId="12E9D0AE" wp14:editId="2EF76899">
            <wp:extent cx="3743325" cy="224980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3325" cy="2249805"/>
                    </a:xfrm>
                    <a:prstGeom prst="rect">
                      <a:avLst/>
                    </a:prstGeom>
                    <a:noFill/>
                  </pic:spPr>
                </pic:pic>
              </a:graphicData>
            </a:graphic>
          </wp:inline>
        </w:drawing>
      </w:r>
    </w:p>
    <w:p w14:paraId="7E2F410A" w14:textId="77777777" w:rsidR="00DD0D91" w:rsidRPr="00A63840" w:rsidRDefault="00DD0D91" w:rsidP="00DD0D91">
      <w:pPr>
        <w:widowControl w:val="0"/>
        <w:ind w:right="-20"/>
        <w:jc w:val="center"/>
        <w:rPr>
          <w:rFonts w:ascii="Arial" w:hAnsi="Arial" w:cs="Arial"/>
          <w:b/>
          <w:bCs/>
        </w:rPr>
      </w:pPr>
      <w:r w:rsidRPr="00A63840">
        <w:rPr>
          <w:rFonts w:ascii="Arial" w:hAnsi="Arial" w:cs="Arial"/>
          <w:b/>
          <w:bCs/>
        </w:rPr>
        <w:t>Fi</w:t>
      </w:r>
      <w:r w:rsidRPr="00A63840">
        <w:rPr>
          <w:rFonts w:ascii="Arial" w:hAnsi="Arial" w:cs="Arial"/>
          <w:b/>
          <w:bCs/>
          <w:spacing w:val="1"/>
        </w:rPr>
        <w:t>g</w:t>
      </w:r>
      <w:r w:rsidRPr="00A63840">
        <w:rPr>
          <w:rFonts w:ascii="Arial" w:hAnsi="Arial" w:cs="Arial"/>
          <w:b/>
          <w:bCs/>
          <w:spacing w:val="2"/>
        </w:rPr>
        <w:t>u</w:t>
      </w:r>
      <w:r w:rsidRPr="00A63840">
        <w:rPr>
          <w:rFonts w:ascii="Arial" w:hAnsi="Arial" w:cs="Arial"/>
          <w:b/>
          <w:bCs/>
        </w:rPr>
        <w:t>re</w:t>
      </w:r>
      <w:r w:rsidRPr="00A63840">
        <w:rPr>
          <w:rFonts w:ascii="Arial" w:hAnsi="Arial" w:cs="Arial"/>
          <w:b/>
          <w:bCs/>
          <w:spacing w:val="-2"/>
        </w:rPr>
        <w:t xml:space="preserve"> 14.</w:t>
      </w:r>
      <w:r w:rsidRPr="00A63840">
        <w:rPr>
          <w:rFonts w:ascii="Arial" w:hAnsi="Arial" w:cs="Arial"/>
          <w:b/>
          <w:bCs/>
          <w:spacing w:val="1"/>
        </w:rPr>
        <w:t xml:space="preserve"> </w:t>
      </w:r>
      <w:r w:rsidRPr="00A63840">
        <w:rPr>
          <w:rFonts w:ascii="Arial" w:hAnsi="Arial" w:cs="Arial"/>
          <w:b/>
          <w:bCs/>
        </w:rPr>
        <w:t xml:space="preserve">Relationship Between </w:t>
      </w:r>
      <w:r w:rsidRPr="00A63840">
        <w:rPr>
          <w:rStyle w:val="Strong"/>
          <w:rFonts w:ascii="Arial" w:hAnsi="Arial" w:cs="Arial"/>
        </w:rPr>
        <w:t>Pitch and Period for body 1</w:t>
      </w:r>
    </w:p>
    <w:p w14:paraId="75DF2A52" w14:textId="77777777" w:rsidR="00DD0D91" w:rsidRPr="00A63840" w:rsidRDefault="00DD0D91" w:rsidP="00DD0D91">
      <w:pPr>
        <w:pStyle w:val="Heading2"/>
        <w:spacing w:before="0"/>
        <w:rPr>
          <w:rStyle w:val="Strong"/>
          <w:rFonts w:ascii="Arial" w:hAnsi="Arial" w:cs="Arial"/>
          <w:b w:val="0"/>
          <w:bCs w:val="0"/>
          <w:sz w:val="20"/>
          <w:szCs w:val="20"/>
        </w:rPr>
      </w:pPr>
    </w:p>
    <w:p w14:paraId="0D677837" w14:textId="5D35D4D2" w:rsidR="00DD0D91" w:rsidRPr="00A63840" w:rsidRDefault="00C22EDE" w:rsidP="00DD0D91">
      <w:pPr>
        <w:pStyle w:val="Heading2"/>
        <w:spacing w:before="0"/>
        <w:rPr>
          <w:rFonts w:ascii="Arial" w:hAnsi="Arial" w:cs="Arial"/>
          <w:bCs/>
          <w:color w:val="auto"/>
          <w:sz w:val="20"/>
          <w:szCs w:val="20"/>
        </w:rPr>
      </w:pPr>
      <w:r w:rsidRPr="00A63840">
        <w:rPr>
          <w:rStyle w:val="Strong"/>
          <w:rFonts w:ascii="Arial" w:hAnsi="Arial" w:cs="Arial"/>
          <w:bCs w:val="0"/>
          <w:color w:val="auto"/>
          <w:sz w:val="20"/>
          <w:szCs w:val="20"/>
        </w:rPr>
        <w:t>5</w:t>
      </w:r>
      <w:r w:rsidR="00DD0D91" w:rsidRPr="00A63840">
        <w:rPr>
          <w:rStyle w:val="Strong"/>
          <w:rFonts w:ascii="Arial" w:hAnsi="Arial" w:cs="Arial"/>
          <w:bCs w:val="0"/>
          <w:color w:val="auto"/>
          <w:sz w:val="20"/>
          <w:szCs w:val="20"/>
        </w:rPr>
        <w:t>.3 Dynamic Response of Submerged Body (Body 2)</w:t>
      </w:r>
    </w:p>
    <w:p w14:paraId="557B8329"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Unlike Body 1, the submerged body exhibited predominantly </w:t>
      </w:r>
      <w:r w:rsidRPr="00A63840">
        <w:rPr>
          <w:rStyle w:val="Strong"/>
          <w:rFonts w:ascii="Arial" w:hAnsi="Arial" w:cs="Arial"/>
          <w:b w:val="0"/>
          <w:bCs w:val="0"/>
          <w:sz w:val="20"/>
          <w:szCs w:val="20"/>
        </w:rPr>
        <w:t>linear response trends</w:t>
      </w:r>
      <w:r w:rsidRPr="00A63840">
        <w:rPr>
          <w:rFonts w:ascii="Arial" w:hAnsi="Arial" w:cs="Arial"/>
          <w:sz w:val="20"/>
          <w:szCs w:val="20"/>
        </w:rPr>
        <w:t xml:space="preserve"> across all DOFs, indicating stronger hydrodynamic damping due to the thin disk geometry.</w:t>
      </w:r>
    </w:p>
    <w:p w14:paraId="7E63AA09"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Surge motion results are shown in </w:t>
      </w:r>
      <w:r w:rsidRPr="00A63840">
        <w:rPr>
          <w:rStyle w:val="Strong"/>
          <w:rFonts w:ascii="Arial" w:hAnsi="Arial" w:cs="Arial"/>
          <w:b w:val="0"/>
          <w:bCs w:val="0"/>
          <w:sz w:val="20"/>
          <w:szCs w:val="20"/>
        </w:rPr>
        <w:t>Figure 15</w:t>
      </w:r>
      <w:r w:rsidRPr="00A63840">
        <w:rPr>
          <w:rFonts w:ascii="Arial" w:hAnsi="Arial" w:cs="Arial"/>
          <w:sz w:val="20"/>
          <w:szCs w:val="20"/>
        </w:rPr>
        <w:t xml:space="preserve">, where the </w:t>
      </w:r>
      <w:r w:rsidRPr="00A63840">
        <w:rPr>
          <w:rStyle w:val="Strong"/>
          <w:rFonts w:ascii="Arial" w:hAnsi="Arial" w:cs="Arial"/>
          <w:b w:val="0"/>
          <w:bCs w:val="0"/>
          <w:sz w:val="20"/>
          <w:szCs w:val="20"/>
        </w:rPr>
        <w:t>middle arrangement produced the highest surge amplitude</w:t>
      </w:r>
      <w:r w:rsidRPr="00A63840">
        <w:rPr>
          <w:rFonts w:ascii="Arial" w:hAnsi="Arial" w:cs="Arial"/>
          <w:b/>
          <w:bCs/>
          <w:sz w:val="20"/>
          <w:szCs w:val="20"/>
        </w:rPr>
        <w:t>,</w:t>
      </w:r>
      <w:r w:rsidRPr="00A63840">
        <w:rPr>
          <w:rFonts w:ascii="Arial" w:hAnsi="Arial" w:cs="Arial"/>
          <w:sz w:val="20"/>
          <w:szCs w:val="20"/>
        </w:rPr>
        <w:t xml:space="preserve"> consistent with enhanced coupling efficiency. A similar pattern is observed in heave motion (</w:t>
      </w:r>
      <w:r w:rsidRPr="00A63840">
        <w:rPr>
          <w:rStyle w:val="Strong"/>
          <w:rFonts w:ascii="Arial" w:hAnsi="Arial" w:cs="Arial"/>
          <w:b w:val="0"/>
          <w:bCs w:val="0"/>
          <w:sz w:val="20"/>
          <w:szCs w:val="20"/>
        </w:rPr>
        <w:t>Figure 16</w:t>
      </w:r>
      <w:r w:rsidRPr="00A63840">
        <w:rPr>
          <w:rFonts w:ascii="Arial" w:hAnsi="Arial" w:cs="Arial"/>
          <w:sz w:val="20"/>
          <w:szCs w:val="20"/>
        </w:rPr>
        <w:t>), further supporting the superior oscillatory response of the middle configuration</w:t>
      </w:r>
    </w:p>
    <w:p w14:paraId="507F1BEC"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Pitch response trends for Body 2 (</w:t>
      </w:r>
      <w:r w:rsidRPr="00A63840">
        <w:rPr>
          <w:rStyle w:val="Strong"/>
          <w:rFonts w:ascii="Arial" w:hAnsi="Arial" w:cs="Arial"/>
          <w:b w:val="0"/>
          <w:bCs w:val="0"/>
          <w:sz w:val="20"/>
          <w:szCs w:val="20"/>
        </w:rPr>
        <w:t>Figure 17</w:t>
      </w:r>
      <w:r w:rsidRPr="00A63840">
        <w:rPr>
          <w:rFonts w:ascii="Arial" w:hAnsi="Arial" w:cs="Arial"/>
          <w:sz w:val="20"/>
          <w:szCs w:val="20"/>
        </w:rPr>
        <w:t>) reveal reduced amplification relative to Body 1, confirming the submerged disk’s damping influence and the absence of resonance within the tested frequency range.</w:t>
      </w:r>
    </w:p>
    <w:p w14:paraId="375F01EE"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52D9CF17" w14:textId="77777777" w:rsidR="00DD0D91" w:rsidRPr="00A63840" w:rsidRDefault="00DD0D91" w:rsidP="00DD0D91">
      <w:pPr>
        <w:widowControl w:val="0"/>
        <w:ind w:left="1276" w:right="1847"/>
        <w:jc w:val="center"/>
        <w:rPr>
          <w:rFonts w:ascii="Arial" w:hAnsi="Arial" w:cs="Arial"/>
        </w:rPr>
      </w:pPr>
      <w:r w:rsidRPr="00A63840">
        <w:rPr>
          <w:rFonts w:ascii="Arial" w:hAnsi="Arial" w:cs="Arial"/>
          <w:noProof/>
        </w:rPr>
        <w:lastRenderedPageBreak/>
        <w:drawing>
          <wp:inline distT="0" distB="0" distL="0" distR="0" wp14:anchorId="647470B3" wp14:editId="621468EE">
            <wp:extent cx="3233127" cy="2102898"/>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3127" cy="2102898"/>
                    </a:xfrm>
                    <a:prstGeom prst="rect">
                      <a:avLst/>
                    </a:prstGeom>
                    <a:noFill/>
                  </pic:spPr>
                </pic:pic>
              </a:graphicData>
            </a:graphic>
          </wp:inline>
        </w:drawing>
      </w:r>
    </w:p>
    <w:p w14:paraId="08EA9813" w14:textId="77777777" w:rsidR="00DD0D91" w:rsidRPr="00A63840" w:rsidRDefault="00DD0D91" w:rsidP="00DD0D91">
      <w:pPr>
        <w:widowControl w:val="0"/>
        <w:ind w:right="-20"/>
        <w:jc w:val="center"/>
        <w:rPr>
          <w:rStyle w:val="Strong"/>
          <w:rFonts w:ascii="Arial" w:hAnsi="Arial" w:cs="Arial"/>
        </w:rPr>
      </w:pPr>
      <w:r w:rsidRPr="00A63840">
        <w:rPr>
          <w:rFonts w:ascii="Arial" w:hAnsi="Arial" w:cs="Arial"/>
          <w:b/>
          <w:bCs/>
        </w:rPr>
        <w:t>Fi</w:t>
      </w:r>
      <w:r w:rsidRPr="00A63840">
        <w:rPr>
          <w:rFonts w:ascii="Arial" w:hAnsi="Arial" w:cs="Arial"/>
          <w:b/>
          <w:bCs/>
          <w:spacing w:val="1"/>
        </w:rPr>
        <w:t>g</w:t>
      </w:r>
      <w:r w:rsidRPr="00A63840">
        <w:rPr>
          <w:rFonts w:ascii="Arial" w:hAnsi="Arial" w:cs="Arial"/>
          <w:b/>
          <w:bCs/>
          <w:spacing w:val="2"/>
        </w:rPr>
        <w:t>u</w:t>
      </w:r>
      <w:r w:rsidRPr="00A63840">
        <w:rPr>
          <w:rFonts w:ascii="Arial" w:hAnsi="Arial" w:cs="Arial"/>
          <w:b/>
          <w:bCs/>
        </w:rPr>
        <w:t>re</w:t>
      </w:r>
      <w:r w:rsidRPr="00A63840">
        <w:rPr>
          <w:rFonts w:ascii="Arial" w:hAnsi="Arial" w:cs="Arial"/>
          <w:b/>
          <w:bCs/>
          <w:spacing w:val="-2"/>
        </w:rPr>
        <w:t xml:space="preserve"> 15.</w:t>
      </w:r>
      <w:r w:rsidRPr="00A63840">
        <w:rPr>
          <w:rFonts w:ascii="Arial" w:hAnsi="Arial" w:cs="Arial"/>
          <w:b/>
          <w:bCs/>
          <w:spacing w:val="1"/>
        </w:rPr>
        <w:t xml:space="preserve"> </w:t>
      </w:r>
      <w:r w:rsidRPr="00A63840">
        <w:rPr>
          <w:rFonts w:ascii="Arial" w:hAnsi="Arial" w:cs="Arial"/>
          <w:b/>
          <w:bCs/>
        </w:rPr>
        <w:t xml:space="preserve">Relationship Between </w:t>
      </w:r>
      <w:r w:rsidRPr="00A63840">
        <w:rPr>
          <w:rStyle w:val="Strong"/>
          <w:rFonts w:ascii="Arial" w:hAnsi="Arial" w:cs="Arial"/>
        </w:rPr>
        <w:t>Surge and Period for body 2</w:t>
      </w:r>
    </w:p>
    <w:p w14:paraId="2AD8C7E7" w14:textId="77777777" w:rsidR="00DD0D91" w:rsidRPr="00A63840" w:rsidRDefault="00DD0D91" w:rsidP="00DD0D91">
      <w:pPr>
        <w:widowControl w:val="0"/>
        <w:ind w:right="-20"/>
        <w:jc w:val="center"/>
        <w:rPr>
          <w:rStyle w:val="Strong"/>
          <w:rFonts w:ascii="Arial" w:hAnsi="Arial" w:cs="Arial"/>
          <w:b w:val="0"/>
          <w:bCs w:val="0"/>
        </w:rPr>
      </w:pPr>
      <w:r w:rsidRPr="00A63840">
        <w:rPr>
          <w:rFonts w:ascii="Arial" w:hAnsi="Arial" w:cs="Arial"/>
          <w:noProof/>
        </w:rPr>
        <w:drawing>
          <wp:inline distT="0" distB="0" distL="0" distR="0" wp14:anchorId="440A4D80" wp14:editId="5A4BF593">
            <wp:extent cx="3823970" cy="2361303"/>
            <wp:effectExtent l="0" t="0" r="508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56148" cy="2381173"/>
                    </a:xfrm>
                    <a:prstGeom prst="rect">
                      <a:avLst/>
                    </a:prstGeom>
                    <a:noFill/>
                  </pic:spPr>
                </pic:pic>
              </a:graphicData>
            </a:graphic>
          </wp:inline>
        </w:drawing>
      </w:r>
    </w:p>
    <w:p w14:paraId="5979A8D5" w14:textId="77777777" w:rsidR="00DD0D91" w:rsidRPr="00A63840" w:rsidRDefault="00DD0D91" w:rsidP="00DD0D91">
      <w:pPr>
        <w:widowControl w:val="0"/>
        <w:ind w:right="-20"/>
        <w:jc w:val="center"/>
        <w:rPr>
          <w:rStyle w:val="Strong"/>
          <w:rFonts w:ascii="Arial" w:hAnsi="Arial" w:cs="Arial"/>
          <w:b w:val="0"/>
          <w:bCs w:val="0"/>
        </w:rPr>
      </w:pPr>
      <w:r w:rsidRPr="00A63840">
        <w:rPr>
          <w:rFonts w:ascii="Arial" w:hAnsi="Arial" w:cs="Arial"/>
          <w:b/>
          <w:bCs/>
        </w:rPr>
        <w:t>Fi</w:t>
      </w:r>
      <w:r w:rsidRPr="00A63840">
        <w:rPr>
          <w:rFonts w:ascii="Arial" w:hAnsi="Arial" w:cs="Arial"/>
          <w:b/>
          <w:bCs/>
          <w:spacing w:val="1"/>
        </w:rPr>
        <w:t>g</w:t>
      </w:r>
      <w:r w:rsidRPr="00A63840">
        <w:rPr>
          <w:rFonts w:ascii="Arial" w:hAnsi="Arial" w:cs="Arial"/>
          <w:b/>
          <w:bCs/>
          <w:spacing w:val="2"/>
        </w:rPr>
        <w:t>u</w:t>
      </w:r>
      <w:r w:rsidRPr="00A63840">
        <w:rPr>
          <w:rFonts w:ascii="Arial" w:hAnsi="Arial" w:cs="Arial"/>
          <w:b/>
          <w:bCs/>
        </w:rPr>
        <w:t>re</w:t>
      </w:r>
      <w:r w:rsidRPr="00A63840">
        <w:rPr>
          <w:rFonts w:ascii="Arial" w:hAnsi="Arial" w:cs="Arial"/>
          <w:b/>
          <w:bCs/>
          <w:spacing w:val="-2"/>
        </w:rPr>
        <w:t xml:space="preserve"> 16.</w:t>
      </w:r>
      <w:r w:rsidRPr="00A63840">
        <w:rPr>
          <w:rFonts w:ascii="Arial" w:hAnsi="Arial" w:cs="Arial"/>
          <w:b/>
          <w:bCs/>
          <w:spacing w:val="1"/>
        </w:rPr>
        <w:t xml:space="preserve"> </w:t>
      </w:r>
      <w:r w:rsidRPr="00A63840">
        <w:rPr>
          <w:rFonts w:ascii="Arial" w:hAnsi="Arial" w:cs="Arial"/>
          <w:b/>
          <w:bCs/>
        </w:rPr>
        <w:t xml:space="preserve">Relationship Between </w:t>
      </w:r>
      <w:r w:rsidRPr="00A63840">
        <w:rPr>
          <w:rStyle w:val="Strong"/>
          <w:rFonts w:ascii="Arial" w:hAnsi="Arial" w:cs="Arial"/>
        </w:rPr>
        <w:t>Heave and Period for body 2</w:t>
      </w:r>
    </w:p>
    <w:p w14:paraId="2B4ECAE6" w14:textId="77777777" w:rsidR="00DD0D91" w:rsidRPr="00A63840" w:rsidRDefault="00DD0D91" w:rsidP="00DD0D91">
      <w:pPr>
        <w:widowControl w:val="0"/>
        <w:ind w:right="-20"/>
        <w:jc w:val="center"/>
        <w:rPr>
          <w:rStyle w:val="Strong"/>
          <w:rFonts w:ascii="Arial" w:hAnsi="Arial" w:cs="Arial"/>
          <w:b w:val="0"/>
          <w:bCs w:val="0"/>
        </w:rPr>
      </w:pPr>
    </w:p>
    <w:p w14:paraId="08CA9307" w14:textId="77777777" w:rsidR="00DD0D91" w:rsidRPr="00A63840" w:rsidRDefault="00DD0D91" w:rsidP="00DD0D91">
      <w:pPr>
        <w:widowControl w:val="0"/>
        <w:ind w:right="-20"/>
        <w:jc w:val="center"/>
        <w:rPr>
          <w:rStyle w:val="Strong"/>
          <w:rFonts w:ascii="Arial" w:hAnsi="Arial" w:cs="Arial"/>
        </w:rPr>
      </w:pPr>
      <w:r w:rsidRPr="00A63840">
        <w:rPr>
          <w:rFonts w:ascii="Arial" w:hAnsi="Arial" w:cs="Arial"/>
          <w:noProof/>
        </w:rPr>
        <w:drawing>
          <wp:inline distT="0" distB="0" distL="0" distR="0" wp14:anchorId="2F18EC95" wp14:editId="6A38E459">
            <wp:extent cx="3554095" cy="2048510"/>
            <wp:effectExtent l="0" t="0" r="825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9625" cy="2051697"/>
                    </a:xfrm>
                    <a:prstGeom prst="rect">
                      <a:avLst/>
                    </a:prstGeom>
                    <a:noFill/>
                  </pic:spPr>
                </pic:pic>
              </a:graphicData>
            </a:graphic>
          </wp:inline>
        </w:drawing>
      </w:r>
    </w:p>
    <w:p w14:paraId="5E77333B" w14:textId="77777777" w:rsidR="00DD0D91" w:rsidRPr="00A63840" w:rsidRDefault="00DD0D91" w:rsidP="00DD0D91">
      <w:pPr>
        <w:widowControl w:val="0"/>
        <w:ind w:left="1276" w:right="-20"/>
        <w:rPr>
          <w:rFonts w:ascii="Arial" w:hAnsi="Arial" w:cs="Arial"/>
        </w:rPr>
      </w:pPr>
    </w:p>
    <w:p w14:paraId="1DF54769" w14:textId="77777777" w:rsidR="00DD0D91" w:rsidRPr="00A63840" w:rsidRDefault="00DD0D91" w:rsidP="00DD0D91">
      <w:pPr>
        <w:widowControl w:val="0"/>
        <w:ind w:left="1276" w:right="-20"/>
        <w:rPr>
          <w:rFonts w:ascii="Arial" w:hAnsi="Arial" w:cs="Arial"/>
          <w:b/>
          <w:bCs/>
        </w:rPr>
      </w:pPr>
      <w:r w:rsidRPr="00A63840">
        <w:rPr>
          <w:rFonts w:ascii="Arial" w:hAnsi="Arial" w:cs="Arial"/>
          <w:b/>
          <w:bCs/>
        </w:rPr>
        <w:t>Fi</w:t>
      </w:r>
      <w:r w:rsidRPr="00A63840">
        <w:rPr>
          <w:rFonts w:ascii="Arial" w:hAnsi="Arial" w:cs="Arial"/>
          <w:b/>
          <w:bCs/>
          <w:spacing w:val="1"/>
        </w:rPr>
        <w:t>g</w:t>
      </w:r>
      <w:r w:rsidRPr="00A63840">
        <w:rPr>
          <w:rFonts w:ascii="Arial" w:hAnsi="Arial" w:cs="Arial"/>
          <w:b/>
          <w:bCs/>
          <w:spacing w:val="2"/>
        </w:rPr>
        <w:t>u</w:t>
      </w:r>
      <w:r w:rsidRPr="00A63840">
        <w:rPr>
          <w:rFonts w:ascii="Arial" w:hAnsi="Arial" w:cs="Arial"/>
          <w:b/>
          <w:bCs/>
        </w:rPr>
        <w:t>re</w:t>
      </w:r>
      <w:r w:rsidRPr="00A63840">
        <w:rPr>
          <w:rFonts w:ascii="Arial" w:hAnsi="Arial" w:cs="Arial"/>
          <w:b/>
          <w:bCs/>
          <w:spacing w:val="-2"/>
        </w:rPr>
        <w:t xml:space="preserve"> 17.</w:t>
      </w:r>
      <w:r w:rsidRPr="00A63840">
        <w:rPr>
          <w:rFonts w:ascii="Arial" w:hAnsi="Arial" w:cs="Arial"/>
          <w:b/>
          <w:bCs/>
          <w:spacing w:val="1"/>
        </w:rPr>
        <w:t xml:space="preserve"> </w:t>
      </w:r>
      <w:r w:rsidRPr="00A63840">
        <w:rPr>
          <w:rFonts w:ascii="Arial" w:hAnsi="Arial" w:cs="Arial"/>
          <w:b/>
          <w:bCs/>
        </w:rPr>
        <w:t>Relationship Between Pitch Response and Period for Body 2 (Constant Height)</w:t>
      </w:r>
    </w:p>
    <w:p w14:paraId="65C14CFA" w14:textId="77777777" w:rsidR="00DD0D91" w:rsidRPr="00A63840" w:rsidRDefault="00DD0D91" w:rsidP="00DD0D91">
      <w:pPr>
        <w:widowControl w:val="0"/>
        <w:ind w:left="1276" w:right="-20"/>
        <w:rPr>
          <w:rStyle w:val="Strong"/>
          <w:rFonts w:ascii="Arial" w:hAnsi="Arial" w:cs="Arial"/>
          <w:b w:val="0"/>
          <w:bCs w:val="0"/>
        </w:rPr>
      </w:pPr>
    </w:p>
    <w:p w14:paraId="43B2F7C0" w14:textId="7F1EBBC0" w:rsidR="00DD0D91" w:rsidRPr="00A63840" w:rsidRDefault="007D7BCB" w:rsidP="00DD0D91">
      <w:pPr>
        <w:pStyle w:val="Heading2"/>
        <w:spacing w:before="0"/>
        <w:rPr>
          <w:rFonts w:ascii="Arial" w:hAnsi="Arial" w:cs="Arial"/>
          <w:bCs/>
          <w:color w:val="auto"/>
          <w:sz w:val="20"/>
          <w:szCs w:val="20"/>
        </w:rPr>
      </w:pPr>
      <w:r w:rsidRPr="00A63840">
        <w:rPr>
          <w:rStyle w:val="Strong"/>
          <w:rFonts w:ascii="Arial" w:hAnsi="Arial" w:cs="Arial"/>
          <w:bCs w:val="0"/>
          <w:color w:val="auto"/>
          <w:sz w:val="20"/>
          <w:szCs w:val="20"/>
        </w:rPr>
        <w:lastRenderedPageBreak/>
        <w:t>5</w:t>
      </w:r>
      <w:r w:rsidR="00DD0D91" w:rsidRPr="00A63840">
        <w:rPr>
          <w:rStyle w:val="Strong"/>
          <w:rFonts w:ascii="Arial" w:hAnsi="Arial" w:cs="Arial"/>
          <w:bCs w:val="0"/>
          <w:color w:val="auto"/>
          <w:sz w:val="20"/>
          <w:szCs w:val="20"/>
        </w:rPr>
        <w:t>.4 Motion Response Under Constant Wave Period</w:t>
      </w:r>
    </w:p>
    <w:p w14:paraId="43D74DED" w14:textId="77777777" w:rsidR="00DD0D91" w:rsidRPr="00A63840" w:rsidRDefault="00DD0D91" w:rsidP="00DD0D91">
      <w:pPr>
        <w:pStyle w:val="NormalWeb"/>
        <w:spacing w:before="0" w:beforeAutospacing="0" w:after="0" w:afterAutospacing="0"/>
        <w:rPr>
          <w:rFonts w:ascii="Arial" w:hAnsi="Arial" w:cs="Arial"/>
          <w:sz w:val="20"/>
          <w:szCs w:val="20"/>
        </w:rPr>
      </w:pPr>
      <w:r w:rsidRPr="00A63840">
        <w:rPr>
          <w:rFonts w:ascii="Arial" w:hAnsi="Arial" w:cs="Arial"/>
          <w:sz w:val="20"/>
          <w:szCs w:val="20"/>
        </w:rPr>
        <w:t>The second simulation phase maintained a constant wave period while varying wave height to assess amplitude sensitivity.</w:t>
      </w:r>
    </w:p>
    <w:p w14:paraId="35D55A62" w14:textId="77777777" w:rsidR="00DD0D91" w:rsidRPr="00A63840" w:rsidRDefault="00DD0D91" w:rsidP="00DD0D91">
      <w:pPr>
        <w:pStyle w:val="Heading3"/>
        <w:spacing w:before="0"/>
        <w:rPr>
          <w:rStyle w:val="Strong"/>
          <w:rFonts w:ascii="Arial" w:hAnsi="Arial" w:cs="Arial"/>
          <w:b w:val="0"/>
          <w:bCs w:val="0"/>
          <w:sz w:val="20"/>
          <w:szCs w:val="20"/>
        </w:rPr>
      </w:pPr>
    </w:p>
    <w:p w14:paraId="54F940E9" w14:textId="77777777" w:rsidR="00DD0D91" w:rsidRPr="00A63840" w:rsidRDefault="00DD0D91" w:rsidP="00DD0D91">
      <w:pPr>
        <w:pStyle w:val="Heading3"/>
        <w:spacing w:before="0"/>
        <w:rPr>
          <w:rFonts w:ascii="Arial" w:hAnsi="Arial" w:cs="Arial"/>
          <w:color w:val="auto"/>
          <w:sz w:val="20"/>
          <w:szCs w:val="20"/>
        </w:rPr>
      </w:pPr>
      <w:r w:rsidRPr="00A63840">
        <w:rPr>
          <w:rStyle w:val="Strong"/>
          <w:rFonts w:ascii="Arial" w:hAnsi="Arial" w:cs="Arial"/>
          <w:color w:val="auto"/>
          <w:sz w:val="20"/>
          <w:szCs w:val="20"/>
        </w:rPr>
        <w:t>Body 1 Response</w:t>
      </w:r>
    </w:p>
    <w:p w14:paraId="793C0647"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Surge response results for Body 1 (</w:t>
      </w:r>
      <w:r w:rsidRPr="00A63840">
        <w:rPr>
          <w:rStyle w:val="Strong"/>
          <w:rFonts w:ascii="Arial" w:hAnsi="Arial" w:cs="Arial"/>
          <w:b w:val="0"/>
          <w:bCs w:val="0"/>
          <w:sz w:val="20"/>
          <w:szCs w:val="20"/>
        </w:rPr>
        <w:t>Figure 18</w:t>
      </w:r>
      <w:r w:rsidRPr="00A63840">
        <w:rPr>
          <w:rFonts w:ascii="Arial" w:hAnsi="Arial" w:cs="Arial"/>
          <w:sz w:val="20"/>
          <w:szCs w:val="20"/>
        </w:rPr>
        <w:t xml:space="preserve">) indicate a </w:t>
      </w:r>
      <w:r w:rsidRPr="00A63840">
        <w:rPr>
          <w:rStyle w:val="Strong"/>
          <w:rFonts w:ascii="Arial" w:hAnsi="Arial" w:cs="Arial"/>
          <w:b w:val="0"/>
          <w:bCs w:val="0"/>
          <w:sz w:val="20"/>
          <w:szCs w:val="20"/>
        </w:rPr>
        <w:t>linear relationship between wave height and displacement</w:t>
      </w:r>
      <w:r w:rsidRPr="00A63840">
        <w:rPr>
          <w:rFonts w:ascii="Arial" w:hAnsi="Arial" w:cs="Arial"/>
          <w:b/>
          <w:bCs/>
          <w:sz w:val="20"/>
          <w:szCs w:val="20"/>
        </w:rPr>
        <w:t>,</w:t>
      </w:r>
      <w:r w:rsidRPr="00A63840">
        <w:rPr>
          <w:rFonts w:ascii="Arial" w:hAnsi="Arial" w:cs="Arial"/>
          <w:sz w:val="20"/>
          <w:szCs w:val="20"/>
        </w:rPr>
        <w:t xml:space="preserve"> confirming proportional excitation-force scaling. The </w:t>
      </w:r>
      <w:r w:rsidRPr="00A63840">
        <w:rPr>
          <w:rStyle w:val="Strong"/>
          <w:rFonts w:ascii="Arial" w:hAnsi="Arial" w:cs="Arial"/>
          <w:b w:val="0"/>
          <w:bCs w:val="0"/>
          <w:sz w:val="20"/>
          <w:szCs w:val="20"/>
        </w:rPr>
        <w:t>lowest and middle arrangements exhibited similar surge responses</w:t>
      </w:r>
      <w:r w:rsidRPr="00A63840">
        <w:rPr>
          <w:rFonts w:ascii="Arial" w:hAnsi="Arial" w:cs="Arial"/>
          <w:b/>
          <w:bCs/>
          <w:sz w:val="20"/>
          <w:szCs w:val="20"/>
        </w:rPr>
        <w:t>,</w:t>
      </w:r>
      <w:r w:rsidRPr="00A63840">
        <w:rPr>
          <w:rFonts w:ascii="Arial" w:hAnsi="Arial" w:cs="Arial"/>
          <w:sz w:val="20"/>
          <w:szCs w:val="20"/>
        </w:rPr>
        <w:t xml:space="preserve"> while the </w:t>
      </w:r>
      <w:r w:rsidRPr="00A63840">
        <w:rPr>
          <w:rStyle w:val="Strong"/>
          <w:rFonts w:ascii="Arial" w:hAnsi="Arial" w:cs="Arial"/>
          <w:b w:val="0"/>
          <w:bCs w:val="0"/>
          <w:sz w:val="20"/>
          <w:szCs w:val="20"/>
        </w:rPr>
        <w:t>highest arrangement consistently showed reduced displacement</w:t>
      </w:r>
      <w:r w:rsidRPr="00A63840">
        <w:rPr>
          <w:rFonts w:ascii="Arial" w:hAnsi="Arial" w:cs="Arial"/>
          <w:b/>
          <w:bCs/>
          <w:sz w:val="20"/>
          <w:szCs w:val="20"/>
        </w:rPr>
        <w:t>,</w:t>
      </w:r>
      <w:r w:rsidRPr="00A63840">
        <w:rPr>
          <w:rFonts w:ascii="Arial" w:hAnsi="Arial" w:cs="Arial"/>
          <w:sz w:val="20"/>
          <w:szCs w:val="20"/>
        </w:rPr>
        <w:t xml:space="preserve"> attributable to increased hydrodynamic damping and reduced water-plane interaction.</w:t>
      </w:r>
    </w:p>
    <w:p w14:paraId="0EC9D79E"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Heave motion trends (</w:t>
      </w:r>
      <w:r w:rsidRPr="00A63840">
        <w:rPr>
          <w:rStyle w:val="Strong"/>
          <w:rFonts w:ascii="Arial" w:hAnsi="Arial" w:cs="Arial"/>
          <w:b w:val="0"/>
          <w:bCs w:val="0"/>
          <w:sz w:val="20"/>
          <w:szCs w:val="20"/>
        </w:rPr>
        <w:t>Figure 19</w:t>
      </w:r>
      <w:r w:rsidRPr="00A63840">
        <w:rPr>
          <w:rFonts w:ascii="Arial" w:hAnsi="Arial" w:cs="Arial"/>
          <w:sz w:val="20"/>
          <w:szCs w:val="20"/>
        </w:rPr>
        <w:t>) reinforce this pattern, with displacement increasing linearly with wave height.</w:t>
      </w:r>
    </w:p>
    <w:p w14:paraId="70618BC2"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Pitch response (</w:t>
      </w:r>
      <w:r w:rsidRPr="00A63840">
        <w:rPr>
          <w:rStyle w:val="Strong"/>
          <w:rFonts w:ascii="Arial" w:hAnsi="Arial" w:cs="Arial"/>
          <w:b w:val="0"/>
          <w:bCs w:val="0"/>
          <w:sz w:val="20"/>
          <w:szCs w:val="20"/>
        </w:rPr>
        <w:t>Figure 20</w:t>
      </w:r>
      <w:r w:rsidRPr="00A63840">
        <w:rPr>
          <w:rFonts w:ascii="Arial" w:hAnsi="Arial" w:cs="Arial"/>
          <w:sz w:val="20"/>
          <w:szCs w:val="20"/>
        </w:rPr>
        <w:t xml:space="preserve">) differs from constant-period behaviour due to the absence of resonance peaks. The </w:t>
      </w:r>
      <w:r w:rsidRPr="00A63840">
        <w:rPr>
          <w:rStyle w:val="Strong"/>
          <w:rFonts w:ascii="Arial" w:hAnsi="Arial" w:cs="Arial"/>
          <w:b w:val="0"/>
          <w:bCs w:val="0"/>
          <w:sz w:val="20"/>
          <w:szCs w:val="20"/>
        </w:rPr>
        <w:t>middle arrangement demonstrated the greatest pitch amplification</w:t>
      </w:r>
      <w:r w:rsidRPr="00A63840">
        <w:rPr>
          <w:rFonts w:ascii="Arial" w:hAnsi="Arial" w:cs="Arial"/>
          <w:b/>
          <w:bCs/>
          <w:sz w:val="20"/>
          <w:szCs w:val="20"/>
        </w:rPr>
        <w:t xml:space="preserve">, </w:t>
      </w:r>
      <w:r w:rsidRPr="00A63840">
        <w:rPr>
          <w:rFonts w:ascii="Arial" w:hAnsi="Arial" w:cs="Arial"/>
          <w:sz w:val="20"/>
          <w:szCs w:val="20"/>
        </w:rPr>
        <w:t xml:space="preserve">while the </w:t>
      </w:r>
      <w:r w:rsidRPr="00A63840">
        <w:rPr>
          <w:rStyle w:val="Strong"/>
          <w:rFonts w:ascii="Arial" w:hAnsi="Arial" w:cs="Arial"/>
          <w:b w:val="0"/>
          <w:bCs w:val="0"/>
          <w:sz w:val="20"/>
          <w:szCs w:val="20"/>
        </w:rPr>
        <w:t>highest arrangement exhibited the lowest rate of increase</w:t>
      </w:r>
      <w:r w:rsidRPr="00A63840">
        <w:rPr>
          <w:rFonts w:ascii="Arial" w:hAnsi="Arial" w:cs="Arial"/>
          <w:b/>
          <w:bCs/>
          <w:sz w:val="20"/>
          <w:szCs w:val="20"/>
        </w:rPr>
        <w:t>,</w:t>
      </w:r>
      <w:r w:rsidRPr="00A63840">
        <w:rPr>
          <w:rFonts w:ascii="Arial" w:hAnsi="Arial" w:cs="Arial"/>
          <w:sz w:val="20"/>
          <w:szCs w:val="20"/>
        </w:rPr>
        <w:t xml:space="preserve"> indicating superior stability in larger wave conditions.</w:t>
      </w:r>
    </w:p>
    <w:p w14:paraId="693B76A1" w14:textId="77777777" w:rsidR="00DD0D91" w:rsidRPr="00A63840" w:rsidRDefault="00DD0D91" w:rsidP="00DD0D91">
      <w:pPr>
        <w:pStyle w:val="NormalWeb"/>
        <w:spacing w:before="0" w:beforeAutospacing="0" w:after="0" w:afterAutospacing="0"/>
        <w:jc w:val="both"/>
        <w:rPr>
          <w:rFonts w:ascii="Arial" w:hAnsi="Arial" w:cs="Arial"/>
          <w:sz w:val="20"/>
          <w:szCs w:val="20"/>
        </w:rPr>
      </w:pPr>
    </w:p>
    <w:p w14:paraId="2942E0B9"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noProof/>
          <w:sz w:val="20"/>
          <w:szCs w:val="20"/>
          <w:lang w:val="en-US" w:eastAsia="en-US"/>
        </w:rPr>
        <w:drawing>
          <wp:inline distT="0" distB="0" distL="0" distR="0" wp14:anchorId="239D0A78" wp14:editId="5AA752CB">
            <wp:extent cx="3312795" cy="1934307"/>
            <wp:effectExtent l="0" t="0" r="190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4386" cy="1946914"/>
                    </a:xfrm>
                    <a:prstGeom prst="rect">
                      <a:avLst/>
                    </a:prstGeom>
                    <a:noFill/>
                  </pic:spPr>
                </pic:pic>
              </a:graphicData>
            </a:graphic>
          </wp:inline>
        </w:drawing>
      </w:r>
    </w:p>
    <w:p w14:paraId="05B3D1B5"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sz w:val="20"/>
          <w:szCs w:val="20"/>
        </w:rPr>
        <w:t xml:space="preserve">Figure 18. </w:t>
      </w:r>
      <w:r w:rsidRPr="00A63840">
        <w:rPr>
          <w:rFonts w:ascii="Arial" w:hAnsi="Arial" w:cs="Arial"/>
          <w:b/>
          <w:bCs/>
          <w:sz w:val="20"/>
          <w:szCs w:val="20"/>
        </w:rPr>
        <w:t xml:space="preserve">Relationship Between </w:t>
      </w:r>
      <w:r w:rsidRPr="00A63840">
        <w:rPr>
          <w:rStyle w:val="Strong"/>
          <w:rFonts w:ascii="Arial" w:hAnsi="Arial" w:cs="Arial"/>
          <w:sz w:val="20"/>
          <w:szCs w:val="20"/>
        </w:rPr>
        <w:t>Surge and Wave height for body 1</w:t>
      </w:r>
    </w:p>
    <w:p w14:paraId="5E80BE94" w14:textId="77777777" w:rsidR="00DD0D91" w:rsidRPr="00A63840" w:rsidRDefault="00DD0D91" w:rsidP="00DD0D91">
      <w:pPr>
        <w:pStyle w:val="NormalWeb"/>
        <w:spacing w:before="0" w:beforeAutospacing="0" w:after="0" w:afterAutospacing="0"/>
        <w:jc w:val="center"/>
        <w:rPr>
          <w:rStyle w:val="Strong"/>
          <w:rFonts w:ascii="Arial" w:hAnsi="Arial" w:cs="Arial"/>
          <w:b w:val="0"/>
          <w:bCs w:val="0"/>
          <w:sz w:val="20"/>
          <w:szCs w:val="20"/>
        </w:rPr>
      </w:pPr>
      <w:r w:rsidRPr="00A63840">
        <w:rPr>
          <w:rStyle w:val="Strong"/>
          <w:rFonts w:ascii="Arial" w:hAnsi="Arial" w:cs="Arial"/>
          <w:b w:val="0"/>
          <w:bCs w:val="0"/>
          <w:noProof/>
          <w:sz w:val="20"/>
          <w:szCs w:val="20"/>
          <w:lang w:val="en-US" w:eastAsia="en-US"/>
        </w:rPr>
        <w:drawing>
          <wp:inline distT="0" distB="0" distL="0" distR="0" wp14:anchorId="60200E3C" wp14:editId="48CF017E">
            <wp:extent cx="3967480" cy="1992923"/>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7836" cy="2008171"/>
                    </a:xfrm>
                    <a:prstGeom prst="rect">
                      <a:avLst/>
                    </a:prstGeom>
                    <a:noFill/>
                  </pic:spPr>
                </pic:pic>
              </a:graphicData>
            </a:graphic>
          </wp:inline>
        </w:drawing>
      </w:r>
    </w:p>
    <w:p w14:paraId="0C1C2BF4"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p>
    <w:p w14:paraId="2FCEF09B" w14:textId="77777777" w:rsidR="00DD0D91" w:rsidRPr="00A63840" w:rsidRDefault="00DD0D91" w:rsidP="00DD0D91">
      <w:pPr>
        <w:pStyle w:val="NormalWeb"/>
        <w:spacing w:before="0" w:beforeAutospacing="0" w:after="0" w:afterAutospacing="0"/>
        <w:jc w:val="center"/>
        <w:rPr>
          <w:rStyle w:val="Strong"/>
          <w:rFonts w:ascii="Arial" w:hAnsi="Arial" w:cs="Arial"/>
          <w:sz w:val="20"/>
          <w:szCs w:val="20"/>
        </w:rPr>
      </w:pPr>
      <w:r w:rsidRPr="00A63840">
        <w:rPr>
          <w:rStyle w:val="Strong"/>
          <w:rFonts w:ascii="Arial" w:hAnsi="Arial" w:cs="Arial"/>
          <w:sz w:val="20"/>
          <w:szCs w:val="20"/>
        </w:rPr>
        <w:t xml:space="preserve">Figure 19. </w:t>
      </w:r>
      <w:r w:rsidRPr="00A63840">
        <w:rPr>
          <w:rFonts w:ascii="Arial" w:hAnsi="Arial" w:cs="Arial"/>
          <w:b/>
          <w:bCs/>
          <w:sz w:val="20"/>
          <w:szCs w:val="20"/>
        </w:rPr>
        <w:t xml:space="preserve">Relationship Between </w:t>
      </w:r>
      <w:r w:rsidRPr="00A63840">
        <w:rPr>
          <w:rStyle w:val="Strong"/>
          <w:rFonts w:ascii="Arial" w:hAnsi="Arial" w:cs="Arial"/>
          <w:sz w:val="20"/>
          <w:szCs w:val="20"/>
        </w:rPr>
        <w:t>Heave and Wave Height for Body 1</w:t>
      </w:r>
    </w:p>
    <w:p w14:paraId="30F1304B" w14:textId="77777777" w:rsidR="00DD0D91" w:rsidRPr="00A63840" w:rsidRDefault="00DD0D91" w:rsidP="00DD0D91">
      <w:pPr>
        <w:pStyle w:val="NormalWeb"/>
        <w:spacing w:before="0" w:beforeAutospacing="0" w:after="0" w:afterAutospacing="0"/>
        <w:jc w:val="center"/>
        <w:rPr>
          <w:rStyle w:val="Strong"/>
          <w:rFonts w:ascii="Arial" w:hAnsi="Arial" w:cs="Arial"/>
          <w:b w:val="0"/>
          <w:bCs w:val="0"/>
          <w:sz w:val="20"/>
          <w:szCs w:val="20"/>
        </w:rPr>
      </w:pPr>
      <w:r w:rsidRPr="00A63840">
        <w:rPr>
          <w:rStyle w:val="Strong"/>
          <w:rFonts w:ascii="Arial" w:hAnsi="Arial" w:cs="Arial"/>
          <w:b w:val="0"/>
          <w:bCs w:val="0"/>
          <w:noProof/>
          <w:sz w:val="20"/>
          <w:szCs w:val="20"/>
          <w:lang w:val="en-US" w:eastAsia="en-US"/>
        </w:rPr>
        <w:lastRenderedPageBreak/>
        <w:drawing>
          <wp:inline distT="0" distB="0" distL="0" distR="0" wp14:anchorId="4879159D" wp14:editId="683F15E1">
            <wp:extent cx="3607848" cy="20280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44753" cy="2048839"/>
                    </a:xfrm>
                    <a:prstGeom prst="rect">
                      <a:avLst/>
                    </a:prstGeom>
                    <a:noFill/>
                  </pic:spPr>
                </pic:pic>
              </a:graphicData>
            </a:graphic>
          </wp:inline>
        </w:drawing>
      </w:r>
    </w:p>
    <w:p w14:paraId="2FD679C0" w14:textId="77777777" w:rsidR="00DD0D91" w:rsidRPr="00A63840" w:rsidRDefault="00DD0D91" w:rsidP="00DD0D91">
      <w:pPr>
        <w:pStyle w:val="NormalWeb"/>
        <w:spacing w:before="0" w:beforeAutospacing="0" w:after="0" w:afterAutospacing="0"/>
        <w:jc w:val="center"/>
        <w:rPr>
          <w:rStyle w:val="Strong"/>
          <w:rFonts w:ascii="Arial" w:hAnsi="Arial" w:cs="Arial"/>
          <w:b w:val="0"/>
          <w:bCs w:val="0"/>
          <w:sz w:val="20"/>
          <w:szCs w:val="20"/>
        </w:rPr>
      </w:pPr>
    </w:p>
    <w:p w14:paraId="52097FAF" w14:textId="77777777" w:rsidR="00DD0D91" w:rsidRPr="00A63840" w:rsidRDefault="00DD0D91" w:rsidP="00DD0D91">
      <w:pPr>
        <w:pStyle w:val="NormalWeb"/>
        <w:spacing w:before="0" w:beforeAutospacing="0" w:after="0" w:afterAutospacing="0"/>
        <w:jc w:val="center"/>
        <w:rPr>
          <w:rFonts w:ascii="Arial" w:hAnsi="Arial" w:cs="Arial"/>
          <w:sz w:val="20"/>
          <w:szCs w:val="20"/>
        </w:rPr>
      </w:pPr>
      <w:r w:rsidRPr="00A63840">
        <w:rPr>
          <w:rStyle w:val="Strong"/>
          <w:rFonts w:ascii="Arial" w:hAnsi="Arial" w:cs="Arial"/>
          <w:sz w:val="20"/>
          <w:szCs w:val="20"/>
        </w:rPr>
        <w:t xml:space="preserve">Figure 20. </w:t>
      </w:r>
      <w:r w:rsidRPr="00A63840">
        <w:rPr>
          <w:rFonts w:ascii="Arial" w:hAnsi="Arial" w:cs="Arial"/>
          <w:b/>
          <w:bCs/>
          <w:sz w:val="20"/>
          <w:szCs w:val="20"/>
        </w:rPr>
        <w:t xml:space="preserve">Relationship Between </w:t>
      </w:r>
      <w:r w:rsidRPr="00A63840">
        <w:rPr>
          <w:rStyle w:val="Strong"/>
          <w:rFonts w:ascii="Arial" w:hAnsi="Arial" w:cs="Arial"/>
          <w:sz w:val="20"/>
          <w:szCs w:val="20"/>
        </w:rPr>
        <w:t>Pitch and Wave Height for Body 1</w:t>
      </w:r>
    </w:p>
    <w:p w14:paraId="51743A9C" w14:textId="77777777" w:rsidR="00DD0D91" w:rsidRPr="00A63840" w:rsidRDefault="00DD0D91" w:rsidP="00DD0D91">
      <w:pPr>
        <w:pStyle w:val="Heading3"/>
        <w:spacing w:before="0"/>
        <w:rPr>
          <w:rStyle w:val="Strong"/>
          <w:rFonts w:ascii="Arial" w:hAnsi="Arial" w:cs="Arial"/>
          <w:b w:val="0"/>
          <w:bCs w:val="0"/>
          <w:sz w:val="20"/>
          <w:szCs w:val="20"/>
        </w:rPr>
      </w:pPr>
    </w:p>
    <w:p w14:paraId="72F94AEF" w14:textId="77777777" w:rsidR="00DD0D91" w:rsidRPr="00A63840" w:rsidRDefault="00DD0D91" w:rsidP="00DD0D91">
      <w:pPr>
        <w:pStyle w:val="Heading3"/>
        <w:spacing w:before="0"/>
        <w:rPr>
          <w:rFonts w:ascii="Arial" w:hAnsi="Arial" w:cs="Arial"/>
          <w:color w:val="auto"/>
          <w:sz w:val="20"/>
          <w:szCs w:val="20"/>
        </w:rPr>
      </w:pPr>
      <w:r w:rsidRPr="00A63840">
        <w:rPr>
          <w:rStyle w:val="Strong"/>
          <w:rFonts w:ascii="Arial" w:hAnsi="Arial" w:cs="Arial"/>
          <w:color w:val="auto"/>
          <w:sz w:val="20"/>
          <w:szCs w:val="20"/>
        </w:rPr>
        <w:t>Body 2 Response</w:t>
      </w:r>
    </w:p>
    <w:p w14:paraId="60BCB1FA" w14:textId="77777777" w:rsidR="00DD0D91" w:rsidRPr="00A63840" w:rsidRDefault="00DD0D91" w:rsidP="00DD0D91">
      <w:pPr>
        <w:pStyle w:val="NormalWeb"/>
        <w:spacing w:before="0" w:beforeAutospacing="0" w:after="0" w:afterAutospacing="0"/>
        <w:jc w:val="both"/>
        <w:rPr>
          <w:rFonts w:ascii="Arial" w:hAnsi="Arial" w:cs="Arial"/>
          <w:b/>
          <w:bCs/>
          <w:sz w:val="20"/>
          <w:szCs w:val="20"/>
        </w:rPr>
      </w:pPr>
      <w:r w:rsidRPr="00A63840">
        <w:rPr>
          <w:rFonts w:ascii="Arial" w:hAnsi="Arial" w:cs="Arial"/>
          <w:sz w:val="20"/>
          <w:szCs w:val="20"/>
        </w:rPr>
        <w:t>For the submerged body, surge motion (</w:t>
      </w:r>
      <w:r w:rsidRPr="00A63840">
        <w:rPr>
          <w:rStyle w:val="Strong"/>
          <w:rFonts w:ascii="Arial" w:hAnsi="Arial" w:cs="Arial"/>
          <w:b w:val="0"/>
          <w:bCs w:val="0"/>
          <w:sz w:val="20"/>
          <w:szCs w:val="20"/>
        </w:rPr>
        <w:t>Figure 21</w:t>
      </w:r>
      <w:r w:rsidRPr="00A63840">
        <w:rPr>
          <w:rFonts w:ascii="Arial" w:hAnsi="Arial" w:cs="Arial"/>
          <w:sz w:val="20"/>
          <w:szCs w:val="20"/>
        </w:rPr>
        <w:t xml:space="preserve">) followed a linear trend similar to Body 1, with the </w:t>
      </w:r>
      <w:r w:rsidRPr="00A63840">
        <w:rPr>
          <w:rStyle w:val="Strong"/>
          <w:rFonts w:ascii="Arial" w:hAnsi="Arial" w:cs="Arial"/>
          <w:b w:val="0"/>
          <w:bCs w:val="0"/>
          <w:sz w:val="20"/>
          <w:szCs w:val="20"/>
        </w:rPr>
        <w:t>middle arrangement maintaining the highest amplitude</w:t>
      </w:r>
      <w:r w:rsidRPr="00A63840">
        <w:rPr>
          <w:rFonts w:ascii="Arial" w:hAnsi="Arial" w:cs="Arial"/>
          <w:b/>
          <w:bCs/>
          <w:sz w:val="20"/>
          <w:szCs w:val="20"/>
        </w:rPr>
        <w:t>.</w:t>
      </w:r>
    </w:p>
    <w:p w14:paraId="4204A71A"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Heave response (</w:t>
      </w:r>
      <w:r w:rsidRPr="00A63840">
        <w:rPr>
          <w:rStyle w:val="Strong"/>
          <w:rFonts w:ascii="Arial" w:hAnsi="Arial" w:cs="Arial"/>
          <w:b w:val="0"/>
          <w:bCs w:val="0"/>
          <w:sz w:val="20"/>
          <w:szCs w:val="20"/>
        </w:rPr>
        <w:t>Figure 22</w:t>
      </w:r>
      <w:r w:rsidRPr="00A63840">
        <w:rPr>
          <w:rFonts w:ascii="Arial" w:hAnsi="Arial" w:cs="Arial"/>
          <w:sz w:val="20"/>
          <w:szCs w:val="20"/>
        </w:rPr>
        <w:t>) and pitch motion (</w:t>
      </w:r>
      <w:r w:rsidRPr="00A63840">
        <w:rPr>
          <w:rStyle w:val="Strong"/>
          <w:rFonts w:ascii="Arial" w:hAnsi="Arial" w:cs="Arial"/>
          <w:b w:val="0"/>
          <w:bCs w:val="0"/>
          <w:sz w:val="20"/>
          <w:szCs w:val="20"/>
        </w:rPr>
        <w:t>Figure 23</w:t>
      </w:r>
      <w:r w:rsidRPr="00A63840">
        <w:rPr>
          <w:rFonts w:ascii="Arial" w:hAnsi="Arial" w:cs="Arial"/>
          <w:sz w:val="20"/>
          <w:szCs w:val="20"/>
        </w:rPr>
        <w:t xml:space="preserve">) further confirmed that the </w:t>
      </w:r>
      <w:r w:rsidRPr="00A63840">
        <w:rPr>
          <w:rStyle w:val="Strong"/>
          <w:rFonts w:ascii="Arial" w:hAnsi="Arial" w:cs="Arial"/>
          <w:b w:val="0"/>
          <w:bCs w:val="0"/>
          <w:sz w:val="20"/>
          <w:szCs w:val="20"/>
        </w:rPr>
        <w:t>middle arrangement delivers the most favourable balance between oscillatory motion and stability</w:t>
      </w:r>
      <w:r w:rsidRPr="00A63840">
        <w:rPr>
          <w:rFonts w:ascii="Arial" w:hAnsi="Arial" w:cs="Arial"/>
          <w:sz w:val="20"/>
          <w:szCs w:val="20"/>
        </w:rPr>
        <w:t>, supporting improved energy capture potential.</w:t>
      </w:r>
    </w:p>
    <w:p w14:paraId="478B5DC5" w14:textId="77777777" w:rsidR="00DD0D91" w:rsidRPr="00A63840" w:rsidRDefault="00DD0D91" w:rsidP="00DD0D91">
      <w:pPr>
        <w:pStyle w:val="Heading2"/>
        <w:spacing w:before="0"/>
        <w:jc w:val="center"/>
        <w:rPr>
          <w:rStyle w:val="Strong"/>
          <w:rFonts w:ascii="Arial" w:hAnsi="Arial" w:cs="Arial"/>
          <w:b w:val="0"/>
          <w:bCs w:val="0"/>
          <w:sz w:val="20"/>
          <w:szCs w:val="20"/>
        </w:rPr>
      </w:pPr>
      <w:r w:rsidRPr="00A63840">
        <w:rPr>
          <w:rStyle w:val="Strong"/>
          <w:rFonts w:ascii="Arial" w:hAnsi="Arial" w:cs="Arial"/>
          <w:b w:val="0"/>
          <w:bCs w:val="0"/>
          <w:noProof/>
          <w:sz w:val="20"/>
          <w:szCs w:val="20"/>
        </w:rPr>
        <w:drawing>
          <wp:inline distT="0" distB="0" distL="0" distR="0" wp14:anchorId="57373D84" wp14:editId="7D3FD68D">
            <wp:extent cx="3633415" cy="1992923"/>
            <wp:effectExtent l="0" t="0" r="571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6373" cy="2027455"/>
                    </a:xfrm>
                    <a:prstGeom prst="rect">
                      <a:avLst/>
                    </a:prstGeom>
                    <a:noFill/>
                  </pic:spPr>
                </pic:pic>
              </a:graphicData>
            </a:graphic>
          </wp:inline>
        </w:drawing>
      </w:r>
    </w:p>
    <w:p w14:paraId="489939CA" w14:textId="77777777" w:rsidR="00DD0D91" w:rsidRPr="00A63840" w:rsidRDefault="00DD0D91" w:rsidP="00DD0D91">
      <w:pPr>
        <w:jc w:val="center"/>
        <w:rPr>
          <w:rStyle w:val="Strong"/>
          <w:rFonts w:ascii="Arial" w:hAnsi="Arial" w:cs="Arial"/>
        </w:rPr>
      </w:pPr>
      <w:r w:rsidRPr="00A63840">
        <w:rPr>
          <w:rStyle w:val="Strong"/>
          <w:rFonts w:ascii="Arial" w:hAnsi="Arial" w:cs="Arial"/>
        </w:rPr>
        <w:t xml:space="preserve">Figure 21. </w:t>
      </w:r>
      <w:r w:rsidRPr="00A63840">
        <w:rPr>
          <w:rFonts w:ascii="Arial" w:hAnsi="Arial" w:cs="Arial"/>
          <w:b/>
          <w:bCs/>
        </w:rPr>
        <w:t xml:space="preserve">Relationship Between </w:t>
      </w:r>
      <w:r w:rsidRPr="00A63840">
        <w:rPr>
          <w:rStyle w:val="Strong"/>
          <w:rFonts w:ascii="Arial" w:hAnsi="Arial" w:cs="Arial"/>
        </w:rPr>
        <w:t>Surge and Wave Height for Body 2</w:t>
      </w:r>
    </w:p>
    <w:p w14:paraId="394AD173" w14:textId="77777777" w:rsidR="00DD0D91" w:rsidRPr="00A63840" w:rsidRDefault="00DD0D91" w:rsidP="00DD0D91">
      <w:pPr>
        <w:jc w:val="center"/>
        <w:rPr>
          <w:rStyle w:val="Strong"/>
          <w:rFonts w:ascii="Arial" w:hAnsi="Arial" w:cs="Arial"/>
        </w:rPr>
      </w:pPr>
      <w:r w:rsidRPr="00A63840">
        <w:rPr>
          <w:rStyle w:val="Strong"/>
          <w:rFonts w:ascii="Arial" w:hAnsi="Arial" w:cs="Arial"/>
          <w:noProof/>
        </w:rPr>
        <w:drawing>
          <wp:inline distT="0" distB="0" distL="0" distR="0" wp14:anchorId="1516EB1E" wp14:editId="2B46962C">
            <wp:extent cx="3675184" cy="179578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8052" cy="1816726"/>
                    </a:xfrm>
                    <a:prstGeom prst="rect">
                      <a:avLst/>
                    </a:prstGeom>
                    <a:noFill/>
                  </pic:spPr>
                </pic:pic>
              </a:graphicData>
            </a:graphic>
          </wp:inline>
        </w:drawing>
      </w:r>
    </w:p>
    <w:p w14:paraId="0652052B" w14:textId="77777777" w:rsidR="00DD0D91" w:rsidRPr="00A63840" w:rsidRDefault="00DD0D91" w:rsidP="00DD0D91">
      <w:pPr>
        <w:jc w:val="center"/>
        <w:rPr>
          <w:rStyle w:val="Strong"/>
          <w:rFonts w:ascii="Arial" w:hAnsi="Arial" w:cs="Arial"/>
        </w:rPr>
      </w:pPr>
      <w:r w:rsidRPr="00A63840">
        <w:rPr>
          <w:rStyle w:val="Strong"/>
          <w:rFonts w:ascii="Arial" w:hAnsi="Arial" w:cs="Arial"/>
        </w:rPr>
        <w:t xml:space="preserve">Figure 22. </w:t>
      </w:r>
      <w:r w:rsidRPr="00A63840">
        <w:rPr>
          <w:rFonts w:ascii="Arial" w:hAnsi="Arial" w:cs="Arial"/>
          <w:b/>
          <w:bCs/>
        </w:rPr>
        <w:t xml:space="preserve">Relationship Between </w:t>
      </w:r>
      <w:r w:rsidRPr="00A63840">
        <w:rPr>
          <w:rStyle w:val="Strong"/>
          <w:rFonts w:ascii="Arial" w:hAnsi="Arial" w:cs="Arial"/>
        </w:rPr>
        <w:t>Heave and Wave Height for Body 2</w:t>
      </w:r>
    </w:p>
    <w:p w14:paraId="139CF4AD" w14:textId="77777777" w:rsidR="00DD0D91" w:rsidRPr="00A63840" w:rsidRDefault="00DD0D91" w:rsidP="00DD0D91">
      <w:pPr>
        <w:jc w:val="center"/>
        <w:rPr>
          <w:rStyle w:val="Strong"/>
          <w:rFonts w:ascii="Arial" w:hAnsi="Arial" w:cs="Arial"/>
        </w:rPr>
      </w:pPr>
      <w:r w:rsidRPr="00A63840">
        <w:rPr>
          <w:rStyle w:val="Strong"/>
          <w:rFonts w:ascii="Arial" w:hAnsi="Arial" w:cs="Arial"/>
          <w:noProof/>
        </w:rPr>
        <w:lastRenderedPageBreak/>
        <w:drawing>
          <wp:inline distT="0" distB="0" distL="0" distR="0" wp14:anchorId="4DFBD945" wp14:editId="51CB0A40">
            <wp:extent cx="3657600" cy="17843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7403" cy="1794011"/>
                    </a:xfrm>
                    <a:prstGeom prst="rect">
                      <a:avLst/>
                    </a:prstGeom>
                    <a:noFill/>
                  </pic:spPr>
                </pic:pic>
              </a:graphicData>
            </a:graphic>
          </wp:inline>
        </w:drawing>
      </w:r>
    </w:p>
    <w:p w14:paraId="07635137" w14:textId="77777777" w:rsidR="00DD0D91" w:rsidRPr="00A63840" w:rsidRDefault="00DD0D91" w:rsidP="00DD0D91">
      <w:pPr>
        <w:jc w:val="center"/>
        <w:rPr>
          <w:rFonts w:ascii="Arial" w:hAnsi="Arial" w:cs="Arial"/>
          <w:b/>
          <w:bCs/>
        </w:rPr>
      </w:pPr>
      <w:r w:rsidRPr="00A63840">
        <w:rPr>
          <w:rStyle w:val="Strong"/>
          <w:rFonts w:ascii="Arial" w:hAnsi="Arial" w:cs="Arial"/>
        </w:rPr>
        <w:t xml:space="preserve">Figure 23. </w:t>
      </w:r>
      <w:r w:rsidRPr="00A63840">
        <w:rPr>
          <w:rFonts w:ascii="Arial" w:hAnsi="Arial" w:cs="Arial"/>
          <w:b/>
          <w:bCs/>
        </w:rPr>
        <w:t>Relationship Between Pitch and Wave Height for Body 2</w:t>
      </w:r>
    </w:p>
    <w:p w14:paraId="082F5F95" w14:textId="77777777" w:rsidR="00DD0D91" w:rsidRPr="00A63840" w:rsidRDefault="00DD0D91" w:rsidP="00DD0D91">
      <w:pPr>
        <w:jc w:val="center"/>
        <w:rPr>
          <w:rFonts w:ascii="Arial" w:hAnsi="Arial" w:cs="Arial"/>
          <w:b/>
          <w:bCs/>
        </w:rPr>
      </w:pPr>
    </w:p>
    <w:p w14:paraId="1C729E3D" w14:textId="1F088894" w:rsidR="00DD0D91" w:rsidRPr="00A63840" w:rsidRDefault="007D7BCB" w:rsidP="00DD0D91">
      <w:pPr>
        <w:pStyle w:val="Heading2"/>
        <w:spacing w:before="0"/>
        <w:jc w:val="both"/>
        <w:rPr>
          <w:rFonts w:ascii="Arial" w:hAnsi="Arial" w:cs="Arial"/>
          <w:bCs/>
          <w:color w:val="auto"/>
          <w:sz w:val="20"/>
          <w:szCs w:val="20"/>
        </w:rPr>
      </w:pPr>
      <w:r w:rsidRPr="00A63840">
        <w:rPr>
          <w:rStyle w:val="Strong"/>
          <w:rFonts w:ascii="Arial" w:hAnsi="Arial" w:cs="Arial"/>
          <w:bCs w:val="0"/>
          <w:color w:val="auto"/>
          <w:sz w:val="20"/>
          <w:szCs w:val="20"/>
        </w:rPr>
        <w:t>5</w:t>
      </w:r>
      <w:r w:rsidR="00DD0D91" w:rsidRPr="00A63840">
        <w:rPr>
          <w:rStyle w:val="Strong"/>
          <w:rFonts w:ascii="Arial" w:hAnsi="Arial" w:cs="Arial"/>
          <w:bCs w:val="0"/>
          <w:color w:val="auto"/>
          <w:sz w:val="20"/>
          <w:szCs w:val="20"/>
        </w:rPr>
        <w:t>.5 Structural Response and Fatigue Performance</w:t>
      </w:r>
    </w:p>
    <w:p w14:paraId="742D4C18"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The final simulation phase assessed </w:t>
      </w:r>
      <w:r w:rsidRPr="00A63840">
        <w:rPr>
          <w:rStyle w:val="Strong"/>
          <w:rFonts w:ascii="Arial" w:hAnsi="Arial" w:cs="Arial"/>
          <w:b w:val="0"/>
          <w:bCs w:val="0"/>
          <w:sz w:val="20"/>
          <w:szCs w:val="20"/>
        </w:rPr>
        <w:t>structural stress distribution and fatigue resistance</w:t>
      </w:r>
      <w:r w:rsidRPr="00A63840">
        <w:rPr>
          <w:rFonts w:ascii="Arial" w:hAnsi="Arial" w:cs="Arial"/>
          <w:sz w:val="20"/>
          <w:szCs w:val="20"/>
        </w:rPr>
        <w:t xml:space="preserve"> across configurations. Results indicate that the </w:t>
      </w:r>
      <w:r w:rsidRPr="00A63840">
        <w:rPr>
          <w:rStyle w:val="Strong"/>
          <w:rFonts w:ascii="Arial" w:hAnsi="Arial" w:cs="Arial"/>
          <w:b w:val="0"/>
          <w:bCs w:val="0"/>
          <w:sz w:val="20"/>
          <w:szCs w:val="20"/>
        </w:rPr>
        <w:t>factor of safety (FOS) increased as the float arrangement was lowered</w:t>
      </w:r>
      <w:r w:rsidRPr="00A63840">
        <w:rPr>
          <w:rFonts w:ascii="Arial" w:hAnsi="Arial" w:cs="Arial"/>
          <w:b/>
          <w:bCs/>
          <w:sz w:val="20"/>
          <w:szCs w:val="20"/>
        </w:rPr>
        <w:t>. T</w:t>
      </w:r>
      <w:r w:rsidRPr="00A63840">
        <w:rPr>
          <w:rFonts w:ascii="Arial" w:hAnsi="Arial" w:cs="Arial"/>
          <w:sz w:val="20"/>
          <w:szCs w:val="20"/>
        </w:rPr>
        <w:t xml:space="preserve">his trend is attributed to load redistribution effects, where </w:t>
      </w:r>
      <w:r w:rsidRPr="00A63840">
        <w:rPr>
          <w:rStyle w:val="Strong"/>
          <w:rFonts w:ascii="Arial" w:hAnsi="Arial" w:cs="Arial"/>
          <w:b w:val="0"/>
          <w:bCs w:val="0"/>
          <w:sz w:val="20"/>
          <w:szCs w:val="20"/>
        </w:rPr>
        <w:t>lower configurations transfer a portion of wave-induced forces to pontoons</w:t>
      </w:r>
      <w:r w:rsidRPr="00A63840">
        <w:rPr>
          <w:rFonts w:ascii="Arial" w:hAnsi="Arial" w:cs="Arial"/>
          <w:sz w:val="20"/>
          <w:szCs w:val="20"/>
        </w:rPr>
        <w:t>, thereby reducing stress concentration on primary structural members.</w:t>
      </w:r>
    </w:p>
    <w:p w14:paraId="08CD2EEE"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In contrast, the </w:t>
      </w:r>
      <w:r w:rsidRPr="00A63840">
        <w:rPr>
          <w:rStyle w:val="Strong"/>
          <w:rFonts w:ascii="Arial" w:hAnsi="Arial" w:cs="Arial"/>
          <w:b w:val="0"/>
          <w:bCs w:val="0"/>
          <w:sz w:val="20"/>
          <w:szCs w:val="20"/>
        </w:rPr>
        <w:t>highest arrangement experiences more direct wave loading</w:t>
      </w:r>
      <w:r w:rsidRPr="00A63840">
        <w:rPr>
          <w:rFonts w:ascii="Arial" w:hAnsi="Arial" w:cs="Arial"/>
          <w:b/>
          <w:bCs/>
          <w:sz w:val="20"/>
          <w:szCs w:val="20"/>
        </w:rPr>
        <w:t>,</w:t>
      </w:r>
      <w:r w:rsidRPr="00A63840">
        <w:rPr>
          <w:rFonts w:ascii="Arial" w:hAnsi="Arial" w:cs="Arial"/>
          <w:sz w:val="20"/>
          <w:szCs w:val="20"/>
        </w:rPr>
        <w:t xml:space="preserve"> leading to increased stress exposure and reduced fatigue margins.</w:t>
      </w:r>
    </w:p>
    <w:p w14:paraId="6AF9A822" w14:textId="77777777" w:rsidR="000F2527" w:rsidRDefault="000F2527" w:rsidP="00DD0D91">
      <w:pPr>
        <w:pStyle w:val="Heading2"/>
        <w:spacing w:before="0"/>
        <w:jc w:val="both"/>
        <w:rPr>
          <w:rStyle w:val="Strong"/>
          <w:rFonts w:ascii="Arial" w:hAnsi="Arial" w:cs="Arial"/>
          <w:bCs w:val="0"/>
          <w:color w:val="auto"/>
          <w:sz w:val="20"/>
          <w:szCs w:val="20"/>
        </w:rPr>
      </w:pPr>
    </w:p>
    <w:p w14:paraId="611B1EC9" w14:textId="52B0FD7E" w:rsidR="00DD0D91" w:rsidRPr="00A63840" w:rsidRDefault="007D7BCB" w:rsidP="00DD0D91">
      <w:pPr>
        <w:pStyle w:val="Heading2"/>
        <w:spacing w:before="0"/>
        <w:jc w:val="both"/>
        <w:rPr>
          <w:rFonts w:ascii="Arial" w:hAnsi="Arial" w:cs="Arial"/>
          <w:bCs/>
          <w:color w:val="auto"/>
          <w:sz w:val="20"/>
          <w:szCs w:val="20"/>
        </w:rPr>
      </w:pPr>
      <w:r w:rsidRPr="00A63840">
        <w:rPr>
          <w:rStyle w:val="Strong"/>
          <w:rFonts w:ascii="Arial" w:hAnsi="Arial" w:cs="Arial"/>
          <w:bCs w:val="0"/>
          <w:color w:val="auto"/>
          <w:sz w:val="20"/>
          <w:szCs w:val="20"/>
        </w:rPr>
        <w:t>5</w:t>
      </w:r>
      <w:r w:rsidR="00DD0D91" w:rsidRPr="00A63840">
        <w:rPr>
          <w:rStyle w:val="Strong"/>
          <w:rFonts w:ascii="Arial" w:hAnsi="Arial" w:cs="Arial"/>
          <w:bCs w:val="0"/>
          <w:color w:val="auto"/>
          <w:sz w:val="20"/>
          <w:szCs w:val="20"/>
        </w:rPr>
        <w:t>.6 Key Findings and Design Implications</w:t>
      </w:r>
    </w:p>
    <w:p w14:paraId="6878FDE0"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 xml:space="preserve">Overall, the results demonstrate that </w:t>
      </w:r>
      <w:r w:rsidRPr="00A63840">
        <w:rPr>
          <w:rStyle w:val="Strong"/>
          <w:rFonts w:ascii="Arial" w:hAnsi="Arial" w:cs="Arial"/>
          <w:b w:val="0"/>
          <w:bCs w:val="0"/>
          <w:sz w:val="20"/>
          <w:szCs w:val="20"/>
        </w:rPr>
        <w:t>float spatial configuration significantly influences hydrostatic stability, resonance response, motion amplification, and fatigue resistance</w:t>
      </w:r>
      <w:r w:rsidRPr="00A63840">
        <w:rPr>
          <w:rFonts w:ascii="Arial" w:hAnsi="Arial" w:cs="Arial"/>
          <w:b/>
          <w:bCs/>
          <w:sz w:val="20"/>
          <w:szCs w:val="20"/>
        </w:rPr>
        <w:t>.</w:t>
      </w:r>
      <w:r w:rsidRPr="00A63840">
        <w:rPr>
          <w:rFonts w:ascii="Arial" w:hAnsi="Arial" w:cs="Arial"/>
          <w:sz w:val="20"/>
          <w:szCs w:val="20"/>
        </w:rPr>
        <w:t xml:space="preserve"> The </w:t>
      </w:r>
      <w:r w:rsidRPr="00A63840">
        <w:rPr>
          <w:rStyle w:val="Strong"/>
          <w:rFonts w:ascii="Arial" w:hAnsi="Arial" w:cs="Arial"/>
          <w:b w:val="0"/>
          <w:bCs w:val="0"/>
          <w:sz w:val="20"/>
          <w:szCs w:val="20"/>
        </w:rPr>
        <w:t>middle arrangement consistently achieved the most favourable dynamic performance</w:t>
      </w:r>
      <w:r w:rsidRPr="00A63840">
        <w:rPr>
          <w:rFonts w:ascii="Arial" w:hAnsi="Arial" w:cs="Arial"/>
          <w:b/>
          <w:bCs/>
          <w:sz w:val="20"/>
          <w:szCs w:val="20"/>
        </w:rPr>
        <w:t>,</w:t>
      </w:r>
      <w:r w:rsidRPr="00A63840">
        <w:rPr>
          <w:rFonts w:ascii="Arial" w:hAnsi="Arial" w:cs="Arial"/>
          <w:sz w:val="20"/>
          <w:szCs w:val="20"/>
        </w:rPr>
        <w:t xml:space="preserve"> balancing high oscillatory motion with improved stability and energy absorption efficiency.</w:t>
      </w:r>
    </w:p>
    <w:p w14:paraId="04B07A0F" w14:textId="77777777" w:rsidR="00DD0D91" w:rsidRPr="00A63840" w:rsidRDefault="00DD0D91" w:rsidP="00DD0D91">
      <w:pPr>
        <w:pStyle w:val="NormalWeb"/>
        <w:spacing w:before="0" w:beforeAutospacing="0" w:after="0" w:afterAutospacing="0"/>
        <w:jc w:val="both"/>
        <w:rPr>
          <w:rFonts w:ascii="Arial" w:hAnsi="Arial" w:cs="Arial"/>
          <w:b/>
          <w:bCs/>
          <w:sz w:val="20"/>
          <w:szCs w:val="20"/>
        </w:rPr>
      </w:pPr>
      <w:r w:rsidRPr="00A63840">
        <w:rPr>
          <w:rFonts w:ascii="Arial" w:hAnsi="Arial" w:cs="Arial"/>
          <w:sz w:val="20"/>
          <w:szCs w:val="20"/>
        </w:rPr>
        <w:t xml:space="preserve">These findings confirm that </w:t>
      </w:r>
      <w:r w:rsidRPr="00A63840">
        <w:rPr>
          <w:rStyle w:val="Strong"/>
          <w:rFonts w:ascii="Arial" w:hAnsi="Arial" w:cs="Arial"/>
          <w:b w:val="0"/>
          <w:bCs w:val="0"/>
          <w:sz w:val="20"/>
          <w:szCs w:val="20"/>
        </w:rPr>
        <w:t>optimal WEC performance is governed by resonance tuning, righting moment control, and hydrodynamic coupling</w:t>
      </w:r>
      <w:r w:rsidRPr="00A63840">
        <w:rPr>
          <w:rFonts w:ascii="Arial" w:hAnsi="Arial" w:cs="Arial"/>
          <w:b/>
          <w:bCs/>
          <w:sz w:val="20"/>
          <w:szCs w:val="20"/>
        </w:rPr>
        <w:t>,</w:t>
      </w:r>
      <w:r w:rsidRPr="00A63840">
        <w:rPr>
          <w:rFonts w:ascii="Arial" w:hAnsi="Arial" w:cs="Arial"/>
          <w:sz w:val="20"/>
          <w:szCs w:val="20"/>
        </w:rPr>
        <w:t xml:space="preserve"> and highlight the </w:t>
      </w:r>
      <w:r w:rsidRPr="00A63840">
        <w:rPr>
          <w:rStyle w:val="Strong"/>
          <w:rFonts w:ascii="Arial" w:hAnsi="Arial" w:cs="Arial"/>
          <w:b w:val="0"/>
          <w:bCs w:val="0"/>
          <w:sz w:val="20"/>
          <w:szCs w:val="20"/>
        </w:rPr>
        <w:t>middle float configuration as the most effective design for maximizing wave energy extraction while maintaining structural reliability</w:t>
      </w:r>
      <w:r w:rsidRPr="00A63840">
        <w:rPr>
          <w:rFonts w:ascii="Arial" w:hAnsi="Arial" w:cs="Arial"/>
          <w:b/>
          <w:bCs/>
          <w:sz w:val="20"/>
          <w:szCs w:val="20"/>
        </w:rPr>
        <w:t>.</w:t>
      </w:r>
    </w:p>
    <w:p w14:paraId="7FF67FCF" w14:textId="77777777" w:rsidR="00DD0D91" w:rsidRPr="00A63840" w:rsidRDefault="00DD0D91" w:rsidP="00DD0D91">
      <w:pPr>
        <w:pStyle w:val="Heading1"/>
        <w:spacing w:before="0" w:after="0"/>
        <w:jc w:val="both"/>
        <w:rPr>
          <w:rFonts w:cs="Arial"/>
          <w:sz w:val="20"/>
        </w:rPr>
      </w:pPr>
    </w:p>
    <w:p w14:paraId="66900052" w14:textId="16B2A346" w:rsidR="007D7BCB" w:rsidRPr="00A63840" w:rsidRDefault="007D7BCB" w:rsidP="007D7BCB">
      <w:pPr>
        <w:pStyle w:val="NomenclatureClauseTitle"/>
        <w:numPr>
          <w:ilvl w:val="0"/>
          <w:numId w:val="32"/>
        </w:numPr>
        <w:spacing w:before="0"/>
        <w:rPr>
          <w:rFonts w:cs="Arial"/>
          <w:color w:val="000000" w:themeColor="text1"/>
        </w:rPr>
      </w:pPr>
      <w:r w:rsidRPr="00A63840">
        <w:rPr>
          <w:rFonts w:cs="Arial"/>
          <w:caps w:val="0"/>
          <w:color w:val="000000" w:themeColor="text1"/>
          <w:sz w:val="22"/>
          <w:szCs w:val="22"/>
        </w:rPr>
        <w:t>CONCLUSION</w:t>
      </w:r>
    </w:p>
    <w:p w14:paraId="236329D8"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In this study, a two-body wave energy converter (WEC) was designed and analysed to harness heave and pitch motions effectively. The proposed power take-off (PTO) system, enabling motion in four degrees of freedom, successfully converted wave-induced relative motion into electrical energy. Design verification against the metrics established during the design phase, including hydrostatic stability, buoyancy alignment, structural strength, and range of motion, demonstrated that the WEC met or exceeded all target specifications.</w:t>
      </w:r>
    </w:p>
    <w:p w14:paraId="2E490F13" w14:textId="77777777" w:rsidR="00DD0D91" w:rsidRPr="00A63840"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The introduction of variable geometry via an ACME power screw and adjustable pontoons allowed fine-tuning of the WEC’s response to varying sea states. Simulation results indicated that the middle arrangement exhibited the greatest deflection under a wide range of wave conditions, enhancing energy capture, whereas the highest arrangement consistently demonstrated the greatest stability, reducing structural stress and fatigue. The lowest arrangement, while capable of significant motion, showed less favourable dynamic interaction due to negative righting moments, highlighting the importance of geometry in tuning WEC performance.</w:t>
      </w:r>
    </w:p>
    <w:p w14:paraId="43D41572" w14:textId="77777777" w:rsidR="00DD0D91" w:rsidRDefault="00DD0D91" w:rsidP="00DD0D91">
      <w:pPr>
        <w:pStyle w:val="NormalWeb"/>
        <w:spacing w:before="0" w:beforeAutospacing="0" w:after="0" w:afterAutospacing="0"/>
        <w:jc w:val="both"/>
        <w:rPr>
          <w:rFonts w:ascii="Arial" w:hAnsi="Arial" w:cs="Arial"/>
          <w:sz w:val="20"/>
          <w:szCs w:val="20"/>
        </w:rPr>
      </w:pPr>
      <w:r w:rsidRPr="00A63840">
        <w:rPr>
          <w:rFonts w:ascii="Arial" w:hAnsi="Arial" w:cs="Arial"/>
          <w:sz w:val="20"/>
          <w:szCs w:val="20"/>
        </w:rPr>
        <w:t>Overall, the study confirms that the integration of variable-geometry features into a point absorber WEC improves adaptability and performance across differing wave climates, balancing energy capture with structural reliability.</w:t>
      </w:r>
    </w:p>
    <w:p w14:paraId="742D8025" w14:textId="77777777" w:rsidR="00E166FB" w:rsidRDefault="00E166FB" w:rsidP="00DD0D91">
      <w:pPr>
        <w:pStyle w:val="NormalWeb"/>
        <w:spacing w:before="0" w:beforeAutospacing="0" w:after="0" w:afterAutospacing="0"/>
        <w:jc w:val="both"/>
        <w:rPr>
          <w:rFonts w:ascii="Arial" w:hAnsi="Arial" w:cs="Arial"/>
          <w:sz w:val="20"/>
          <w:szCs w:val="20"/>
        </w:rPr>
      </w:pPr>
    </w:p>
    <w:p w14:paraId="17B22A6C" w14:textId="77777777" w:rsidR="00E166FB" w:rsidRDefault="00E166FB" w:rsidP="00DD0D91">
      <w:pPr>
        <w:pStyle w:val="NormalWeb"/>
        <w:spacing w:before="0" w:beforeAutospacing="0" w:after="0" w:afterAutospacing="0"/>
        <w:jc w:val="both"/>
        <w:rPr>
          <w:rFonts w:ascii="Arial" w:hAnsi="Arial" w:cs="Arial"/>
          <w:sz w:val="20"/>
          <w:szCs w:val="20"/>
        </w:rPr>
      </w:pPr>
    </w:p>
    <w:p w14:paraId="747F8349" w14:textId="77777777" w:rsidR="00E166FB" w:rsidRPr="00E166FB" w:rsidRDefault="00E166FB" w:rsidP="00E166FB">
      <w:pPr>
        <w:pStyle w:val="NormalWeb"/>
        <w:jc w:val="both"/>
        <w:rPr>
          <w:rFonts w:ascii="Arial" w:hAnsi="Arial" w:cs="Arial"/>
          <w:sz w:val="20"/>
          <w:szCs w:val="20"/>
        </w:rPr>
      </w:pPr>
      <w:r w:rsidRPr="00E166FB">
        <w:rPr>
          <w:rFonts w:ascii="Arial" w:hAnsi="Arial" w:cs="Arial"/>
          <w:sz w:val="20"/>
          <w:szCs w:val="20"/>
        </w:rPr>
        <w:lastRenderedPageBreak/>
        <w:t>COMPETING INTERESTS DISCLAIMER:</w:t>
      </w:r>
    </w:p>
    <w:p w14:paraId="67F8FFD2" w14:textId="585F3E4B" w:rsidR="00E166FB" w:rsidRDefault="00E166FB" w:rsidP="00E166FB">
      <w:pPr>
        <w:pStyle w:val="NormalWeb"/>
        <w:spacing w:before="0" w:beforeAutospacing="0" w:after="0" w:afterAutospacing="0"/>
        <w:jc w:val="both"/>
        <w:rPr>
          <w:rFonts w:ascii="Arial" w:hAnsi="Arial" w:cs="Arial"/>
          <w:sz w:val="20"/>
          <w:szCs w:val="20"/>
        </w:rPr>
      </w:pPr>
      <w:r w:rsidRPr="00E166FB">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58E5A254" w14:textId="7C915D9C" w:rsidR="00E25B3F" w:rsidRDefault="00E25B3F" w:rsidP="00E166FB">
      <w:pPr>
        <w:pStyle w:val="NormalWeb"/>
        <w:spacing w:before="0" w:beforeAutospacing="0" w:after="0" w:afterAutospacing="0"/>
        <w:jc w:val="both"/>
        <w:rPr>
          <w:rFonts w:ascii="Arial" w:hAnsi="Arial" w:cs="Arial"/>
          <w:sz w:val="20"/>
          <w:szCs w:val="20"/>
        </w:rPr>
      </w:pPr>
    </w:p>
    <w:p w14:paraId="05A42C0F" w14:textId="77777777" w:rsidR="00E25B3F" w:rsidRPr="00E25B3F" w:rsidRDefault="00E25B3F" w:rsidP="00E25B3F">
      <w:pPr>
        <w:rPr>
          <w:rFonts w:ascii="Arial" w:eastAsia="Calibri" w:hAnsi="Arial" w:cs="Arial"/>
          <w:kern w:val="2"/>
          <w:sz w:val="22"/>
          <w:szCs w:val="22"/>
          <w:highlight w:val="yellow"/>
        </w:rPr>
      </w:pPr>
      <w:bookmarkStart w:id="0" w:name="_Hlk198031404"/>
      <w:r w:rsidRPr="00E25B3F">
        <w:rPr>
          <w:rFonts w:ascii="Arial" w:eastAsia="Calibri" w:hAnsi="Arial" w:cs="Arial"/>
          <w:kern w:val="2"/>
          <w:sz w:val="22"/>
          <w:szCs w:val="22"/>
          <w:highlight w:val="yellow"/>
        </w:rPr>
        <w:t>Disclaimer (Artificial intelligence)</w:t>
      </w:r>
    </w:p>
    <w:p w14:paraId="063AEAE2" w14:textId="77777777" w:rsidR="00E25B3F" w:rsidRPr="00E25B3F" w:rsidRDefault="00E25B3F" w:rsidP="00E25B3F">
      <w:pPr>
        <w:rPr>
          <w:rFonts w:ascii="Arial" w:eastAsia="Calibri" w:hAnsi="Arial" w:cs="Arial"/>
          <w:kern w:val="2"/>
          <w:sz w:val="22"/>
          <w:szCs w:val="22"/>
          <w:highlight w:val="yellow"/>
        </w:rPr>
      </w:pPr>
    </w:p>
    <w:p w14:paraId="1D5192C1" w14:textId="77777777" w:rsidR="00E25B3F" w:rsidRPr="00E25B3F" w:rsidRDefault="00E25B3F" w:rsidP="00E25B3F">
      <w:pPr>
        <w:rPr>
          <w:rFonts w:ascii="Arial" w:eastAsia="Calibri" w:hAnsi="Arial" w:cs="Arial"/>
          <w:kern w:val="2"/>
          <w:sz w:val="22"/>
          <w:szCs w:val="22"/>
          <w:highlight w:val="yellow"/>
        </w:rPr>
      </w:pPr>
      <w:r w:rsidRPr="00E25B3F">
        <w:rPr>
          <w:rFonts w:ascii="Arial" w:eastAsia="Calibri" w:hAnsi="Arial" w:cs="Arial"/>
          <w:kern w:val="2"/>
          <w:sz w:val="22"/>
          <w:szCs w:val="22"/>
          <w:highlight w:val="yellow"/>
        </w:rPr>
        <w:t>Author(s) hereby declare that NO generative AI technologies such as Large Language Models (</w:t>
      </w:r>
      <w:proofErr w:type="spellStart"/>
      <w:r w:rsidRPr="00E25B3F">
        <w:rPr>
          <w:rFonts w:ascii="Arial" w:eastAsia="Calibri" w:hAnsi="Arial" w:cs="Arial"/>
          <w:kern w:val="2"/>
          <w:sz w:val="22"/>
          <w:szCs w:val="22"/>
          <w:highlight w:val="yellow"/>
        </w:rPr>
        <w:t>ChatGPT</w:t>
      </w:r>
      <w:proofErr w:type="spellEnd"/>
      <w:r w:rsidRPr="00E25B3F">
        <w:rPr>
          <w:rFonts w:ascii="Arial" w:eastAsia="Calibri" w:hAnsi="Arial" w:cs="Arial"/>
          <w:kern w:val="2"/>
          <w:sz w:val="22"/>
          <w:szCs w:val="22"/>
          <w:highlight w:val="yellow"/>
        </w:rPr>
        <w:t xml:space="preserve">, COPILOT, etc.) and text-to-image generators have been used during the writing or editing of this manuscript. </w:t>
      </w:r>
    </w:p>
    <w:bookmarkEnd w:id="0"/>
    <w:p w14:paraId="5D77C7DC" w14:textId="77777777" w:rsidR="00E25B3F" w:rsidRPr="00E25B3F" w:rsidRDefault="00E25B3F" w:rsidP="00E25B3F">
      <w:pPr>
        <w:rPr>
          <w:rFonts w:ascii="Arial" w:eastAsia="Calibri" w:hAnsi="Arial" w:cs="Arial"/>
          <w:kern w:val="2"/>
          <w:sz w:val="22"/>
          <w:szCs w:val="22"/>
        </w:rPr>
      </w:pPr>
    </w:p>
    <w:p w14:paraId="573B2347" w14:textId="77777777" w:rsidR="00E25B3F" w:rsidRPr="00E25B3F" w:rsidRDefault="00E25B3F" w:rsidP="00E25B3F">
      <w:pPr>
        <w:rPr>
          <w:rFonts w:ascii="Arial" w:eastAsia="Calibri" w:hAnsi="Arial" w:cs="Arial"/>
          <w:kern w:val="2"/>
          <w:sz w:val="22"/>
          <w:szCs w:val="22"/>
        </w:rPr>
      </w:pPr>
    </w:p>
    <w:p w14:paraId="12C54B43" w14:textId="77777777" w:rsidR="00E25B3F" w:rsidRPr="00E25B3F" w:rsidRDefault="00E25B3F" w:rsidP="00E25B3F">
      <w:pPr>
        <w:rPr>
          <w:rFonts w:ascii="Arial" w:eastAsia="Calibri" w:hAnsi="Arial" w:cs="Arial"/>
          <w:kern w:val="2"/>
          <w:sz w:val="22"/>
          <w:szCs w:val="22"/>
        </w:rPr>
      </w:pPr>
    </w:p>
    <w:p w14:paraId="6FC1157E" w14:textId="77777777" w:rsidR="00E25B3F" w:rsidRPr="00A63840" w:rsidRDefault="00E25B3F" w:rsidP="00E166FB">
      <w:pPr>
        <w:pStyle w:val="NormalWeb"/>
        <w:spacing w:before="0" w:beforeAutospacing="0" w:after="0" w:afterAutospacing="0"/>
        <w:jc w:val="both"/>
        <w:rPr>
          <w:rFonts w:ascii="Arial" w:hAnsi="Arial" w:cs="Arial"/>
          <w:sz w:val="20"/>
          <w:szCs w:val="20"/>
        </w:rPr>
      </w:pPr>
    </w:p>
    <w:p w14:paraId="0C719BBD" w14:textId="77777777" w:rsidR="00A74B0E" w:rsidRPr="00A63840" w:rsidRDefault="00A74B0E" w:rsidP="005A236F">
      <w:pPr>
        <w:jc w:val="both"/>
        <w:rPr>
          <w:rFonts w:ascii="Arial" w:hAnsi="Arial" w:cs="Arial"/>
          <w:b/>
          <w:color w:val="000000" w:themeColor="text1"/>
          <w:sz w:val="22"/>
          <w:szCs w:val="22"/>
          <w:lang w:val="en-TT"/>
        </w:rPr>
      </w:pPr>
    </w:p>
    <w:p w14:paraId="58209071" w14:textId="77777777" w:rsidR="00A6459A" w:rsidRPr="00A63840" w:rsidRDefault="00A74B0E" w:rsidP="00A6459A">
      <w:pPr>
        <w:jc w:val="both"/>
        <w:rPr>
          <w:rFonts w:ascii="Arial" w:hAnsi="Arial" w:cs="Arial"/>
          <w:b/>
          <w:color w:val="000000" w:themeColor="text1"/>
          <w:lang w:val="en-TT"/>
        </w:rPr>
      </w:pPr>
      <w:r w:rsidRPr="00A63840">
        <w:rPr>
          <w:rFonts w:ascii="Arial" w:hAnsi="Arial" w:cs="Arial"/>
          <w:b/>
          <w:color w:val="000000" w:themeColor="text1"/>
          <w:sz w:val="22"/>
          <w:szCs w:val="22"/>
          <w:lang w:val="en-TT"/>
        </w:rPr>
        <w:t>REFERENCES</w:t>
      </w:r>
    </w:p>
    <w:p w14:paraId="62001AF0" w14:textId="4D412B22" w:rsidR="00A6459A" w:rsidRPr="00A63840" w:rsidRDefault="00A6459A" w:rsidP="00A6459A">
      <w:pPr>
        <w:jc w:val="both"/>
        <w:rPr>
          <w:rFonts w:ascii="Arial" w:hAnsi="Arial" w:cs="Arial"/>
        </w:rPr>
      </w:pPr>
      <w:proofErr w:type="spellStart"/>
      <w:r w:rsidRPr="00A63840">
        <w:rPr>
          <w:rFonts w:ascii="Arial" w:hAnsi="Arial" w:cs="Arial"/>
        </w:rPr>
        <w:t>Aderinto</w:t>
      </w:r>
      <w:proofErr w:type="spellEnd"/>
      <w:r w:rsidRPr="00A63840">
        <w:rPr>
          <w:rFonts w:ascii="Arial" w:hAnsi="Arial" w:cs="Arial"/>
        </w:rPr>
        <w:t xml:space="preserve">, Tunde, and Hua Li. 2019. “Review on Power Performance and Efficiency of Wave Energy Converters.” </w:t>
      </w:r>
      <w:r w:rsidRPr="00A63840">
        <w:rPr>
          <w:rStyle w:val="Emphasis"/>
          <w:rFonts w:ascii="Arial" w:hAnsi="Arial" w:cs="Arial"/>
        </w:rPr>
        <w:t>Energies</w:t>
      </w:r>
      <w:r w:rsidRPr="00A63840">
        <w:rPr>
          <w:rFonts w:ascii="Arial" w:hAnsi="Arial" w:cs="Arial"/>
        </w:rPr>
        <w:t xml:space="preserve"> 12 (22): 4329. </w:t>
      </w:r>
      <w:hyperlink r:id="rId31" w:tgtFrame="_new" w:history="1">
        <w:r w:rsidRPr="00A63840">
          <w:rPr>
            <w:rStyle w:val="Hyperlink"/>
            <w:rFonts w:ascii="Arial" w:hAnsi="Arial" w:cs="Arial"/>
          </w:rPr>
          <w:t>https://doi.org/10.3390/en12224329</w:t>
        </w:r>
      </w:hyperlink>
      <w:r w:rsidRPr="00A63840">
        <w:rPr>
          <w:rFonts w:ascii="Arial" w:hAnsi="Arial" w:cs="Arial"/>
        </w:rPr>
        <w:t>.</w:t>
      </w:r>
    </w:p>
    <w:p w14:paraId="3916621F" w14:textId="5EDC67EF" w:rsidR="00A6459A" w:rsidRPr="00A63840" w:rsidRDefault="00A6459A" w:rsidP="00A6459A">
      <w:pPr>
        <w:pStyle w:val="NormalWeb"/>
        <w:rPr>
          <w:rStyle w:val="Strong"/>
          <w:rFonts w:ascii="Arial" w:hAnsi="Arial" w:cs="Arial"/>
          <w:sz w:val="20"/>
          <w:szCs w:val="20"/>
        </w:rPr>
      </w:pPr>
      <w:r w:rsidRPr="00A63840">
        <w:rPr>
          <w:rFonts w:ascii="Arial" w:hAnsi="Arial" w:cs="Arial"/>
          <w:sz w:val="20"/>
          <w:szCs w:val="20"/>
        </w:rPr>
        <w:t xml:space="preserve">Drew, B., A. R. Plummer, and M. N. </w:t>
      </w:r>
      <w:proofErr w:type="spellStart"/>
      <w:r w:rsidRPr="00A63840">
        <w:rPr>
          <w:rFonts w:ascii="Arial" w:hAnsi="Arial" w:cs="Arial"/>
          <w:sz w:val="20"/>
          <w:szCs w:val="20"/>
        </w:rPr>
        <w:t>Sahinkaya</w:t>
      </w:r>
      <w:proofErr w:type="spellEnd"/>
      <w:r w:rsidRPr="00A63840">
        <w:rPr>
          <w:rFonts w:ascii="Arial" w:hAnsi="Arial" w:cs="Arial"/>
          <w:sz w:val="20"/>
          <w:szCs w:val="20"/>
        </w:rPr>
        <w:t xml:space="preserve">. 2009. </w:t>
      </w:r>
      <w:r w:rsidRPr="00A63840">
        <w:rPr>
          <w:rStyle w:val="Emphasis"/>
          <w:rFonts w:ascii="Arial" w:hAnsi="Arial" w:cs="Arial"/>
          <w:sz w:val="20"/>
          <w:szCs w:val="20"/>
        </w:rPr>
        <w:t>A Review of Wave Energy Converter Technology.</w:t>
      </w:r>
      <w:r w:rsidRPr="00A63840">
        <w:rPr>
          <w:rFonts w:ascii="Arial" w:hAnsi="Arial" w:cs="Arial"/>
          <w:sz w:val="20"/>
          <w:szCs w:val="20"/>
        </w:rPr>
        <w:t xml:space="preserve"> London, UK: SAGE Publications.</w:t>
      </w:r>
      <w:r w:rsidR="007D7BCB" w:rsidRPr="00A63840">
        <w:rPr>
          <w:rFonts w:ascii="Arial" w:hAnsi="Arial" w:cs="Arial"/>
          <w:sz w:val="20"/>
          <w:szCs w:val="20"/>
        </w:rPr>
        <w:t xml:space="preserve"> DOI: </w:t>
      </w:r>
      <w:hyperlink r:id="rId32" w:history="1">
        <w:r w:rsidR="007D7BCB" w:rsidRPr="00A63840">
          <w:rPr>
            <w:rStyle w:val="Hyperlink"/>
            <w:rFonts w:ascii="Arial" w:hAnsi="Arial" w:cs="Arial"/>
            <w:sz w:val="20"/>
            <w:szCs w:val="20"/>
          </w:rPr>
          <w:t>https://doi.org/10.1243/09576509JPE782</w:t>
        </w:r>
      </w:hyperlink>
    </w:p>
    <w:p w14:paraId="2D28B04C" w14:textId="412A21B9" w:rsidR="007D7BCB" w:rsidRPr="00A63840" w:rsidRDefault="00A6459A" w:rsidP="007D7BCB">
      <w:pPr>
        <w:pStyle w:val="NormalWeb"/>
        <w:rPr>
          <w:rStyle w:val="Strong"/>
          <w:rFonts w:ascii="Arial" w:hAnsi="Arial" w:cs="Arial"/>
          <w:sz w:val="20"/>
          <w:szCs w:val="20"/>
        </w:rPr>
      </w:pPr>
      <w:proofErr w:type="spellStart"/>
      <w:r w:rsidRPr="00A63840">
        <w:rPr>
          <w:rFonts w:ascii="Arial" w:hAnsi="Arial" w:cs="Arial"/>
          <w:sz w:val="20"/>
          <w:szCs w:val="20"/>
        </w:rPr>
        <w:t>Falnes</w:t>
      </w:r>
      <w:proofErr w:type="spellEnd"/>
      <w:r w:rsidRPr="00A63840">
        <w:rPr>
          <w:rFonts w:ascii="Arial" w:hAnsi="Arial" w:cs="Arial"/>
          <w:sz w:val="20"/>
          <w:szCs w:val="20"/>
        </w:rPr>
        <w:t xml:space="preserve">, J. 2002. </w:t>
      </w:r>
      <w:r w:rsidRPr="00A63840">
        <w:rPr>
          <w:rStyle w:val="Emphasis"/>
          <w:rFonts w:ascii="Arial" w:hAnsi="Arial" w:cs="Arial"/>
          <w:sz w:val="20"/>
          <w:szCs w:val="20"/>
        </w:rPr>
        <w:t>Ocean Waves and Oscillating Systems: Linear Interactions Including Wave-Energy Extraction.</w:t>
      </w:r>
      <w:r w:rsidRPr="00A63840">
        <w:rPr>
          <w:rFonts w:ascii="Arial" w:hAnsi="Arial" w:cs="Arial"/>
          <w:sz w:val="20"/>
          <w:szCs w:val="20"/>
        </w:rPr>
        <w:t xml:space="preserve"> Cambridge, UK: Cambridge University Press.</w:t>
      </w:r>
      <w:r w:rsidR="007D7BCB" w:rsidRPr="00A63840">
        <w:rPr>
          <w:rFonts w:ascii="Arial" w:hAnsi="Arial" w:cs="Arial"/>
          <w:sz w:val="20"/>
          <w:szCs w:val="20"/>
        </w:rPr>
        <w:t xml:space="preserve"> </w:t>
      </w:r>
      <w:hyperlink r:id="rId33" w:history="1">
        <w:r w:rsidR="007D7BCB" w:rsidRPr="00A63840">
          <w:rPr>
            <w:rStyle w:val="Hyperlink"/>
            <w:rFonts w:ascii="Arial" w:hAnsi="Arial" w:cs="Arial"/>
            <w:sz w:val="20"/>
            <w:szCs w:val="20"/>
          </w:rPr>
          <w:t>https://doi.org/10.1017/CBO9780511754630</w:t>
        </w:r>
      </w:hyperlink>
    </w:p>
    <w:p w14:paraId="012A0100" w14:textId="77777777" w:rsidR="00A6459A" w:rsidRPr="00A63840" w:rsidRDefault="00A6459A" w:rsidP="00A6459A">
      <w:pPr>
        <w:pStyle w:val="NormalWeb"/>
        <w:rPr>
          <w:rFonts w:ascii="Arial" w:hAnsi="Arial" w:cs="Arial"/>
          <w:sz w:val="20"/>
          <w:szCs w:val="20"/>
        </w:rPr>
      </w:pPr>
      <w:r w:rsidRPr="00A63840">
        <w:rPr>
          <w:rFonts w:ascii="Arial" w:hAnsi="Arial" w:cs="Arial"/>
          <w:sz w:val="20"/>
          <w:szCs w:val="20"/>
        </w:rPr>
        <w:t xml:space="preserve">Freund, Roger. 2000. </w:t>
      </w:r>
      <w:r w:rsidRPr="00A63840">
        <w:rPr>
          <w:rStyle w:val="Emphasis"/>
          <w:rFonts w:ascii="Arial" w:hAnsi="Arial" w:cs="Arial"/>
          <w:sz w:val="20"/>
          <w:szCs w:val="20"/>
        </w:rPr>
        <w:t>Integrated Lead Screw Drive for Seat Adjuster.</w:t>
      </w:r>
      <w:r w:rsidRPr="00A63840">
        <w:rPr>
          <w:rFonts w:ascii="Arial" w:hAnsi="Arial" w:cs="Arial"/>
          <w:sz w:val="20"/>
          <w:szCs w:val="20"/>
        </w:rPr>
        <w:t xml:space="preserve"> United States Patent US6021990A, filed July 28, 1998, and issued February 8, 2000. </w:t>
      </w:r>
      <w:hyperlink r:id="rId34" w:tgtFrame="_new" w:history="1">
        <w:r w:rsidRPr="00A63840">
          <w:rPr>
            <w:rStyle w:val="Hyperlink"/>
            <w:rFonts w:ascii="Arial" w:hAnsi="Arial" w:cs="Arial"/>
            <w:sz w:val="20"/>
            <w:szCs w:val="20"/>
          </w:rPr>
          <w:t>https://patents.google.com/patent/US6021990A/en</w:t>
        </w:r>
      </w:hyperlink>
    </w:p>
    <w:p w14:paraId="437506E3" w14:textId="77777777" w:rsidR="00A6459A" w:rsidRPr="00A63840" w:rsidRDefault="00A6459A" w:rsidP="00A6459A">
      <w:pPr>
        <w:pStyle w:val="NormalWeb"/>
        <w:rPr>
          <w:rFonts w:ascii="Arial" w:hAnsi="Arial" w:cs="Arial"/>
          <w:sz w:val="20"/>
          <w:szCs w:val="20"/>
        </w:rPr>
      </w:pPr>
      <w:r w:rsidRPr="00A63840">
        <w:rPr>
          <w:rFonts w:ascii="Arial" w:hAnsi="Arial" w:cs="Arial"/>
          <w:sz w:val="20"/>
          <w:szCs w:val="20"/>
        </w:rPr>
        <w:t xml:space="preserve">Guo, </w:t>
      </w:r>
      <w:proofErr w:type="spellStart"/>
      <w:r w:rsidRPr="00A63840">
        <w:rPr>
          <w:rFonts w:ascii="Arial" w:hAnsi="Arial" w:cs="Arial"/>
          <w:sz w:val="20"/>
          <w:szCs w:val="20"/>
        </w:rPr>
        <w:t>Bingyong</w:t>
      </w:r>
      <w:proofErr w:type="spellEnd"/>
      <w:r w:rsidRPr="00A63840">
        <w:rPr>
          <w:rFonts w:ascii="Arial" w:hAnsi="Arial" w:cs="Arial"/>
          <w:sz w:val="20"/>
          <w:szCs w:val="20"/>
        </w:rPr>
        <w:t xml:space="preserve">, </w:t>
      </w:r>
      <w:proofErr w:type="spellStart"/>
      <w:r w:rsidRPr="00A63840">
        <w:rPr>
          <w:rFonts w:ascii="Arial" w:hAnsi="Arial" w:cs="Arial"/>
          <w:sz w:val="20"/>
          <w:szCs w:val="20"/>
        </w:rPr>
        <w:t>Tianyao</w:t>
      </w:r>
      <w:proofErr w:type="spellEnd"/>
      <w:r w:rsidRPr="00A63840">
        <w:rPr>
          <w:rFonts w:ascii="Arial" w:hAnsi="Arial" w:cs="Arial"/>
          <w:sz w:val="20"/>
          <w:szCs w:val="20"/>
        </w:rPr>
        <w:t xml:space="preserve"> Wang, </w:t>
      </w:r>
      <w:proofErr w:type="spellStart"/>
      <w:r w:rsidRPr="00A63840">
        <w:rPr>
          <w:rFonts w:ascii="Arial" w:hAnsi="Arial" w:cs="Arial"/>
          <w:sz w:val="20"/>
          <w:szCs w:val="20"/>
        </w:rPr>
        <w:t>Siya</w:t>
      </w:r>
      <w:proofErr w:type="spellEnd"/>
      <w:r w:rsidRPr="00A63840">
        <w:rPr>
          <w:rFonts w:ascii="Arial" w:hAnsi="Arial" w:cs="Arial"/>
          <w:sz w:val="20"/>
          <w:szCs w:val="20"/>
        </w:rPr>
        <w:t xml:space="preserve"> </w:t>
      </w:r>
      <w:proofErr w:type="spellStart"/>
      <w:r w:rsidRPr="00A63840">
        <w:rPr>
          <w:rFonts w:ascii="Arial" w:hAnsi="Arial" w:cs="Arial"/>
          <w:sz w:val="20"/>
          <w:szCs w:val="20"/>
        </w:rPr>
        <w:t>Jin</w:t>
      </w:r>
      <w:proofErr w:type="spellEnd"/>
      <w:r w:rsidRPr="00A63840">
        <w:rPr>
          <w:rFonts w:ascii="Arial" w:hAnsi="Arial" w:cs="Arial"/>
          <w:sz w:val="20"/>
          <w:szCs w:val="20"/>
        </w:rPr>
        <w:t xml:space="preserve">, </w:t>
      </w:r>
      <w:proofErr w:type="spellStart"/>
      <w:r w:rsidRPr="00A63840">
        <w:rPr>
          <w:rFonts w:ascii="Arial" w:hAnsi="Arial" w:cs="Arial"/>
          <w:sz w:val="20"/>
          <w:szCs w:val="20"/>
        </w:rPr>
        <w:t>Shunli</w:t>
      </w:r>
      <w:proofErr w:type="spellEnd"/>
      <w:r w:rsidRPr="00A63840">
        <w:rPr>
          <w:rFonts w:ascii="Arial" w:hAnsi="Arial" w:cs="Arial"/>
          <w:sz w:val="20"/>
          <w:szCs w:val="20"/>
        </w:rPr>
        <w:t xml:space="preserve"> </w:t>
      </w:r>
      <w:proofErr w:type="spellStart"/>
      <w:r w:rsidRPr="00A63840">
        <w:rPr>
          <w:rFonts w:ascii="Arial" w:hAnsi="Arial" w:cs="Arial"/>
          <w:sz w:val="20"/>
          <w:szCs w:val="20"/>
        </w:rPr>
        <w:t>Duan</w:t>
      </w:r>
      <w:proofErr w:type="spellEnd"/>
      <w:r w:rsidRPr="00A63840">
        <w:rPr>
          <w:rFonts w:ascii="Arial" w:hAnsi="Arial" w:cs="Arial"/>
          <w:sz w:val="20"/>
          <w:szCs w:val="20"/>
        </w:rPr>
        <w:t xml:space="preserve">, Kunde Yang, and </w:t>
      </w:r>
      <w:proofErr w:type="spellStart"/>
      <w:r w:rsidRPr="00A63840">
        <w:rPr>
          <w:rFonts w:ascii="Arial" w:hAnsi="Arial" w:cs="Arial"/>
          <w:sz w:val="20"/>
          <w:szCs w:val="20"/>
        </w:rPr>
        <w:t>Yaming</w:t>
      </w:r>
      <w:proofErr w:type="spellEnd"/>
      <w:r w:rsidRPr="00A63840">
        <w:rPr>
          <w:rFonts w:ascii="Arial" w:hAnsi="Arial" w:cs="Arial"/>
          <w:sz w:val="20"/>
          <w:szCs w:val="20"/>
        </w:rPr>
        <w:t xml:space="preserve"> Zhao. 2022. “A Review of Point Absorber Wave Energy Converters.” </w:t>
      </w:r>
      <w:r w:rsidRPr="00A63840">
        <w:rPr>
          <w:rStyle w:val="Emphasis"/>
          <w:rFonts w:ascii="Arial" w:hAnsi="Arial" w:cs="Arial"/>
          <w:sz w:val="20"/>
          <w:szCs w:val="20"/>
        </w:rPr>
        <w:t>Journal of Marine Science and Engineering</w:t>
      </w:r>
      <w:r w:rsidRPr="00A63840">
        <w:rPr>
          <w:rFonts w:ascii="Arial" w:hAnsi="Arial" w:cs="Arial"/>
          <w:sz w:val="20"/>
          <w:szCs w:val="20"/>
        </w:rPr>
        <w:t xml:space="preserve"> 10 (10): 1534. </w:t>
      </w:r>
      <w:hyperlink r:id="rId35" w:tgtFrame="_new" w:history="1">
        <w:r w:rsidRPr="00A63840">
          <w:rPr>
            <w:rStyle w:val="Hyperlink"/>
            <w:rFonts w:ascii="Arial" w:hAnsi="Arial" w:cs="Arial"/>
            <w:sz w:val="20"/>
            <w:szCs w:val="20"/>
          </w:rPr>
          <w:t>https://doi.org/10.3390/jmse10101534</w:t>
        </w:r>
      </w:hyperlink>
      <w:r w:rsidRPr="00A63840">
        <w:rPr>
          <w:rFonts w:ascii="Arial" w:hAnsi="Arial" w:cs="Arial"/>
          <w:sz w:val="20"/>
          <w:szCs w:val="20"/>
        </w:rPr>
        <w:t>.</w:t>
      </w:r>
    </w:p>
    <w:p w14:paraId="7B95FA8B" w14:textId="77777777" w:rsidR="00A6459A" w:rsidRPr="00A63840" w:rsidRDefault="00A6459A" w:rsidP="00A6459A">
      <w:pPr>
        <w:pStyle w:val="NormalWeb"/>
        <w:rPr>
          <w:rFonts w:ascii="Arial" w:hAnsi="Arial" w:cs="Arial"/>
          <w:sz w:val="20"/>
          <w:szCs w:val="20"/>
        </w:rPr>
      </w:pPr>
      <w:r w:rsidRPr="00A63840">
        <w:rPr>
          <w:rFonts w:ascii="Arial" w:hAnsi="Arial" w:cs="Arial"/>
          <w:sz w:val="20"/>
          <w:szCs w:val="20"/>
        </w:rPr>
        <w:t xml:space="preserve">Hammond, William Alexander. 2011. </w:t>
      </w:r>
      <w:r w:rsidRPr="00A63840">
        <w:rPr>
          <w:rStyle w:val="Emphasis"/>
          <w:rFonts w:ascii="Arial" w:hAnsi="Arial" w:cs="Arial"/>
          <w:sz w:val="20"/>
          <w:szCs w:val="20"/>
        </w:rPr>
        <w:t>Air Suspension System.</w:t>
      </w:r>
      <w:r w:rsidRPr="00A63840">
        <w:rPr>
          <w:rFonts w:ascii="Arial" w:hAnsi="Arial" w:cs="Arial"/>
          <w:sz w:val="20"/>
          <w:szCs w:val="20"/>
        </w:rPr>
        <w:t xml:space="preserve"> United States Patent US7946603B2, filed June 24, 2005, and issued May 24, 2011. </w:t>
      </w:r>
      <w:hyperlink r:id="rId36" w:tgtFrame="_new" w:history="1">
        <w:r w:rsidRPr="00A63840">
          <w:rPr>
            <w:rStyle w:val="Hyperlink"/>
            <w:rFonts w:ascii="Arial" w:hAnsi="Arial" w:cs="Arial"/>
            <w:sz w:val="20"/>
            <w:szCs w:val="20"/>
          </w:rPr>
          <w:t>https://patents.google.com/patent/US7946603B2/en</w:t>
        </w:r>
      </w:hyperlink>
    </w:p>
    <w:p w14:paraId="43B9A81F" w14:textId="77777777" w:rsidR="00A6459A" w:rsidRPr="00A63840" w:rsidRDefault="00A6459A" w:rsidP="00A6459A">
      <w:pPr>
        <w:pStyle w:val="NormalWeb"/>
        <w:rPr>
          <w:rFonts w:ascii="Arial" w:hAnsi="Arial" w:cs="Arial"/>
          <w:sz w:val="20"/>
          <w:szCs w:val="20"/>
        </w:rPr>
      </w:pPr>
      <w:r w:rsidRPr="00A63840">
        <w:rPr>
          <w:rFonts w:ascii="Arial" w:hAnsi="Arial" w:cs="Arial"/>
          <w:sz w:val="20"/>
          <w:szCs w:val="20"/>
        </w:rPr>
        <w:t xml:space="preserve">International Energy Agency (IEA). 2024. </w:t>
      </w:r>
      <w:r w:rsidRPr="00A63840">
        <w:rPr>
          <w:rStyle w:val="Emphasis"/>
          <w:rFonts w:ascii="Arial" w:hAnsi="Arial" w:cs="Arial"/>
          <w:sz w:val="20"/>
          <w:szCs w:val="20"/>
        </w:rPr>
        <w:t>World Energy Outlook 2024.</w:t>
      </w:r>
      <w:r w:rsidRPr="00A63840">
        <w:rPr>
          <w:rFonts w:ascii="Arial" w:hAnsi="Arial" w:cs="Arial"/>
          <w:sz w:val="20"/>
          <w:szCs w:val="20"/>
        </w:rPr>
        <w:t xml:space="preserve"> Paris: International Energy Agency. </w:t>
      </w:r>
      <w:hyperlink r:id="rId37" w:tgtFrame="_new" w:history="1">
        <w:r w:rsidRPr="00A63840">
          <w:rPr>
            <w:rStyle w:val="Hyperlink"/>
            <w:rFonts w:ascii="Arial" w:hAnsi="Arial" w:cs="Arial"/>
            <w:sz w:val="20"/>
            <w:szCs w:val="20"/>
          </w:rPr>
          <w:t>https://www.iea.org/reports/world-energy-outlook-2024</w:t>
        </w:r>
      </w:hyperlink>
    </w:p>
    <w:p w14:paraId="44739064" w14:textId="77777777" w:rsidR="00A6459A" w:rsidRPr="00A63840" w:rsidRDefault="00A6459A" w:rsidP="00A6459A">
      <w:pPr>
        <w:pStyle w:val="NormalWeb"/>
        <w:rPr>
          <w:rFonts w:ascii="Arial" w:hAnsi="Arial" w:cs="Arial"/>
          <w:sz w:val="20"/>
          <w:szCs w:val="20"/>
        </w:rPr>
      </w:pPr>
      <w:r w:rsidRPr="00A63840">
        <w:rPr>
          <w:rFonts w:ascii="Arial" w:hAnsi="Arial" w:cs="Arial"/>
          <w:sz w:val="20"/>
          <w:szCs w:val="20"/>
        </w:rPr>
        <w:t xml:space="preserve">Khatri, Pooja, and Xu Wang. 2020. “Comprehensive Review of a Linear Electrical Generator for Ocean Wave Energy Conversion.” </w:t>
      </w:r>
      <w:r w:rsidRPr="00A63840">
        <w:rPr>
          <w:rStyle w:val="Emphasis"/>
          <w:rFonts w:ascii="Arial" w:hAnsi="Arial" w:cs="Arial"/>
          <w:sz w:val="20"/>
          <w:szCs w:val="20"/>
        </w:rPr>
        <w:t>IET Renewable Power Generation</w:t>
      </w:r>
      <w:r w:rsidRPr="00A63840">
        <w:rPr>
          <w:rFonts w:ascii="Arial" w:hAnsi="Arial" w:cs="Arial"/>
          <w:sz w:val="20"/>
          <w:szCs w:val="20"/>
        </w:rPr>
        <w:t xml:space="preserve"> 14 (6): 949–958. </w:t>
      </w:r>
      <w:hyperlink r:id="rId38" w:tgtFrame="_new" w:history="1">
        <w:r w:rsidRPr="00A63840">
          <w:rPr>
            <w:rStyle w:val="Hyperlink"/>
            <w:rFonts w:ascii="Arial" w:hAnsi="Arial" w:cs="Arial"/>
            <w:sz w:val="20"/>
            <w:szCs w:val="20"/>
          </w:rPr>
          <w:t>https://doi.org/10.1049/iet-rpg.2019.0624</w:t>
        </w:r>
      </w:hyperlink>
      <w:r w:rsidRPr="00A63840">
        <w:rPr>
          <w:rFonts w:ascii="Arial" w:hAnsi="Arial" w:cs="Arial"/>
          <w:sz w:val="20"/>
          <w:szCs w:val="20"/>
        </w:rPr>
        <w:t>.</w:t>
      </w:r>
    </w:p>
    <w:p w14:paraId="20773215" w14:textId="77777777" w:rsidR="00A6459A" w:rsidRPr="00A63840" w:rsidRDefault="00A6459A" w:rsidP="00A6459A">
      <w:pPr>
        <w:pStyle w:val="NormalWeb"/>
        <w:rPr>
          <w:rFonts w:ascii="Arial" w:hAnsi="Arial" w:cs="Arial"/>
          <w:sz w:val="20"/>
          <w:szCs w:val="20"/>
        </w:rPr>
      </w:pPr>
      <w:r w:rsidRPr="00A63840">
        <w:rPr>
          <w:rFonts w:ascii="Arial" w:hAnsi="Arial" w:cs="Arial"/>
          <w:sz w:val="20"/>
          <w:szCs w:val="20"/>
        </w:rPr>
        <w:t xml:space="preserve">Liang, </w:t>
      </w:r>
      <w:proofErr w:type="spellStart"/>
      <w:r w:rsidRPr="00A63840">
        <w:rPr>
          <w:rFonts w:ascii="Arial" w:hAnsi="Arial" w:cs="Arial"/>
          <w:sz w:val="20"/>
          <w:szCs w:val="20"/>
        </w:rPr>
        <w:t>Changwei</w:t>
      </w:r>
      <w:proofErr w:type="spellEnd"/>
      <w:r w:rsidRPr="00A63840">
        <w:rPr>
          <w:rFonts w:ascii="Arial" w:hAnsi="Arial" w:cs="Arial"/>
          <w:sz w:val="20"/>
          <w:szCs w:val="20"/>
        </w:rPr>
        <w:t xml:space="preserve">, and Lei </w:t>
      </w:r>
      <w:proofErr w:type="spellStart"/>
      <w:r w:rsidRPr="00A63840">
        <w:rPr>
          <w:rFonts w:ascii="Arial" w:hAnsi="Arial" w:cs="Arial"/>
          <w:sz w:val="20"/>
          <w:szCs w:val="20"/>
        </w:rPr>
        <w:t>Zuo</w:t>
      </w:r>
      <w:proofErr w:type="spellEnd"/>
      <w:r w:rsidRPr="00A63840">
        <w:rPr>
          <w:rFonts w:ascii="Arial" w:hAnsi="Arial" w:cs="Arial"/>
          <w:sz w:val="20"/>
          <w:szCs w:val="20"/>
        </w:rPr>
        <w:t xml:space="preserve">. 2017. “On the Dynamics and Design of a Two-Body Wave Energy Converter.” </w:t>
      </w:r>
      <w:r w:rsidRPr="00A63840">
        <w:rPr>
          <w:rStyle w:val="Emphasis"/>
          <w:rFonts w:ascii="Arial" w:hAnsi="Arial" w:cs="Arial"/>
          <w:sz w:val="20"/>
          <w:szCs w:val="20"/>
        </w:rPr>
        <w:t>Renewable Energy</w:t>
      </w:r>
      <w:r w:rsidRPr="00A63840">
        <w:rPr>
          <w:rFonts w:ascii="Arial" w:hAnsi="Arial" w:cs="Arial"/>
          <w:sz w:val="20"/>
          <w:szCs w:val="20"/>
        </w:rPr>
        <w:t xml:space="preserve"> 101 (February): 265–274. </w:t>
      </w:r>
      <w:hyperlink r:id="rId39" w:tgtFrame="_new" w:history="1">
        <w:r w:rsidRPr="00A63840">
          <w:rPr>
            <w:rStyle w:val="Hyperlink"/>
            <w:rFonts w:ascii="Arial" w:hAnsi="Arial" w:cs="Arial"/>
            <w:sz w:val="20"/>
            <w:szCs w:val="20"/>
          </w:rPr>
          <w:t>https://doi.org/10.1016/j.renene.2016.08.059</w:t>
        </w:r>
      </w:hyperlink>
      <w:r w:rsidRPr="00A63840">
        <w:rPr>
          <w:rFonts w:ascii="Arial" w:hAnsi="Arial" w:cs="Arial"/>
          <w:sz w:val="20"/>
          <w:szCs w:val="20"/>
        </w:rPr>
        <w:t>.</w:t>
      </w:r>
    </w:p>
    <w:p w14:paraId="17C91CBC" w14:textId="185F7759" w:rsidR="00A6459A" w:rsidRPr="00A63840" w:rsidRDefault="00A6459A" w:rsidP="00A6459A">
      <w:pPr>
        <w:pStyle w:val="NormalWeb"/>
        <w:rPr>
          <w:rFonts w:ascii="Arial" w:hAnsi="Arial" w:cs="Arial"/>
          <w:sz w:val="20"/>
          <w:szCs w:val="20"/>
        </w:rPr>
      </w:pPr>
      <w:r w:rsidRPr="00A63840">
        <w:rPr>
          <w:rFonts w:ascii="Arial" w:hAnsi="Arial" w:cs="Arial"/>
          <w:sz w:val="20"/>
          <w:szCs w:val="20"/>
        </w:rPr>
        <w:lastRenderedPageBreak/>
        <w:t xml:space="preserve">Pahl, G., W. Beitz, J. Feldhusen, and K.-H. Grote. 2007. </w:t>
      </w:r>
      <w:r w:rsidRPr="00A63840">
        <w:rPr>
          <w:rStyle w:val="Emphasis"/>
          <w:rFonts w:ascii="Arial" w:hAnsi="Arial" w:cs="Arial"/>
          <w:sz w:val="20"/>
          <w:szCs w:val="20"/>
        </w:rPr>
        <w:t>Engineering Design: A Systematic Approach.</w:t>
      </w:r>
      <w:r w:rsidRPr="00A63840">
        <w:rPr>
          <w:rFonts w:ascii="Arial" w:hAnsi="Arial" w:cs="Arial"/>
          <w:sz w:val="20"/>
          <w:szCs w:val="20"/>
        </w:rPr>
        <w:t xml:space="preserve"> 3rd ed. Springer.</w:t>
      </w:r>
      <w:r w:rsidR="00803CC8" w:rsidRPr="00A63840">
        <w:rPr>
          <w:rFonts w:ascii="Arial" w:hAnsi="Arial" w:cs="Arial"/>
          <w:sz w:val="20"/>
          <w:szCs w:val="20"/>
        </w:rPr>
        <w:t xml:space="preserve"> DOI: </w:t>
      </w:r>
      <w:hyperlink r:id="rId40" w:tgtFrame="_new" w:history="1">
        <w:r w:rsidR="00803CC8" w:rsidRPr="00A63840">
          <w:rPr>
            <w:rStyle w:val="Hyperlink"/>
            <w:rFonts w:ascii="Arial" w:hAnsi="Arial" w:cs="Arial"/>
            <w:b/>
            <w:bCs/>
            <w:sz w:val="20"/>
            <w:szCs w:val="20"/>
          </w:rPr>
          <w:t>https://doi.org/10.1007/978-1-84628-319-2</w:t>
        </w:r>
      </w:hyperlink>
    </w:p>
    <w:p w14:paraId="19600841" w14:textId="77777777" w:rsidR="00A6459A" w:rsidRPr="00A63840" w:rsidRDefault="00A6459A" w:rsidP="00A6459A">
      <w:pPr>
        <w:pStyle w:val="NormalWeb"/>
        <w:rPr>
          <w:rFonts w:ascii="Arial" w:hAnsi="Arial" w:cs="Arial"/>
          <w:sz w:val="20"/>
          <w:szCs w:val="20"/>
        </w:rPr>
      </w:pPr>
      <w:proofErr w:type="spellStart"/>
      <w:r w:rsidRPr="00A63840">
        <w:rPr>
          <w:rFonts w:ascii="Arial" w:hAnsi="Arial" w:cs="Arial"/>
          <w:sz w:val="20"/>
          <w:szCs w:val="20"/>
        </w:rPr>
        <w:t>Protter</w:t>
      </w:r>
      <w:proofErr w:type="spellEnd"/>
      <w:r w:rsidRPr="00A63840">
        <w:rPr>
          <w:rFonts w:ascii="Arial" w:hAnsi="Arial" w:cs="Arial"/>
          <w:sz w:val="20"/>
          <w:szCs w:val="20"/>
        </w:rPr>
        <w:t xml:space="preserve">, Nigel Peter Webb, Bradley Jason Buckham, and Scott James Beatty. 2011. </w:t>
      </w:r>
      <w:r w:rsidRPr="00A63840">
        <w:rPr>
          <w:rStyle w:val="Emphasis"/>
          <w:rFonts w:ascii="Arial" w:hAnsi="Arial" w:cs="Arial"/>
          <w:sz w:val="20"/>
          <w:szCs w:val="20"/>
        </w:rPr>
        <w:t>Wave Energy Converter.</w:t>
      </w:r>
      <w:r w:rsidRPr="00A63840">
        <w:rPr>
          <w:rFonts w:ascii="Arial" w:hAnsi="Arial" w:cs="Arial"/>
          <w:sz w:val="20"/>
          <w:szCs w:val="20"/>
        </w:rPr>
        <w:t xml:space="preserve"> United States Patent US20110285689A1. </w:t>
      </w:r>
      <w:hyperlink r:id="rId41" w:tgtFrame="_new" w:history="1">
        <w:r w:rsidRPr="00A63840">
          <w:rPr>
            <w:rStyle w:val="Hyperlink"/>
            <w:rFonts w:ascii="Arial" w:hAnsi="Arial" w:cs="Arial"/>
            <w:sz w:val="20"/>
            <w:szCs w:val="20"/>
          </w:rPr>
          <w:t>https://patents.google.com/patent/US20110285689A1/en</w:t>
        </w:r>
      </w:hyperlink>
    </w:p>
    <w:p w14:paraId="142962AF" w14:textId="77777777" w:rsidR="00A6459A" w:rsidRPr="00A63840" w:rsidRDefault="00A6459A" w:rsidP="00A6459A">
      <w:pPr>
        <w:pStyle w:val="NormalWeb"/>
        <w:rPr>
          <w:rFonts w:ascii="Arial" w:hAnsi="Arial" w:cs="Arial"/>
          <w:sz w:val="20"/>
          <w:szCs w:val="20"/>
        </w:rPr>
      </w:pPr>
      <w:r w:rsidRPr="00A63840">
        <w:rPr>
          <w:rFonts w:ascii="Arial" w:hAnsi="Arial" w:cs="Arial"/>
          <w:sz w:val="20"/>
          <w:szCs w:val="20"/>
        </w:rPr>
        <w:t xml:space="preserve">Ritchie, Hannah, Pablo Rosado, and Max Roser. 2024. “Electricity Mix.” </w:t>
      </w:r>
      <w:r w:rsidRPr="00A63840">
        <w:rPr>
          <w:rStyle w:val="Emphasis"/>
          <w:rFonts w:ascii="Arial" w:hAnsi="Arial" w:cs="Arial"/>
          <w:sz w:val="20"/>
          <w:szCs w:val="20"/>
        </w:rPr>
        <w:t>Our World in Data</w:t>
      </w:r>
      <w:r w:rsidRPr="00A63840">
        <w:rPr>
          <w:rFonts w:ascii="Arial" w:hAnsi="Arial" w:cs="Arial"/>
          <w:sz w:val="20"/>
          <w:szCs w:val="20"/>
        </w:rPr>
        <w:t xml:space="preserve">, January. </w:t>
      </w:r>
      <w:hyperlink r:id="rId42" w:tgtFrame="_new" w:history="1">
        <w:r w:rsidRPr="00A63840">
          <w:rPr>
            <w:rStyle w:val="Hyperlink"/>
            <w:rFonts w:ascii="Arial" w:hAnsi="Arial" w:cs="Arial"/>
            <w:sz w:val="20"/>
            <w:szCs w:val="20"/>
          </w:rPr>
          <w:t>https://ourworldindata.org/electricity-mix</w:t>
        </w:r>
      </w:hyperlink>
    </w:p>
    <w:p w14:paraId="12BB887A" w14:textId="355D84F4" w:rsidR="00A6459A" w:rsidRPr="00A63840" w:rsidRDefault="00A6459A" w:rsidP="00A6459A">
      <w:pPr>
        <w:pStyle w:val="NormalWeb"/>
        <w:rPr>
          <w:rFonts w:ascii="Arial" w:hAnsi="Arial" w:cs="Arial"/>
          <w:sz w:val="20"/>
          <w:szCs w:val="20"/>
        </w:rPr>
      </w:pPr>
      <w:r w:rsidRPr="00A63840">
        <w:rPr>
          <w:rFonts w:ascii="Arial" w:hAnsi="Arial" w:cs="Arial"/>
          <w:sz w:val="20"/>
          <w:szCs w:val="20"/>
        </w:rPr>
        <w:t xml:space="preserve">Tempel, Jan Van Der, Frederik Willem Boudewijn Gerner, David Julio Cerda Salzmann, and Arie Jan Göbel. 2016. </w:t>
      </w:r>
      <w:r w:rsidRPr="00A63840">
        <w:rPr>
          <w:rStyle w:val="Emphasis"/>
          <w:rFonts w:ascii="Arial" w:hAnsi="Arial" w:cs="Arial"/>
          <w:sz w:val="20"/>
          <w:szCs w:val="20"/>
        </w:rPr>
        <w:t>Vessel, a Motion Platform, a Control System, a Method for Compensating Motions of a Vessel and a Computer Program Product.</w:t>
      </w:r>
      <w:r w:rsidRPr="00A63840">
        <w:rPr>
          <w:rFonts w:ascii="Arial" w:hAnsi="Arial" w:cs="Arial"/>
          <w:sz w:val="20"/>
          <w:szCs w:val="20"/>
        </w:rPr>
        <w:t xml:space="preserve"> United States Patent US9278736B2, filed August 12, 2011, and issued March 8, 2016. </w:t>
      </w:r>
      <w:hyperlink r:id="rId43" w:tgtFrame="_new" w:history="1">
        <w:r w:rsidRPr="00A63840">
          <w:rPr>
            <w:rStyle w:val="Hyperlink"/>
            <w:rFonts w:ascii="Arial" w:hAnsi="Arial" w:cs="Arial"/>
            <w:sz w:val="20"/>
            <w:szCs w:val="20"/>
          </w:rPr>
          <w:t>https://patents.google.com/patent/US9278736B2</w:t>
        </w:r>
      </w:hyperlink>
      <w:r w:rsidR="00E96516" w:rsidRPr="00A63840">
        <w:rPr>
          <w:rFonts w:ascii="Arial" w:hAnsi="Arial" w:cs="Arial"/>
          <w:sz w:val="20"/>
          <w:szCs w:val="20"/>
        </w:rPr>
        <w:t xml:space="preserve"> </w:t>
      </w:r>
    </w:p>
    <w:p w14:paraId="3F6F6CF0" w14:textId="77777777" w:rsidR="00A6459A" w:rsidRPr="00A63840" w:rsidRDefault="00A6459A" w:rsidP="00A6459A">
      <w:pPr>
        <w:pStyle w:val="NormalWeb"/>
        <w:rPr>
          <w:rFonts w:ascii="Arial" w:hAnsi="Arial" w:cs="Arial"/>
          <w:sz w:val="20"/>
          <w:szCs w:val="20"/>
        </w:rPr>
      </w:pPr>
      <w:r w:rsidRPr="00A63840">
        <w:rPr>
          <w:rFonts w:ascii="Arial" w:hAnsi="Arial" w:cs="Arial"/>
          <w:sz w:val="20"/>
          <w:szCs w:val="20"/>
        </w:rPr>
        <w:t xml:space="preserve">The Liquid Grid. 2025. “Wave Energy Conversion Technologies: Principles and Concepts.” </w:t>
      </w:r>
      <w:hyperlink r:id="rId44" w:tgtFrame="_new" w:history="1">
        <w:r w:rsidRPr="00A63840">
          <w:rPr>
            <w:rStyle w:val="Hyperlink"/>
            <w:rFonts w:ascii="Arial" w:hAnsi="Arial" w:cs="Arial"/>
            <w:sz w:val="20"/>
            <w:szCs w:val="20"/>
          </w:rPr>
          <w:t>https://theliquidgrid.com</w:t>
        </w:r>
      </w:hyperlink>
    </w:p>
    <w:p w14:paraId="10EEF335" w14:textId="2EFD6DDA" w:rsidR="00B01FCD" w:rsidRDefault="00A6459A" w:rsidP="00F512FF">
      <w:pPr>
        <w:pStyle w:val="NormalWeb"/>
        <w:rPr>
          <w:rStyle w:val="Hyperlink"/>
          <w:rFonts w:ascii="Arial" w:hAnsi="Arial" w:cs="Arial"/>
          <w:sz w:val="20"/>
          <w:szCs w:val="20"/>
        </w:rPr>
      </w:pPr>
      <w:r w:rsidRPr="00A63840">
        <w:rPr>
          <w:rFonts w:ascii="Arial" w:hAnsi="Arial" w:cs="Arial"/>
          <w:sz w:val="20"/>
          <w:szCs w:val="20"/>
        </w:rPr>
        <w:t xml:space="preserve">U.S. Environmental Protection Agency (EPA). 2015. </w:t>
      </w:r>
      <w:r w:rsidRPr="00A63840">
        <w:rPr>
          <w:rStyle w:val="Emphasis"/>
          <w:rFonts w:ascii="Arial" w:hAnsi="Arial" w:cs="Arial"/>
          <w:sz w:val="20"/>
          <w:szCs w:val="20"/>
        </w:rPr>
        <w:t>Inventory of U.S. Greenhouse Gas Emissions and Sinks: 1990–2015.</w:t>
      </w:r>
      <w:r w:rsidRPr="00A63840">
        <w:rPr>
          <w:rFonts w:ascii="Arial" w:hAnsi="Arial" w:cs="Arial"/>
          <w:sz w:val="20"/>
          <w:szCs w:val="20"/>
        </w:rPr>
        <w:t xml:space="preserve"> Washington, DC: U.S. Environmental Protection Agency.</w:t>
      </w:r>
      <w:r w:rsidR="00E96516" w:rsidRPr="00A63840">
        <w:rPr>
          <w:rFonts w:ascii="Arial" w:hAnsi="Arial" w:cs="Arial"/>
          <w:sz w:val="20"/>
          <w:szCs w:val="20"/>
        </w:rPr>
        <w:t xml:space="preserve"> </w:t>
      </w:r>
      <w:hyperlink r:id="rId45" w:history="1">
        <w:r w:rsidR="00F512FF" w:rsidRPr="00A63840">
          <w:rPr>
            <w:rStyle w:val="Hyperlink"/>
            <w:rFonts w:ascii="Arial" w:hAnsi="Arial" w:cs="Arial"/>
            <w:sz w:val="20"/>
            <w:szCs w:val="20"/>
          </w:rPr>
          <w:t>https://www.epa.gov/ghgemissions/inventory-us-greenhouse-gas-emissions-and-sinks</w:t>
        </w:r>
      </w:hyperlink>
    </w:p>
    <w:p w14:paraId="5A2E38E2" w14:textId="77777777" w:rsidR="00F16843" w:rsidRPr="00637181" w:rsidRDefault="00F16843" w:rsidP="00F16843">
      <w:pPr>
        <w:pStyle w:val="NormalWeb"/>
        <w:rPr>
          <w:rFonts w:ascii="Arial" w:hAnsi="Arial" w:cs="Arial"/>
          <w:color w:val="000000" w:themeColor="text1"/>
          <w:sz w:val="20"/>
          <w:szCs w:val="20"/>
          <w:highlight w:val="yellow"/>
        </w:rPr>
      </w:pPr>
      <w:proofErr w:type="spellStart"/>
      <w:r w:rsidRPr="00637181">
        <w:rPr>
          <w:rFonts w:ascii="Arial" w:hAnsi="Arial" w:cs="Arial"/>
          <w:color w:val="000000" w:themeColor="text1"/>
          <w:sz w:val="20"/>
          <w:szCs w:val="20"/>
          <w:highlight w:val="yellow"/>
        </w:rPr>
        <w:t>Falcão</w:t>
      </w:r>
      <w:proofErr w:type="spellEnd"/>
      <w:r w:rsidRPr="00637181">
        <w:rPr>
          <w:rFonts w:ascii="Arial" w:hAnsi="Arial" w:cs="Arial"/>
          <w:color w:val="000000" w:themeColor="text1"/>
          <w:sz w:val="20"/>
          <w:szCs w:val="20"/>
          <w:highlight w:val="yellow"/>
        </w:rPr>
        <w:t>, A. F. D. O. (2010). Wave energy utilization: A review of the technologies. Renewable and sustainable energy reviews, 14(3), 899-918.</w:t>
      </w:r>
    </w:p>
    <w:p w14:paraId="3A4916D6" w14:textId="77777777" w:rsidR="00F16843" w:rsidRPr="00637181" w:rsidRDefault="00F16843" w:rsidP="00F16843">
      <w:pPr>
        <w:pStyle w:val="NormalWeb"/>
        <w:rPr>
          <w:rFonts w:ascii="Arial" w:hAnsi="Arial" w:cs="Arial"/>
          <w:color w:val="000000" w:themeColor="text1"/>
          <w:sz w:val="20"/>
          <w:szCs w:val="20"/>
          <w:highlight w:val="yellow"/>
        </w:rPr>
      </w:pPr>
      <w:proofErr w:type="spellStart"/>
      <w:r w:rsidRPr="00637181">
        <w:rPr>
          <w:rFonts w:ascii="Arial" w:hAnsi="Arial" w:cs="Arial"/>
          <w:color w:val="000000" w:themeColor="text1"/>
          <w:sz w:val="20"/>
          <w:szCs w:val="20"/>
          <w:highlight w:val="yellow"/>
        </w:rPr>
        <w:t>Penalba</w:t>
      </w:r>
      <w:proofErr w:type="spellEnd"/>
      <w:r w:rsidRPr="00637181">
        <w:rPr>
          <w:rFonts w:ascii="Arial" w:hAnsi="Arial" w:cs="Arial"/>
          <w:color w:val="000000" w:themeColor="text1"/>
          <w:sz w:val="20"/>
          <w:szCs w:val="20"/>
          <w:highlight w:val="yellow"/>
        </w:rPr>
        <w:t>, M., &amp; Ringwood, J. V. (2016). A Review of Wave-to-Wire Models for Wave Energy Converters. Energies, 9(7), 506. https://doi.org/10.3390/en9070506</w:t>
      </w:r>
    </w:p>
    <w:p w14:paraId="20FDD654" w14:textId="77777777" w:rsidR="00F16843" w:rsidRPr="00637181" w:rsidRDefault="00F16843" w:rsidP="00F16843">
      <w:pPr>
        <w:pStyle w:val="NormalWeb"/>
        <w:rPr>
          <w:rFonts w:ascii="Arial" w:hAnsi="Arial" w:cs="Arial"/>
          <w:color w:val="000000" w:themeColor="text1"/>
          <w:sz w:val="20"/>
          <w:szCs w:val="20"/>
          <w:highlight w:val="yellow"/>
        </w:rPr>
      </w:pPr>
      <w:r w:rsidRPr="00637181">
        <w:rPr>
          <w:rFonts w:ascii="Arial" w:hAnsi="Arial" w:cs="Arial"/>
          <w:color w:val="000000" w:themeColor="text1"/>
          <w:sz w:val="20"/>
          <w:szCs w:val="20"/>
          <w:highlight w:val="yellow"/>
        </w:rPr>
        <w:t xml:space="preserve">Roach, A., Meek, M., Ali, R., DuPont, B., &amp; </w:t>
      </w:r>
      <w:proofErr w:type="spellStart"/>
      <w:r w:rsidRPr="00637181">
        <w:rPr>
          <w:rFonts w:ascii="Arial" w:hAnsi="Arial" w:cs="Arial"/>
          <w:color w:val="000000" w:themeColor="text1"/>
          <w:sz w:val="20"/>
          <w:szCs w:val="20"/>
          <w:highlight w:val="yellow"/>
        </w:rPr>
        <w:t>Roberston</w:t>
      </w:r>
      <w:proofErr w:type="spellEnd"/>
      <w:r w:rsidRPr="00637181">
        <w:rPr>
          <w:rFonts w:ascii="Arial" w:hAnsi="Arial" w:cs="Arial"/>
          <w:color w:val="000000" w:themeColor="text1"/>
          <w:sz w:val="20"/>
          <w:szCs w:val="20"/>
          <w:highlight w:val="yellow"/>
        </w:rPr>
        <w:t>, B. (2025). A state-of-the-art review of submerged wave energy converters. Renewable and Sustainable Energy Reviews, 222, 115901.</w:t>
      </w:r>
    </w:p>
    <w:p w14:paraId="45140C0A" w14:textId="77777777" w:rsidR="00F16843" w:rsidRPr="00637181" w:rsidRDefault="00F16843" w:rsidP="00F16843">
      <w:pPr>
        <w:pStyle w:val="NormalWeb"/>
        <w:rPr>
          <w:rFonts w:ascii="Arial" w:hAnsi="Arial" w:cs="Arial"/>
          <w:color w:val="000000" w:themeColor="text1"/>
          <w:sz w:val="20"/>
          <w:szCs w:val="20"/>
          <w:highlight w:val="yellow"/>
        </w:rPr>
      </w:pPr>
      <w:r w:rsidRPr="00637181">
        <w:rPr>
          <w:rFonts w:ascii="Arial" w:hAnsi="Arial" w:cs="Arial"/>
          <w:color w:val="000000" w:themeColor="text1"/>
          <w:sz w:val="20"/>
          <w:szCs w:val="20"/>
          <w:highlight w:val="yellow"/>
        </w:rPr>
        <w:t>Wang, H., Sun, J., Xi, Z., Dai, S., Xing, F., &amp; Xu, M. (2024). Recent Progress on Built-in Wave Energy Converters: A Review. Journal of Marine Science and Engineering, 12(7), 1176. https://doi.org/10.3390/jmse12071176</w:t>
      </w:r>
    </w:p>
    <w:p w14:paraId="2D1EA5F7" w14:textId="77777777" w:rsidR="00F16843" w:rsidRPr="00637181" w:rsidRDefault="00F16843" w:rsidP="00F16843">
      <w:pPr>
        <w:pStyle w:val="NormalWeb"/>
        <w:rPr>
          <w:rFonts w:ascii="Arial" w:hAnsi="Arial" w:cs="Arial"/>
          <w:color w:val="000000" w:themeColor="text1"/>
          <w:sz w:val="20"/>
          <w:szCs w:val="20"/>
          <w:highlight w:val="yellow"/>
        </w:rPr>
      </w:pPr>
      <w:proofErr w:type="spellStart"/>
      <w:r w:rsidRPr="00637181">
        <w:rPr>
          <w:rFonts w:ascii="Arial" w:hAnsi="Arial" w:cs="Arial"/>
          <w:color w:val="000000" w:themeColor="text1"/>
          <w:sz w:val="20"/>
          <w:szCs w:val="20"/>
          <w:highlight w:val="yellow"/>
        </w:rPr>
        <w:t>Shadmani</w:t>
      </w:r>
      <w:proofErr w:type="spellEnd"/>
      <w:r w:rsidRPr="00637181">
        <w:rPr>
          <w:rFonts w:ascii="Arial" w:hAnsi="Arial" w:cs="Arial"/>
          <w:color w:val="000000" w:themeColor="text1"/>
          <w:sz w:val="20"/>
          <w:szCs w:val="20"/>
          <w:highlight w:val="yellow"/>
        </w:rPr>
        <w:t xml:space="preserve">, A., </w:t>
      </w:r>
      <w:proofErr w:type="spellStart"/>
      <w:r w:rsidRPr="00637181">
        <w:rPr>
          <w:rFonts w:ascii="Arial" w:hAnsi="Arial" w:cs="Arial"/>
          <w:color w:val="000000" w:themeColor="text1"/>
          <w:sz w:val="20"/>
          <w:szCs w:val="20"/>
          <w:highlight w:val="yellow"/>
        </w:rPr>
        <w:t>Nikoo</w:t>
      </w:r>
      <w:proofErr w:type="spellEnd"/>
      <w:r w:rsidRPr="00637181">
        <w:rPr>
          <w:rFonts w:ascii="Arial" w:hAnsi="Arial" w:cs="Arial"/>
          <w:color w:val="000000" w:themeColor="text1"/>
          <w:sz w:val="20"/>
          <w:szCs w:val="20"/>
          <w:highlight w:val="yellow"/>
        </w:rPr>
        <w:t xml:space="preserve">, M. R., </w:t>
      </w:r>
      <w:proofErr w:type="spellStart"/>
      <w:r w:rsidRPr="00637181">
        <w:rPr>
          <w:rFonts w:ascii="Arial" w:hAnsi="Arial" w:cs="Arial"/>
          <w:color w:val="000000" w:themeColor="text1"/>
          <w:sz w:val="20"/>
          <w:szCs w:val="20"/>
          <w:highlight w:val="yellow"/>
        </w:rPr>
        <w:t>Gandomi</w:t>
      </w:r>
      <w:proofErr w:type="spellEnd"/>
      <w:r w:rsidRPr="00637181">
        <w:rPr>
          <w:rFonts w:ascii="Arial" w:hAnsi="Arial" w:cs="Arial"/>
          <w:color w:val="000000" w:themeColor="text1"/>
          <w:sz w:val="20"/>
          <w:szCs w:val="20"/>
          <w:highlight w:val="yellow"/>
        </w:rPr>
        <w:t xml:space="preserve">, A. H., Chen, M., &amp; Nazari, R. (2024). Advancements in optimizing wave energy converter geometry utilizing metaheuristic algorithms. Renewable and Sustainable Energy Reviews, 197, 114398. https://doi.org/10.1016/j.rser.2024.114398 </w:t>
      </w:r>
    </w:p>
    <w:p w14:paraId="4B6C1BA3" w14:textId="0818C45A" w:rsidR="00F16843" w:rsidRDefault="00F16843" w:rsidP="00F16843">
      <w:pPr>
        <w:pStyle w:val="NormalWeb"/>
        <w:rPr>
          <w:rFonts w:ascii="Arial" w:hAnsi="Arial" w:cs="Arial"/>
          <w:color w:val="000000" w:themeColor="text1"/>
          <w:sz w:val="20"/>
          <w:szCs w:val="20"/>
        </w:rPr>
      </w:pPr>
      <w:r w:rsidRPr="00637181">
        <w:rPr>
          <w:rFonts w:ascii="Arial" w:hAnsi="Arial" w:cs="Arial"/>
          <w:color w:val="000000" w:themeColor="text1"/>
          <w:sz w:val="20"/>
          <w:szCs w:val="20"/>
          <w:highlight w:val="yellow"/>
        </w:rPr>
        <w:t xml:space="preserve">Clemente, D., Rosa-Santos, P., &amp; </w:t>
      </w:r>
      <w:proofErr w:type="spellStart"/>
      <w:r w:rsidRPr="00637181">
        <w:rPr>
          <w:rFonts w:ascii="Arial" w:hAnsi="Arial" w:cs="Arial"/>
          <w:color w:val="000000" w:themeColor="text1"/>
          <w:sz w:val="20"/>
          <w:szCs w:val="20"/>
          <w:highlight w:val="yellow"/>
        </w:rPr>
        <w:t>Taveira</w:t>
      </w:r>
      <w:proofErr w:type="spellEnd"/>
      <w:r w:rsidRPr="00637181">
        <w:rPr>
          <w:rFonts w:ascii="Arial" w:hAnsi="Arial" w:cs="Arial"/>
          <w:color w:val="000000" w:themeColor="text1"/>
          <w:sz w:val="20"/>
          <w:szCs w:val="20"/>
          <w:highlight w:val="yellow"/>
        </w:rPr>
        <w:t>-Pinto, F. (2023). Advances in Wave Energy Conversion with Data-Driven Models. Journal of Marine Science and Engineering, 11(8), 1591. https://doi.org/10.3390/jmse11081591</w:t>
      </w:r>
      <w:r w:rsidRPr="00F16843">
        <w:rPr>
          <w:rFonts w:ascii="Arial" w:hAnsi="Arial" w:cs="Arial"/>
          <w:color w:val="000000" w:themeColor="text1"/>
          <w:sz w:val="20"/>
          <w:szCs w:val="20"/>
        </w:rPr>
        <w:t xml:space="preserve"> </w:t>
      </w:r>
    </w:p>
    <w:p w14:paraId="39315E07" w14:textId="7784AC41" w:rsidR="00185CCD" w:rsidRDefault="00185CCD" w:rsidP="00F16843">
      <w:pPr>
        <w:pStyle w:val="NormalWeb"/>
        <w:rPr>
          <w:rFonts w:ascii="Arial" w:hAnsi="Arial" w:cs="Arial"/>
          <w:color w:val="000000" w:themeColor="text1"/>
          <w:sz w:val="20"/>
          <w:szCs w:val="20"/>
          <w:highlight w:val="yellow"/>
        </w:rPr>
      </w:pPr>
      <w:r w:rsidRPr="00146955">
        <w:rPr>
          <w:rFonts w:ascii="Arial" w:hAnsi="Arial" w:cs="Arial"/>
          <w:color w:val="000000" w:themeColor="text1"/>
          <w:sz w:val="20"/>
          <w:szCs w:val="20"/>
          <w:highlight w:val="yellow"/>
        </w:rPr>
        <w:t xml:space="preserve">Rahman, M. A. (2024). Optimization of Design Parameters for Improved Buoy Reliability in Wave Energy Converter Systems. Journal of Engineering Research and Reports, 26(7), 334–346. </w:t>
      </w:r>
      <w:hyperlink r:id="rId46" w:history="1">
        <w:r w:rsidR="005F4C66" w:rsidRPr="00A2003D">
          <w:rPr>
            <w:rStyle w:val="Hyperlink"/>
            <w:rFonts w:ascii="Arial" w:hAnsi="Arial" w:cs="Arial"/>
            <w:sz w:val="20"/>
            <w:szCs w:val="20"/>
            <w:highlight w:val="yellow"/>
          </w:rPr>
          <w:t>https://doi.org/10.9734/jerr/2024/v26i71213</w:t>
        </w:r>
      </w:hyperlink>
    </w:p>
    <w:p w14:paraId="7CADA514" w14:textId="37D130C0" w:rsidR="005F4C66" w:rsidRDefault="005F4C66" w:rsidP="00F16843">
      <w:pPr>
        <w:pStyle w:val="NormalWeb"/>
        <w:rPr>
          <w:rFonts w:ascii="Arial" w:hAnsi="Arial" w:cs="Arial"/>
          <w:color w:val="000000" w:themeColor="text1"/>
          <w:sz w:val="20"/>
          <w:szCs w:val="20"/>
        </w:rPr>
      </w:pPr>
    </w:p>
    <w:p w14:paraId="017C1FB6" w14:textId="77777777" w:rsidR="005F4C66" w:rsidRPr="00A63840" w:rsidRDefault="005F4C66" w:rsidP="005F4C66">
      <w:pPr>
        <w:pStyle w:val="NoSpacing"/>
        <w:jc w:val="both"/>
        <w:rPr>
          <w:rFonts w:ascii="Arial" w:hAnsi="Arial" w:cs="Arial"/>
          <w:b/>
          <w:i/>
          <w:color w:val="000000" w:themeColor="text1"/>
          <w:position w:val="-16"/>
        </w:rPr>
      </w:pPr>
      <w:r w:rsidRPr="00A63840">
        <w:rPr>
          <w:rFonts w:ascii="Arial" w:hAnsi="Arial" w:cs="Arial"/>
          <w:b/>
          <w:i/>
          <w:color w:val="000000" w:themeColor="text1"/>
          <w:position w:val="-16"/>
        </w:rPr>
        <w:lastRenderedPageBreak/>
        <w:t>Nomenclature</w:t>
      </w:r>
    </w:p>
    <w:p w14:paraId="11D9310F" w14:textId="77777777" w:rsidR="005F4C66" w:rsidRPr="00A63840" w:rsidRDefault="005F4C66" w:rsidP="005F4C66">
      <w:pPr>
        <w:rPr>
          <w:rFonts w:ascii="Arial" w:hAnsi="Arial" w:cs="Arial"/>
        </w:rPr>
      </w:pPr>
      <w:r w:rsidRPr="00A63840">
        <w:rPr>
          <w:rFonts w:ascii="Arial" w:hAnsi="Arial" w:cs="Arial"/>
        </w:rPr>
        <w:t>Roman Symbols</w:t>
      </w:r>
    </w:p>
    <w:p w14:paraId="543BB8CF" w14:textId="77777777" w:rsidR="005F4C66" w:rsidRPr="00A63840" w:rsidRDefault="005F4C66" w:rsidP="005F4C66">
      <w:pPr>
        <w:rPr>
          <w:rFonts w:ascii="Arial" w:hAnsi="Arial" w:cs="Arial"/>
        </w:rPr>
      </w:pPr>
      <w:r w:rsidRPr="00A63840">
        <w:rPr>
          <w:rFonts w:ascii="Arial" w:hAnsi="Arial" w:cs="Arial"/>
        </w:rPr>
        <w:t>a, b — Hydrodynamic radiation and added-mass coefficients</w:t>
      </w:r>
    </w:p>
    <w:p w14:paraId="122DB08F" w14:textId="77777777" w:rsidR="005F4C66" w:rsidRPr="00A63840" w:rsidRDefault="005F4C66" w:rsidP="005F4C66">
      <w:pPr>
        <w:rPr>
          <w:rFonts w:ascii="Arial" w:hAnsi="Arial" w:cs="Arial"/>
        </w:rPr>
      </w:pPr>
      <w:r w:rsidRPr="00A63840">
        <w:rPr>
          <w:rFonts w:ascii="Arial" w:hAnsi="Arial" w:cs="Arial"/>
        </w:rPr>
        <w:t>c, d — Hydrodynamic coupling coefficients</w:t>
      </w:r>
    </w:p>
    <w:p w14:paraId="7DDB2786" w14:textId="77777777" w:rsidR="005F4C66" w:rsidRPr="00A63840" w:rsidRDefault="005F4C66" w:rsidP="005F4C66">
      <w:pPr>
        <w:rPr>
          <w:rFonts w:ascii="Arial" w:hAnsi="Arial" w:cs="Arial"/>
        </w:rPr>
      </w:pPr>
      <w:proofErr w:type="spellStart"/>
      <w:r w:rsidRPr="00A63840">
        <w:rPr>
          <w:rFonts w:ascii="Arial" w:hAnsi="Arial" w:cs="Arial"/>
        </w:rPr>
        <w:t>c_pto</w:t>
      </w:r>
      <w:proofErr w:type="spellEnd"/>
      <w:r w:rsidRPr="00A63840">
        <w:rPr>
          <w:rFonts w:ascii="Arial" w:hAnsi="Arial" w:cs="Arial"/>
        </w:rPr>
        <w:t xml:space="preserve"> — PTO damping coefficient</w:t>
      </w:r>
    </w:p>
    <w:p w14:paraId="5B884E1E" w14:textId="77777777" w:rsidR="005F4C66" w:rsidRPr="00A63840" w:rsidRDefault="005F4C66" w:rsidP="005F4C66">
      <w:pPr>
        <w:rPr>
          <w:rFonts w:ascii="Arial" w:hAnsi="Arial" w:cs="Arial"/>
        </w:rPr>
      </w:pPr>
      <w:r w:rsidRPr="00A63840">
        <w:rPr>
          <w:rFonts w:ascii="Arial" w:hAnsi="Arial" w:cs="Arial"/>
        </w:rPr>
        <w:t>e, f — Hydrostatic restoring coefficients</w:t>
      </w:r>
    </w:p>
    <w:p w14:paraId="1729BA47" w14:textId="77777777" w:rsidR="005F4C66" w:rsidRPr="00A63840" w:rsidRDefault="005F4C66" w:rsidP="005F4C66">
      <w:pPr>
        <w:rPr>
          <w:rFonts w:ascii="Arial" w:hAnsi="Arial" w:cs="Arial"/>
        </w:rPr>
      </w:pPr>
      <w:proofErr w:type="spellStart"/>
      <w:r w:rsidRPr="00A63840">
        <w:rPr>
          <w:rFonts w:ascii="Arial" w:hAnsi="Arial" w:cs="Arial"/>
        </w:rPr>
        <w:t>F_exc</w:t>
      </w:r>
      <w:proofErr w:type="spellEnd"/>
      <w:r w:rsidRPr="00A63840">
        <w:rPr>
          <w:rFonts w:ascii="Arial" w:hAnsi="Arial" w:cs="Arial"/>
        </w:rPr>
        <w:t>(t) — Wave excitation force</w:t>
      </w:r>
    </w:p>
    <w:p w14:paraId="36DC066B" w14:textId="77777777" w:rsidR="005F4C66" w:rsidRPr="00A63840" w:rsidRDefault="005F4C66" w:rsidP="005F4C66">
      <w:pPr>
        <w:rPr>
          <w:rFonts w:ascii="Arial" w:hAnsi="Arial" w:cs="Arial"/>
        </w:rPr>
      </w:pPr>
      <w:proofErr w:type="spellStart"/>
      <w:r w:rsidRPr="00A63840">
        <w:rPr>
          <w:rFonts w:ascii="Arial" w:hAnsi="Arial" w:cs="Arial"/>
        </w:rPr>
        <w:t>F_md</w:t>
      </w:r>
      <w:proofErr w:type="spellEnd"/>
      <w:r w:rsidRPr="00A63840">
        <w:rPr>
          <w:rFonts w:ascii="Arial" w:hAnsi="Arial" w:cs="Arial"/>
        </w:rPr>
        <w:t>(t) — Added-mass force</w:t>
      </w:r>
    </w:p>
    <w:p w14:paraId="31EEFB6F" w14:textId="77777777" w:rsidR="005F4C66" w:rsidRPr="00A63840" w:rsidRDefault="005F4C66" w:rsidP="005F4C66">
      <w:pPr>
        <w:rPr>
          <w:rFonts w:ascii="Arial" w:hAnsi="Arial" w:cs="Arial"/>
        </w:rPr>
      </w:pPr>
      <w:proofErr w:type="spellStart"/>
      <w:r w:rsidRPr="00A63840">
        <w:rPr>
          <w:rFonts w:ascii="Arial" w:hAnsi="Arial" w:cs="Arial"/>
        </w:rPr>
        <w:t>F_rad</w:t>
      </w:r>
      <w:proofErr w:type="spellEnd"/>
      <w:r w:rsidRPr="00A63840">
        <w:rPr>
          <w:rFonts w:ascii="Arial" w:hAnsi="Arial" w:cs="Arial"/>
        </w:rPr>
        <w:t>(t) — Radiation damping force</w:t>
      </w:r>
    </w:p>
    <w:p w14:paraId="38308C85" w14:textId="77777777" w:rsidR="005F4C66" w:rsidRPr="00A63840" w:rsidRDefault="005F4C66" w:rsidP="005F4C66">
      <w:pPr>
        <w:rPr>
          <w:rFonts w:ascii="Arial" w:hAnsi="Arial" w:cs="Arial"/>
        </w:rPr>
      </w:pPr>
      <w:proofErr w:type="spellStart"/>
      <w:r w:rsidRPr="00A63840">
        <w:rPr>
          <w:rFonts w:ascii="Arial" w:hAnsi="Arial" w:cs="Arial"/>
        </w:rPr>
        <w:t>F_pto</w:t>
      </w:r>
      <w:proofErr w:type="spellEnd"/>
      <w:r w:rsidRPr="00A63840">
        <w:rPr>
          <w:rFonts w:ascii="Arial" w:hAnsi="Arial" w:cs="Arial"/>
        </w:rPr>
        <w:t>(t) — PTO reaction force</w:t>
      </w:r>
    </w:p>
    <w:p w14:paraId="398B90D3" w14:textId="77777777" w:rsidR="005F4C66" w:rsidRPr="00A63840" w:rsidRDefault="005F4C66" w:rsidP="005F4C66">
      <w:pPr>
        <w:rPr>
          <w:rFonts w:ascii="Arial" w:hAnsi="Arial" w:cs="Arial"/>
        </w:rPr>
      </w:pPr>
      <w:proofErr w:type="spellStart"/>
      <w:r w:rsidRPr="00A63840">
        <w:rPr>
          <w:rFonts w:ascii="Arial" w:hAnsi="Arial" w:cs="Arial"/>
        </w:rPr>
        <w:t>F_v</w:t>
      </w:r>
      <w:proofErr w:type="spellEnd"/>
      <w:r w:rsidRPr="00A63840">
        <w:rPr>
          <w:rFonts w:ascii="Arial" w:hAnsi="Arial" w:cs="Arial"/>
        </w:rPr>
        <w:t>(t) — Viscous drag force</w:t>
      </w:r>
    </w:p>
    <w:p w14:paraId="3A3FC592" w14:textId="77777777" w:rsidR="005F4C66" w:rsidRPr="00A63840" w:rsidRDefault="005F4C66" w:rsidP="005F4C66">
      <w:pPr>
        <w:rPr>
          <w:rFonts w:ascii="Arial" w:hAnsi="Arial" w:cs="Arial"/>
        </w:rPr>
      </w:pPr>
      <w:proofErr w:type="spellStart"/>
      <w:r w:rsidRPr="00A63840">
        <w:rPr>
          <w:rFonts w:ascii="Arial" w:hAnsi="Arial" w:cs="Arial"/>
        </w:rPr>
        <w:t>F_me</w:t>
      </w:r>
      <w:proofErr w:type="spellEnd"/>
      <w:r w:rsidRPr="00A63840">
        <w:rPr>
          <w:rFonts w:ascii="Arial" w:hAnsi="Arial" w:cs="Arial"/>
        </w:rPr>
        <w:t>(t) — Mechanical constraint force</w:t>
      </w:r>
    </w:p>
    <w:p w14:paraId="3B8B407D" w14:textId="77777777" w:rsidR="005F4C66" w:rsidRPr="00A63840" w:rsidRDefault="005F4C66" w:rsidP="005F4C66">
      <w:pPr>
        <w:rPr>
          <w:rFonts w:ascii="Arial" w:hAnsi="Arial" w:cs="Arial"/>
        </w:rPr>
      </w:pPr>
      <w:r w:rsidRPr="00A63840">
        <w:rPr>
          <w:rFonts w:ascii="Arial" w:hAnsi="Arial" w:cs="Arial"/>
        </w:rPr>
        <w:t>F_B(t) — Buoyancy restoring force</w:t>
      </w:r>
    </w:p>
    <w:p w14:paraId="6835DC11" w14:textId="77777777" w:rsidR="005F4C66" w:rsidRPr="00A63840" w:rsidRDefault="005F4C66" w:rsidP="005F4C66">
      <w:pPr>
        <w:rPr>
          <w:rFonts w:ascii="Arial" w:hAnsi="Arial" w:cs="Arial"/>
        </w:rPr>
      </w:pPr>
      <w:proofErr w:type="spellStart"/>
      <w:r w:rsidRPr="00A63840">
        <w:rPr>
          <w:rFonts w:ascii="Arial" w:hAnsi="Arial" w:cs="Arial"/>
        </w:rPr>
        <w:t>F_m</w:t>
      </w:r>
      <w:proofErr w:type="spellEnd"/>
      <w:r w:rsidRPr="00A63840">
        <w:rPr>
          <w:rFonts w:ascii="Arial" w:hAnsi="Arial" w:cs="Arial"/>
        </w:rPr>
        <w:t>(t) — Mooring force</w:t>
      </w:r>
      <w:bookmarkStart w:id="1" w:name="_GoBack"/>
      <w:bookmarkEnd w:id="1"/>
    </w:p>
    <w:p w14:paraId="75485E26" w14:textId="77777777" w:rsidR="005F4C66" w:rsidRPr="00A63840" w:rsidRDefault="005F4C66" w:rsidP="005F4C66">
      <w:pPr>
        <w:rPr>
          <w:rFonts w:ascii="Arial" w:hAnsi="Arial" w:cs="Arial"/>
        </w:rPr>
      </w:pPr>
      <w:r w:rsidRPr="00A63840">
        <w:rPr>
          <w:rFonts w:ascii="Arial" w:hAnsi="Arial" w:cs="Arial"/>
        </w:rPr>
        <w:t>H_s — Significant wave height</w:t>
      </w:r>
    </w:p>
    <w:p w14:paraId="7450E02C" w14:textId="77777777" w:rsidR="005F4C66" w:rsidRPr="00A63840" w:rsidRDefault="005F4C66" w:rsidP="005F4C66">
      <w:pPr>
        <w:rPr>
          <w:rFonts w:ascii="Arial" w:hAnsi="Arial" w:cs="Arial"/>
        </w:rPr>
      </w:pPr>
      <w:proofErr w:type="spellStart"/>
      <w:r w:rsidRPr="00A63840">
        <w:rPr>
          <w:rFonts w:ascii="Arial" w:hAnsi="Arial" w:cs="Arial"/>
        </w:rPr>
        <w:t>i</w:t>
      </w:r>
      <w:proofErr w:type="spellEnd"/>
      <w:r w:rsidRPr="00A63840">
        <w:rPr>
          <w:rFonts w:ascii="Arial" w:hAnsi="Arial" w:cs="Arial"/>
        </w:rPr>
        <w:t xml:space="preserve"> — Imaginary unit</w:t>
      </w:r>
    </w:p>
    <w:p w14:paraId="5DB4E84D" w14:textId="77777777" w:rsidR="005F4C66" w:rsidRPr="00A63840" w:rsidRDefault="005F4C66" w:rsidP="005F4C66">
      <w:pPr>
        <w:rPr>
          <w:rFonts w:ascii="Arial" w:hAnsi="Arial" w:cs="Arial"/>
        </w:rPr>
      </w:pPr>
      <w:proofErr w:type="spellStart"/>
      <w:r w:rsidRPr="00A63840">
        <w:rPr>
          <w:rFonts w:ascii="Arial" w:hAnsi="Arial" w:cs="Arial"/>
        </w:rPr>
        <w:t>k_pto</w:t>
      </w:r>
      <w:proofErr w:type="spellEnd"/>
      <w:r w:rsidRPr="00A63840">
        <w:rPr>
          <w:rFonts w:ascii="Arial" w:hAnsi="Arial" w:cs="Arial"/>
        </w:rPr>
        <w:t xml:space="preserve"> — PTO stiffness coefficient</w:t>
      </w:r>
    </w:p>
    <w:p w14:paraId="0040B69B" w14:textId="77777777" w:rsidR="005F4C66" w:rsidRPr="00A63840" w:rsidRDefault="005F4C66" w:rsidP="005F4C66">
      <w:pPr>
        <w:rPr>
          <w:rFonts w:ascii="Arial" w:hAnsi="Arial" w:cs="Arial"/>
        </w:rPr>
      </w:pPr>
      <w:r w:rsidRPr="00A63840">
        <w:rPr>
          <w:rFonts w:ascii="Arial" w:hAnsi="Arial" w:cs="Arial"/>
        </w:rPr>
        <w:t>m — Mass/inertia matrix</w:t>
      </w:r>
    </w:p>
    <w:p w14:paraId="4DAA099C" w14:textId="77777777" w:rsidR="005F4C66" w:rsidRPr="00A63840" w:rsidRDefault="005F4C66" w:rsidP="005F4C66">
      <w:pPr>
        <w:rPr>
          <w:rFonts w:ascii="Arial" w:hAnsi="Arial" w:cs="Arial"/>
        </w:rPr>
      </w:pPr>
      <w:proofErr w:type="spellStart"/>
      <w:r w:rsidRPr="00A63840">
        <w:rPr>
          <w:rFonts w:ascii="Arial" w:hAnsi="Arial" w:cs="Arial"/>
        </w:rPr>
        <w:t>P_ave</w:t>
      </w:r>
      <w:proofErr w:type="spellEnd"/>
      <w:r w:rsidRPr="00A63840">
        <w:rPr>
          <w:rFonts w:ascii="Arial" w:hAnsi="Arial" w:cs="Arial"/>
        </w:rPr>
        <w:t xml:space="preserve"> — Average absorbed power</w:t>
      </w:r>
    </w:p>
    <w:p w14:paraId="0F3F9372" w14:textId="77777777" w:rsidR="005F4C66" w:rsidRPr="00A63840" w:rsidRDefault="005F4C66" w:rsidP="005F4C66">
      <w:pPr>
        <w:rPr>
          <w:rFonts w:ascii="Arial" w:hAnsi="Arial" w:cs="Arial"/>
        </w:rPr>
      </w:pPr>
      <w:proofErr w:type="spellStart"/>
      <w:r w:rsidRPr="00A63840">
        <w:rPr>
          <w:rFonts w:ascii="Arial" w:hAnsi="Arial" w:cs="Arial"/>
        </w:rPr>
        <w:t>P_irr</w:t>
      </w:r>
      <w:proofErr w:type="spellEnd"/>
      <w:r w:rsidRPr="00A63840">
        <w:rPr>
          <w:rFonts w:ascii="Arial" w:hAnsi="Arial" w:cs="Arial"/>
        </w:rPr>
        <w:t xml:space="preserve"> — Irregular-wave absorbed power</w:t>
      </w:r>
    </w:p>
    <w:p w14:paraId="15084240" w14:textId="77777777" w:rsidR="005F4C66" w:rsidRPr="00A63840" w:rsidRDefault="005F4C66" w:rsidP="005F4C66">
      <w:pPr>
        <w:rPr>
          <w:rFonts w:ascii="Arial" w:hAnsi="Arial" w:cs="Arial"/>
        </w:rPr>
      </w:pPr>
      <w:r w:rsidRPr="00A63840">
        <w:rPr>
          <w:rFonts w:ascii="Arial" w:hAnsi="Arial" w:cs="Arial"/>
        </w:rPr>
        <w:t>p, q — Excitation force coefficients</w:t>
      </w:r>
    </w:p>
    <w:p w14:paraId="78E24FD0" w14:textId="77777777" w:rsidR="005F4C66" w:rsidRPr="00A63840" w:rsidRDefault="005F4C66" w:rsidP="005F4C66">
      <w:pPr>
        <w:rPr>
          <w:rFonts w:ascii="Arial" w:hAnsi="Arial" w:cs="Arial"/>
        </w:rPr>
      </w:pPr>
      <w:r w:rsidRPr="00A63840">
        <w:rPr>
          <w:rFonts w:ascii="Arial" w:hAnsi="Arial" w:cs="Arial"/>
        </w:rPr>
        <w:t>S(ω) — Wave energy spectral density</w:t>
      </w:r>
    </w:p>
    <w:p w14:paraId="1D1CD21B" w14:textId="77777777" w:rsidR="005F4C66" w:rsidRPr="00A63840" w:rsidRDefault="005F4C66" w:rsidP="005F4C66">
      <w:pPr>
        <w:rPr>
          <w:rFonts w:ascii="Arial" w:hAnsi="Arial" w:cs="Arial"/>
        </w:rPr>
      </w:pPr>
      <w:proofErr w:type="spellStart"/>
      <w:r w:rsidRPr="00A63840">
        <w:rPr>
          <w:rFonts w:ascii="Arial" w:hAnsi="Arial" w:cs="Arial"/>
        </w:rPr>
        <w:t>T_e</w:t>
      </w:r>
      <w:proofErr w:type="spellEnd"/>
      <w:r w:rsidRPr="00A63840">
        <w:rPr>
          <w:rFonts w:ascii="Arial" w:hAnsi="Arial" w:cs="Arial"/>
        </w:rPr>
        <w:t xml:space="preserve"> — Energy wave period</w:t>
      </w:r>
    </w:p>
    <w:p w14:paraId="75B50CE1" w14:textId="77777777" w:rsidR="005F4C66" w:rsidRPr="00A63840" w:rsidRDefault="005F4C66" w:rsidP="005F4C66">
      <w:pPr>
        <w:rPr>
          <w:rFonts w:ascii="Arial" w:hAnsi="Arial" w:cs="Arial"/>
        </w:rPr>
      </w:pPr>
      <w:r w:rsidRPr="00A63840">
        <w:rPr>
          <w:rFonts w:ascii="Arial" w:hAnsi="Arial" w:cs="Arial"/>
        </w:rPr>
        <w:t>X — Displacement vector</w:t>
      </w:r>
    </w:p>
    <w:p w14:paraId="3DBC00FC" w14:textId="77777777" w:rsidR="005F4C66" w:rsidRPr="00A63840" w:rsidRDefault="005F4C66" w:rsidP="005F4C66">
      <w:pPr>
        <w:rPr>
          <w:rFonts w:ascii="Arial" w:hAnsi="Arial" w:cs="Arial"/>
        </w:rPr>
      </w:pPr>
      <w:r w:rsidRPr="00A63840">
        <w:rPr>
          <w:rFonts w:ascii="Arial" w:hAnsi="Arial" w:cs="Arial"/>
        </w:rPr>
        <w:t>Ẍ — Acceleration vector</w:t>
      </w:r>
    </w:p>
    <w:p w14:paraId="707E9717" w14:textId="77777777" w:rsidR="005F4C66" w:rsidRPr="00A63840" w:rsidRDefault="005F4C66" w:rsidP="005F4C66">
      <w:pPr>
        <w:rPr>
          <w:rFonts w:ascii="Arial" w:hAnsi="Arial" w:cs="Arial"/>
        </w:rPr>
      </w:pPr>
      <w:r w:rsidRPr="00A63840">
        <w:rPr>
          <w:rFonts w:ascii="Arial" w:hAnsi="Arial" w:cs="Arial"/>
        </w:rPr>
        <w:t>ω — Angular frequency</w:t>
      </w:r>
    </w:p>
    <w:p w14:paraId="43773B80" w14:textId="77777777" w:rsidR="005F4C66" w:rsidRPr="00A63840" w:rsidRDefault="005F4C66" w:rsidP="005F4C66">
      <w:pPr>
        <w:rPr>
          <w:rFonts w:ascii="Arial" w:hAnsi="Arial" w:cs="Arial"/>
        </w:rPr>
      </w:pPr>
      <w:r w:rsidRPr="00A63840">
        <w:rPr>
          <w:rFonts w:ascii="Arial" w:hAnsi="Arial" w:cs="Arial"/>
        </w:rPr>
        <w:t>Degrees of Freedom</w:t>
      </w:r>
    </w:p>
    <w:p w14:paraId="503277F0" w14:textId="77777777" w:rsidR="005F4C66" w:rsidRPr="00A63840" w:rsidRDefault="005F4C66" w:rsidP="005F4C66">
      <w:pPr>
        <w:rPr>
          <w:rFonts w:ascii="Arial" w:hAnsi="Arial" w:cs="Arial"/>
        </w:rPr>
      </w:pPr>
      <w:r w:rsidRPr="00A63840">
        <w:rPr>
          <w:rFonts w:ascii="Arial" w:hAnsi="Arial" w:cs="Arial"/>
        </w:rPr>
        <w:t>Surge — Longitudinal translation</w:t>
      </w:r>
    </w:p>
    <w:p w14:paraId="3B30153E" w14:textId="77777777" w:rsidR="005F4C66" w:rsidRPr="00A63840" w:rsidRDefault="005F4C66" w:rsidP="005F4C66">
      <w:pPr>
        <w:rPr>
          <w:rFonts w:ascii="Arial" w:hAnsi="Arial" w:cs="Arial"/>
        </w:rPr>
      </w:pPr>
      <w:r w:rsidRPr="00A63840">
        <w:rPr>
          <w:rFonts w:ascii="Arial" w:hAnsi="Arial" w:cs="Arial"/>
        </w:rPr>
        <w:t>Sway — Lateral translation</w:t>
      </w:r>
    </w:p>
    <w:p w14:paraId="3EABCA4F" w14:textId="77777777" w:rsidR="005F4C66" w:rsidRPr="00A63840" w:rsidRDefault="005F4C66" w:rsidP="005F4C66">
      <w:pPr>
        <w:rPr>
          <w:rFonts w:ascii="Arial" w:hAnsi="Arial" w:cs="Arial"/>
        </w:rPr>
      </w:pPr>
      <w:r w:rsidRPr="00A63840">
        <w:rPr>
          <w:rFonts w:ascii="Arial" w:hAnsi="Arial" w:cs="Arial"/>
        </w:rPr>
        <w:t>Heave — Vertical translation</w:t>
      </w:r>
    </w:p>
    <w:p w14:paraId="5F7D09EB" w14:textId="77777777" w:rsidR="005F4C66" w:rsidRPr="00A63840" w:rsidRDefault="005F4C66" w:rsidP="005F4C66">
      <w:pPr>
        <w:rPr>
          <w:rFonts w:ascii="Arial" w:hAnsi="Arial" w:cs="Arial"/>
        </w:rPr>
      </w:pPr>
      <w:r w:rsidRPr="00A63840">
        <w:rPr>
          <w:rFonts w:ascii="Arial" w:hAnsi="Arial" w:cs="Arial"/>
        </w:rPr>
        <w:t>Roll — Rotation about longitudinal axis</w:t>
      </w:r>
    </w:p>
    <w:p w14:paraId="5AF278AD" w14:textId="77777777" w:rsidR="005F4C66" w:rsidRPr="00A63840" w:rsidRDefault="005F4C66" w:rsidP="005F4C66">
      <w:pPr>
        <w:rPr>
          <w:rFonts w:ascii="Arial" w:hAnsi="Arial" w:cs="Arial"/>
        </w:rPr>
      </w:pPr>
      <w:r w:rsidRPr="00A63840">
        <w:rPr>
          <w:rFonts w:ascii="Arial" w:hAnsi="Arial" w:cs="Arial"/>
        </w:rPr>
        <w:t>Pitch — Rotation about transverse axis</w:t>
      </w:r>
    </w:p>
    <w:p w14:paraId="230C6BCD" w14:textId="77777777" w:rsidR="005F4C66" w:rsidRPr="00A63840" w:rsidRDefault="005F4C66" w:rsidP="005F4C66">
      <w:pPr>
        <w:rPr>
          <w:rFonts w:ascii="Arial" w:hAnsi="Arial" w:cs="Arial"/>
        </w:rPr>
      </w:pPr>
      <w:r w:rsidRPr="00A63840">
        <w:rPr>
          <w:rFonts w:ascii="Arial" w:hAnsi="Arial" w:cs="Arial"/>
        </w:rPr>
        <w:t>Yaw — Rotation about vertical axis</w:t>
      </w:r>
    </w:p>
    <w:p w14:paraId="2E9060FB" w14:textId="77777777" w:rsidR="005F4C66" w:rsidRPr="00A63840" w:rsidRDefault="005F4C66" w:rsidP="005F4C66">
      <w:pPr>
        <w:jc w:val="both"/>
        <w:rPr>
          <w:rFonts w:ascii="Arial" w:hAnsi="Arial" w:cs="Arial"/>
          <w:color w:val="000000" w:themeColor="text1"/>
          <w:w w:val="105"/>
        </w:rPr>
      </w:pPr>
    </w:p>
    <w:p w14:paraId="6F480865" w14:textId="77777777" w:rsidR="005F4C66" w:rsidRPr="00A63840" w:rsidRDefault="005F4C66" w:rsidP="00F16843">
      <w:pPr>
        <w:pStyle w:val="NormalWeb"/>
        <w:rPr>
          <w:rFonts w:ascii="Arial" w:hAnsi="Arial" w:cs="Arial"/>
          <w:color w:val="000000" w:themeColor="text1"/>
          <w:sz w:val="20"/>
          <w:szCs w:val="20"/>
        </w:rPr>
      </w:pPr>
    </w:p>
    <w:sectPr w:rsidR="005F4C66" w:rsidRPr="00A63840" w:rsidSect="00447940">
      <w:headerReference w:type="even" r:id="rId47"/>
      <w:headerReference w:type="default" r:id="rId48"/>
      <w:footerReference w:type="even" r:id="rId49"/>
      <w:footerReference w:type="default" r:id="rId50"/>
      <w:headerReference w:type="first" r:id="rId51"/>
      <w:footerReference w:type="first" r:id="rId5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E0DC3" w14:textId="77777777" w:rsidR="00DC6634" w:rsidRDefault="00DC6634" w:rsidP="00C37E61">
      <w:r>
        <w:separator/>
      </w:r>
    </w:p>
  </w:endnote>
  <w:endnote w:type="continuationSeparator" w:id="0">
    <w:p w14:paraId="0970618F" w14:textId="77777777" w:rsidR="00DC6634" w:rsidRDefault="00DC663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A64C7" w14:textId="77777777" w:rsidR="001E346E" w:rsidRDefault="001E34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41CA1" w14:textId="77777777" w:rsidR="001E346E" w:rsidRPr="00C37E61" w:rsidRDefault="001E346E"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BE7CD" w14:textId="77777777" w:rsidR="001E346E" w:rsidRDefault="001E34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872C1" w14:textId="77777777" w:rsidR="00DC6634" w:rsidRDefault="00DC6634" w:rsidP="00C37E61">
      <w:r>
        <w:separator/>
      </w:r>
    </w:p>
  </w:footnote>
  <w:footnote w:type="continuationSeparator" w:id="0">
    <w:p w14:paraId="5AD3C831" w14:textId="77777777" w:rsidR="00DC6634" w:rsidRDefault="00DC663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35572" w14:textId="76C8CC9F" w:rsidR="001E346E" w:rsidRDefault="00DC6634">
    <w:pPr>
      <w:pStyle w:val="Header"/>
    </w:pPr>
    <w:r>
      <w:rPr>
        <w:noProof/>
      </w:rPr>
      <w:pict w14:anchorId="4D19ED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23914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A7E9C" w14:textId="32C9770E" w:rsidR="001E346E" w:rsidRDefault="00DC6634">
    <w:pPr>
      <w:pStyle w:val="Header"/>
    </w:pPr>
    <w:r>
      <w:rPr>
        <w:noProof/>
      </w:rPr>
      <w:pict w14:anchorId="7E62E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23914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7ACDE" w14:textId="6FE68170" w:rsidR="001E346E" w:rsidRDefault="00DC6634">
    <w:pPr>
      <w:pStyle w:val="Header"/>
    </w:pPr>
    <w:r>
      <w:rPr>
        <w:noProof/>
      </w:rPr>
      <w:pict w14:anchorId="42D13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239141"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1628C9"/>
    <w:multiLevelType w:val="multilevel"/>
    <w:tmpl w:val="D59AF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CE7037"/>
    <w:multiLevelType w:val="multilevel"/>
    <w:tmpl w:val="8746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0F8B678F"/>
    <w:multiLevelType w:val="hybridMultilevel"/>
    <w:tmpl w:val="58FE8234"/>
    <w:lvl w:ilvl="0" w:tplc="A65CABF8">
      <w:start w:val="3"/>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247C0F"/>
    <w:multiLevelType w:val="hybridMultilevel"/>
    <w:tmpl w:val="61E2B19A"/>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5422E8"/>
    <w:multiLevelType w:val="hybridMultilevel"/>
    <w:tmpl w:val="54E8C214"/>
    <w:lvl w:ilvl="0" w:tplc="8730E246">
      <w:start w:val="1"/>
      <w:numFmt w:val="decimal"/>
      <w:lvlText w:val="%1."/>
      <w:lvlJc w:val="left"/>
      <w:pPr>
        <w:ind w:left="469" w:hanging="360"/>
      </w:pPr>
      <w:rPr>
        <w:rFonts w:hint="default"/>
      </w:rPr>
    </w:lvl>
    <w:lvl w:ilvl="1" w:tplc="2C090019" w:tentative="1">
      <w:start w:val="1"/>
      <w:numFmt w:val="lowerLetter"/>
      <w:lvlText w:val="%2."/>
      <w:lvlJc w:val="left"/>
      <w:pPr>
        <w:ind w:left="1189" w:hanging="360"/>
      </w:pPr>
    </w:lvl>
    <w:lvl w:ilvl="2" w:tplc="2C09001B" w:tentative="1">
      <w:start w:val="1"/>
      <w:numFmt w:val="lowerRoman"/>
      <w:lvlText w:val="%3."/>
      <w:lvlJc w:val="right"/>
      <w:pPr>
        <w:ind w:left="1909" w:hanging="180"/>
      </w:pPr>
    </w:lvl>
    <w:lvl w:ilvl="3" w:tplc="2C09000F" w:tentative="1">
      <w:start w:val="1"/>
      <w:numFmt w:val="decimal"/>
      <w:lvlText w:val="%4."/>
      <w:lvlJc w:val="left"/>
      <w:pPr>
        <w:ind w:left="2629" w:hanging="360"/>
      </w:pPr>
    </w:lvl>
    <w:lvl w:ilvl="4" w:tplc="2C090019" w:tentative="1">
      <w:start w:val="1"/>
      <w:numFmt w:val="lowerLetter"/>
      <w:lvlText w:val="%5."/>
      <w:lvlJc w:val="left"/>
      <w:pPr>
        <w:ind w:left="3349" w:hanging="360"/>
      </w:pPr>
    </w:lvl>
    <w:lvl w:ilvl="5" w:tplc="2C09001B" w:tentative="1">
      <w:start w:val="1"/>
      <w:numFmt w:val="lowerRoman"/>
      <w:lvlText w:val="%6."/>
      <w:lvlJc w:val="right"/>
      <w:pPr>
        <w:ind w:left="4069" w:hanging="180"/>
      </w:pPr>
    </w:lvl>
    <w:lvl w:ilvl="6" w:tplc="2C09000F" w:tentative="1">
      <w:start w:val="1"/>
      <w:numFmt w:val="decimal"/>
      <w:lvlText w:val="%7."/>
      <w:lvlJc w:val="left"/>
      <w:pPr>
        <w:ind w:left="4789" w:hanging="360"/>
      </w:pPr>
    </w:lvl>
    <w:lvl w:ilvl="7" w:tplc="2C090019" w:tentative="1">
      <w:start w:val="1"/>
      <w:numFmt w:val="lowerLetter"/>
      <w:lvlText w:val="%8."/>
      <w:lvlJc w:val="left"/>
      <w:pPr>
        <w:ind w:left="5509" w:hanging="360"/>
      </w:pPr>
    </w:lvl>
    <w:lvl w:ilvl="8" w:tplc="2C09001B" w:tentative="1">
      <w:start w:val="1"/>
      <w:numFmt w:val="lowerRoman"/>
      <w:lvlText w:val="%9."/>
      <w:lvlJc w:val="right"/>
      <w:pPr>
        <w:ind w:left="6229" w:hanging="180"/>
      </w:p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D680929"/>
    <w:multiLevelType w:val="hybridMultilevel"/>
    <w:tmpl w:val="61E2B19A"/>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1" w15:restartNumberingAfterBreak="0">
    <w:nsid w:val="40554E39"/>
    <w:multiLevelType w:val="multilevel"/>
    <w:tmpl w:val="5D227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D2440E"/>
    <w:multiLevelType w:val="hybridMultilevel"/>
    <w:tmpl w:val="61E2B19A"/>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3" w15:restartNumberingAfterBreak="0">
    <w:nsid w:val="497E3C23"/>
    <w:multiLevelType w:val="multilevel"/>
    <w:tmpl w:val="0D2CA5DE"/>
    <w:lvl w:ilvl="0">
      <w:start w:val="1"/>
      <w:numFmt w:val="bullet"/>
      <w:lvlText w:val=""/>
      <w:lvlJc w:val="left"/>
      <w:pPr>
        <w:tabs>
          <w:tab w:val="num" w:pos="720"/>
        </w:tabs>
        <w:ind w:left="720" w:hanging="360"/>
      </w:pPr>
      <w:rPr>
        <w:rFonts w:ascii="Symbol" w:hAnsi="Symbol"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4D823266"/>
    <w:multiLevelType w:val="hybridMultilevel"/>
    <w:tmpl w:val="61E2B19A"/>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6" w15:restartNumberingAfterBreak="0">
    <w:nsid w:val="526E002F"/>
    <w:multiLevelType w:val="multilevel"/>
    <w:tmpl w:val="725A5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300D6A"/>
    <w:multiLevelType w:val="multilevel"/>
    <w:tmpl w:val="912E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B00F28"/>
    <w:multiLevelType w:val="hybridMultilevel"/>
    <w:tmpl w:val="61E2B19A"/>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0B428A5"/>
    <w:multiLevelType w:val="multilevel"/>
    <w:tmpl w:val="EEA6F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156A2C"/>
    <w:multiLevelType w:val="hybridMultilevel"/>
    <w:tmpl w:val="61E2B19A"/>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0F37A21"/>
    <w:multiLevelType w:val="singleLevel"/>
    <w:tmpl w:val="820215C4"/>
    <w:lvl w:ilvl="0">
      <w:start w:val="1"/>
      <w:numFmt w:val="bullet"/>
      <w:pStyle w:val="Listbulleted"/>
      <w:lvlText w:val=""/>
      <w:lvlJc w:val="left"/>
      <w:pPr>
        <w:tabs>
          <w:tab w:val="num" w:pos="360"/>
        </w:tabs>
        <w:ind w:left="360" w:hanging="360"/>
      </w:pPr>
      <w:rPr>
        <w:rFonts w:ascii="Symbol" w:hAnsi="Symbol" w:hint="default"/>
      </w:rPr>
    </w:lvl>
  </w:abstractNum>
  <w:abstractNum w:abstractNumId="3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4"/>
  </w:num>
  <w:num w:numId="3">
    <w:abstractNumId w:val="3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2"/>
  </w:num>
  <w:num w:numId="8">
    <w:abstractNumId w:val="17"/>
  </w:num>
  <w:num w:numId="9">
    <w:abstractNumId w:val="41"/>
  </w:num>
  <w:num w:numId="10">
    <w:abstractNumId w:val="3"/>
  </w:num>
  <w:num w:numId="11">
    <w:abstractNumId w:val="33"/>
  </w:num>
  <w:num w:numId="12">
    <w:abstractNumId w:val="5"/>
  </w:num>
  <w:num w:numId="13">
    <w:abstractNumId w:val="30"/>
  </w:num>
  <w:num w:numId="14">
    <w:abstractNumId w:val="11"/>
  </w:num>
  <w:num w:numId="15">
    <w:abstractNumId w:val="37"/>
  </w:num>
  <w:num w:numId="16">
    <w:abstractNumId w:val="7"/>
  </w:num>
  <w:num w:numId="17">
    <w:abstractNumId w:val="38"/>
  </w:num>
  <w:num w:numId="18">
    <w:abstractNumId w:val="19"/>
  </w:num>
  <w:num w:numId="19">
    <w:abstractNumId w:val="44"/>
  </w:num>
  <w:num w:numId="20">
    <w:abstractNumId w:val="15"/>
  </w:num>
  <w:num w:numId="21">
    <w:abstractNumId w:val="12"/>
  </w:num>
  <w:num w:numId="22">
    <w:abstractNumId w:val="18"/>
  </w:num>
  <w:num w:numId="23">
    <w:abstractNumId w:val="35"/>
  </w:num>
  <w:num w:numId="24">
    <w:abstractNumId w:val="42"/>
  </w:num>
  <w:num w:numId="25">
    <w:abstractNumId w:val="6"/>
  </w:num>
  <w:num w:numId="26">
    <w:abstractNumId w:val="27"/>
  </w:num>
  <w:num w:numId="27">
    <w:abstractNumId w:val="36"/>
  </w:num>
  <w:num w:numId="28">
    <w:abstractNumId w:val="43"/>
  </w:num>
  <w:num w:numId="29">
    <w:abstractNumId w:val="40"/>
  </w:num>
  <w:num w:numId="30">
    <w:abstractNumId w:val="13"/>
  </w:num>
  <w:num w:numId="31">
    <w:abstractNumId w:val="34"/>
  </w:num>
  <w:num w:numId="32">
    <w:abstractNumId w:val="29"/>
  </w:num>
  <w:num w:numId="33">
    <w:abstractNumId w:val="9"/>
  </w:num>
  <w:num w:numId="34">
    <w:abstractNumId w:val="4"/>
  </w:num>
  <w:num w:numId="35">
    <w:abstractNumId w:val="28"/>
  </w:num>
  <w:num w:numId="36">
    <w:abstractNumId w:val="16"/>
  </w:num>
  <w:num w:numId="37">
    <w:abstractNumId w:val="1"/>
  </w:num>
  <w:num w:numId="38">
    <w:abstractNumId w:val="31"/>
  </w:num>
  <w:num w:numId="39">
    <w:abstractNumId w:val="21"/>
  </w:num>
  <w:num w:numId="40">
    <w:abstractNumId w:val="23"/>
  </w:num>
  <w:num w:numId="41">
    <w:abstractNumId w:val="25"/>
  </w:num>
  <w:num w:numId="42">
    <w:abstractNumId w:val="14"/>
  </w:num>
  <w:num w:numId="43">
    <w:abstractNumId w:val="22"/>
  </w:num>
  <w:num w:numId="44">
    <w:abstractNumId w:val="32"/>
  </w:num>
  <w:num w:numId="45">
    <w:abstractNumId w:val="20"/>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tLAwNDcxNDAyMLQ0tTBT0lEKTi0uzszPAykwrAUARYkhQiwAAAA="/>
  </w:docVars>
  <w:rsids>
    <w:rsidRoot w:val="00AA6219"/>
    <w:rsid w:val="00000F8F"/>
    <w:rsid w:val="00020843"/>
    <w:rsid w:val="00030174"/>
    <w:rsid w:val="0004579C"/>
    <w:rsid w:val="00050DE1"/>
    <w:rsid w:val="000A47FA"/>
    <w:rsid w:val="000A65D3"/>
    <w:rsid w:val="000B1E33"/>
    <w:rsid w:val="000B49A3"/>
    <w:rsid w:val="000C3074"/>
    <w:rsid w:val="000D689F"/>
    <w:rsid w:val="000E7B7B"/>
    <w:rsid w:val="000E7D62"/>
    <w:rsid w:val="000F2527"/>
    <w:rsid w:val="000F45CF"/>
    <w:rsid w:val="00103357"/>
    <w:rsid w:val="001071BE"/>
    <w:rsid w:val="001108C9"/>
    <w:rsid w:val="00123C9F"/>
    <w:rsid w:val="00125B05"/>
    <w:rsid w:val="00126190"/>
    <w:rsid w:val="00130F17"/>
    <w:rsid w:val="001320BF"/>
    <w:rsid w:val="00146955"/>
    <w:rsid w:val="00163BC4"/>
    <w:rsid w:val="00170356"/>
    <w:rsid w:val="00175098"/>
    <w:rsid w:val="00185CCD"/>
    <w:rsid w:val="00191062"/>
    <w:rsid w:val="00192B72"/>
    <w:rsid w:val="00197D3F"/>
    <w:rsid w:val="001A29D8"/>
    <w:rsid w:val="001A5CAA"/>
    <w:rsid w:val="001B0427"/>
    <w:rsid w:val="001D3A51"/>
    <w:rsid w:val="001D7721"/>
    <w:rsid w:val="001E10D2"/>
    <w:rsid w:val="001E25B4"/>
    <w:rsid w:val="001E2C80"/>
    <w:rsid w:val="001E346E"/>
    <w:rsid w:val="001E44FE"/>
    <w:rsid w:val="00200595"/>
    <w:rsid w:val="00204835"/>
    <w:rsid w:val="00231920"/>
    <w:rsid w:val="0023195C"/>
    <w:rsid w:val="0024282C"/>
    <w:rsid w:val="00245C25"/>
    <w:rsid w:val="002460DC"/>
    <w:rsid w:val="00250985"/>
    <w:rsid w:val="002556F6"/>
    <w:rsid w:val="00266649"/>
    <w:rsid w:val="0026664D"/>
    <w:rsid w:val="00270572"/>
    <w:rsid w:val="00283105"/>
    <w:rsid w:val="00284C4C"/>
    <w:rsid w:val="00287E68"/>
    <w:rsid w:val="00296529"/>
    <w:rsid w:val="00297945"/>
    <w:rsid w:val="002B27FB"/>
    <w:rsid w:val="002B4DA0"/>
    <w:rsid w:val="002B6505"/>
    <w:rsid w:val="002B685A"/>
    <w:rsid w:val="002B6C79"/>
    <w:rsid w:val="002C57D2"/>
    <w:rsid w:val="002E0D56"/>
    <w:rsid w:val="00315186"/>
    <w:rsid w:val="0033343E"/>
    <w:rsid w:val="003336F4"/>
    <w:rsid w:val="003512C2"/>
    <w:rsid w:val="0035504C"/>
    <w:rsid w:val="00371FB6"/>
    <w:rsid w:val="003763C1"/>
    <w:rsid w:val="00376BBE"/>
    <w:rsid w:val="0039224F"/>
    <w:rsid w:val="00392F0E"/>
    <w:rsid w:val="0039656F"/>
    <w:rsid w:val="003A43A4"/>
    <w:rsid w:val="003A5B11"/>
    <w:rsid w:val="003A7E18"/>
    <w:rsid w:val="003B7979"/>
    <w:rsid w:val="003C4C86"/>
    <w:rsid w:val="003C6258"/>
    <w:rsid w:val="003E2904"/>
    <w:rsid w:val="00401927"/>
    <w:rsid w:val="0041027F"/>
    <w:rsid w:val="004122BA"/>
    <w:rsid w:val="00412475"/>
    <w:rsid w:val="00423789"/>
    <w:rsid w:val="00424EAC"/>
    <w:rsid w:val="00434024"/>
    <w:rsid w:val="00437BC0"/>
    <w:rsid w:val="00440F43"/>
    <w:rsid w:val="00441B6F"/>
    <w:rsid w:val="00446221"/>
    <w:rsid w:val="004462DE"/>
    <w:rsid w:val="00447940"/>
    <w:rsid w:val="00450E62"/>
    <w:rsid w:val="004539DB"/>
    <w:rsid w:val="00454271"/>
    <w:rsid w:val="00454C95"/>
    <w:rsid w:val="00454E7C"/>
    <w:rsid w:val="00464F30"/>
    <w:rsid w:val="00471A80"/>
    <w:rsid w:val="004914C3"/>
    <w:rsid w:val="004B76F7"/>
    <w:rsid w:val="004C1736"/>
    <w:rsid w:val="004C50AF"/>
    <w:rsid w:val="004D305E"/>
    <w:rsid w:val="004D4277"/>
    <w:rsid w:val="00502516"/>
    <w:rsid w:val="00505F06"/>
    <w:rsid w:val="00505F51"/>
    <w:rsid w:val="00506828"/>
    <w:rsid w:val="00527762"/>
    <w:rsid w:val="0053056E"/>
    <w:rsid w:val="005456EE"/>
    <w:rsid w:val="00554FDA"/>
    <w:rsid w:val="00556DB7"/>
    <w:rsid w:val="0056631C"/>
    <w:rsid w:val="00584C09"/>
    <w:rsid w:val="005A236F"/>
    <w:rsid w:val="005C784C"/>
    <w:rsid w:val="005D17F6"/>
    <w:rsid w:val="005D1C41"/>
    <w:rsid w:val="005E5539"/>
    <w:rsid w:val="005F4C66"/>
    <w:rsid w:val="00602BF5"/>
    <w:rsid w:val="00617FDD"/>
    <w:rsid w:val="006207E0"/>
    <w:rsid w:val="00621FA6"/>
    <w:rsid w:val="00633614"/>
    <w:rsid w:val="00633F68"/>
    <w:rsid w:val="00636EB2"/>
    <w:rsid w:val="00637181"/>
    <w:rsid w:val="006375B8"/>
    <w:rsid w:val="0064687A"/>
    <w:rsid w:val="00650096"/>
    <w:rsid w:val="006636C3"/>
    <w:rsid w:val="0066510A"/>
    <w:rsid w:val="00666643"/>
    <w:rsid w:val="00673F9F"/>
    <w:rsid w:val="00686953"/>
    <w:rsid w:val="00687DEA"/>
    <w:rsid w:val="00687E67"/>
    <w:rsid w:val="006967F7"/>
    <w:rsid w:val="006A250C"/>
    <w:rsid w:val="006B21D3"/>
    <w:rsid w:val="006B57D0"/>
    <w:rsid w:val="006C547D"/>
    <w:rsid w:val="006C5C91"/>
    <w:rsid w:val="006D30FF"/>
    <w:rsid w:val="006D40F6"/>
    <w:rsid w:val="006D4386"/>
    <w:rsid w:val="006D6940"/>
    <w:rsid w:val="006F11EC"/>
    <w:rsid w:val="0070082C"/>
    <w:rsid w:val="0070294E"/>
    <w:rsid w:val="00723201"/>
    <w:rsid w:val="007306A5"/>
    <w:rsid w:val="007369E6"/>
    <w:rsid w:val="00741A58"/>
    <w:rsid w:val="00746E59"/>
    <w:rsid w:val="00754C9A"/>
    <w:rsid w:val="0075599A"/>
    <w:rsid w:val="00761D52"/>
    <w:rsid w:val="0077749E"/>
    <w:rsid w:val="00790ADA"/>
    <w:rsid w:val="007A1897"/>
    <w:rsid w:val="007D2288"/>
    <w:rsid w:val="007D7BCB"/>
    <w:rsid w:val="007E088F"/>
    <w:rsid w:val="007E62C5"/>
    <w:rsid w:val="007F7B32"/>
    <w:rsid w:val="00803CC8"/>
    <w:rsid w:val="00804BC2"/>
    <w:rsid w:val="0081431A"/>
    <w:rsid w:val="0081615C"/>
    <w:rsid w:val="00822AA4"/>
    <w:rsid w:val="00826B49"/>
    <w:rsid w:val="0083216F"/>
    <w:rsid w:val="00860000"/>
    <w:rsid w:val="00863BD3"/>
    <w:rsid w:val="008641ED"/>
    <w:rsid w:val="00866D66"/>
    <w:rsid w:val="008671C6"/>
    <w:rsid w:val="00870BFB"/>
    <w:rsid w:val="00875803"/>
    <w:rsid w:val="0088075C"/>
    <w:rsid w:val="008B334D"/>
    <w:rsid w:val="008B459E"/>
    <w:rsid w:val="008E13AE"/>
    <w:rsid w:val="008E1506"/>
    <w:rsid w:val="008E710C"/>
    <w:rsid w:val="008F3156"/>
    <w:rsid w:val="008F69D6"/>
    <w:rsid w:val="00902823"/>
    <w:rsid w:val="00902EB3"/>
    <w:rsid w:val="009114BE"/>
    <w:rsid w:val="00915CA6"/>
    <w:rsid w:val="00927834"/>
    <w:rsid w:val="00937A67"/>
    <w:rsid w:val="009427CC"/>
    <w:rsid w:val="009500A6"/>
    <w:rsid w:val="009522C7"/>
    <w:rsid w:val="009539DC"/>
    <w:rsid w:val="00957C18"/>
    <w:rsid w:val="009659BA"/>
    <w:rsid w:val="00973464"/>
    <w:rsid w:val="00983040"/>
    <w:rsid w:val="0098680A"/>
    <w:rsid w:val="009872A7"/>
    <w:rsid w:val="009919D5"/>
    <w:rsid w:val="009A4D75"/>
    <w:rsid w:val="009A63EE"/>
    <w:rsid w:val="009B3FB9"/>
    <w:rsid w:val="009C2465"/>
    <w:rsid w:val="009D35A0"/>
    <w:rsid w:val="009D7EB7"/>
    <w:rsid w:val="009E048A"/>
    <w:rsid w:val="009E08E9"/>
    <w:rsid w:val="009E3DB9"/>
    <w:rsid w:val="009E609A"/>
    <w:rsid w:val="009E6E35"/>
    <w:rsid w:val="009F0EDA"/>
    <w:rsid w:val="00A03B96"/>
    <w:rsid w:val="00A05B19"/>
    <w:rsid w:val="00A1134E"/>
    <w:rsid w:val="00A24E7E"/>
    <w:rsid w:val="00A258C3"/>
    <w:rsid w:val="00A347C0"/>
    <w:rsid w:val="00A51431"/>
    <w:rsid w:val="00A539AD"/>
    <w:rsid w:val="00A63840"/>
    <w:rsid w:val="00A6459A"/>
    <w:rsid w:val="00A74B0E"/>
    <w:rsid w:val="00A94063"/>
    <w:rsid w:val="00AA6219"/>
    <w:rsid w:val="00AA74E0"/>
    <w:rsid w:val="00AB0EAD"/>
    <w:rsid w:val="00AB185D"/>
    <w:rsid w:val="00AB587A"/>
    <w:rsid w:val="00AB703F"/>
    <w:rsid w:val="00AC6BB8"/>
    <w:rsid w:val="00AE008F"/>
    <w:rsid w:val="00AE21F5"/>
    <w:rsid w:val="00B01FCD"/>
    <w:rsid w:val="00B03F63"/>
    <w:rsid w:val="00B1776C"/>
    <w:rsid w:val="00B26304"/>
    <w:rsid w:val="00B35725"/>
    <w:rsid w:val="00B52583"/>
    <w:rsid w:val="00B52896"/>
    <w:rsid w:val="00B95236"/>
    <w:rsid w:val="00B96BD9"/>
    <w:rsid w:val="00BA1B01"/>
    <w:rsid w:val="00BA2641"/>
    <w:rsid w:val="00BB37AA"/>
    <w:rsid w:val="00BC53A0"/>
    <w:rsid w:val="00BC586E"/>
    <w:rsid w:val="00BD6873"/>
    <w:rsid w:val="00BE62AD"/>
    <w:rsid w:val="00BF121F"/>
    <w:rsid w:val="00BF1F80"/>
    <w:rsid w:val="00C166EF"/>
    <w:rsid w:val="00C17EB0"/>
    <w:rsid w:val="00C22EDE"/>
    <w:rsid w:val="00C27F5F"/>
    <w:rsid w:val="00C30A0F"/>
    <w:rsid w:val="00C37E61"/>
    <w:rsid w:val="00C632C8"/>
    <w:rsid w:val="00C70F1B"/>
    <w:rsid w:val="00C71A47"/>
    <w:rsid w:val="00C7464C"/>
    <w:rsid w:val="00C85588"/>
    <w:rsid w:val="00CB05DE"/>
    <w:rsid w:val="00CB2D83"/>
    <w:rsid w:val="00CD0B32"/>
    <w:rsid w:val="00CD6755"/>
    <w:rsid w:val="00CD6856"/>
    <w:rsid w:val="00CE0089"/>
    <w:rsid w:val="00CE2EE0"/>
    <w:rsid w:val="00CE793C"/>
    <w:rsid w:val="00CF193C"/>
    <w:rsid w:val="00D04305"/>
    <w:rsid w:val="00D114BF"/>
    <w:rsid w:val="00D173F1"/>
    <w:rsid w:val="00D21FE3"/>
    <w:rsid w:val="00D27BA2"/>
    <w:rsid w:val="00D30B3B"/>
    <w:rsid w:val="00D46CDC"/>
    <w:rsid w:val="00D74CB0"/>
    <w:rsid w:val="00D8295D"/>
    <w:rsid w:val="00DA47BE"/>
    <w:rsid w:val="00DB1CF7"/>
    <w:rsid w:val="00DC2A65"/>
    <w:rsid w:val="00DC6634"/>
    <w:rsid w:val="00DC6A2C"/>
    <w:rsid w:val="00DD0D91"/>
    <w:rsid w:val="00DD2A0E"/>
    <w:rsid w:val="00DE15F0"/>
    <w:rsid w:val="00DE5663"/>
    <w:rsid w:val="00DE78AA"/>
    <w:rsid w:val="00E02980"/>
    <w:rsid w:val="00E053D0"/>
    <w:rsid w:val="00E15994"/>
    <w:rsid w:val="00E15B60"/>
    <w:rsid w:val="00E166FB"/>
    <w:rsid w:val="00E23373"/>
    <w:rsid w:val="00E25B3F"/>
    <w:rsid w:val="00E3114E"/>
    <w:rsid w:val="00E31A70"/>
    <w:rsid w:val="00E35B02"/>
    <w:rsid w:val="00E37325"/>
    <w:rsid w:val="00E561A8"/>
    <w:rsid w:val="00E66496"/>
    <w:rsid w:val="00E66B35"/>
    <w:rsid w:val="00E66E10"/>
    <w:rsid w:val="00E769F6"/>
    <w:rsid w:val="00E8407C"/>
    <w:rsid w:val="00E84F3C"/>
    <w:rsid w:val="00E96516"/>
    <w:rsid w:val="00EA012C"/>
    <w:rsid w:val="00EC646A"/>
    <w:rsid w:val="00EC6A55"/>
    <w:rsid w:val="00ED0288"/>
    <w:rsid w:val="00EE52CB"/>
    <w:rsid w:val="00EF581D"/>
    <w:rsid w:val="00EF7FD8"/>
    <w:rsid w:val="00F06F59"/>
    <w:rsid w:val="00F16843"/>
    <w:rsid w:val="00F17988"/>
    <w:rsid w:val="00F469F0"/>
    <w:rsid w:val="00F512FF"/>
    <w:rsid w:val="00F53273"/>
    <w:rsid w:val="00F716AC"/>
    <w:rsid w:val="00F755E4"/>
    <w:rsid w:val="00F77D02"/>
    <w:rsid w:val="00FB3A86"/>
    <w:rsid w:val="00FB5BEF"/>
    <w:rsid w:val="00FC3CEC"/>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EBF235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CB05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A74B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A74B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Authors">
    <w:name w:val="Authors"/>
    <w:basedOn w:val="Normal"/>
    <w:qFormat/>
    <w:rsid w:val="003336F4"/>
    <w:pPr>
      <w:spacing w:line="280" w:lineRule="exact"/>
      <w:jc w:val="center"/>
    </w:pPr>
    <w:rPr>
      <w:rFonts w:asciiTheme="minorHAnsi" w:eastAsiaTheme="minorEastAsia" w:hAnsiTheme="minorHAnsi"/>
      <w:bCs/>
      <w:sz w:val="24"/>
      <w:lang w:val="en-GB"/>
    </w:rPr>
  </w:style>
  <w:style w:type="character" w:customStyle="1" w:styleId="Heading3Char">
    <w:name w:val="Heading 3 Char"/>
    <w:basedOn w:val="DefaultParagraphFont"/>
    <w:link w:val="Heading3"/>
    <w:semiHidden/>
    <w:rsid w:val="00A74B0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A74B0E"/>
    <w:rPr>
      <w:rFonts w:asciiTheme="majorHAnsi" w:eastAsiaTheme="majorEastAsia" w:hAnsiTheme="majorHAnsi" w:cstheme="majorBidi"/>
      <w:i/>
      <w:iCs/>
      <w:color w:val="365F91" w:themeColor="accent1" w:themeShade="BF"/>
    </w:rPr>
  </w:style>
  <w:style w:type="paragraph" w:styleId="ListParagraph">
    <w:name w:val="List Paragraph"/>
    <w:aliases w:val="Heading1.1"/>
    <w:basedOn w:val="Normal"/>
    <w:link w:val="ListParagraphChar"/>
    <w:uiPriority w:val="34"/>
    <w:qFormat/>
    <w:rsid w:val="00A74B0E"/>
    <w:pPr>
      <w:spacing w:after="60"/>
      <w:ind w:left="720"/>
      <w:contextualSpacing/>
      <w:jc w:val="both"/>
    </w:pPr>
    <w:rPr>
      <w:rFonts w:asciiTheme="minorHAnsi" w:eastAsiaTheme="minorEastAsia" w:hAnsiTheme="minorHAnsi"/>
      <w:lang w:val="en-GB"/>
    </w:rPr>
  </w:style>
  <w:style w:type="paragraph" w:styleId="NoSpacing">
    <w:name w:val="No Spacing"/>
    <w:link w:val="NoSpacingChar"/>
    <w:qFormat/>
    <w:rsid w:val="00A74B0E"/>
    <w:pPr>
      <w:jc w:val="center"/>
    </w:pPr>
    <w:rPr>
      <w:rFonts w:eastAsiaTheme="minorEastAsia"/>
      <w:lang w:val="en-GB"/>
    </w:rPr>
  </w:style>
  <w:style w:type="paragraph" w:customStyle="1" w:styleId="Listbulleted">
    <w:name w:val="List (bulleted)"/>
    <w:basedOn w:val="Normal"/>
    <w:link w:val="ListbulletedChar"/>
    <w:qFormat/>
    <w:rsid w:val="00A74B0E"/>
    <w:pPr>
      <w:numPr>
        <w:numId w:val="31"/>
      </w:numPr>
      <w:tabs>
        <w:tab w:val="clear" w:pos="360"/>
        <w:tab w:val="left" w:pos="340"/>
      </w:tabs>
      <w:spacing w:line="240" w:lineRule="exact"/>
      <w:ind w:left="284" w:hanging="284"/>
      <w:jc w:val="both"/>
    </w:pPr>
    <w:rPr>
      <w:rFonts w:asciiTheme="minorHAnsi" w:eastAsiaTheme="minorEastAsia" w:hAnsiTheme="minorHAnsi"/>
      <w:noProof/>
    </w:rPr>
  </w:style>
  <w:style w:type="character" w:customStyle="1" w:styleId="ListbulletedChar">
    <w:name w:val="List (bulleted) Char"/>
    <w:basedOn w:val="DefaultParagraphFont"/>
    <w:link w:val="Listbulleted"/>
    <w:rsid w:val="00A74B0E"/>
    <w:rPr>
      <w:rFonts w:asciiTheme="minorHAnsi" w:eastAsiaTheme="minorEastAsia" w:hAnsiTheme="minorHAnsi"/>
      <w:noProof/>
    </w:rPr>
  </w:style>
  <w:style w:type="paragraph" w:customStyle="1" w:styleId="NomenclatureClauseTitle">
    <w:name w:val="Nomenclature Clause Title"/>
    <w:basedOn w:val="Normal"/>
    <w:next w:val="BodyTextIndent"/>
    <w:rsid w:val="00A74B0E"/>
    <w:pPr>
      <w:keepNext/>
      <w:suppressAutoHyphens/>
      <w:overflowPunct w:val="0"/>
      <w:autoSpaceDE w:val="0"/>
      <w:autoSpaceDN w:val="0"/>
      <w:adjustRightInd w:val="0"/>
      <w:spacing w:before="240"/>
      <w:jc w:val="both"/>
      <w:textAlignment w:val="baseline"/>
    </w:pPr>
    <w:rPr>
      <w:rFonts w:ascii="Arial" w:hAnsi="Arial"/>
      <w:b/>
      <w:caps/>
      <w:kern w:val="14"/>
    </w:rPr>
  </w:style>
  <w:style w:type="character" w:styleId="Strong">
    <w:name w:val="Strong"/>
    <w:uiPriority w:val="22"/>
    <w:qFormat/>
    <w:rsid w:val="00A74B0E"/>
    <w:rPr>
      <w:b/>
      <w:bCs/>
    </w:rPr>
  </w:style>
  <w:style w:type="character" w:customStyle="1" w:styleId="NoSpacingChar">
    <w:name w:val="No Spacing Char"/>
    <w:link w:val="NoSpacing"/>
    <w:rsid w:val="00A74B0E"/>
    <w:rPr>
      <w:rFonts w:eastAsiaTheme="minorEastAsia"/>
      <w:lang w:val="en-GB"/>
    </w:rPr>
  </w:style>
  <w:style w:type="paragraph" w:styleId="BodyText">
    <w:name w:val="Body Text"/>
    <w:basedOn w:val="Normal"/>
    <w:link w:val="BodyTextChar"/>
    <w:unhideWhenUsed/>
    <w:rsid w:val="00A74B0E"/>
    <w:pPr>
      <w:spacing w:after="120"/>
      <w:jc w:val="both"/>
    </w:pPr>
    <w:rPr>
      <w:rFonts w:asciiTheme="minorHAnsi" w:eastAsiaTheme="minorEastAsia" w:hAnsiTheme="minorHAnsi"/>
      <w:lang w:val="en-GB"/>
    </w:rPr>
  </w:style>
  <w:style w:type="character" w:customStyle="1" w:styleId="BodyTextChar">
    <w:name w:val="Body Text Char"/>
    <w:basedOn w:val="DefaultParagraphFont"/>
    <w:link w:val="BodyText"/>
    <w:rsid w:val="00A74B0E"/>
    <w:rPr>
      <w:rFonts w:asciiTheme="minorHAnsi" w:eastAsiaTheme="minorEastAsia" w:hAnsiTheme="minorHAnsi"/>
      <w:lang w:val="en-GB"/>
    </w:rPr>
  </w:style>
  <w:style w:type="paragraph" w:customStyle="1" w:styleId="TableParagraph">
    <w:name w:val="Table Paragraph"/>
    <w:basedOn w:val="Normal"/>
    <w:uiPriority w:val="1"/>
    <w:qFormat/>
    <w:rsid w:val="00A74B0E"/>
    <w:pPr>
      <w:widowControl w:val="0"/>
      <w:autoSpaceDE w:val="0"/>
      <w:autoSpaceDN w:val="0"/>
      <w:jc w:val="center"/>
    </w:pPr>
    <w:rPr>
      <w:rFonts w:ascii="Times New Roman" w:hAnsi="Times New Roman"/>
      <w:sz w:val="22"/>
      <w:szCs w:val="22"/>
    </w:rPr>
  </w:style>
  <w:style w:type="character" w:customStyle="1" w:styleId="ListParagraphChar">
    <w:name w:val="List Paragraph Char"/>
    <w:aliases w:val="Heading1.1 Char"/>
    <w:link w:val="ListParagraph"/>
    <w:uiPriority w:val="1"/>
    <w:rsid w:val="00A74B0E"/>
    <w:rPr>
      <w:rFonts w:asciiTheme="minorHAnsi" w:eastAsiaTheme="minorEastAsia" w:hAnsiTheme="minorHAnsi"/>
      <w:lang w:val="en-GB"/>
    </w:rPr>
  </w:style>
  <w:style w:type="paragraph" w:styleId="BodyTextIndent">
    <w:name w:val="Body Text Indent"/>
    <w:basedOn w:val="Normal"/>
    <w:link w:val="BodyTextIndentChar"/>
    <w:semiHidden/>
    <w:unhideWhenUsed/>
    <w:rsid w:val="00A74B0E"/>
    <w:pPr>
      <w:spacing w:after="120"/>
      <w:ind w:left="283"/>
    </w:pPr>
  </w:style>
  <w:style w:type="character" w:customStyle="1" w:styleId="BodyTextIndentChar">
    <w:name w:val="Body Text Indent Char"/>
    <w:basedOn w:val="DefaultParagraphFont"/>
    <w:link w:val="BodyTextIndent"/>
    <w:semiHidden/>
    <w:rsid w:val="00A74B0E"/>
    <w:rPr>
      <w:rFonts w:ascii="Helvetica" w:hAnsi="Helvetica"/>
    </w:rPr>
  </w:style>
  <w:style w:type="paragraph" w:styleId="NormalWeb">
    <w:name w:val="Normal (Web)"/>
    <w:basedOn w:val="Normal"/>
    <w:uiPriority w:val="99"/>
    <w:unhideWhenUsed/>
    <w:rsid w:val="006D4386"/>
    <w:pPr>
      <w:spacing w:before="100" w:beforeAutospacing="1" w:after="100" w:afterAutospacing="1"/>
    </w:pPr>
    <w:rPr>
      <w:rFonts w:ascii="Times New Roman" w:hAnsi="Times New Roman"/>
      <w:sz w:val="24"/>
      <w:szCs w:val="24"/>
      <w:lang w:val="en-TT" w:eastAsia="en-TT"/>
    </w:rPr>
  </w:style>
  <w:style w:type="paragraph" w:customStyle="1" w:styleId="kcheading">
    <w:name w:val="kcheading"/>
    <w:basedOn w:val="Normal"/>
    <w:rsid w:val="005A236F"/>
    <w:pPr>
      <w:spacing w:before="100" w:beforeAutospacing="1" w:after="100" w:afterAutospacing="1"/>
    </w:pPr>
    <w:rPr>
      <w:rFonts w:ascii="Times New Roman" w:hAnsi="Times New Roman"/>
      <w:sz w:val="24"/>
      <w:szCs w:val="24"/>
    </w:rPr>
  </w:style>
  <w:style w:type="character" w:customStyle="1" w:styleId="katex-mathml">
    <w:name w:val="katex-mathml"/>
    <w:basedOn w:val="DefaultParagraphFont"/>
    <w:rsid w:val="005A236F"/>
  </w:style>
  <w:style w:type="character" w:customStyle="1" w:styleId="Heading2Char">
    <w:name w:val="Heading 2 Char"/>
    <w:basedOn w:val="DefaultParagraphFont"/>
    <w:link w:val="Heading2"/>
    <w:semiHidden/>
    <w:rsid w:val="00CB05DE"/>
    <w:rPr>
      <w:rFonts w:asciiTheme="majorHAnsi" w:eastAsiaTheme="majorEastAsia" w:hAnsiTheme="majorHAnsi" w:cstheme="majorBidi"/>
      <w:color w:val="365F91" w:themeColor="accent1" w:themeShade="BF"/>
      <w:sz w:val="26"/>
      <w:szCs w:val="26"/>
    </w:rPr>
  </w:style>
  <w:style w:type="character" w:styleId="HTMLCode">
    <w:name w:val="HTML Code"/>
    <w:basedOn w:val="DefaultParagraphFont"/>
    <w:uiPriority w:val="99"/>
    <w:semiHidden/>
    <w:unhideWhenUsed/>
    <w:rsid w:val="00DD0D91"/>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5F4C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409043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7856250">
      <w:bodyDiv w:val="1"/>
      <w:marLeft w:val="0"/>
      <w:marRight w:val="0"/>
      <w:marTop w:val="0"/>
      <w:marBottom w:val="0"/>
      <w:divBdr>
        <w:top w:val="none" w:sz="0" w:space="0" w:color="auto"/>
        <w:left w:val="none" w:sz="0" w:space="0" w:color="auto"/>
        <w:bottom w:val="none" w:sz="0" w:space="0" w:color="auto"/>
        <w:right w:val="none" w:sz="0" w:space="0" w:color="auto"/>
      </w:divBdr>
    </w:div>
    <w:div w:id="406656672">
      <w:bodyDiv w:val="1"/>
      <w:marLeft w:val="0"/>
      <w:marRight w:val="0"/>
      <w:marTop w:val="0"/>
      <w:marBottom w:val="0"/>
      <w:divBdr>
        <w:top w:val="none" w:sz="0" w:space="0" w:color="auto"/>
        <w:left w:val="none" w:sz="0" w:space="0" w:color="auto"/>
        <w:bottom w:val="none" w:sz="0" w:space="0" w:color="auto"/>
        <w:right w:val="none" w:sz="0" w:space="0" w:color="auto"/>
      </w:divBdr>
    </w:div>
    <w:div w:id="428702363">
      <w:bodyDiv w:val="1"/>
      <w:marLeft w:val="0"/>
      <w:marRight w:val="0"/>
      <w:marTop w:val="0"/>
      <w:marBottom w:val="0"/>
      <w:divBdr>
        <w:top w:val="none" w:sz="0" w:space="0" w:color="auto"/>
        <w:left w:val="none" w:sz="0" w:space="0" w:color="auto"/>
        <w:bottom w:val="none" w:sz="0" w:space="0" w:color="auto"/>
        <w:right w:val="none" w:sz="0" w:space="0" w:color="auto"/>
      </w:divBdr>
    </w:div>
    <w:div w:id="491410931">
      <w:bodyDiv w:val="1"/>
      <w:marLeft w:val="0"/>
      <w:marRight w:val="0"/>
      <w:marTop w:val="0"/>
      <w:marBottom w:val="0"/>
      <w:divBdr>
        <w:top w:val="none" w:sz="0" w:space="0" w:color="auto"/>
        <w:left w:val="none" w:sz="0" w:space="0" w:color="auto"/>
        <w:bottom w:val="none" w:sz="0" w:space="0" w:color="auto"/>
        <w:right w:val="none" w:sz="0" w:space="0" w:color="auto"/>
      </w:divBdr>
    </w:div>
    <w:div w:id="50254876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60567049">
      <w:bodyDiv w:val="1"/>
      <w:marLeft w:val="0"/>
      <w:marRight w:val="0"/>
      <w:marTop w:val="0"/>
      <w:marBottom w:val="0"/>
      <w:divBdr>
        <w:top w:val="none" w:sz="0" w:space="0" w:color="auto"/>
        <w:left w:val="none" w:sz="0" w:space="0" w:color="auto"/>
        <w:bottom w:val="none" w:sz="0" w:space="0" w:color="auto"/>
        <w:right w:val="none" w:sz="0" w:space="0" w:color="auto"/>
      </w:divBdr>
    </w:div>
    <w:div w:id="907109953">
      <w:bodyDiv w:val="1"/>
      <w:marLeft w:val="0"/>
      <w:marRight w:val="0"/>
      <w:marTop w:val="0"/>
      <w:marBottom w:val="0"/>
      <w:divBdr>
        <w:top w:val="none" w:sz="0" w:space="0" w:color="auto"/>
        <w:left w:val="none" w:sz="0" w:space="0" w:color="auto"/>
        <w:bottom w:val="none" w:sz="0" w:space="0" w:color="auto"/>
        <w:right w:val="none" w:sz="0" w:space="0" w:color="auto"/>
      </w:divBdr>
    </w:div>
    <w:div w:id="92900118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0417616">
      <w:bodyDiv w:val="1"/>
      <w:marLeft w:val="0"/>
      <w:marRight w:val="0"/>
      <w:marTop w:val="0"/>
      <w:marBottom w:val="0"/>
      <w:divBdr>
        <w:top w:val="none" w:sz="0" w:space="0" w:color="auto"/>
        <w:left w:val="none" w:sz="0" w:space="0" w:color="auto"/>
        <w:bottom w:val="none" w:sz="0" w:space="0" w:color="auto"/>
        <w:right w:val="none" w:sz="0" w:space="0" w:color="auto"/>
      </w:divBdr>
    </w:div>
    <w:div w:id="1187789183">
      <w:bodyDiv w:val="1"/>
      <w:marLeft w:val="0"/>
      <w:marRight w:val="0"/>
      <w:marTop w:val="0"/>
      <w:marBottom w:val="0"/>
      <w:divBdr>
        <w:top w:val="none" w:sz="0" w:space="0" w:color="auto"/>
        <w:left w:val="none" w:sz="0" w:space="0" w:color="auto"/>
        <w:bottom w:val="none" w:sz="0" w:space="0" w:color="auto"/>
        <w:right w:val="none" w:sz="0" w:space="0" w:color="auto"/>
      </w:divBdr>
    </w:div>
    <w:div w:id="1305893445">
      <w:bodyDiv w:val="1"/>
      <w:marLeft w:val="0"/>
      <w:marRight w:val="0"/>
      <w:marTop w:val="0"/>
      <w:marBottom w:val="0"/>
      <w:divBdr>
        <w:top w:val="none" w:sz="0" w:space="0" w:color="auto"/>
        <w:left w:val="none" w:sz="0" w:space="0" w:color="auto"/>
        <w:bottom w:val="none" w:sz="0" w:space="0" w:color="auto"/>
        <w:right w:val="none" w:sz="0" w:space="0" w:color="auto"/>
      </w:divBdr>
    </w:div>
    <w:div w:id="1569611847">
      <w:bodyDiv w:val="1"/>
      <w:marLeft w:val="0"/>
      <w:marRight w:val="0"/>
      <w:marTop w:val="0"/>
      <w:marBottom w:val="0"/>
      <w:divBdr>
        <w:top w:val="none" w:sz="0" w:space="0" w:color="auto"/>
        <w:left w:val="none" w:sz="0" w:space="0" w:color="auto"/>
        <w:bottom w:val="none" w:sz="0" w:space="0" w:color="auto"/>
        <w:right w:val="none" w:sz="0" w:space="0" w:color="auto"/>
      </w:divBdr>
      <w:divsChild>
        <w:div w:id="1040058835">
          <w:marLeft w:val="0"/>
          <w:marRight w:val="0"/>
          <w:marTop w:val="0"/>
          <w:marBottom w:val="0"/>
          <w:divBdr>
            <w:top w:val="none" w:sz="0" w:space="0" w:color="auto"/>
            <w:left w:val="none" w:sz="0" w:space="0" w:color="auto"/>
            <w:bottom w:val="none" w:sz="0" w:space="0" w:color="auto"/>
            <w:right w:val="none" w:sz="0" w:space="0" w:color="auto"/>
          </w:divBdr>
          <w:divsChild>
            <w:div w:id="1719236972">
              <w:marLeft w:val="0"/>
              <w:marRight w:val="0"/>
              <w:marTop w:val="0"/>
              <w:marBottom w:val="0"/>
              <w:divBdr>
                <w:top w:val="none" w:sz="0" w:space="0" w:color="auto"/>
                <w:left w:val="none" w:sz="0" w:space="0" w:color="auto"/>
                <w:bottom w:val="none" w:sz="0" w:space="0" w:color="auto"/>
                <w:right w:val="none" w:sz="0" w:space="0" w:color="auto"/>
              </w:divBdr>
              <w:divsChild>
                <w:div w:id="651324876">
                  <w:marLeft w:val="0"/>
                  <w:marRight w:val="0"/>
                  <w:marTop w:val="0"/>
                  <w:marBottom w:val="0"/>
                  <w:divBdr>
                    <w:top w:val="none" w:sz="0" w:space="0" w:color="auto"/>
                    <w:left w:val="none" w:sz="0" w:space="0" w:color="auto"/>
                    <w:bottom w:val="none" w:sz="0" w:space="0" w:color="auto"/>
                    <w:right w:val="none" w:sz="0" w:space="0" w:color="auto"/>
                  </w:divBdr>
                  <w:divsChild>
                    <w:div w:id="47345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001937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i.org/10.1016/j.renene.2016.08.059" TargetMode="External"/><Relationship Id="rId21" Type="http://schemas.openxmlformats.org/officeDocument/2006/relationships/image" Target="media/image14.png"/><Relationship Id="rId34" Type="http://schemas.openxmlformats.org/officeDocument/2006/relationships/hyperlink" Target="https://patents.google.com/patent/US6021990A/en" TargetMode="External"/><Relationship Id="rId42" Type="http://schemas.openxmlformats.org/officeDocument/2006/relationships/hyperlink" Target="https://ourworldindata.org/electricity-mix"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1243/09576509JPE782" TargetMode="External"/><Relationship Id="rId37" Type="http://schemas.openxmlformats.org/officeDocument/2006/relationships/hyperlink" Target="https://www.iea.org/reports/world-energy-outlook-2024" TargetMode="External"/><Relationship Id="rId40" Type="http://schemas.openxmlformats.org/officeDocument/2006/relationships/hyperlink" Target="https://doi.org/10.1007/978-1-84628-319-2" TargetMode="External"/><Relationship Id="rId45" Type="http://schemas.openxmlformats.org/officeDocument/2006/relationships/hyperlink" Target="https://www.epa.gov/ghgemissions/inventory-us-greenhouse-gas-emissions-and-sinks"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3390/en12224329" TargetMode="External"/><Relationship Id="rId44" Type="http://schemas.openxmlformats.org/officeDocument/2006/relationships/hyperlink" Target="https://theliquidgrid.com"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doi.org/10.3390/jmse10101534" TargetMode="External"/><Relationship Id="rId43" Type="http://schemas.openxmlformats.org/officeDocument/2006/relationships/hyperlink" Target="https://patents.google.com/patent/US9278736B2"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1017/CBO9780511754630" TargetMode="External"/><Relationship Id="rId38" Type="http://schemas.openxmlformats.org/officeDocument/2006/relationships/hyperlink" Target="https://doi.org/10.1049/iet-rpg.2019.0624" TargetMode="External"/><Relationship Id="rId46" Type="http://schemas.openxmlformats.org/officeDocument/2006/relationships/hyperlink" Target="https://doi.org/10.9734/jerr/2024/v26i71213" TargetMode="External"/><Relationship Id="rId20" Type="http://schemas.openxmlformats.org/officeDocument/2006/relationships/image" Target="media/image13.png"/><Relationship Id="rId41" Type="http://schemas.openxmlformats.org/officeDocument/2006/relationships/hyperlink" Target="https://patents.google.com/patent/US20110285689A1/e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patents.google.com/patent/US7946603B2/en" TargetMode="External"/><Relationship Id="rId4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D4871-D5DD-419E-859D-9CAED4FDA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166</TotalTime>
  <Pages>21</Pages>
  <Words>6996</Words>
  <Characters>39880</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46783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115</cp:revision>
  <cp:lastPrinted>2026-03-13T14:47:00Z</cp:lastPrinted>
  <dcterms:created xsi:type="dcterms:W3CDTF">2025-07-17T11:30:00Z</dcterms:created>
  <dcterms:modified xsi:type="dcterms:W3CDTF">2026-03-26T12:07:00Z</dcterms:modified>
</cp:coreProperties>
</file>