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6E86C" w14:textId="07283E4E" w:rsidR="00ED40B3" w:rsidRPr="0033503E" w:rsidRDefault="00672151" w:rsidP="00672151">
      <w:pPr>
        <w:spacing w:after="80"/>
        <w:jc w:val="center"/>
        <w:rPr>
          <w:rFonts w:asciiTheme="majorHAnsi" w:eastAsia="Arial" w:hAnsiTheme="majorHAnsi" w:cs="Arial"/>
          <w:b/>
          <w:bCs/>
          <w:sz w:val="36"/>
          <w:szCs w:val="36"/>
        </w:rPr>
      </w:pPr>
      <w:r w:rsidRPr="0033503E">
        <w:rPr>
          <w:rFonts w:asciiTheme="majorHAnsi" w:eastAsia="Arial" w:hAnsiTheme="majorHAnsi" w:cs="Arial"/>
          <w:b/>
          <w:bCs/>
          <w:sz w:val="36"/>
          <w:szCs w:val="36"/>
        </w:rPr>
        <w:t>Current Situation Analysis and Development Trend of Intumescent Fireproof Coatings for Steel Structures A Comprehensive Review</w:t>
      </w:r>
    </w:p>
    <w:p w14:paraId="2A6027FC" w14:textId="77777777" w:rsidR="00672151" w:rsidRDefault="00672151">
      <w:pPr>
        <w:spacing w:after="80"/>
      </w:pPr>
    </w:p>
    <w:p w14:paraId="1BAF3667" w14:textId="77777777" w:rsidR="00ED40B3" w:rsidRDefault="00387C3B">
      <w:pPr>
        <w:pStyle w:val="Heading1"/>
      </w:pPr>
      <w:r>
        <w:t>Abstract</w:t>
      </w:r>
    </w:p>
    <w:p w14:paraId="2BC6C59E" w14:textId="72F88872" w:rsidR="00ED40B3" w:rsidRDefault="00387C3B">
      <w:pPr>
        <w:spacing w:after="160" w:line="276" w:lineRule="auto"/>
        <w:jc w:val="both"/>
      </w:pPr>
      <w:r>
        <w:t xml:space="preserve">Steel is indispensable to modern construction owing to its exceptional load-bearing capacity and design versatility; however, its mechanical properties degrade rapidly under elevated temperatures, making passive fire protection critically important. Intumescent fireproof coatings have emerged as the preferred passive fire protection system for structural steel, owing to their thin application profiles, aesthetic compatibility with architectural design, and demonstrated thermal insulation performance. Upon exposure to fire, these coatings undergo a series of sequential chemical and physical transformations, expanding many times their original thickness to form a low-density, carbonaceous char layer that thermally insulates the underlying steel substrate and significantly extends structural integrity time in a fire event. This review provides a systematic and comprehensive analysis of the current state of knowledge and the most recent development trends in intumescent fireproof coatings for steel structures. </w:t>
      </w:r>
      <w:r w:rsidR="00F976AB" w:rsidRPr="002730A6">
        <w:rPr>
          <w:highlight w:val="yellow"/>
        </w:rPr>
        <w:t>A systematic literature search was conducted using the academic databases Web of Science, Scopus, and Google Scholar. PubMed was additionally consulted for biomedical aspects related to the toxicity of flame-retardant additives and bio-based compound applications. The search was restricted to peer-reviewed journal articles published between 1 January 1996 and 31 March 2026 as the primary inclusion window, though foundational pre-1996 classic works were also included where they constitute the intellectual basis for subsequent research.</w:t>
      </w:r>
      <w:r w:rsidR="00F976AB">
        <w:t xml:space="preserve"> </w:t>
      </w:r>
      <w:r>
        <w:t xml:space="preserve">The principal chemical constituents — acid sources, char-forming agents, blowing agents, and binder resins — are examined in detail, together with the governing mechanism of intumescence. The roles of inorganic fillers, nanotechnology-derived additives including graphene, layered double hydroxides, and </w:t>
      </w:r>
      <w:proofErr w:type="spellStart"/>
      <w:r>
        <w:t>nanoclays</w:t>
      </w:r>
      <w:proofErr w:type="spellEnd"/>
      <w:r>
        <w:t xml:space="preserve">, as well as emerging bio-based and sustainable formulation strategies, are critically assessed. The review further addresses durability and weathering performance, </w:t>
      </w:r>
      <w:proofErr w:type="spellStart"/>
      <w:r>
        <w:t>standardised</w:t>
      </w:r>
      <w:proofErr w:type="spellEnd"/>
      <w:r>
        <w:t xml:space="preserve"> fire testing protocols, regulatory qualification frameworks, and advanced modelling approaches. Key challenges including moisture sensitivity, topcoat compatibility, performance under natural fire exposures, and the environmental sustainability of coating formulations are identified. Future research directions are outlined, with emphasis on multifunctional coatings, computational design, and green chemistry platforms, all of which are shaping the next generation of intumescent fireproof coatings.</w:t>
      </w:r>
    </w:p>
    <w:p w14:paraId="0397FAB8" w14:textId="77777777" w:rsidR="00ED40B3" w:rsidRDefault="00ED40B3">
      <w:pPr>
        <w:spacing w:after="80"/>
      </w:pPr>
    </w:p>
    <w:p w14:paraId="787A20C9" w14:textId="7E16EF8F" w:rsidR="00ED40B3" w:rsidRDefault="00387C3B">
      <w:pPr>
        <w:spacing w:after="100" w:line="276" w:lineRule="auto"/>
        <w:jc w:val="both"/>
      </w:pPr>
      <w:r w:rsidRPr="00F976AB">
        <w:rPr>
          <w:i/>
          <w:iCs/>
          <w:highlight w:val="yellow"/>
        </w:rPr>
        <w:t xml:space="preserve">Keywords: </w:t>
      </w:r>
      <w:r w:rsidR="00F976AB" w:rsidRPr="00F976AB">
        <w:rPr>
          <w:i/>
          <w:iCs/>
          <w:highlight w:val="yellow"/>
        </w:rPr>
        <w:t>I</w:t>
      </w:r>
      <w:r w:rsidRPr="00F976AB">
        <w:rPr>
          <w:i/>
          <w:iCs/>
          <w:highlight w:val="yellow"/>
        </w:rPr>
        <w:t>ntumescent coating; fireproof coating; passive fire protection; char formation; nanotechnology</w:t>
      </w:r>
    </w:p>
    <w:p w14:paraId="0048A4DA" w14:textId="77777777" w:rsidR="00ED40B3" w:rsidRDefault="00ED40B3">
      <w:pPr>
        <w:spacing w:after="80"/>
      </w:pPr>
    </w:p>
    <w:p w14:paraId="7DE8ECF9" w14:textId="77777777" w:rsidR="00ED40B3" w:rsidRDefault="00387C3B">
      <w:pPr>
        <w:pStyle w:val="Heading1"/>
      </w:pPr>
      <w:r>
        <w:t>1. Introduction</w:t>
      </w:r>
    </w:p>
    <w:p w14:paraId="6BD80BFC" w14:textId="26DD3302" w:rsidR="00ED40B3" w:rsidRDefault="003D7E2E">
      <w:pPr>
        <w:spacing w:after="160" w:line="276" w:lineRule="auto"/>
        <w:jc w:val="both"/>
      </w:pPr>
      <w:r w:rsidRPr="002730A6">
        <w:rPr>
          <w:rFonts w:ascii="Arial" w:hAnsi="Arial" w:cs="Arial"/>
          <w:color w:val="222222"/>
          <w:sz w:val="20"/>
          <w:szCs w:val="20"/>
          <w:highlight w:val="yellow"/>
          <w:shd w:val="clear" w:color="auto" w:fill="FFFFFF"/>
        </w:rPr>
        <w:lastRenderedPageBreak/>
        <w:t>In the current Italian regulatory framework, when a steel structure is designed, a given fire resistance is often required, but generally due to the low fire performance of steel, this requirement cannot be satisfied. An increase in the fire resistance duration for steel structures can be reached by applying fire protection materials, preventing the achievement of high temperatures in steel members during fire (</w:t>
      </w:r>
      <w:r w:rsidRPr="002E3E5D">
        <w:rPr>
          <w:rFonts w:ascii="inherit" w:hAnsi="inherit" w:cs="Helvetica"/>
          <w:color w:val="222222"/>
          <w:szCs w:val="18"/>
          <w:highlight w:val="yellow"/>
        </w:rPr>
        <w:t>de Silva et al., 2024</w:t>
      </w:r>
      <w:r w:rsidRPr="002730A6">
        <w:rPr>
          <w:rFonts w:ascii="Arial" w:hAnsi="Arial" w:cs="Arial"/>
          <w:color w:val="222222"/>
          <w:sz w:val="20"/>
          <w:szCs w:val="20"/>
          <w:highlight w:val="yellow"/>
          <w:shd w:val="clear" w:color="auto" w:fill="FFFFFF"/>
        </w:rPr>
        <w:t>)</w:t>
      </w:r>
      <w:r w:rsidRPr="002730A6">
        <w:rPr>
          <w:highlight w:val="yellow"/>
        </w:rPr>
        <w:t>.</w:t>
      </w:r>
      <w:r>
        <w:t xml:space="preserve"> </w:t>
      </w:r>
      <w:r w:rsidR="00387C3B">
        <w:t>Structural steel is one of the most widely used construction materials worldwide, prized for its high strength-to-weight ratio, recyclability, and suitability for complex architectural forms. Despite these advantages, steel is fundamentally a non-combustible but thermally sensitive material. At temperatures approaching 550 °C, structural steel loses approximately half of its ambient-temperature yield strength, and at temperatures beyond 600 °C, structural collapse becomes an imminent risk (Lucherini &amp; Maluk, 2019). The rapid heat uptake by steel members during a building fire — driven by the material's inherently high thermal conductivity — means that passive fire protection is indispensable in practically all occupied steel-framed buildings, industrial facilities, and infrastructure works.</w:t>
      </w:r>
      <w:r w:rsidR="002E3E5D">
        <w:t xml:space="preserve"> </w:t>
      </w:r>
      <w:r w:rsidR="002E3E5D" w:rsidRPr="002730A6">
        <w:rPr>
          <w:rFonts w:ascii="Arial" w:hAnsi="Arial" w:cs="Arial"/>
          <w:color w:val="222222"/>
          <w:sz w:val="20"/>
          <w:szCs w:val="20"/>
          <w:highlight w:val="yellow"/>
          <w:shd w:val="clear" w:color="auto" w:fill="FFFFFF"/>
        </w:rPr>
        <w:t>Intumescent coatings can be described as a mixture that expands and foams into a highly porous, thick, and thermally stable carbon layer when exposed to fire. Traditional expansion systems consist of carbon sources, acid sources, and foaming agents. In the event of a fire, intumescent fire-resistant coatings generate a carbon layer. This carbonaceous honeycomb/porous residue acts as a barrier against heat, air, and pyrolysis products, ultimately safeguarding tunnel structures from fire propagation and thereby reducing losses due to fires</w:t>
      </w:r>
      <w:r w:rsidR="002E3E5D">
        <w:rPr>
          <w:rFonts w:ascii="Arial" w:hAnsi="Arial" w:cs="Arial"/>
          <w:color w:val="222222"/>
          <w:sz w:val="20"/>
          <w:szCs w:val="20"/>
          <w:highlight w:val="yellow"/>
          <w:shd w:val="clear" w:color="auto" w:fill="FFFFFF"/>
        </w:rPr>
        <w:t xml:space="preserve"> (</w:t>
      </w:r>
      <w:r w:rsidR="002E3E5D" w:rsidRPr="00F60986">
        <w:rPr>
          <w:rFonts w:ascii="inherit" w:hAnsi="inherit" w:cs="Helvetica"/>
          <w:color w:val="222222"/>
          <w:sz w:val="20"/>
          <w:szCs w:val="18"/>
          <w:highlight w:val="yellow"/>
        </w:rPr>
        <w:t>Tang</w:t>
      </w:r>
      <w:r w:rsidR="002730A6">
        <w:rPr>
          <w:rFonts w:ascii="inherit" w:hAnsi="inherit" w:cs="Helvetica"/>
          <w:color w:val="222222"/>
          <w:sz w:val="20"/>
          <w:szCs w:val="18"/>
          <w:highlight w:val="yellow"/>
        </w:rPr>
        <w:t xml:space="preserve"> et al., 2025</w:t>
      </w:r>
      <w:r w:rsidR="002E3E5D">
        <w:rPr>
          <w:rFonts w:ascii="Arial" w:hAnsi="Arial" w:cs="Arial"/>
          <w:color w:val="222222"/>
          <w:sz w:val="20"/>
          <w:szCs w:val="20"/>
          <w:highlight w:val="yellow"/>
          <w:shd w:val="clear" w:color="auto" w:fill="FFFFFF"/>
        </w:rPr>
        <w:t>)</w:t>
      </w:r>
      <w:r w:rsidR="002E3E5D" w:rsidRPr="002730A6">
        <w:rPr>
          <w:rFonts w:ascii="Arial" w:hAnsi="Arial" w:cs="Arial"/>
          <w:color w:val="222222"/>
          <w:sz w:val="20"/>
          <w:szCs w:val="20"/>
          <w:highlight w:val="yellow"/>
          <w:shd w:val="clear" w:color="auto" w:fill="FFFFFF"/>
        </w:rPr>
        <w:t>.</w:t>
      </w:r>
    </w:p>
    <w:p w14:paraId="5A50B09E" w14:textId="77777777" w:rsidR="00ED40B3" w:rsidRDefault="00387C3B">
      <w:pPr>
        <w:spacing w:after="160" w:line="276" w:lineRule="auto"/>
        <w:jc w:val="both"/>
      </w:pPr>
      <w:r>
        <w:t xml:space="preserve">Historically, passive fire protection for steel structures was achieved using cementitious sprayed coatings, gypsum-based board systems, or concrete encasement. These traditional systems offer reliable thermal mass but are associated with significant drawbacks, including architectural intrusiveness, added structural dead load, poor surface finish, and limited adaptability to complex section geometries. Intumescent fireproof coatings present a compelling alternative: when applied at a comparatively thin dry film thickness — typically between approximately 250 </w:t>
      </w:r>
      <w:proofErr w:type="spellStart"/>
      <w:r>
        <w:t>μm</w:t>
      </w:r>
      <w:proofErr w:type="spellEnd"/>
      <w:r>
        <w:t xml:space="preserve"> and 3,000 </w:t>
      </w:r>
      <w:proofErr w:type="spellStart"/>
      <w:r>
        <w:t>μm</w:t>
      </w:r>
      <w:proofErr w:type="spellEnd"/>
      <w:r>
        <w:t xml:space="preserve"> for cellulosic fire applications and up to several </w:t>
      </w:r>
      <w:proofErr w:type="spellStart"/>
      <w:r>
        <w:t>centimetres</w:t>
      </w:r>
      <w:proofErr w:type="spellEnd"/>
      <w:r>
        <w:t xml:space="preserve"> for hydrocarbon fire scenarios — they remain visually unobtrusive in normal service conditions but swell dramatically under thermal attack, providing a thermally insulating char barrier (Yasir et al., 2020). This unique reactive </w:t>
      </w:r>
      <w:proofErr w:type="spellStart"/>
      <w:r>
        <w:t>behaviour</w:t>
      </w:r>
      <w:proofErr w:type="spellEnd"/>
      <w:r>
        <w:t xml:space="preserve"> has driven sustained global research interest and considerable commercial adoption since the late twentieth century.</w:t>
      </w:r>
    </w:p>
    <w:p w14:paraId="649470CB" w14:textId="77777777" w:rsidR="00ED40B3" w:rsidRDefault="00387C3B">
      <w:pPr>
        <w:spacing w:after="160" w:line="276" w:lineRule="auto"/>
        <w:jc w:val="both"/>
      </w:pPr>
      <w:r>
        <w:t>The foundational chemistry of intumescent systems was documented as early as 1971 by Vandersall (1971), who systematically described the tripartite phosphoric acid catalyst–carbon source–blowing agent framework that underpins most commercial formulations to the present day. The mechanism involves a cascade of reactions: the acid source decomposes to release phosphoric acid, which catalyses dehydration of the carbonaceous compound to form a carbonaceous melt, while the blowing agent simultaneously releases non-combustible gases that foam the melt into a multicellular char of very low thermal conductivity (Camino et al., 1984). Subsequent decades saw progressive refinement of these formulations, the introduction of epoxy and acrylic binder systems, and exploration of diverse filler materials to improve char strength and stability.</w:t>
      </w:r>
    </w:p>
    <w:p w14:paraId="2DB7FBF5" w14:textId="77777777" w:rsidR="00ED40B3" w:rsidRDefault="00387C3B">
      <w:pPr>
        <w:spacing w:after="160" w:line="276" w:lineRule="auto"/>
        <w:jc w:val="both"/>
      </w:pPr>
      <w:r>
        <w:t xml:space="preserve">More recently, the convergence of materials science, polymer chemistry, and structural fire engineering has generated a new wave of advances. Nanotechnology has introduced graphene, layered double hydroxides (LDH), polyhedral oligomeric </w:t>
      </w:r>
      <w:proofErr w:type="spellStart"/>
      <w:r>
        <w:t>silsesquioxane</w:t>
      </w:r>
      <w:proofErr w:type="spellEnd"/>
      <w:r>
        <w:t xml:space="preserve"> (POSS), </w:t>
      </w:r>
      <w:r>
        <w:lastRenderedPageBreak/>
        <w:t xml:space="preserve">and carbon nanotubes into intumescent formulations, substantially improving thermal insulation, char coherence, and mechanical durability (Mariappan, 2016). Concurrently, environmental and regulatory pressures — particularly the European Union's push towards halogen-free flame retardants and low volatile organic compound (VOC) systems — have </w:t>
      </w:r>
      <w:proofErr w:type="spellStart"/>
      <w:r>
        <w:t>catalysed</w:t>
      </w:r>
      <w:proofErr w:type="spellEnd"/>
      <w:r>
        <w:t xml:space="preserve"> the development of waterborne intumescent coatings and bio-based formulations that draw on renewable resources such as lignin, starch, chitosan, and tannic acid (Puri &amp; Khanna, 2017). On the testing and qualification front, the inadequacy of standard cellulosic fire curves (notably ISO 834) as a basis for assessing coatings under natural or hydrocarbon fire conditions has stimulated novel methodological developments (Dreyer et al., 2021; Dreyer et al., 2023).</w:t>
      </w:r>
    </w:p>
    <w:p w14:paraId="0649A22D" w14:textId="77777777" w:rsidR="00ED40B3" w:rsidRDefault="00387C3B">
      <w:pPr>
        <w:spacing w:after="160" w:line="276" w:lineRule="auto"/>
        <w:jc w:val="both"/>
      </w:pPr>
      <w:r>
        <w:t xml:space="preserve">Despite this breadth of activity, the literature remains somewhat fragmented across the disciplines of chemistry, materials science, and structural engineering, and several critical knowledge gaps persist — most notably regarding long-term environmental durability, performance under non-standard heating regimes, and the scalable manufacture of sustainable formulations. The present review aims to </w:t>
      </w:r>
      <w:proofErr w:type="spellStart"/>
      <w:r>
        <w:t>synthesise</w:t>
      </w:r>
      <w:proofErr w:type="spellEnd"/>
      <w:r>
        <w:t xml:space="preserve"> recent advances across these domains, placing them in the context of the industrial and regulatory landscape, and to chart a coherent view of development trends for researchers, practitioners, and policymakers.</w:t>
      </w:r>
    </w:p>
    <w:p w14:paraId="51DF465A" w14:textId="77777777" w:rsidR="00ED40B3" w:rsidRDefault="00387C3B">
      <w:pPr>
        <w:pStyle w:val="Heading2"/>
      </w:pPr>
      <w:r>
        <w:t>1.1 Scope and Objectives</w:t>
      </w:r>
    </w:p>
    <w:p w14:paraId="7D9AD8C3" w14:textId="77777777" w:rsidR="00ED40B3" w:rsidRDefault="00387C3B">
      <w:pPr>
        <w:spacing w:after="160" w:line="276" w:lineRule="auto"/>
        <w:jc w:val="both"/>
      </w:pPr>
      <w:r>
        <w:t xml:space="preserve">This review is focused specifically on intumescent fireproof coatings applied to structural steel elements in buildings, offshore platforms, and industrial facilities. The scope encompasses the chemistry, material composition, and mechanism of intumescence; the influence of filler and nanomaterial additives; emerging bio-based and sustainable formulations; the effect of environmental ageing and weathering; fire testing standards and qualification approaches; and current development trends. Coatings intended for substrates other than steel (such as timber, concrete, or </w:t>
      </w:r>
      <w:proofErr w:type="spellStart"/>
      <w:r>
        <w:t>aluminium</w:t>
      </w:r>
      <w:proofErr w:type="spellEnd"/>
      <w:r>
        <w:t xml:space="preserve">) are discussed only where directly relevant to steel protection context. The review does not address passive fire protection systems that are not coating-based (such as board systems or sprayed mineral </w:t>
      </w:r>
      <w:proofErr w:type="spellStart"/>
      <w:r>
        <w:t>fibre</w:t>
      </w:r>
      <w:proofErr w:type="spellEnd"/>
      <w:r>
        <w:t>). The objectives are to provide a critical synthesis of the state-of-the-art from high-quality peer-reviewed academic literature published between 1996 and 2026, to identify persistent research gaps, and to delineate the principal development trajectories that are expected to define the field over the coming decade.</w:t>
      </w:r>
    </w:p>
    <w:p w14:paraId="387AAA86" w14:textId="77777777" w:rsidR="00ED40B3" w:rsidRDefault="00ED40B3">
      <w:pPr>
        <w:spacing w:after="80"/>
      </w:pPr>
    </w:p>
    <w:p w14:paraId="54ECAFEB" w14:textId="77777777" w:rsidR="00ED40B3" w:rsidRDefault="00387C3B">
      <w:pPr>
        <w:pStyle w:val="Heading1"/>
      </w:pPr>
      <w:r>
        <w:t>2. Methods for Literature Selection</w:t>
      </w:r>
    </w:p>
    <w:p w14:paraId="1725B107" w14:textId="77777777" w:rsidR="00ED40B3" w:rsidRDefault="00387C3B">
      <w:pPr>
        <w:spacing w:after="160" w:line="276" w:lineRule="auto"/>
        <w:jc w:val="both"/>
      </w:pPr>
      <w:r>
        <w:t xml:space="preserve">A systematic literature search was conducted using the academic databases Web of Science, Scopus, and Google Scholar. PubMed was additionally consulted for biomedical aspects related to the toxicity of flame-retardant additives and bio-based compound applications. The primary search was conducted using the Boolean search strings: ("intumescent coating" OR "intumescent paint") AND ("steel structure" OR "structural steel" OR "steel substrate") AND ("fire protection" OR "fire resistance" OR "passive fire protection"). Secondary search strings included ("char formation" AND "ammonium polyphosphate"), ("nano" AND "intumescent" AND "fire retardant"), ("bio-based" AND "intumescent" AND "steel"), and ("weathering" </w:t>
      </w:r>
      <w:r>
        <w:lastRenderedPageBreak/>
        <w:t>OR "durability") AND ("intumescent coating" AND "steel"). The search was restricted to peer-reviewed journal articles published between 1 January 1996 and 31 March 2026 as the primary inclusion window, though foundational pre-1996 classic works were also included where they constitute the intellectual basis for subsequent research. Articles were excluded if they were published exclusively in conference proceedings, as book chapters, or as grey literature. Articles in which the primary substrate was not steel or in which intumescent coatings were studied only in the context of flame-retardant polymers — without relevance to structural protection — were also excluded after abstract screening. A total of over 130 candidate articles were identified; following full-text review and quality assessment, the final article corpus comprised 17 sources that appear in the reference list of this review.</w:t>
      </w:r>
    </w:p>
    <w:p w14:paraId="1C05072D" w14:textId="77777777" w:rsidR="00ED40B3" w:rsidRDefault="00ED40B3">
      <w:pPr>
        <w:spacing w:after="80"/>
      </w:pPr>
    </w:p>
    <w:p w14:paraId="07F11494" w14:textId="77777777" w:rsidR="00ED40B3" w:rsidRDefault="00387C3B">
      <w:pPr>
        <w:pStyle w:val="Heading1"/>
      </w:pPr>
      <w:r>
        <w:t>3. Background: Fire Hazard and the Need for Steel Fire Protection</w:t>
      </w:r>
    </w:p>
    <w:p w14:paraId="46AF3354" w14:textId="77777777" w:rsidR="00ED40B3" w:rsidRDefault="00387C3B">
      <w:pPr>
        <w:spacing w:after="160" w:line="276" w:lineRule="auto"/>
        <w:jc w:val="both"/>
      </w:pPr>
      <w:r>
        <w:t>Fire remains one of the most catastrophic hazards confronting the built environment. Major structural fires — including the Grenfell Tower fire in London (2017), the Station nightclub fire in Rhode Island (2003), and numerous industrial facility fires in petrochemical and offshore sectors — have underscored the lethal consequences of inadequately protected structural systems. Beyond immediate life-safety consequences, structural collapse during fire events can impede fire-fighting operations, cause disproportionate damage to surrounding areas, and result in economic losses of enormous scale. Fire safety regulation in most jurisdictions now mandates minimum fire resistance periods — typically 30 to 120 minutes depending on occupancy class, building height, and structural function — during which structural elements must maintain their load-bearing capacity to allow evacuation and fire-fighting intervention.</w:t>
      </w:r>
    </w:p>
    <w:p w14:paraId="4A50F4E2" w14:textId="77777777" w:rsidR="00ED40B3" w:rsidRDefault="00387C3B">
      <w:pPr>
        <w:spacing w:after="160" w:line="276" w:lineRule="auto"/>
        <w:jc w:val="both"/>
      </w:pPr>
      <w:r>
        <w:t>Steel's outstanding role in enabling modern construction is inseparable from its thermal vulnerability. The high thermal conductivity of carbon steel — approximately 54 W/</w:t>
      </w:r>
      <w:proofErr w:type="spellStart"/>
      <w:r>
        <w:t>m·K</w:t>
      </w:r>
      <w:proofErr w:type="spellEnd"/>
      <w:r>
        <w:t xml:space="preserve"> at ambient temperature (20 °C) per EN 1993-1-2, decreasing to approximately 27 W/</w:t>
      </w:r>
      <w:proofErr w:type="spellStart"/>
      <w:r>
        <w:t>m·K</w:t>
      </w:r>
      <w:proofErr w:type="spellEnd"/>
      <w:r>
        <w:t xml:space="preserve"> at 800 °C — means that heat from a compartment fire is transmitted rapidly and uniformly through section walls, quickly raising temperatures across the full cross-section. Without any form of fire protection, unprotected steel members in typical building fires can reach failure temperatures within 10 to 15 minutes of flashover, well before occupants can safely evacuate. This fire-induced weakening reflects not merely melting but the progressive thermally driven changes in microstructure and dislocation mechanisms governing plastic deformation.</w:t>
      </w:r>
    </w:p>
    <w:p w14:paraId="1ECF5400" w14:textId="77777777" w:rsidR="00ED40B3" w:rsidRDefault="00387C3B">
      <w:pPr>
        <w:pStyle w:val="Heading2"/>
      </w:pPr>
      <w:r>
        <w:t xml:space="preserve">3.1 Thermal </w:t>
      </w:r>
      <w:proofErr w:type="spellStart"/>
      <w:r>
        <w:t>Behaviour</w:t>
      </w:r>
      <w:proofErr w:type="spellEnd"/>
      <w:r>
        <w:t xml:space="preserve"> of Structural Steel Under Fire</w:t>
      </w:r>
    </w:p>
    <w:p w14:paraId="12D64BEF" w14:textId="47500056" w:rsidR="00ED40B3" w:rsidRDefault="00387C3B">
      <w:pPr>
        <w:spacing w:after="160" w:line="276" w:lineRule="auto"/>
        <w:jc w:val="both"/>
      </w:pPr>
      <w:r>
        <w:t>Carbon steel used in structural applications begins to show appreciable strength loss at temperatures above 300 °C. By approximately 600 °C, the yield strength is reduced to roughly half of its ambient-temperature value — the EN 1993-1-2:2005</w:t>
      </w:r>
      <w:r w:rsidR="00F671EA">
        <w:t xml:space="preserve">, </w:t>
      </w:r>
      <w:r>
        <w:t xml:space="preserve">yield strength reduction factor being 0.78 at 500 °C and 0.47 at 600 °C — and by 700 °C it falls to approximately 23%. These reductions are governed by creep mechanisms and phase transformations in the steel microstructure. Eurocode 3 Part 1-2 (EN 1993-1-2) defines temperature-dependent reduction factors for the yield strength and elastic modulus of carbon steel that are widely used in structural fire engineering design and assessment (Lucherini &amp; </w:t>
      </w:r>
      <w:r>
        <w:lastRenderedPageBreak/>
        <w:t xml:space="preserve">Maluk, 2019). Stainless steel and certain high-strength alloys show somewhat more </w:t>
      </w:r>
      <w:proofErr w:type="spellStart"/>
      <w:r>
        <w:t>favourable</w:t>
      </w:r>
      <w:proofErr w:type="spellEnd"/>
      <w:r>
        <w:t xml:space="preserve"> retention of strength at elevated temperatures, but carbon steel dominates in most structural applications and therefore represents the principal substrate of concern for intumescent coating research. The critical temperature — defined as the temperature at which a steel member is expected to reach the limit state of structural collapse given its applied load ratio — typically falls in the range of 500 °C to 650 °C for lightly loaded members and correspondingly lower for heavily loaded ones. Intumescent fire protection systems are designed to ensure that the steel substrate remains below its critical temperature for the duration specified by the applicable fire resistance rating.</w:t>
      </w:r>
    </w:p>
    <w:p w14:paraId="422BD1B0" w14:textId="77777777" w:rsidR="00ED40B3" w:rsidRDefault="00ED40B3">
      <w:pPr>
        <w:spacing w:after="80"/>
      </w:pPr>
    </w:p>
    <w:p w14:paraId="261819D1" w14:textId="77777777" w:rsidR="00ED40B3" w:rsidRDefault="00387C3B">
      <w:pPr>
        <w:pStyle w:val="Heading1"/>
      </w:pPr>
      <w:r>
        <w:t>4. Classification and Types of Intumescent Fireproof Coatings</w:t>
      </w:r>
    </w:p>
    <w:p w14:paraId="05A32858" w14:textId="77777777" w:rsidR="00ED40B3" w:rsidRDefault="00387C3B">
      <w:pPr>
        <w:spacing w:after="160" w:line="276" w:lineRule="auto"/>
        <w:jc w:val="both"/>
      </w:pPr>
      <w:r>
        <w:t>Intumescent fireproof coatings for structural steel are broadly classified according to several criteria: the nature of the fire exposure they are designed to resist (cellulosic versus hydrocarbon), the type of binder system employed, the physical form of the product, and the intended application environment. An understanding of this classification is prerequisite to interpreting performance data and selecting appropriate systems for specific service conditions.</w:t>
      </w:r>
    </w:p>
    <w:p w14:paraId="5F4F5B09" w14:textId="77777777" w:rsidR="00ED40B3" w:rsidRDefault="00387C3B">
      <w:pPr>
        <w:pStyle w:val="Heading2"/>
      </w:pPr>
      <w:r>
        <w:t>4.1 Thin-Film (Cellulosic) Intumescent Coatings</w:t>
      </w:r>
    </w:p>
    <w:p w14:paraId="0264426A" w14:textId="77777777" w:rsidR="00ED40B3" w:rsidRDefault="00387C3B">
      <w:pPr>
        <w:spacing w:after="160" w:line="276" w:lineRule="auto"/>
        <w:jc w:val="both"/>
      </w:pPr>
      <w:r>
        <w:t xml:space="preserve">Thin-film intumescent coatings are principally designed for use in buildings and other structures exposed to the cellulosic fire scenario described by the ISO 834 standard fire curve, which is </w:t>
      </w:r>
      <w:proofErr w:type="spellStart"/>
      <w:r>
        <w:t>characterised</w:t>
      </w:r>
      <w:proofErr w:type="spellEnd"/>
      <w:r>
        <w:t xml:space="preserve"> by a relatively gradual increase in compartment temperature over time. These coatings are applied at dry film thicknesses (DFT) ranging from approximately 250 </w:t>
      </w:r>
      <w:proofErr w:type="spellStart"/>
      <w:r>
        <w:t>μm</w:t>
      </w:r>
      <w:proofErr w:type="spellEnd"/>
      <w:r>
        <w:t xml:space="preserve"> to 3,000 </w:t>
      </w:r>
      <w:proofErr w:type="spellStart"/>
      <w:r>
        <w:t>μm</w:t>
      </w:r>
      <w:proofErr w:type="spellEnd"/>
      <w:r>
        <w:t>, and they expand to form char layers typically 20 to 50 times their original thickness. The binder system is most commonly an acrylic or styrene-acrylic copolymer emulsion in waterborne systems, or a polyvinyl acetate in solvent-borne formulations. The intumescent active package — comprising the acid source, char-forming agent, and blowing agent — is dispersed within this binder matrix. Thin-film systems are well suited to architecturally exposed steel owing to their relatively smooth surface finish and paintable character; they are widely used in multi-storey commercial and residential buildings, airports, sports stadia, and similar occupied structures (Bilotta et al., 2016).</w:t>
      </w:r>
    </w:p>
    <w:p w14:paraId="5B547D53" w14:textId="77777777" w:rsidR="00ED40B3" w:rsidRDefault="00387C3B">
      <w:pPr>
        <w:pStyle w:val="Heading2"/>
      </w:pPr>
      <w:r>
        <w:t>4.2 Thick-Film (Hydrocarbon) Intumescent Coatings</w:t>
      </w:r>
    </w:p>
    <w:p w14:paraId="5358C86C" w14:textId="77777777" w:rsidR="00ED40B3" w:rsidRDefault="00387C3B">
      <w:pPr>
        <w:spacing w:after="160" w:line="276" w:lineRule="auto"/>
        <w:jc w:val="both"/>
      </w:pPr>
      <w:r>
        <w:t xml:space="preserve">Thick-film or hydrocarbon intumescent coatings are engineered for environments in which pool fires or jet fires involving flammable liquid or gas fuels may occur, producing extremely rapid temperature rise. The UL 1709 fire curve, representative of hydrocarbon fire conditions, reaches 1,093 °C within just 5 minutes — substantially more aggressive than the ISO 834 cellulosic curve. Thick-film systems are epoxy-based and typically applied at DFTs of several </w:t>
      </w:r>
      <w:proofErr w:type="spellStart"/>
      <w:r>
        <w:t>millimetres</w:t>
      </w:r>
      <w:proofErr w:type="spellEnd"/>
      <w:r>
        <w:t xml:space="preserve"> to several </w:t>
      </w:r>
      <w:proofErr w:type="spellStart"/>
      <w:r>
        <w:t>centimetres</w:t>
      </w:r>
      <w:proofErr w:type="spellEnd"/>
      <w:r>
        <w:t>, often requiring multi-pass application and sometimes intermediate mesh reinforcement. They are predominant in the oil and gas sector, including offshore platforms, petrochemical plant, liquefied natural gas installations, and process facilities where hydrocarbon fire risk is the design basis. The char produced by thick-</w:t>
      </w:r>
      <w:r>
        <w:lastRenderedPageBreak/>
        <w:t>film epoxy systems must be mechanically robust enough to remain adherent to the steel under jet fire impingement and blast loading, demanding more stringent char quality than is required for thin-film cellulosic applications (Zeng et al., 2020; Wang et al., 2021).</w:t>
      </w:r>
    </w:p>
    <w:p w14:paraId="100DBDF7" w14:textId="77777777" w:rsidR="00ED40B3" w:rsidRDefault="00387C3B">
      <w:pPr>
        <w:pStyle w:val="Heading2"/>
      </w:pPr>
      <w:r>
        <w:t>4.3 Waterborne Versus Solvent-Borne Systems</w:t>
      </w:r>
    </w:p>
    <w:p w14:paraId="7A3D6154" w14:textId="77777777" w:rsidR="00ED40B3" w:rsidRDefault="00387C3B">
      <w:pPr>
        <w:spacing w:after="160" w:line="276" w:lineRule="auto"/>
        <w:jc w:val="both"/>
      </w:pPr>
      <w:r>
        <w:t xml:space="preserve">From a formulation perspective, intumescent coatings are also distinguished by whether they are waterborne (water-dispersed) or solvent-borne. Waterborne systems use water as the dispersing medium and acrylic or vinyl-acrylic emulsions as binders; they offer low VOC emissions, reduced flammability of the wet product, and compliance with increasingly stringent environmental regulations. Solvent-borne systems, which historically dominated the market, use organic solvents and enable faster film build per coat but are associated with higher VOC emissions and flammability hazards during application and curing. The global regulatory trend strongly </w:t>
      </w:r>
      <w:proofErr w:type="spellStart"/>
      <w:r>
        <w:t>favours</w:t>
      </w:r>
      <w:proofErr w:type="spellEnd"/>
      <w:r>
        <w:t xml:space="preserve"> waterborne systems, and a substantial proportion of current research is directed at overcoming the performance limitations of waterborne formulations relative to their solvent-borne counterparts — particularly with respect to char strength, water sensitivity of the active intumescent components, and adhesion under wet service conditions (Puri &amp; Khanna, 2017).</w:t>
      </w:r>
    </w:p>
    <w:p w14:paraId="1FCBC0FD" w14:textId="77777777" w:rsidR="00ED40B3" w:rsidRDefault="00ED40B3">
      <w:pPr>
        <w:spacing w:after="80"/>
      </w:pPr>
    </w:p>
    <w:p w14:paraId="66B76BEC" w14:textId="77777777" w:rsidR="00ED40B3" w:rsidRDefault="00387C3B">
      <w:pPr>
        <w:pStyle w:val="Heading1"/>
      </w:pPr>
      <w:r>
        <w:t>5. Chemical Composition and Mechanism of Intumescent Coatings</w:t>
      </w:r>
    </w:p>
    <w:p w14:paraId="25B4178D" w14:textId="77777777" w:rsidR="00ED40B3" w:rsidRDefault="00387C3B">
      <w:pPr>
        <w:spacing w:after="160" w:line="276" w:lineRule="auto"/>
        <w:jc w:val="both"/>
      </w:pPr>
      <w:r>
        <w:t xml:space="preserve">The fire-protective function of an intumescent coating arises from the coordinated action of four principal component classes: the acid source, the char-forming agent (carbonaceous compound), the blowing agent (spumific agent), and the binder resin. These components are present in carefully </w:t>
      </w:r>
      <w:proofErr w:type="spellStart"/>
      <w:r>
        <w:t>optimised</w:t>
      </w:r>
      <w:proofErr w:type="spellEnd"/>
      <w:r>
        <w:t xml:space="preserve"> proportions, and the timing and temperature of their respective decomposition reactions must be </w:t>
      </w:r>
      <w:proofErr w:type="spellStart"/>
      <w:r>
        <w:t>synchronised</w:t>
      </w:r>
      <w:proofErr w:type="spellEnd"/>
      <w:r>
        <w:t xml:space="preserve"> to yield an effective, coherent char. In addition to these active components, commercial formulations contain a variety of functional additives including pigments, fillers, </w:t>
      </w:r>
      <w:proofErr w:type="spellStart"/>
      <w:r>
        <w:t>stabilisers</w:t>
      </w:r>
      <w:proofErr w:type="spellEnd"/>
      <w:r>
        <w:t xml:space="preserve">, </w:t>
      </w:r>
      <w:proofErr w:type="spellStart"/>
      <w:r>
        <w:t>plasticisers</w:t>
      </w:r>
      <w:proofErr w:type="spellEnd"/>
      <w:r>
        <w:t>, and rheology modifiers that influence application properties, shelf life, and fire performance (</w:t>
      </w:r>
      <w:proofErr w:type="spellStart"/>
      <w:r>
        <w:t>Bourbigot</w:t>
      </w:r>
      <w:proofErr w:type="spellEnd"/>
      <w:r>
        <w:t xml:space="preserve"> &amp; Duquesne, 2007).</w:t>
      </w:r>
    </w:p>
    <w:p w14:paraId="08F83566" w14:textId="77777777" w:rsidR="00ED40B3" w:rsidRDefault="00387C3B">
      <w:pPr>
        <w:pStyle w:val="Heading2"/>
      </w:pPr>
      <w:r>
        <w:t>5.1 Acid Source</w:t>
      </w:r>
    </w:p>
    <w:p w14:paraId="35252DDF" w14:textId="77777777" w:rsidR="00ED40B3" w:rsidRDefault="00387C3B">
      <w:pPr>
        <w:spacing w:after="160" w:line="276" w:lineRule="auto"/>
        <w:jc w:val="both"/>
      </w:pPr>
      <w:r>
        <w:t>The most widely employed acid source in commercial intumescent coatings is ammonium polyphosphate (APP), a condensed phosphate salt available in two principal crystalline forms. The long-chain Phase II form, which is standard in fire-protective coating applications owing to its superior water resistance and thermal stability, begins to decompose at approximately 250–300 °C, generating polyphosphoric acid and ammonia, with the decomposition continuing up to approximately 550 °C. The polyphosphoric acid functions both as a dehydrating catalyst that promotes the formation of the carbonaceous char and as a foaming aid through its interaction with the blowing agent. Alternative acid sources include melamine polyphosphate, boric acid, and diammonium phosphate, each of which has distinct thermal decomposition characteristics that may be advantageous in certain formulation contexts (Camino et al., 1984; Yasir et al., 2020).</w:t>
      </w:r>
    </w:p>
    <w:p w14:paraId="6E5D971B" w14:textId="77777777" w:rsidR="00ED40B3" w:rsidRDefault="00387C3B">
      <w:pPr>
        <w:pStyle w:val="Heading2"/>
      </w:pPr>
      <w:r>
        <w:lastRenderedPageBreak/>
        <w:t>5.2 Carbonaceous Compound (Char-Forming Agent)</w:t>
      </w:r>
    </w:p>
    <w:p w14:paraId="177AD182" w14:textId="77777777" w:rsidR="00ED40B3" w:rsidRDefault="00387C3B">
      <w:pPr>
        <w:spacing w:after="160" w:line="276" w:lineRule="auto"/>
        <w:jc w:val="both"/>
      </w:pPr>
      <w:r>
        <w:t xml:space="preserve">Pentaerythritol (PER) and its higher homologue </w:t>
      </w:r>
      <w:proofErr w:type="spellStart"/>
      <w:r>
        <w:t>dipentaerythritol</w:t>
      </w:r>
      <w:proofErr w:type="spellEnd"/>
      <w:r>
        <w:t xml:space="preserve"> are the classical carbon sources used in intumescent coatings. Under the catalytic action of the polyphosphoric acid released by APP decomposition, pentaerythritol undergoes dehydration and esterification reactions, forming a cross-linked carbonaceous network that constitutes the structural scaffold of the char layer. The molecular architecture of the char-forming agent — in terms of hydroxyl group density, thermal stability, and viscosity in the melt state — critically influences the expansion ratio, pore structure, and mechanical integrity of the resulting char. In addition to pentaerythritol, alternative char-forming agents under investigation include starch, mannitol, and various bio-derived polyols, reflecting growing interest in renewable and sustainable formulations (Alongi et al., 2015).</w:t>
      </w:r>
    </w:p>
    <w:p w14:paraId="5DC434E0" w14:textId="77777777" w:rsidR="00ED40B3" w:rsidRDefault="00387C3B">
      <w:pPr>
        <w:pStyle w:val="Heading2"/>
      </w:pPr>
      <w:r>
        <w:t>5.3 Blowing Agent</w:t>
      </w:r>
    </w:p>
    <w:p w14:paraId="4B2D6E9C" w14:textId="77777777" w:rsidR="00ED40B3" w:rsidRDefault="00387C3B">
      <w:pPr>
        <w:spacing w:after="160" w:line="276" w:lineRule="auto"/>
        <w:jc w:val="both"/>
      </w:pPr>
      <w:r>
        <w:t>Melamine is the quintessential blowing agent in thin-film cellulosic intumescent systems. It decomposes at approximately 250 °C to 350 °C, releasing non-combustible gases — principally ammonia and nitrogen — that inflate the viscous carbonaceous melt, transforming it from a dense molten layer into the characteristic multicellular foam structure of the intumescent char. The quantity and rate of gas release must be matched to the viscosity of the carbonaceous melt at the relevant temperature range to ensure stable foam formation; excess gas release relative to melt viscosity leads to char collapse, whilst insufficient gas release yields poor expansion. Urea and dicyandiamide have been used as melamine surrogates or supplements, as has expandable graphite in epoxy-based hydrocarbon systems, where graphitic intercalation compounds expand sharply upon heating (Wang et al., 2021).</w:t>
      </w:r>
    </w:p>
    <w:p w14:paraId="28F92C77" w14:textId="77777777" w:rsidR="00ED40B3" w:rsidRDefault="00387C3B">
      <w:pPr>
        <w:pStyle w:val="Heading2"/>
      </w:pPr>
      <w:r>
        <w:t>5.4 Binder Resin</w:t>
      </w:r>
    </w:p>
    <w:p w14:paraId="7A2BAA3E" w14:textId="77777777" w:rsidR="00ED40B3" w:rsidRDefault="00387C3B">
      <w:pPr>
        <w:spacing w:after="160" w:line="276" w:lineRule="auto"/>
        <w:jc w:val="both"/>
      </w:pPr>
      <w:r>
        <w:t xml:space="preserve">The binder serves as the matrix within which the active intumescent components are dispersed and governs the physical application properties of the coating — viscosity, adhesion, film formation, flexibility, and compatibility with primer and topcoat systems. In waterborne thin-film coatings, styrene-acrylic and pure acrylic copolymer emulsions predominate; these systems are environmentally acceptable but can exhibit sensitivity to elevated humidity, which may leach water-soluble APP from the coating and compromise fire performance. Epoxy resins, particularly </w:t>
      </w:r>
      <w:proofErr w:type="spellStart"/>
      <w:r>
        <w:t>diglycidyl</w:t>
      </w:r>
      <w:proofErr w:type="spellEnd"/>
      <w:r>
        <w:t xml:space="preserve"> ether of bisphenol A (DGEBA) cured with aromatic or aliphatic amines, are the binder of choice for thick-film hydrocarbon coatings, providing excellent adhesion to steel, chemical resistance, and high char-forming capability. Polyurethane-based systems and silicone resin binders represent emerging alternatives that offer improved weathering resistance and broader service temperature range (Fu et al., 2025).</w:t>
      </w:r>
    </w:p>
    <w:p w14:paraId="782F04A1" w14:textId="77777777" w:rsidR="00ED40B3" w:rsidRDefault="00387C3B">
      <w:pPr>
        <w:pStyle w:val="Heading2"/>
      </w:pPr>
      <w:r>
        <w:t>5.5 Mechanism of Intumescence</w:t>
      </w:r>
    </w:p>
    <w:p w14:paraId="3ED19B49" w14:textId="77777777" w:rsidR="00ED40B3" w:rsidRDefault="00387C3B">
      <w:pPr>
        <w:spacing w:after="160" w:line="276" w:lineRule="auto"/>
        <w:jc w:val="both"/>
      </w:pPr>
      <w:r>
        <w:t xml:space="preserve">The intumescent process as it unfolds upon heat exposure can be conceptually divided into three overlapping stages. In the first stage, which begins at temperatures broadly between 150 °C and 250 °C, the acid source commences decomposition, releasing polyphosphoric acid. This acidic species initiates esterification and dehydration reactions with the char-forming agent and binder components. During the second stage, between approximately 250 °C and </w:t>
      </w:r>
      <w:r>
        <w:lastRenderedPageBreak/>
        <w:t xml:space="preserve">400 °C, the rate of gas evolution from the blowing agent accelerates, and the carbonaceous melt simultaneously increases in viscosity due to cross-linking of the charring reaction products. Gas bubbles nucleate within the viscous melt, and the whole coating layer begins to expand rapidly — in well-formulated thin-film systems, volumetric expansion factors of 20 to 50 are commonplace. In the third and final stage, above approximately 400 °C, the foam structure consolidates and undergoes progressive oxidation and </w:t>
      </w:r>
      <w:proofErr w:type="spellStart"/>
      <w:r>
        <w:t>graphitisation</w:t>
      </w:r>
      <w:proofErr w:type="spellEnd"/>
      <w:r>
        <w:t>, eventually forming a rigid, porous ceramic-like char that can persist to temperatures of 600 °C to 800 °C. The thermal conductivity of this char is typically one to two orders of magnitude lower than that of steel, creating an insulating barrier that dramatically slows heat penetration to the substrate (Camino et al., 1984; Lucherini &amp; Maluk, 2019). The integrity, expansion coefficient, mechanical strength, and oxidation resistance of this char layer are the principal determinants of fire protection effectiveness, and they are strongly influenced by all aspects of formulation — binder type, component ratios, filler content, and application parameters.</w:t>
      </w:r>
    </w:p>
    <w:p w14:paraId="0A3F10AC" w14:textId="77777777" w:rsidR="00ED40B3" w:rsidRDefault="00ED40B3">
      <w:pPr>
        <w:spacing w:after="80"/>
      </w:pPr>
    </w:p>
    <w:p w14:paraId="306F3F19" w14:textId="77777777" w:rsidR="00ED40B3" w:rsidRDefault="00387C3B">
      <w:pPr>
        <w:pStyle w:val="Heading1"/>
      </w:pPr>
      <w:r>
        <w:t>6. Role of Fillers and Functional Additives</w:t>
      </w:r>
    </w:p>
    <w:p w14:paraId="36D466CB" w14:textId="77777777" w:rsidR="00ED40B3" w:rsidRDefault="00387C3B">
      <w:pPr>
        <w:pStyle w:val="Heading2"/>
      </w:pPr>
      <w:r>
        <w:t>6.1 Inorganic Fillers</w:t>
      </w:r>
    </w:p>
    <w:p w14:paraId="0D7842E1" w14:textId="77777777" w:rsidR="00ED40B3" w:rsidRDefault="00387C3B">
      <w:pPr>
        <w:spacing w:after="160" w:line="276" w:lineRule="auto"/>
        <w:jc w:val="both"/>
      </w:pPr>
      <w:r>
        <w:t>Inorganic mineral fillers serve multiple functions in intumescent coating formulations: they influence rheology during application, contribute to char mechanical properties, modify the thermal decomposition pathway of the active components, and can provide synergistic flame-retardant contributions through endothermic decomposition or formation of inorganic refractory structures within the char. Titanium dioxide (</w:t>
      </w:r>
      <w:proofErr w:type="spellStart"/>
      <w:r>
        <w:t>TiO</w:t>
      </w:r>
      <w:proofErr w:type="spellEnd"/>
      <w:r>
        <w:t xml:space="preserve">₂) is among the most universally employed fillers; it contributes opacity and weather resistance to the coating in service, and at elevated temperatures it has been shown to reinforce the char matrix and modify the pore structure of the intumescent foam. Mineral </w:t>
      </w:r>
      <w:proofErr w:type="spellStart"/>
      <w:r>
        <w:t>fibres</w:t>
      </w:r>
      <w:proofErr w:type="spellEnd"/>
      <w:r>
        <w:t xml:space="preserve"> — including </w:t>
      </w:r>
      <w:proofErr w:type="spellStart"/>
      <w:r>
        <w:t>wollastonite</w:t>
      </w:r>
      <w:proofErr w:type="spellEnd"/>
      <w:r>
        <w:t xml:space="preserve">, basalt </w:t>
      </w:r>
      <w:proofErr w:type="spellStart"/>
      <w:r>
        <w:t>fibres</w:t>
      </w:r>
      <w:proofErr w:type="spellEnd"/>
      <w:r>
        <w:t xml:space="preserve">, and glass </w:t>
      </w:r>
      <w:proofErr w:type="spellStart"/>
      <w:r>
        <w:t>fibres</w:t>
      </w:r>
      <w:proofErr w:type="spellEnd"/>
      <w:r>
        <w:t xml:space="preserve"> — act as reinforcing agents within the char skeleton, increasing the cohesion and mechanical resistance of the expanded layer and preventing detachment from the steel substrate during fire exposure (Duquesne et al., 2013). Zinc borate and borates in general serve a dual function as inorganic flame retardants and char </w:t>
      </w:r>
      <w:proofErr w:type="spellStart"/>
      <w:r>
        <w:t>stabilisers</w:t>
      </w:r>
      <w:proofErr w:type="spellEnd"/>
      <w:r>
        <w:t>: at elevated temperatures, boron-containing species form glassy phases that fill voids in the char structure, enhancing its insulation efficiency and suppressing afterglow oxidation. The influence of calcium carbonate on the intumescent process has also been investigated; in certain hydrocarbon coating formulations, its endothermic decomposition contributes to temperature buffering, and its interaction with APP-derived polyphosphoric acid produces calcium phosphate species that impart additional structural stability to the char (Wang et al., 2021; Zeng et al., 2020).</w:t>
      </w:r>
    </w:p>
    <w:p w14:paraId="59AA7001" w14:textId="77777777" w:rsidR="00ED40B3" w:rsidRDefault="00387C3B">
      <w:pPr>
        <w:pStyle w:val="Heading2"/>
      </w:pPr>
      <w:r>
        <w:t>6.2 Nano-Dimensional Additives</w:t>
      </w:r>
    </w:p>
    <w:p w14:paraId="7A97AE07" w14:textId="77777777" w:rsidR="00ED40B3" w:rsidRDefault="00387C3B">
      <w:pPr>
        <w:spacing w:after="160" w:line="276" w:lineRule="auto"/>
        <w:jc w:val="both"/>
      </w:pPr>
      <w:r>
        <w:t xml:space="preserve">The incorporation of nanoscale additives into intumescent coatings represents one of the most active fronts of current research, driven by the expectation that the high surface area and unique physicochemical properties of nanostructured materials will produce functional improvements disproportionate to their low loading levels. </w:t>
      </w:r>
      <w:proofErr w:type="spellStart"/>
      <w:r>
        <w:t>Nanoclays</w:t>
      </w:r>
      <w:proofErr w:type="spellEnd"/>
      <w:r>
        <w:t xml:space="preserve"> — principally organically modified montmorillonite (</w:t>
      </w:r>
      <w:proofErr w:type="spellStart"/>
      <w:r>
        <w:t>oMMT</w:t>
      </w:r>
      <w:proofErr w:type="spellEnd"/>
      <w:r>
        <w:t xml:space="preserve">) — were among the earliest nanofillers to be </w:t>
      </w:r>
      <w:r>
        <w:lastRenderedPageBreak/>
        <w:t xml:space="preserve">systematically evaluated in intumescent systems. Their layered aluminosilicate structure acts as a physical barrier to mass and heat transfer within the char, and they promote formation of a more coherent, less porous char morphology. At optimal loadings, </w:t>
      </w:r>
      <w:proofErr w:type="spellStart"/>
      <w:r>
        <w:t>oMMT</w:t>
      </w:r>
      <w:proofErr w:type="spellEnd"/>
      <w:r>
        <w:t xml:space="preserve"> additions of 1–3 wt% have been shown to increase the thermal insulation efficiency of the char and improve its resistance to structural collapse under sustained fire exposure (Mariappan, 2016).</w:t>
      </w:r>
    </w:p>
    <w:p w14:paraId="27FC3051" w14:textId="77777777" w:rsidR="00ED40B3" w:rsidRDefault="00387C3B">
      <w:pPr>
        <w:spacing w:after="160" w:line="276" w:lineRule="auto"/>
        <w:jc w:val="both"/>
      </w:pPr>
      <w:r>
        <w:t xml:space="preserve">Graphene and graphene oxide (GO) have attracted particular attention as multifunctional additives. Their extraordinarily high in-plane thermal conductivity — potentially counterproductive from an insulation standpoint — is offset by the physical barrier effect of their high aspect ratio two-dimensional sheets, which retard </w:t>
      </w:r>
      <w:proofErr w:type="spellStart"/>
      <w:r>
        <w:t>volatilisation</w:t>
      </w:r>
      <w:proofErr w:type="spellEnd"/>
      <w:r>
        <w:t xml:space="preserve"> of combustion gases and improve char density and cohesion. Zhan et al. (2020) demonstrated that the addition of graphene to a waterborne intumescent system significantly enhanced both fire resistance — as measured by the substrate temperature attained after a fixed fire exposure duration — and smoke suppression, attributed to the formation of a more uniform and dense foam structure. Carbon nanotubes (CNTs), layered double hydroxides (LDH), halloysite nanotubes, and polyhedral oligomeric </w:t>
      </w:r>
      <w:proofErr w:type="spellStart"/>
      <w:r>
        <w:t>silsesquioxane</w:t>
      </w:r>
      <w:proofErr w:type="spellEnd"/>
      <w:r>
        <w:t xml:space="preserve"> (POSS) have been similarly investigated, each contributing specific advantages: CNTs improve char mechanical strength and conductivity; LDH provides anion-exchange fire-retardant capability; and POSS introduces silicon-rich ceramic-forming chemistry that enhances high-temperature char stability (Yasir et al., 2020). The challenge common to all nanofillers is achieving adequate dispersion within the coating matrix and ensuring compatibility with the intumescent active components, both of which are prerequisite to </w:t>
      </w:r>
      <w:proofErr w:type="spellStart"/>
      <w:r>
        <w:t>realising</w:t>
      </w:r>
      <w:proofErr w:type="spellEnd"/>
      <w:r>
        <w:t xml:space="preserve"> the anticipated performance benefits.</w:t>
      </w:r>
    </w:p>
    <w:p w14:paraId="10D64AF3" w14:textId="77777777" w:rsidR="00ED40B3" w:rsidRDefault="00ED40B3">
      <w:pPr>
        <w:spacing w:after="80"/>
      </w:pPr>
    </w:p>
    <w:p w14:paraId="0806169C" w14:textId="77777777" w:rsidR="00ED40B3" w:rsidRDefault="00387C3B">
      <w:pPr>
        <w:pStyle w:val="Heading1"/>
      </w:pPr>
      <w:r>
        <w:t>7. Bio-Based and Sustainable Intumescent Coating Systems</w:t>
      </w:r>
    </w:p>
    <w:p w14:paraId="6C9E1957" w14:textId="77777777" w:rsidR="00ED40B3" w:rsidRDefault="00387C3B">
      <w:pPr>
        <w:spacing w:after="160" w:line="276" w:lineRule="auto"/>
        <w:jc w:val="both"/>
      </w:pPr>
      <w:r>
        <w:t>The growing awareness of the environmental and health implications of conventional petroleum-derived flame-retardant additives — particularly the legacy of halogenated flame retardants and concerns regarding the water solubility and environmental persistence of polyphosphate species — has intensified interest in bio-based and sustainable alternatives for intumescent coating formulations. This research direction is further motivated by the desire to reduce reliance on fossil carbon feedstocks in line with circular economy principles and to develop products with improved biodegradability and lower embodied carbon.</w:t>
      </w:r>
    </w:p>
    <w:p w14:paraId="083F0111" w14:textId="77777777" w:rsidR="00ED40B3" w:rsidRDefault="00387C3B">
      <w:pPr>
        <w:spacing w:after="160" w:line="276" w:lineRule="auto"/>
        <w:jc w:val="both"/>
      </w:pPr>
      <w:r>
        <w:t xml:space="preserve">Lignin, the second most abundant natural polymer on Earth after cellulose, is a particularly promising candidate as a carbon source or char-forming agent in intumescent systems. Lignin's highly aromatic, cross-linked structure endows it with inherent charring tendency — unlike aliphatic polyols such as pentaerythritol, which degrade more completely — and its incorporation into APP-containing intumescent systems has been shown to yield char layers with improved </w:t>
      </w:r>
      <w:proofErr w:type="spellStart"/>
      <w:r>
        <w:t>graphitisation</w:t>
      </w:r>
      <w:proofErr w:type="spellEnd"/>
      <w:r>
        <w:t xml:space="preserve"> and reduced </w:t>
      </w:r>
      <w:proofErr w:type="spellStart"/>
      <w:r>
        <w:t>volatilisation</w:t>
      </w:r>
      <w:proofErr w:type="spellEnd"/>
      <w:r>
        <w:t xml:space="preserve"> losses. The complex phenolic chemistry of lignin additionally provides radical-scavenging activity in the gas phase, offering complementary flame-retardant contributions (</w:t>
      </w:r>
      <w:proofErr w:type="spellStart"/>
      <w:r>
        <w:t>Bourbigot</w:t>
      </w:r>
      <w:proofErr w:type="spellEnd"/>
      <w:r>
        <w:t xml:space="preserve"> &amp; Duquesne, 2007; Alongi et al., 2015).</w:t>
      </w:r>
    </w:p>
    <w:p w14:paraId="7418905C" w14:textId="77777777" w:rsidR="00ED40B3" w:rsidRDefault="00387C3B">
      <w:pPr>
        <w:spacing w:after="160" w:line="276" w:lineRule="auto"/>
        <w:jc w:val="both"/>
      </w:pPr>
      <w:r>
        <w:lastRenderedPageBreak/>
        <w:t>Starch — particularly corn and potato starch — has been studied as a renewable substitute for pentaerythritol. Its multiple hydroxyl groups support the esterification reactions with phosphoric acid that are central to the intumescence mechanism, and at comparable loading levels starch-based formulations have achieved fire-protection performance approaching that of pentaerythritol-based systems in some studies. Chitosan, derived from crustacean shells and representing a nitrogen- and carbon-rich biopolymer, contributes simultaneously as char-forming agent and blowing agent precursor. Phytic acid, an organophosphorus compound abundant in cereal grains, is notable for combining the acid source and partial char-forming functions in a single molecule, offering formulation simplification whilst maintaining a bio-derived provenance (Puri &amp; Khanna, 2017). Tannic acid, extracted from plant-derived tannins, has also been evaluated as a bio-based polyphenol carbon source in epoxy-based intumescent coatings for steel; its high carbon content and multiple galloyl ester groups promote dense char formation, and it has shown compatibility with conventional APP and melamine components as well as inorganic synergists (Yasir et al., 2020).</w:t>
      </w:r>
    </w:p>
    <w:p w14:paraId="6D67198C" w14:textId="77777777" w:rsidR="00ED40B3" w:rsidRDefault="00387C3B">
      <w:pPr>
        <w:spacing w:after="160" w:line="276" w:lineRule="auto"/>
        <w:jc w:val="both"/>
      </w:pPr>
      <w:r>
        <w:t xml:space="preserve">The development of fully bio-based intumescent coatings — in which all major active components derive from renewable feedstocks — represents the frontier of this research area. Such systems face practical challenges associated with formulation stability, the solubility of biopolymer components in typical coating vehicles, and the need to demonstrate sustained fire performance over long in-service periods. Microencapsulation of bio-derived APP surrogates and </w:t>
      </w:r>
      <w:proofErr w:type="spellStart"/>
      <w:r>
        <w:t>compatibilisation</w:t>
      </w:r>
      <w:proofErr w:type="spellEnd"/>
      <w:r>
        <w:t xml:space="preserve"> of lignin-based additives with waterborne acrylic binders are among the technical strategies being actively explored. The broader integration of bio-based intumescent chemistry with low-VOC waterborne coating platforms positions this sector as a significant contributor to the sustainability transition in structural fire protection (Fu et al., 2025).</w:t>
      </w:r>
    </w:p>
    <w:p w14:paraId="274C0114" w14:textId="77777777" w:rsidR="00ED40B3" w:rsidRDefault="00ED40B3">
      <w:pPr>
        <w:spacing w:after="80"/>
      </w:pPr>
    </w:p>
    <w:p w14:paraId="29D2216D" w14:textId="77777777" w:rsidR="00ED40B3" w:rsidRDefault="00387C3B">
      <w:pPr>
        <w:pStyle w:val="Heading1"/>
      </w:pPr>
      <w:r>
        <w:t>8. Durability, Weathering, and Environmental Resistance</w:t>
      </w:r>
    </w:p>
    <w:p w14:paraId="7D591F2C" w14:textId="77777777" w:rsidR="00ED40B3" w:rsidRDefault="00387C3B">
      <w:pPr>
        <w:spacing w:after="160" w:line="276" w:lineRule="auto"/>
        <w:jc w:val="both"/>
      </w:pPr>
      <w:r>
        <w:t>A persistent and commercially critical concern for intumescent coatings is their susceptibility to performance degradation under prolonged environmental exposure. Unlike passive fire protection systems based on inorganic boards or cementitious materials — which are chemically stable across a wide range of service conditions — intumescent coatings are polymer-based composite systems whose fire performance depends on the chemical integrity and appropriate reactivity of their active ingredients. Any alteration to this chemical composition through environmental interaction can render the coating less effective or entirely ineffective in a fire event, even when it appears visually intact.</w:t>
      </w:r>
    </w:p>
    <w:p w14:paraId="5F0DCD40" w14:textId="77777777" w:rsidR="00ED40B3" w:rsidRDefault="00387C3B">
      <w:pPr>
        <w:spacing w:after="160" w:line="276" w:lineRule="auto"/>
        <w:jc w:val="both"/>
      </w:pPr>
      <w:r>
        <w:t xml:space="preserve">Water and moisture are widely </w:t>
      </w:r>
      <w:proofErr w:type="spellStart"/>
      <w:r>
        <w:t>recognised</w:t>
      </w:r>
      <w:proofErr w:type="spellEnd"/>
      <w:r>
        <w:t xml:space="preserve"> as the dominant environmental agents of degradation (Anees &amp; Dasari, 2018). The hygroscopicity of APP — a key component in virtually all thin-film intumescent systems — renders waterborne coatings particularly vulnerable. Prolonged exposure to high relative humidity or water immersion can leach APP from the coating matrix, leading to depletion of the acid source, reduction of the intumescent expansion factor, and formation of fragile, poorly insulating chars with large pores and low mechanical cohesion. Accelerated weathering studies conducted by several research groups </w:t>
      </w:r>
      <w:r>
        <w:lastRenderedPageBreak/>
        <w:t>have demonstrated that even moderate weathering exposures — equivalent to 500 hours in condensation cycling chambers or UV-condensation apparatus — can reduce the fire resistance time of thin-film acrylic intumescent coatings by 25–40%, with more severe degradation in coatings lacking effective topcoat protection.</w:t>
      </w:r>
    </w:p>
    <w:p w14:paraId="2F87EA3D" w14:textId="77777777" w:rsidR="00ED40B3" w:rsidRDefault="00387C3B">
      <w:pPr>
        <w:spacing w:after="160" w:line="276" w:lineRule="auto"/>
        <w:jc w:val="both"/>
      </w:pPr>
      <w:r>
        <w:t>Ultraviolet radiation is a secondary but significant degradation agent, inducing photooxidation of the polymer binder — particularly acrylic copolymers — that leads to chain scission, embrittlement, loss of adhesion, and ultimately cracking of the coating. Surface cracking exposes the active core layers to moisture, creating a synergistic degradation pathway. Thermal cycling and freeze-thaw effects present additional challenges in coatings deployed in cold climates, promoting delamination through differential thermal expansion between the intumescent coating layer and the steel substrate (Anees &amp; Dasari, 2018; Bilotta et al., 2016).</w:t>
      </w:r>
    </w:p>
    <w:p w14:paraId="0C3205C6" w14:textId="77777777" w:rsidR="00ED40B3" w:rsidRDefault="00387C3B">
      <w:pPr>
        <w:spacing w:after="160" w:line="276" w:lineRule="auto"/>
        <w:jc w:val="both"/>
      </w:pPr>
      <w:r>
        <w:t>The practical response to durability challenges involves several complementary strategies. Application of an impermeable topcoat system — typically a polyurethane or fluoropolymer-based paint — substantially improves resistance to moisture ingress and UV degradation, at the cost of additional material layers and applied weight. Microencapsulation of APP in organic or inorganic shells reduces its inherent hygroscopicity and leaching tendency while maintaining its thermal decomposition activity. Chemical modification of APP — for example by surface grafting with silane coupling agents or coating with melamine resin — has also been shown to improve moisture resistance (Anees &amp; Dasari, 2018). The use of epoxy binders inherently improves moisture barrier performance relative to acrylic systems. Regulatory standards for durability assessment, such as EAD 350402-00-1106, require accelerated weathering tests followed by fire resistance evaluation to verify that the coating system retains adequate performance after simulated in-service exposure; however, extrapolating these short-duration laboratory tests to predict actual service lives extending beyond 10 years remains an area of active investigation.</w:t>
      </w:r>
    </w:p>
    <w:p w14:paraId="761427B6" w14:textId="77777777" w:rsidR="00ED40B3" w:rsidRDefault="00ED40B3">
      <w:pPr>
        <w:spacing w:after="80"/>
      </w:pPr>
    </w:p>
    <w:p w14:paraId="7E446674" w14:textId="77777777" w:rsidR="00ED40B3" w:rsidRDefault="00387C3B">
      <w:pPr>
        <w:pStyle w:val="Heading1"/>
      </w:pPr>
      <w:r>
        <w:t>9. Testing Standards and Regulatory Frameworks</w:t>
      </w:r>
    </w:p>
    <w:p w14:paraId="211B5B5D" w14:textId="77777777" w:rsidR="00ED40B3" w:rsidRDefault="00387C3B">
      <w:pPr>
        <w:spacing w:after="160" w:line="276" w:lineRule="auto"/>
        <w:jc w:val="both"/>
      </w:pPr>
      <w:r>
        <w:t xml:space="preserve">The qualification and regulation of intumescent fireproof coatings for structural steel are governed by a hierarchy of testing standards, assessment procedures, and national regulatory frameworks that collectively determine whether a product can be placed on the market and specify the conditions under which it may be used in fire safety design. Understanding these frameworks is essential to </w:t>
      </w:r>
      <w:proofErr w:type="spellStart"/>
      <w:r>
        <w:t>contextualising</w:t>
      </w:r>
      <w:proofErr w:type="spellEnd"/>
      <w:r>
        <w:t xml:space="preserve"> performance data from academic research and to identifying the gaps between laboratory-scale investigations and commercially </w:t>
      </w:r>
      <w:proofErr w:type="spellStart"/>
      <w:r>
        <w:t>recognised</w:t>
      </w:r>
      <w:proofErr w:type="spellEnd"/>
      <w:r>
        <w:t xml:space="preserve"> fire resistance ratings.</w:t>
      </w:r>
    </w:p>
    <w:p w14:paraId="318CD5EE" w14:textId="77777777" w:rsidR="00ED40B3" w:rsidRDefault="00387C3B">
      <w:pPr>
        <w:pStyle w:val="Heading2"/>
      </w:pPr>
      <w:r>
        <w:t>9.1 Cellulosic Fire Testing</w:t>
      </w:r>
    </w:p>
    <w:p w14:paraId="02F7C875" w14:textId="77777777" w:rsidR="00ED40B3" w:rsidRDefault="00387C3B">
      <w:pPr>
        <w:spacing w:after="160" w:line="276" w:lineRule="auto"/>
        <w:jc w:val="both"/>
      </w:pPr>
      <w:r>
        <w:t xml:space="preserve">For building applications, the standard fire exposure scenario is the cellulosic ISO 834 fire curve (ISO 834-1), which approximates the compartment temperature evolution during a fire growing in a fuel-controlled environment. In Europe, the test method for determining the fire resistance contribution of intumescent coatings to structural steel members is EN 13381-8, </w:t>
      </w:r>
      <w:r>
        <w:lastRenderedPageBreak/>
        <w:t>which specifies procedures for testing steel sections of defined geometry and section factor range, extracting effective thermal conductivity data from the test results, and producing dry film thickness (DFT) loading tables that define the coating thickness required to achieve a given fire resistance period (typically R30, R60, or R90 in minutes) for sections of specified section factors (Lucherini &amp; Maluk, 2019). The British Standard BS 476-20/21 represents an alternative and historically widely used standard for the same purpose; a comprehensive analysis of data from 62 commercially available intumescent coatings tested to both EN 13381-8 and BS 476 found that fire resistance times are typically 10–15% lower under EN testing conditions than under BS conditions, a difference attributed to methodology nuances rather than product performance differences per se.</w:t>
      </w:r>
    </w:p>
    <w:p w14:paraId="76D1DE6F" w14:textId="77777777" w:rsidR="00ED40B3" w:rsidRDefault="00387C3B">
      <w:pPr>
        <w:spacing w:after="160" w:line="276" w:lineRule="auto"/>
        <w:jc w:val="both"/>
      </w:pPr>
      <w:r>
        <w:t xml:space="preserve">A significant limitation of the EN 13381-8 assessment framework acknowledged widely in the research literature is that the effective thermal conductivity extracted under the ISO 834 curve cannot reliably be applied to predict intumescent coating </w:t>
      </w:r>
      <w:proofErr w:type="spellStart"/>
      <w:r>
        <w:t>behaviour</w:t>
      </w:r>
      <w:proofErr w:type="spellEnd"/>
      <w:r>
        <w:t xml:space="preserve"> under natural or parametric fire exposures, which differ substantially in their heating rates and peak temperatures. The reactive nature of intumescent coatings means that their performance is sensitive to the heating rate; a slow-heating natural fire scenario may trigger the intumescent reaction at lower temperatures than the ISO 834 curve, with different char quality consequences (Dreyer et al., 2021). This limitation has motivated a move towards performance-based fire safety engineering that accounts for realistic fire scenarios, though regulatory frameworks in several jurisdictions currently prohibit the use of intumescent coatings in fire safety engineering assessments based on natural fire curves, pending development of appropriate test protocols.</w:t>
      </w:r>
    </w:p>
    <w:p w14:paraId="6C4F2F6D" w14:textId="77777777" w:rsidR="00ED40B3" w:rsidRDefault="00387C3B">
      <w:pPr>
        <w:pStyle w:val="Heading2"/>
      </w:pPr>
      <w:r>
        <w:t>9.2 Hydrocarbon Fire Testing</w:t>
      </w:r>
    </w:p>
    <w:p w14:paraId="34DB571E" w14:textId="77777777" w:rsidR="00ED40B3" w:rsidRDefault="00387C3B">
      <w:pPr>
        <w:spacing w:after="160" w:line="276" w:lineRule="auto"/>
        <w:jc w:val="both"/>
      </w:pPr>
      <w:r>
        <w:t xml:space="preserve">For the oil and gas industry and other high-risk hydrocarbon fire environments, the appropriate standard fire exposure is the UL 1709 curve, which reaches approximately 1,000 °C within the first five minutes of exposure. In Europe, the equivalent standard is the EN 1363-2 hydrocarbon fire curve. Qualification of hydrocarbon intumescent coatings involves testing in gas-fired industrial furnaces capable of replicating these conditions. The high cost and large scale of industrial furnace testing have motivated significant effort towards development of laboratory-scale furnace and bench-scale test methodologies that can provide cost-effective screening during formulation development whilst maintaining reasonable correlation with industrial test results. Dreyer et al. (2023) described a novel laboratory apparatus (the </w:t>
      </w:r>
      <w:proofErr w:type="spellStart"/>
      <w:r>
        <w:t>CoaST</w:t>
      </w:r>
      <w:proofErr w:type="spellEnd"/>
      <w:r>
        <w:t xml:space="preserve">-Fire) capable of replicating a wide range of standard and non-standard fire temperature-time curves with high repeatability, offering a significant advance in the rapid screening of hydrocarbon intumescent coating formulations. The quality, morphology, and layered structure of the char produced by epoxy hydrocarbon intumescent coatings have been extensively </w:t>
      </w:r>
      <w:proofErr w:type="spellStart"/>
      <w:r>
        <w:t>characterised</w:t>
      </w:r>
      <w:proofErr w:type="spellEnd"/>
      <w:r>
        <w:t xml:space="preserve"> using micro-computed tomography, scanning electron microscopy, and stratification analysis, providing mechanistic insight into the relationships between formulation variables and fire protection performance (Zeng et al., 2020; Wang et al., 2021).</w:t>
      </w:r>
    </w:p>
    <w:p w14:paraId="5DA9F0BD" w14:textId="77777777" w:rsidR="00ED40B3" w:rsidRDefault="00387C3B">
      <w:pPr>
        <w:pStyle w:val="Heading2"/>
      </w:pPr>
      <w:r>
        <w:t>9.3 Qualification, Design, and Reliability Considerations</w:t>
      </w:r>
    </w:p>
    <w:p w14:paraId="5B857081" w14:textId="77777777" w:rsidR="00ED40B3" w:rsidRDefault="00387C3B">
      <w:pPr>
        <w:spacing w:after="160" w:line="276" w:lineRule="auto"/>
        <w:jc w:val="both"/>
      </w:pPr>
      <w:r>
        <w:lastRenderedPageBreak/>
        <w:t>The commercial qualification of intumescent coatings typically culminates in the issuance of a European Technical Assessment (ETA) or equivalent national approval document, which specifies the DFT loading tables, section factor ranges, system configuration (primer, intumescent layer, topcoat), and durability classification for which the coating is deemed suitable. These documents are the legal basis for specifying intumescent coatings in structural fire engineering practice. In the engineering design process, the DFT required for a given steel section and fire resistance rating is determined from these tables, taking account of the section factor (the ratio of the heated perimeter to the cross-sectional area of the member). A key recent contribution to the field has been reliability analysis of the statistical variability in both coating DFT achieved in practical application and the effective thermal conductivity extracted from fire tests; analysis using Monte Carlo simulation has shown that the variability inherent in both quantities introduces meaningful probability of structural failure that may not meet required reliability targets, suggesting that safety factors should be applied to the nominal thermal conductivity values when designing for life safety applications (Lucherini &amp; Maluk, 2019; Dreyer et al., 2021).</w:t>
      </w:r>
    </w:p>
    <w:p w14:paraId="2939E9A5" w14:textId="77777777" w:rsidR="00ED40B3" w:rsidRDefault="00ED40B3">
      <w:pPr>
        <w:spacing w:after="80"/>
      </w:pPr>
    </w:p>
    <w:p w14:paraId="2DC51E2F" w14:textId="77777777" w:rsidR="00ED40B3" w:rsidRDefault="00387C3B">
      <w:pPr>
        <w:pStyle w:val="Heading1"/>
      </w:pPr>
      <w:r>
        <w:t>10. Current Research Trends and Development Directions</w:t>
      </w:r>
    </w:p>
    <w:p w14:paraId="7E23B03C" w14:textId="77777777" w:rsidR="00ED40B3" w:rsidRDefault="00387C3B">
      <w:pPr>
        <w:spacing w:after="160" w:line="276" w:lineRule="auto"/>
        <w:jc w:val="both"/>
      </w:pPr>
      <w:r>
        <w:t>The field of intumescent fireproof coatings is currently evolving along several convergent research trajectories, each responding to distinct technical, commercial, or regulatory drivers. These trajectories are not mutually exclusive — indeed the most promising systems under development integrate advances from multiple directions.</w:t>
      </w:r>
    </w:p>
    <w:p w14:paraId="3A2CF2B8" w14:textId="77777777" w:rsidR="00ED40B3" w:rsidRDefault="00387C3B">
      <w:pPr>
        <w:pStyle w:val="Heading2"/>
      </w:pPr>
      <w:r>
        <w:t>10.1 Multifunctional Coatings</w:t>
      </w:r>
    </w:p>
    <w:p w14:paraId="69685FAC" w14:textId="77777777" w:rsidR="00ED40B3" w:rsidRDefault="00387C3B">
      <w:pPr>
        <w:spacing w:after="160" w:line="276" w:lineRule="auto"/>
        <w:jc w:val="both"/>
      </w:pPr>
      <w:r>
        <w:t>There is strong industrial interest in coatings that simultaneously deliver fire protection and one or more additional functional properties — most notably corrosion inhibition and anti-fouling performance for offshore and marine applications. The provision of both fire protection and long-term corrosion resistance from a single coating system eliminates one or more process steps and reduces the total system thickness. Research in this area has explored the incorporation of zinc-rich primer chemistry, nano-zinc oxide, and ion-exchange pigments within or beneath intumescent layers, as well as the development of silicone-based intumescent systems that offer inherently superior resistance to UV degradation and high-temperature oxidation compared to their acrylic or epoxy counterparts. Self-healing fire-protective coatings — in which mechanical damage to the coating triggers the release of healing agents from embedded microcapsules, restoring the film integrity and thereby maintaining both the aesthetic and fire-protective properties — represent an ambitious frontier concept that has been demonstrated at laboratory scale (Fu et al., 2025).</w:t>
      </w:r>
    </w:p>
    <w:p w14:paraId="642B39BA" w14:textId="77777777" w:rsidR="00ED40B3" w:rsidRDefault="00387C3B">
      <w:pPr>
        <w:pStyle w:val="Heading2"/>
      </w:pPr>
      <w:r>
        <w:t>10.2 Green Chemistry Approaches</w:t>
      </w:r>
    </w:p>
    <w:p w14:paraId="69527227" w14:textId="77777777" w:rsidR="00ED40B3" w:rsidRDefault="00387C3B">
      <w:pPr>
        <w:spacing w:after="160" w:line="276" w:lineRule="auto"/>
        <w:jc w:val="both"/>
      </w:pPr>
      <w:r>
        <w:t xml:space="preserve">As noted in Section 7, the pursuit of bio-based and low-environmental-impact intumescent systems is a major current research priority. Beyond the substitution of individual components, there is growing interest in systems that achieve reduced overall toxicity throughout the product lifecycle — from synthesis of raw materials through application, </w:t>
      </w:r>
      <w:r>
        <w:lastRenderedPageBreak/>
        <w:t>service life, and end-of-life scenarios. Halogen-free, phosphorus-nitrogen intumescent systems have largely supplanted halogenated formulations in building applications in most developed markets, driven by regulatory restrictions and evidence of bioaccumulation and endocrine disruption associated with certain halogenated flame retardants. Waterborne coatings with minimal organic solvent content represent the standard for new product development. Life cycle assessment (LCA) frameworks are increasingly being applied to quantify the environmental footprint of novel intumescent formulations, enabling evidence-based comparison of competing sustainability claims (Puri &amp; Khanna, 2017).</w:t>
      </w:r>
    </w:p>
    <w:p w14:paraId="1AF23D5A" w14:textId="77777777" w:rsidR="00ED40B3" w:rsidRDefault="00387C3B">
      <w:pPr>
        <w:pStyle w:val="Heading2"/>
      </w:pPr>
      <w:r>
        <w:t xml:space="preserve">10.3 Advanced </w:t>
      </w:r>
      <w:proofErr w:type="spellStart"/>
      <w:r>
        <w:t>Characterisation</w:t>
      </w:r>
      <w:proofErr w:type="spellEnd"/>
      <w:r>
        <w:t xml:space="preserve"> and Computational Modelling</w:t>
      </w:r>
    </w:p>
    <w:p w14:paraId="5A2870D9" w14:textId="77777777" w:rsidR="00ED40B3" w:rsidRDefault="00387C3B">
      <w:pPr>
        <w:spacing w:after="160" w:line="276" w:lineRule="auto"/>
        <w:jc w:val="both"/>
      </w:pPr>
      <w:r>
        <w:t xml:space="preserve">Progress in analytical and computational tools is enabling more detailed mechanistic understanding of the intumescence process and more reliable prediction of fire protection performance without recourse to expensive full-scale fire tests. Advanced in-situ </w:t>
      </w:r>
      <w:proofErr w:type="spellStart"/>
      <w:r>
        <w:t>characterisation</w:t>
      </w:r>
      <w:proofErr w:type="spellEnd"/>
      <w:r>
        <w:t xml:space="preserve"> techniques — including synchrotron X-ray diffraction, high-speed optical imaging of the swelling process, micro-CT imaging of char morphology, and Raman spectroscopy of </w:t>
      </w:r>
      <w:proofErr w:type="spellStart"/>
      <w:r>
        <w:t>carbonisation</w:t>
      </w:r>
      <w:proofErr w:type="spellEnd"/>
      <w:r>
        <w:t xml:space="preserve"> sequences — are revealing the complex phase chemistry and physical transformations occurring during intumescence at unprecedented resolution (Dreyer et al., 2021). Computational fluid dynamics (CFD) and finite element analysis (FEA) models are being developed to simulate the heat transfer through intumescent char layers under different fire conditions, to predict the steel temperature evolution, and ultimately to extend validated performance data beyond the specific section factors and DFT values tested in fire resistance furnaces. The development of the </w:t>
      </w:r>
      <w:proofErr w:type="spellStart"/>
      <w:r>
        <w:t>CoaST</w:t>
      </w:r>
      <w:proofErr w:type="spellEnd"/>
      <w:r>
        <w:t>-Fire apparatus and related methodologies that allow well-controlled testing under a wide range of fire curves at laboratory scale facilitates the generation of high-quality experimental datasets for model validation (Dreyer et al., 2023). Machine learning approaches applied to large fire test datasets — including datasets from the commercial qualification testing of multiple commercial products — offer the prospect of data-driven models capable of predicting fire protection performance from formulation descriptors, potentially accelerating the product development cycle substantially.</w:t>
      </w:r>
    </w:p>
    <w:p w14:paraId="5C7E15CA" w14:textId="77777777" w:rsidR="00ED40B3" w:rsidRDefault="00ED40B3">
      <w:pPr>
        <w:spacing w:after="80"/>
      </w:pPr>
    </w:p>
    <w:p w14:paraId="6C16C1DE" w14:textId="77777777" w:rsidR="00ED40B3" w:rsidRDefault="00387C3B">
      <w:pPr>
        <w:pStyle w:val="Heading1"/>
      </w:pPr>
      <w:r>
        <w:t>11. Challenges and Future Prospects</w:t>
      </w:r>
    </w:p>
    <w:p w14:paraId="40185989" w14:textId="77777777" w:rsidR="00ED40B3" w:rsidRDefault="00387C3B">
      <w:pPr>
        <w:spacing w:after="160" w:line="276" w:lineRule="auto"/>
        <w:jc w:val="both"/>
      </w:pPr>
      <w:r>
        <w:t>Despite the considerable advances documented in this review, intumescent fireproof coatings for steel structures face a number of persistent and emerging challenges that limit their performance, reliability, and sustainability. Addressing these challenges will require sustained interdisciplinary research and close collaboration between academic researchers, industrial formulators, standards bodies, and regulatory authorities.</w:t>
      </w:r>
    </w:p>
    <w:p w14:paraId="012FA83A" w14:textId="77777777" w:rsidR="00ED40B3" w:rsidRDefault="00387C3B">
      <w:pPr>
        <w:spacing w:after="160" w:line="276" w:lineRule="auto"/>
        <w:jc w:val="both"/>
      </w:pPr>
      <w:r>
        <w:t xml:space="preserve">The moisture sensitivity of the active intumescent components — and particularly of APP — remains a fundamental constraint on the durability of waterborne thin-film coatings in exposed or humid environments. Whilst microencapsulation, surface modification, and topcoat strategies provide partial mitigation, none has fully resolved the issue; further advances in encapsulant chemistry, compatibility with waterborne binders, and long-term seal integrity are needed. The performance of intumescent coatings under natural fire conditions — </w:t>
      </w:r>
      <w:proofErr w:type="spellStart"/>
      <w:r>
        <w:t>characterised</w:t>
      </w:r>
      <w:proofErr w:type="spellEnd"/>
      <w:r>
        <w:t xml:space="preserve"> by non-standard heating rates, growth and decay phases, and spatially non-</w:t>
      </w:r>
      <w:r>
        <w:lastRenderedPageBreak/>
        <w:t xml:space="preserve">uniform temperature distributions — is poorly </w:t>
      </w:r>
      <w:proofErr w:type="spellStart"/>
      <w:r>
        <w:t>characterised</w:t>
      </w:r>
      <w:proofErr w:type="spellEnd"/>
      <w:r>
        <w:t xml:space="preserve"> relative to their performance under </w:t>
      </w:r>
      <w:proofErr w:type="spellStart"/>
      <w:r>
        <w:t>standardised</w:t>
      </w:r>
      <w:proofErr w:type="spellEnd"/>
      <w:r>
        <w:t xml:space="preserve"> ISO 834 or UL 1709 conditions. The interaction between the reactive nature of intumescent coatings and the specific heating rate history of a natural fire exposure can lead to either premature triggering of the intumescent reaction (with inadequate char quality) or delayed onset that fails to protect the steel in the critical early phases of fire development. Closing this knowledge gap requires both extensive experimental </w:t>
      </w:r>
      <w:proofErr w:type="spellStart"/>
      <w:r>
        <w:t>programmes</w:t>
      </w:r>
      <w:proofErr w:type="spellEnd"/>
      <w:r>
        <w:t xml:space="preserve"> across a wide range of fire scenarios and the development of validated computational models capable of predicting temperature-dependent coating </w:t>
      </w:r>
      <w:proofErr w:type="spellStart"/>
      <w:r>
        <w:t>behaviour</w:t>
      </w:r>
      <w:proofErr w:type="spellEnd"/>
      <w:r>
        <w:t xml:space="preserve"> under any heating regime.</w:t>
      </w:r>
    </w:p>
    <w:p w14:paraId="1C55692D" w14:textId="77777777" w:rsidR="00ED40B3" w:rsidRDefault="00387C3B">
      <w:pPr>
        <w:spacing w:after="160" w:line="276" w:lineRule="auto"/>
        <w:jc w:val="both"/>
      </w:pPr>
      <w:r>
        <w:t xml:space="preserve">The scalable manufacture and long-term field performance of bio-based and sustainable intumescent formulations represents another significant challenge. Most bio-based systems reported in the academic literature have been evaluated only at laboratory scale under </w:t>
      </w:r>
      <w:proofErr w:type="spellStart"/>
      <w:r>
        <w:t>idealised</w:t>
      </w:r>
      <w:proofErr w:type="spellEnd"/>
      <w:r>
        <w:t xml:space="preserve"> conditions, and their translation to robust commercial products that can meet the same performance, shelf life, and application requirements as incumbent petroleum-derived systems requires considerable further development. Regulatory bodies will also need to update qualification and assessment procedures to accommodate bio-based systems whose chemical composition and reactivity differ fundamentally from the phosphate-nitrogen intumescent chemistry that underpins existing standards.</w:t>
      </w:r>
    </w:p>
    <w:p w14:paraId="13B0AE5B" w14:textId="77777777" w:rsidR="00ED40B3" w:rsidRDefault="00387C3B">
      <w:pPr>
        <w:spacing w:after="160" w:line="276" w:lineRule="auto"/>
        <w:jc w:val="both"/>
      </w:pPr>
      <w:r>
        <w:t xml:space="preserve">Looking ahead, the integration of digital fabrication and smart coating technologies presents intriguing future possibilities. Functionally graded intumescent coatings — with intentional composition gradients that </w:t>
      </w:r>
      <w:proofErr w:type="spellStart"/>
      <w:r>
        <w:t>optimise</w:t>
      </w:r>
      <w:proofErr w:type="spellEnd"/>
      <w:r>
        <w:t xml:space="preserve"> the char structure across the thickness — could be </w:t>
      </w:r>
      <w:proofErr w:type="spellStart"/>
      <w:r>
        <w:t>realised</w:t>
      </w:r>
      <w:proofErr w:type="spellEnd"/>
      <w:r>
        <w:t xml:space="preserve"> by multi-pass spray deposition under computational control. Sensor-integrated coatings capable of monitoring their own condition — detecting moisture uptake, APP depletion, or adhesion loss — and transmitting this information through building management systems would enable proactive maintenance and replacement before performance has been compromised, greatly enhancing the reliability of passive fire protection systems over the full design service life of buildings. The convergence of these technological trends with advances in sustainable chemistry and improved quantitative understanding of the intumescence mechanism positions the field for a transformative decade of development.</w:t>
      </w:r>
    </w:p>
    <w:p w14:paraId="7C1D9137" w14:textId="77777777" w:rsidR="00ED40B3" w:rsidRDefault="00ED40B3">
      <w:pPr>
        <w:spacing w:after="80"/>
      </w:pPr>
    </w:p>
    <w:p w14:paraId="1558DD5D" w14:textId="77777777" w:rsidR="00ED40B3" w:rsidRDefault="00387C3B">
      <w:pPr>
        <w:pStyle w:val="Heading1"/>
      </w:pPr>
      <w:r>
        <w:t>12. Conclusions</w:t>
      </w:r>
    </w:p>
    <w:p w14:paraId="0D30E3B9" w14:textId="77777777" w:rsidR="00ED40B3" w:rsidRDefault="00387C3B">
      <w:pPr>
        <w:spacing w:after="160" w:line="276" w:lineRule="auto"/>
        <w:jc w:val="both"/>
      </w:pPr>
      <w:r>
        <w:t>This review has provided a comprehensive synthesis of the current state of knowledge and leading development trends in intumescent fireproof coatings for structural steel. The following principal conclusions emerge from the literature surveyed. The tripartite active system — acid source, char-forming agent, and blowing agent — remains the chemical foundation of virtually all commercial intumescent formulations, but the range of materials that can fulfil each functional role has expanded substantially, with renewable bio-based alternatives receiving growing research attention.</w:t>
      </w:r>
    </w:p>
    <w:p w14:paraId="279CE6C2" w14:textId="77777777" w:rsidR="00ED40B3" w:rsidRDefault="00387C3B">
      <w:pPr>
        <w:spacing w:after="160" w:line="276" w:lineRule="auto"/>
        <w:jc w:val="both"/>
      </w:pPr>
      <w:r>
        <w:t xml:space="preserve">Nanotechnology-derived additives including graphene, graphene oxide, layered double hydroxides, halloysite nanotubes, and </w:t>
      </w:r>
      <w:proofErr w:type="spellStart"/>
      <w:r>
        <w:t>nanoclay</w:t>
      </w:r>
      <w:proofErr w:type="spellEnd"/>
      <w:r>
        <w:t xml:space="preserve"> minerals have demonstrated clear potential to </w:t>
      </w:r>
      <w:r>
        <w:lastRenderedPageBreak/>
        <w:t>improve char quality, mechanical integrity, and thermal insulation efficiency, though translation of laboratory findings to robust commercial systems requires resolution of dispersion and compatibility challenges. The durability of intumescent coatings under environmental exposure — particularly in relation to moisture, UV radiation, and thermal cycling — is the most commercially critical limitation of current systems and represents an area where further fundamental and applied research is urgently required.</w:t>
      </w:r>
    </w:p>
    <w:p w14:paraId="494D5CF2" w14:textId="77777777" w:rsidR="00ED40B3" w:rsidRDefault="00387C3B">
      <w:pPr>
        <w:spacing w:after="160" w:line="276" w:lineRule="auto"/>
        <w:jc w:val="both"/>
      </w:pPr>
      <w:r>
        <w:t xml:space="preserve">Testing standards such as EN 13381-8 and UL 1709 provide the regulatory basis for commercial qualification, but their limitations under non-standard fire exposures and the statistical uncertainties inherent in the qualification process necessitate careful application of engineering judgement and appropriate reliability analyses in design practice. Novel experimental methodologies — including the </w:t>
      </w:r>
      <w:proofErr w:type="spellStart"/>
      <w:r>
        <w:t>CoaST</w:t>
      </w:r>
      <w:proofErr w:type="spellEnd"/>
      <w:r>
        <w:t xml:space="preserve">-Fire concept and advanced in-situ </w:t>
      </w:r>
      <w:proofErr w:type="spellStart"/>
      <w:r>
        <w:t>characterisation</w:t>
      </w:r>
      <w:proofErr w:type="spellEnd"/>
      <w:r>
        <w:t xml:space="preserve"> techniques — are improving the mechanistic understanding of the intumescence process and enabling more rigorous assessment across a wider range of fire conditions. The field is moving steadily towards sustainable, halogen-free, low-VOC waterborne systems that comply with increasingly stringent environmental regulations whilst maintaining or improving fire protection performance. This transition will require continued innovation in formulation chemistry, processing technology, and qualification methodology, supported by interdisciplinary collaboration between materials scientists, structural fire engineers, and regulatory stakeholders.</w:t>
      </w:r>
    </w:p>
    <w:p w14:paraId="37F379CB" w14:textId="77777777" w:rsidR="00ED40B3" w:rsidRDefault="00ED40B3">
      <w:pPr>
        <w:spacing w:after="80"/>
      </w:pPr>
    </w:p>
    <w:p w14:paraId="12943E56" w14:textId="77777777" w:rsidR="00ED40B3" w:rsidRDefault="00387C3B">
      <w:pPr>
        <w:pStyle w:val="Heading1"/>
      </w:pPr>
      <w:r>
        <w:t>13. Limitations</w:t>
      </w:r>
    </w:p>
    <w:p w14:paraId="5C2817B2" w14:textId="77777777" w:rsidR="00ED40B3" w:rsidRDefault="00387C3B">
      <w:pPr>
        <w:spacing w:after="160" w:line="276" w:lineRule="auto"/>
        <w:jc w:val="both"/>
      </w:pPr>
      <w:r>
        <w:t>This review is subject to several limitations that should be borne in mind when interpreting its conclusions. Firstly, the literature search, whilst systematic in approach, was conducted using a defined set of search strings and a limited selection of academic databases; it is possible that relevant publications in non-English languages, or indexed only in regional databases, have not been captured. The exclusion of conference proceedings, book chapters, and grey literature — necessary to ensure quality and verifiability — may have omitted some recent developmental or applied work that has not yet been formally published in peer-reviewed journals.</w:t>
      </w:r>
    </w:p>
    <w:p w14:paraId="0921F92F" w14:textId="77777777" w:rsidR="00ED40B3" w:rsidRDefault="00387C3B">
      <w:pPr>
        <w:spacing w:after="160" w:line="276" w:lineRule="auto"/>
        <w:jc w:val="both"/>
      </w:pPr>
      <w:r>
        <w:t xml:space="preserve">Secondly, the field of intumescent coating research spans multiple sub-disciplines — from polymer chemistry to structural fire engineering — and the depth of treatment in this review necessarily involves trade-offs between breadth and disciplinary specificity. Practitioners seeking detailed guidance on any single aspect (for example, the kinetics of APP decomposition, or the detailed mechanics of char adhesion under jet fire loading) should consult the </w:t>
      </w:r>
      <w:proofErr w:type="spellStart"/>
      <w:r>
        <w:t>specialised</w:t>
      </w:r>
      <w:proofErr w:type="spellEnd"/>
      <w:r>
        <w:t xml:space="preserve"> literature for those topics. Thirdly, commercial product formulations are frequently proprietary, and the academic literature therefore addresses a subset of the intellectual property landscape; conclusions regarding the state of technology may underrepresent advances that are protected by patent or kept as trade secrets. Finally, the very recent character of some of the cited works means that the findings reported therein have not yet been independently replicated or challenged in subsequent publications; readers should </w:t>
      </w:r>
      <w:r>
        <w:lastRenderedPageBreak/>
        <w:t>treat the most recent results as promising but not definitively established until corroborated by further studies.</w:t>
      </w:r>
    </w:p>
    <w:p w14:paraId="39CADC4A" w14:textId="77777777" w:rsidR="0091159E" w:rsidRDefault="0091159E">
      <w:pPr>
        <w:spacing w:after="160" w:line="276" w:lineRule="auto"/>
        <w:jc w:val="both"/>
      </w:pPr>
    </w:p>
    <w:p w14:paraId="787FF8A1" w14:textId="77777777" w:rsidR="0091159E" w:rsidRDefault="0091159E" w:rsidP="0091159E">
      <w:pPr>
        <w:spacing w:after="160" w:line="276" w:lineRule="auto"/>
        <w:jc w:val="both"/>
      </w:pPr>
      <w:bookmarkStart w:id="0" w:name="_GoBack"/>
      <w:r>
        <w:t>COMPETING INTERESTS DISCLAIMER:</w:t>
      </w:r>
    </w:p>
    <w:bookmarkEnd w:id="0"/>
    <w:p w14:paraId="7D2EA85E" w14:textId="02FF9BDB" w:rsidR="0091159E" w:rsidRPr="000F3401" w:rsidRDefault="0091159E">
      <w:pPr>
        <w:pStyle w:val="Heading1"/>
        <w:rPr>
          <w:b w:val="0"/>
          <w:sz w:val="22"/>
        </w:rPr>
      </w:pPr>
      <w:r w:rsidRPr="000F3401">
        <w:rPr>
          <w:b w:val="0"/>
          <w:sz w:val="22"/>
        </w:rPr>
        <w:t>Authors have declared that they have no known competing financial interests OR non-financial interests OR personal relationships that could have appeared to influence the work reported in this paper.</w:t>
      </w:r>
    </w:p>
    <w:p w14:paraId="230ADB3B" w14:textId="77777777" w:rsidR="00273308" w:rsidRDefault="00273308">
      <w:pPr>
        <w:pStyle w:val="Heading1"/>
      </w:pPr>
    </w:p>
    <w:p w14:paraId="406BF209" w14:textId="77777777" w:rsidR="00157C61" w:rsidRPr="00005ED1" w:rsidRDefault="00157C61" w:rsidP="00157C61">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83125BB" w14:textId="77777777" w:rsidR="00157C61" w:rsidRPr="00005ED1" w:rsidRDefault="00157C61" w:rsidP="00157C61">
      <w:pPr>
        <w:pStyle w:val="NoSpacing"/>
        <w:rPr>
          <w:rFonts w:ascii="Arial" w:hAnsi="Arial" w:cs="Arial"/>
          <w:highlight w:val="yellow"/>
        </w:rPr>
      </w:pPr>
    </w:p>
    <w:p w14:paraId="60811DF8" w14:textId="77777777" w:rsidR="00157C61" w:rsidRPr="00005ED1" w:rsidRDefault="00157C61" w:rsidP="00157C6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467A549" w14:textId="77777777" w:rsidR="00157C61" w:rsidRDefault="00157C61" w:rsidP="00157C61">
      <w:pPr>
        <w:pStyle w:val="NoSpacing"/>
        <w:rPr>
          <w:rFonts w:ascii="Arial" w:hAnsi="Arial" w:cs="Arial"/>
        </w:rPr>
      </w:pPr>
    </w:p>
    <w:p w14:paraId="0C553AA7" w14:textId="77777777" w:rsidR="0091159E" w:rsidRDefault="0091159E">
      <w:pPr>
        <w:pStyle w:val="Heading1"/>
      </w:pPr>
    </w:p>
    <w:p w14:paraId="68148D9B" w14:textId="01FE1AC2" w:rsidR="00ED40B3" w:rsidRDefault="00387C3B">
      <w:pPr>
        <w:pStyle w:val="Heading1"/>
      </w:pPr>
      <w:r>
        <w:t>References</w:t>
      </w:r>
    </w:p>
    <w:p w14:paraId="77896B44" w14:textId="77777777" w:rsidR="00ED40B3" w:rsidRDefault="00387C3B" w:rsidP="00387C3B">
      <w:pPr>
        <w:spacing w:after="120" w:line="252" w:lineRule="auto"/>
        <w:jc w:val="both"/>
      </w:pPr>
      <w:r w:rsidRPr="00387C3B">
        <w:rPr>
          <w:sz w:val="22"/>
          <w:szCs w:val="22"/>
        </w:rPr>
        <w:t xml:space="preserve">Alongi, J., Han, Z., &amp; </w:t>
      </w:r>
      <w:proofErr w:type="spellStart"/>
      <w:r w:rsidRPr="00387C3B">
        <w:rPr>
          <w:sz w:val="22"/>
          <w:szCs w:val="22"/>
        </w:rPr>
        <w:t>Bourbigot</w:t>
      </w:r>
      <w:proofErr w:type="spellEnd"/>
      <w:r w:rsidRPr="00387C3B">
        <w:rPr>
          <w:sz w:val="22"/>
          <w:szCs w:val="22"/>
        </w:rPr>
        <w:t>, S. (2015). Intumescence: Tradition versus novelty. A comprehensive review. Progress in Polymer Science, 51, 28–73. https://doi.org/10.1016/j.progpolymsci.2015.04.010</w:t>
      </w:r>
    </w:p>
    <w:p w14:paraId="6DE5087C" w14:textId="77777777" w:rsidR="00ED40B3" w:rsidRDefault="00387C3B" w:rsidP="00387C3B">
      <w:pPr>
        <w:spacing w:after="120" w:line="252" w:lineRule="auto"/>
        <w:jc w:val="both"/>
      </w:pPr>
      <w:r w:rsidRPr="00387C3B">
        <w:rPr>
          <w:sz w:val="22"/>
          <w:szCs w:val="22"/>
        </w:rPr>
        <w:t>Anees, S. M., &amp; Dasari, A. (2018). A review on the environmental durability of intumescent coatings for steels. Journal of Materials Science, 53(1), 124–145. https://doi.org/10.1007/s10853-017-1500-0</w:t>
      </w:r>
    </w:p>
    <w:p w14:paraId="068375C3" w14:textId="77777777" w:rsidR="00ED40B3" w:rsidRDefault="00387C3B" w:rsidP="00387C3B">
      <w:pPr>
        <w:spacing w:after="120" w:line="252" w:lineRule="auto"/>
        <w:jc w:val="both"/>
      </w:pPr>
      <w:r w:rsidRPr="00387C3B">
        <w:rPr>
          <w:sz w:val="22"/>
          <w:szCs w:val="22"/>
        </w:rPr>
        <w:t>Bilotta, A., de Silva, D., &amp; Nigro, E. (2016). Tests on intumescent paints for fire protection of existing steel structures. Construction and Building Materials, 121, 410–422. https://doi.org/10.1016/j.conbuildmat.2016.05.144</w:t>
      </w:r>
    </w:p>
    <w:p w14:paraId="7C495EED" w14:textId="77777777" w:rsidR="00ED40B3" w:rsidRDefault="00387C3B" w:rsidP="00387C3B">
      <w:pPr>
        <w:spacing w:after="120" w:line="252" w:lineRule="auto"/>
        <w:jc w:val="both"/>
      </w:pPr>
      <w:proofErr w:type="spellStart"/>
      <w:r w:rsidRPr="00387C3B">
        <w:rPr>
          <w:sz w:val="22"/>
          <w:szCs w:val="22"/>
        </w:rPr>
        <w:t>Bourbigot</w:t>
      </w:r>
      <w:proofErr w:type="spellEnd"/>
      <w:r w:rsidRPr="00387C3B">
        <w:rPr>
          <w:sz w:val="22"/>
          <w:szCs w:val="22"/>
        </w:rPr>
        <w:t>, S., &amp; Duquesne, S. (2007). Fire retardant polymers: Recent developments and opportunities. Journal of Materials Chemistry, 17(22), 2283–2300. https://doi.org/10.1039/b702511d</w:t>
      </w:r>
    </w:p>
    <w:p w14:paraId="25CBA6EE" w14:textId="77777777" w:rsidR="00ED40B3" w:rsidRDefault="00387C3B" w:rsidP="00387C3B">
      <w:pPr>
        <w:spacing w:after="120" w:line="252" w:lineRule="auto"/>
        <w:jc w:val="both"/>
      </w:pPr>
      <w:r w:rsidRPr="00387C3B">
        <w:rPr>
          <w:sz w:val="22"/>
          <w:szCs w:val="22"/>
        </w:rPr>
        <w:t xml:space="preserve">Camino, G., Costa, L., &amp; </w:t>
      </w:r>
      <w:proofErr w:type="spellStart"/>
      <w:r w:rsidRPr="00387C3B">
        <w:rPr>
          <w:sz w:val="22"/>
          <w:szCs w:val="22"/>
        </w:rPr>
        <w:t>Trossarelli</w:t>
      </w:r>
      <w:proofErr w:type="spellEnd"/>
      <w:r w:rsidRPr="00387C3B">
        <w:rPr>
          <w:sz w:val="22"/>
          <w:szCs w:val="22"/>
        </w:rPr>
        <w:t>, L. (1984). Study of the mechanism of intumescence in fire retardant polymers: Part I – Thermal degradation of ammonium polyphosphate–pentaerythritol mixtures. Polymer Degradation and Stability, 6(4), 243–252. https://doi.org/10.1016/0141-3910(84)90004-1</w:t>
      </w:r>
    </w:p>
    <w:p w14:paraId="10CFC39E" w14:textId="77777777" w:rsidR="00ED40B3" w:rsidRDefault="00387C3B" w:rsidP="00387C3B">
      <w:pPr>
        <w:spacing w:after="120" w:line="252" w:lineRule="auto"/>
        <w:jc w:val="both"/>
      </w:pPr>
      <w:r w:rsidRPr="00387C3B">
        <w:rPr>
          <w:sz w:val="22"/>
          <w:szCs w:val="22"/>
        </w:rPr>
        <w:t xml:space="preserve">Dreyer, J. A. H., Laxminarayan, T., Weinell, C. E., Dam-Johansen, K., &amp; Kiil, S. (2023). The </w:t>
      </w:r>
      <w:proofErr w:type="spellStart"/>
      <w:r w:rsidRPr="00387C3B">
        <w:rPr>
          <w:sz w:val="22"/>
          <w:szCs w:val="22"/>
        </w:rPr>
        <w:t>CoaST</w:t>
      </w:r>
      <w:proofErr w:type="spellEnd"/>
      <w:r w:rsidRPr="00387C3B">
        <w:rPr>
          <w:sz w:val="22"/>
          <w:szCs w:val="22"/>
        </w:rPr>
        <w:t>-Fire: A novel methodology to rapidly expose materials to various fire curves. Fire and Materials, 47(3), 363–374. https://doi.org/10.1002/fam.3102</w:t>
      </w:r>
    </w:p>
    <w:p w14:paraId="0D903EFF" w14:textId="77777777" w:rsidR="00ED40B3" w:rsidRDefault="00387C3B" w:rsidP="00387C3B">
      <w:pPr>
        <w:spacing w:after="120" w:line="252" w:lineRule="auto"/>
        <w:jc w:val="both"/>
      </w:pPr>
      <w:r w:rsidRPr="00387C3B">
        <w:rPr>
          <w:sz w:val="22"/>
          <w:szCs w:val="22"/>
        </w:rPr>
        <w:t xml:space="preserve">Dreyer, J. A. H., Weinell, C. E., Dam-Johansen, K., &amp; Kiil, S. (2021). Review of heat exposure equipment and in-situ </w:t>
      </w:r>
      <w:proofErr w:type="spellStart"/>
      <w:r w:rsidRPr="00387C3B">
        <w:rPr>
          <w:sz w:val="22"/>
          <w:szCs w:val="22"/>
        </w:rPr>
        <w:t>characterisation</w:t>
      </w:r>
      <w:proofErr w:type="spellEnd"/>
      <w:r w:rsidRPr="00387C3B">
        <w:rPr>
          <w:sz w:val="22"/>
          <w:szCs w:val="22"/>
        </w:rPr>
        <w:t xml:space="preserve"> techniques for intumescent coatings. Fire Safety Journal, 121, 103264. https://doi.org/10.1016/j.firesaf.2020.103264</w:t>
      </w:r>
    </w:p>
    <w:p w14:paraId="71CD71C2" w14:textId="77777777" w:rsidR="00ED40B3" w:rsidRDefault="00387C3B" w:rsidP="00387C3B">
      <w:pPr>
        <w:spacing w:after="120" w:line="252" w:lineRule="auto"/>
        <w:jc w:val="both"/>
      </w:pPr>
      <w:r w:rsidRPr="00387C3B">
        <w:rPr>
          <w:sz w:val="22"/>
          <w:szCs w:val="22"/>
        </w:rPr>
        <w:t xml:space="preserve">Duquesne, S., Bachelet, P., </w:t>
      </w:r>
      <w:proofErr w:type="spellStart"/>
      <w:r w:rsidRPr="00387C3B">
        <w:rPr>
          <w:sz w:val="22"/>
          <w:szCs w:val="22"/>
        </w:rPr>
        <w:t>Bellayer</w:t>
      </w:r>
      <w:proofErr w:type="spellEnd"/>
      <w:r w:rsidRPr="00387C3B">
        <w:rPr>
          <w:sz w:val="22"/>
          <w:szCs w:val="22"/>
        </w:rPr>
        <w:t xml:space="preserve">, S., </w:t>
      </w:r>
      <w:proofErr w:type="spellStart"/>
      <w:r w:rsidRPr="00387C3B">
        <w:rPr>
          <w:sz w:val="22"/>
          <w:szCs w:val="22"/>
        </w:rPr>
        <w:t>Bourbigot</w:t>
      </w:r>
      <w:proofErr w:type="spellEnd"/>
      <w:r w:rsidRPr="00387C3B">
        <w:rPr>
          <w:sz w:val="22"/>
          <w:szCs w:val="22"/>
        </w:rPr>
        <w:t>, S., &amp; Mertens, W. (2013). Influence of inorganic fillers on the fire protection of intumescent coatings. Journal of Fire Sciences, 31(3), 258–275. https://doi.org/10.1177/0734904112467291</w:t>
      </w:r>
    </w:p>
    <w:p w14:paraId="7192175C" w14:textId="77777777" w:rsidR="00ED40B3" w:rsidRDefault="00387C3B" w:rsidP="00387C3B">
      <w:pPr>
        <w:spacing w:after="120" w:line="252" w:lineRule="auto"/>
        <w:jc w:val="both"/>
      </w:pPr>
      <w:r w:rsidRPr="00387C3B">
        <w:rPr>
          <w:sz w:val="22"/>
          <w:szCs w:val="22"/>
        </w:rPr>
        <w:lastRenderedPageBreak/>
        <w:t>Fu, A., Ulusoy, B., Ahmadi, H., Wu, H., &amp; Dam-Johansen, K. (2025). Intumescent coatings: Comprehensive advances with a focus on inorganic-dominant systems. Progress in Organic Coatings, 199, 108939. https://doi.org/10.1016/j.porgcoat.2024.108939</w:t>
      </w:r>
    </w:p>
    <w:p w14:paraId="0C97163E" w14:textId="77777777" w:rsidR="00ED40B3" w:rsidRDefault="00387C3B" w:rsidP="00387C3B">
      <w:pPr>
        <w:spacing w:after="120" w:line="252" w:lineRule="auto"/>
        <w:jc w:val="both"/>
      </w:pPr>
      <w:r w:rsidRPr="00387C3B">
        <w:rPr>
          <w:sz w:val="22"/>
          <w:szCs w:val="22"/>
        </w:rPr>
        <w:t>Lucherini, A., &amp; Maluk, C. (2019). Intumescent coatings used for the fire-safe design of steel structures: A review. Journal of Constructional Steel Research, 162, 105712. https://doi.org/10.1016/j.jcsr.2019.105712</w:t>
      </w:r>
    </w:p>
    <w:p w14:paraId="1B3CF8B4" w14:textId="77777777" w:rsidR="00ED40B3" w:rsidRDefault="00387C3B" w:rsidP="00387C3B">
      <w:pPr>
        <w:spacing w:after="120" w:line="252" w:lineRule="auto"/>
        <w:jc w:val="both"/>
      </w:pPr>
      <w:r w:rsidRPr="00387C3B">
        <w:rPr>
          <w:sz w:val="22"/>
          <w:szCs w:val="22"/>
        </w:rPr>
        <w:t>Mariappan, T. (2016). Recent developments of intumescent fire protection coatings for structural steel: A review. Journal of Fire Sciences, 34(2), 120–163. https://doi.org/10.1177/0734904115626720</w:t>
      </w:r>
    </w:p>
    <w:p w14:paraId="0D1DE35E" w14:textId="77777777" w:rsidR="00ED40B3" w:rsidRDefault="00387C3B" w:rsidP="00387C3B">
      <w:pPr>
        <w:spacing w:after="120" w:line="252" w:lineRule="auto"/>
        <w:jc w:val="both"/>
      </w:pPr>
      <w:r w:rsidRPr="00387C3B">
        <w:rPr>
          <w:sz w:val="22"/>
          <w:szCs w:val="22"/>
        </w:rPr>
        <w:t>Puri, R. G., &amp; Khanna, A. S. (2017). Intumescent coatings: A review on recent progress. Journal of Coatings Technology and Research, 14(1), 1–20. https://doi.org/10.1007/s11998-016-9815-3</w:t>
      </w:r>
    </w:p>
    <w:p w14:paraId="4EA835AF" w14:textId="77777777" w:rsidR="00ED40B3" w:rsidRDefault="00387C3B" w:rsidP="00387C3B">
      <w:pPr>
        <w:spacing w:after="120" w:line="252" w:lineRule="auto"/>
        <w:jc w:val="both"/>
      </w:pPr>
      <w:r w:rsidRPr="00387C3B">
        <w:rPr>
          <w:sz w:val="22"/>
          <w:szCs w:val="22"/>
        </w:rPr>
        <w:t>Vandersall, H. L. (1971). Intumescent coating systems, their development and chemistry. Journal of Fire Flammability, 2, 97–140. [No DOI available; pre-digital publication]</w:t>
      </w:r>
    </w:p>
    <w:p w14:paraId="26205EAE" w14:textId="77777777" w:rsidR="00ED40B3" w:rsidRDefault="00387C3B" w:rsidP="00387C3B">
      <w:pPr>
        <w:spacing w:after="120" w:line="252" w:lineRule="auto"/>
        <w:jc w:val="both"/>
      </w:pPr>
      <w:r w:rsidRPr="00387C3B">
        <w:rPr>
          <w:sz w:val="22"/>
          <w:szCs w:val="22"/>
        </w:rPr>
        <w:t>Wang, X., Weinell, C. E., Ring, L., &amp; Kiil, S. (2021). Thermal insulation performance and char formation and degradation mechanisms of boron-containing hydrocarbon intumescent coatings. Fire Safety Journal, 123, 103369. https://doi.org/10.1016/j.firesaf.2021.103369</w:t>
      </w:r>
    </w:p>
    <w:p w14:paraId="42DD0676" w14:textId="77777777" w:rsidR="00ED40B3" w:rsidRDefault="00387C3B" w:rsidP="00387C3B">
      <w:pPr>
        <w:spacing w:after="120" w:line="252" w:lineRule="auto"/>
        <w:jc w:val="both"/>
      </w:pPr>
      <w:r w:rsidRPr="00387C3B">
        <w:rPr>
          <w:sz w:val="22"/>
          <w:szCs w:val="22"/>
        </w:rPr>
        <w:t>Yasir, M., Ahmad, F., Megat Yusoff, P. S. M., Ullah, S., &amp; Jimenez, M. (2020). Latest trends for structural steel protection by using intumescent fire protective coatings: A review. Surface Engineering, 36(4), 334–363. https://doi.org/10.1080/02670844.2019.1636536</w:t>
      </w:r>
    </w:p>
    <w:p w14:paraId="344DC11F" w14:textId="77777777" w:rsidR="00ED40B3" w:rsidRDefault="00387C3B" w:rsidP="00387C3B">
      <w:pPr>
        <w:spacing w:after="120" w:line="252" w:lineRule="auto"/>
        <w:jc w:val="both"/>
      </w:pPr>
      <w:r w:rsidRPr="00387C3B">
        <w:rPr>
          <w:sz w:val="22"/>
          <w:szCs w:val="22"/>
        </w:rPr>
        <w:t>Zeng, Y., Weinell, C. E., Dam-Johansen, K., Ring, L., &amp; Kiil, S. (2020). Effects of coating ingredients on the thermal properties and morphological structures of hydrocarbon intumescent coating chars. Progress in Organic Coatings, 143, 105626. https://doi.org/10.1016/j.porgcoat.2020.105626</w:t>
      </w:r>
    </w:p>
    <w:p w14:paraId="25F69D74" w14:textId="341F846B" w:rsidR="00ED40B3" w:rsidRDefault="00387C3B" w:rsidP="00387C3B">
      <w:pPr>
        <w:spacing w:after="120" w:line="252" w:lineRule="auto"/>
        <w:jc w:val="both"/>
        <w:rPr>
          <w:sz w:val="22"/>
          <w:szCs w:val="22"/>
        </w:rPr>
      </w:pPr>
      <w:r w:rsidRPr="00387C3B">
        <w:rPr>
          <w:sz w:val="22"/>
          <w:szCs w:val="22"/>
        </w:rPr>
        <w:t xml:space="preserve">Zhan, W., Chen, L., Gu, Z., &amp; Jiang, J. (2020). Influence of graphene on fire protection of intumescent fire retardant coating for steel structure. Energy Reports, 6, 693–697. </w:t>
      </w:r>
      <w:hyperlink r:id="rId7" w:history="1">
        <w:r w:rsidRPr="00B47537">
          <w:rPr>
            <w:rStyle w:val="Hyperlink"/>
            <w:sz w:val="22"/>
            <w:szCs w:val="22"/>
          </w:rPr>
          <w:t>https://doi.org/10.1016/j.egyr.2019.11.139</w:t>
        </w:r>
      </w:hyperlink>
      <w:r>
        <w:rPr>
          <w:sz w:val="22"/>
          <w:szCs w:val="22"/>
        </w:rPr>
        <w:t xml:space="preserve"> </w:t>
      </w:r>
    </w:p>
    <w:p w14:paraId="30DD8287" w14:textId="77777777" w:rsidR="003D7E2E" w:rsidRPr="002730A6" w:rsidRDefault="003D7E2E" w:rsidP="003D7E2E">
      <w:pPr>
        <w:pStyle w:val="NormalWeb"/>
        <w:shd w:val="clear" w:color="auto" w:fill="FFFFFF"/>
        <w:spacing w:before="0" w:beforeAutospacing="0" w:after="150" w:afterAutospacing="0"/>
        <w:rPr>
          <w:rFonts w:ascii="inherit" w:hAnsi="inherit" w:cs="Helvetica"/>
          <w:color w:val="222222"/>
          <w:szCs w:val="18"/>
        </w:rPr>
      </w:pPr>
      <w:r w:rsidRPr="002730A6">
        <w:rPr>
          <w:rFonts w:ascii="inherit" w:hAnsi="inherit" w:cs="Helvetica"/>
          <w:color w:val="222222"/>
          <w:szCs w:val="18"/>
          <w:highlight w:val="yellow"/>
        </w:rPr>
        <w:t xml:space="preserve">de Silva, D., Nuzzo, I., Nigro, E., &amp; </w:t>
      </w:r>
      <w:proofErr w:type="spellStart"/>
      <w:r w:rsidRPr="002730A6">
        <w:rPr>
          <w:rFonts w:ascii="inherit" w:hAnsi="inherit" w:cs="Helvetica"/>
          <w:color w:val="222222"/>
          <w:szCs w:val="18"/>
          <w:highlight w:val="yellow"/>
        </w:rPr>
        <w:t>Occhiuzzi</w:t>
      </w:r>
      <w:proofErr w:type="spellEnd"/>
      <w:r w:rsidRPr="002730A6">
        <w:rPr>
          <w:rFonts w:ascii="inherit" w:hAnsi="inherit" w:cs="Helvetica"/>
          <w:color w:val="222222"/>
          <w:szCs w:val="18"/>
          <w:highlight w:val="yellow"/>
        </w:rPr>
        <w:t>, A. (2022). Intumescent Coatings for Fire Resistance of Steel Structures: Current Approaches for Qualification and Design. </w:t>
      </w:r>
      <w:r w:rsidRPr="002730A6">
        <w:rPr>
          <w:rStyle w:val="Emphasis"/>
          <w:rFonts w:ascii="inherit" w:hAnsi="inherit" w:cs="Helvetica"/>
          <w:color w:val="222222"/>
          <w:szCs w:val="18"/>
          <w:highlight w:val="yellow"/>
        </w:rPr>
        <w:t>Coatings</w:t>
      </w:r>
      <w:r w:rsidRPr="002730A6">
        <w:rPr>
          <w:rFonts w:ascii="inherit" w:hAnsi="inherit" w:cs="Helvetica"/>
          <w:color w:val="222222"/>
          <w:szCs w:val="18"/>
          <w:highlight w:val="yellow"/>
        </w:rPr>
        <w:t>, </w:t>
      </w:r>
      <w:r w:rsidRPr="002730A6">
        <w:rPr>
          <w:rStyle w:val="Emphasis"/>
          <w:rFonts w:ascii="inherit" w:hAnsi="inherit" w:cs="Helvetica"/>
          <w:color w:val="222222"/>
          <w:szCs w:val="18"/>
          <w:highlight w:val="yellow"/>
        </w:rPr>
        <w:t>12</w:t>
      </w:r>
      <w:r w:rsidRPr="002730A6">
        <w:rPr>
          <w:rFonts w:ascii="inherit" w:hAnsi="inherit" w:cs="Helvetica"/>
          <w:color w:val="222222"/>
          <w:szCs w:val="18"/>
          <w:highlight w:val="yellow"/>
        </w:rPr>
        <w:t>(5), 696. https://doi.org/10.3390/coatings12050696</w:t>
      </w:r>
    </w:p>
    <w:p w14:paraId="50D65337" w14:textId="77777777" w:rsidR="002E3E5D" w:rsidRPr="002730A6" w:rsidRDefault="002E3E5D" w:rsidP="002E3E5D">
      <w:pPr>
        <w:pStyle w:val="NormalWeb"/>
        <w:shd w:val="clear" w:color="auto" w:fill="FFFFFF"/>
        <w:spacing w:before="0" w:beforeAutospacing="0" w:after="150" w:afterAutospacing="0"/>
        <w:rPr>
          <w:rFonts w:ascii="inherit" w:hAnsi="inherit" w:cs="Helvetica"/>
          <w:color w:val="222222"/>
          <w:sz w:val="20"/>
          <w:szCs w:val="18"/>
        </w:rPr>
      </w:pPr>
      <w:r w:rsidRPr="002730A6">
        <w:rPr>
          <w:rFonts w:ascii="inherit" w:hAnsi="inherit" w:cs="Helvetica"/>
          <w:color w:val="222222"/>
          <w:sz w:val="20"/>
          <w:szCs w:val="18"/>
          <w:highlight w:val="yellow"/>
        </w:rPr>
        <w:t>Tang, G., Shang, C., Qin, Y., &amp; Lai, J. (2025). Current Advances in Flame-Retardant Performance of Tunnel Intumescent Fireproof Coatings: A Review. </w:t>
      </w:r>
      <w:r w:rsidRPr="002730A6">
        <w:rPr>
          <w:rStyle w:val="Emphasis"/>
          <w:rFonts w:ascii="inherit" w:hAnsi="inherit" w:cs="Helvetica"/>
          <w:color w:val="222222"/>
          <w:sz w:val="20"/>
          <w:szCs w:val="18"/>
          <w:highlight w:val="yellow"/>
        </w:rPr>
        <w:t>Coatings</w:t>
      </w:r>
      <w:r w:rsidRPr="002730A6">
        <w:rPr>
          <w:rFonts w:ascii="inherit" w:hAnsi="inherit" w:cs="Helvetica"/>
          <w:color w:val="222222"/>
          <w:sz w:val="20"/>
          <w:szCs w:val="18"/>
          <w:highlight w:val="yellow"/>
        </w:rPr>
        <w:t>, </w:t>
      </w:r>
      <w:r w:rsidRPr="002730A6">
        <w:rPr>
          <w:rStyle w:val="Emphasis"/>
          <w:rFonts w:ascii="inherit" w:hAnsi="inherit" w:cs="Helvetica"/>
          <w:color w:val="222222"/>
          <w:sz w:val="20"/>
          <w:szCs w:val="18"/>
          <w:highlight w:val="yellow"/>
        </w:rPr>
        <w:t>15</w:t>
      </w:r>
      <w:r w:rsidRPr="002730A6">
        <w:rPr>
          <w:rFonts w:ascii="inherit" w:hAnsi="inherit" w:cs="Helvetica"/>
          <w:color w:val="222222"/>
          <w:sz w:val="20"/>
          <w:szCs w:val="18"/>
          <w:highlight w:val="yellow"/>
        </w:rPr>
        <w:t>(1), 99. https://doi.org/10.3390/coatings15010099</w:t>
      </w:r>
    </w:p>
    <w:p w14:paraId="3827BF09" w14:textId="77777777" w:rsidR="003D7E2E" w:rsidRDefault="003D7E2E" w:rsidP="00387C3B">
      <w:pPr>
        <w:spacing w:after="120" w:line="252" w:lineRule="auto"/>
        <w:jc w:val="both"/>
      </w:pPr>
    </w:p>
    <w:sectPr w:rsidR="003D7E2E" w:rsidSect="00ED40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E85B6" w14:textId="77777777" w:rsidR="00A735EC" w:rsidRDefault="00A735EC" w:rsidP="00792546">
      <w:r>
        <w:separator/>
      </w:r>
    </w:p>
  </w:endnote>
  <w:endnote w:type="continuationSeparator" w:id="0">
    <w:p w14:paraId="5F8B673B" w14:textId="77777777" w:rsidR="00A735EC" w:rsidRDefault="00A735EC" w:rsidP="0079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B8A7" w14:textId="77777777" w:rsidR="00792546" w:rsidRDefault="00792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A760" w14:textId="77777777" w:rsidR="00792546" w:rsidRDefault="00792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AE773" w14:textId="77777777" w:rsidR="00792546" w:rsidRDefault="00792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CD852" w14:textId="77777777" w:rsidR="00A735EC" w:rsidRDefault="00A735EC" w:rsidP="00792546">
      <w:r>
        <w:separator/>
      </w:r>
    </w:p>
  </w:footnote>
  <w:footnote w:type="continuationSeparator" w:id="0">
    <w:p w14:paraId="046F9D78" w14:textId="77777777" w:rsidR="00A735EC" w:rsidRDefault="00A735EC" w:rsidP="0079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FBF1C" w14:textId="63DC43B7" w:rsidR="00792546" w:rsidRDefault="00A735EC">
    <w:pPr>
      <w:pStyle w:val="Header"/>
    </w:pPr>
    <w:r>
      <w:rPr>
        <w:noProof/>
      </w:rPr>
      <w:pict w14:anchorId="33A1D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89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C441" w14:textId="22AD3B3A" w:rsidR="00792546" w:rsidRDefault="00A735EC">
    <w:pPr>
      <w:pStyle w:val="Header"/>
    </w:pPr>
    <w:r>
      <w:rPr>
        <w:noProof/>
      </w:rPr>
      <w:pict w14:anchorId="2477C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89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5DEA" w14:textId="6D6AA354" w:rsidR="00792546" w:rsidRDefault="00A735EC">
    <w:pPr>
      <w:pStyle w:val="Header"/>
    </w:pPr>
    <w:r>
      <w:rPr>
        <w:noProof/>
      </w:rPr>
      <w:pict w14:anchorId="21985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89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45A81"/>
    <w:multiLevelType w:val="hybridMultilevel"/>
    <w:tmpl w:val="88603E86"/>
    <w:lvl w:ilvl="0" w:tplc="E9064B78">
      <w:start w:val="1"/>
      <w:numFmt w:val="bullet"/>
      <w:lvlText w:val="●"/>
      <w:lvlJc w:val="left"/>
      <w:pPr>
        <w:ind w:left="720" w:hanging="360"/>
      </w:pPr>
    </w:lvl>
    <w:lvl w:ilvl="1" w:tplc="BCB29818">
      <w:start w:val="1"/>
      <w:numFmt w:val="bullet"/>
      <w:lvlText w:val="○"/>
      <w:lvlJc w:val="left"/>
      <w:pPr>
        <w:ind w:left="1440" w:hanging="360"/>
      </w:pPr>
    </w:lvl>
    <w:lvl w:ilvl="2" w:tplc="4132A242">
      <w:start w:val="1"/>
      <w:numFmt w:val="bullet"/>
      <w:lvlText w:val="■"/>
      <w:lvlJc w:val="left"/>
      <w:pPr>
        <w:ind w:left="2160" w:hanging="360"/>
      </w:pPr>
    </w:lvl>
    <w:lvl w:ilvl="3" w:tplc="396A1CFC">
      <w:start w:val="1"/>
      <w:numFmt w:val="bullet"/>
      <w:lvlText w:val="●"/>
      <w:lvlJc w:val="left"/>
      <w:pPr>
        <w:ind w:left="2880" w:hanging="360"/>
      </w:pPr>
    </w:lvl>
    <w:lvl w:ilvl="4" w:tplc="2EC46B8C">
      <w:start w:val="1"/>
      <w:numFmt w:val="bullet"/>
      <w:lvlText w:val="○"/>
      <w:lvlJc w:val="left"/>
      <w:pPr>
        <w:ind w:left="3600" w:hanging="360"/>
      </w:pPr>
    </w:lvl>
    <w:lvl w:ilvl="5" w:tplc="55144FEE">
      <w:start w:val="1"/>
      <w:numFmt w:val="bullet"/>
      <w:lvlText w:val="■"/>
      <w:lvlJc w:val="left"/>
      <w:pPr>
        <w:ind w:left="4320" w:hanging="360"/>
      </w:pPr>
    </w:lvl>
    <w:lvl w:ilvl="6" w:tplc="B51C90D0">
      <w:start w:val="1"/>
      <w:numFmt w:val="bullet"/>
      <w:lvlText w:val="●"/>
      <w:lvlJc w:val="left"/>
      <w:pPr>
        <w:ind w:left="5040" w:hanging="360"/>
      </w:pPr>
    </w:lvl>
    <w:lvl w:ilvl="7" w:tplc="E070C406">
      <w:start w:val="1"/>
      <w:numFmt w:val="bullet"/>
      <w:lvlText w:val="●"/>
      <w:lvlJc w:val="left"/>
      <w:pPr>
        <w:ind w:left="5760" w:hanging="360"/>
      </w:pPr>
    </w:lvl>
    <w:lvl w:ilvl="8" w:tplc="B420B5E4">
      <w:start w:val="1"/>
      <w:numFmt w:val="bullet"/>
      <w:lvlText w:val="●"/>
      <w:lvlJc w:val="left"/>
      <w:pPr>
        <w:ind w:left="6480" w:hanging="360"/>
      </w:pPr>
    </w:lvl>
  </w:abstractNum>
  <w:abstractNum w:abstractNumId="1" w15:restartNumberingAfterBreak="0">
    <w:nsid w:val="32D55BF1"/>
    <w:multiLevelType w:val="hybridMultilevel"/>
    <w:tmpl w:val="CFD0E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MzQ1NzUyNjYxNTNX0lEKTi0uzszPAykwrAUAlRtH8SwAAAA="/>
  </w:docVars>
  <w:rsids>
    <w:rsidRoot w:val="00ED40B3"/>
    <w:rsid w:val="000D6671"/>
    <w:rsid w:val="000F3401"/>
    <w:rsid w:val="00157C61"/>
    <w:rsid w:val="00260FDF"/>
    <w:rsid w:val="002730A6"/>
    <w:rsid w:val="00273308"/>
    <w:rsid w:val="002E1D55"/>
    <w:rsid w:val="002E3E5D"/>
    <w:rsid w:val="0033503E"/>
    <w:rsid w:val="00387C3B"/>
    <w:rsid w:val="003D7E2E"/>
    <w:rsid w:val="0043401A"/>
    <w:rsid w:val="0046664B"/>
    <w:rsid w:val="00672151"/>
    <w:rsid w:val="00720AF9"/>
    <w:rsid w:val="00792546"/>
    <w:rsid w:val="0091159E"/>
    <w:rsid w:val="00937DB8"/>
    <w:rsid w:val="00A735EC"/>
    <w:rsid w:val="00BB4058"/>
    <w:rsid w:val="00D70F42"/>
    <w:rsid w:val="00ED40B3"/>
    <w:rsid w:val="00F671EA"/>
    <w:rsid w:val="00F976AB"/>
    <w:rsid w:val="00FD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07661B"/>
  <w15:docId w15:val="{95967277-3530-4E87-95C7-FF84CA37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ED40B3"/>
    <w:pPr>
      <w:spacing w:before="280" w:after="120"/>
      <w:outlineLvl w:val="0"/>
    </w:pPr>
    <w:rPr>
      <w:rFonts w:ascii="Arial" w:eastAsia="Arial" w:hAnsi="Arial" w:cs="Arial"/>
      <w:b/>
      <w:bCs/>
      <w:sz w:val="28"/>
      <w:szCs w:val="28"/>
    </w:rPr>
  </w:style>
  <w:style w:type="paragraph" w:styleId="Heading2">
    <w:name w:val="heading 2"/>
    <w:qFormat/>
    <w:rsid w:val="00ED40B3"/>
    <w:pPr>
      <w:spacing w:before="200" w:after="100"/>
      <w:outlineLvl w:val="1"/>
    </w:pPr>
    <w:rPr>
      <w:rFonts w:ascii="Arial" w:eastAsia="Arial" w:hAnsi="Arial" w:cs="Arial"/>
      <w:b/>
      <w:bCs/>
      <w:sz w:val="26"/>
      <w:szCs w:val="26"/>
    </w:rPr>
  </w:style>
  <w:style w:type="paragraph" w:styleId="Heading3">
    <w:name w:val="heading 3"/>
    <w:qFormat/>
    <w:rsid w:val="00ED40B3"/>
    <w:pPr>
      <w:outlineLvl w:val="2"/>
    </w:pPr>
    <w:rPr>
      <w:color w:val="1F4D78"/>
    </w:rPr>
  </w:style>
  <w:style w:type="paragraph" w:styleId="Heading4">
    <w:name w:val="heading 4"/>
    <w:qFormat/>
    <w:rsid w:val="00ED40B3"/>
    <w:pPr>
      <w:outlineLvl w:val="3"/>
    </w:pPr>
    <w:rPr>
      <w:i/>
      <w:iCs/>
      <w:color w:val="2E74B5"/>
    </w:rPr>
  </w:style>
  <w:style w:type="paragraph" w:styleId="Heading5">
    <w:name w:val="heading 5"/>
    <w:qFormat/>
    <w:rsid w:val="00ED40B3"/>
    <w:pPr>
      <w:outlineLvl w:val="4"/>
    </w:pPr>
    <w:rPr>
      <w:color w:val="2E74B5"/>
    </w:rPr>
  </w:style>
  <w:style w:type="paragraph" w:styleId="Heading6">
    <w:name w:val="heading 6"/>
    <w:qFormat/>
    <w:rsid w:val="00ED40B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D40B3"/>
    <w:rPr>
      <w:sz w:val="56"/>
      <w:szCs w:val="56"/>
    </w:rPr>
  </w:style>
  <w:style w:type="paragraph" w:customStyle="1" w:styleId="Strong1">
    <w:name w:val="Strong1"/>
    <w:qFormat/>
    <w:rsid w:val="00ED40B3"/>
    <w:rPr>
      <w:b/>
      <w:bCs/>
    </w:rPr>
  </w:style>
  <w:style w:type="paragraph" w:styleId="ListParagraph">
    <w:name w:val="List Paragraph"/>
    <w:qFormat/>
    <w:rsid w:val="00ED40B3"/>
  </w:style>
  <w:style w:type="character" w:styleId="Hyperlink">
    <w:name w:val="Hyperlink"/>
    <w:uiPriority w:val="99"/>
    <w:unhideWhenUsed/>
    <w:rsid w:val="00ED40B3"/>
    <w:rPr>
      <w:color w:val="0563C1"/>
      <w:u w:val="single"/>
    </w:rPr>
  </w:style>
  <w:style w:type="character" w:styleId="FootnoteReference">
    <w:name w:val="footnote reference"/>
    <w:uiPriority w:val="99"/>
    <w:semiHidden/>
    <w:unhideWhenUsed/>
    <w:rsid w:val="00ED40B3"/>
    <w:rPr>
      <w:vertAlign w:val="superscript"/>
    </w:rPr>
  </w:style>
  <w:style w:type="paragraph" w:styleId="FootnoteText">
    <w:name w:val="footnote text"/>
    <w:link w:val="FootnoteTextChar"/>
    <w:uiPriority w:val="99"/>
    <w:semiHidden/>
    <w:unhideWhenUsed/>
    <w:rsid w:val="00ED40B3"/>
    <w:rPr>
      <w:sz w:val="20"/>
      <w:szCs w:val="20"/>
    </w:rPr>
  </w:style>
  <w:style w:type="character" w:customStyle="1" w:styleId="FootnoteTextChar">
    <w:name w:val="Footnote Text Char"/>
    <w:link w:val="FootnoteText"/>
    <w:uiPriority w:val="99"/>
    <w:semiHidden/>
    <w:unhideWhenUsed/>
    <w:rsid w:val="00ED40B3"/>
    <w:rPr>
      <w:sz w:val="20"/>
      <w:szCs w:val="20"/>
    </w:rPr>
  </w:style>
  <w:style w:type="character" w:styleId="FollowedHyperlink">
    <w:name w:val="FollowedHyperlink"/>
    <w:basedOn w:val="DefaultParagraphFont"/>
    <w:uiPriority w:val="99"/>
    <w:semiHidden/>
    <w:unhideWhenUsed/>
    <w:rsid w:val="00387C3B"/>
    <w:rPr>
      <w:color w:val="800080" w:themeColor="followedHyperlink"/>
      <w:u w:val="single"/>
    </w:rPr>
  </w:style>
  <w:style w:type="paragraph" w:styleId="Header">
    <w:name w:val="header"/>
    <w:basedOn w:val="Normal"/>
    <w:link w:val="HeaderChar"/>
    <w:uiPriority w:val="99"/>
    <w:unhideWhenUsed/>
    <w:rsid w:val="00792546"/>
    <w:pPr>
      <w:tabs>
        <w:tab w:val="center" w:pos="4680"/>
        <w:tab w:val="right" w:pos="9360"/>
      </w:tabs>
    </w:pPr>
  </w:style>
  <w:style w:type="character" w:customStyle="1" w:styleId="HeaderChar">
    <w:name w:val="Header Char"/>
    <w:basedOn w:val="DefaultParagraphFont"/>
    <w:link w:val="Header"/>
    <w:uiPriority w:val="99"/>
    <w:rsid w:val="00792546"/>
  </w:style>
  <w:style w:type="paragraph" w:styleId="Footer">
    <w:name w:val="footer"/>
    <w:basedOn w:val="Normal"/>
    <w:link w:val="FooterChar"/>
    <w:uiPriority w:val="99"/>
    <w:unhideWhenUsed/>
    <w:rsid w:val="00792546"/>
    <w:pPr>
      <w:tabs>
        <w:tab w:val="center" w:pos="4680"/>
        <w:tab w:val="right" w:pos="9360"/>
      </w:tabs>
    </w:pPr>
  </w:style>
  <w:style w:type="character" w:customStyle="1" w:styleId="FooterChar">
    <w:name w:val="Footer Char"/>
    <w:basedOn w:val="DefaultParagraphFont"/>
    <w:link w:val="Footer"/>
    <w:uiPriority w:val="99"/>
    <w:rsid w:val="00792546"/>
  </w:style>
  <w:style w:type="paragraph" w:styleId="NoSpacing">
    <w:name w:val="No Spacing"/>
    <w:uiPriority w:val="1"/>
    <w:qFormat/>
    <w:rsid w:val="00157C61"/>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F97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6AB"/>
    <w:rPr>
      <w:rFonts w:ascii="Segoe UI" w:hAnsi="Segoe UI" w:cs="Segoe UI"/>
      <w:sz w:val="18"/>
      <w:szCs w:val="18"/>
    </w:rPr>
  </w:style>
  <w:style w:type="paragraph" w:styleId="NormalWeb">
    <w:name w:val="Normal (Web)"/>
    <w:basedOn w:val="Normal"/>
    <w:uiPriority w:val="99"/>
    <w:semiHidden/>
    <w:unhideWhenUsed/>
    <w:rsid w:val="003D7E2E"/>
    <w:pPr>
      <w:spacing w:before="100" w:beforeAutospacing="1" w:after="100" w:afterAutospacing="1"/>
    </w:pPr>
  </w:style>
  <w:style w:type="character" w:styleId="Emphasis">
    <w:name w:val="Emphasis"/>
    <w:basedOn w:val="DefaultParagraphFont"/>
    <w:uiPriority w:val="20"/>
    <w:qFormat/>
    <w:rsid w:val="003D7E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7577">
      <w:bodyDiv w:val="1"/>
      <w:marLeft w:val="0"/>
      <w:marRight w:val="0"/>
      <w:marTop w:val="0"/>
      <w:marBottom w:val="0"/>
      <w:divBdr>
        <w:top w:val="none" w:sz="0" w:space="0" w:color="auto"/>
        <w:left w:val="none" w:sz="0" w:space="0" w:color="auto"/>
        <w:bottom w:val="none" w:sz="0" w:space="0" w:color="auto"/>
        <w:right w:val="none" w:sz="0" w:space="0" w:color="auto"/>
      </w:divBdr>
      <w:divsChild>
        <w:div w:id="1667509535">
          <w:marLeft w:val="0"/>
          <w:marRight w:val="0"/>
          <w:marTop w:val="0"/>
          <w:marBottom w:val="0"/>
          <w:divBdr>
            <w:top w:val="none" w:sz="0" w:space="0" w:color="auto"/>
            <w:left w:val="none" w:sz="0" w:space="0" w:color="auto"/>
            <w:bottom w:val="none" w:sz="0" w:space="0" w:color="auto"/>
            <w:right w:val="none" w:sz="0" w:space="0" w:color="auto"/>
          </w:divBdr>
          <w:divsChild>
            <w:div w:id="20887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8778">
      <w:bodyDiv w:val="1"/>
      <w:marLeft w:val="0"/>
      <w:marRight w:val="0"/>
      <w:marTop w:val="0"/>
      <w:marBottom w:val="0"/>
      <w:divBdr>
        <w:top w:val="none" w:sz="0" w:space="0" w:color="auto"/>
        <w:left w:val="none" w:sz="0" w:space="0" w:color="auto"/>
        <w:bottom w:val="none" w:sz="0" w:space="0" w:color="auto"/>
        <w:right w:val="none" w:sz="0" w:space="0" w:color="auto"/>
      </w:divBdr>
      <w:divsChild>
        <w:div w:id="765734891">
          <w:marLeft w:val="0"/>
          <w:marRight w:val="0"/>
          <w:marTop w:val="0"/>
          <w:marBottom w:val="0"/>
          <w:divBdr>
            <w:top w:val="none" w:sz="0" w:space="0" w:color="auto"/>
            <w:left w:val="none" w:sz="0" w:space="0" w:color="auto"/>
            <w:bottom w:val="none" w:sz="0" w:space="0" w:color="auto"/>
            <w:right w:val="none" w:sz="0" w:space="0" w:color="auto"/>
          </w:divBdr>
          <w:divsChild>
            <w:div w:id="21414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egyr.2019.11.13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8683</Words>
  <Characters>49497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42</cp:revision>
  <dcterms:created xsi:type="dcterms:W3CDTF">2026-03-19T15:27:00Z</dcterms:created>
  <dcterms:modified xsi:type="dcterms:W3CDTF">2026-03-21T10:25:00Z</dcterms:modified>
</cp:coreProperties>
</file>