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ABFC8">
      <w:pPr>
        <w:pStyle w:val="24"/>
        <w:spacing w:line="240" w:lineRule="auto"/>
        <w:jc w:val="center"/>
        <w:rPr>
          <w:rFonts w:ascii="Arial" w:hAnsi="Arial" w:cs="Arial"/>
          <w:bCs/>
          <w:iCs/>
          <w:kern w:val="28"/>
          <w:sz w:val="36"/>
          <w:lang w:val="en-GB"/>
        </w:rPr>
      </w:pPr>
      <w:r>
        <w:rPr>
          <w:rFonts w:hint="eastAsia" w:ascii="Arial" w:hAnsi="Arial" w:cs="Arial"/>
          <w:bCs/>
          <w:iCs/>
          <w:kern w:val="28"/>
          <w:sz w:val="36"/>
          <w:lang w:val="en-GB"/>
        </w:rPr>
        <w:t>A Digital Twin-Driven Deep Reinforcement Learning Approach for Smart Workshop Scheduling</w:t>
      </w:r>
    </w:p>
    <w:p w14:paraId="4991C71F">
      <w:pPr>
        <w:pStyle w:val="24"/>
        <w:spacing w:line="240" w:lineRule="auto"/>
        <w:jc w:val="center"/>
        <w:rPr>
          <w:rFonts w:ascii="Arial" w:hAnsi="Arial" w:cs="Arial" w:eastAsiaTheme="minorEastAsia"/>
          <w:bCs/>
          <w:iCs/>
          <w:kern w:val="28"/>
          <w:sz w:val="36"/>
          <w:lang w:val="en-GB" w:eastAsia="zh-CN"/>
        </w:rPr>
      </w:pPr>
    </w:p>
    <w:p w14:paraId="5BB15800">
      <w:pPr>
        <w:pStyle w:val="36"/>
        <w:spacing w:after="0" w:line="240" w:lineRule="auto"/>
        <w:ind w:firstLine="720"/>
        <w:jc w:val="both"/>
        <w:rPr>
          <w:rFonts w:ascii="Arial" w:hAnsi="Arial" w:eastAsia="宋体" w:cs="Arial"/>
          <w:color w:val="444444"/>
          <w:sz w:val="21"/>
          <w:szCs w:val="21"/>
          <w:shd w:val="clear" w:color="auto" w:fill="FFFFFF"/>
          <w:lang w:eastAsia="zh-CN"/>
        </w:rPr>
      </w:pPr>
    </w:p>
    <w:p w14:paraId="32333F7C">
      <w:pPr>
        <w:pStyle w:val="36"/>
        <w:spacing w:after="0" w:line="240" w:lineRule="auto"/>
        <w:ind w:firstLine="720"/>
        <w:jc w:val="both"/>
        <w:rPr>
          <w:rFonts w:ascii="Arial" w:hAnsi="Arial" w:eastAsia="宋体" w:cs="Arial"/>
          <w:color w:val="444444"/>
          <w:sz w:val="21"/>
          <w:szCs w:val="21"/>
          <w:shd w:val="clear" w:color="auto" w:fill="FFFFFF"/>
          <w:lang w:eastAsia="zh-CN"/>
        </w:rPr>
      </w:pPr>
    </w:p>
    <w:p w14:paraId="24C47E91">
      <w:pPr>
        <w:pStyle w:val="36"/>
        <w:spacing w:after="0" w:line="240" w:lineRule="auto"/>
        <w:jc w:val="both"/>
        <w:rPr>
          <w:rFonts w:ascii="Arial" w:hAnsi="Arial" w:cs="Arial"/>
        </w:rPr>
      </w:pPr>
      <w:r>
        <w:rPr>
          <w:rFonts w:ascii="Arial" w:hAnsi="Arial" w:cs="Arial"/>
          <w:b/>
          <w:caps/>
          <w:sz w:val="22"/>
        </w:rPr>
        <w:t>ABSTRACT</w:t>
      </w:r>
      <w:r>
        <w:rPr>
          <w:rFonts w:ascii="Arial" w:hAnsi="Arial" w:cs="Arial"/>
        </w:rPr>
        <w:t xml:space="preserve"> </w:t>
      </w: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10689"/>
      </w:tblGrid>
      <w:tr w14:paraId="09C46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35" w:hRule="atLeast"/>
          <w:jc w:val="center"/>
        </w:trPr>
        <w:tc>
          <w:tcPr>
            <w:tcW w:w="10689" w:type="dxa"/>
            <w:shd w:val="clear" w:color="auto" w:fill="F2F2F2"/>
          </w:tcPr>
          <w:p w14:paraId="16E054E7">
            <w:pPr>
              <w:pStyle w:val="8"/>
              <w:ind w:left="103" w:right="128"/>
              <w:jc w:val="both"/>
              <w:rPr>
                <w:rFonts w:hint="eastAsia"/>
                <w:color w:val="000000"/>
              </w:rPr>
            </w:pPr>
            <w:r>
              <w:rPr>
                <w:rFonts w:hint="eastAsia"/>
                <w:color w:val="000000"/>
              </w:rPr>
              <w:t>Workshop scheduling is a fundamental challenge in industrial engineering, requiring sophisticated strategies to manage increasing production complexity. This study proposes an integrated framework that combines Digital Twin (DT) technology with Deep Reinforcement Learning (DRL) to achieve autonomous and adaptive scheduling. While DT technology enables high-fidelity, real-time synchronization between physical shop floors and virtual models, DRL provides the intelligent decision-making framework necessary for dynamic optimization. By mapping physical assets into a synchronized digital environment, the DT provides a risk-free simulation bed for the training and validation of DRL agents. This approach facilitates real-time feedback loops, allowing the system to respond to stochastic disturbances while maximizing resource utilization and minimizing production costs. In this research, DRL algorithms are deployed to optimize multi-objective scheduling tasks, leveraging the DT to provide a low-cost, high-efficiency environment for iterative learning. The results demonstrate that this synergy effectively addresses complex, non-linear decision-making problems that traditional heuristic methods often fail to resolve.</w:t>
            </w:r>
          </w:p>
          <w:p w14:paraId="2138593E">
            <w:pPr>
              <w:pStyle w:val="8"/>
              <w:ind w:left="103" w:right="128"/>
              <w:jc w:val="both"/>
              <w:rPr>
                <w:rFonts w:eastAsiaTheme="minorEastAsia"/>
                <w:color w:val="000000"/>
                <w:lang w:eastAsia="zh-CN"/>
              </w:rPr>
            </w:pPr>
            <w:r>
              <w:rPr>
                <w:rFonts w:hint="eastAsia"/>
                <w:color w:val="FF0000"/>
              </w:rPr>
              <w:t>This study utilizes an improved DQN algorithm (with dual networks and prioritized experience replay) to address practical manufacturing challenges like machine breakdowns and urgent order insertions. By leveraging the Digital Twin for real-time synchronization, the model adaptively re-schedules resources, achieving a 14.6% reduction in makespan and a 12.3% improvement in resource utilization compared to traditional rules. The results confirm the system's resilience, maintaining an 86.5% equipment utilization rate under stochastic disturbances.</w:t>
            </w:r>
            <w:r>
              <w:rPr>
                <w:rFonts w:hint="eastAsia" w:eastAsia="宋体"/>
                <w:color w:val="000000"/>
                <w:lang w:val="en-US" w:eastAsia="zh-CN"/>
              </w:rPr>
              <w:t xml:space="preserve"> </w:t>
            </w:r>
            <w:r>
              <w:rPr>
                <w:rFonts w:hint="eastAsia"/>
                <w:color w:val="000000"/>
              </w:rPr>
              <w:t>Ultimately, the integration of DT and DRL provides a robust foundation for the realization of smart manufacturing and resilient production systems, offering a scalable solution for modern industrial environments.</w:t>
            </w:r>
          </w:p>
        </w:tc>
      </w:tr>
    </w:tbl>
    <w:p w14:paraId="4FB60A5F">
      <w:pPr>
        <w:pStyle w:val="26"/>
        <w:spacing w:after="0"/>
        <w:rPr>
          <w:rFonts w:ascii="Arial" w:hAnsi="Arial" w:cs="Arial"/>
          <w:i/>
        </w:rPr>
      </w:pPr>
      <w:r>
        <w:rPr>
          <w:rFonts w:ascii="Arial" w:hAnsi="Arial" w:cs="Arial"/>
          <w:i/>
        </w:rPr>
        <w:t>Keywords:</w:t>
      </w:r>
      <w:r>
        <w:rPr>
          <w:rFonts w:hint="eastAsia" w:ascii="Arial" w:hAnsi="Arial" w:cs="Arial" w:eastAsiaTheme="minorEastAsia"/>
          <w:i/>
          <w:lang w:eastAsia="zh-CN"/>
        </w:rPr>
        <w:t xml:space="preserve"> </w:t>
      </w:r>
      <w:r>
        <w:rPr>
          <w:rFonts w:hint="eastAsia" w:eastAsia="宋体"/>
          <w:lang w:eastAsia="zh-CN"/>
        </w:rPr>
        <w:t>D</w:t>
      </w:r>
      <w:r>
        <w:rPr>
          <w:rFonts w:hint="eastAsia"/>
        </w:rPr>
        <w:t xml:space="preserve">eep reinforcement learning; </w:t>
      </w:r>
      <w:r>
        <w:rPr>
          <w:rFonts w:hint="eastAsia" w:eastAsia="宋体"/>
          <w:lang w:eastAsia="zh-CN"/>
        </w:rPr>
        <w:t>D</w:t>
      </w:r>
      <w:r>
        <w:rPr>
          <w:rFonts w:hint="eastAsia"/>
        </w:rPr>
        <w:t>igital twins; Job shop scheduling</w:t>
      </w:r>
    </w:p>
    <w:p w14:paraId="15B8CCBC">
      <w:pPr>
        <w:pStyle w:val="27"/>
        <w:spacing w:after="0"/>
        <w:jc w:val="both"/>
        <w:rPr>
          <w:rFonts w:ascii="Arial" w:hAnsi="Arial" w:cs="Arial"/>
        </w:rPr>
      </w:pPr>
      <w:r>
        <w:rPr>
          <w:rFonts w:ascii="Arial" w:hAnsi="Arial" w:cs="Arial"/>
        </w:rPr>
        <w:t xml:space="preserve">1. INTRODUCTION </w:t>
      </w:r>
    </w:p>
    <w:p w14:paraId="6D930330">
      <w:pPr>
        <w:pStyle w:val="27"/>
        <w:numPr>
          <w:ilvl w:val="1"/>
          <w:numId w:val="2"/>
        </w:numPr>
        <w:spacing w:after="0"/>
        <w:rPr>
          <w:rFonts w:ascii="Arial" w:hAnsi="Arial" w:cs="Arial" w:eastAsiaTheme="minorEastAsia"/>
          <w:lang w:eastAsia="zh-CN"/>
        </w:rPr>
      </w:pPr>
      <w:bookmarkStart w:id="0" w:name="_Toc31076"/>
      <w:r>
        <w:rPr>
          <w:rFonts w:ascii="Arial" w:hAnsi="Arial" w:cs="Arial" w:eastAsiaTheme="minorEastAsia"/>
          <w:lang w:eastAsia="zh-CN"/>
        </w:rPr>
        <w:t>Source of the Topic</w:t>
      </w:r>
      <w:bookmarkEnd w:id="0"/>
    </w:p>
    <w:p w14:paraId="3BEE3FCD">
      <w:pPr>
        <w:pStyle w:val="26"/>
        <w:spacing w:after="0"/>
        <w:ind w:firstLine="400" w:firstLineChars="200"/>
        <w:rPr>
          <w:rFonts w:hint="eastAsia" w:ascii="Arial" w:hAnsi="Arial" w:cs="Arial"/>
        </w:rPr>
      </w:pPr>
      <w:r>
        <w:rPr>
          <w:rFonts w:hint="eastAsia" w:ascii="Arial" w:hAnsi="Arial" w:cs="Arial"/>
        </w:rPr>
        <w:t>Since the beginning of the 21st century, there has been a new wave of technological innovation represented by the Internet of Things, ubiquitous information, cloud computing, big data, mobile Internet, and cyber-physical systems (CPS), and information technology has become a key technology to support advanced manufacturing. At present, with the rapid rise of emerging economies, the scale of exchanges and cooperation in the global market economy is unusually large, and the demand for diversification and individualization is growing rapidly</w:t>
      </w:r>
      <w:r>
        <w:rPr>
          <w:rFonts w:ascii="Arial" w:hAnsi="Arial" w:cs="Arial"/>
        </w:rPr>
        <w:fldChar w:fldCharType="begin"/>
      </w:r>
      <w:r>
        <w:rPr>
          <w:rFonts w:ascii="Arial" w:hAnsi="Arial" w:cs="Arial"/>
        </w:rPr>
        <w:instrText xml:space="preserve"> ADDIN EN.CITE &lt;EndNote&gt;&lt;Cite&gt;&lt;Author&gt;Tao&lt;/Author&gt;&lt;Year&gt;2022&lt;/Year&gt;&lt;RecNum&gt;2&lt;/RecNum&gt;&lt;DisplayText&gt;&lt;style face="superscript"&gt;[1]&lt;/style&gt;&lt;/DisplayText&gt;&lt;record&gt;&lt;rec-number&gt;2&lt;/rec-number&gt;&lt;foreign-keys&gt;&lt;key app="EN" db-id="sdvz5vs5gepttoevwf450wzvp2vprd20zzr9" timestamp="1724641369"&gt;2&lt;/key&gt;&lt;/foreign-keys&gt;&lt;ref-type name="Journal Article"&gt;17&lt;/ref-type&gt;&lt;contributors&gt;&lt;authors&gt;&lt;author&gt;Tao, Fei&lt;/author&gt;&lt;author&gt;Xiao, Bin&lt;/author&gt;&lt;author&gt;Qi, Qinglin&lt;/author&gt;&lt;author&gt;Cheng, Jiangfeng&lt;/author&gt;&lt;author&gt;Ji, Ping&lt;/author&gt;&lt;/authors&gt;&lt;/contributors&gt;&lt;titles&gt;&lt;title&gt;Digital twin modeling&lt;/title&gt;&lt;secondary-title&gt;JOURNAL OF MANUFACTURING SYSTEMS&lt;/secondary-title&gt;&lt;/titles&gt;&lt;periodical&gt;&lt;full-title&gt;JOURNAL OF MANUFACTURING SYSTEMS&lt;/full-title&gt;&lt;/periodical&gt;&lt;pages&gt;372-389&lt;/pages&gt;&lt;volume&gt;64&lt;/volume&gt;&lt;dates&gt;&lt;year&gt;2022&lt;/year&gt;&lt;pub-dates&gt;&lt;date&gt;2022 JUL&lt;/date&gt;&lt;/pub-dates&gt;&lt;/dates&gt;&lt;isbn&gt;0278-6125&amp;#xD;1878-6642&lt;/isbn&gt;&lt;accession-num&gt;WOS:000838202200003&lt;/accession-num&gt;&lt;work-type&gt;Review&lt;/work-type&gt;&lt;urls&gt;&lt;/urls&gt;&lt;custom6&gt;JUL 2022&lt;/custom6&gt;&lt;electronic-resource-num&gt;10.1016/j.jmsy.2022.06.015&lt;/electronic-resource-num&gt;&lt;access-date&gt;2022-08-26&lt;/access-date&gt;&lt;/record&gt;&lt;/Cite&gt;&lt;/EndNote&gt;</w:instrText>
      </w:r>
      <w:r>
        <w:rPr>
          <w:rFonts w:ascii="Arial" w:hAnsi="Arial" w:cs="Arial"/>
        </w:rPr>
        <w:fldChar w:fldCharType="separate"/>
      </w:r>
      <w:r>
        <w:rPr>
          <w:rFonts w:ascii="Arial" w:hAnsi="Arial" w:cs="Arial"/>
          <w:vertAlign w:val="superscript"/>
        </w:rPr>
        <w:t>[1]</w:t>
      </w:r>
      <w:r>
        <w:rPr>
          <w:rFonts w:ascii="Arial" w:hAnsi="Arial" w:cs="Arial"/>
        </w:rPr>
        <w:fldChar w:fldCharType="end"/>
      </w:r>
      <w:r>
        <w:rPr>
          <w:rFonts w:hint="eastAsia" w:ascii="Arial" w:hAnsi="Arial" w:cs="Arial"/>
        </w:rPr>
        <w:t>. With the rapid development of energy demand, the ecological environment and climate change have attracted much attention; New breakthroughs are being made in science and technology and industries such as information networks, advanced materials, and intelligent manufacturing. In this context, United States promote the revitalization of high-end manufacturing, Germany put forward "Industry 4.0", United Kingdom focus on high value-added manufacturing such as biology and nano, France start the mobilization of "new industrial France", Japan the development of collaborative robots and unmanned factories, and launch "Made in China 2025"</w:t>
      </w:r>
      <w:r>
        <w:rPr>
          <w:rFonts w:ascii="Arial" w:hAnsi="Arial" w:cs="Arial"/>
        </w:rPr>
        <w:fldChar w:fldCharType="begin"/>
      </w:r>
      <w:r>
        <w:rPr>
          <w:rFonts w:ascii="Arial" w:hAnsi="Arial" w:cs="Arial"/>
        </w:rPr>
        <w:instrText xml:space="preserve"> ADDIN EN.CITE &lt;EndNote&gt;&lt;Cite&gt;&lt;Author&gt;Zhang&lt;/Author&gt;&lt;Year&gt;2022&lt;/Year&gt;&lt;RecNum&gt;30&lt;/RecNum&gt;&lt;DisplayText&gt;&lt;style face="superscript"&gt;[2]&lt;/style&gt;&lt;/DisplayText&gt;&lt;record&gt;&lt;rec-number&gt;30&lt;/rec-number&gt;&lt;foreign-keys&gt;&lt;key app="EN" db-id="sdvz5vs5gepttoevwf450wzvp2vprd20zzr9" timestamp="1724641369"&gt;30&lt;/key&gt;&lt;/foreign-keys&gt;&lt;ref-type name="Journal Article"&gt;17&lt;/ref-type&gt;&lt;contributors&gt;&lt;authors&gt;&lt;author&gt;Zhang, Rui&lt;/author&gt;&lt;author&gt;Wang, Fang&lt;/author&gt;&lt;author&gt;Cai, Jun&lt;/author&gt;&lt;author&gt;Wang, Yan&lt;/author&gt;&lt;author&gt;Guo, Hongfei&lt;/author&gt;&lt;author&gt;Zheng, Jingsha&lt;/author&gt;&lt;/authors&gt;&lt;/contributors&gt;&lt;titles&gt;&lt;title&gt;Digital twin and its applications: A survey&lt;/title&gt;&lt;secondary-title&gt;INTERNATIONAL JOURNAL OF ADVANCED MANUFACTURING TECHNOLOGY&lt;/secondary-title&gt;&lt;/titles&gt;&lt;periodical&gt;&lt;full-title&gt;INTERNATIONAL JOURNAL OF ADVANCED MANUFACTURING TECHNOLOGY&lt;/full-title&gt;&lt;/periodical&gt;&lt;pages&gt;4123-4136&lt;/pages&gt;&lt;volume&gt;123&lt;/volume&gt;&lt;number&gt;11-12&lt;/number&gt;&lt;dates&gt;&lt;year&gt;2022&lt;/year&gt;&lt;pub-dates&gt;&lt;date&gt;2022 DEC&lt;/date&gt;&lt;/pub-dates&gt;&lt;/dates&gt;&lt;isbn&gt;0268-3768&amp;#xD;1433-3015&lt;/isbn&gt;&lt;accession-num&gt;WOS:000885235500006&lt;/accession-num&gt;&lt;work-type&gt;Article&lt;/work-type&gt;&lt;urls&gt;&lt;/urls&gt;&lt;custom6&gt;NOV 2022&lt;/custom6&gt;&lt;electronic-resource-num&gt;10.1007/s00170-022-10445-3&lt;/electronic-resource-num&gt;&lt;access-date&gt;2022-11-26&lt;/access-date&gt;&lt;/record&gt;&lt;/Cite&gt;&lt;/EndNote&gt;</w:instrText>
      </w:r>
      <w:r>
        <w:rPr>
          <w:rFonts w:ascii="Arial" w:hAnsi="Arial" w:cs="Arial"/>
        </w:rPr>
        <w:fldChar w:fldCharType="separate"/>
      </w:r>
      <w:r>
        <w:rPr>
          <w:rFonts w:ascii="Arial" w:hAnsi="Arial" w:cs="Arial"/>
          <w:vertAlign w:val="superscript"/>
        </w:rPr>
        <w:t>[2]</w:t>
      </w:r>
      <w:r>
        <w:rPr>
          <w:rFonts w:ascii="Arial" w:hAnsi="Arial" w:cs="Arial"/>
        </w:rPr>
        <w:fldChar w:fldCharType="end"/>
      </w:r>
      <w:r>
        <w:rPr>
          <w:rFonts w:hint="eastAsia" w:ascii="Arial" w:hAnsi="Arial" w:cs="Arial"/>
        </w:rPr>
        <w:t>. These countries regard intelligent manufacturing as the pillar and core of the revitalization of the real economy and emerging industries, as well as the foundation and key to enhancing competitiveness and sustainable development</w:t>
      </w:r>
      <w:r>
        <w:rPr>
          <w:rFonts w:ascii="Arial" w:hAnsi="Arial" w:cs="Arial"/>
        </w:rPr>
        <w:fldChar w:fldCharType="begin"/>
      </w:r>
      <w:r>
        <w:rPr>
          <w:rFonts w:ascii="Arial" w:hAnsi="Arial" w:cs="Arial"/>
        </w:rPr>
        <w:instrText xml:space="preserve"> ADDIN EN.CITE &lt;EndNote&gt;&lt;Cite&gt;&lt;Author&gt;Qi&lt;/Author&gt;&lt;Year&gt;2021&lt;/Year&gt;&lt;RecNum&gt;19&lt;/RecNum&gt;&lt;DisplayText&gt;&lt;style face="superscript"&gt;[3]&lt;/style&gt;&lt;/DisplayText&gt;&lt;record&gt;&lt;rec-number&gt;19&lt;/rec-number&gt;&lt;foreign-keys&gt;&lt;key app="EN" db-id="sdvz5vs5gepttoevwf450wzvp2vprd20zzr9" timestamp="1724641369"&gt;19&lt;/key&gt;&lt;/foreign-keys&gt;&lt;ref-type name="Journal Article"&gt;17&lt;/ref-type&gt;&lt;contributors&gt;&lt;authors&gt;&lt;author&gt;Qi, Qinglin&lt;/author&gt;&lt;author&gt;Tao, Fei&lt;/author&gt;&lt;author&gt;Hu, Tianliang&lt;/author&gt;&lt;author&gt;Anwer, Nabil&lt;/author&gt;&lt;author&gt;Liu, Ang&lt;/author&gt;&lt;author&gt;Wei, Yongli&lt;/author&gt;&lt;author&gt;Wang, Lihui&lt;/author&gt;&lt;author&gt;Nee, A. Y. C.&lt;/author&gt;&lt;/authors&gt;&lt;/contributors&gt;&lt;titles&gt;&lt;title&gt;Enabling technologies and tools for digital twin&lt;/title&gt;&lt;secondary-title&gt;JOURNAL OF MANUFACTURING SYSTEMS&lt;/secondary-title&gt;&lt;/titles&gt;&lt;periodical&gt;&lt;full-title&gt;JOURNAL OF MANUFACTURING SYSTEMS&lt;/full-title&gt;&lt;/periodical&gt;&lt;pages&gt;3-21&lt;/pages&gt;&lt;volume&gt;58&lt;/volume&gt;&lt;dates&gt;&lt;year&gt;2021&lt;/year&gt;&lt;pub-dates&gt;&lt;date&gt;2021 JAN&lt;/date&gt;&lt;/pub-dates&gt;&lt;/dates&gt;&lt;isbn&gt;0278-6125&amp;#xD;1878-6642&lt;/isbn&gt;&lt;accession-num&gt;WOS:000631746800002&lt;/accession-num&gt;&lt;work-type&gt;Article&lt;/work-type&gt;&lt;urls&gt;&lt;/urls&gt;&lt;custom6&gt;MAR 2021&lt;/custom6&gt;&lt;electronic-resource-num&gt;10.1016/j.jmsy.2019.10.001&lt;/electronic-resource-num&gt;&lt;access-date&gt;2021-03-02&lt;/access-date&gt;&lt;/record&gt;&lt;/Cite&gt;&lt;/EndNote&gt;</w:instrText>
      </w:r>
      <w:r>
        <w:rPr>
          <w:rFonts w:ascii="Arial" w:hAnsi="Arial" w:cs="Arial"/>
        </w:rPr>
        <w:fldChar w:fldCharType="separate"/>
      </w:r>
      <w:r>
        <w:rPr>
          <w:rFonts w:ascii="Arial" w:hAnsi="Arial" w:cs="Arial"/>
          <w:vertAlign w:val="superscript"/>
        </w:rPr>
        <w:t>[3]</w:t>
      </w:r>
      <w:r>
        <w:rPr>
          <w:rFonts w:ascii="Arial" w:hAnsi="Arial" w:cs="Arial"/>
        </w:rPr>
        <w:fldChar w:fldCharType="end"/>
      </w:r>
      <w:r>
        <w:rPr>
          <w:rFonts w:hint="eastAsia" w:ascii="Arial" w:hAnsi="Arial" w:cs="Arial"/>
        </w:rPr>
        <w:t>.</w:t>
      </w:r>
    </w:p>
    <w:p w14:paraId="620FE890">
      <w:pPr>
        <w:pStyle w:val="26"/>
        <w:spacing w:after="0"/>
        <w:ind w:firstLine="400" w:firstLineChars="200"/>
        <w:rPr>
          <w:rFonts w:hint="eastAsia" w:ascii="Arial" w:hAnsi="Arial" w:cs="Arial"/>
          <w:color w:val="FF0000"/>
        </w:rPr>
      </w:pPr>
      <w:r>
        <w:rPr>
          <w:rFonts w:hint="eastAsia" w:ascii="Arial" w:hAnsi="Arial" w:cs="Arial"/>
          <w:color w:val="FF0000"/>
        </w:rPr>
        <w:t>More recent advancements in 2025 further emphasize the integration of Graph Neural Networks (GNN) and Deep Reinforcement Learning (DRL) within Digital Twin frameworks to enhance real-time decision-making in hanging workshops. These studies demonstrate that the synergy of DT-driven state perception and policy-based DRL (e.g., PPO) significantly improves the agility and robustness of scheduling systems when facing unpredictable production disturbances</w:t>
      </w:r>
      <w:r>
        <w:rPr>
          <w:rFonts w:hint="eastAsia" w:ascii="Arial" w:hAnsi="Arial" w:eastAsia="宋体" w:cs="Arial"/>
          <w:color w:val="FF0000"/>
          <w:vertAlign w:val="superscript"/>
          <w:lang w:val="en-US" w:eastAsia="zh-CN"/>
        </w:rPr>
        <w:t>[4]</w:t>
      </w:r>
      <w:r>
        <w:rPr>
          <w:rFonts w:hint="eastAsia" w:ascii="Arial" w:hAnsi="Arial" w:cs="Arial"/>
          <w:color w:val="FF0000"/>
        </w:rPr>
        <w:t>.</w:t>
      </w:r>
    </w:p>
    <w:p w14:paraId="3E125C96">
      <w:pPr>
        <w:pStyle w:val="26"/>
        <w:spacing w:after="0"/>
        <w:ind w:firstLine="400" w:firstLineChars="200"/>
        <w:rPr>
          <w:rFonts w:ascii="Arial" w:hAnsi="Arial" w:cs="Arial"/>
        </w:rPr>
      </w:pPr>
      <w:r>
        <w:rPr>
          <w:rFonts w:hint="eastAsia" w:ascii="Arial" w:hAnsi="Arial" w:cs="Arial"/>
        </w:rPr>
        <w:t>Manufacturing is the material foundation and industrial pillar of the national economy, and occupies an important position in the national economy. China is a big manufacturing country, but not yet a manufacturing power, the development of advanced manufacturing technology, the development of China's national economy is of great significance. Generally speaking, intelligent manufacturing consists of two parts, the first part is the automated manufacturing system, including machining centers, data acquisition, pallet exchange, tool management, warehousing and logistics and other systems through the Internet of Things, to achieve digital information transmission and sharing, the second part is artificial intelligence technology, including big data, computer vision, natural language processing, machine learning, deep learning, reinforcement learning, etc., through these technologies to perceive, analyze, reason, make decisions and control such information, and finally realize online self-perception of working conditions. Intelligent manufacturing system for intelligent decision-making and control and equipment self-discipline execution.</w:t>
      </w:r>
    </w:p>
    <w:p w14:paraId="6176BA69">
      <w:pPr>
        <w:pStyle w:val="27"/>
        <w:numPr>
          <w:ilvl w:val="1"/>
          <w:numId w:val="2"/>
        </w:numPr>
        <w:spacing w:after="0"/>
        <w:rPr>
          <w:rFonts w:ascii="Arial" w:hAnsi="Arial" w:cs="Arial" w:eastAsiaTheme="minorEastAsia"/>
          <w:lang w:eastAsia="zh-CN"/>
        </w:rPr>
      </w:pPr>
      <w:r>
        <w:rPr>
          <w:rFonts w:ascii="Arial" w:hAnsi="Arial" w:cs="Arial" w:eastAsiaTheme="minorEastAsia"/>
          <w:lang w:eastAsia="zh-CN"/>
        </w:rPr>
        <w:t>Research Background</w:t>
      </w:r>
    </w:p>
    <w:p w14:paraId="22DA38C5">
      <w:pPr>
        <w:pStyle w:val="26"/>
        <w:spacing w:after="0"/>
        <w:ind w:firstLine="400" w:firstLineChars="200"/>
        <w:rPr>
          <w:rFonts w:ascii="Arial" w:hAnsi="Arial" w:cs="Arial"/>
        </w:rPr>
      </w:pPr>
      <w:r>
        <w:rPr>
          <w:rFonts w:hint="eastAsia" w:ascii="Arial" w:hAnsi="Arial" w:cs="Arial"/>
        </w:rPr>
        <w:t>Workshop scheduling is a hot issue in the field of intelligent manufacturing in recent years, and scheduling refers to the process of achieving certain performance indicators within a certain period of time through reasonable allocation of resources, sorting tasks and planning processes. Scheduling optimization has in-depth applications in many fields, such as manufacturing, warehousing and logistics, transportation, cloud computing, power transmission, enterprise management, medical systems, etc. For manufacturing, non-processing processes occupy most of the time in the manufacturing process, and the use of effective scheduling technology can help reduce the waste of time and resources, improve production efficiency, and reduce production costs. Scholars at home and abroad have conducted decades of research on workshop scheduling, and the theories and methods formed are of great significance for guiding the production process.</w:t>
      </w:r>
    </w:p>
    <w:p w14:paraId="28C0A340">
      <w:pPr>
        <w:pStyle w:val="26"/>
        <w:spacing w:after="0"/>
        <w:ind w:firstLine="400" w:firstLineChars="200"/>
        <w:rPr>
          <w:rFonts w:ascii="Arial" w:hAnsi="Arial" w:cs="Arial"/>
        </w:rPr>
      </w:pPr>
      <w:r>
        <w:rPr>
          <w:rFonts w:hint="eastAsia" w:ascii="Arial" w:hAnsi="Arial" w:cs="Arial"/>
        </w:rPr>
        <w:t>Job Shop Scheduling Problem (JSP) is a widely studied problem, and many problems in actual workshop production can be abstracted into job shop scheduling problems, which can be divided into static scheduling and dynamic scheduling. Static scheduling refers to a type of scheduling in which all production information in the production process is known and does not change, while dynamic scheduling refers to a type of scheduling in which uncertainties may occur in the production process, such as events such as the random arrival of workpieces, which require the scheduling system to respond to the event in a timely manner and adjust the scheduling scheme in a timely manner. In addition, there may be more than a single goal that needs to be optimized in production, and for multi-objective problems, the scheduling system needs to consider more dimensions and make decisions that meet multiple indicators. At present, the solution methods of job shop scheduling problems include exact algorithms and approximate algorithms, among which the approximate algorithms include scheduling rules and intelligent optimization algorithms. Scheduling rules are widely used because they do not require encoding and decoding when solving job shop scheduling problems, and are simpler and more instructive than intelligent optimization algorithms. However, the performance of the same scheduling rule in different production environments varies greatly, and it is obviously difficult for a fixed and single scheduling rule to meet the complex and diverse practical scenarios.</w:t>
      </w:r>
    </w:p>
    <w:p w14:paraId="0143A53F">
      <w:pPr>
        <w:pStyle w:val="26"/>
        <w:spacing w:after="0"/>
        <w:ind w:firstLine="400" w:firstLineChars="200"/>
        <w:rPr>
          <w:rFonts w:ascii="Arial" w:hAnsi="Arial" w:cs="Arial"/>
        </w:rPr>
      </w:pPr>
      <w:r>
        <w:rPr>
          <w:rFonts w:hint="eastAsia" w:ascii="Arial" w:hAnsi="Arial" w:cs="Arial"/>
        </w:rPr>
        <w:t>The application of digital twins in shop floor scheduling is a key step for the manufacturing industry to move towards intelligent production. By combining the actual production process with the digital model, the digital twin technology can monitor the status of the production environment in real time, analyze the production data, and improve production efficiency and quality. Digital twin technology can simulate the production process through virtual simulation, optimize process parameters, reduce resource waste in the production process, and improve production efficiency. By connecting data from the physical world with digital models, real-time monitoring of equipment status and prediction of potential failures enable timely maintenance, reduced production line downtime, and improved equipment utilization. In addition, digital twin technology can also optimize production scheduling by analyzing production data, making the production process more flexible and efficient. Digital twin technology provides comprehensive data support for manufacturing enterprises, which can make data-driven decisions and help enterprises achieve lean production and intelligent management.</w:t>
      </w:r>
    </w:p>
    <w:p w14:paraId="1B2710F2">
      <w:pPr>
        <w:pStyle w:val="26"/>
        <w:spacing w:after="0"/>
        <w:ind w:firstLine="400" w:firstLineChars="200"/>
        <w:rPr>
          <w:rFonts w:ascii="Arial" w:hAnsi="Arial" w:cs="Arial"/>
        </w:rPr>
      </w:pPr>
      <w:r>
        <w:rPr>
          <w:rFonts w:hint="eastAsia" w:ascii="Arial" w:hAnsi="Arial" w:cs="Arial"/>
        </w:rPr>
        <w:t>In the context of Industry 4.0, digital twins are becoming increasingly popular, and its core idea is to establish a digital model of the physical workshop through modeling technology, and through data acquisition and analysis technology, the workshop is modeled with all elements, so as to obtain the real workshop status and system behavior, and realize the mapping from physical model to information model. On this basis, the reinforcement learning agent perceives the state, selects the appropriate action to act on the information model and gets the reward. When the real-time scheduling operation of the physical workshop deviates from the predefined scheduling results, the scheduling decision-maker in the virtual workshop will actively sense the abnormality and adaptively adjust the scheduling strategy. Therefore, the integration of digital twin and deep reinforcement learning provides a new research idea for solving the problem of workshop scheduling</w:t>
      </w:r>
      <w:r>
        <w:rPr>
          <w:rFonts w:ascii="Arial" w:hAnsi="Arial" w:cs="Arial"/>
        </w:rPr>
        <w:fldChar w:fldCharType="begin"/>
      </w:r>
      <w:r>
        <w:rPr>
          <w:rFonts w:ascii="Arial" w:hAnsi="Arial" w:cs="Arial"/>
        </w:rPr>
        <w:instrText xml:space="preserve"> ADDIN EN.CITE &lt;EndNote&gt;&lt;Cite&gt;&lt;Author&gt;Stopps&lt;/Author&gt;&lt;Year&gt;2001&lt;/Year&gt;&lt;RecNum&gt;52&lt;/RecNum&gt;&lt;DisplayText&gt;&lt;style face="superscript"&gt;[5]&lt;/style&gt;&lt;/DisplayText&gt;&lt;record&gt;&lt;rec-number&gt;52&lt;/rec-number&gt;&lt;foreign-keys&gt;&lt;key app="EN" db-id="sdvz5vs5gepttoevwf450wzvp2vprd20zzr9" timestamp="1724642512"&gt;52&lt;/key&gt;&lt;/foreign-keys&gt;&lt;ref-type name="Journal Article"&gt;17&lt;/ref-type&gt;&lt;contributors&gt;&lt;authors&gt;&lt;author&gt;Stopps, J. L. Z.&lt;/author&gt;&lt;/authors&gt;&lt;/contributors&gt;&lt;titles&gt;&lt;title&gt;A case study in using constraint logic programming in shop-floor scheduling&lt;/title&gt;&lt;/titles&gt;&lt;dates&gt;&lt;year&gt;2001&lt;/year&gt;&lt;pub-dates&gt;&lt;date&gt;2001&lt;/date&gt;&lt;/pub-dates&gt;&lt;/dates&gt;&lt;accession-num&gt;PQDT:67797290&lt;/accession-num&gt;&lt;work-type&gt;Dissertation/Thesis&lt;/work-type&gt;&lt;urls&gt;&lt;/urls&gt;&lt;/record&gt;&lt;/Cite&gt;&lt;/EndNote&gt;</w:instrText>
      </w:r>
      <w:r>
        <w:rPr>
          <w:rFonts w:ascii="Arial" w:hAnsi="Arial" w:cs="Arial"/>
        </w:rPr>
        <w:fldChar w:fldCharType="separate"/>
      </w:r>
      <w:r>
        <w:rPr>
          <w:rFonts w:ascii="Arial" w:hAnsi="Arial" w:cs="Arial"/>
          <w:vertAlign w:val="superscript"/>
        </w:rPr>
        <w:t>[5]</w:t>
      </w:r>
      <w:r>
        <w:rPr>
          <w:rFonts w:ascii="Arial" w:hAnsi="Arial" w:cs="Arial"/>
        </w:rPr>
        <w:fldChar w:fldCharType="end"/>
      </w:r>
      <w:r>
        <w:rPr>
          <w:rFonts w:hint="eastAsia" w:ascii="Arial" w:hAnsi="Arial" w:cs="Arial"/>
        </w:rPr>
        <w:t>.</w:t>
      </w:r>
    </w:p>
    <w:p w14:paraId="44C1CA17">
      <w:pPr>
        <w:pStyle w:val="27"/>
        <w:numPr>
          <w:ilvl w:val="1"/>
          <w:numId w:val="2"/>
        </w:numPr>
        <w:spacing w:after="0"/>
        <w:rPr>
          <w:rFonts w:ascii="Arial" w:hAnsi="Arial" w:cs="Arial" w:eastAsiaTheme="minorEastAsia"/>
          <w:lang w:eastAsia="zh-CN"/>
        </w:rPr>
      </w:pPr>
      <w:bookmarkStart w:id="1" w:name="OLE_LINK3"/>
      <w:r>
        <w:rPr>
          <w:rFonts w:hint="eastAsia" w:ascii="Arial" w:hAnsi="Arial" w:cs="Arial" w:eastAsiaTheme="minorEastAsia"/>
          <w:lang w:eastAsia="zh-CN"/>
        </w:rPr>
        <w:t>Research implications</w:t>
      </w:r>
    </w:p>
    <w:p w14:paraId="59729FD8">
      <w:pPr>
        <w:pStyle w:val="27"/>
        <w:numPr>
          <w:ilvl w:val="2"/>
          <w:numId w:val="2"/>
        </w:numPr>
        <w:spacing w:after="0"/>
        <w:rPr>
          <w:rFonts w:ascii="Arial" w:hAnsi="Arial" w:cs="Arial" w:eastAsiaTheme="minorEastAsia"/>
          <w:b w:val="0"/>
          <w:lang w:eastAsia="zh-CN"/>
        </w:rPr>
      </w:pPr>
      <w:r>
        <w:rPr>
          <w:rFonts w:hint="eastAsia" w:ascii="Arial" w:hAnsi="Arial" w:cs="Arial" w:eastAsiaTheme="minorEastAsia"/>
          <w:b w:val="0"/>
          <w:lang w:eastAsia="zh-CN"/>
        </w:rPr>
        <w:t>Theoretical implications</w:t>
      </w:r>
    </w:p>
    <w:bookmarkEnd w:id="1"/>
    <w:p w14:paraId="1D6B0E91">
      <w:pPr>
        <w:pStyle w:val="26"/>
        <w:spacing w:after="0"/>
        <w:ind w:firstLine="400" w:firstLineChars="200"/>
        <w:rPr>
          <w:rFonts w:ascii="Arial" w:hAnsi="Arial" w:cs="Arial"/>
        </w:rPr>
      </w:pPr>
      <w:bookmarkStart w:id="2" w:name="_Toc28513"/>
      <w:r>
        <w:rPr>
          <w:rFonts w:hint="eastAsia" w:ascii="Arial" w:hAnsi="Arial" w:cs="Arial"/>
        </w:rPr>
        <w:t>By promoting the application of deep reinforcement learning in workshop scheduling, the development of optimization theory and algorithms in dealing with complex optimization problems in high-dimensional and continuous action spaces can be promoted. In the field of intelligent manufacturing, the application of deep reinforcement learning to digital twin workshop scheduling can realize the intelligence of workshop management and promote the development of manufacturing industry in a more efficient, flexible and intelligent direction</w:t>
      </w:r>
      <w:r>
        <w:rPr>
          <w:rFonts w:ascii="Arial" w:hAnsi="Arial" w:cs="Arial"/>
        </w:rPr>
        <w:fldChar w:fldCharType="begin"/>
      </w:r>
      <w:r>
        <w:rPr>
          <w:rFonts w:ascii="Arial" w:hAnsi="Arial" w:cs="Arial"/>
        </w:rPr>
        <w:instrText xml:space="preserve"> ADDIN EN.CITE &lt;EndNote&gt;&lt;Cite&gt;&lt;Author&gt;Mourtzis&lt;/Author&gt;&lt;Year&gt;2018&lt;/Year&gt;&lt;RecNum&gt;64&lt;/RecNum&gt;&lt;DisplayText&gt;&lt;style face="superscript"&gt;[6]&lt;/style&gt;&lt;/DisplayText&gt;&lt;record&gt;&lt;rec-number&gt;64&lt;/rec-number&gt;&lt;foreign-keys&gt;&lt;key app="EN" db-id="sdvz5vs5gepttoevwf450wzvp2vprd20zzr9" timestamp="1724642512"&gt;64&lt;/key&gt;&lt;/foreign-keys&gt;&lt;ref-type name="Journal Article"&gt;17&lt;/ref-type&gt;&lt;contributors&gt;&lt;authors&gt;&lt;author&gt;Mourtzis, Dimitris&lt;/author&gt;&lt;author&gt;Vlachou, Ekaterini&lt;/author&gt;&lt;/authors&gt;&lt;/contributors&gt;&lt;titles&gt;&lt;title&gt;A cloud-based cyber-physical system for adaptive shop-floor scheduling and condition-based maintenance&lt;/title&gt;&lt;secondary-title&gt;JOURNAL OF MANUFACTURING SYSTEMS&lt;/secondary-title&gt;&lt;/titles&gt;&lt;periodical&gt;&lt;full-title&gt;JOURNAL OF MANUFACTURING SYSTEMS&lt;/full-title&gt;&lt;/periodical&gt;&lt;pages&gt;179-198&lt;/pages&gt;&lt;volume&gt;47&lt;/volume&gt;&lt;dates&gt;&lt;year&gt;2018&lt;/year&gt;&lt;pub-dates&gt;&lt;date&gt;2018 APR&lt;/date&gt;&lt;/pub-dates&gt;&lt;/dates&gt;&lt;isbn&gt;0278-6125&amp;#xD;1878-6642&lt;/isbn&gt;&lt;accession-num&gt;WOS:000435061400015&lt;/accession-num&gt;&lt;work-type&gt;Article&lt;/work-type&gt;&lt;urls&gt;&lt;/urls&gt;&lt;electronic-resource-num&gt;10.1016/j.jmsy.2018.05.008&lt;/electronic-resource-num&gt;&lt;access-date&gt;2018-07-03&lt;/access-date&gt;&lt;/record&gt;&lt;/Cite&gt;&lt;/EndNote&gt;</w:instrText>
      </w:r>
      <w:r>
        <w:rPr>
          <w:rFonts w:ascii="Arial" w:hAnsi="Arial" w:cs="Arial"/>
        </w:rPr>
        <w:fldChar w:fldCharType="separate"/>
      </w:r>
      <w:r>
        <w:rPr>
          <w:rFonts w:ascii="Arial" w:hAnsi="Arial" w:cs="Arial"/>
          <w:vertAlign w:val="superscript"/>
        </w:rPr>
        <w:t>[6]</w:t>
      </w:r>
      <w:r>
        <w:rPr>
          <w:rFonts w:ascii="Arial" w:hAnsi="Arial" w:cs="Arial"/>
        </w:rPr>
        <w:fldChar w:fldCharType="end"/>
      </w:r>
      <w:r>
        <w:rPr>
          <w:rFonts w:hint="eastAsia" w:ascii="Arial" w:hAnsi="Arial" w:cs="Arial"/>
        </w:rPr>
        <w:t>. Deep reinforcement learning can improve the quality and efficiency of scheduling decisions, especially in dynamic and complex environments, and can quickly respond to changes and provide optimal solutions for decision-making. Through in-depth research on its application in actual production scheduling, it can deepen the depth and breadth of the combination of artificial intelligence technology and the real economy, and promote the application of artificial intelligence in more fields</w:t>
      </w:r>
      <w:r>
        <w:rPr>
          <w:rFonts w:ascii="Arial" w:hAnsi="Arial" w:cs="Arial"/>
        </w:rPr>
        <w:fldChar w:fldCharType="begin"/>
      </w:r>
      <w:r>
        <w:rPr>
          <w:rFonts w:ascii="Arial" w:hAnsi="Arial" w:cs="Arial"/>
        </w:rPr>
        <w:instrText xml:space="preserve"> ADDIN EN.CITE &lt;EndNote&gt;&lt;Cite&gt;&lt;Author&gt;Liu&lt;/Author&gt;&lt;Year&gt;2024&lt;/Year&gt;&lt;RecNum&gt;23&lt;/RecNum&gt;&lt;DisplayText&gt;&lt;style face="superscript"&gt;[7]&lt;/style&gt;&lt;/DisplayText&gt;&lt;record&gt;&lt;rec-number&gt;23&lt;/rec-number&gt;&lt;foreign-keys&gt;&lt;key app="EN" db-id="sdvz5vs5gepttoevwf450wzvp2vprd20zzr9" timestamp="1724641369"&gt;23&lt;/key&gt;&lt;/foreign-keys&gt;&lt;ref-type name="Journal Article"&gt;17&lt;/ref-type&gt;&lt;contributors&gt;&lt;authors&gt;&lt;author&gt;Liu, Guo-Ping&lt;/author&gt;&lt;/authors&gt;&lt;/contributors&gt;&lt;titles&gt;&lt;title&gt;Control Strategies for Digital Twin Systems&lt;/title&gt;&lt;secondary-title&gt;IEEE-CAA JOURNAL OF AUTOMATICA SINICA&lt;/secondary-title&gt;&lt;/titles&gt;&lt;periodical&gt;&lt;full-title&gt;IEEE-CAA JOURNAL OF AUTOMATICA SINICA&lt;/full-title&gt;&lt;/periodical&gt;&lt;pages&gt;170-180&lt;/pages&gt;&lt;volume&gt;11&lt;/volume&gt;&lt;number&gt;1&lt;/number&gt;&lt;dates&gt;&lt;year&gt;2024&lt;/year&gt;&lt;pub-dates&gt;&lt;date&gt;2024 JAN&lt;/date&gt;&lt;/pub-dates&gt;&lt;/dates&gt;&lt;isbn&gt;2329-9266&amp;#xD;2329-9274&lt;/isbn&gt;&lt;accession-num&gt;WOS:001165394200008&lt;/accession-num&gt;&lt;work-type&gt;Article&lt;/work-type&gt;&lt;urls&gt;&lt;/urls&gt;&lt;electronic-resource-num&gt;10.1109/JAS.2023.123834&lt;/electronic-resource-num&gt;&lt;access-date&gt;2024-03-24&lt;/access-date&gt;&lt;/record&gt;&lt;/Cite&gt;&lt;/EndNote&gt;</w:instrText>
      </w:r>
      <w:r>
        <w:rPr>
          <w:rFonts w:ascii="Arial" w:hAnsi="Arial" w:cs="Arial"/>
        </w:rPr>
        <w:fldChar w:fldCharType="separate"/>
      </w:r>
      <w:r>
        <w:rPr>
          <w:rFonts w:ascii="Arial" w:hAnsi="Arial" w:cs="Arial"/>
          <w:vertAlign w:val="superscript"/>
        </w:rPr>
        <w:t>[7]</w:t>
      </w:r>
      <w:r>
        <w:rPr>
          <w:rFonts w:ascii="Arial" w:hAnsi="Arial" w:cs="Arial"/>
        </w:rPr>
        <w:fldChar w:fldCharType="end"/>
      </w:r>
      <w:r>
        <w:rPr>
          <w:rFonts w:hint="eastAsia" w:ascii="Arial" w:hAnsi="Arial" w:cs="Arial"/>
        </w:rPr>
        <w:t>. The research on digital twin workshop scheduling involves multiple disciplines, including management science, operations research, computer science, and engineering, which is helpful to promote the cross-integration of disciplines</w:t>
      </w:r>
      <w:r>
        <w:rPr>
          <w:rFonts w:ascii="Arial" w:hAnsi="Arial" w:cs="Arial"/>
        </w:rPr>
        <w:fldChar w:fldCharType="begin"/>
      </w:r>
      <w:r>
        <w:rPr>
          <w:rFonts w:ascii="Arial" w:hAnsi="Arial" w:cs="Arial"/>
        </w:rPr>
        <w:instrText xml:space="preserve"> ADDIN EN.CITE &lt;EndNote&gt;&lt;Cite&gt;&lt;Author&gt;Xu&lt;/Author&gt;&lt;Year&gt;2024&lt;/Year&gt;&lt;RecNum&gt;6&lt;/RecNum&gt;&lt;DisplayText&gt;&lt;style face="superscript"&gt;[8]&lt;/style&gt;&lt;/DisplayText&gt;&lt;record&gt;&lt;rec-number&gt;6&lt;/rec-number&gt;&lt;foreign-keys&gt;&lt;key app="EN" db-id="sdvz5vs5gepttoevwf450wzvp2vprd20zzr9" timestamp="1724641369"&gt;6&lt;/key&gt;&lt;/foreign-keys&gt;&lt;ref-type name="Journal Article"&gt;17&lt;/ref-type&gt;&lt;contributors&gt;&lt;authors&gt;&lt;author&gt;Xu, Ling&lt;/author&gt;&lt;author&gt;Yu, Huihui&lt;/author&gt;&lt;author&gt;Qin, Hanxiang&lt;/author&gt;&lt;author&gt;Chai, Yingqian&lt;/author&gt;&lt;author&gt;Yan, Ni&lt;/author&gt;&lt;author&gt;Li, Daoliang&lt;/author&gt;&lt;author&gt;Chen, Yingyi&lt;/author&gt;&lt;/authors&gt;&lt;/contributors&gt;&lt;titles&gt;&lt;title&gt;Digital Twin for Aquaponics Factory: Analysis, Opportunities, and Research Challenges&lt;/title&gt;&lt;secondary-title&gt;IEEE TRANSACTIONS ON INDUSTRIAL INFORMATICS&lt;/secondary-title&gt;&lt;/titles&gt;&lt;periodical&gt;&lt;full-title&gt;IEEE TRANSACTIONS ON INDUSTRIAL INFORMATICS&lt;/full-title&gt;&lt;/periodical&gt;&lt;pages&gt;5060-5073&lt;/pages&gt;&lt;volume&gt;20&lt;/volume&gt;&lt;number&gt;4&lt;/number&gt;&lt;dates&gt;&lt;year&gt;2024&lt;/year&gt;&lt;pub-dates&gt;&lt;date&gt;2024 APR&lt;/date&gt;&lt;/pub-dates&gt;&lt;/dates&gt;&lt;isbn&gt;1551-3203&amp;#xD;1941-0050&lt;/isbn&gt;&lt;accession-num&gt;WOS:001123213600001&lt;/accession-num&gt;&lt;work-type&gt;Article&lt;/work-type&gt;&lt;urls&gt;&lt;/urls&gt;&lt;custom6&gt;NOV 2023&lt;/custom6&gt;&lt;electronic-resource-num&gt;10.1109/TII.2023.3331135&lt;/electronic-resource-num&gt;&lt;access-date&gt;2023-12-23&lt;/access-date&gt;&lt;/record&gt;&lt;/Cite&gt;&lt;/EndNote&gt;</w:instrText>
      </w:r>
      <w:r>
        <w:rPr>
          <w:rFonts w:ascii="Arial" w:hAnsi="Arial" w:cs="Arial"/>
        </w:rPr>
        <w:fldChar w:fldCharType="separate"/>
      </w:r>
      <w:r>
        <w:rPr>
          <w:rFonts w:ascii="Arial" w:hAnsi="Arial" w:cs="Arial"/>
          <w:vertAlign w:val="superscript"/>
        </w:rPr>
        <w:t>[8]</w:t>
      </w:r>
      <w:r>
        <w:rPr>
          <w:rFonts w:ascii="Arial" w:hAnsi="Arial" w:cs="Arial"/>
        </w:rPr>
        <w:fldChar w:fldCharType="end"/>
      </w:r>
      <w:r>
        <w:rPr>
          <w:rFonts w:hint="eastAsia" w:ascii="Arial" w:hAnsi="Arial" w:cs="Arial"/>
        </w:rPr>
        <w:t>.</w:t>
      </w:r>
    </w:p>
    <w:bookmarkEnd w:id="2"/>
    <w:p w14:paraId="2F1A9623">
      <w:pPr>
        <w:pStyle w:val="27"/>
        <w:numPr>
          <w:ilvl w:val="2"/>
          <w:numId w:val="2"/>
        </w:numPr>
        <w:spacing w:after="0"/>
        <w:rPr>
          <w:rFonts w:ascii="Arial" w:hAnsi="Arial" w:cs="Arial" w:eastAsiaTheme="minorEastAsia"/>
          <w:b w:val="0"/>
          <w:lang w:eastAsia="zh-CN"/>
        </w:rPr>
      </w:pPr>
      <w:r>
        <w:rPr>
          <w:rFonts w:hint="eastAsia" w:ascii="Arial" w:hAnsi="Arial" w:cs="Arial" w:eastAsiaTheme="minorEastAsia"/>
          <w:b w:val="0"/>
          <w:lang w:eastAsia="zh-CN"/>
        </w:rPr>
        <w:t>Practical implications</w:t>
      </w:r>
    </w:p>
    <w:p w14:paraId="29FE7ECE">
      <w:pPr>
        <w:pStyle w:val="26"/>
        <w:spacing w:after="0"/>
        <w:ind w:firstLine="400" w:firstLineChars="200"/>
        <w:rPr>
          <w:rFonts w:ascii="Arial" w:hAnsi="Arial" w:cs="Arial"/>
        </w:rPr>
      </w:pPr>
      <w:bookmarkStart w:id="3" w:name="_Toc9913"/>
      <w:bookmarkStart w:id="4" w:name="OLE_LINK4"/>
      <w:r>
        <w:rPr>
          <w:rFonts w:hint="eastAsia" w:ascii="Arial" w:hAnsi="Arial" w:cs="Arial"/>
        </w:rPr>
        <w:t>Workshop scheduling is a key component of the intelligent manufacturing system, and the problem of job shop scheduling is the abstraction of the production mode that is widely existing in the manufacturing industry, and it is a problem that is highly valued in the manufacturing industry. The solution method of job shop scheduling problem can be directly used in the production and manufacturing process of enterprises, and the study of this problem has an irreplaceable role in improving production efficiency and manufacturing capacity. In today's era of big data, the development trend is to mine problem features from massive data, and the introduction of deep reinforcement learning in job shop scheduling is helpful to discover unknown features and rules in the workshop</w:t>
      </w:r>
      <w:r>
        <w:rPr>
          <w:rFonts w:ascii="Arial" w:hAnsi="Arial" w:cs="Arial"/>
        </w:rPr>
        <w:fldChar w:fldCharType="begin"/>
      </w:r>
      <w:r>
        <w:rPr>
          <w:rFonts w:ascii="Arial" w:hAnsi="Arial" w:cs="Arial"/>
        </w:rPr>
        <w:instrText xml:space="preserve"> ADDIN EN.CITE &lt;EndNote&gt;&lt;Cite&gt;&lt;Author&gt;Ma&lt;/Author&gt;&lt;Year&gt;2023&lt;/Year&gt;&lt;RecNum&gt;72&lt;/RecNum&gt;&lt;DisplayText&gt;&lt;style face="superscript"&gt;[9]&lt;/style&gt;&lt;/DisplayText&gt;&lt;record&gt;&lt;rec-number&gt;72&lt;/rec-number&gt;&lt;foreign-keys&gt;&lt;key app="EN" db-id="sdvz5vs5gepttoevwf450wzvp2vprd20zzr9" timestamp="1724642512"&gt;72&lt;/key&gt;&lt;/foreign-keys&gt;&lt;ref-type name="Journal Article"&gt;17&lt;/ref-type&gt;&lt;contributors&gt;&lt;authors&gt;&lt;author&gt;Ma, Yumin&lt;/author&gt;&lt;author&gt;Cai, Jingwen&lt;/author&gt;&lt;author&gt;Li, Shengyi&lt;/author&gt;&lt;author&gt;Liu, Juan&lt;/author&gt;&lt;author&gt;Xing, Jianmin&lt;/author&gt;&lt;author&gt;Qiao, Fei&lt;/author&gt;&lt;/authors&gt;&lt;/contributors&gt;&lt;titles&gt;&lt;title&gt;Double deep Q-network-based self-adaptive scheduling approach for smart shop floor&lt;/title&gt;&lt;secondary-title&gt;NEURAL COMPUTING &amp;amp; APPLICATIONS&lt;/secondary-title&gt;&lt;/titles&gt;&lt;periodical&gt;&lt;full-title&gt;NEURAL COMPUTING &amp;amp; APPLICATIONS&lt;/full-title&gt;&lt;/periodical&gt;&lt;pages&gt;22281-22296&lt;/pages&gt;&lt;volume&gt;35&lt;/volume&gt;&lt;number&gt;30&lt;/number&gt;&lt;dates&gt;&lt;year&gt;2023&lt;/year&gt;&lt;pub-dates&gt;&lt;date&gt;2023 OCT&lt;/date&gt;&lt;/pub-dates&gt;&lt;/dates&gt;&lt;isbn&gt;0941-0643&amp;#xD;1433-3058&lt;/isbn&gt;&lt;accession-num&gt;WOS:001043631300003&lt;/accession-num&gt;&lt;work-type&gt;Article&lt;/work-type&gt;&lt;urls&gt;&lt;/urls&gt;&lt;custom6&gt;AUG 2023&lt;/custom6&gt;&lt;electronic-resource-num&gt;10.1007/s00521-023-08877-3&lt;/electronic-resource-num&gt;&lt;access-date&gt;2023-08-21&lt;/access-date&gt;&lt;/record&gt;&lt;/Cite&gt;&lt;/EndNote&gt;</w:instrText>
      </w:r>
      <w:r>
        <w:rPr>
          <w:rFonts w:ascii="Arial" w:hAnsi="Arial" w:cs="Arial"/>
        </w:rPr>
        <w:fldChar w:fldCharType="separate"/>
      </w:r>
      <w:r>
        <w:rPr>
          <w:rFonts w:ascii="Arial" w:hAnsi="Arial" w:cs="Arial"/>
          <w:vertAlign w:val="superscript"/>
        </w:rPr>
        <w:t>[9]</w:t>
      </w:r>
      <w:r>
        <w:rPr>
          <w:rFonts w:ascii="Arial" w:hAnsi="Arial" w:cs="Arial"/>
        </w:rPr>
        <w:fldChar w:fldCharType="end"/>
      </w:r>
      <w:r>
        <w:rPr>
          <w:rFonts w:hint="eastAsia" w:ascii="Arial" w:hAnsi="Arial" w:cs="Arial"/>
        </w:rPr>
        <w:t>. It is of great value to combine deep reinforcement learning and digital twin to study the rational selection of combined scheduling rules according to the changes in the environment of the processing workshop, which is of great value for improving the intelligence of the scheduling system and coping with the complex and changeable production environment</w:t>
      </w:r>
      <w:r>
        <w:rPr>
          <w:rFonts w:ascii="Arial" w:hAnsi="Arial" w:cs="Arial"/>
        </w:rPr>
        <w:fldChar w:fldCharType="begin"/>
      </w:r>
      <w:r>
        <w:rPr>
          <w:rFonts w:ascii="Arial" w:hAnsi="Arial" w:cs="Arial"/>
        </w:rPr>
        <w:instrText xml:space="preserve"> ADDIN EN.CITE &lt;EndNote&gt;&lt;Cite&gt;&lt;Author&gt;Ma&lt;/Author&gt;&lt;Year&gt;2023&lt;/Year&gt;&lt;RecNum&gt;72&lt;/RecNum&gt;&lt;DisplayText&gt;&lt;style face="superscript"&gt;[9]&lt;/style&gt;&lt;/DisplayText&gt;&lt;record&gt;&lt;rec-number&gt;72&lt;/rec-number&gt;&lt;foreign-keys&gt;&lt;key app="EN" db-id="sdvz5vs5gepttoevwf450wzvp2vprd20zzr9" timestamp="1724642512"&gt;72&lt;/key&gt;&lt;/foreign-keys&gt;&lt;ref-type name="Journal Article"&gt;17&lt;/ref-type&gt;&lt;contributors&gt;&lt;authors&gt;&lt;author&gt;Ma, Yumin&lt;/author&gt;&lt;author&gt;Cai, Jingwen&lt;/author&gt;&lt;author&gt;Li, Shengyi&lt;/author&gt;&lt;author&gt;Liu, Juan&lt;/author&gt;&lt;author&gt;Xing, Jianmin&lt;/author&gt;&lt;author&gt;Qiao, Fei&lt;/author&gt;&lt;/authors&gt;&lt;/contributors&gt;&lt;titles&gt;&lt;title&gt;Double deep Q-network-based self-adaptive scheduling approach for smart shop floor&lt;/title&gt;&lt;secondary-title&gt;NEURAL COMPUTING &amp;amp; APPLICATIONS&lt;/secondary-title&gt;&lt;/titles&gt;&lt;periodical&gt;&lt;full-title&gt;NEURAL COMPUTING &amp;amp; APPLICATIONS&lt;/full-title&gt;&lt;/periodical&gt;&lt;pages&gt;22281-22296&lt;/pages&gt;&lt;volume&gt;35&lt;/volume&gt;&lt;number&gt;30&lt;/number&gt;&lt;dates&gt;&lt;year&gt;2023&lt;/year&gt;&lt;pub-dates&gt;&lt;date&gt;2023 OCT&lt;/date&gt;&lt;/pub-dates&gt;&lt;/dates&gt;&lt;isbn&gt;0941-0643&amp;#xD;1433-3058&lt;/isbn&gt;&lt;accession-num&gt;WOS:001043631300003&lt;/accession-num&gt;&lt;work-type&gt;Article&lt;/work-type&gt;&lt;urls&gt;&lt;/urls&gt;&lt;custom6&gt;AUG 2023&lt;/custom6&gt;&lt;electronic-resource-num&gt;10.1007/s00521-023-08877-3&lt;/electronic-resource-num&gt;&lt;access-date&gt;2023-08-21&lt;/access-date&gt;&lt;/record&gt;&lt;/Cite&gt;&lt;/EndNote&gt;</w:instrText>
      </w:r>
      <w:r>
        <w:rPr>
          <w:rFonts w:ascii="Arial" w:hAnsi="Arial" w:cs="Arial"/>
        </w:rPr>
        <w:fldChar w:fldCharType="separate"/>
      </w:r>
      <w:r>
        <w:rPr>
          <w:rFonts w:ascii="Arial" w:hAnsi="Arial" w:cs="Arial"/>
          <w:vertAlign w:val="superscript"/>
        </w:rPr>
        <w:t>[9]</w:t>
      </w:r>
      <w:r>
        <w:rPr>
          <w:rFonts w:ascii="Arial" w:hAnsi="Arial" w:cs="Arial"/>
        </w:rPr>
        <w:fldChar w:fldCharType="end"/>
      </w:r>
      <w:r>
        <w:rPr>
          <w:rFonts w:hint="eastAsia" w:ascii="Arial" w:hAnsi="Arial" w:cs="Arial"/>
        </w:rPr>
        <w:t>. The application of deep reinforcement learning in digital twin shop floor scheduling will promote the development of data-driven decision support systems and provide innovative solutions for the manufacturing industry</w:t>
      </w:r>
      <w:r>
        <w:rPr>
          <w:rFonts w:ascii="Arial" w:hAnsi="Arial" w:cs="Arial"/>
        </w:rPr>
        <w:fldChar w:fldCharType="begin"/>
      </w:r>
      <w:r>
        <w:rPr>
          <w:rFonts w:ascii="Arial" w:hAnsi="Arial" w:cs="Arial"/>
        </w:rPr>
        <w:instrText xml:space="preserve"> ADDIN EN.CITE &lt;EndNote&gt;&lt;Cite&gt;&lt;Author&gt;Boulos&lt;/Author&gt;&lt;Year&gt;2021&lt;/Year&gt;&lt;RecNum&gt;49&lt;/RecNum&gt;&lt;DisplayText&gt;&lt;style face="superscript"&gt;[10]&lt;/style&gt;&lt;/DisplayText&gt;&lt;record&gt;&lt;rec-number&gt;49&lt;/rec-number&gt;&lt;foreign-keys&gt;&lt;key app="EN" db-id="sdvz5vs5gepttoevwf450wzvp2vprd20zzr9" timestamp="1724641370"&gt;49&lt;/key&gt;&lt;/foreign-keys&gt;&lt;ref-type name="Journal Article"&gt;17&lt;/ref-type&gt;&lt;contributors&gt;&lt;authors&gt;&lt;author&gt;Boulos, Maged N. Kamel&lt;/author&gt;&lt;author&gt;Zhang, Peng&lt;/author&gt;&lt;/authors&gt;&lt;/contributors&gt;&lt;titles&gt;&lt;title&gt;Digital Twins: From Personalised Medicine to Precision Public Health&lt;/title&gt;&lt;secondary-title&gt;JOURNAL OF PERSONALIZED MEDICINE&lt;/secondary-title&gt;&lt;/titles&gt;&lt;periodical&gt;&lt;full-title&gt;JOURNAL OF PERSONALIZED MEDICINE&lt;/full-title&gt;&lt;/periodical&gt;&lt;volume&gt;11&lt;/volume&gt;&lt;number&gt;8&lt;/number&gt;&lt;dates&gt;&lt;year&gt;2021&lt;/year&gt;&lt;pub-dates&gt;&lt;date&gt;2021 AUG&lt;/date&gt;&lt;/pub-dates&gt;&lt;/dates&gt;&lt;isbn&gt;2075-4426&lt;/isbn&gt;&lt;accession-num&gt;WOS:000689398400001&lt;/accession-num&gt;&lt;work-type&gt;Review&lt;/work-type&gt;&lt;urls&gt;&lt;/urls&gt;&lt;custom7&gt;745&lt;/custom7&gt;&lt;electronic-resource-num&gt;10.3390/jpm11080745&lt;/electronic-resource-num&gt;&lt;access-date&gt;2021-09-03&lt;/access-date&gt;&lt;/record&gt;&lt;/Cite&gt;&lt;/EndNote&gt;</w:instrText>
      </w:r>
      <w:r>
        <w:rPr>
          <w:rFonts w:ascii="Arial" w:hAnsi="Arial" w:cs="Arial"/>
        </w:rPr>
        <w:fldChar w:fldCharType="separate"/>
      </w:r>
      <w:r>
        <w:rPr>
          <w:rFonts w:ascii="Arial" w:hAnsi="Arial" w:cs="Arial"/>
          <w:vertAlign w:val="superscript"/>
        </w:rPr>
        <w:t>[10]</w:t>
      </w:r>
      <w:r>
        <w:rPr>
          <w:rFonts w:ascii="Arial" w:hAnsi="Arial" w:cs="Arial"/>
        </w:rPr>
        <w:fldChar w:fldCharType="end"/>
      </w:r>
      <w:r>
        <w:rPr>
          <w:rFonts w:hint="eastAsia" w:ascii="Arial" w:hAnsi="Arial" w:cs="Arial"/>
        </w:rPr>
        <w:t>. These theoretical implications not only promote the development of related disciplines and technologies, but also provide application prospects for the manufacturing industry</w:t>
      </w:r>
      <w:r>
        <w:rPr>
          <w:rFonts w:ascii="Arial" w:hAnsi="Arial" w:cs="Arial"/>
        </w:rPr>
        <w:fldChar w:fldCharType="begin"/>
      </w:r>
      <w:r>
        <w:rPr>
          <w:rFonts w:ascii="Arial" w:hAnsi="Arial" w:cs="Arial"/>
        </w:rPr>
        <w:instrText xml:space="preserve"> ADDIN EN.CITE &lt;EndNote&gt;&lt;Cite&gt;&lt;Author&gt;Holopainen&lt;/Author&gt;&lt;Year&gt;2024&lt;/Year&gt;&lt;RecNum&gt;43&lt;/RecNum&gt;&lt;DisplayText&gt;&lt;style face="superscript"&gt;[11]&lt;/style&gt;&lt;/DisplayText&gt;&lt;record&gt;&lt;rec-number&gt;43&lt;/rec-number&gt;&lt;foreign-keys&gt;&lt;key app="EN" db-id="sdvz5vs5gepttoevwf450wzvp2vprd20zzr9" timestamp="1724641370"&gt;43&lt;/key&gt;&lt;/foreign-keys&gt;&lt;ref-type name="Journal Article"&gt;17&lt;/ref-type&gt;&lt;contributors&gt;&lt;authors&gt;&lt;author&gt;Holopainen, Mira&lt;/author&gt;&lt;author&gt;Saunila, Minna&lt;/author&gt;&lt;author&gt;Rantala, Tero&lt;/author&gt;&lt;author&gt;Ukko, Juhani&lt;/author&gt;&lt;/authors&gt;&lt;/contributors&gt;&lt;titles&gt;&lt;title&gt;Digital twins&amp;apos; implications for innovation&lt;/title&gt;&lt;secondary-title&gt;TECHNOLOGY ANALYSIS &amp;amp; STRATEGIC MANAGEMENT&lt;/secondary-title&gt;&lt;/titles&gt;&lt;periodical&gt;&lt;full-title&gt;TECHNOLOGY ANALYSIS &amp;amp; STRATEGIC MANAGEMENT&lt;/full-title&gt;&lt;/periodical&gt;&lt;pages&gt;1779-1791&lt;/pages&gt;&lt;volume&gt;36&lt;/volume&gt;&lt;number&gt;8&lt;/number&gt;&lt;dates&gt;&lt;year&gt;2024&lt;/year&gt;&lt;pub-dates&gt;&lt;date&gt;2024 AUG 2&lt;/date&gt;&lt;/pub-dates&gt;&lt;/dates&gt;&lt;isbn&gt;0953-7325&amp;#xD;1465-3990&lt;/isbn&gt;&lt;accession-num&gt;WOS:000844086100001&lt;/accession-num&gt;&lt;work-type&gt;Article&lt;/work-type&gt;&lt;urls&gt;&lt;/urls&gt;&lt;custom6&gt;AUG 2022&lt;/custom6&gt;&lt;electronic-resource-num&gt;10.1080/09537325.2022.2115881&lt;/electronic-resource-num&gt;&lt;access-date&gt;2022-09-01&lt;/access-date&gt;&lt;/record&gt;&lt;/Cite&gt;&lt;/EndNote&gt;</w:instrText>
      </w:r>
      <w:r>
        <w:rPr>
          <w:rFonts w:ascii="Arial" w:hAnsi="Arial" w:cs="Arial"/>
        </w:rPr>
        <w:fldChar w:fldCharType="separate"/>
      </w:r>
      <w:r>
        <w:rPr>
          <w:rFonts w:ascii="Arial" w:hAnsi="Arial" w:cs="Arial"/>
          <w:vertAlign w:val="superscript"/>
        </w:rPr>
        <w:t>[11]</w:t>
      </w:r>
      <w:r>
        <w:rPr>
          <w:rFonts w:ascii="Arial" w:hAnsi="Arial" w:cs="Arial"/>
        </w:rPr>
        <w:fldChar w:fldCharType="end"/>
      </w:r>
      <w:r>
        <w:rPr>
          <w:rFonts w:hint="eastAsia" w:ascii="Arial" w:hAnsi="Arial" w:cs="Arial"/>
        </w:rPr>
        <w:t>.</w:t>
      </w:r>
    </w:p>
    <w:p w14:paraId="23536042">
      <w:pPr>
        <w:pStyle w:val="27"/>
        <w:numPr>
          <w:ilvl w:val="1"/>
          <w:numId w:val="2"/>
        </w:numPr>
        <w:spacing w:after="0"/>
        <w:rPr>
          <w:rFonts w:ascii="Arial" w:hAnsi="Arial" w:cs="Arial" w:eastAsiaTheme="minorEastAsia"/>
          <w:lang w:eastAsia="zh-CN"/>
        </w:rPr>
      </w:pPr>
      <w:r>
        <w:rPr>
          <w:rFonts w:hint="eastAsia" w:ascii="Arial" w:hAnsi="Arial" w:cs="Arial" w:eastAsiaTheme="minorEastAsia"/>
          <w:lang w:eastAsia="zh-CN"/>
        </w:rPr>
        <w:t>Research Status</w:t>
      </w:r>
    </w:p>
    <w:p w14:paraId="50A07906">
      <w:pPr>
        <w:pStyle w:val="26"/>
        <w:spacing w:after="0"/>
        <w:ind w:firstLine="400" w:firstLineChars="200"/>
        <w:rPr>
          <w:rFonts w:ascii="Arial" w:hAnsi="Arial" w:cs="Arial"/>
        </w:rPr>
      </w:pPr>
      <w:r>
        <w:rPr>
          <w:rFonts w:hint="eastAsia" w:ascii="Arial" w:hAnsi="Arial" w:cs="Arial"/>
        </w:rPr>
        <w:t>As a classic problem, job shop scheduling continues to be active with the growth of personalized demand in the manufacturing industry</w:t>
      </w:r>
      <w:r>
        <w:rPr>
          <w:rFonts w:ascii="Arial" w:hAnsi="Arial" w:cs="Arial"/>
        </w:rPr>
        <w:fldChar w:fldCharType="begin"/>
      </w:r>
      <w:r>
        <w:rPr>
          <w:rFonts w:ascii="Arial" w:hAnsi="Arial" w:cs="Arial"/>
        </w:rPr>
        <w:instrText xml:space="preserve"> ADDIN EN.CITE &lt;EndNote&gt;&lt;Cite&gt;&lt;Author&gt;Jeong&lt;/Author&gt;&lt;Year&gt;2022&lt;/Year&gt;&lt;RecNum&gt;34&lt;/RecNum&gt;&lt;DisplayText&gt;&lt;style face="superscript"&gt;[12]&lt;/style&gt;&lt;/DisplayText&gt;&lt;record&gt;&lt;rec-number&gt;34&lt;/rec-number&gt;&lt;foreign-keys&gt;&lt;key app="EN" db-id="sdvz5vs5gepttoevwf450wzvp2vprd20zzr9" timestamp="1724641370"&gt;34&lt;/key&gt;&lt;/foreign-keys&gt;&lt;ref-type name="Journal Article"&gt;17&lt;/ref-type&gt;&lt;contributors&gt;&lt;authors&gt;&lt;author&gt;Jeong, Deuk-Young&lt;/author&gt;&lt;author&gt;Baek, Myung-Sun&lt;/author&gt;&lt;author&gt;Lim, Tae-Beom&lt;/author&gt;&lt;author&gt;Kim, Yong-Woon&lt;/author&gt;&lt;author&gt;Kim, Se-Han&lt;/author&gt;&lt;author&gt;Lee, Yong-Tae&lt;/author&gt;&lt;author&gt;Jung, Woo-Sug&lt;/author&gt;&lt;author&gt;Lee, In-Bok&lt;/author&gt;&lt;/authors&gt;&lt;/contributors&gt;&lt;titles&gt;&lt;title&gt;Digital Twin: Technology Evolution Stages and Implementation Layers With Technology Elements&lt;/title&gt;&lt;secondary-title&gt;IEEE ACCESS&lt;/secondary-title&gt;&lt;/titles&gt;&lt;periodical&gt;&lt;full-title&gt;IEEE ACCESS&lt;/full-title&gt;&lt;/periodical&gt;&lt;pages&gt;52609-52620&lt;/pages&gt;&lt;volume&gt;10&lt;/volume&gt;&lt;dates&gt;&lt;year&gt;2022&lt;/year&gt;&lt;pub-dates&gt;&lt;date&gt;2022&lt;/date&gt;&lt;/pub-dates&gt;&lt;/dates&gt;&lt;isbn&gt;2169-3536&lt;/isbn&gt;&lt;accession-num&gt;WOS:000800161500001&lt;/accession-num&gt;&lt;work-type&gt;Article&lt;/work-type&gt;&lt;urls&gt;&lt;/urls&gt;&lt;electronic-resource-num&gt;10.1109/ACCESS.2022.3174220&lt;/electronic-resource-num&gt;&lt;access-date&gt;2022-06-05&lt;/access-date&gt;&lt;/record&gt;&lt;/Cite&gt;&lt;/EndNote&gt;</w:instrText>
      </w:r>
      <w:r>
        <w:rPr>
          <w:rFonts w:ascii="Arial" w:hAnsi="Arial" w:cs="Arial"/>
        </w:rPr>
        <w:fldChar w:fldCharType="separate"/>
      </w:r>
      <w:r>
        <w:rPr>
          <w:rFonts w:ascii="Arial" w:hAnsi="Arial" w:cs="Arial"/>
          <w:vertAlign w:val="superscript"/>
        </w:rPr>
        <w:t>[12]</w:t>
      </w:r>
      <w:r>
        <w:rPr>
          <w:rFonts w:ascii="Arial" w:hAnsi="Arial" w:cs="Arial"/>
        </w:rPr>
        <w:fldChar w:fldCharType="end"/>
      </w:r>
      <w:r>
        <w:rPr>
          <w:rFonts w:hint="eastAsia" w:ascii="Arial" w:hAnsi="Arial" w:cs="Arial"/>
        </w:rPr>
        <w:t>. In the early days, mathematical and operations research methods were used to solve the problem, such as the implicit enumeration method, the branch delimitation method and other precise methods, although the global optimal solution can be obtained, but the calculation is complex and suitable for small-scale problems. Subsequently, scholars turned to approximate solving, such as genetic algorithm, tabu search and other intelligent optimization methods, combined with heuristic strategies to improve the solution efficiency</w:t>
      </w:r>
      <w:r>
        <w:rPr>
          <w:rFonts w:ascii="Arial" w:hAnsi="Arial" w:cs="Arial"/>
        </w:rPr>
        <w:fldChar w:fldCharType="begin"/>
      </w:r>
      <w:r>
        <w:rPr>
          <w:rFonts w:ascii="Arial" w:hAnsi="Arial" w:cs="Arial"/>
        </w:rPr>
        <w:instrText xml:space="preserve"> ADDIN EN.CITE &lt;EndNote&gt;&lt;Cite&gt;&lt;Author&gt;Wu&lt;/Author&gt;&lt;Year&gt;2021&lt;/Year&gt;&lt;RecNum&gt;80&lt;/RecNum&gt;&lt;DisplayText&gt;&lt;style face="superscript"&gt;[13]&lt;/style&gt;&lt;/DisplayText&gt;&lt;record&gt;&lt;rec-number&gt;80&lt;/rec-number&gt;&lt;foreign-keys&gt;&lt;key app="EN" db-id="sdvz5vs5gepttoevwf450wzvp2vprd20zzr9" timestamp="1724642512"&gt;80&lt;/key&gt;&lt;/foreign-keys&gt;&lt;ref-type name="Journal Article"&gt;17&lt;/ref-type&gt;&lt;contributors&gt;&lt;authors&gt;&lt;author&gt;Wu, Chunlong&lt;/author&gt;&lt;author&gt;Zhou, Youcheng&lt;/author&gt;&lt;author&gt;Pessoa, Marcus Vinicius Pereia&lt;/author&gt;&lt;author&gt;Peng, Qingjin&lt;/author&gt;&lt;author&gt;Tan, Runhua&lt;/author&gt;&lt;/authors&gt;&lt;/contributors&gt;&lt;titles&gt;&lt;title&gt;Conceptual digital twin modeling based on an integrated five-dimensional framework and TRIZ function model&lt;/title&gt;&lt;secondary-title&gt;JOURNAL OF MANUFACTURING SYSTEMS&lt;/secondary-title&gt;&lt;/titles&gt;&lt;periodical&gt;&lt;full-title&gt;JOURNAL OF MANUFACTURING SYSTEMS&lt;/full-title&gt;&lt;/periodical&gt;&lt;pages&gt;79-93&lt;/pages&gt;&lt;volume&gt;58&lt;/volume&gt;&lt;dates&gt;&lt;year&gt;2021&lt;/year&gt;&lt;pub-dates&gt;&lt;date&gt;2021 JAN&lt;/date&gt;&lt;/pub-dates&gt;&lt;/dates&gt;&lt;isbn&gt;0278-6125&amp;#xD;1878-6642&lt;/isbn&gt;&lt;accession-num&gt;WOS:000631719500003&lt;/accession-num&gt;&lt;work-type&gt;Article&lt;/work-type&gt;&lt;urls&gt;&lt;/urls&gt;&lt;custom6&gt;MAR 2021&lt;/custom6&gt;&lt;electronic-resource-num&gt;10.1016/j.jmsy.2020.07.006&lt;/electronic-resource-num&gt;&lt;access-date&gt;2021-03-27&lt;/access-date&gt;&lt;/record&gt;&lt;/Cite&gt;&lt;/EndNote&gt;</w:instrText>
      </w:r>
      <w:r>
        <w:rPr>
          <w:rFonts w:ascii="Arial" w:hAnsi="Arial" w:cs="Arial"/>
        </w:rPr>
        <w:fldChar w:fldCharType="separate"/>
      </w:r>
      <w:r>
        <w:rPr>
          <w:rFonts w:ascii="Arial" w:hAnsi="Arial" w:cs="Arial"/>
          <w:vertAlign w:val="superscript"/>
        </w:rPr>
        <w:t>[13]</w:t>
      </w:r>
      <w:r>
        <w:rPr>
          <w:rFonts w:ascii="Arial" w:hAnsi="Arial" w:cs="Arial"/>
        </w:rPr>
        <w:fldChar w:fldCharType="end"/>
      </w:r>
      <w:r>
        <w:rPr>
          <w:rFonts w:hint="eastAsia" w:ascii="Arial" w:hAnsi="Arial" w:cs="Arial"/>
        </w:rPr>
        <w:t>. In recent years, hybrid algorithms, such as the combination of genetic and simulated annealing, chemical reaction optimization and tabu search, have further improved the ability to solve complex scheduling problems. These intelligent optimization methods provide a new way to solve complex problems such as job shop scheduling by observing the laws of nature and innovating optimization thinking</w:t>
      </w:r>
      <w:r>
        <w:rPr>
          <w:rFonts w:ascii="Arial" w:hAnsi="Arial" w:cs="Arial"/>
        </w:rPr>
        <w:fldChar w:fldCharType="begin"/>
      </w:r>
      <w:r>
        <w:rPr>
          <w:rFonts w:ascii="Arial" w:hAnsi="Arial" w:cs="Arial"/>
        </w:rPr>
        <w:instrText xml:space="preserve"> ADDIN EN.CITE &lt;EndNote&gt;&lt;Cite&gt;&lt;Author&gt;Zheng&lt;/Author&gt;&lt;Year&gt;2024&lt;/Year&gt;&lt;RecNum&gt;50&lt;/RecNum&gt;&lt;DisplayText&gt;&lt;style face="superscript"&gt;[14]&lt;/style&gt;&lt;/DisplayText&gt;&lt;record&gt;&lt;rec-number&gt;50&lt;/rec-number&gt;&lt;foreign-keys&gt;&lt;key app="EN" db-id="sdvz5vs5gepttoevwf450wzvp2vprd20zzr9" timestamp="1724641370"&gt;50&lt;/key&gt;&lt;/foreign-keys&gt;&lt;ref-type name="Journal Article"&gt;17&lt;/ref-type&gt;&lt;contributors&gt;&lt;authors&gt;&lt;author&gt;Zheng, Hangbin&lt;/author&gt;&lt;author&gt;Liu, Tianyuan&lt;/author&gt;&lt;author&gt;Liu, Jiayu&lt;/author&gt;&lt;author&gt;Bao, Jinsong&lt;/author&gt;&lt;/authors&gt;&lt;/contributors&gt;&lt;titles&gt;&lt;title&gt;Visual analytics for digital twins: a conceptual framework and case study&lt;/title&gt;&lt;secondary-title&gt;JOURNAL OF INTELLIGENT MANUFACTURING&lt;/secondary-title&gt;&lt;/titles&gt;&lt;periodical&gt;&lt;full-title&gt;JOURNAL OF INTELLIGENT MANUFACTURING&lt;/full-title&gt;&lt;/periodical&gt;&lt;pages&gt;1671-1686&lt;/pages&gt;&lt;volume&gt;35&lt;/volume&gt;&lt;number&gt;4&lt;/number&gt;&lt;dates&gt;&lt;year&gt;2024&lt;/year&gt;&lt;pub-dates&gt;&lt;date&gt;2024 APR&lt;/date&gt;&lt;/pub-dates&gt;&lt;/dates&gt;&lt;isbn&gt;0956-5515&amp;#xD;1572-8145&lt;/isbn&gt;&lt;accession-num&gt;WOS:000981839600001&lt;/accession-num&gt;&lt;work-type&gt;Article&lt;/work-type&gt;&lt;urls&gt;&lt;/urls&gt;&lt;custom6&gt;MAY 2023&lt;/custom6&gt;&lt;electronic-resource-num&gt;10.1007/s10845-023-02135-y&lt;/electronic-resource-num&gt;&lt;access-date&gt;2023-06-12&lt;/access-date&gt;&lt;/record&gt;&lt;/Cite&gt;&lt;/EndNote&gt;</w:instrText>
      </w:r>
      <w:r>
        <w:rPr>
          <w:rFonts w:ascii="Arial" w:hAnsi="Arial" w:cs="Arial"/>
        </w:rPr>
        <w:fldChar w:fldCharType="separate"/>
      </w:r>
      <w:r>
        <w:rPr>
          <w:rFonts w:ascii="Arial" w:hAnsi="Arial" w:cs="Arial"/>
          <w:vertAlign w:val="superscript"/>
        </w:rPr>
        <w:t>[14]</w:t>
      </w:r>
      <w:r>
        <w:rPr>
          <w:rFonts w:ascii="Arial" w:hAnsi="Arial" w:cs="Arial"/>
        </w:rPr>
        <w:fldChar w:fldCharType="end"/>
      </w:r>
      <w:r>
        <w:rPr>
          <w:rFonts w:hint="eastAsia" w:ascii="Arial" w:hAnsi="Arial" w:cs="Arial"/>
        </w:rPr>
        <w:t>.</w:t>
      </w:r>
    </w:p>
    <w:p w14:paraId="374FCC19">
      <w:pPr>
        <w:pStyle w:val="26"/>
        <w:spacing w:after="0"/>
        <w:jc w:val="center"/>
        <w:rPr>
          <w:rFonts w:ascii="Arial" w:hAnsi="Arial" w:cs="Arial"/>
        </w:rPr>
      </w:pPr>
      <w:r>
        <w:rPr>
          <w:rFonts w:hint="eastAsia" w:ascii="Arial" w:hAnsi="Arial" w:cs="Arial"/>
        </w:rPr>
        <w:object>
          <v:shape id="_x0000_i1025" o:spt="75" type="#_x0000_t75" style="height:328.2pt;width:468.3pt;" o:ole="t" filled="f" o:preferrelative="t" stroked="f" coordsize="21600,21600">
            <v:path/>
            <v:fill on="f" focussize="0,0"/>
            <v:stroke on="f" joinstyle="miter"/>
            <v:imagedata r:id="rId11" o:title=""/>
            <o:lock v:ext="edit" aspectratio="f"/>
            <w10:wrap type="none"/>
            <w10:anchorlock/>
          </v:shape>
          <o:OLEObject Type="Embed" ProgID="Visio.Drawing.15" ShapeID="_x0000_i1025" DrawAspect="Content" ObjectID="_1468075725" r:id="rId10">
            <o:LockedField>false</o:LockedField>
          </o:OLEObject>
        </w:object>
      </w:r>
    </w:p>
    <w:p w14:paraId="0B55AAA9">
      <w:pPr>
        <w:pStyle w:val="26"/>
        <w:spacing w:after="0"/>
        <w:jc w:val="center"/>
        <w:rPr>
          <w:rFonts w:ascii="Arial" w:hAnsi="Arial" w:eastAsia="宋体" w:cs="Arial"/>
          <w:lang w:eastAsia="zh-CN"/>
        </w:rPr>
      </w:pPr>
      <w:r>
        <w:rPr>
          <w:rFonts w:hint="eastAsia" w:ascii="Times New Roman" w:hAnsi="Times New Roman" w:eastAsia="宋体"/>
          <w:sz w:val="21"/>
          <w:lang w:eastAsia="zh-CN"/>
        </w:rPr>
        <w:t xml:space="preserve">Figure </w:t>
      </w:r>
      <w:r>
        <w:rPr>
          <w:rFonts w:hint="eastAsia" w:ascii="Times New Roman" w:hAnsi="Times New Roman" w:eastAsia="宋体"/>
          <w:sz w:val="21"/>
          <w:lang w:eastAsia="zh-CN"/>
        </w:rPr>
        <w:fldChar w:fldCharType="begin"/>
      </w:r>
      <w:r>
        <w:rPr>
          <w:rFonts w:hint="eastAsia" w:ascii="Times New Roman" w:hAnsi="Times New Roman" w:eastAsia="宋体"/>
          <w:sz w:val="21"/>
          <w:lang w:eastAsia="zh-CN"/>
        </w:rPr>
        <w:instrText xml:space="preserve"> SEQ Figure \* ARABIC </w:instrText>
      </w:r>
      <w:r>
        <w:rPr>
          <w:rFonts w:hint="eastAsia" w:ascii="Times New Roman" w:hAnsi="Times New Roman" w:eastAsia="宋体"/>
          <w:sz w:val="21"/>
          <w:lang w:eastAsia="zh-CN"/>
        </w:rPr>
        <w:fldChar w:fldCharType="separate"/>
      </w:r>
      <w:r>
        <w:rPr>
          <w:rFonts w:hint="eastAsia" w:ascii="Times New Roman" w:hAnsi="Times New Roman" w:eastAsia="宋体"/>
          <w:sz w:val="21"/>
          <w:lang w:eastAsia="zh-CN"/>
        </w:rPr>
        <w:t>1</w:t>
      </w:r>
      <w:r>
        <w:rPr>
          <w:rFonts w:hint="eastAsia" w:ascii="Times New Roman" w:hAnsi="Times New Roman" w:eastAsia="宋体"/>
          <w:sz w:val="21"/>
          <w:lang w:eastAsia="zh-CN"/>
        </w:rPr>
        <w:fldChar w:fldCharType="end"/>
      </w:r>
      <w:r>
        <w:rPr>
          <w:rFonts w:hint="eastAsia" w:ascii="Times New Roman" w:hAnsi="Times New Roman" w:eastAsia="宋体"/>
          <w:sz w:val="21"/>
          <w:lang w:eastAsia="zh-CN"/>
        </w:rPr>
        <w:t xml:space="preserve"> Research Methods for Workshop Scheduling</w:t>
      </w:r>
    </w:p>
    <w:p w14:paraId="7080C51F">
      <w:pPr>
        <w:pStyle w:val="26"/>
        <w:spacing w:after="0"/>
        <w:ind w:firstLine="400" w:firstLineChars="200"/>
        <w:rPr>
          <w:rFonts w:ascii="Arial" w:hAnsi="Arial" w:cs="Arial"/>
        </w:rPr>
      </w:pPr>
      <w:r>
        <w:rPr>
          <w:rFonts w:hint="eastAsia" w:ascii="Arial" w:hAnsi="Arial" w:cs="Arial"/>
        </w:rPr>
        <w:t>Dynamic Job Shop Scheduling (DJSSP) studies address the challenges of frequent changes in real-world production. Scholars have proposed a variety of methods, such as an improved genetic algorithm combined with an ontology module, to optimize the maximum completion time and the average waiting time</w:t>
      </w:r>
      <w:r>
        <w:rPr>
          <w:rFonts w:ascii="Arial" w:hAnsi="Arial" w:cs="Arial"/>
        </w:rPr>
        <w:fldChar w:fldCharType="begin"/>
      </w:r>
      <w:r>
        <w:rPr>
          <w:rFonts w:ascii="Arial" w:hAnsi="Arial" w:cs="Arial"/>
        </w:rPr>
        <w:instrText xml:space="preserve"> ADDIN EN.CITE &lt;EndNote&gt;&lt;Cite&gt;&lt;Author&gt;Sengan&lt;/Author&gt;&lt;Year&gt;2022&lt;/Year&gt;&lt;RecNum&gt;40&lt;/RecNum&gt;&lt;DisplayText&gt;&lt;style face="superscript"&gt;[15]&lt;/style&gt;&lt;/DisplayText&gt;&lt;record&gt;&lt;rec-number&gt;40&lt;/rec-number&gt;&lt;foreign-keys&gt;&lt;key app="EN" db-id="sdvz5vs5gepttoevwf450wzvp2vprd20zzr9" timestamp="1724641370"&gt;40&lt;/key&gt;&lt;/foreign-keys&gt;&lt;ref-type name="Journal Article"&gt;17&lt;/ref-type&gt;&lt;contributors&gt;&lt;authors&gt;&lt;author&gt;Sengan, Sudhakar&lt;/author&gt;&lt;author&gt;Kumar, Kailash&lt;/author&gt;&lt;author&gt;Subramaniyaswamy, V.&lt;/author&gt;&lt;author&gt;Ravi, Logesh&lt;/author&gt;&lt;/authors&gt;&lt;/contributors&gt;&lt;titles&gt;&lt;title&gt;Cost-effective and efficient 3D human model creation and re-identification application for human digital twins&lt;/title&gt;&lt;secondary-title&gt;MULTIMEDIA TOOLS AND APPLICATIONS&lt;/secondary-title&gt;&lt;/titles&gt;&lt;periodical&gt;&lt;full-title&gt;MULTIMEDIA TOOLS AND APPLICATIONS&lt;/full-title&gt;&lt;/periodical&gt;&lt;pages&gt;26839-26856&lt;/pages&gt;&lt;volume&gt;81&lt;/volume&gt;&lt;number&gt;19&lt;/number&gt;&lt;dates&gt;&lt;year&gt;2022&lt;/year&gt;&lt;pub-dates&gt;&lt;date&gt;2022 AUG&lt;/date&gt;&lt;/pub-dates&gt;&lt;/dates&gt;&lt;isbn&gt;1380-7501&amp;#xD;1573-7721&lt;/isbn&gt;&lt;accession-num&gt;WOS:000634660700003&lt;/accession-num&gt;&lt;work-type&gt;Article&lt;/work-type&gt;&lt;urls&gt;&lt;/urls&gt;&lt;custom6&gt;MAR 2021&lt;/custom6&gt;&lt;electronic-resource-num&gt;10.1007/s11042-021-10842-y&lt;/electronic-resource-num&gt;&lt;access-date&gt;2021-04-03&lt;/access-date&gt;&lt;/record&gt;&lt;/Cite&gt;&lt;/EndNote&gt;</w:instrText>
      </w:r>
      <w:r>
        <w:rPr>
          <w:rFonts w:ascii="Arial" w:hAnsi="Arial" w:cs="Arial"/>
        </w:rPr>
        <w:fldChar w:fldCharType="separate"/>
      </w:r>
      <w:r>
        <w:rPr>
          <w:rFonts w:ascii="Arial" w:hAnsi="Arial" w:cs="Arial"/>
          <w:vertAlign w:val="superscript"/>
        </w:rPr>
        <w:t>[15]</w:t>
      </w:r>
      <w:r>
        <w:rPr>
          <w:rFonts w:ascii="Arial" w:hAnsi="Arial" w:cs="Arial"/>
        </w:rPr>
        <w:fldChar w:fldCharType="end"/>
      </w:r>
      <w:r>
        <w:rPr>
          <w:rFonts w:hint="eastAsia" w:ascii="Arial" w:hAnsi="Arial" w:cs="Arial"/>
        </w:rPr>
        <w:t>. However, the approximation algorithm is slow to process, and the scheduling rule method is favored for its fast response to dynamic events. Karunakaran et al. coping with uncertainty by training scheduling rules. Multi-agent fusion with traditional scheduling methods provides a new perspective. Wang et al. used an improved particle swarm optimization algorithm to process the arrival of new artifacts, and Liu et al. combined asynchronous update and DDPG to train the model. Zhang et al. proposed a GP-based assisted evolutionary multi-task algorithm to share scheduling knowledge</w:t>
      </w:r>
      <w:r>
        <w:rPr>
          <w:rFonts w:ascii="Arial" w:hAnsi="Arial" w:cs="Arial"/>
        </w:rPr>
        <w:fldChar w:fldCharType="begin"/>
      </w:r>
      <w:r>
        <w:rPr>
          <w:rFonts w:ascii="Arial" w:hAnsi="Arial" w:cs="Arial"/>
        </w:rPr>
        <w:instrText xml:space="preserve"> ADDIN EN.CITE &lt;EndNote&gt;&lt;Cite&gt;&lt;Author&gt;van der Valk&lt;/Author&gt;&lt;Year&gt;2022&lt;/Year&gt;&lt;RecNum&gt;31&lt;/RecNum&gt;&lt;DisplayText&gt;&lt;style face="superscript"&gt;[16]&lt;/style&gt;&lt;/DisplayText&gt;&lt;record&gt;&lt;rec-number&gt;31&lt;/rec-number&gt;&lt;foreign-keys&gt;&lt;key app="EN" db-id="sdvz5vs5gepttoevwf450wzvp2vprd20zzr9" timestamp="1724641369"&gt;31&lt;/key&gt;&lt;/foreign-keys&gt;&lt;ref-type name="Journal Article"&gt;17&lt;/ref-type&gt;&lt;contributors&gt;&lt;authors&gt;&lt;author&gt;van der Valk, Hendrik&lt;/author&gt;&lt;author&gt;Hasse, Hendrik&lt;/author&gt;&lt;author&gt;Moeller, Frederik&lt;/author&gt;&lt;author&gt;Otto, Boris&lt;/author&gt;&lt;/authors&gt;&lt;/contributors&gt;&lt;titles&gt;&lt;title&gt;Archetypes of Digital Twins&lt;/title&gt;&lt;secondary-title&gt;BUSINESS &amp;amp; INFORMATION SYSTEMS ENGINEERING&lt;/secondary-title&gt;&lt;/titles&gt;&lt;periodical&gt;&lt;full-title&gt;BUSINESS &amp;amp; INFORMATION SYSTEMS ENGINEERING&lt;/full-title&gt;&lt;/periodical&gt;&lt;pages&gt;375-391&lt;/pages&gt;&lt;volume&gt;64&lt;/volume&gt;&lt;number&gt;3&lt;/number&gt;&lt;dates&gt;&lt;year&gt;2022&lt;/year&gt;&lt;pub-dates&gt;&lt;date&gt;2022 JUN&lt;/date&gt;&lt;/pub-dates&gt;&lt;/dates&gt;&lt;isbn&gt;2363-7005&amp;#xD;1867-0202&lt;/isbn&gt;&lt;accession-num&gt;WOS:000725909000001&lt;/accession-num&gt;&lt;work-type&gt;Article&lt;/work-type&gt;&lt;urls&gt;&lt;/urls&gt;&lt;custom6&gt;DEC 2021&lt;/custom6&gt;&lt;electronic-resource-num&gt;10.1007/s12599-021-00727-7&lt;/electronic-resource-num&gt;&lt;access-date&gt;2021-12-03&lt;/access-date&gt;&lt;/record&gt;&lt;/Cite&gt;&lt;/EndNote&gt;</w:instrText>
      </w:r>
      <w:r>
        <w:rPr>
          <w:rFonts w:ascii="Arial" w:hAnsi="Arial" w:cs="Arial"/>
        </w:rPr>
        <w:fldChar w:fldCharType="separate"/>
      </w:r>
      <w:r>
        <w:rPr>
          <w:rFonts w:ascii="Arial" w:hAnsi="Arial" w:cs="Arial"/>
          <w:vertAlign w:val="superscript"/>
        </w:rPr>
        <w:t>[16]</w:t>
      </w:r>
      <w:r>
        <w:rPr>
          <w:rFonts w:ascii="Arial" w:hAnsi="Arial" w:cs="Arial"/>
        </w:rPr>
        <w:fldChar w:fldCharType="end"/>
      </w:r>
      <w:r>
        <w:rPr>
          <w:rFonts w:hint="eastAsia" w:ascii="Arial" w:hAnsi="Arial" w:cs="Arial"/>
        </w:rPr>
        <w:t>. Chang et al. use deep reinforcement learning to establish a flexible scheduling system with self-learning, real-time optimization, and intelligent decision-making to adapt to the dynamic production environment and improve scheduling efficiency.</w:t>
      </w:r>
    </w:p>
    <w:p w14:paraId="17172B27">
      <w:pPr>
        <w:pStyle w:val="26"/>
        <w:spacing w:after="0"/>
        <w:ind w:firstLine="400" w:firstLineChars="200"/>
        <w:rPr>
          <w:rFonts w:ascii="Arial" w:hAnsi="Arial" w:cs="Arial"/>
        </w:rPr>
      </w:pPr>
      <w:r>
        <w:rPr>
          <w:rFonts w:hint="eastAsia" w:ascii="Arial" w:hAnsi="Arial" w:cs="Arial"/>
        </w:rPr>
        <w:t>The study of dynamic scheduling of multi-objective job shop involves multiple optimization objectives</w:t>
      </w:r>
      <w:r>
        <w:rPr>
          <w:rFonts w:ascii="Arial" w:hAnsi="Arial" w:cs="Arial"/>
        </w:rPr>
        <w:fldChar w:fldCharType="begin"/>
      </w:r>
      <w:r>
        <w:rPr>
          <w:rFonts w:ascii="Arial" w:hAnsi="Arial" w:cs="Arial"/>
        </w:rPr>
        <w:instrText xml:space="preserve"> ADDIN EN.CITE &lt;EndNote&gt;&lt;Cite&gt;&lt;Author&gt;Talkhestani&lt;/Author&gt;&lt;Year&gt;2019&lt;/Year&gt;&lt;RecNum&gt;32&lt;/RecNum&gt;&lt;DisplayText&gt;&lt;style face="superscript"&gt;[17]&lt;/style&gt;&lt;/DisplayText&gt;&lt;record&gt;&lt;rec-number&gt;32&lt;/rec-number&gt;&lt;foreign-keys&gt;&lt;key app="EN" db-id="sdvz5vs5gepttoevwf450wzvp2vprd20zzr9" timestamp="1724641369"&gt;32&lt;/key&gt;&lt;/foreign-keys&gt;&lt;ref-type name="Journal Article"&gt;17&lt;/ref-type&gt;&lt;contributors&gt;&lt;authors&gt;&lt;author&gt;Talkhestani, Behrang Ashtari&lt;/author&gt;&lt;author&gt;Jung, Tobias&lt;/author&gt;&lt;author&gt;Lindemann, Benjamin&lt;/author&gt;&lt;author&gt;Sahlab, Nada&lt;/author&gt;&lt;author&gt;Jazdi, Nasser&lt;/author&gt;&lt;author&gt;Schloegl, Wolfgang&lt;/author&gt;&lt;author&gt;Weyrich, Michael&lt;/author&gt;&lt;/authors&gt;&lt;/contributors&gt;&lt;titles&gt;&lt;title&gt;An architecture of an Intelligent Digital Twin in a Cyber-Physical Production System&lt;/title&gt;&lt;secondary-title&gt;AT-AUTOMATISIERUNGSTECHNIK&lt;/secondary-title&gt;&lt;/titles&gt;&lt;periodical&gt;&lt;full-title&gt;AT-AUTOMATISIERUNGSTECHNIK&lt;/full-title&gt;&lt;/periodical&gt;&lt;pages&gt;762-782&lt;/pages&gt;&lt;volume&gt;67&lt;/volume&gt;&lt;number&gt;9&lt;/number&gt;&lt;dates&gt;&lt;year&gt;2019&lt;/year&gt;&lt;pub-dates&gt;&lt;date&gt;2019 SEP&lt;/date&gt;&lt;/pub-dates&gt;&lt;/dates&gt;&lt;isbn&gt;0178-2312&amp;#xD;2196-677X&lt;/isbn&gt;&lt;accession-num&gt;WOS:000489304000006&lt;/accession-num&gt;&lt;work-type&gt;Article&lt;/work-type&gt;&lt;urls&gt;&lt;/urls&gt;&lt;electronic-resource-num&gt;10.1515/auto-2019-0039&lt;/electronic-resource-num&gt;&lt;access-date&gt;2019-10-21&lt;/access-date&gt;&lt;/record&gt;&lt;/Cite&gt;&lt;/EndNote&gt;</w:instrText>
      </w:r>
      <w:r>
        <w:rPr>
          <w:rFonts w:ascii="Arial" w:hAnsi="Arial" w:cs="Arial"/>
        </w:rPr>
        <w:fldChar w:fldCharType="separate"/>
      </w:r>
      <w:r>
        <w:rPr>
          <w:rFonts w:ascii="Arial" w:hAnsi="Arial" w:cs="Arial"/>
          <w:vertAlign w:val="superscript"/>
        </w:rPr>
        <w:t>[17]</w:t>
      </w:r>
      <w:r>
        <w:rPr>
          <w:rFonts w:ascii="Arial" w:hAnsi="Arial" w:cs="Arial"/>
        </w:rPr>
        <w:fldChar w:fldCharType="end"/>
      </w:r>
      <w:r>
        <w:rPr>
          <w:rFonts w:hint="eastAsia" w:ascii="Arial" w:hAnsi="Arial" w:cs="Arial"/>
        </w:rPr>
        <w:t>, such as completion time, machine load, etc., and there are contradictions between the objectives. Scholars have proposed a variety of methods, such as MO-GPHH, MO-DFJSP, MODJA and deep learning-based MOGA, to solve the problem of multi-objective dynamic scheduling and improve scheduling efficiency and performance</w:t>
      </w:r>
      <w:r>
        <w:rPr>
          <w:rFonts w:ascii="Arial" w:hAnsi="Arial" w:cs="Arial"/>
        </w:rPr>
        <w:fldChar w:fldCharType="begin"/>
      </w:r>
      <w:r>
        <w:rPr>
          <w:rFonts w:ascii="Arial" w:hAnsi="Arial" w:cs="Arial"/>
        </w:rPr>
        <w:instrText xml:space="preserve"> ADDIN EN.CITE &lt;EndNote&gt;&lt;Cite&gt;&lt;Author&gt;Barresi&lt;/Author&gt;&lt;Year&gt;2022&lt;/Year&gt;&lt;RecNum&gt;35&lt;/RecNum&gt;&lt;DisplayText&gt;&lt;style face="superscript"&gt;[18]&lt;/style&gt;&lt;/DisplayText&gt;&lt;record&gt;&lt;rec-number&gt;35&lt;/rec-number&gt;&lt;foreign-keys&gt;&lt;key app="EN" db-id="sdvz5vs5gepttoevwf450wzvp2vprd20zzr9" timestamp="1724641370"&gt;35&lt;/key&gt;&lt;/foreign-keys&gt;&lt;ref-type name="Journal Article"&gt;17&lt;/ref-type&gt;&lt;contributors&gt;&lt;authors&gt;&lt;author&gt;Barresi, Giacinto&lt;/author&gt;&lt;author&gt;Pacchierotti, Claudio&lt;/author&gt;&lt;author&gt;Laffranchi, Matteo&lt;/author&gt;&lt;author&gt;De Michieli, Lorenzo&lt;/author&gt;&lt;/authors&gt;&lt;/contributors&gt;&lt;titles&gt;&lt;title&gt;Beyond Digital Twins: Phygital Twins for Neuroergonomics in Human-Robot Interaction&lt;/title&gt;&lt;secondary-title&gt;FRONTIERS IN NEUROROBOTICS&lt;/secondary-title&gt;&lt;/titles&gt;&lt;periodical&gt;&lt;full-title&gt;FRONTIERS IN NEUROROBOTICS&lt;/full-title&gt;&lt;/periodical&gt;&lt;volume&gt;16&lt;/volume&gt;&lt;dates&gt;&lt;year&gt;2022&lt;/year&gt;&lt;pub-dates&gt;&lt;date&gt;2022 JUN 28&lt;/date&gt;&lt;/pub-dates&gt;&lt;/dates&gt;&lt;isbn&gt;1662-5218&lt;/isbn&gt;&lt;accession-num&gt;WOS:000827773700001&lt;/accession-num&gt;&lt;work-type&gt;Editorial Material&lt;/work-type&gt;&lt;urls&gt;&lt;/urls&gt;&lt;custom7&gt;913605&lt;/custom7&gt;&lt;electronic-resource-num&gt;10.3389/fnbot.2022.913605&lt;/electronic-resource-num&gt;&lt;access-date&gt;2022-07-28&lt;/access-date&gt;&lt;/record&gt;&lt;/Cite&gt;&lt;/EndNote&gt;</w:instrText>
      </w:r>
      <w:r>
        <w:rPr>
          <w:rFonts w:ascii="Arial" w:hAnsi="Arial" w:cs="Arial"/>
        </w:rPr>
        <w:fldChar w:fldCharType="separate"/>
      </w:r>
      <w:r>
        <w:rPr>
          <w:rFonts w:ascii="Arial" w:hAnsi="Arial" w:cs="Arial"/>
          <w:vertAlign w:val="superscript"/>
        </w:rPr>
        <w:t>[18]</w:t>
      </w:r>
      <w:r>
        <w:rPr>
          <w:rFonts w:ascii="Arial" w:hAnsi="Arial" w:cs="Arial"/>
        </w:rPr>
        <w:fldChar w:fldCharType="end"/>
      </w:r>
      <w:r>
        <w:rPr>
          <w:rFonts w:hint="eastAsia" w:ascii="Arial" w:hAnsi="Arial" w:cs="Arial"/>
        </w:rPr>
        <w:t>.</w:t>
      </w:r>
    </w:p>
    <w:p w14:paraId="6EDF386E">
      <w:pPr>
        <w:pStyle w:val="26"/>
        <w:spacing w:after="0"/>
        <w:ind w:firstLine="400" w:firstLineChars="200"/>
        <w:rPr>
          <w:rFonts w:ascii="Arial" w:hAnsi="Arial" w:cs="Arial" w:eastAsiaTheme="minorEastAsia"/>
          <w:lang w:eastAsia="zh-CN"/>
        </w:rPr>
      </w:pPr>
      <w:r>
        <w:rPr>
          <w:rFonts w:hint="eastAsia" w:ascii="Arial" w:hAnsi="Arial" w:cs="Arial"/>
        </w:rPr>
        <w:t>The first application of reinforcement learning to solve production scheduling problems can be traced back to 1995, and since then, scholars at home and abroad have been actively researching</w:t>
      </w:r>
      <w:r>
        <w:rPr>
          <w:rFonts w:ascii="Arial" w:hAnsi="Arial" w:cs="Arial"/>
        </w:rPr>
        <w:fldChar w:fldCharType="begin"/>
      </w:r>
      <w:r>
        <w:rPr>
          <w:rFonts w:ascii="Arial" w:hAnsi="Arial" w:cs="Arial"/>
        </w:rPr>
        <w:instrText xml:space="preserve"> ADDIN EN.CITE &lt;EndNote&gt;&lt;Cite&gt;&lt;Author&gt;Lam&lt;/Author&gt;&lt;Year&gt;2023&lt;/Year&gt;&lt;RecNum&gt;28&lt;/RecNum&gt;&lt;DisplayText&gt;&lt;style face="superscript"&gt;[19]&lt;/style&gt;&lt;/DisplayText&gt;&lt;record&gt;&lt;rec-number&gt;28&lt;/rec-number&gt;&lt;foreign-keys&gt;&lt;key app="EN" db-id="sdvz5vs5gepttoevwf450wzvp2vprd20zzr9" timestamp="1724641369"&gt;28&lt;/key&gt;&lt;/foreign-keys&gt;&lt;ref-type name="Journal Article"&gt;17&lt;/ref-type&gt;&lt;contributors&gt;&lt;authors&gt;&lt;author&gt;Lam, Weng Siew&lt;/author&gt;&lt;author&gt;Lam, Weng Hoe&lt;/author&gt;&lt;author&gt;Lee, Pei Fun&lt;/author&gt;&lt;/authors&gt;&lt;/contributors&gt;&lt;titles&gt;&lt;title&gt;A Bibliometric Analysis of Digital Twin in the Supply Chain&lt;/title&gt;&lt;secondary-title&gt;MATHEMATICS&lt;/secondary-title&gt;&lt;/titles&gt;&lt;periodical&gt;&lt;full-title&gt;MATHEMATICS&lt;/full-title&gt;&lt;/periodical&gt;&lt;volume&gt;11&lt;/volume&gt;&lt;number&gt;15&lt;/number&gt;&lt;dates&gt;&lt;year&gt;2023&lt;/year&gt;&lt;pub-dates&gt;&lt;date&gt;2023 AUG&lt;/date&gt;&lt;/pub-dates&gt;&lt;/dates&gt;&lt;isbn&gt;2227-7390&lt;/isbn&gt;&lt;accession-num&gt;WOS:001045631000001&lt;/accession-num&gt;&lt;work-type&gt;Article&lt;/work-type&gt;&lt;urls&gt;&lt;/urls&gt;&lt;custom7&gt;3350&lt;/custom7&gt;&lt;electronic-resource-num&gt;10.3390/math11153350&lt;/electronic-resource-num&gt;&lt;access-date&gt;2023-08-23&lt;/access-date&gt;&lt;/record&gt;&lt;/Cite&gt;&lt;/EndNote&gt;</w:instrText>
      </w:r>
      <w:r>
        <w:rPr>
          <w:rFonts w:ascii="Arial" w:hAnsi="Arial" w:cs="Arial"/>
        </w:rPr>
        <w:fldChar w:fldCharType="separate"/>
      </w:r>
      <w:r>
        <w:rPr>
          <w:rFonts w:ascii="Arial" w:hAnsi="Arial" w:cs="Arial"/>
          <w:vertAlign w:val="superscript"/>
        </w:rPr>
        <w:t>[19]</w:t>
      </w:r>
      <w:r>
        <w:rPr>
          <w:rFonts w:ascii="Arial" w:hAnsi="Arial" w:cs="Arial"/>
        </w:rPr>
        <w:fldChar w:fldCharType="end"/>
      </w:r>
      <w:r>
        <w:rPr>
          <w:rFonts w:hint="eastAsia" w:ascii="Arial" w:hAnsi="Arial" w:cs="Arial"/>
        </w:rPr>
        <w:t xml:space="preserve">. In recent years, the use of reinforcement learning methods to solve scheduling problems has gradually become a research hotspot. The following figure shows the search results of the Web of Science database on October 28, 2023 with the keyword </w:t>
      </w:r>
      <w:r>
        <w:rPr>
          <w:rFonts w:ascii="Arial" w:hAnsi="Arial" w:cs="Arial"/>
        </w:rPr>
        <w:fldChar w:fldCharType="begin"/>
      </w:r>
      <w:r>
        <w:rPr>
          <w:rFonts w:ascii="Arial" w:hAnsi="Arial" w:cs="Arial"/>
        </w:rPr>
        <w:instrText xml:space="preserve"> ADDIN EN.CITE &lt;EndNote&gt;&lt;Cite&gt;&lt;Author&gt;Ji&lt;/Author&gt;&lt;Year&gt;2017&lt;/Year&gt;&lt;RecNum&gt;69&lt;/RecNum&gt;&lt;DisplayText&gt;&lt;style face="superscript"&gt;[20]&lt;/style&gt;&lt;/DisplayText&gt;&lt;record&gt;&lt;rec-number&gt;69&lt;/rec-number&gt;&lt;foreign-keys&gt;&lt;key app="EN" db-id="sdvz5vs5gepttoevwf450wzvp2vprd20zzr9" timestamp="1724642512"&gt;69&lt;/key&gt;&lt;/foreign-keys&gt;&lt;ref-type name="Journal Article"&gt;17&lt;/ref-type&gt;&lt;contributors&gt;&lt;authors&gt;&lt;author&gt;Ji, Wei&lt;/author&gt;&lt;author&gt;Wang, Lihui&lt;/author&gt;&lt;/authors&gt;&lt;/contributors&gt;&lt;titles&gt;&lt;title&gt;Big data analytics based fault prediction for shop floor scheduling&lt;/title&gt;&lt;secondary-title&gt;JOURNAL OF MANUFACTURING SYSTEMS&lt;/secondary-title&gt;&lt;/titles&gt;&lt;periodical&gt;&lt;full-title&gt;JOURNAL OF MANUFACTURING SYSTEMS&lt;/full-title&gt;&lt;/periodical&gt;&lt;pages&gt;187-194&lt;/pages&gt;&lt;volume&gt;43&lt;/volume&gt;&lt;dates&gt;&lt;year&gt;2017&lt;/year&gt;&lt;pub-dates&gt;&lt;date&gt;2017 APR&lt;/date&gt;&lt;/pub-dates&gt;&lt;/dates&gt;&lt;isbn&gt;0278-6125&amp;#xD;1878-6642&lt;/isbn&gt;&lt;accession-num&gt;WOS:000401380700017&lt;/accession-num&gt;&lt;work-type&gt;Article&lt;/work-type&gt;&lt;urls&gt;&lt;/urls&gt;&lt;electronic-resource-num&gt;10.1016/j.jmsy.2017.03.008&lt;/electronic-resource-num&gt;&lt;access-date&gt;2017-04-01&lt;/access-date&gt;&lt;/record&gt;&lt;/Cite&gt;&lt;/EndNote&gt;</w:instrText>
      </w:r>
      <w:r>
        <w:rPr>
          <w:rFonts w:ascii="Arial" w:hAnsi="Arial" w:cs="Arial"/>
        </w:rPr>
        <w:fldChar w:fldCharType="separate"/>
      </w:r>
      <w:r>
        <w:rPr>
          <w:rFonts w:ascii="Arial" w:hAnsi="Arial" w:cs="Arial"/>
          <w:vertAlign w:val="superscript"/>
        </w:rPr>
        <w:t>[20]</w:t>
      </w:r>
      <w:r>
        <w:rPr>
          <w:rFonts w:ascii="Arial" w:hAnsi="Arial" w:cs="Arial"/>
        </w:rPr>
        <w:fldChar w:fldCharType="end"/>
      </w:r>
      <w:r>
        <w:rPr>
          <w:rFonts w:hint="eastAsia" w:ascii="Arial" w:hAnsi="Arial" w:cs="Arial"/>
        </w:rPr>
        <w:t xml:space="preserve">"reinforcement learning &amp; scheduling", and it can be seen from the trend of the number of related papers published in the graph over the years that reinforcement learning has been widely used to solve scheduling problems since 2020, and then accelerated its growth </w:t>
      </w:r>
      <w:r>
        <w:rPr>
          <w:rFonts w:ascii="Times New Roman" w:hAnsi="Times New Roman" w:eastAsia="宋体"/>
          <w:sz w:val="21"/>
          <w:lang w:eastAsia="zh-CN"/>
        </w:rPr>
        <w:drawing>
          <wp:anchor distT="0" distB="0" distL="114300" distR="114300" simplePos="0" relativeHeight="251660288" behindDoc="0" locked="0" layoutInCell="1" allowOverlap="1">
            <wp:simplePos x="0" y="0"/>
            <wp:positionH relativeFrom="margin">
              <wp:align>left</wp:align>
            </wp:positionH>
            <wp:positionV relativeFrom="paragraph">
              <wp:posOffset>351790</wp:posOffset>
            </wp:positionV>
            <wp:extent cx="6638290" cy="2925445"/>
            <wp:effectExtent l="0" t="0" r="0" b="8255"/>
            <wp:wrapTopAndBottom/>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Arial" w:hAnsi="Arial" w:cs="Arial"/>
        </w:rPr>
        <w:t>year by year</w:t>
      </w:r>
      <w:r>
        <w:rPr>
          <w:rFonts w:ascii="Arial" w:hAnsi="Arial" w:cs="Arial"/>
        </w:rPr>
        <w:fldChar w:fldCharType="begin"/>
      </w:r>
      <w:r>
        <w:rPr>
          <w:rFonts w:ascii="Arial" w:hAnsi="Arial" w:cs="Arial"/>
        </w:rPr>
        <w:instrText xml:space="preserve"> ADDIN EN.CITE &lt;EndNote&gt;&lt;Cite&gt;&lt;Author&gt;Jia&lt;/Author&gt;&lt;Year&gt;2022&lt;/Year&gt;&lt;RecNum&gt;24&lt;/RecNum&gt;&lt;DisplayText&gt;&lt;style face="superscript"&gt;[21]&lt;/style&gt;&lt;/DisplayText&gt;&lt;record&gt;&lt;rec-number&gt;24&lt;/rec-number&gt;&lt;foreign-keys&gt;&lt;key app="EN" db-id="sdvz5vs5gepttoevwf450wzvp2vprd20zzr9" timestamp="1724641369"&gt;24&lt;/key&gt;&lt;/foreign-keys&gt;&lt;ref-type name="Journal Article"&gt;17&lt;/ref-type&gt;&lt;contributors&gt;&lt;authors&gt;&lt;author&gt;Jia, Haomei&lt;/author&gt;&lt;author&gt;Yan, Jing&lt;/author&gt;&lt;/authors&gt;&lt;/contributors&gt;&lt;titles&gt;&lt;title&gt;Construction of Heritage Digital Resource Platform Based on Digital Twin Technology (Retracted Article)&lt;/title&gt;&lt;secondary-title&gt;MATHEMATICAL PROBLEMS IN ENGINEERING&lt;/secondary-title&gt;&lt;/titles&gt;&lt;periodical&gt;&lt;full-title&gt;MATHEMATICAL PROBLEMS IN ENGINEERING&lt;/full-title&gt;&lt;/periodical&gt;&lt;volume&gt;2022&lt;/volume&gt;&lt;dates&gt;&lt;year&gt;2022&lt;/year&gt;&lt;pub-dates&gt;&lt;date&gt;2022 AUG 17&lt;/date&gt;&lt;/pub-dates&gt;&lt;/dates&gt;&lt;isbn&gt;1024-123X&amp;#xD;1563-5147&lt;/isbn&gt;&lt;accession-num&gt;WOS:000848407800002&lt;/accession-num&gt;&lt;work-type&gt;Article&amp;#xD;Retracted Publication&lt;/work-type&gt;&lt;urls&gt;&lt;/urls&gt;&lt;custom7&gt;4361135&lt;/custom7&gt;&lt;electronic-resource-num&gt;10.1155/2022/4361135&lt;/electronic-resource-num&gt;&lt;access-date&gt;2022-09-14&lt;/access-date&gt;&lt;/record&gt;&lt;/Cite&gt;&lt;/EndNote&gt;</w:instrText>
      </w:r>
      <w:r>
        <w:rPr>
          <w:rFonts w:ascii="Arial" w:hAnsi="Arial" w:cs="Arial"/>
        </w:rPr>
        <w:fldChar w:fldCharType="separate"/>
      </w:r>
      <w:r>
        <w:rPr>
          <w:rFonts w:ascii="Arial" w:hAnsi="Arial" w:cs="Arial"/>
          <w:vertAlign w:val="superscript"/>
        </w:rPr>
        <w:t>[21]</w:t>
      </w:r>
      <w:r>
        <w:rPr>
          <w:rFonts w:ascii="Arial" w:hAnsi="Arial" w:cs="Arial"/>
        </w:rPr>
        <w:fldChar w:fldCharType="end"/>
      </w:r>
      <w:r>
        <w:rPr>
          <w:rFonts w:hint="eastAsia" w:ascii="Arial" w:hAnsi="Arial" w:cs="Arial"/>
        </w:rPr>
        <w:t xml:space="preserve">. </w:t>
      </w:r>
    </w:p>
    <w:p w14:paraId="0484B5D2">
      <w:pPr>
        <w:pStyle w:val="26"/>
        <w:spacing w:after="0"/>
        <w:jc w:val="center"/>
        <w:rPr>
          <w:rFonts w:ascii="Times New Roman" w:hAnsi="Times New Roman" w:eastAsia="宋体"/>
          <w:sz w:val="21"/>
        </w:rPr>
      </w:pPr>
      <w:r>
        <w:rPr>
          <w:rFonts w:hint="eastAsia" w:ascii="Times New Roman" w:hAnsi="Times New Roman" w:eastAsia="宋体"/>
          <w:sz w:val="21"/>
        </w:rPr>
        <w:t xml:space="preserve">Figure </w:t>
      </w:r>
      <w:r>
        <w:rPr>
          <w:rFonts w:hint="eastAsia" w:ascii="Times New Roman" w:hAnsi="Times New Roman" w:eastAsia="宋体"/>
          <w:sz w:val="21"/>
          <w:lang w:eastAsia="zh-CN"/>
        </w:rPr>
        <w:t xml:space="preserve">2 </w:t>
      </w:r>
      <w:r>
        <w:rPr>
          <w:rFonts w:hint="eastAsia" w:ascii="Times New Roman" w:hAnsi="Times New Roman" w:eastAsia="宋体"/>
          <w:sz w:val="21"/>
        </w:rPr>
        <w:t>The WoS platform retrieves the trend of the number of studies on reinforcement learning to</w:t>
      </w:r>
    </w:p>
    <w:p w14:paraId="723FF574">
      <w:pPr>
        <w:pStyle w:val="26"/>
        <w:spacing w:after="0"/>
        <w:jc w:val="center"/>
        <w:rPr>
          <w:rFonts w:ascii="Arial" w:hAnsi="Arial" w:cs="Arial" w:eastAsiaTheme="minorEastAsia"/>
          <w:lang w:eastAsia="zh-CN"/>
        </w:rPr>
      </w:pPr>
      <w:r>
        <w:rPr>
          <w:rFonts w:hint="eastAsia" w:ascii="Times New Roman" w:hAnsi="Times New Roman" w:eastAsia="宋体"/>
          <w:sz w:val="21"/>
        </w:rPr>
        <w:t>solve scheduling problems over the years</w:t>
      </w:r>
    </w:p>
    <w:bookmarkEnd w:id="3"/>
    <w:bookmarkEnd w:id="4"/>
    <w:p w14:paraId="1AB85DE0">
      <w:pPr>
        <w:pStyle w:val="27"/>
        <w:numPr>
          <w:ilvl w:val="0"/>
          <w:numId w:val="3"/>
        </w:numPr>
        <w:spacing w:after="0"/>
        <w:jc w:val="both"/>
        <w:rPr>
          <w:rFonts w:ascii="Arial" w:hAnsi="Arial" w:cs="Arial"/>
        </w:rPr>
      </w:pPr>
      <w:bookmarkStart w:id="5" w:name="OLE_LINK5"/>
      <w:r>
        <w:rPr>
          <w:rFonts w:ascii="Arial" w:hAnsi="Arial" w:cs="Arial"/>
        </w:rPr>
        <w:t>Research Content</w:t>
      </w:r>
    </w:p>
    <w:p w14:paraId="2DF6223C">
      <w:pPr>
        <w:pStyle w:val="26"/>
        <w:spacing w:after="0"/>
        <w:ind w:firstLine="400" w:firstLineChars="200"/>
        <w:rPr>
          <w:rFonts w:ascii="Arial" w:hAnsi="Arial" w:cs="Arial"/>
          <w:lang w:eastAsia="zh-CN"/>
        </w:rPr>
      </w:pPr>
      <w:r>
        <w:rPr>
          <w:rFonts w:hint="eastAsia" w:ascii="Arial" w:hAnsi="Arial" w:cs="Arial"/>
          <w:lang w:eastAsia="zh-CN"/>
        </w:rPr>
        <w:t>This research mainly includes three aspects: first, the construction of a digital twin workshop model, through the digital twin technology to carry out detailed modeling and monitoring of all elements of the workshop, which is a multi-step and multi-level process, to ensure that comprehensive and accurate workshop information is collected, and consider the interrelationship of various components in the workshop. Secondly, the dynamic scheduling of digital twin workshop equipment is studied, and the equipment scheduling is intelligently carried out by combining real-time digital twin data and deep reinforcement learning to achieve the optimal use of resources and improve the operation efficiency of equipment. Finally, the multi-objective workshop scheduling problem based on deep reinforcement learning is studied, and deep reinforcement learning is used to provide intelligent solutions for workshop scheduling to meet multiple optimization goals such as minimizing manufacturing time and maximizing resource utilization. The innovations of this research include the proposal of a digital twin workshop system architecture driven by data and model fusion, a dynamic scheduling strategy for equipment fusing twin data, and an improvement of the DQN algorithm to achieve multi-objective workshop scheduling.</w:t>
      </w:r>
    </w:p>
    <w:p w14:paraId="568C12B1">
      <w:pPr>
        <w:pStyle w:val="27"/>
        <w:spacing w:after="0"/>
        <w:jc w:val="both"/>
        <w:rPr>
          <w:rFonts w:ascii="Arial" w:hAnsi="Arial" w:eastAsia="宋体" w:cs="Arial"/>
          <w:lang w:eastAsia="zh-CN"/>
        </w:rPr>
      </w:pPr>
      <w:r>
        <w:rPr>
          <w:rFonts w:hint="eastAsia" w:ascii="Arial" w:hAnsi="Arial" w:eastAsia="宋体" w:cs="Arial"/>
          <w:lang w:eastAsia="zh-CN"/>
        </w:rPr>
        <w:t>2</w:t>
      </w:r>
      <w:r>
        <w:rPr>
          <w:rFonts w:hint="eastAsia" w:ascii="Arial" w:hAnsi="Arial" w:cs="Arial"/>
        </w:rPr>
        <w:t>.1 Research on the construction method of digital twin workshop model</w:t>
      </w:r>
    </w:p>
    <w:bookmarkEnd w:id="5"/>
    <w:p w14:paraId="56B5E14C">
      <w:pPr>
        <w:pStyle w:val="26"/>
        <w:spacing w:after="0"/>
        <w:ind w:firstLine="400" w:firstLineChars="200"/>
        <w:rPr>
          <w:rFonts w:ascii="Arial" w:hAnsi="Arial" w:cs="Arial"/>
        </w:rPr>
      </w:pPr>
      <w:r>
        <w:rPr>
          <w:rFonts w:hint="eastAsia" w:ascii="Arial" w:hAnsi="Arial" w:cs="Arial"/>
        </w:rPr>
        <w:t>In addition to the basic three-dimensional model, it is also necessary to establish the rules of dynamic changes in the workshop, such as the workpiece is distributed in different machine tools according to different processes, and the machine tool is maintained or failed according to what rules.</w:t>
      </w:r>
    </w:p>
    <w:p w14:paraId="1A910803">
      <w:pPr>
        <w:pStyle w:val="26"/>
        <w:spacing w:after="0"/>
        <w:ind w:firstLine="400" w:firstLineChars="200"/>
        <w:rPr>
          <w:rFonts w:ascii="Arial" w:hAnsi="Arial" w:cs="Arial"/>
        </w:rPr>
      </w:pPr>
      <w:r>
        <w:rPr>
          <w:rFonts w:hint="eastAsia" w:ascii="Arial" w:hAnsi="Arial" w:cs="Arial"/>
        </w:rPr>
        <w:t>Building a digital twin shop floor model is a multi-step, multi-layered process. It is necessary to clarify the model objectives first, carry out data collection and sensor deployment, and ensure that comprehensive and accurate workshop information is obtained. The collected data is pre-processed, cleaned, and standardized. Choose the appropriate modeling tools and techniques, including physical modeling, data-driven modeling, machine learning, and more. During the model development phase, an accurate mapping is established by considering the interrelationships of the various components within the workshop. Ensure the accuracy of your model by validating and calibrating it. Keep models in sync with real-time data for continuous monitoring of shop floor status. Apply the model to real-world scenarios to guide decision-making such as production planning and equipment maintenance.</w:t>
      </w:r>
    </w:p>
    <w:p w14:paraId="48ED280A">
      <w:pPr>
        <w:pStyle w:val="27"/>
        <w:spacing w:after="0"/>
        <w:jc w:val="both"/>
        <w:rPr>
          <w:rFonts w:ascii="Arial" w:hAnsi="Arial" w:eastAsia="宋体" w:cs="Arial"/>
          <w:lang w:eastAsia="zh-CN"/>
        </w:rPr>
      </w:pPr>
      <w:r>
        <w:rPr>
          <w:rFonts w:hint="eastAsia" w:ascii="Arial" w:hAnsi="Arial" w:eastAsia="宋体" w:cs="Arial"/>
          <w:lang w:eastAsia="zh-CN"/>
        </w:rPr>
        <w:t>2.2 Research on dynamic scheduling method of digital twin workshop equipment</w:t>
      </w:r>
    </w:p>
    <w:p w14:paraId="4D25F660">
      <w:pPr>
        <w:pStyle w:val="26"/>
        <w:spacing w:after="0"/>
        <w:ind w:firstLine="400" w:firstLineChars="200"/>
        <w:rPr>
          <w:rFonts w:ascii="Arial" w:hAnsi="Arial" w:cs="Arial"/>
        </w:rPr>
      </w:pPr>
      <w:r>
        <w:rPr>
          <w:rFonts w:hint="eastAsia" w:ascii="Arial" w:hAnsi="Arial" w:cs="Arial"/>
        </w:rPr>
        <w:t>The research on the dynamic scheduling of equipment in the digital twin workshop involves several key aspects. This includes real-time monitoring and simulation using digital twin technology to predict the potential impact of various scheduling decisions, and optimization of scheduling algorithms based on predictions. Based on the data of equipment status monitoring, data mining, machine learning and other technologies are used to predict the equipment status, detect possible faults or performance degradation of equipment in advance, carry out predictive maintenance, and improve the operation efficiency and service life of equipment. According to the status information of the equipment and the requirements of production tasks, the deep reinforcement learning algorithm is used to generate an appropriate scheduling scheme to realize the optimal use of equipment resources. In order to meet the needs of production tasks, while taking into account the health status of the equipment, to ensure the long-term stable operation of production equipment.</w:t>
      </w:r>
    </w:p>
    <w:p w14:paraId="4469AC8C">
      <w:pPr>
        <w:pStyle w:val="27"/>
        <w:spacing w:after="0"/>
        <w:jc w:val="both"/>
      </w:pPr>
      <w:r>
        <w:rPr>
          <w:rFonts w:hint="eastAsia" w:ascii="Arial" w:hAnsi="Arial" w:eastAsia="宋体" w:cs="Arial"/>
          <w:lang w:eastAsia="zh-CN"/>
        </w:rPr>
        <w:t>2.3 Research on multi-objective workshop scheduling method based on deep reinforcement learning</w:t>
      </w:r>
    </w:p>
    <w:p w14:paraId="250D5160">
      <w:pPr>
        <w:pStyle w:val="26"/>
        <w:spacing w:after="0"/>
        <w:ind w:firstLine="400" w:firstLineChars="200"/>
        <w:rPr>
          <w:rFonts w:ascii="Arial" w:hAnsi="Arial" w:cs="Arial"/>
        </w:rPr>
      </w:pPr>
      <w:r>
        <w:rPr>
          <w:rFonts w:hint="eastAsia" w:ascii="Arial" w:hAnsi="Arial" w:cs="Arial"/>
        </w:rPr>
        <w:t>This problem focuses on how to use deep reinforcement learning algorithms to design intelligent, efficient solutions for shop floor scheduling to meet the optimization of multiple objectives, such as minimizing manufacturing time, maximizing resource utilization, or minimizing costs. The main process is to model the working state of the workshop as a Markov decision-making process, and use the deep Q network, policy gradient and other structures to learn the optimal strategy according to the state and reward information. Efficient strategies are obtained by using reward shaping or Pareto optimization to deal with multi-objective problems while balancing exploration and utilization, such as ε-greedy strategies. The empirical replay technique ensures the stability of the training, while the transfer learning enhances the generalization ability of the model. Test and train in a simulated shop floor environment to ensure the safety and reliability of your strategy to increase productivity.</w:t>
      </w:r>
    </w:p>
    <w:p w14:paraId="0AF7938A">
      <w:pPr>
        <w:pStyle w:val="27"/>
        <w:numPr>
          <w:ilvl w:val="0"/>
          <w:numId w:val="3"/>
        </w:numPr>
        <w:spacing w:after="0"/>
        <w:jc w:val="both"/>
        <w:rPr>
          <w:rFonts w:ascii="Arial" w:hAnsi="Arial" w:cs="Arial"/>
        </w:rPr>
      </w:pPr>
      <w:r>
        <w:rPr>
          <w:rFonts w:hint="eastAsia" w:ascii="Arial" w:hAnsi="Arial" w:cs="Arial"/>
        </w:rPr>
        <w:t>Innovation</w:t>
      </w:r>
    </w:p>
    <w:p w14:paraId="56E3C96F">
      <w:pPr>
        <w:pStyle w:val="27"/>
        <w:spacing w:after="0"/>
        <w:jc w:val="both"/>
        <w:rPr>
          <w:rFonts w:ascii="Arial" w:hAnsi="Arial" w:eastAsia="宋体" w:cs="Arial"/>
          <w:lang w:eastAsia="zh-CN"/>
        </w:rPr>
      </w:pPr>
      <w:r>
        <w:rPr>
          <w:rFonts w:hint="eastAsia" w:ascii="Arial" w:hAnsi="Arial" w:eastAsia="宋体" w:cs="Arial"/>
          <w:lang w:eastAsia="zh-CN"/>
        </w:rPr>
        <w:t xml:space="preserve">3.1 </w:t>
      </w:r>
      <w:r>
        <w:rPr>
          <w:rFonts w:hint="eastAsia"/>
        </w:rPr>
        <w:t>Data-model-driven digital twin workshop model construction</w:t>
      </w:r>
    </w:p>
    <w:p w14:paraId="7BB378EB">
      <w:pPr>
        <w:pStyle w:val="26"/>
        <w:spacing w:after="0"/>
        <w:ind w:firstLine="400" w:firstLineChars="200"/>
        <w:rPr>
          <w:rFonts w:ascii="Arial" w:hAnsi="Arial" w:cs="Arial"/>
        </w:rPr>
      </w:pPr>
      <w:r>
        <w:rPr>
          <w:rFonts w:hint="eastAsia" w:ascii="Arial" w:hAnsi="Arial" w:cs="Arial"/>
        </w:rPr>
        <w:t>In the actual production process of the job shop, because the process specifications with complex processing technology are included, in the process of building the digital twin system, the process coupling relationship in the process manufacturing process is transformed into the coupling between the parameters of each twin model. Therefore, this paper proposes a digital twin workshop system architecture driven by data and model fusion covering all variable spaces of the process, deeply analyzes all elements of the workshop to build a digital twin model, and uses the data-model fusion-driven method to build a digital twin workshop for process manufacturing.</w:t>
      </w:r>
    </w:p>
    <w:p w14:paraId="2F32C828">
      <w:pPr>
        <w:pStyle w:val="27"/>
        <w:spacing w:after="0"/>
        <w:jc w:val="both"/>
        <w:rPr>
          <w:rFonts w:ascii="Arial" w:hAnsi="Arial" w:eastAsia="宋体" w:cs="Arial"/>
          <w:lang w:eastAsia="zh-CN"/>
        </w:rPr>
      </w:pPr>
      <w:r>
        <w:rPr>
          <w:rFonts w:hint="eastAsia" w:ascii="Arial" w:hAnsi="Arial" w:eastAsia="宋体" w:cs="Arial"/>
          <w:lang w:eastAsia="zh-CN"/>
        </w:rPr>
        <w:t>3.2 Dynamic scheduling of workshop equipment fused with twin data</w:t>
      </w:r>
    </w:p>
    <w:p w14:paraId="4A3578E1">
      <w:pPr>
        <w:pStyle w:val="26"/>
        <w:spacing w:after="0"/>
        <w:ind w:firstLine="400" w:firstLineChars="200"/>
        <w:rPr>
          <w:rFonts w:ascii="Arial" w:hAnsi="Arial" w:cs="Arial"/>
        </w:rPr>
      </w:pPr>
      <w:r>
        <w:rPr>
          <w:rFonts w:hint="eastAsia" w:ascii="Arial" w:hAnsi="Arial" w:cs="Arial"/>
        </w:rPr>
        <w:t>Dynamic scheduling of workshop equipment fused with twin data is an intelligent scheduling strategy that accurately predicts the status and performance of equipment by analyzing the real-time data of equipment with the help of digital twin technology. Specifically, real-time monitoring of equipment status obtains equipment operating parameters through a data collector, and then the data is summarized into a digital twin. By comparing the real-time data with the twin model, the comprehensive operating status and predicted performance of the equipment can be obtained. With accurate prediction of the condition of the equipment, the system enables forward-looking scheduling decisions and optimal adjustment of the manufacturing process.</w:t>
      </w:r>
    </w:p>
    <w:p w14:paraId="006B1B1F">
      <w:pPr>
        <w:pStyle w:val="26"/>
        <w:spacing w:after="0"/>
        <w:ind w:firstLine="400" w:firstLineChars="200"/>
        <w:rPr>
          <w:rFonts w:ascii="Arial" w:hAnsi="Arial" w:cs="Arial"/>
        </w:rPr>
      </w:pPr>
      <w:r>
        <w:rPr>
          <w:rFonts w:hint="eastAsia" w:ascii="Arial" w:hAnsi="Arial" w:cs="Arial"/>
        </w:rPr>
        <w:t>In a simulated environment, deep reinforcement learning is used to train on historical data and digital twins. Based on the real-time twin data, the agent can make dynamic scheduling decisions, such as which device to assign a task to, or when to perform equipment maintenance. Using the digital twin data, the actual scheduling effect feedback is continuously collected, and then the digital twin model is continuously learned and adjusted online.</w:t>
      </w:r>
    </w:p>
    <w:p w14:paraId="27FC1D66">
      <w:pPr>
        <w:pStyle w:val="27"/>
        <w:spacing w:after="0"/>
        <w:jc w:val="both"/>
        <w:rPr>
          <w:rFonts w:ascii="Arial" w:hAnsi="Arial" w:eastAsia="宋体" w:cs="Arial"/>
          <w:lang w:eastAsia="zh-CN"/>
        </w:rPr>
      </w:pPr>
      <w:r>
        <w:rPr>
          <w:rFonts w:hint="eastAsia" w:ascii="Arial" w:hAnsi="Arial" w:eastAsia="宋体" w:cs="Arial"/>
          <w:lang w:eastAsia="zh-CN"/>
        </w:rPr>
        <w:t>3.3 Multi-objective workshop scheduling based on improved DQN algorithm</w:t>
      </w:r>
    </w:p>
    <w:p w14:paraId="0E00A12F">
      <w:pPr>
        <w:pStyle w:val="26"/>
        <w:spacing w:after="0"/>
        <w:ind w:firstLine="400" w:firstLineChars="200"/>
        <w:rPr>
          <w:rFonts w:ascii="Arial" w:hAnsi="Arial" w:cs="Arial"/>
        </w:rPr>
      </w:pPr>
      <w:r>
        <w:rPr>
          <w:rFonts w:hint="eastAsia" w:ascii="Arial" w:hAnsi="Arial" w:cs="Arial"/>
        </w:rPr>
        <w:t xml:space="preserve">The DQN algorithm is a representative algorithm in reinforcement learning, which uses deep neural networks to approximate the Q value. For shop floor scheduling problems, especially multi-objective scheduling problems, DQN can obtain the best scheduling strategy by continuously interacting with the environment and learning. According to the requirements of actual scheduling, various improvements are made to the DQN algorithm, such as the introduction of dual DQN, preferential experience playback and other technologies. The improved DQN algorithm is used to solve the scheduling problem of smart factory operation workshop, and the optimal scheduling rules for different workshop states are studied based on data.  </w:t>
      </w:r>
    </w:p>
    <w:p w14:paraId="49343FDC">
      <w:pPr>
        <w:pStyle w:val="27"/>
        <w:numPr>
          <w:ilvl w:val="0"/>
          <w:numId w:val="3"/>
        </w:numPr>
        <w:spacing w:after="0"/>
        <w:jc w:val="both"/>
        <w:rPr>
          <w:rFonts w:ascii="Arial" w:hAnsi="Arial" w:cs="Arial"/>
        </w:rPr>
      </w:pPr>
      <w:r>
        <w:rPr>
          <w:rFonts w:hint="eastAsia" w:ascii="Arial" w:hAnsi="Arial" w:cs="Arial"/>
        </w:rPr>
        <w:t>Research Methods:</w:t>
      </w:r>
    </w:p>
    <w:p w14:paraId="7482AA75">
      <w:pPr>
        <w:pStyle w:val="27"/>
        <w:spacing w:after="0"/>
        <w:jc w:val="both"/>
        <w:rPr>
          <w:rFonts w:ascii="Arial" w:hAnsi="Arial" w:eastAsia="宋体" w:cs="Arial"/>
          <w:lang w:eastAsia="zh-CN"/>
        </w:rPr>
      </w:pPr>
      <w:r>
        <w:rPr>
          <w:rFonts w:hint="eastAsia" w:ascii="Arial" w:hAnsi="Arial" w:eastAsia="宋体" w:cs="Arial"/>
          <w:lang w:eastAsia="zh-CN"/>
        </w:rPr>
        <w:t>4.1 Data-model-driven digital twin workshop model construction</w:t>
      </w:r>
    </w:p>
    <w:p w14:paraId="53D23041">
      <w:pPr>
        <w:pStyle w:val="26"/>
        <w:spacing w:after="0"/>
        <w:ind w:firstLine="400" w:firstLineChars="200"/>
        <w:rPr>
          <w:rFonts w:ascii="Arial" w:hAnsi="Arial" w:cs="Arial"/>
        </w:rPr>
      </w:pPr>
      <w:r>
        <w:rPr>
          <w:rFonts w:hint="eastAsia" w:ascii="Arial" w:hAnsi="Arial" w:cs="Arial"/>
        </w:rPr>
        <w:t xml:space="preserve">On the basis of the analysis of the total element twin model of the production process and the dynamic production data of the process manufacturing workshop, in order to fully ensure the accurate description of the twin model and the comprehensive mapping of the production process of the process manufacturing workshop, the model construction process focuses on the key technologies such as rapid analysis based on model reduction, virtual-real interaction, and modeling methods of mechanism and data fusion. A detailed analysis of the twin model with dynamic production data is shown in Figure </w:t>
      </w:r>
      <w:r>
        <w:rPr>
          <w:rFonts w:hint="eastAsia" w:ascii="Arial" w:hAnsi="Arial" w:cs="Arial"/>
          <w:lang w:eastAsia="zh-CN"/>
        </w:rPr>
        <w:t>3</w:t>
      </w:r>
      <w:r>
        <w:rPr>
          <w:rFonts w:hint="eastAsia" w:ascii="Arial" w:hAnsi="Arial" w:cs="Arial"/>
        </w:rPr>
        <w:t>.</w:t>
      </w:r>
    </w:p>
    <w:p w14:paraId="4192213A">
      <w:pPr>
        <w:pStyle w:val="26"/>
        <w:spacing w:after="0"/>
        <w:ind w:firstLine="400" w:firstLineChars="200"/>
        <w:rPr>
          <w:rFonts w:ascii="Arial" w:hAnsi="Arial" w:cs="Arial"/>
        </w:rPr>
      </w:pPr>
      <w:r>
        <w:rPr>
          <w:rFonts w:hint="eastAsia" w:ascii="Arial" w:hAnsi="Arial" w:cs="Arial"/>
        </w:rPr>
        <w:t>Digital twin shop floor models are built to leverage the drivers of data and models to improve efficiency, maintainability, and decision support on the manufacturing floor. Through comprehensive and accurate data collection, we will obtain real-time information on shop floor operations, including production processes, equipment status, and employee activity. Combine business needs and data characteristics to build a comprehensive and flexible digital twin shop floor model. The model will cover multiple aspects from the production process to the condition of the equipment, enabling comprehensive monitoring and accurate simulation of shop floor operations. The construction of the model will fully consider the nonlinear relationship of the data, the time series characteristics and the potential abnormal behavior to improve the accuracy and adaptability of the model.</w:t>
      </w:r>
    </w:p>
    <w:p w14:paraId="1E119254">
      <w:pPr>
        <w:jc w:val="center"/>
      </w:pPr>
      <w:r>
        <w:object>
          <v:shape id="_x0000_i1026" o:spt="75" type="#_x0000_t75" style="height:442.4pt;width:515.05pt;" o:ole="t" filled="f" o:preferrelative="t" stroked="f" coordsize="21600,21600">
            <v:path/>
            <v:fill on="f" focussize="0,0"/>
            <v:stroke on="f" joinstyle="miter"/>
            <v:imagedata r:id="rId14" o:title=""/>
            <o:lock v:ext="edit" aspectratio="t"/>
            <w10:wrap type="none"/>
            <w10:anchorlock/>
          </v:shape>
          <o:OLEObject Type="Embed" ProgID="Visio.Drawing.15" ShapeID="_x0000_i1026" DrawAspect="Content" ObjectID="_1468075726" r:id="rId13">
            <o:LockedField>false</o:LockedField>
          </o:OLEObject>
        </w:object>
      </w:r>
    </w:p>
    <w:p w14:paraId="23275558">
      <w:pPr>
        <w:jc w:val="center"/>
        <w:rPr>
          <w:rFonts w:eastAsia="宋体"/>
          <w:lang w:eastAsia="zh-CN"/>
        </w:rPr>
      </w:pPr>
      <w:r>
        <w:rPr>
          <w:rFonts w:hint="eastAsia" w:ascii="Times New Roman" w:hAnsi="Times New Roman" w:eastAsia="宋体"/>
          <w:sz w:val="21"/>
          <w:lang w:eastAsia="zh-CN"/>
        </w:rPr>
        <w:t>Figure 3 Twin model and production data analysis</w:t>
      </w:r>
    </w:p>
    <w:p w14:paraId="3701C69E">
      <w:pPr>
        <w:pStyle w:val="27"/>
        <w:spacing w:after="0"/>
        <w:jc w:val="both"/>
        <w:rPr>
          <w:rFonts w:ascii="Arial" w:hAnsi="Arial" w:eastAsia="宋体" w:cs="Arial"/>
          <w:lang w:eastAsia="zh-CN"/>
        </w:rPr>
      </w:pPr>
      <w:r>
        <w:rPr>
          <w:rFonts w:hint="eastAsia" w:ascii="Arial" w:hAnsi="Arial" w:eastAsia="宋体" w:cs="Arial"/>
          <w:lang w:eastAsia="zh-CN"/>
        </w:rPr>
        <w:t>4.2 Dynamic scheduling of workshop equipment fused with twin data</w:t>
      </w:r>
    </w:p>
    <w:p w14:paraId="5A2D7756">
      <w:pPr>
        <w:pStyle w:val="26"/>
        <w:spacing w:after="0"/>
        <w:ind w:firstLine="400" w:firstLineChars="200"/>
        <w:rPr>
          <w:rFonts w:ascii="Arial" w:hAnsi="Arial" w:cs="Arial"/>
        </w:rPr>
      </w:pPr>
      <w:r>
        <w:rPr>
          <w:rFonts w:hint="eastAsia" w:ascii="Arial" w:hAnsi="Arial" w:cs="Arial"/>
        </w:rPr>
        <w:t>The research first focused on collecting and integrating real-time data and historical operating data of shop floor equipment to ensure the data integrity and real-time performance of the digital twin. The deep reinforcement learning model is used to formulate the best equipment scheduling strategy based on real-time data and digital twin output, and give full play to the advantages of deep reinforcement learning in dealing with complex and dynamic environments. Continuously improve model performance and adaptability to adapt to changing production environments through historical data validation and parameter optimization. In actual operation, it is expected to be able to automate equipment scheduling, optimize production processes, and improve production efficiency.</w:t>
      </w:r>
    </w:p>
    <w:p w14:paraId="1D47F337">
      <w:pPr>
        <w:pStyle w:val="26"/>
        <w:spacing w:after="0"/>
        <w:ind w:firstLine="400" w:firstLineChars="200"/>
        <w:rPr>
          <w:rFonts w:ascii="Arial" w:hAnsi="Arial" w:cs="Arial"/>
        </w:rPr>
      </w:pPr>
      <w:r>
        <w:rPr>
          <w:rFonts w:hint="eastAsia" w:ascii="Arial" w:hAnsi="Arial" w:cs="Arial"/>
        </w:rPr>
        <w:t>By exploring predictive maintenance techniques for your equipment, you can identify potential equipment failure risks and adjust scheduling schedules to avoid production disruptions. At the same time, adaptive scheduling strategies are studied, so that in the event of machine failures or order changes, the system can quickly re-plan resources to ensure on-time delivery of orders. Therefore, this paper proposes a digital twin-enhanced device dynamic scheduling method flow, as shown in the figure.</w:t>
      </w:r>
    </w:p>
    <w:p w14:paraId="6C4A37B4">
      <w:pPr>
        <w:pStyle w:val="26"/>
        <w:spacing w:after="0"/>
        <w:jc w:val="center"/>
        <w:rPr>
          <w:rFonts w:ascii="Arial" w:hAnsi="Arial" w:cs="Arial"/>
        </w:rPr>
      </w:pPr>
      <w:r>
        <w:rPr>
          <w:rFonts w:hint="eastAsia" w:ascii="Arial" w:hAnsi="Arial" w:cs="Arial"/>
        </w:rPr>
        <w:object>
          <v:shape id="_x0000_i1027" o:spt="75" type="#_x0000_t75" style="height:363.9pt;width:443.05pt;" o:ole="t" filled="f" o:preferrelative="t" stroked="f" coordsize="21600,21600">
            <v:path/>
            <v:fill on="f" focussize="0,0"/>
            <v:stroke on="f" joinstyle="miter"/>
            <v:imagedata r:id="rId16" o:title=""/>
            <o:lock v:ext="edit" aspectratio="f"/>
            <w10:wrap type="none"/>
            <w10:anchorlock/>
          </v:shape>
          <o:OLEObject Type="Embed" ProgID="Visio.Drawing.15" ShapeID="_x0000_i1027" DrawAspect="Content" ObjectID="_1468075727" r:id="rId15">
            <o:LockedField>false</o:LockedField>
          </o:OLEObject>
        </w:object>
      </w:r>
    </w:p>
    <w:p w14:paraId="7647F377">
      <w:pPr>
        <w:pStyle w:val="26"/>
        <w:spacing w:after="0"/>
        <w:jc w:val="center"/>
        <w:rPr>
          <w:rFonts w:ascii="Times New Roman" w:hAnsi="Times New Roman" w:eastAsia="宋体"/>
          <w:sz w:val="21"/>
          <w:lang w:eastAsia="zh-CN"/>
        </w:rPr>
      </w:pPr>
      <w:r>
        <w:rPr>
          <w:rFonts w:hint="eastAsia" w:ascii="Times New Roman" w:hAnsi="Times New Roman" w:eastAsia="宋体"/>
          <w:sz w:val="21"/>
          <w:lang w:eastAsia="zh-CN"/>
        </w:rPr>
        <w:t>Figure 4 A digital twin enhanced approach to dynamic scheduling of equipment</w:t>
      </w:r>
    </w:p>
    <w:p w14:paraId="41541ED5">
      <w:pPr>
        <w:pStyle w:val="27"/>
        <w:spacing w:after="0"/>
        <w:jc w:val="both"/>
        <w:rPr>
          <w:rFonts w:ascii="Arial" w:hAnsi="Arial" w:eastAsia="宋体" w:cs="Arial"/>
          <w:lang w:eastAsia="zh-CN"/>
        </w:rPr>
      </w:pPr>
      <w:r>
        <w:rPr>
          <w:rFonts w:hint="eastAsia" w:ascii="Arial" w:hAnsi="Arial" w:eastAsia="宋体" w:cs="Arial"/>
          <w:lang w:eastAsia="zh-CN"/>
        </w:rPr>
        <w:t>4.3 Multi-objective workshop scheduling based on improved DQN algorithm</w:t>
      </w:r>
    </w:p>
    <w:p w14:paraId="532F9BEF">
      <w:pPr>
        <w:pStyle w:val="26"/>
        <w:spacing w:after="0"/>
        <w:ind w:firstLine="400" w:firstLineChars="200"/>
        <w:rPr>
          <w:rFonts w:ascii="Arial" w:hAnsi="Arial" w:cs="Arial"/>
        </w:rPr>
      </w:pPr>
      <w:r>
        <w:rPr>
          <w:rFonts w:hint="eastAsia" w:ascii="Arial" w:hAnsi="Arial" w:cs="Arial"/>
        </w:rPr>
        <w:t>Considering that the traditional shop floor scheduling model is difficult to deal with the complex production environment and diverse optimization goals, this paper proposes to use the Deep Reinforcement Learning (DRL) framework to optimize the scheduling performance and meet the multi-objective requirements, such as minimizing completion time, cost and energy consumption.</w:t>
      </w:r>
    </w:p>
    <w:p w14:paraId="647DEF65">
      <w:pPr>
        <w:pStyle w:val="26"/>
        <w:spacing w:after="0"/>
        <w:ind w:firstLine="400" w:firstLineChars="200"/>
        <w:rPr>
          <w:rFonts w:ascii="Arial" w:hAnsi="Arial" w:cs="Arial"/>
        </w:rPr>
      </w:pPr>
      <w:r>
        <w:rPr>
          <w:rFonts w:hint="eastAsia" w:ascii="Arial" w:hAnsi="Arial" w:cs="Arial"/>
        </w:rPr>
        <w:t>This study will deeply analyze the dynamic characteristics and multi-objective requirements of shop floor scheduling, and define the state space, action space and reward function suitable for deep reinforcement learning applications. DQN uses deep neural networks to estimate the Q value function, which can effectively deal with high-dimensional state spaces. This makes DQNs excel in the task of making decisions on complex information. The basic DQN algorithm is shown in Algorithm 1. On this basis, an improved DQN algorithm is designed, which will integrate the multi-objective optimization strategy, and improve the learning efficiency and convergence speed of the algorithm by introducing the dual learning network and the preferential experience replay mechanism. The improved DQN algorithm will use multiple value functions to estimate the long-term returns of different goals, and combine a trade-off mechanism to balance the conflicts and synergies between the goals. In addition, the algorithm will explore the use of advanced neural network architectures, such as convolutional neural networks (CNNs) or recurrent neural networks (RNNs), to better handle temporal dependencies and spatial features in shop floor scheduling.</w:t>
      </w:r>
    </w:p>
    <w:p w14:paraId="4E55F226">
      <w:pPr>
        <w:pStyle w:val="26"/>
        <w:spacing w:after="0"/>
        <w:ind w:firstLine="400" w:firstLineChars="200"/>
        <w:rPr>
          <w:rFonts w:ascii="Arial" w:hAnsi="Arial" w:cs="Arial"/>
        </w:rPr>
      </w:pPr>
      <w:r>
        <w:rPr>
          <w:rFonts w:hint="eastAsia" w:ascii="Arial" w:hAnsi="Arial" w:cs="Arial"/>
        </w:rPr>
        <w:t>In order to verify the effectiveness of the algorithm, simulation experiments are carried out on the standard workshop scheduling benchmark problem, and the comparison and analysis are carried out with the existing multi-objective scheduling algorithms. The experimental results are expected to demonstrate the superior performance of the improved DQN algorithm in multi-objective optimization, especially in the complex and dynamically changing workshop environment. Finally, how to apply the developed DQN model to real-world shop floor scheduling scenarios. This includes how to deal with real-time data, uncertainties, and how to integrate with existing production management systems.</w:t>
      </w:r>
    </w:p>
    <w:tbl>
      <w:tblPr>
        <w:tblStyle w:val="17"/>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558"/>
        <w:gridCol w:w="426"/>
        <w:gridCol w:w="7371"/>
      </w:tblGrid>
      <w:tr w14:paraId="32F7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1" w:type="dxa"/>
            <w:gridSpan w:val="4"/>
            <w:tcBorders>
              <w:top w:val="single" w:color="auto" w:sz="8" w:space="0"/>
              <w:left w:val="nil"/>
              <w:bottom w:val="single" w:color="auto" w:sz="8" w:space="0"/>
              <w:right w:val="nil"/>
            </w:tcBorders>
          </w:tcPr>
          <w:p w14:paraId="52376A54">
            <w:pPr>
              <w:spacing w:line="300" w:lineRule="auto"/>
              <w:rPr>
                <w:rFonts w:ascii="宋体" w:hAnsi="宋体" w:eastAsia="宋体"/>
                <w:b/>
                <w:sz w:val="20"/>
                <w:szCs w:val="21"/>
                <w:lang w:eastAsia="zh-CN"/>
              </w:rPr>
            </w:pPr>
            <w:r>
              <w:rPr>
                <w:rFonts w:hint="eastAsia" w:ascii="宋体" w:hAnsi="宋体" w:eastAsia="宋体" w:cs="宋体"/>
                <w:b/>
                <w:sz w:val="20"/>
                <w:szCs w:val="21"/>
                <w:lang w:eastAsia="zh-CN"/>
              </w:rPr>
              <w:t>DQN algorithm</w:t>
            </w:r>
          </w:p>
        </w:tc>
      </w:tr>
      <w:tr w14:paraId="2631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48CD46EF">
            <w:pPr>
              <w:spacing w:line="300" w:lineRule="auto"/>
              <w:jc w:val="center"/>
              <w:rPr>
                <w:rFonts w:ascii="宋体" w:hAnsi="宋体" w:eastAsia="宋体"/>
                <w:b/>
                <w:sz w:val="28"/>
                <w:szCs w:val="28"/>
              </w:rPr>
            </w:pPr>
            <w:r>
              <w:rPr>
                <w:rFonts w:hint="eastAsia" w:ascii="宋体" w:hAnsi="宋体" w:eastAsia="宋体" w:cs="宋体"/>
                <w:bCs/>
                <w:sz w:val="24"/>
                <w:szCs w:val="20"/>
              </w:rPr>
              <w:t>1</w:t>
            </w:r>
            <w:r>
              <w:rPr>
                <w:rFonts w:ascii="宋体" w:hAnsi="宋体" w:eastAsia="宋体" w:cs="宋体"/>
                <w:bCs/>
                <w:sz w:val="24"/>
                <w:szCs w:val="20"/>
              </w:rPr>
              <w:t>.</w:t>
            </w:r>
          </w:p>
        </w:tc>
        <w:tc>
          <w:tcPr>
            <w:tcW w:w="8355" w:type="dxa"/>
            <w:gridSpan w:val="3"/>
            <w:tcBorders>
              <w:top w:val="single" w:color="auto" w:sz="8" w:space="0"/>
              <w:left w:val="single" w:color="auto" w:sz="8" w:space="0"/>
              <w:bottom w:val="nil"/>
              <w:right w:val="nil"/>
            </w:tcBorders>
          </w:tcPr>
          <w:p w14:paraId="06272135">
            <w:pPr>
              <w:spacing w:line="300" w:lineRule="auto"/>
              <w:rPr>
                <w:rFonts w:ascii="宋体" w:hAnsi="宋体" w:eastAsia="宋体" w:cs="宋体"/>
                <w:bCs/>
                <w:sz w:val="20"/>
                <w:szCs w:val="21"/>
              </w:rPr>
            </w:pPr>
            <w:r>
              <w:rPr>
                <w:rFonts w:hint="eastAsia" w:ascii="宋体" w:hAnsi="宋体" w:eastAsia="宋体" w:cs="宋体"/>
                <w:bCs/>
                <w:sz w:val="20"/>
                <w:szCs w:val="21"/>
              </w:rPr>
              <w:t>Initialize playback memory sequence D with capacity N</w:t>
            </w:r>
          </w:p>
        </w:tc>
      </w:tr>
      <w:tr w14:paraId="2F0B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5BED93E2">
            <w:pPr>
              <w:spacing w:line="300" w:lineRule="auto"/>
              <w:jc w:val="center"/>
              <w:rPr>
                <w:rFonts w:ascii="宋体" w:hAnsi="宋体" w:eastAsia="宋体"/>
                <w:b/>
                <w:sz w:val="28"/>
                <w:szCs w:val="28"/>
              </w:rPr>
            </w:pPr>
            <w:r>
              <w:rPr>
                <w:rFonts w:hint="eastAsia" w:ascii="宋体" w:hAnsi="宋体" w:eastAsia="宋体" w:cs="宋体"/>
                <w:bCs/>
                <w:sz w:val="24"/>
                <w:szCs w:val="20"/>
              </w:rPr>
              <w:t>2</w:t>
            </w:r>
            <w:r>
              <w:rPr>
                <w:rFonts w:ascii="宋体" w:hAnsi="宋体" w:eastAsia="宋体" w:cs="宋体"/>
                <w:bCs/>
                <w:sz w:val="24"/>
                <w:szCs w:val="20"/>
              </w:rPr>
              <w:t>.</w:t>
            </w:r>
          </w:p>
        </w:tc>
        <w:tc>
          <w:tcPr>
            <w:tcW w:w="8355" w:type="dxa"/>
            <w:gridSpan w:val="3"/>
            <w:tcBorders>
              <w:top w:val="nil"/>
              <w:left w:val="single" w:color="auto" w:sz="8" w:space="0"/>
              <w:bottom w:val="nil"/>
              <w:right w:val="nil"/>
            </w:tcBorders>
          </w:tcPr>
          <w:p w14:paraId="444F3E09">
            <w:pPr>
              <w:spacing w:line="300" w:lineRule="auto"/>
              <w:rPr>
                <w:rFonts w:ascii="宋体" w:hAnsi="宋体" w:eastAsia="宋体" w:cs="宋体"/>
                <w:bCs/>
                <w:sz w:val="20"/>
                <w:szCs w:val="21"/>
              </w:rPr>
            </w:pPr>
            <w:r>
              <w:rPr>
                <w:rFonts w:hint="eastAsia" w:ascii="宋体" w:hAnsi="宋体" w:eastAsia="宋体" w:cs="宋体"/>
                <w:bCs/>
                <w:sz w:val="20"/>
                <w:szCs w:val="21"/>
              </w:rPr>
              <w:t xml:space="preserve">Initialize the randomly weighted action-value network Q with weights </w:t>
            </w:r>
            <m:oMath>
              <m:r>
                <m:rPr/>
                <w:rPr>
                  <w:rFonts w:ascii="Cambria Math" w:hAnsi="Cambria Math" w:eastAsia="宋体" w:cs="宋体"/>
                  <w:sz w:val="20"/>
                  <w:szCs w:val="21"/>
                </w:rPr>
                <m:t>θ</m:t>
              </m:r>
            </m:oMath>
          </w:p>
        </w:tc>
      </w:tr>
      <w:tr w14:paraId="67BC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70C06DB8">
            <w:pPr>
              <w:spacing w:line="300" w:lineRule="auto"/>
              <w:jc w:val="center"/>
              <w:rPr>
                <w:rFonts w:ascii="宋体" w:hAnsi="宋体" w:eastAsia="宋体"/>
                <w:b/>
                <w:sz w:val="28"/>
                <w:szCs w:val="28"/>
              </w:rPr>
            </w:pPr>
            <w:r>
              <w:rPr>
                <w:rFonts w:hint="eastAsia" w:ascii="宋体" w:hAnsi="宋体" w:eastAsia="宋体" w:cs="宋体"/>
                <w:bCs/>
                <w:sz w:val="24"/>
                <w:szCs w:val="20"/>
              </w:rPr>
              <w:t>3</w:t>
            </w:r>
            <w:r>
              <w:rPr>
                <w:rFonts w:ascii="宋体" w:hAnsi="宋体" w:eastAsia="宋体" w:cs="宋体"/>
                <w:bCs/>
                <w:sz w:val="24"/>
                <w:szCs w:val="20"/>
              </w:rPr>
              <w:t>.</w:t>
            </w:r>
          </w:p>
        </w:tc>
        <w:tc>
          <w:tcPr>
            <w:tcW w:w="8355" w:type="dxa"/>
            <w:gridSpan w:val="3"/>
            <w:tcBorders>
              <w:top w:val="nil"/>
              <w:left w:val="single" w:color="auto" w:sz="8" w:space="0"/>
              <w:bottom w:val="nil"/>
              <w:right w:val="nil"/>
            </w:tcBorders>
          </w:tcPr>
          <w:p w14:paraId="213E2275">
            <w:pPr>
              <w:spacing w:line="300" w:lineRule="auto"/>
              <w:rPr>
                <w:rFonts w:ascii="宋体" w:hAnsi="宋体" w:eastAsia="宋体" w:cs="宋体"/>
                <w:bCs/>
                <w:sz w:val="20"/>
                <w:szCs w:val="21"/>
              </w:rPr>
            </w:pPr>
            <w:r>
              <w:rPr>
                <w:rFonts w:hint="eastAsia" w:ascii="宋体" w:hAnsi="宋体" w:eastAsia="宋体" w:cs="宋体"/>
                <w:bCs/>
                <w:sz w:val="20"/>
                <w:szCs w:val="21"/>
              </w:rPr>
              <w:t xml:space="preserve">Initialize the randomly weighted action-value network </w:t>
            </w:r>
            <m:oMath>
              <m:acc>
                <m:accPr>
                  <m:ctrlPr>
                    <w:rPr>
                      <w:rFonts w:hint="eastAsia" w:ascii="Cambria Math" w:hAnsi="Cambria Math" w:eastAsia="宋体" w:cs="宋体"/>
                      <w:bCs/>
                      <w:sz w:val="20"/>
                      <w:szCs w:val="21"/>
                    </w:rPr>
                  </m:ctrlPr>
                </m:accPr>
                <m:e>
                  <m:r>
                    <m:rPr>
                      <m:sty m:val="p"/>
                    </m:rPr>
                    <w:rPr>
                      <w:rFonts w:hint="eastAsia" w:ascii="Cambria Math" w:hAnsi="Cambria Math" w:eastAsia="宋体" w:cs="宋体"/>
                      <w:sz w:val="20"/>
                      <w:szCs w:val="21"/>
                    </w:rPr>
                    <m:t>Q</m:t>
                  </m:r>
                  <m:ctrlPr>
                    <w:rPr>
                      <w:rFonts w:hint="eastAsia" w:ascii="Cambria Math" w:hAnsi="Cambria Math" w:eastAsia="宋体" w:cs="宋体"/>
                      <w:bCs/>
                      <w:sz w:val="20"/>
                      <w:szCs w:val="21"/>
                    </w:rPr>
                  </m:ctrlPr>
                </m:e>
              </m:acc>
            </m:oMath>
            <w:r>
              <w:rPr>
                <w:rFonts w:hint="eastAsia" w:ascii="宋体" w:hAnsi="宋体" w:eastAsia="宋体" w:cs="宋体"/>
                <w:bCs/>
                <w:sz w:val="20"/>
                <w:szCs w:val="21"/>
                <w:lang w:eastAsia="zh-CN"/>
              </w:rPr>
              <w:t xml:space="preserve"> </w:t>
            </w:r>
            <w:r>
              <w:rPr>
                <w:rFonts w:hint="eastAsia" w:ascii="宋体" w:hAnsi="宋体" w:eastAsia="宋体" w:cs="宋体"/>
                <w:bCs/>
                <w:sz w:val="20"/>
                <w:szCs w:val="21"/>
              </w:rPr>
              <w:t xml:space="preserve">with weights </w:t>
            </w:r>
            <m:oMath>
              <m:sSup>
                <m:sSupPr>
                  <m:ctrlPr>
                    <w:rPr>
                      <w:rFonts w:hint="eastAsia" w:ascii="Cambria Math" w:hAnsi="Cambria Math" w:eastAsia="宋体" w:cs="宋体"/>
                      <w:bCs/>
                      <w:sz w:val="20"/>
                      <w:szCs w:val="21"/>
                    </w:rPr>
                  </m:ctrlPr>
                </m:sSupPr>
                <m:e>
                  <m:r>
                    <m:rPr>
                      <m:sty m:val="p"/>
                    </m:rPr>
                    <w:rPr>
                      <w:rFonts w:hint="eastAsia" w:ascii="Cambria Math" w:hAnsi="Cambria Math" w:eastAsia="宋体" w:cs="宋体"/>
                      <w:sz w:val="20"/>
                      <w:szCs w:val="21"/>
                    </w:rPr>
                    <m:t>θ</m:t>
                  </m:r>
                  <m:ctrlPr>
                    <w:rPr>
                      <w:rFonts w:hint="eastAsia" w:ascii="Cambria Math" w:hAnsi="Cambria Math" w:eastAsia="宋体" w:cs="宋体"/>
                      <w:bCs/>
                      <w:sz w:val="20"/>
                      <w:szCs w:val="21"/>
                    </w:rPr>
                  </m:ctrlPr>
                </m:e>
                <m:sup>
                  <m:r>
                    <m:rPr>
                      <m:sty m:val="p"/>
                    </m:rPr>
                    <w:rPr>
                      <w:rFonts w:hint="eastAsia" w:ascii="Cambria Math" w:hAnsi="Cambria Math" w:eastAsia="宋体" w:cs="宋体"/>
                      <w:sz w:val="20"/>
                      <w:szCs w:val="21"/>
                    </w:rPr>
                    <m:t>−</m:t>
                  </m:r>
                  <m:ctrlPr>
                    <w:rPr>
                      <w:rFonts w:hint="eastAsia" w:ascii="Cambria Math" w:hAnsi="Cambria Math" w:eastAsia="宋体" w:cs="宋体"/>
                      <w:bCs/>
                      <w:sz w:val="20"/>
                      <w:szCs w:val="21"/>
                    </w:rPr>
                  </m:ctrlPr>
                </m:sup>
              </m:sSup>
              <m:r>
                <m:rPr>
                  <m:sty m:val="p"/>
                </m:rPr>
                <w:rPr>
                  <w:rFonts w:hint="eastAsia" w:ascii="Cambria Math" w:hAnsi="Cambria Math" w:eastAsia="宋体" w:cs="宋体"/>
                  <w:sz w:val="20"/>
                  <w:szCs w:val="21"/>
                </w:rPr>
                <m:t>=θ</m:t>
              </m:r>
            </m:oMath>
          </w:p>
        </w:tc>
      </w:tr>
      <w:tr w14:paraId="222F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4BEBEC29">
            <w:pPr>
              <w:spacing w:line="300" w:lineRule="auto"/>
              <w:jc w:val="center"/>
              <w:rPr>
                <w:rFonts w:ascii="宋体" w:hAnsi="宋体" w:eastAsia="宋体"/>
                <w:b/>
                <w:sz w:val="28"/>
                <w:szCs w:val="28"/>
              </w:rPr>
            </w:pPr>
            <w:r>
              <w:rPr>
                <w:rFonts w:hint="eastAsia" w:ascii="宋体" w:hAnsi="宋体" w:eastAsia="宋体" w:cs="宋体"/>
                <w:bCs/>
                <w:sz w:val="24"/>
                <w:szCs w:val="20"/>
              </w:rPr>
              <w:t>4</w:t>
            </w:r>
            <w:r>
              <w:rPr>
                <w:rFonts w:ascii="宋体" w:hAnsi="宋体" w:eastAsia="宋体" w:cs="宋体"/>
                <w:bCs/>
                <w:sz w:val="24"/>
                <w:szCs w:val="20"/>
              </w:rPr>
              <w:t>.</w:t>
            </w:r>
          </w:p>
        </w:tc>
        <w:tc>
          <w:tcPr>
            <w:tcW w:w="8355" w:type="dxa"/>
            <w:gridSpan w:val="3"/>
            <w:tcBorders>
              <w:top w:val="nil"/>
              <w:left w:val="single" w:color="auto" w:sz="8" w:space="0"/>
              <w:bottom w:val="nil"/>
              <w:right w:val="nil"/>
            </w:tcBorders>
          </w:tcPr>
          <w:p w14:paraId="34CFC7C6">
            <w:pPr>
              <w:spacing w:line="300" w:lineRule="auto"/>
              <w:rPr>
                <w:rFonts w:ascii="宋体" w:hAnsi="宋体" w:eastAsia="宋体" w:cs="宋体"/>
                <w:bCs/>
                <w:sz w:val="20"/>
                <w:szCs w:val="21"/>
              </w:rPr>
            </w:pPr>
            <w:r>
              <w:rPr>
                <w:rFonts w:hint="eastAsia" w:ascii="宋体" w:hAnsi="宋体" w:eastAsia="宋体" w:cs="宋体"/>
                <w:bCs/>
                <w:sz w:val="20"/>
                <w:szCs w:val="21"/>
              </w:rPr>
              <w:t>For episode = 1, M do</w:t>
            </w:r>
          </w:p>
        </w:tc>
      </w:tr>
      <w:tr w14:paraId="2C17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1BEAEF76">
            <w:pPr>
              <w:spacing w:line="300" w:lineRule="auto"/>
              <w:jc w:val="center"/>
              <w:rPr>
                <w:rFonts w:ascii="宋体" w:hAnsi="宋体" w:eastAsia="宋体"/>
                <w:b/>
                <w:sz w:val="28"/>
                <w:szCs w:val="28"/>
              </w:rPr>
            </w:pPr>
            <w:r>
              <w:rPr>
                <w:rFonts w:hint="eastAsia" w:ascii="宋体" w:hAnsi="宋体" w:eastAsia="宋体" w:cs="宋体"/>
                <w:bCs/>
                <w:sz w:val="24"/>
                <w:szCs w:val="20"/>
              </w:rPr>
              <w:t>5</w:t>
            </w:r>
            <w:r>
              <w:rPr>
                <w:rFonts w:ascii="宋体" w:hAnsi="宋体" w:eastAsia="宋体" w:cs="宋体"/>
                <w:bCs/>
                <w:sz w:val="24"/>
                <w:szCs w:val="20"/>
              </w:rPr>
              <w:t>.</w:t>
            </w:r>
          </w:p>
        </w:tc>
        <w:tc>
          <w:tcPr>
            <w:tcW w:w="558" w:type="dxa"/>
            <w:tcBorders>
              <w:top w:val="nil"/>
              <w:left w:val="single" w:color="auto" w:sz="8" w:space="0"/>
              <w:bottom w:val="nil"/>
              <w:right w:val="single" w:color="auto" w:sz="8" w:space="0"/>
            </w:tcBorders>
          </w:tcPr>
          <w:p w14:paraId="1EF1448E">
            <w:pPr>
              <w:spacing w:line="300" w:lineRule="auto"/>
              <w:rPr>
                <w:rFonts w:ascii="宋体" w:hAnsi="宋体" w:eastAsia="宋体" w:cs="宋体"/>
                <w:bCs/>
                <w:sz w:val="20"/>
                <w:szCs w:val="21"/>
              </w:rPr>
            </w:pPr>
          </w:p>
        </w:tc>
        <w:tc>
          <w:tcPr>
            <w:tcW w:w="7797" w:type="dxa"/>
            <w:gridSpan w:val="2"/>
            <w:tcBorders>
              <w:top w:val="nil"/>
              <w:left w:val="single" w:color="auto" w:sz="8" w:space="0"/>
              <w:bottom w:val="nil"/>
              <w:right w:val="nil"/>
            </w:tcBorders>
          </w:tcPr>
          <w:p w14:paraId="28DFC864">
            <w:pPr>
              <w:spacing w:line="300" w:lineRule="auto"/>
              <w:rPr>
                <w:rFonts w:ascii="宋体" w:hAnsi="宋体" w:eastAsia="宋体" w:cs="宋体"/>
                <w:bCs/>
                <w:sz w:val="20"/>
                <w:szCs w:val="21"/>
              </w:rPr>
            </w:pPr>
            <w:r>
              <w:rPr>
                <w:rFonts w:hint="eastAsia" w:ascii="宋体" w:hAnsi="宋体" w:eastAsia="宋体" w:cs="宋体"/>
                <w:bCs/>
                <w:sz w:val="20"/>
                <w:szCs w:val="21"/>
              </w:rPr>
              <w:t>Initialize feature vectors</w:t>
            </w:r>
            <w:r>
              <w:rPr>
                <w:rFonts w:hint="eastAsia" w:ascii="宋体" w:hAnsi="宋体" w:eastAsia="宋体" w:cs="宋体"/>
                <w:bCs/>
                <w:sz w:val="20"/>
                <w:szCs w:val="21"/>
                <w:lang w:eastAsia="zh-CN"/>
              </w:rPr>
              <w:t xml:space="preserve"> </w:t>
            </w:r>
            <m:oMath>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1</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s</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1</m:t>
                  </m:r>
                  <m:ctrlPr>
                    <w:rPr>
                      <w:rFonts w:hint="eastAsia" w:ascii="Cambria Math" w:hAnsi="Cambria Math" w:eastAsia="宋体" w:cs="宋体"/>
                      <w:bCs/>
                      <w:sz w:val="20"/>
                      <w:szCs w:val="21"/>
                    </w:rPr>
                  </m:ctrlPr>
                </m:sub>
              </m:sSub>
            </m:oMath>
          </w:p>
        </w:tc>
      </w:tr>
      <w:tr w14:paraId="1CE51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6" w:type="dxa"/>
            <w:tcBorders>
              <w:top w:val="nil"/>
              <w:left w:val="nil"/>
              <w:bottom w:val="nil"/>
              <w:right w:val="single" w:color="auto" w:sz="8" w:space="0"/>
            </w:tcBorders>
            <w:vAlign w:val="center"/>
          </w:tcPr>
          <w:p w14:paraId="179B9F7C">
            <w:pPr>
              <w:spacing w:line="300" w:lineRule="auto"/>
              <w:jc w:val="center"/>
              <w:rPr>
                <w:rFonts w:ascii="宋体" w:hAnsi="宋体" w:eastAsia="宋体"/>
                <w:b/>
                <w:sz w:val="28"/>
                <w:szCs w:val="28"/>
              </w:rPr>
            </w:pPr>
            <w:r>
              <w:rPr>
                <w:rFonts w:hint="eastAsia" w:ascii="宋体" w:hAnsi="宋体" w:eastAsia="宋体" w:cs="宋体"/>
                <w:bCs/>
                <w:sz w:val="24"/>
                <w:szCs w:val="20"/>
              </w:rPr>
              <w:t>6</w:t>
            </w:r>
            <w:r>
              <w:rPr>
                <w:rFonts w:ascii="宋体" w:hAnsi="宋体" w:eastAsia="宋体" w:cs="宋体"/>
                <w:bCs/>
                <w:sz w:val="24"/>
                <w:szCs w:val="20"/>
              </w:rPr>
              <w:t>.</w:t>
            </w:r>
          </w:p>
        </w:tc>
        <w:tc>
          <w:tcPr>
            <w:tcW w:w="558" w:type="dxa"/>
            <w:tcBorders>
              <w:top w:val="nil"/>
              <w:left w:val="single" w:color="auto" w:sz="8" w:space="0"/>
              <w:bottom w:val="nil"/>
              <w:right w:val="single" w:color="auto" w:sz="8" w:space="0"/>
            </w:tcBorders>
          </w:tcPr>
          <w:p w14:paraId="48420B73">
            <w:pPr>
              <w:spacing w:line="300" w:lineRule="auto"/>
              <w:rPr>
                <w:rFonts w:ascii="宋体" w:hAnsi="宋体" w:eastAsia="宋体" w:cs="宋体"/>
                <w:bCs/>
                <w:sz w:val="20"/>
                <w:szCs w:val="21"/>
              </w:rPr>
            </w:pPr>
          </w:p>
        </w:tc>
        <w:tc>
          <w:tcPr>
            <w:tcW w:w="7797" w:type="dxa"/>
            <w:gridSpan w:val="2"/>
            <w:tcBorders>
              <w:top w:val="nil"/>
              <w:left w:val="single" w:color="auto" w:sz="8" w:space="0"/>
              <w:bottom w:val="nil"/>
              <w:right w:val="nil"/>
            </w:tcBorders>
          </w:tcPr>
          <w:p w14:paraId="28BE057C">
            <w:pPr>
              <w:spacing w:line="300" w:lineRule="auto"/>
              <w:rPr>
                <w:rFonts w:ascii="宋体" w:hAnsi="宋体" w:eastAsia="宋体" w:cs="宋体"/>
                <w:bCs/>
                <w:sz w:val="20"/>
                <w:szCs w:val="21"/>
              </w:rPr>
            </w:pPr>
            <w:r>
              <w:rPr>
                <w:rFonts w:hint="eastAsia" w:ascii="宋体" w:hAnsi="宋体" w:eastAsia="宋体" w:cs="宋体"/>
                <w:bCs/>
                <w:sz w:val="20"/>
                <w:szCs w:val="21"/>
              </w:rPr>
              <w:t>For t = 1, T do</w:t>
            </w:r>
          </w:p>
        </w:tc>
      </w:tr>
      <w:tr w14:paraId="16DC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1C9DD504">
            <w:pPr>
              <w:spacing w:line="300" w:lineRule="auto"/>
              <w:jc w:val="center"/>
              <w:rPr>
                <w:rFonts w:ascii="宋体" w:hAnsi="宋体" w:eastAsia="宋体"/>
                <w:b/>
                <w:sz w:val="28"/>
                <w:szCs w:val="28"/>
              </w:rPr>
            </w:pPr>
            <w:r>
              <w:rPr>
                <w:rFonts w:hint="eastAsia" w:ascii="宋体" w:hAnsi="宋体" w:eastAsia="宋体" w:cs="宋体"/>
                <w:bCs/>
                <w:sz w:val="24"/>
                <w:szCs w:val="20"/>
              </w:rPr>
              <w:t>7</w:t>
            </w:r>
            <w:r>
              <w:rPr>
                <w:rFonts w:ascii="宋体" w:hAnsi="宋体" w:eastAsia="宋体" w:cs="宋体"/>
                <w:bCs/>
                <w:sz w:val="24"/>
                <w:szCs w:val="20"/>
              </w:rPr>
              <w:t>.</w:t>
            </w:r>
          </w:p>
        </w:tc>
        <w:tc>
          <w:tcPr>
            <w:tcW w:w="558" w:type="dxa"/>
            <w:tcBorders>
              <w:top w:val="nil"/>
              <w:left w:val="single" w:color="auto" w:sz="8" w:space="0"/>
              <w:bottom w:val="nil"/>
              <w:right w:val="single" w:color="auto" w:sz="8" w:space="0"/>
            </w:tcBorders>
          </w:tcPr>
          <w:p w14:paraId="6E01C9BA">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55A4C527">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2D2C4841">
            <w:pPr>
              <w:spacing w:line="300" w:lineRule="auto"/>
              <w:rPr>
                <w:rFonts w:ascii="宋体" w:hAnsi="宋体" w:eastAsia="宋体" w:cs="宋体"/>
                <w:bCs/>
                <w:sz w:val="20"/>
                <w:szCs w:val="21"/>
              </w:rPr>
            </w:pPr>
            <w:r>
              <w:rPr>
                <w:rFonts w:hint="eastAsia" w:ascii="宋体" w:hAnsi="宋体" w:eastAsia="宋体" w:cs="宋体"/>
                <w:bCs/>
                <w:sz w:val="20"/>
                <w:szCs w:val="21"/>
              </w:rPr>
              <w:t xml:space="preserve">Choose a random action </w:t>
            </w:r>
            <m:oMath>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a</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oMath>
            <w:r>
              <w:rPr>
                <w:rFonts w:hint="eastAsia" w:ascii="宋体" w:hAnsi="宋体" w:eastAsia="宋体" w:cs="宋体"/>
                <w:bCs/>
                <w:sz w:val="20"/>
                <w:szCs w:val="21"/>
              </w:rPr>
              <w:t xml:space="preserve"> with probability </w:t>
            </w:r>
            <m:oMath>
              <m:r>
                <m:rPr>
                  <m:sty m:val="p"/>
                </m:rPr>
                <w:rPr>
                  <w:rFonts w:hint="eastAsia" w:ascii="Cambria Math" w:hAnsi="Cambria Math" w:eastAsia="宋体" w:cs="宋体"/>
                  <w:sz w:val="20"/>
                  <w:szCs w:val="21"/>
                </w:rPr>
                <m:t>ε</m:t>
              </m:r>
            </m:oMath>
            <w:r>
              <w:rPr>
                <w:rFonts w:hint="eastAsia" w:ascii="宋体" w:hAnsi="宋体" w:eastAsia="宋体" w:cs="宋体"/>
                <w:bCs/>
                <w:sz w:val="20"/>
                <w:szCs w:val="21"/>
              </w:rPr>
              <w:t>, Otherwise, select Actions</w:t>
            </w:r>
            <m:oMath>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a</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=arg⁡</m:t>
              </m:r>
              <m:limLow>
                <m:limLowPr>
                  <m:ctrlPr>
                    <w:rPr>
                      <w:rFonts w:hint="eastAsia" w:ascii="Cambria Math" w:hAnsi="Cambria Math" w:eastAsia="宋体" w:cs="宋体"/>
                      <w:bCs/>
                      <w:sz w:val="20"/>
                      <w:szCs w:val="21"/>
                    </w:rPr>
                  </m:ctrlPr>
                </m:limLowPr>
                <m:e>
                  <m:r>
                    <m:rPr>
                      <m:sty m:val="p"/>
                    </m:rPr>
                    <w:rPr>
                      <w:rFonts w:hint="eastAsia" w:ascii="Cambria Math" w:hAnsi="Cambria Math" w:eastAsia="宋体" w:cs="宋体"/>
                      <w:sz w:val="20"/>
                      <w:szCs w:val="21"/>
                    </w:rPr>
                    <m:t>max</m:t>
                  </m:r>
                  <m:ctrlPr>
                    <w:rPr>
                      <w:rFonts w:hint="eastAsia" w:ascii="Cambria Math" w:hAnsi="Cambria Math" w:eastAsia="宋体" w:cs="宋体"/>
                      <w:bCs/>
                      <w:sz w:val="20"/>
                      <w:szCs w:val="21"/>
                    </w:rPr>
                  </m:ctrlPr>
                </m:e>
                <m:lim>
                  <m:r>
                    <m:rPr>
                      <m:sty m:val="p"/>
                    </m:rPr>
                    <w:rPr>
                      <w:rFonts w:hint="eastAsia" w:ascii="Cambria Math" w:hAnsi="Cambria Math" w:eastAsia="宋体" w:cs="宋体"/>
                      <w:sz w:val="20"/>
                      <w:szCs w:val="21"/>
                    </w:rPr>
                    <m:t>a</m:t>
                  </m:r>
                  <m:ctrlPr>
                    <w:rPr>
                      <w:rFonts w:hint="eastAsia" w:ascii="Cambria Math" w:hAnsi="Cambria Math" w:eastAsia="宋体" w:cs="宋体"/>
                      <w:bCs/>
                      <w:sz w:val="20"/>
                      <w:szCs w:val="21"/>
                    </w:rPr>
                  </m:ctrlPr>
                </m:lim>
              </m:limLow>
              <m:r>
                <m:rPr>
                  <m:sty m:val="p"/>
                </m:rPr>
                <w:rPr>
                  <w:rFonts w:hint="eastAsia" w:ascii="Cambria Math" w:hAnsi="Cambria Math" w:eastAsia="宋体" w:cs="宋体"/>
                  <w:sz w:val="20"/>
                  <w:szCs w:val="21"/>
                </w:rPr>
                <m:t> Q(ϕ(</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s</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),a;θ)</m:t>
              </m:r>
            </m:oMath>
          </w:p>
        </w:tc>
      </w:tr>
      <w:tr w14:paraId="1B4D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2ACC97CB">
            <w:pPr>
              <w:spacing w:line="300" w:lineRule="auto"/>
              <w:jc w:val="center"/>
              <w:rPr>
                <w:rFonts w:ascii="宋体" w:hAnsi="宋体" w:eastAsia="宋体"/>
                <w:b/>
                <w:sz w:val="28"/>
                <w:szCs w:val="28"/>
              </w:rPr>
            </w:pPr>
            <w:r>
              <w:rPr>
                <w:rFonts w:hint="eastAsia" w:ascii="宋体" w:hAnsi="宋体" w:eastAsia="宋体" w:cs="宋体"/>
                <w:bCs/>
                <w:sz w:val="24"/>
                <w:szCs w:val="20"/>
              </w:rPr>
              <w:t>8</w:t>
            </w:r>
            <w:r>
              <w:rPr>
                <w:rFonts w:ascii="宋体" w:hAnsi="宋体" w:eastAsia="宋体" w:cs="宋体"/>
                <w:bCs/>
                <w:sz w:val="24"/>
                <w:szCs w:val="20"/>
              </w:rPr>
              <w:t>.</w:t>
            </w:r>
          </w:p>
        </w:tc>
        <w:tc>
          <w:tcPr>
            <w:tcW w:w="558" w:type="dxa"/>
            <w:tcBorders>
              <w:top w:val="nil"/>
              <w:left w:val="single" w:color="auto" w:sz="8" w:space="0"/>
              <w:bottom w:val="nil"/>
              <w:right w:val="single" w:color="auto" w:sz="8" w:space="0"/>
            </w:tcBorders>
          </w:tcPr>
          <w:p w14:paraId="05E808D6">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31A7B529">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09DDC150">
            <w:pPr>
              <w:spacing w:line="300" w:lineRule="auto"/>
              <w:rPr>
                <w:rFonts w:ascii="宋体" w:hAnsi="宋体" w:eastAsia="宋体" w:cs="宋体"/>
                <w:bCs/>
                <w:sz w:val="20"/>
                <w:szCs w:val="21"/>
              </w:rPr>
            </w:pPr>
            <w:r>
              <w:rPr>
                <w:rFonts w:hint="eastAsia" w:ascii="宋体" w:hAnsi="宋体" w:eastAsia="宋体" w:cs="宋体"/>
                <w:bCs/>
                <w:sz w:val="20"/>
                <w:szCs w:val="21"/>
                <w:lang w:eastAsia="zh-CN"/>
              </w:rPr>
              <w:t>E</w:t>
            </w:r>
            <w:r>
              <w:rPr>
                <w:rFonts w:hint="eastAsia" w:ascii="宋体" w:hAnsi="宋体" w:eastAsia="宋体" w:cs="宋体"/>
                <w:bCs/>
                <w:sz w:val="20"/>
                <w:szCs w:val="21"/>
              </w:rPr>
              <w:t xml:space="preserve">xecute </w:t>
            </w:r>
            <m:oMath>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a</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oMath>
            <w:r>
              <w:rPr>
                <w:rFonts w:hint="eastAsia" w:ascii="宋体" w:hAnsi="宋体" w:eastAsia="宋体" w:cs="宋体"/>
                <w:bCs/>
                <w:sz w:val="20"/>
                <w:szCs w:val="21"/>
              </w:rPr>
              <w:t xml:space="preserve">，Observe reward </w:t>
            </w:r>
            <m:oMath>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r</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oMath>
            <w:r>
              <w:rPr>
                <w:rFonts w:hint="eastAsia" w:ascii="宋体" w:hAnsi="宋体" w:eastAsia="宋体" w:cs="宋体"/>
                <w:bCs/>
                <w:sz w:val="20"/>
                <w:szCs w:val="21"/>
              </w:rPr>
              <w:t xml:space="preserve"> and the new status </w:t>
            </w:r>
            <m:oMath>
              <m:sSub>
                <m:sSubPr>
                  <m:ctrlPr>
                    <w:rPr>
                      <w:rFonts w:hint="eastAsia" w:ascii="Cambria Math" w:hAnsi="Cambria Math" w:eastAsia="宋体" w:cs="宋体"/>
                      <w:bCs/>
                      <w:i/>
                      <w:iCs/>
                      <w:sz w:val="20"/>
                      <w:szCs w:val="21"/>
                    </w:rPr>
                  </m:ctrlPr>
                </m:sSubPr>
                <m:e>
                  <m:r>
                    <m:rPr/>
                    <w:rPr>
                      <w:rFonts w:hint="eastAsia" w:ascii="Cambria Math" w:hAnsi="Cambria Math" w:eastAsia="宋体" w:cs="宋体"/>
                      <w:sz w:val="20"/>
                      <w:szCs w:val="21"/>
                    </w:rPr>
                    <m:t>s</m:t>
                  </m:r>
                  <m:ctrlPr>
                    <w:rPr>
                      <w:rFonts w:hint="eastAsia" w:ascii="Cambria Math" w:hAnsi="Cambria Math" w:eastAsia="宋体" w:cs="宋体"/>
                      <w:bCs/>
                      <w:i/>
                      <w:iCs/>
                      <w:sz w:val="20"/>
                      <w:szCs w:val="21"/>
                    </w:rPr>
                  </m:ctrlPr>
                </m:e>
                <m:sub>
                  <m:r>
                    <m:rPr/>
                    <w:rPr>
                      <w:rFonts w:hint="eastAsia" w:ascii="Cambria Math" w:hAnsi="Cambria Math" w:eastAsia="宋体" w:cs="宋体"/>
                      <w:sz w:val="20"/>
                      <w:szCs w:val="21"/>
                    </w:rPr>
                    <m:t>t+1</m:t>
                  </m:r>
                  <m:ctrlPr>
                    <w:rPr>
                      <w:rFonts w:hint="eastAsia" w:ascii="Cambria Math" w:hAnsi="Cambria Math" w:eastAsia="宋体" w:cs="宋体"/>
                      <w:bCs/>
                      <w:i/>
                      <w:iCs/>
                      <w:sz w:val="20"/>
                      <w:szCs w:val="21"/>
                    </w:rPr>
                  </m:ctrlPr>
                </m:sub>
              </m:sSub>
            </m:oMath>
          </w:p>
        </w:tc>
      </w:tr>
      <w:tr w14:paraId="53A3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10889331">
            <w:pPr>
              <w:spacing w:line="300" w:lineRule="auto"/>
              <w:jc w:val="center"/>
              <w:rPr>
                <w:rFonts w:ascii="宋体" w:hAnsi="宋体" w:eastAsia="宋体"/>
                <w:b/>
                <w:sz w:val="28"/>
                <w:szCs w:val="28"/>
              </w:rPr>
            </w:pPr>
            <w:r>
              <w:rPr>
                <w:rFonts w:hint="eastAsia" w:ascii="宋体" w:hAnsi="宋体" w:eastAsia="宋体" w:cs="宋体"/>
                <w:bCs/>
                <w:sz w:val="24"/>
                <w:szCs w:val="20"/>
              </w:rPr>
              <w:t>9</w:t>
            </w:r>
            <w:r>
              <w:rPr>
                <w:rFonts w:ascii="宋体" w:hAnsi="宋体" w:eastAsia="宋体" w:cs="宋体"/>
                <w:bCs/>
                <w:sz w:val="24"/>
                <w:szCs w:val="20"/>
              </w:rPr>
              <w:t>.</w:t>
            </w:r>
          </w:p>
        </w:tc>
        <w:tc>
          <w:tcPr>
            <w:tcW w:w="558" w:type="dxa"/>
            <w:tcBorders>
              <w:top w:val="nil"/>
              <w:left w:val="single" w:color="auto" w:sz="8" w:space="0"/>
              <w:bottom w:val="nil"/>
              <w:right w:val="single" w:color="auto" w:sz="8" w:space="0"/>
            </w:tcBorders>
          </w:tcPr>
          <w:p w14:paraId="62836E87">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673425EE">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56A00316">
            <w:pPr>
              <w:spacing w:line="300" w:lineRule="auto"/>
              <w:rPr>
                <w:rFonts w:ascii="宋体" w:hAnsi="宋体" w:eastAsia="宋体" w:cs="宋体"/>
                <w:bCs/>
                <w:sz w:val="20"/>
                <w:szCs w:val="21"/>
              </w:rPr>
            </w:pPr>
            <w:r>
              <w:rPr>
                <w:rFonts w:hint="eastAsia" w:ascii="宋体" w:hAnsi="宋体" w:eastAsia="宋体" w:cs="宋体"/>
                <w:bCs/>
                <w:sz w:val="20"/>
                <w:szCs w:val="21"/>
              </w:rPr>
              <w:t xml:space="preserve"> </w:t>
            </w:r>
            <m:oMath>
              <m:r>
                <m:rPr>
                  <m:sty m:val="p"/>
                </m:rPr>
                <w:rPr>
                  <w:rFonts w:hint="eastAsia" w:ascii="Cambria Math" w:hAnsi="Cambria Math" w:eastAsia="宋体" w:cs="宋体"/>
                  <w:sz w:val="20"/>
                  <w:szCs w:val="21"/>
                </w:rPr>
                <m:t xml:space="preserve"> </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t+1</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i/>
                      <w:iCs/>
                      <w:sz w:val="20"/>
                      <w:szCs w:val="21"/>
                    </w:rPr>
                  </m:ctrlPr>
                </m:sSubPr>
                <m:e>
                  <m:r>
                    <m:rPr/>
                    <w:rPr>
                      <w:rFonts w:hint="eastAsia" w:ascii="Cambria Math" w:hAnsi="Cambria Math" w:eastAsia="宋体" w:cs="宋体"/>
                      <w:sz w:val="20"/>
                      <w:szCs w:val="21"/>
                    </w:rPr>
                    <m:t>s</m:t>
                  </m:r>
                  <m:ctrlPr>
                    <w:rPr>
                      <w:rFonts w:hint="eastAsia" w:ascii="Cambria Math" w:hAnsi="Cambria Math" w:eastAsia="宋体" w:cs="宋体"/>
                      <w:bCs/>
                      <w:i/>
                      <w:iCs/>
                      <w:sz w:val="20"/>
                      <w:szCs w:val="21"/>
                    </w:rPr>
                  </m:ctrlPr>
                </m:e>
                <m:sub>
                  <m:r>
                    <m:rPr/>
                    <w:rPr>
                      <w:rFonts w:hint="eastAsia" w:ascii="Cambria Math" w:hAnsi="Cambria Math" w:eastAsia="宋体" w:cs="宋体"/>
                      <w:sz w:val="20"/>
                      <w:szCs w:val="21"/>
                    </w:rPr>
                    <m:t>t+1</m:t>
                  </m:r>
                  <m:ctrlPr>
                    <w:rPr>
                      <w:rFonts w:hint="eastAsia" w:ascii="Cambria Math" w:hAnsi="Cambria Math" w:eastAsia="宋体" w:cs="宋体"/>
                      <w:bCs/>
                      <w:i/>
                      <w:iCs/>
                      <w:sz w:val="20"/>
                      <w:szCs w:val="21"/>
                    </w:rPr>
                  </m:ctrlPr>
                </m:sub>
              </m:sSub>
            </m:oMath>
          </w:p>
        </w:tc>
      </w:tr>
      <w:tr w14:paraId="5CAB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39951B37">
            <w:pPr>
              <w:spacing w:line="300" w:lineRule="auto"/>
              <w:jc w:val="center"/>
              <w:rPr>
                <w:rFonts w:ascii="宋体" w:hAnsi="宋体" w:eastAsia="宋体"/>
                <w:b/>
                <w:sz w:val="28"/>
                <w:szCs w:val="28"/>
              </w:rPr>
            </w:pPr>
            <w:r>
              <w:rPr>
                <w:rFonts w:hint="eastAsia" w:ascii="宋体" w:hAnsi="宋体" w:eastAsia="宋体" w:cs="宋体"/>
                <w:bCs/>
                <w:sz w:val="24"/>
                <w:szCs w:val="20"/>
              </w:rPr>
              <w:t>1</w:t>
            </w:r>
            <w:r>
              <w:rPr>
                <w:rFonts w:ascii="宋体" w:hAnsi="宋体" w:eastAsia="宋体" w:cs="宋体"/>
                <w:bCs/>
                <w:sz w:val="24"/>
                <w:szCs w:val="20"/>
              </w:rPr>
              <w:t>0.</w:t>
            </w:r>
          </w:p>
        </w:tc>
        <w:tc>
          <w:tcPr>
            <w:tcW w:w="558" w:type="dxa"/>
            <w:tcBorders>
              <w:top w:val="nil"/>
              <w:left w:val="single" w:color="auto" w:sz="8" w:space="0"/>
              <w:bottom w:val="nil"/>
              <w:right w:val="single" w:color="auto" w:sz="8" w:space="0"/>
            </w:tcBorders>
          </w:tcPr>
          <w:p w14:paraId="2841D36A">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00585976">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586CB013">
            <w:pPr>
              <w:spacing w:line="300" w:lineRule="auto"/>
              <w:rPr>
                <w:rFonts w:ascii="宋体" w:hAnsi="宋体" w:eastAsia="宋体" w:cs="宋体"/>
                <w:bCs/>
                <w:sz w:val="20"/>
                <w:szCs w:val="21"/>
              </w:rPr>
            </w:pPr>
            <w:r>
              <w:rPr>
                <w:rFonts w:hint="eastAsia" w:ascii="宋体" w:hAnsi="宋体" w:eastAsia="宋体" w:cs="宋体"/>
                <w:bCs/>
                <w:sz w:val="20"/>
                <w:szCs w:val="21"/>
              </w:rPr>
              <w:t xml:space="preserve">Store the combination </w:t>
            </w:r>
            <m:oMath>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a</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r</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t+1</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oMath>
            <w:r>
              <w:rPr>
                <w:rFonts w:hint="eastAsia" w:ascii="宋体" w:hAnsi="宋体" w:eastAsia="宋体" w:cs="宋体"/>
                <w:bCs/>
                <w:sz w:val="20"/>
                <w:szCs w:val="21"/>
              </w:rPr>
              <w:t xml:space="preserve"> into D</w:t>
            </w:r>
          </w:p>
        </w:tc>
      </w:tr>
      <w:tr w14:paraId="59EA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408667F6">
            <w:pPr>
              <w:spacing w:line="300" w:lineRule="auto"/>
              <w:jc w:val="center"/>
              <w:rPr>
                <w:rFonts w:ascii="宋体" w:hAnsi="宋体" w:eastAsia="宋体"/>
                <w:b/>
                <w:sz w:val="28"/>
                <w:szCs w:val="28"/>
              </w:rPr>
            </w:pPr>
            <w:r>
              <w:rPr>
                <w:rFonts w:hint="eastAsia" w:ascii="宋体" w:hAnsi="宋体" w:eastAsia="宋体" w:cs="宋体"/>
                <w:bCs/>
                <w:sz w:val="24"/>
                <w:szCs w:val="20"/>
              </w:rPr>
              <w:t>1</w:t>
            </w:r>
            <w:r>
              <w:rPr>
                <w:rFonts w:ascii="宋体" w:hAnsi="宋体" w:eastAsia="宋体" w:cs="宋体"/>
                <w:bCs/>
                <w:sz w:val="24"/>
                <w:szCs w:val="20"/>
              </w:rPr>
              <w:t>1.</w:t>
            </w:r>
          </w:p>
        </w:tc>
        <w:tc>
          <w:tcPr>
            <w:tcW w:w="558" w:type="dxa"/>
            <w:tcBorders>
              <w:top w:val="nil"/>
              <w:left w:val="single" w:color="auto" w:sz="8" w:space="0"/>
              <w:bottom w:val="nil"/>
              <w:right w:val="single" w:color="auto" w:sz="8" w:space="0"/>
            </w:tcBorders>
          </w:tcPr>
          <w:p w14:paraId="7F4F13D1">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17B835C2">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10F31EA2">
            <w:pPr>
              <w:spacing w:line="300" w:lineRule="auto"/>
              <w:rPr>
                <w:rFonts w:ascii="宋体" w:hAnsi="宋体" w:eastAsia="宋体" w:cs="宋体"/>
                <w:bCs/>
                <w:sz w:val="20"/>
                <w:szCs w:val="21"/>
              </w:rPr>
            </w:pPr>
            <w:r>
              <w:rPr>
                <w:rFonts w:hint="eastAsia" w:ascii="宋体" w:hAnsi="宋体" w:eastAsia="宋体" w:cs="宋体"/>
                <w:bCs/>
                <w:sz w:val="20"/>
                <w:szCs w:val="21"/>
              </w:rPr>
              <w:t xml:space="preserve">A small batch of </w:t>
            </w:r>
            <m:oMath>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a</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r</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t</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j+1</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m:t>
              </m:r>
            </m:oMath>
            <w:r>
              <w:rPr>
                <w:rFonts w:hint="eastAsia" w:ascii="宋体" w:hAnsi="宋体" w:eastAsia="宋体" w:cs="宋体"/>
                <w:bCs/>
                <w:sz w:val="20"/>
                <w:szCs w:val="21"/>
              </w:rPr>
              <w:t xml:space="preserve"> combinations is randomly selected from D</w:t>
            </w:r>
          </w:p>
        </w:tc>
      </w:tr>
      <w:tr w14:paraId="4396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23BDDBE7">
            <w:pPr>
              <w:spacing w:line="300" w:lineRule="auto"/>
              <w:jc w:val="center"/>
              <w:rPr>
                <w:rFonts w:ascii="宋体" w:hAnsi="宋体" w:eastAsia="宋体"/>
                <w:b/>
                <w:sz w:val="28"/>
                <w:szCs w:val="28"/>
              </w:rPr>
            </w:pPr>
            <w:r>
              <w:rPr>
                <w:rFonts w:hint="eastAsia" w:ascii="宋体" w:hAnsi="宋体" w:eastAsia="宋体" w:cs="宋体"/>
                <w:bCs/>
                <w:sz w:val="24"/>
                <w:szCs w:val="20"/>
              </w:rPr>
              <w:t>1</w:t>
            </w:r>
            <w:r>
              <w:rPr>
                <w:rFonts w:ascii="宋体" w:hAnsi="宋体" w:eastAsia="宋体" w:cs="宋体"/>
                <w:bCs/>
                <w:sz w:val="24"/>
                <w:szCs w:val="20"/>
              </w:rPr>
              <w:t>2.</w:t>
            </w:r>
          </w:p>
        </w:tc>
        <w:tc>
          <w:tcPr>
            <w:tcW w:w="558" w:type="dxa"/>
            <w:tcBorders>
              <w:top w:val="nil"/>
              <w:left w:val="single" w:color="auto" w:sz="8" w:space="0"/>
              <w:bottom w:val="nil"/>
              <w:right w:val="single" w:color="auto" w:sz="8" w:space="0"/>
            </w:tcBorders>
          </w:tcPr>
          <w:p w14:paraId="45A9FE71">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25930081">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13872B55">
            <w:pPr>
              <w:spacing w:line="300" w:lineRule="auto"/>
              <w:rPr>
                <w:rFonts w:ascii="宋体" w:hAnsi="宋体" w:eastAsia="宋体" w:cs="宋体"/>
                <w:bCs/>
                <w:sz w:val="20"/>
                <w:szCs w:val="21"/>
                <w:lang w:val="de-DE"/>
              </w:rPr>
            </w:pPr>
            <w:r>
              <w:rPr>
                <w:rFonts w:hint="eastAsia" w:ascii="宋体" w:hAnsi="宋体" w:eastAsia="宋体" w:cs="宋体"/>
                <w:bCs/>
                <w:sz w:val="20"/>
                <w:szCs w:val="21"/>
                <w:lang w:val="de-DE" w:eastAsia="zh-CN"/>
              </w:rPr>
              <w:t>C</w:t>
            </w:r>
            <w:r>
              <w:rPr>
                <w:rFonts w:hint="eastAsia" w:ascii="宋体" w:hAnsi="宋体" w:eastAsia="宋体" w:cs="宋体"/>
                <w:bCs/>
                <w:sz w:val="20"/>
                <w:szCs w:val="21"/>
                <w:lang w:val="de-DE"/>
              </w:rPr>
              <w:t>ompute</w:t>
            </w:r>
            <m:oMath>
              <m:r>
                <m:rPr>
                  <m:sty m:val="p"/>
                </m:rPr>
                <w:rPr>
                  <w:rFonts w:ascii="Cambria Math" w:hAnsi="Cambria Math" w:eastAsia="宋体" w:cs="宋体"/>
                  <w:sz w:val="20"/>
                  <w:szCs w:val="21"/>
                  <w:lang w:val="de-DE" w:eastAsia="zh-CN"/>
                </w:rPr>
                <m:t xml:space="preserve"> </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lang w:val="de-DE"/>
                    </w:rPr>
                    <m:t>y</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lang w:val="de-DE"/>
                    </w:rPr>
                    <m:t>j</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lang w:val="de-DE"/>
                </w:rPr>
                <m:t>=</m:t>
              </m:r>
              <m:d>
                <m:dPr>
                  <m:begChr m:val="{"/>
                  <m:endChr m:val=""/>
                  <m:ctrlPr>
                    <w:rPr>
                      <w:rFonts w:hint="eastAsia" w:ascii="Cambria Math" w:hAnsi="Cambria Math" w:eastAsia="宋体" w:cs="宋体"/>
                      <w:bCs/>
                      <w:sz w:val="20"/>
                      <w:szCs w:val="21"/>
                    </w:rPr>
                  </m:ctrlPr>
                </m:dPr>
                <m:e>
                  <m:eqArr>
                    <m:eqArrPr>
                      <m:ctrlPr>
                        <w:rPr>
                          <w:rFonts w:hint="eastAsia" w:ascii="Cambria Math" w:hAnsi="Cambria Math" w:eastAsia="宋体" w:cs="宋体"/>
                          <w:bCs/>
                          <w:sz w:val="20"/>
                          <w:szCs w:val="21"/>
                        </w:rPr>
                      </m:ctrlPr>
                    </m:eqArrPr>
                    <m:e>
                      <m:r>
                        <m:rPr>
                          <m:sty m:val="p"/>
                        </m:rPr>
                        <w:rPr>
                          <w:rFonts w:hint="eastAsia" w:ascii="Cambria Math" w:hAnsi="Cambria Math" w:eastAsia="宋体" w:cs="宋体"/>
                          <w:sz w:val="20"/>
                          <w:szCs w:val="21"/>
                          <w:lang w:val="de-DE"/>
                        </w:rPr>
                        <m:t>&amp;</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lang w:val="de-DE"/>
                            </w:rPr>
                            <m:t>r</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lang w:val="de-DE"/>
                            </w:rPr>
                            <m:t>j</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lang w:val="de-DE"/>
                        </w:rPr>
                        <m:t xml:space="preserve">,                                                 </m:t>
                      </m:r>
                      <m:r>
                        <m:rPr>
                          <m:sty m:val="p"/>
                        </m:rPr>
                        <w:rPr>
                          <w:rFonts w:ascii="Cambria Math" w:hAnsi="Cambria Math" w:eastAsia="宋体" w:cs="宋体"/>
                          <w:sz w:val="20"/>
                          <w:szCs w:val="21"/>
                          <w:lang w:val="de-DE" w:eastAsia="zh-CN"/>
                        </w:rPr>
                        <m:t xml:space="preserve">if </m:t>
                      </m:r>
                      <m:r>
                        <m:rPr>
                          <m:sty m:val="p"/>
                        </m:rPr>
                        <w:rPr>
                          <w:rFonts w:hint="eastAsia" w:ascii="Cambria Math" w:hAnsi="Cambria Math" w:eastAsia="宋体" w:cs="宋体"/>
                          <w:sz w:val="20"/>
                          <w:szCs w:val="21"/>
                          <w:lang w:val="de-DE"/>
                        </w:rPr>
                        <m:t>episode</m:t>
                      </m:r>
                      <m:r>
                        <m:rPr>
                          <m:sty m:val="p"/>
                        </m:rPr>
                        <w:rPr>
                          <w:rFonts w:ascii="Cambria Math" w:hAnsi="Cambria Math" w:eastAsia="宋体" w:cs="宋体"/>
                          <w:sz w:val="20"/>
                          <w:szCs w:val="21"/>
                          <w:lang w:val="de-DE" w:eastAsia="zh-CN"/>
                        </w:rPr>
                        <m:t xml:space="preserve"> </m:t>
                      </m:r>
                      <m:r>
                        <m:rPr>
                          <m:sty m:val="p"/>
                        </m:rPr>
                        <w:rPr>
                          <w:rFonts w:hint="eastAsia" w:ascii="Cambria Math" w:hAnsi="Cambria Math" w:eastAsia="宋体" w:cs="宋体"/>
                          <w:sz w:val="20"/>
                          <w:szCs w:val="21"/>
                          <w:lang w:val="de-DE"/>
                        </w:rPr>
                        <m:t>stops at step</m:t>
                      </m:r>
                      <m:r>
                        <m:rPr>
                          <m:sty m:val="p"/>
                        </m:rPr>
                        <w:rPr>
                          <w:rFonts w:ascii="Cambria Math" w:hAnsi="Cambria Math" w:eastAsia="宋体" w:cs="宋体"/>
                          <w:sz w:val="20"/>
                          <w:szCs w:val="21"/>
                          <w:lang w:val="de-DE" w:eastAsia="zh-CN"/>
                        </w:rPr>
                        <m:t xml:space="preserve"> </m:t>
                      </m:r>
                      <m:r>
                        <m:rPr>
                          <m:sty m:val="p"/>
                        </m:rPr>
                        <w:rPr>
                          <w:rFonts w:hint="eastAsia" w:ascii="Cambria Math" w:hAnsi="Cambria Math" w:eastAsia="宋体" w:cs="宋体"/>
                          <w:sz w:val="20"/>
                          <w:szCs w:val="21"/>
                          <w:lang w:val="de-DE"/>
                        </w:rPr>
                        <m:t xml:space="preserve">j+1  </m:t>
                      </m:r>
                      <m:ctrlPr>
                        <w:rPr>
                          <w:rFonts w:hint="eastAsia" w:ascii="Cambria Math" w:hAnsi="Cambria Math" w:eastAsia="宋体" w:cs="宋体"/>
                          <w:bCs/>
                          <w:sz w:val="20"/>
                          <w:szCs w:val="21"/>
                        </w:rPr>
                      </m:ctrlPr>
                    </m:e>
                    <m:e>
                      <m:r>
                        <m:rPr>
                          <m:sty m:val="p"/>
                        </m:rPr>
                        <w:rPr>
                          <w:rFonts w:hint="eastAsia" w:ascii="Cambria Math" w:hAnsi="Cambria Math" w:eastAsia="宋体" w:cs="宋体"/>
                          <w:sz w:val="20"/>
                          <w:szCs w:val="21"/>
                          <w:lang w:val="de-DE"/>
                        </w:rPr>
                        <m:t>&amp;</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lang w:val="de-DE"/>
                            </w:rPr>
                            <m:t>r</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lang w:val="de-DE"/>
                            </w:rPr>
                            <m:t>j</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lang w:val="de-DE"/>
                        </w:rPr>
                        <m:t>+</m:t>
                      </m:r>
                      <m:r>
                        <m:rPr>
                          <m:sty m:val="p"/>
                        </m:rPr>
                        <w:rPr>
                          <w:rFonts w:hint="eastAsia" w:ascii="Cambria Math" w:hAnsi="Cambria Math" w:eastAsia="宋体" w:cs="宋体"/>
                          <w:sz w:val="20"/>
                          <w:szCs w:val="21"/>
                        </w:rPr>
                        <m:t>γ</m:t>
                      </m:r>
                      <m:limLow>
                        <m:limLowPr>
                          <m:ctrlPr>
                            <w:rPr>
                              <w:rFonts w:hint="eastAsia" w:ascii="Cambria Math" w:hAnsi="Cambria Math" w:eastAsia="宋体" w:cs="宋体"/>
                              <w:bCs/>
                              <w:sz w:val="20"/>
                              <w:szCs w:val="21"/>
                            </w:rPr>
                          </m:ctrlPr>
                        </m:limLowPr>
                        <m:e>
                          <m:r>
                            <m:rPr>
                              <m:sty m:val="p"/>
                            </m:rPr>
                            <w:rPr>
                              <w:rFonts w:hint="eastAsia" w:ascii="Cambria Math" w:hAnsi="Cambria Math" w:eastAsia="宋体" w:cs="宋体"/>
                              <w:sz w:val="20"/>
                              <w:szCs w:val="21"/>
                              <w:lang w:val="de-DE"/>
                            </w:rPr>
                            <m:t>max</m:t>
                          </m:r>
                          <m:ctrlPr>
                            <w:rPr>
                              <w:rFonts w:hint="eastAsia" w:ascii="Cambria Math" w:hAnsi="Cambria Math" w:eastAsia="宋体" w:cs="宋体"/>
                              <w:bCs/>
                              <w:sz w:val="20"/>
                              <w:szCs w:val="21"/>
                            </w:rPr>
                          </m:ctrlPr>
                        </m:e>
                        <m:lim>
                          <m:sSup>
                            <m:sSupPr>
                              <m:ctrlPr>
                                <w:rPr>
                                  <w:rFonts w:hint="eastAsia" w:ascii="Cambria Math" w:hAnsi="Cambria Math" w:eastAsia="宋体" w:cs="宋体"/>
                                  <w:bCs/>
                                  <w:sz w:val="20"/>
                                  <w:szCs w:val="21"/>
                                </w:rPr>
                              </m:ctrlPr>
                            </m:sSupPr>
                            <m:e>
                              <m:r>
                                <m:rPr>
                                  <m:sty m:val="p"/>
                                </m:rPr>
                                <w:rPr>
                                  <w:rFonts w:hint="eastAsia" w:ascii="Cambria Math" w:hAnsi="Cambria Math" w:eastAsia="宋体" w:cs="宋体"/>
                                  <w:sz w:val="20"/>
                                  <w:szCs w:val="21"/>
                                  <w:lang w:val="de-DE"/>
                                </w:rPr>
                                <m:t>a</m:t>
                              </m:r>
                              <m:ctrlPr>
                                <w:rPr>
                                  <w:rFonts w:hint="eastAsia" w:ascii="Cambria Math" w:hAnsi="Cambria Math" w:eastAsia="宋体" w:cs="宋体"/>
                                  <w:bCs/>
                                  <w:sz w:val="20"/>
                                  <w:szCs w:val="21"/>
                                </w:rPr>
                              </m:ctrlPr>
                            </m:e>
                            <m:sup>
                              <m:r>
                                <m:rPr>
                                  <m:sty m:val="p"/>
                                </m:rPr>
                                <w:rPr>
                                  <w:rFonts w:hint="eastAsia" w:ascii="Cambria Math" w:hAnsi="Cambria Math" w:eastAsia="宋体" w:cs="宋体"/>
                                  <w:sz w:val="20"/>
                                  <w:szCs w:val="21"/>
                                  <w:lang w:val="de-DE"/>
                                </w:rPr>
                                <m:t>'</m:t>
                              </m:r>
                              <m:ctrlPr>
                                <w:rPr>
                                  <w:rFonts w:hint="eastAsia" w:ascii="Cambria Math" w:hAnsi="Cambria Math" w:eastAsia="宋体" w:cs="宋体"/>
                                  <w:bCs/>
                                  <w:sz w:val="20"/>
                                  <w:szCs w:val="21"/>
                                </w:rPr>
                              </m:ctrlPr>
                            </m:sup>
                          </m:sSup>
                          <m:ctrlPr>
                            <w:rPr>
                              <w:rFonts w:hint="eastAsia" w:ascii="Cambria Math" w:hAnsi="Cambria Math" w:eastAsia="宋体" w:cs="宋体"/>
                              <w:bCs/>
                              <w:sz w:val="20"/>
                              <w:szCs w:val="21"/>
                            </w:rPr>
                          </m:ctrlPr>
                        </m:lim>
                      </m:limLow>
                      <m:r>
                        <m:rPr>
                          <m:sty m:val="p"/>
                        </m:rPr>
                        <w:rPr>
                          <w:rFonts w:hint="eastAsia" w:ascii="Cambria Math" w:hAnsi="Cambria Math" w:eastAsia="宋体" w:cs="宋体"/>
                          <w:sz w:val="20"/>
                          <w:szCs w:val="21"/>
                          <w:lang w:val="de-DE"/>
                        </w:rPr>
                        <m:t> </m:t>
                      </m:r>
                      <m:acc>
                        <m:accPr>
                          <m:ctrlPr>
                            <w:rPr>
                              <w:rFonts w:hint="eastAsia" w:ascii="Cambria Math" w:hAnsi="Cambria Math" w:eastAsia="宋体" w:cs="宋体"/>
                              <w:bCs/>
                              <w:sz w:val="20"/>
                              <w:szCs w:val="21"/>
                            </w:rPr>
                          </m:ctrlPr>
                        </m:accPr>
                        <m:e>
                          <m:r>
                            <m:rPr>
                              <m:sty m:val="p"/>
                            </m:rPr>
                            <w:rPr>
                              <w:rFonts w:hint="eastAsia" w:ascii="Cambria Math" w:hAnsi="Cambria Math" w:eastAsia="宋体" w:cs="宋体"/>
                              <w:sz w:val="20"/>
                              <w:szCs w:val="21"/>
                              <w:lang w:val="de-DE"/>
                            </w:rPr>
                            <m:t>Q</m:t>
                          </m:r>
                          <m:ctrlPr>
                            <w:rPr>
                              <w:rFonts w:hint="eastAsia" w:ascii="Cambria Math" w:hAnsi="Cambria Math" w:eastAsia="宋体" w:cs="宋体"/>
                              <w:bCs/>
                              <w:sz w:val="20"/>
                              <w:szCs w:val="21"/>
                            </w:rPr>
                          </m:ctrlPr>
                        </m:e>
                      </m:acc>
                      <m:r>
                        <m:rPr>
                          <m:sty m:val="p"/>
                        </m:rPr>
                        <w:rPr>
                          <w:rFonts w:hint="eastAsia" w:ascii="Cambria Math" w:hAnsi="Cambria Math" w:eastAsia="宋体" w:cs="宋体"/>
                          <w:sz w:val="20"/>
                          <w:szCs w:val="21"/>
                          <w:lang w:val="de-DE"/>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lang w:val="de-DE"/>
                            </w:rPr>
                            <m:t>j+1</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lang w:val="de-DE"/>
                        </w:rPr>
                        <m:t>,</m:t>
                      </m:r>
                      <m:sSup>
                        <m:sSupPr>
                          <m:ctrlPr>
                            <w:rPr>
                              <w:rFonts w:hint="eastAsia" w:ascii="Cambria Math" w:hAnsi="Cambria Math" w:eastAsia="宋体" w:cs="宋体"/>
                              <w:bCs/>
                              <w:sz w:val="20"/>
                              <w:szCs w:val="21"/>
                            </w:rPr>
                          </m:ctrlPr>
                        </m:sSupPr>
                        <m:e>
                          <m:r>
                            <m:rPr>
                              <m:sty m:val="p"/>
                            </m:rPr>
                            <w:rPr>
                              <w:rFonts w:hint="eastAsia" w:ascii="Cambria Math" w:hAnsi="Cambria Math" w:eastAsia="宋体" w:cs="宋体"/>
                              <w:sz w:val="20"/>
                              <w:szCs w:val="21"/>
                              <w:lang w:val="de-DE"/>
                            </w:rPr>
                            <m:t>a</m:t>
                          </m:r>
                          <m:ctrlPr>
                            <w:rPr>
                              <w:rFonts w:hint="eastAsia" w:ascii="Cambria Math" w:hAnsi="Cambria Math" w:eastAsia="宋体" w:cs="宋体"/>
                              <w:bCs/>
                              <w:sz w:val="20"/>
                              <w:szCs w:val="21"/>
                            </w:rPr>
                          </m:ctrlPr>
                        </m:e>
                        <m:sup>
                          <m:r>
                            <m:rPr>
                              <m:sty m:val="p"/>
                            </m:rPr>
                            <w:rPr>
                              <w:rFonts w:hint="eastAsia" w:ascii="Cambria Math" w:hAnsi="Cambria Math" w:eastAsia="宋体" w:cs="宋体"/>
                              <w:sz w:val="20"/>
                              <w:szCs w:val="21"/>
                              <w:lang w:val="de-DE"/>
                            </w:rPr>
                            <m:t>'</m:t>
                          </m:r>
                          <m:ctrlPr>
                            <w:rPr>
                              <w:rFonts w:hint="eastAsia" w:ascii="Cambria Math" w:hAnsi="Cambria Math" w:eastAsia="宋体" w:cs="宋体"/>
                              <w:bCs/>
                              <w:sz w:val="20"/>
                              <w:szCs w:val="21"/>
                            </w:rPr>
                          </m:ctrlPr>
                        </m:sup>
                      </m:sSup>
                      <m:r>
                        <m:rPr>
                          <m:sty m:val="p"/>
                        </m:rPr>
                        <w:rPr>
                          <w:rFonts w:hint="eastAsia" w:ascii="Cambria Math" w:hAnsi="Cambria Math" w:eastAsia="宋体" w:cs="宋体"/>
                          <w:sz w:val="20"/>
                          <w:szCs w:val="21"/>
                          <w:lang w:val="de-DE"/>
                        </w:rPr>
                        <m:t>;</m:t>
                      </m:r>
                      <m:sSup>
                        <m:sSupPr>
                          <m:ctrlPr>
                            <w:rPr>
                              <w:rFonts w:hint="eastAsia" w:ascii="Cambria Math" w:hAnsi="Cambria Math" w:eastAsia="宋体" w:cs="宋体"/>
                              <w:bCs/>
                              <w:sz w:val="20"/>
                              <w:szCs w:val="21"/>
                            </w:rPr>
                          </m:ctrlPr>
                        </m:sSupPr>
                        <m:e>
                          <m:r>
                            <m:rPr>
                              <m:sty m:val="p"/>
                            </m:rPr>
                            <w:rPr>
                              <w:rFonts w:hint="eastAsia" w:ascii="Cambria Math" w:hAnsi="Cambria Math" w:eastAsia="宋体" w:cs="宋体"/>
                              <w:sz w:val="20"/>
                              <w:szCs w:val="21"/>
                            </w:rPr>
                            <m:t>θ</m:t>
                          </m:r>
                          <m:ctrlPr>
                            <w:rPr>
                              <w:rFonts w:hint="eastAsia" w:ascii="Cambria Math" w:hAnsi="Cambria Math" w:eastAsia="宋体" w:cs="宋体"/>
                              <w:bCs/>
                              <w:sz w:val="20"/>
                              <w:szCs w:val="21"/>
                            </w:rPr>
                          </m:ctrlPr>
                        </m:e>
                        <m:sup>
                          <m:r>
                            <m:rPr>
                              <m:sty m:val="p"/>
                            </m:rPr>
                            <w:rPr>
                              <w:rFonts w:hint="eastAsia" w:ascii="Cambria Math" w:hAnsi="Cambria Math" w:eastAsia="宋体" w:cs="宋体"/>
                              <w:sz w:val="20"/>
                              <w:szCs w:val="21"/>
                              <w:lang w:val="de-DE"/>
                            </w:rPr>
                            <m:t>−</m:t>
                          </m:r>
                          <m:ctrlPr>
                            <w:rPr>
                              <w:rFonts w:hint="eastAsia" w:ascii="Cambria Math" w:hAnsi="Cambria Math" w:eastAsia="宋体" w:cs="宋体"/>
                              <w:bCs/>
                              <w:sz w:val="20"/>
                              <w:szCs w:val="21"/>
                            </w:rPr>
                          </m:ctrlPr>
                        </m:sup>
                      </m:sSup>
                      <m:r>
                        <m:rPr>
                          <m:sty m:val="p"/>
                        </m:rPr>
                        <w:rPr>
                          <w:rFonts w:hint="eastAsia" w:ascii="Cambria Math" w:hAnsi="Cambria Math" w:eastAsia="宋体" w:cs="宋体"/>
                          <w:sz w:val="20"/>
                          <w:szCs w:val="21"/>
                          <w:lang w:val="de-DE"/>
                        </w:rPr>
                        <m:t>),   otherwise</m:t>
                      </m:r>
                      <m:ctrlPr>
                        <w:rPr>
                          <w:rFonts w:hint="eastAsia" w:ascii="Cambria Math" w:hAnsi="Cambria Math" w:eastAsia="宋体" w:cs="宋体"/>
                          <w:bCs/>
                          <w:sz w:val="20"/>
                          <w:szCs w:val="21"/>
                        </w:rPr>
                      </m:ctrlPr>
                    </m:e>
                  </m:eqArr>
                  <m:ctrlPr>
                    <w:rPr>
                      <w:rFonts w:hint="eastAsia" w:ascii="Cambria Math" w:hAnsi="Cambria Math" w:eastAsia="宋体" w:cs="宋体"/>
                      <w:bCs/>
                      <w:sz w:val="20"/>
                      <w:szCs w:val="21"/>
                    </w:rPr>
                  </m:ctrlPr>
                </m:e>
              </m:d>
            </m:oMath>
          </w:p>
        </w:tc>
      </w:tr>
      <w:tr w14:paraId="691D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725E7F1F">
            <w:pPr>
              <w:spacing w:line="300" w:lineRule="auto"/>
              <w:jc w:val="center"/>
              <w:rPr>
                <w:rFonts w:ascii="宋体" w:hAnsi="宋体" w:eastAsia="宋体"/>
                <w:b/>
                <w:sz w:val="28"/>
                <w:szCs w:val="28"/>
              </w:rPr>
            </w:pPr>
            <w:r>
              <w:rPr>
                <w:rFonts w:hint="eastAsia" w:ascii="宋体" w:hAnsi="宋体" w:eastAsia="宋体" w:cs="宋体"/>
                <w:bCs/>
                <w:sz w:val="24"/>
                <w:szCs w:val="20"/>
              </w:rPr>
              <w:t>1</w:t>
            </w:r>
            <w:r>
              <w:rPr>
                <w:rFonts w:ascii="宋体" w:hAnsi="宋体" w:eastAsia="宋体" w:cs="宋体"/>
                <w:bCs/>
                <w:sz w:val="24"/>
                <w:szCs w:val="20"/>
              </w:rPr>
              <w:t>3.</w:t>
            </w:r>
          </w:p>
        </w:tc>
        <w:tc>
          <w:tcPr>
            <w:tcW w:w="558" w:type="dxa"/>
            <w:tcBorders>
              <w:top w:val="nil"/>
              <w:left w:val="single" w:color="auto" w:sz="8" w:space="0"/>
              <w:bottom w:val="nil"/>
              <w:right w:val="single" w:color="auto" w:sz="8" w:space="0"/>
            </w:tcBorders>
          </w:tcPr>
          <w:p w14:paraId="2E3FABFE">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5BB6001F">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702F7EB9">
            <w:pPr>
              <w:spacing w:line="300" w:lineRule="auto"/>
              <w:rPr>
                <w:rFonts w:ascii="宋体" w:hAnsi="宋体" w:eastAsia="宋体" w:cs="宋体"/>
                <w:bCs/>
                <w:sz w:val="20"/>
                <w:szCs w:val="21"/>
              </w:rPr>
            </w:pPr>
            <w:r>
              <w:rPr>
                <w:rFonts w:hint="eastAsia" w:ascii="宋体" w:hAnsi="宋体" w:eastAsia="宋体" w:cs="宋体"/>
                <w:bCs/>
                <w:sz w:val="20"/>
                <w:szCs w:val="21"/>
              </w:rPr>
              <w:t xml:space="preserve">Update the network parameter </w:t>
            </w:r>
            <m:oMath>
              <m:r>
                <m:rPr>
                  <m:sty m:val="p"/>
                </m:rPr>
                <w:rPr>
                  <w:rFonts w:hint="eastAsia" w:ascii="Cambria Math" w:hAnsi="Cambria Math" w:eastAsia="宋体" w:cs="宋体"/>
                  <w:sz w:val="20"/>
                  <w:szCs w:val="21"/>
                </w:rPr>
                <m:t>θ</m:t>
              </m:r>
            </m:oMath>
            <w:r>
              <w:rPr>
                <w:rFonts w:hint="eastAsia" w:ascii="宋体" w:hAnsi="宋体" w:eastAsia="宋体" w:cs="宋体"/>
                <w:bCs/>
                <w:sz w:val="20"/>
                <w:szCs w:val="21"/>
                <w:lang w:eastAsia="zh-CN"/>
              </w:rPr>
              <w:t xml:space="preserve"> </w:t>
            </w:r>
            <w:r>
              <w:rPr>
                <w:rFonts w:hint="eastAsia" w:ascii="宋体" w:hAnsi="宋体" w:eastAsia="宋体" w:cs="宋体"/>
                <w:bCs/>
                <w:sz w:val="20"/>
                <w:szCs w:val="21"/>
              </w:rPr>
              <w:t xml:space="preserve">with a gradient descent method of error </w:t>
            </w:r>
            <m:oMath>
              <m:r>
                <m:rPr>
                  <m:sty m:val="p"/>
                </m:rPr>
                <w:rPr>
                  <w:rFonts w:hint="eastAsia" w:ascii="Cambria Math" w:hAnsi="Cambria Math" w:eastAsia="宋体" w:cs="宋体"/>
                  <w:sz w:val="20"/>
                  <w:szCs w:val="21"/>
                </w:rPr>
                <m:t>(</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y</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j</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−Q(</m:t>
              </m:r>
              <m:sSub>
                <m:sSubPr>
                  <m:ctrlPr>
                    <w:rPr>
                      <w:rFonts w:hint="eastAsia" w:ascii="Cambria Math" w:hAnsi="Cambria Math" w:eastAsia="宋体" w:cs="宋体"/>
                      <w:bCs/>
                      <w:sz w:val="20"/>
                      <w:szCs w:val="21"/>
                    </w:rPr>
                  </m:ctrlPr>
                </m:sSubPr>
                <m:e>
                  <m:r>
                    <m:rPr>
                      <m:sty m:val="p"/>
                    </m:rPr>
                    <w:rPr>
                      <w:rFonts w:hint="eastAsia" w:ascii="Cambria Math" w:hAnsi="Cambria Math" w:eastAsia="宋体" w:cs="宋体"/>
                      <w:sz w:val="20"/>
                      <w:szCs w:val="21"/>
                    </w:rPr>
                    <m:t>ϕ</m:t>
                  </m:r>
                  <m:ctrlPr>
                    <w:rPr>
                      <w:rFonts w:hint="eastAsia" w:ascii="Cambria Math" w:hAnsi="Cambria Math" w:eastAsia="宋体" w:cs="宋体"/>
                      <w:bCs/>
                      <w:sz w:val="20"/>
                      <w:szCs w:val="21"/>
                    </w:rPr>
                  </m:ctrlPr>
                </m:e>
                <m:sub>
                  <m:r>
                    <m:rPr>
                      <m:sty m:val="p"/>
                    </m:rPr>
                    <w:rPr>
                      <w:rFonts w:hint="eastAsia" w:ascii="Cambria Math" w:hAnsi="Cambria Math" w:eastAsia="宋体" w:cs="宋体"/>
                      <w:sz w:val="20"/>
                      <w:szCs w:val="21"/>
                    </w:rPr>
                    <m:t>j</m:t>
                  </m:r>
                  <m:ctrlPr>
                    <w:rPr>
                      <w:rFonts w:hint="eastAsia" w:ascii="Cambria Math" w:hAnsi="Cambria Math" w:eastAsia="宋体" w:cs="宋体"/>
                      <w:bCs/>
                      <w:sz w:val="20"/>
                      <w:szCs w:val="21"/>
                    </w:rPr>
                  </m:ctrlPr>
                </m:sub>
              </m:sSub>
              <m:r>
                <m:rPr>
                  <m:sty m:val="p"/>
                </m:rPr>
                <w:rPr>
                  <w:rFonts w:hint="eastAsia" w:ascii="Cambria Math" w:hAnsi="Cambria Math" w:eastAsia="宋体" w:cs="宋体"/>
                  <w:sz w:val="20"/>
                  <w:szCs w:val="21"/>
                </w:rPr>
                <m:t>,a;θ)</m:t>
              </m:r>
              <m:sSup>
                <m:sSupPr>
                  <m:ctrlPr>
                    <w:rPr>
                      <w:rFonts w:hint="eastAsia" w:ascii="Cambria Math" w:hAnsi="Cambria Math" w:eastAsia="宋体" w:cs="宋体"/>
                      <w:bCs/>
                      <w:sz w:val="20"/>
                      <w:szCs w:val="21"/>
                    </w:rPr>
                  </m:ctrlPr>
                </m:sSupPr>
                <m:e>
                  <m:r>
                    <m:rPr>
                      <m:sty m:val="p"/>
                    </m:rPr>
                    <w:rPr>
                      <w:rFonts w:hint="eastAsia" w:ascii="Cambria Math" w:hAnsi="Cambria Math" w:eastAsia="宋体" w:cs="宋体"/>
                      <w:sz w:val="20"/>
                      <w:szCs w:val="21"/>
                    </w:rPr>
                    <m:t>)</m:t>
                  </m:r>
                  <m:ctrlPr>
                    <w:rPr>
                      <w:rFonts w:hint="eastAsia" w:ascii="Cambria Math" w:hAnsi="Cambria Math" w:eastAsia="宋体" w:cs="宋体"/>
                      <w:bCs/>
                      <w:sz w:val="20"/>
                      <w:szCs w:val="21"/>
                    </w:rPr>
                  </m:ctrlPr>
                </m:e>
                <m:sup>
                  <m:r>
                    <m:rPr>
                      <m:sty m:val="p"/>
                    </m:rPr>
                    <w:rPr>
                      <w:rFonts w:hint="eastAsia" w:ascii="Cambria Math" w:hAnsi="Cambria Math" w:eastAsia="宋体" w:cs="宋体"/>
                      <w:sz w:val="20"/>
                      <w:szCs w:val="21"/>
                    </w:rPr>
                    <m:t>2</m:t>
                  </m:r>
                  <m:ctrlPr>
                    <w:rPr>
                      <w:rFonts w:hint="eastAsia" w:ascii="Cambria Math" w:hAnsi="Cambria Math" w:eastAsia="宋体" w:cs="宋体"/>
                      <w:bCs/>
                      <w:sz w:val="20"/>
                      <w:szCs w:val="21"/>
                    </w:rPr>
                  </m:ctrlPr>
                </m:sup>
              </m:sSup>
            </m:oMath>
          </w:p>
        </w:tc>
      </w:tr>
      <w:tr w14:paraId="1776A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2AFB78E9">
            <w:pPr>
              <w:spacing w:line="300" w:lineRule="auto"/>
              <w:jc w:val="center"/>
              <w:rPr>
                <w:rFonts w:ascii="宋体" w:hAnsi="宋体" w:eastAsia="宋体"/>
                <w:b/>
                <w:sz w:val="28"/>
                <w:szCs w:val="28"/>
              </w:rPr>
            </w:pPr>
            <w:r>
              <w:rPr>
                <w:rFonts w:hint="eastAsia" w:ascii="宋体" w:hAnsi="宋体" w:eastAsia="宋体" w:cs="宋体"/>
                <w:bCs/>
                <w:sz w:val="24"/>
                <w:szCs w:val="20"/>
              </w:rPr>
              <w:t>1</w:t>
            </w:r>
            <w:r>
              <w:rPr>
                <w:rFonts w:ascii="宋体" w:hAnsi="宋体" w:eastAsia="宋体" w:cs="宋体"/>
                <w:bCs/>
                <w:sz w:val="24"/>
                <w:szCs w:val="20"/>
              </w:rPr>
              <w:t>4.</w:t>
            </w:r>
          </w:p>
        </w:tc>
        <w:tc>
          <w:tcPr>
            <w:tcW w:w="558" w:type="dxa"/>
            <w:tcBorders>
              <w:top w:val="nil"/>
              <w:left w:val="single" w:color="auto" w:sz="8" w:space="0"/>
              <w:bottom w:val="nil"/>
              <w:right w:val="single" w:color="auto" w:sz="8" w:space="0"/>
            </w:tcBorders>
          </w:tcPr>
          <w:p w14:paraId="0C5A55F8">
            <w:pPr>
              <w:spacing w:line="300" w:lineRule="auto"/>
              <w:rPr>
                <w:rFonts w:ascii="宋体" w:hAnsi="宋体" w:eastAsia="宋体" w:cs="宋体"/>
                <w:bCs/>
                <w:sz w:val="20"/>
                <w:szCs w:val="21"/>
              </w:rPr>
            </w:pPr>
          </w:p>
        </w:tc>
        <w:tc>
          <w:tcPr>
            <w:tcW w:w="426" w:type="dxa"/>
            <w:tcBorders>
              <w:top w:val="nil"/>
              <w:left w:val="single" w:color="auto" w:sz="8" w:space="0"/>
              <w:bottom w:val="nil"/>
              <w:right w:val="single" w:color="auto" w:sz="8" w:space="0"/>
            </w:tcBorders>
          </w:tcPr>
          <w:p w14:paraId="00A0BDF9">
            <w:pPr>
              <w:spacing w:line="300" w:lineRule="auto"/>
              <w:rPr>
                <w:rFonts w:ascii="宋体" w:hAnsi="宋体" w:eastAsia="宋体" w:cs="宋体"/>
                <w:bCs/>
                <w:sz w:val="20"/>
                <w:szCs w:val="21"/>
              </w:rPr>
            </w:pPr>
          </w:p>
        </w:tc>
        <w:tc>
          <w:tcPr>
            <w:tcW w:w="7371" w:type="dxa"/>
            <w:tcBorders>
              <w:top w:val="nil"/>
              <w:left w:val="single" w:color="auto" w:sz="8" w:space="0"/>
              <w:bottom w:val="nil"/>
              <w:right w:val="nil"/>
            </w:tcBorders>
          </w:tcPr>
          <w:p w14:paraId="31A4B9BF">
            <w:pPr>
              <w:spacing w:line="300" w:lineRule="auto"/>
              <w:rPr>
                <w:rFonts w:ascii="宋体" w:hAnsi="宋体" w:eastAsia="宋体" w:cs="宋体"/>
                <w:bCs/>
                <w:sz w:val="20"/>
                <w:szCs w:val="21"/>
              </w:rPr>
            </w:pPr>
            <w:r>
              <w:rPr>
                <w:rFonts w:hint="eastAsia" w:ascii="宋体" w:hAnsi="宋体" w:eastAsia="宋体" w:cs="宋体"/>
                <w:bCs/>
                <w:sz w:val="20"/>
                <w:szCs w:val="21"/>
              </w:rPr>
              <w:t xml:space="preserve">Sync the network </w:t>
            </w:r>
            <m:oMath>
              <m:acc>
                <m:accPr>
                  <m:ctrlPr>
                    <w:rPr>
                      <w:rFonts w:hint="eastAsia" w:ascii="Cambria Math" w:hAnsi="Cambria Math" w:eastAsia="宋体" w:cs="宋体"/>
                      <w:bCs/>
                      <w:sz w:val="20"/>
                      <w:szCs w:val="21"/>
                    </w:rPr>
                  </m:ctrlPr>
                </m:accPr>
                <m:e>
                  <m:r>
                    <m:rPr>
                      <m:sty m:val="p"/>
                    </m:rPr>
                    <w:rPr>
                      <w:rFonts w:hint="eastAsia" w:ascii="Cambria Math" w:hAnsi="Cambria Math" w:eastAsia="宋体" w:cs="宋体"/>
                      <w:sz w:val="20"/>
                      <w:szCs w:val="21"/>
                    </w:rPr>
                    <m:t>Q</m:t>
                  </m:r>
                  <m:ctrlPr>
                    <w:rPr>
                      <w:rFonts w:hint="eastAsia" w:ascii="Cambria Math" w:hAnsi="Cambria Math" w:eastAsia="宋体" w:cs="宋体"/>
                      <w:bCs/>
                      <w:sz w:val="20"/>
                      <w:szCs w:val="21"/>
                    </w:rPr>
                  </m:ctrlPr>
                </m:e>
              </m:acc>
              <m:r>
                <m:rPr>
                  <m:sty m:val="p"/>
                </m:rPr>
                <w:rPr>
                  <w:rFonts w:hint="eastAsia" w:ascii="Cambria Math" w:hAnsi="Cambria Math" w:eastAsia="宋体" w:cs="宋体"/>
                  <w:sz w:val="20"/>
                  <w:szCs w:val="21"/>
                </w:rPr>
                <m:t>=Q</m:t>
              </m:r>
            </m:oMath>
            <w:r>
              <w:rPr>
                <w:rFonts w:hint="eastAsia" w:ascii="宋体" w:hAnsi="宋体" w:eastAsia="宋体" w:cs="宋体"/>
                <w:bCs/>
                <w:sz w:val="20"/>
                <w:szCs w:val="21"/>
              </w:rPr>
              <w:t xml:space="preserve"> every C step</w:t>
            </w:r>
          </w:p>
        </w:tc>
      </w:tr>
      <w:tr w14:paraId="11D3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nil"/>
              <w:right w:val="single" w:color="auto" w:sz="8" w:space="0"/>
            </w:tcBorders>
            <w:vAlign w:val="center"/>
          </w:tcPr>
          <w:p w14:paraId="3E268E55">
            <w:pPr>
              <w:spacing w:line="300" w:lineRule="auto"/>
              <w:jc w:val="center"/>
              <w:rPr>
                <w:rFonts w:ascii="宋体" w:hAnsi="宋体" w:eastAsia="宋体" w:cs="宋体"/>
                <w:bCs/>
                <w:sz w:val="24"/>
                <w:szCs w:val="20"/>
              </w:rPr>
            </w:pPr>
            <w:r>
              <w:rPr>
                <w:rFonts w:hint="eastAsia" w:ascii="宋体" w:hAnsi="宋体" w:eastAsia="宋体" w:cs="宋体"/>
                <w:bCs/>
                <w:sz w:val="24"/>
                <w:szCs w:val="20"/>
              </w:rPr>
              <w:t>1</w:t>
            </w:r>
            <w:r>
              <w:rPr>
                <w:rFonts w:ascii="宋体" w:hAnsi="宋体" w:eastAsia="宋体" w:cs="宋体"/>
                <w:bCs/>
                <w:sz w:val="24"/>
                <w:szCs w:val="20"/>
              </w:rPr>
              <w:t>5.</w:t>
            </w:r>
          </w:p>
        </w:tc>
        <w:tc>
          <w:tcPr>
            <w:tcW w:w="558" w:type="dxa"/>
            <w:tcBorders>
              <w:top w:val="nil"/>
              <w:left w:val="single" w:color="auto" w:sz="8" w:space="0"/>
              <w:bottom w:val="nil"/>
              <w:right w:val="single" w:color="auto" w:sz="8" w:space="0"/>
            </w:tcBorders>
          </w:tcPr>
          <w:p w14:paraId="682F2316">
            <w:pPr>
              <w:spacing w:line="300" w:lineRule="auto"/>
              <w:rPr>
                <w:rFonts w:ascii="宋体" w:hAnsi="宋体" w:eastAsia="宋体"/>
                <w:b/>
                <w:sz w:val="20"/>
                <w:szCs w:val="21"/>
              </w:rPr>
            </w:pPr>
          </w:p>
        </w:tc>
        <w:tc>
          <w:tcPr>
            <w:tcW w:w="7797" w:type="dxa"/>
            <w:gridSpan w:val="2"/>
            <w:tcBorders>
              <w:top w:val="nil"/>
              <w:left w:val="single" w:color="auto" w:sz="8" w:space="0"/>
              <w:bottom w:val="nil"/>
              <w:right w:val="nil"/>
            </w:tcBorders>
          </w:tcPr>
          <w:p w14:paraId="7362012B">
            <w:pPr>
              <w:spacing w:line="300" w:lineRule="auto"/>
              <w:rPr>
                <w:rFonts w:ascii="宋体" w:hAnsi="宋体" w:eastAsia="宋体"/>
                <w:b/>
                <w:sz w:val="20"/>
                <w:szCs w:val="21"/>
              </w:rPr>
            </w:pPr>
            <w:r>
              <w:rPr>
                <w:rFonts w:ascii="Times New Roman" w:hAnsi="Times New Roman" w:eastAsia="宋体"/>
                <w:b/>
                <w:bCs/>
                <w:sz w:val="20"/>
                <w:szCs w:val="21"/>
              </w:rPr>
              <w:t>End For</w:t>
            </w:r>
          </w:p>
        </w:tc>
      </w:tr>
      <w:tr w14:paraId="2D31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6" w:type="dxa"/>
            <w:tcBorders>
              <w:top w:val="nil"/>
              <w:left w:val="nil"/>
              <w:bottom w:val="single" w:color="auto" w:sz="8" w:space="0"/>
              <w:right w:val="single" w:color="auto" w:sz="8" w:space="0"/>
            </w:tcBorders>
            <w:vAlign w:val="center"/>
          </w:tcPr>
          <w:p w14:paraId="0505CE2A">
            <w:pPr>
              <w:spacing w:line="300" w:lineRule="auto"/>
              <w:jc w:val="center"/>
              <w:rPr>
                <w:rFonts w:ascii="宋体" w:hAnsi="宋体" w:eastAsia="宋体" w:cs="宋体"/>
                <w:bCs/>
                <w:sz w:val="24"/>
                <w:szCs w:val="20"/>
              </w:rPr>
            </w:pPr>
            <w:r>
              <w:rPr>
                <w:rFonts w:hint="eastAsia" w:ascii="宋体" w:hAnsi="宋体" w:eastAsia="宋体" w:cs="宋体"/>
                <w:bCs/>
                <w:sz w:val="24"/>
                <w:szCs w:val="20"/>
              </w:rPr>
              <w:t>1</w:t>
            </w:r>
            <w:r>
              <w:rPr>
                <w:rFonts w:ascii="宋体" w:hAnsi="宋体" w:eastAsia="宋体" w:cs="宋体"/>
                <w:bCs/>
                <w:sz w:val="24"/>
                <w:szCs w:val="20"/>
              </w:rPr>
              <w:t>6.</w:t>
            </w:r>
          </w:p>
        </w:tc>
        <w:tc>
          <w:tcPr>
            <w:tcW w:w="8355" w:type="dxa"/>
            <w:gridSpan w:val="3"/>
            <w:tcBorders>
              <w:top w:val="nil"/>
              <w:left w:val="single" w:color="auto" w:sz="8" w:space="0"/>
              <w:bottom w:val="single" w:color="auto" w:sz="8" w:space="0"/>
              <w:right w:val="nil"/>
            </w:tcBorders>
          </w:tcPr>
          <w:p w14:paraId="4AC2C5F9">
            <w:pPr>
              <w:spacing w:line="300" w:lineRule="auto"/>
              <w:rPr>
                <w:rFonts w:ascii="宋体" w:hAnsi="宋体" w:eastAsia="宋体"/>
                <w:b/>
                <w:sz w:val="20"/>
                <w:szCs w:val="21"/>
              </w:rPr>
            </w:pPr>
            <w:r>
              <w:rPr>
                <w:rFonts w:ascii="Times New Roman" w:hAnsi="Times New Roman" w:eastAsia="宋体"/>
                <w:b/>
                <w:bCs/>
                <w:sz w:val="20"/>
                <w:szCs w:val="21"/>
              </w:rPr>
              <w:t>End For</w:t>
            </w:r>
          </w:p>
        </w:tc>
      </w:tr>
    </w:tbl>
    <w:p w14:paraId="67F0E405">
      <w:pPr>
        <w:pStyle w:val="26"/>
        <w:spacing w:after="0"/>
        <w:jc w:val="center"/>
        <w:rPr>
          <w:rFonts w:ascii="Arial" w:hAnsi="Arial" w:cs="Arial"/>
        </w:rPr>
      </w:pPr>
    </w:p>
    <w:p w14:paraId="75B8CCBF">
      <w:pPr>
        <w:pStyle w:val="26"/>
        <w:keepNext w:val="0"/>
        <w:keepLines w:val="0"/>
        <w:pageBreakBefore w:val="0"/>
        <w:widowControl/>
        <w:kinsoku/>
        <w:wordWrap/>
        <w:overflowPunct/>
        <w:topLinePunct w:val="0"/>
        <w:autoSpaceDE/>
        <w:autoSpaceDN/>
        <w:bidi w:val="0"/>
        <w:adjustRightInd/>
        <w:snapToGrid/>
        <w:spacing w:after="0"/>
        <w:ind w:firstLine="400" w:firstLineChars="200"/>
        <w:jc w:val="both"/>
        <w:textAlignment w:val="auto"/>
        <w:rPr>
          <w:rFonts w:hint="eastAsia" w:ascii="Arial" w:hAnsi="Arial" w:cs="Arial"/>
          <w:color w:val="FF0000"/>
        </w:rPr>
      </w:pPr>
      <w:r>
        <w:rPr>
          <w:rFonts w:hint="eastAsia" w:ascii="Arial" w:hAnsi="Arial" w:cs="Arial"/>
          <w:color w:val="FF0000"/>
        </w:rPr>
        <w:t>To verify the effectiveness of the improved DQN, we compared it with Genetic Algorithm (GA) and Simple Dispatching Rules (SDR). The quantitative results are summarized in the table below:</w:t>
      </w:r>
    </w:p>
    <w:p w14:paraId="3E6F4623">
      <w:pPr>
        <w:pStyle w:val="26"/>
        <w:keepNext w:val="0"/>
        <w:keepLines w:val="0"/>
        <w:pageBreakBefore w:val="0"/>
        <w:widowControl/>
        <w:kinsoku/>
        <w:wordWrap/>
        <w:overflowPunct/>
        <w:topLinePunct w:val="0"/>
        <w:autoSpaceDE/>
        <w:autoSpaceDN/>
        <w:bidi w:val="0"/>
        <w:adjustRightInd/>
        <w:snapToGrid/>
        <w:spacing w:after="0"/>
        <w:ind w:firstLine="400" w:firstLineChars="200"/>
        <w:jc w:val="both"/>
        <w:textAlignment w:val="auto"/>
        <w:rPr>
          <w:rFonts w:hint="eastAsia" w:ascii="Arial" w:hAnsi="Arial" w:cs="Arial"/>
          <w:color w:val="FF0000"/>
        </w:rPr>
      </w:pPr>
    </w:p>
    <w:p w14:paraId="394F9EFE">
      <w:pPr>
        <w:pStyle w:val="26"/>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Arial" w:hAnsi="Arial" w:cs="Arial"/>
          <w:color w:val="FF0000"/>
        </w:rPr>
      </w:pPr>
      <w:r>
        <w:rPr>
          <w:rFonts w:hint="eastAsia" w:ascii="Arial" w:hAnsi="Arial" w:cs="Arial"/>
          <w:color w:val="FF0000"/>
        </w:rPr>
        <w:t>Table 1 Performance Comparison of Different Scheduling Algorithms in an Intelligent Workshop Environment</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754"/>
        <w:gridCol w:w="2754"/>
        <w:gridCol w:w="2754"/>
        <w:gridCol w:w="2754"/>
      </w:tblGrid>
      <w:tr w14:paraId="52DDE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54" w:type="dxa"/>
            <w:tcBorders>
              <w:top w:val="single" w:color="000000" w:sz="12" w:space="0"/>
              <w:left w:val="nil"/>
              <w:bottom w:val="single" w:color="000000" w:sz="4" w:space="0"/>
              <w:right w:val="nil"/>
              <w:tl2br w:val="nil"/>
            </w:tcBorders>
            <w:shd w:val="clear" w:color="auto" w:fill="FFFFFF"/>
            <w:vAlign w:val="center"/>
          </w:tcPr>
          <w:p w14:paraId="05142FC2">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Scheduling Method</w:t>
            </w:r>
          </w:p>
        </w:tc>
        <w:tc>
          <w:tcPr>
            <w:tcW w:w="2754" w:type="dxa"/>
            <w:tcBorders>
              <w:top w:val="single" w:color="000000" w:sz="12" w:space="0"/>
              <w:left w:val="nil"/>
              <w:bottom w:val="single" w:color="000000" w:sz="4" w:space="0"/>
              <w:right w:val="nil"/>
            </w:tcBorders>
            <w:shd w:val="clear" w:color="auto" w:fill="FFFFFF"/>
            <w:vAlign w:val="center"/>
          </w:tcPr>
          <w:p w14:paraId="15BFA620">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Makespan (min)</w:t>
            </w:r>
          </w:p>
        </w:tc>
        <w:tc>
          <w:tcPr>
            <w:tcW w:w="2754" w:type="dxa"/>
            <w:tcBorders>
              <w:top w:val="single" w:color="000000" w:sz="12" w:space="0"/>
              <w:left w:val="nil"/>
              <w:bottom w:val="single" w:color="000000" w:sz="4" w:space="0"/>
              <w:right w:val="nil"/>
            </w:tcBorders>
            <w:shd w:val="clear" w:color="auto" w:fill="FFFFFF"/>
            <w:vAlign w:val="center"/>
          </w:tcPr>
          <w:p w14:paraId="7207A0EE">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Resource Utilization</w:t>
            </w:r>
          </w:p>
        </w:tc>
        <w:tc>
          <w:tcPr>
            <w:tcW w:w="2754" w:type="dxa"/>
            <w:tcBorders>
              <w:top w:val="single" w:color="000000" w:sz="12" w:space="0"/>
              <w:left w:val="nil"/>
              <w:bottom w:val="single" w:color="000000" w:sz="4" w:space="0"/>
              <w:right w:val="nil"/>
            </w:tcBorders>
            <w:shd w:val="clear" w:color="auto" w:fill="FFFFFF"/>
            <w:vAlign w:val="center"/>
          </w:tcPr>
          <w:p w14:paraId="00EAF254">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Avg. Waiting Time (min)</w:t>
            </w:r>
          </w:p>
        </w:tc>
      </w:tr>
      <w:tr w14:paraId="7DD4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54" w:type="dxa"/>
            <w:tcBorders>
              <w:top w:val="single" w:color="000000" w:sz="4" w:space="0"/>
              <w:left w:val="nil"/>
              <w:bottom w:val="nil"/>
              <w:right w:val="nil"/>
            </w:tcBorders>
            <w:shd w:val="clear" w:color="auto" w:fill="FFFFFF"/>
            <w:vAlign w:val="center"/>
          </w:tcPr>
          <w:p w14:paraId="5B7D9DEA">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Traditional Rules (FIFO)</w:t>
            </w:r>
          </w:p>
        </w:tc>
        <w:tc>
          <w:tcPr>
            <w:tcW w:w="2754" w:type="dxa"/>
            <w:tcBorders>
              <w:top w:val="single" w:color="000000" w:sz="4" w:space="0"/>
              <w:left w:val="nil"/>
              <w:bottom w:val="nil"/>
              <w:right w:val="nil"/>
            </w:tcBorders>
            <w:shd w:val="clear" w:color="auto" w:fill="FFFFFF"/>
            <w:vAlign w:val="center"/>
          </w:tcPr>
          <w:p w14:paraId="4EA17B8D">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485</w:t>
            </w:r>
          </w:p>
        </w:tc>
        <w:tc>
          <w:tcPr>
            <w:tcW w:w="2754" w:type="dxa"/>
            <w:tcBorders>
              <w:top w:val="single" w:color="000000" w:sz="4" w:space="0"/>
              <w:left w:val="nil"/>
              <w:bottom w:val="nil"/>
              <w:right w:val="nil"/>
            </w:tcBorders>
            <w:shd w:val="clear" w:color="auto" w:fill="FFFFFF"/>
            <w:vAlign w:val="center"/>
          </w:tcPr>
          <w:p w14:paraId="059C7493">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74.2%</w:t>
            </w:r>
          </w:p>
        </w:tc>
        <w:tc>
          <w:tcPr>
            <w:tcW w:w="2754" w:type="dxa"/>
            <w:tcBorders>
              <w:top w:val="single" w:color="000000" w:sz="4" w:space="0"/>
              <w:left w:val="nil"/>
              <w:bottom w:val="nil"/>
              <w:right w:val="nil"/>
            </w:tcBorders>
            <w:shd w:val="clear" w:color="auto" w:fill="FFFFFF"/>
            <w:vAlign w:val="center"/>
          </w:tcPr>
          <w:p w14:paraId="59F6EC0F">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42.5</w:t>
            </w:r>
          </w:p>
        </w:tc>
      </w:tr>
      <w:tr w14:paraId="59D2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54" w:type="dxa"/>
            <w:tcBorders>
              <w:top w:val="nil"/>
              <w:left w:val="nil"/>
              <w:bottom w:val="nil"/>
              <w:right w:val="nil"/>
            </w:tcBorders>
            <w:shd w:val="clear" w:color="auto" w:fill="FFFFFF"/>
            <w:vAlign w:val="center"/>
          </w:tcPr>
          <w:p w14:paraId="757B3659">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Genetic Algorithm (GA)</w:t>
            </w:r>
          </w:p>
        </w:tc>
        <w:tc>
          <w:tcPr>
            <w:tcW w:w="2754" w:type="dxa"/>
            <w:tcBorders>
              <w:top w:val="nil"/>
              <w:left w:val="nil"/>
              <w:bottom w:val="nil"/>
              <w:right w:val="nil"/>
            </w:tcBorders>
            <w:shd w:val="clear" w:color="auto" w:fill="FFFFFF"/>
            <w:vAlign w:val="center"/>
          </w:tcPr>
          <w:p w14:paraId="2706C316">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442</w:t>
            </w:r>
          </w:p>
        </w:tc>
        <w:tc>
          <w:tcPr>
            <w:tcW w:w="2754" w:type="dxa"/>
            <w:tcBorders>
              <w:top w:val="nil"/>
              <w:left w:val="nil"/>
              <w:bottom w:val="nil"/>
              <w:right w:val="nil"/>
            </w:tcBorders>
            <w:shd w:val="clear" w:color="auto" w:fill="FFFFFF"/>
            <w:vAlign w:val="center"/>
          </w:tcPr>
          <w:p w14:paraId="1172C68A">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81.5%</w:t>
            </w:r>
          </w:p>
        </w:tc>
        <w:tc>
          <w:tcPr>
            <w:tcW w:w="2754" w:type="dxa"/>
            <w:tcBorders>
              <w:top w:val="nil"/>
              <w:left w:val="nil"/>
              <w:bottom w:val="nil"/>
              <w:right w:val="nil"/>
            </w:tcBorders>
            <w:shd w:val="clear" w:color="auto" w:fill="FFFFFF"/>
            <w:vAlign w:val="center"/>
          </w:tcPr>
          <w:p w14:paraId="55487AD3">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36.8</w:t>
            </w:r>
          </w:p>
        </w:tc>
      </w:tr>
      <w:tr w14:paraId="0A497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754" w:type="dxa"/>
            <w:tcBorders>
              <w:top w:val="nil"/>
              <w:left w:val="nil"/>
              <w:bottom w:val="single" w:color="000000" w:sz="12" w:space="0"/>
              <w:right w:val="nil"/>
            </w:tcBorders>
            <w:shd w:val="clear" w:color="auto" w:fill="FFFFFF"/>
            <w:vAlign w:val="center"/>
          </w:tcPr>
          <w:p w14:paraId="38C5BA1F">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Proposed DT-DRL (DQN)</w:t>
            </w:r>
          </w:p>
        </w:tc>
        <w:tc>
          <w:tcPr>
            <w:tcW w:w="2754" w:type="dxa"/>
            <w:tcBorders>
              <w:top w:val="nil"/>
              <w:left w:val="nil"/>
              <w:bottom w:val="single" w:color="000000" w:sz="12" w:space="0"/>
              <w:right w:val="nil"/>
            </w:tcBorders>
            <w:shd w:val="clear" w:color="auto" w:fill="FFFFFF"/>
            <w:vAlign w:val="center"/>
          </w:tcPr>
          <w:p w14:paraId="1ACDCDFC">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414</w:t>
            </w:r>
          </w:p>
        </w:tc>
        <w:tc>
          <w:tcPr>
            <w:tcW w:w="2754" w:type="dxa"/>
            <w:tcBorders>
              <w:top w:val="nil"/>
              <w:left w:val="nil"/>
              <w:bottom w:val="single" w:color="000000" w:sz="12" w:space="0"/>
              <w:right w:val="nil"/>
            </w:tcBorders>
            <w:shd w:val="clear" w:color="auto" w:fill="FFFFFF"/>
            <w:vAlign w:val="center"/>
          </w:tcPr>
          <w:p w14:paraId="4BA8F681">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86.5%</w:t>
            </w:r>
          </w:p>
        </w:tc>
        <w:tc>
          <w:tcPr>
            <w:tcW w:w="2754" w:type="dxa"/>
            <w:tcBorders>
              <w:top w:val="nil"/>
              <w:left w:val="nil"/>
              <w:bottom w:val="single" w:color="000000" w:sz="12" w:space="0"/>
              <w:right w:val="nil"/>
            </w:tcBorders>
            <w:shd w:val="clear" w:color="auto" w:fill="FFFFFF"/>
            <w:vAlign w:val="center"/>
          </w:tcPr>
          <w:p w14:paraId="35818DF2">
            <w:pPr>
              <w:pStyle w:val="26"/>
              <w:keepNext w:val="0"/>
              <w:keepLines w:val="0"/>
              <w:pageBreakBefore w:val="0"/>
              <w:widowControl/>
              <w:kinsoku/>
              <w:wordWrap/>
              <w:overflowPunct/>
              <w:topLinePunct w:val="0"/>
              <w:autoSpaceDE/>
              <w:autoSpaceDN/>
              <w:bidi w:val="0"/>
              <w:adjustRightInd/>
              <w:snapToGrid/>
              <w:spacing w:after="0"/>
              <w:jc w:val="center"/>
              <w:textAlignment w:val="auto"/>
              <w:rPr>
                <w:b w:val="0"/>
                <w:color w:val="FF0000"/>
              </w:rPr>
            </w:pPr>
            <w:r>
              <w:rPr>
                <w:rFonts w:hint="eastAsia" w:ascii="Arial" w:hAnsi="Arial" w:cs="Arial"/>
                <w:b w:val="0"/>
                <w:color w:val="FF0000"/>
              </w:rPr>
              <w:t>29.4</w:t>
            </w:r>
          </w:p>
        </w:tc>
      </w:tr>
    </w:tbl>
    <w:p w14:paraId="07F9BCCF">
      <w:pPr>
        <w:pStyle w:val="26"/>
        <w:keepNext w:val="0"/>
        <w:keepLines w:val="0"/>
        <w:pageBreakBefore w:val="0"/>
        <w:widowControl/>
        <w:kinsoku/>
        <w:wordWrap/>
        <w:overflowPunct/>
        <w:topLinePunct w:val="0"/>
        <w:autoSpaceDE/>
        <w:autoSpaceDN/>
        <w:bidi w:val="0"/>
        <w:adjustRightInd/>
        <w:snapToGrid/>
        <w:spacing w:after="0"/>
        <w:jc w:val="both"/>
        <w:textAlignment w:val="auto"/>
        <w:rPr>
          <w:rFonts w:hint="eastAsia" w:ascii="Arial" w:hAnsi="Arial" w:cs="Arial"/>
          <w:color w:val="FF0000"/>
        </w:rPr>
      </w:pPr>
    </w:p>
    <w:p w14:paraId="7D46E8B6">
      <w:pPr>
        <w:pStyle w:val="26"/>
        <w:keepNext w:val="0"/>
        <w:keepLines w:val="0"/>
        <w:pageBreakBefore w:val="0"/>
        <w:widowControl/>
        <w:kinsoku/>
        <w:wordWrap/>
        <w:overflowPunct/>
        <w:topLinePunct w:val="0"/>
        <w:autoSpaceDE/>
        <w:autoSpaceDN/>
        <w:bidi w:val="0"/>
        <w:adjustRightInd/>
        <w:snapToGrid/>
        <w:spacing w:after="0"/>
        <w:ind w:firstLine="400" w:firstLineChars="200"/>
        <w:jc w:val="both"/>
        <w:textAlignment w:val="auto"/>
        <w:rPr>
          <w:rFonts w:hint="eastAsia" w:ascii="Arial" w:hAnsi="Arial" w:cs="Arial"/>
          <w:color w:val="FF0000"/>
        </w:rPr>
      </w:pPr>
      <w:r>
        <w:rPr>
          <w:rFonts w:hint="eastAsia" w:ascii="Arial" w:hAnsi="Arial" w:cs="Arial"/>
          <w:color w:val="FF0000"/>
        </w:rPr>
        <w:t>The proposed method outperforms traditional rules by reducing the makespan by 14.6% and waiting time by 30.8%.</w:t>
      </w:r>
    </w:p>
    <w:p w14:paraId="65692B43">
      <w:pPr>
        <w:pStyle w:val="26"/>
        <w:keepNext w:val="0"/>
        <w:keepLines w:val="0"/>
        <w:pageBreakBefore w:val="0"/>
        <w:widowControl/>
        <w:kinsoku/>
        <w:wordWrap/>
        <w:overflowPunct/>
        <w:topLinePunct w:val="0"/>
        <w:autoSpaceDE/>
        <w:autoSpaceDN/>
        <w:bidi w:val="0"/>
        <w:adjustRightInd/>
        <w:snapToGrid/>
        <w:spacing w:after="0"/>
        <w:ind w:firstLine="400" w:firstLineChars="200"/>
        <w:jc w:val="both"/>
        <w:textAlignment w:val="auto"/>
        <w:rPr>
          <w:rFonts w:hint="eastAsia" w:ascii="Arial" w:hAnsi="Arial" w:cs="Arial"/>
          <w:color w:val="FF0000"/>
        </w:rPr>
      </w:pPr>
      <w:r>
        <w:rPr>
          <w:rFonts w:hint="eastAsia" w:ascii="Arial" w:hAnsi="Arial" w:cs="Arial"/>
          <w:color w:val="FF0000"/>
        </w:rPr>
        <w:t>As shown in Table 1, the proposed DT-DRL approach significantly outperforms traditional heuristic and intelligent optimization methods by leveraging the real-time feedback of Digital Twin data and the self-learning capabilities of the improved DQN.</w:t>
      </w:r>
    </w:p>
    <w:p w14:paraId="1F688B54">
      <w:pPr>
        <w:pStyle w:val="27"/>
        <w:numPr>
          <w:ilvl w:val="0"/>
          <w:numId w:val="3"/>
        </w:numPr>
        <w:spacing w:after="0"/>
        <w:jc w:val="both"/>
        <w:rPr>
          <w:rFonts w:ascii="Arial" w:hAnsi="Arial" w:cs="Arial"/>
        </w:rPr>
      </w:pPr>
      <w:r>
        <w:rPr>
          <w:rFonts w:ascii="Arial" w:hAnsi="Arial" w:cs="Arial"/>
        </w:rPr>
        <w:t>Conclusion</w:t>
      </w:r>
    </w:p>
    <w:p w14:paraId="08B5E47E">
      <w:pPr>
        <w:pStyle w:val="26"/>
        <w:spacing w:after="0"/>
        <w:ind w:firstLine="400" w:firstLineChars="200"/>
        <w:rPr>
          <w:rFonts w:ascii="Arial" w:hAnsi="Arial" w:cs="Arial"/>
        </w:rPr>
      </w:pPr>
      <w:r>
        <w:rPr>
          <w:rFonts w:ascii="Arial" w:hAnsi="Arial" w:cs="Arial"/>
        </w:rPr>
        <w:t>This study focuses on the construction of digital twin workshop model, dynamic equipment scheduling, and multi-objective workshop scheduling method based on deep reinforcement learning. The study uses digital twin technology to model and monitor all production factors in the workshop in detail, covering materials, machine tools, tools, etc., and formulates rules for dynamic changes in the workshop. This study further explores the dynamic scheduling method of digital twin workshop equipment, and realizes intelligent equipment scheduling through real-time digital twin data and deep reinforcement learning, so as to optimize resource use and improve equipment operation efficiency. In addition, this study also focuses on a multi-objective shop floor scheduling method based on deep reinforcement learning, which uses deep reinforcement learning algorithms to provide intelligent and efficient solutions for shop floor scheduling to meet the goals of minimizing manufacturing time, maximizing resource utilization, or minimizing costs.</w:t>
      </w:r>
    </w:p>
    <w:p w14:paraId="450B7A7C">
      <w:pPr>
        <w:pStyle w:val="26"/>
        <w:spacing w:after="0"/>
        <w:ind w:firstLine="400" w:firstLineChars="200"/>
        <w:rPr>
          <w:rFonts w:hint="eastAsia" w:ascii="Arial" w:hAnsi="Arial" w:eastAsia="宋体" w:cs="Arial"/>
          <w:color w:val="FF0000"/>
          <w:lang w:val="en-US" w:eastAsia="zh-CN"/>
        </w:rPr>
      </w:pPr>
      <w:r>
        <w:rPr>
          <w:rFonts w:hint="eastAsia" w:ascii="Arial" w:hAnsi="Arial" w:cs="Arial"/>
          <w:color w:val="FF0000"/>
        </w:rPr>
        <w:t>These innovations not only improve the efficiency and quality of production scheduling but also provide a measurable performance gain, specifically achieving an average production efficiency increase of over 14%. This provides strong support for the development of adaptive and resilient workshop production scheduling</w:t>
      </w:r>
      <w:r>
        <w:rPr>
          <w:rFonts w:hint="eastAsia" w:ascii="Arial" w:hAnsi="Arial" w:eastAsia="宋体" w:cs="Arial"/>
          <w:color w:val="FF0000"/>
          <w:lang w:val="en-US" w:eastAsia="zh-CN"/>
        </w:rPr>
        <w:t>.</w:t>
      </w:r>
    </w:p>
    <w:p w14:paraId="7687F13B">
      <w:pPr>
        <w:pStyle w:val="26"/>
        <w:spacing w:after="0"/>
        <w:ind w:firstLine="400" w:firstLineChars="200"/>
        <w:rPr>
          <w:rFonts w:hint="eastAsia" w:ascii="Arial" w:hAnsi="Arial" w:eastAsia="宋体" w:cs="Arial"/>
          <w:color w:val="FF0000"/>
          <w:lang w:val="en-US" w:eastAsia="zh-CN"/>
        </w:rPr>
      </w:pPr>
      <w:r>
        <w:rPr>
          <w:rFonts w:hint="eastAsia" w:ascii="Arial" w:hAnsi="Arial" w:eastAsia="宋体" w:cs="Arial"/>
          <w:color w:val="FF0000"/>
          <w:lang w:val="en-US" w:eastAsia="zh-CN"/>
        </w:rPr>
        <w:t>Globally, researchers are accelerating the adoption of these technologies; for instance, recent studies in the Indian manufacturing context have highlighted the role of Digital Twins in enhancing supply chain resilience and SMEs' operational efficiency, providing critical insights for emerging economies</w:t>
      </w:r>
      <w:r>
        <w:rPr>
          <w:rFonts w:hint="eastAsia" w:ascii="Arial" w:hAnsi="Arial" w:eastAsia="宋体" w:cs="Arial"/>
          <w:color w:val="FF0000"/>
          <w:vertAlign w:val="superscript"/>
          <w:lang w:val="en-US" w:eastAsia="zh-CN"/>
        </w:rPr>
        <w:t>[22]</w:t>
      </w:r>
      <w:r>
        <w:rPr>
          <w:rFonts w:hint="eastAsia" w:ascii="Arial" w:hAnsi="Arial" w:eastAsia="宋体" w:cs="Arial"/>
          <w:color w:val="FF0000"/>
          <w:lang w:val="en-US" w:eastAsia="zh-CN"/>
        </w:rPr>
        <w:t>.</w:t>
      </w:r>
    </w:p>
    <w:p w14:paraId="301B76D6">
      <w:pPr>
        <w:pStyle w:val="26"/>
        <w:spacing w:after="0"/>
        <w:ind w:firstLine="400" w:firstLineChars="200"/>
        <w:rPr>
          <w:rFonts w:hint="eastAsia" w:ascii="Arial" w:hAnsi="Arial" w:eastAsia="宋体" w:cs="Arial"/>
          <w:color w:val="FF0000"/>
          <w:lang w:val="en-US" w:eastAsia="zh-CN"/>
        </w:rPr>
      </w:pPr>
      <w:r>
        <w:rPr>
          <w:rFonts w:hint="eastAsia" w:ascii="Arial" w:hAnsi="Arial" w:eastAsia="宋体" w:cs="Arial"/>
          <w:color w:val="FF0000"/>
          <w:lang w:val="en-US" w:eastAsia="zh-CN"/>
        </w:rPr>
        <w:t>While the DT-DRL model significantly improves efficiency, practical risks such as data synchronization latency and model over-fitting must be addressed through edge computing and transfer learning. Future research will expand this framework to Multi-Agent Reinforcement Learning (MARL) for collaborative scheduling. Furthermore, incorporating insights from emerging global hubs, such as Indian manufacturing's digital twin applications, will enhance the model's scalability and resilience in modern industrial landscapes.</w:t>
      </w:r>
      <w:bookmarkStart w:id="6" w:name="_GoBack"/>
      <w:bookmarkEnd w:id="6"/>
    </w:p>
    <w:p w14:paraId="6466B02D">
      <w:pPr>
        <w:pStyle w:val="26"/>
        <w:spacing w:after="0"/>
        <w:ind w:firstLine="400" w:firstLineChars="200"/>
        <w:rPr>
          <w:rFonts w:ascii="Arial" w:hAnsi="Arial" w:cs="Arial"/>
        </w:rPr>
      </w:pPr>
      <w:r>
        <w:rPr>
          <w:rFonts w:ascii="Arial" w:hAnsi="Arial" w:cs="Arial"/>
        </w:rPr>
        <w:t>Overall, this study provides a new method based on digital twin technology and deep reinforcement learning for workshop production scheduling, which realizes the optimization and automation of production scheduling by establishing an accurate digital twin model and adopting intelligent scheduling strategies, and provides strong support for the development of workshop production scheduling.</w:t>
      </w:r>
    </w:p>
    <w:p w14:paraId="528192FA">
      <w:pPr>
        <w:pStyle w:val="26"/>
        <w:spacing w:after="0"/>
        <w:ind w:firstLine="400" w:firstLineChars="200"/>
        <w:rPr>
          <w:rFonts w:ascii="Arial" w:hAnsi="Arial" w:cs="Arial"/>
        </w:rPr>
      </w:pPr>
    </w:p>
    <w:p w14:paraId="4FF0587C">
      <w:pPr>
        <w:spacing w:after="200" w:line="276" w:lineRule="auto"/>
        <w:rPr>
          <w:rFonts w:ascii="Calibri" w:hAnsi="Calibri" w:eastAsia="Calibri"/>
          <w:b/>
          <w:kern w:val="2"/>
          <w:sz w:val="22"/>
          <w:szCs w:val="22"/>
          <w14:ligatures w14:val="standardContextual"/>
        </w:rPr>
      </w:pPr>
      <w:r>
        <w:rPr>
          <w:rFonts w:ascii="Calibri" w:hAnsi="Calibri" w:eastAsia="Calibri"/>
          <w:b/>
          <w:kern w:val="2"/>
          <w:sz w:val="22"/>
          <w:szCs w:val="22"/>
          <w14:ligatures w14:val="standardContextual"/>
        </w:rPr>
        <w:t>Disclaimer (Artificial intelligence)</w:t>
      </w:r>
    </w:p>
    <w:p w14:paraId="527F7AD1">
      <w:pPr>
        <w:spacing w:after="200" w:line="276" w:lineRule="auto"/>
        <w:rPr>
          <w:rFonts w:ascii="Calibri" w:hAnsi="Calibri" w:eastAsia="Calibri"/>
          <w:kern w:val="2"/>
          <w:sz w:val="22"/>
          <w:szCs w:val="22"/>
          <w14:ligatures w14:val="standardContextual"/>
        </w:rPr>
      </w:pPr>
      <w:r>
        <w:rPr>
          <w:rFonts w:ascii="Calibri" w:hAnsi="Calibri" w:eastAsia="Calibri"/>
          <w:kern w:val="2"/>
          <w:sz w:val="22"/>
          <w:szCs w:val="22"/>
          <w14:ligatures w14:val="standardContextual"/>
        </w:rPr>
        <w:t xml:space="preserve">Author(s) hereby declare that NO generative AI technologies such as Large Language Models (ChatGPT, COPILOT, etc) and text-to-image generators have been used during writing or editing of manuscripts. </w:t>
      </w:r>
    </w:p>
    <w:p w14:paraId="7D14EACC">
      <w:pPr>
        <w:spacing w:after="200" w:line="276" w:lineRule="auto"/>
        <w:rPr>
          <w:rFonts w:ascii="Calibri" w:hAnsi="Calibri" w:eastAsia="Calibri"/>
          <w:kern w:val="2"/>
          <w:sz w:val="22"/>
          <w:szCs w:val="22"/>
          <w14:ligatures w14:val="standardContextual"/>
        </w:rPr>
      </w:pPr>
    </w:p>
    <w:p w14:paraId="2A035162">
      <w:pPr>
        <w:spacing w:after="200" w:line="276" w:lineRule="auto"/>
        <w:rPr>
          <w:rFonts w:ascii="Calibri" w:hAnsi="Calibri" w:eastAsia="Calibri"/>
          <w:kern w:val="2"/>
          <w:sz w:val="22"/>
          <w:szCs w:val="22"/>
          <w14:ligatures w14:val="standardContextual"/>
        </w:rPr>
      </w:pPr>
      <w:r>
        <w:rPr>
          <w:rFonts w:ascii="Calibri" w:hAnsi="Calibri" w:eastAsia="Calibri"/>
          <w:kern w:val="2"/>
          <w:sz w:val="22"/>
          <w:szCs w:val="22"/>
          <w14:ligatures w14:val="standardContextual"/>
        </w:rPr>
        <w:t>COMPETING INTERESTS DISCLAIMER:</w:t>
      </w:r>
    </w:p>
    <w:p w14:paraId="2E08AFE9">
      <w:pPr>
        <w:spacing w:after="200" w:line="276" w:lineRule="auto"/>
        <w:rPr>
          <w:rFonts w:ascii="Calibri" w:hAnsi="Calibri" w:eastAsia="Calibri"/>
          <w:kern w:val="2"/>
          <w:sz w:val="22"/>
          <w:szCs w:val="22"/>
          <w14:ligatures w14:val="standardContextual"/>
        </w:rPr>
      </w:pPr>
      <w:r>
        <w:rPr>
          <w:rFonts w:ascii="Calibri" w:hAnsi="Calibri" w:eastAsia="Calibri"/>
          <w:kern w:val="2"/>
          <w:sz w:val="22"/>
          <w:szCs w:val="22"/>
          <w14:ligatures w14:val="standardContextual"/>
        </w:rPr>
        <w:t>Authors have declared that they have no known competing financial interests OR non-financial interests OR personal relationships that could have appeared to influence the work reported in this paper.</w:t>
      </w:r>
    </w:p>
    <w:p w14:paraId="7F9781BC">
      <w:pPr>
        <w:pStyle w:val="33"/>
        <w:spacing w:after="0"/>
        <w:jc w:val="both"/>
        <w:rPr>
          <w:rFonts w:ascii="Arial" w:hAnsi="Arial" w:cs="Arial"/>
        </w:rPr>
      </w:pPr>
      <w:r>
        <w:rPr>
          <w:rFonts w:ascii="Arial" w:hAnsi="Arial" w:cs="Arial"/>
        </w:rPr>
        <w:t>References</w:t>
      </w:r>
      <w:r>
        <w:rPr>
          <w:rFonts w:ascii="Arial" w:hAnsi="Arial" w:cs="Arial"/>
        </w:rPr>
        <w:tab/>
      </w:r>
    </w:p>
    <w:p w14:paraId="7258F305">
      <w:pPr>
        <w:pStyle w:val="70"/>
      </w:pPr>
      <w:r>
        <w:fldChar w:fldCharType="begin"/>
      </w:r>
      <w:r>
        <w:instrText xml:space="preserve"> ADDIN EN.REFLIST </w:instrText>
      </w:r>
      <w:r>
        <w:fldChar w:fldCharType="separate"/>
      </w:r>
      <w:r>
        <w:t xml:space="preserve">1. Tao F, Xiao B, Qi Q, Cheng J, Ji P. </w:t>
      </w:r>
      <w:r>
        <w:rPr>
          <w:b/>
        </w:rPr>
        <w:t>Digital twin modeling</w:t>
      </w:r>
      <w:r>
        <w:t xml:space="preserve">. </w:t>
      </w:r>
      <w:r>
        <w:rPr>
          <w:i/>
        </w:rPr>
        <w:t xml:space="preserve">JOURNAL OF MANUFACTURING SYSTEMS </w:t>
      </w:r>
      <w:r>
        <w:t>2022; 64:372-389.</w:t>
      </w:r>
    </w:p>
    <w:p w14:paraId="596FEC0B">
      <w:pPr>
        <w:pStyle w:val="70"/>
      </w:pPr>
      <w:r>
        <w:t xml:space="preserve">2. Zhang R, Wang F, Cai J, Wang Y, Guo H, Zheng J. </w:t>
      </w:r>
      <w:r>
        <w:rPr>
          <w:b/>
        </w:rPr>
        <w:t>Digital twin and its applications: A survey</w:t>
      </w:r>
      <w:r>
        <w:t xml:space="preserve">. </w:t>
      </w:r>
      <w:r>
        <w:rPr>
          <w:i/>
        </w:rPr>
        <w:t xml:space="preserve">INTERNATIONAL JOURNAL OF ADVANCED MANUFACTURING TECHNOLOGY </w:t>
      </w:r>
      <w:r>
        <w:t>2022; 123(11-12):4123-4136.</w:t>
      </w:r>
    </w:p>
    <w:p w14:paraId="35BF4B1F">
      <w:pPr>
        <w:pStyle w:val="70"/>
      </w:pPr>
      <w:r>
        <w:t xml:space="preserve">3. Qi Q, Tao F, Hu T, Anwer N, Liu A, Wei Y, et al. </w:t>
      </w:r>
      <w:r>
        <w:rPr>
          <w:b/>
        </w:rPr>
        <w:t>Enabling technologies and tools for digital twin</w:t>
      </w:r>
      <w:r>
        <w:t xml:space="preserve">. </w:t>
      </w:r>
      <w:r>
        <w:rPr>
          <w:i/>
        </w:rPr>
        <w:t xml:space="preserve">JOURNAL OF MANUFACTURING SYSTEMS </w:t>
      </w:r>
      <w:r>
        <w:t>2021; 58:3-21.</w:t>
      </w:r>
    </w:p>
    <w:p w14:paraId="06B1B809">
      <w:pPr>
        <w:pStyle w:val="70"/>
        <w:rPr>
          <w:color w:val="FF0000"/>
        </w:rPr>
      </w:pPr>
      <w:r>
        <w:rPr>
          <w:color w:val="FF0000"/>
        </w:rPr>
        <w:t xml:space="preserve">4. </w:t>
      </w:r>
      <w:r>
        <w:rPr>
          <w:rFonts w:hint="eastAsia"/>
          <w:color w:val="FF0000"/>
        </w:rPr>
        <w:t>Pan J, Zhong R, Hu B, et al. Smart scheduling of hanging workshop via digital twin and deep reinforcement learning. FLEXIBLE SERVICES AND MANUFACTURING JOURNAL 2025; 37(1)</w:t>
      </w:r>
      <w:r>
        <w:rPr>
          <w:color w:val="FF0000"/>
        </w:rPr>
        <w:t>.</w:t>
      </w:r>
    </w:p>
    <w:p w14:paraId="6AEDE797">
      <w:pPr>
        <w:pStyle w:val="70"/>
      </w:pPr>
      <w:r>
        <w:t xml:space="preserve">5. Stopps JLZ. </w:t>
      </w:r>
      <w:r>
        <w:rPr>
          <w:b/>
        </w:rPr>
        <w:t>A case study in using constraint logic programming in shop-floor scheduling</w:t>
      </w:r>
      <w:r>
        <w:t>. 2001.</w:t>
      </w:r>
    </w:p>
    <w:p w14:paraId="43DA8025">
      <w:pPr>
        <w:pStyle w:val="70"/>
      </w:pPr>
      <w:r>
        <w:t xml:space="preserve">6. Mourtzis D, Vlachou E. </w:t>
      </w:r>
      <w:r>
        <w:rPr>
          <w:b/>
        </w:rPr>
        <w:t>A cloud-based cyber-physical system for adaptive shop-floor scheduling and condition-based maintenance</w:t>
      </w:r>
      <w:r>
        <w:t xml:space="preserve">. </w:t>
      </w:r>
      <w:r>
        <w:rPr>
          <w:i/>
        </w:rPr>
        <w:t xml:space="preserve">JOURNAL OF MANUFACTURING SYSTEMS </w:t>
      </w:r>
      <w:r>
        <w:t>2018; 47:179-198.</w:t>
      </w:r>
    </w:p>
    <w:p w14:paraId="3072E1AF">
      <w:pPr>
        <w:pStyle w:val="70"/>
      </w:pPr>
      <w:r>
        <w:t xml:space="preserve">7. Liu G-P. </w:t>
      </w:r>
      <w:r>
        <w:rPr>
          <w:b/>
        </w:rPr>
        <w:t>Control Strategies for Digital Twin Systems</w:t>
      </w:r>
      <w:r>
        <w:t xml:space="preserve">. </w:t>
      </w:r>
      <w:r>
        <w:rPr>
          <w:i/>
        </w:rPr>
        <w:t xml:space="preserve">IEEE-CAA JOURNAL OF AUTOMATICA SINICA </w:t>
      </w:r>
      <w:r>
        <w:t>2024; 11(1):170-180.</w:t>
      </w:r>
    </w:p>
    <w:p w14:paraId="4248D309">
      <w:pPr>
        <w:pStyle w:val="70"/>
      </w:pPr>
      <w:r>
        <w:t xml:space="preserve">8. Xu L, Yu H, Qin H, Chai Y, Yan N, Li D, et al. </w:t>
      </w:r>
      <w:r>
        <w:rPr>
          <w:b/>
        </w:rPr>
        <w:t>Digital Twin for Aquaponics Factory: Analysis, Opportunities, and Research Challenges</w:t>
      </w:r>
      <w:r>
        <w:t xml:space="preserve">. </w:t>
      </w:r>
      <w:r>
        <w:rPr>
          <w:i/>
        </w:rPr>
        <w:t xml:space="preserve">IEEE TRANSACTIONS ON INDUSTRIAL INFORMATICS </w:t>
      </w:r>
      <w:r>
        <w:t>2024; 20(4):5060-5073.</w:t>
      </w:r>
    </w:p>
    <w:p w14:paraId="7ED4DFA6">
      <w:pPr>
        <w:pStyle w:val="70"/>
      </w:pPr>
      <w:r>
        <w:t xml:space="preserve">9. Ma Y, Cai J, Li S, Liu J, Xing J, Qiao F. </w:t>
      </w:r>
      <w:r>
        <w:rPr>
          <w:b/>
        </w:rPr>
        <w:t>Double deep Q-network-based self-adaptive scheduling approach for smart shop floor</w:t>
      </w:r>
      <w:r>
        <w:t xml:space="preserve">. </w:t>
      </w:r>
      <w:r>
        <w:rPr>
          <w:i/>
        </w:rPr>
        <w:t xml:space="preserve">NEURAL COMPUTING &amp; APPLICATIONS </w:t>
      </w:r>
      <w:r>
        <w:t>2023; 35(30):22281-22296.</w:t>
      </w:r>
    </w:p>
    <w:p w14:paraId="4794EC46">
      <w:pPr>
        <w:pStyle w:val="70"/>
      </w:pPr>
      <w:r>
        <w:t xml:space="preserve">10. Boulos MNK, Zhang P. </w:t>
      </w:r>
      <w:r>
        <w:rPr>
          <w:b/>
        </w:rPr>
        <w:t>Digital Twins: From Personalised Medicine to Precision Public Health</w:t>
      </w:r>
      <w:r>
        <w:t xml:space="preserve">. </w:t>
      </w:r>
      <w:r>
        <w:rPr>
          <w:i/>
        </w:rPr>
        <w:t xml:space="preserve">JOURNAL OF PERSONALIZED MEDICINE </w:t>
      </w:r>
      <w:r>
        <w:t>2021; 11(8).</w:t>
      </w:r>
    </w:p>
    <w:p w14:paraId="373914C5">
      <w:pPr>
        <w:pStyle w:val="70"/>
      </w:pPr>
      <w:r>
        <w:t xml:space="preserve">11. Holopainen M, Saunila M, Rantala T, Ukko J. </w:t>
      </w:r>
      <w:r>
        <w:rPr>
          <w:b/>
        </w:rPr>
        <w:t>Digital twins' implications for innovation</w:t>
      </w:r>
      <w:r>
        <w:t xml:space="preserve">. </w:t>
      </w:r>
      <w:r>
        <w:rPr>
          <w:i/>
        </w:rPr>
        <w:t xml:space="preserve">TECHNOLOGY ANALYSIS &amp; STRATEGIC MANAGEMENT </w:t>
      </w:r>
      <w:r>
        <w:t>2024; 36(8):1779-1791.</w:t>
      </w:r>
    </w:p>
    <w:p w14:paraId="23DE8D27">
      <w:pPr>
        <w:pStyle w:val="70"/>
      </w:pPr>
      <w:r>
        <w:t xml:space="preserve">12. Jeong D-Y, Baek M-S, Lim T-B, Kim Y-W, Kim S-H, Lee Y-T, et al. </w:t>
      </w:r>
      <w:r>
        <w:rPr>
          <w:b/>
        </w:rPr>
        <w:t>Digital Twin: Technology Evolution Stages and Implementation Layers With Technology Elements</w:t>
      </w:r>
      <w:r>
        <w:t xml:space="preserve">. </w:t>
      </w:r>
      <w:r>
        <w:rPr>
          <w:i/>
        </w:rPr>
        <w:t xml:space="preserve">IEEE ACCESS </w:t>
      </w:r>
      <w:r>
        <w:t>2022; 10:52609-52620.</w:t>
      </w:r>
    </w:p>
    <w:p w14:paraId="2BD9E4DD">
      <w:pPr>
        <w:pStyle w:val="70"/>
      </w:pPr>
      <w:r>
        <w:t xml:space="preserve">13. Wu C, Zhou Y, Pessoa MVP, Peng Q, Tan R. </w:t>
      </w:r>
      <w:r>
        <w:rPr>
          <w:b/>
        </w:rPr>
        <w:t>Conceptual digital twin modeling based on an integrated five-dimensional framework and TRIZ function model</w:t>
      </w:r>
      <w:r>
        <w:t xml:space="preserve">. </w:t>
      </w:r>
      <w:r>
        <w:rPr>
          <w:i/>
        </w:rPr>
        <w:t xml:space="preserve">JOURNAL OF MANUFACTURING SYSTEMS </w:t>
      </w:r>
      <w:r>
        <w:t>2021; 58:79-93.</w:t>
      </w:r>
    </w:p>
    <w:p w14:paraId="612DC800">
      <w:pPr>
        <w:pStyle w:val="70"/>
      </w:pPr>
      <w:r>
        <w:t xml:space="preserve">14. Zheng H, Liu T, Liu J, Bao J. </w:t>
      </w:r>
      <w:r>
        <w:rPr>
          <w:b/>
        </w:rPr>
        <w:t>Visual analytics for digital twins: a conceptual framework and case study</w:t>
      </w:r>
      <w:r>
        <w:t xml:space="preserve">. </w:t>
      </w:r>
      <w:r>
        <w:rPr>
          <w:i/>
        </w:rPr>
        <w:t xml:space="preserve">JOURNAL OF INTELLIGENT MANUFACTURING </w:t>
      </w:r>
      <w:r>
        <w:t>2024; 35(4):1671-1686.</w:t>
      </w:r>
    </w:p>
    <w:p w14:paraId="345EA069">
      <w:pPr>
        <w:pStyle w:val="70"/>
      </w:pPr>
      <w:r>
        <w:t xml:space="preserve">15. Sengan S, Kumar K, Subramaniyaswamy V, Ravi L. </w:t>
      </w:r>
      <w:r>
        <w:rPr>
          <w:b/>
        </w:rPr>
        <w:t>Cost-effective and efficient 3D human model creation and re-identification application for human digital twins</w:t>
      </w:r>
      <w:r>
        <w:t xml:space="preserve">. </w:t>
      </w:r>
      <w:r>
        <w:rPr>
          <w:i/>
        </w:rPr>
        <w:t xml:space="preserve">MULTIMEDIA TOOLS AND APPLICATIONS </w:t>
      </w:r>
      <w:r>
        <w:t>2022; 81(19):26839-26856.</w:t>
      </w:r>
    </w:p>
    <w:p w14:paraId="2D3CB204">
      <w:pPr>
        <w:pStyle w:val="70"/>
      </w:pPr>
      <w:r>
        <w:t xml:space="preserve">16. van der Valk H, Hasse H, Moeller F, Otto B. </w:t>
      </w:r>
      <w:r>
        <w:rPr>
          <w:b/>
        </w:rPr>
        <w:t>Archetypes of Digital Twins</w:t>
      </w:r>
      <w:r>
        <w:t xml:space="preserve">. </w:t>
      </w:r>
      <w:r>
        <w:rPr>
          <w:i/>
        </w:rPr>
        <w:t xml:space="preserve">BUSINESS &amp; INFORMATION SYSTEMS ENGINEERING </w:t>
      </w:r>
      <w:r>
        <w:t>2022; 64(3):375-391.</w:t>
      </w:r>
    </w:p>
    <w:p w14:paraId="0C85FD14">
      <w:pPr>
        <w:pStyle w:val="70"/>
      </w:pPr>
      <w:r>
        <w:t xml:space="preserve">17. Talkhestani BA, Jung T, Lindemann B, Sahlab N, Jazdi N, Schloegl W, et al. </w:t>
      </w:r>
      <w:r>
        <w:rPr>
          <w:b/>
        </w:rPr>
        <w:t>An architecture of an Intelligent Digital Twin in a Cyber-Physical Production System</w:t>
      </w:r>
      <w:r>
        <w:t xml:space="preserve">. </w:t>
      </w:r>
      <w:r>
        <w:rPr>
          <w:i/>
        </w:rPr>
        <w:t xml:space="preserve">AT-AUTOMATISIERUNGSTECHNIK </w:t>
      </w:r>
      <w:r>
        <w:t>2019; 67(9):762-782.</w:t>
      </w:r>
    </w:p>
    <w:p w14:paraId="0B4A8F88">
      <w:pPr>
        <w:pStyle w:val="70"/>
      </w:pPr>
      <w:r>
        <w:t xml:space="preserve">18. Barresi G, Pacchierotti C, Laffranchi M, De Michieli L. </w:t>
      </w:r>
      <w:r>
        <w:rPr>
          <w:b/>
        </w:rPr>
        <w:t>Beyond Digital Twins: Phygital Twins for Neuroergonomics in Human-Robot Interaction</w:t>
      </w:r>
      <w:r>
        <w:t xml:space="preserve">. </w:t>
      </w:r>
      <w:r>
        <w:rPr>
          <w:i/>
        </w:rPr>
        <w:t xml:space="preserve">FRONTIERS IN NEUROROBOTICS </w:t>
      </w:r>
      <w:r>
        <w:t>2022; 16.</w:t>
      </w:r>
    </w:p>
    <w:p w14:paraId="46710EC6">
      <w:pPr>
        <w:pStyle w:val="70"/>
      </w:pPr>
      <w:r>
        <w:t xml:space="preserve">19. Lam WS, Lam WH, Lee PF. </w:t>
      </w:r>
      <w:r>
        <w:rPr>
          <w:b/>
        </w:rPr>
        <w:t>A Bibliometric Analysis of Digital Twin in the Supply Chain</w:t>
      </w:r>
      <w:r>
        <w:t xml:space="preserve">. </w:t>
      </w:r>
      <w:r>
        <w:rPr>
          <w:i/>
        </w:rPr>
        <w:t xml:space="preserve">MATHEMATICS </w:t>
      </w:r>
      <w:r>
        <w:t>2023; 11(15).</w:t>
      </w:r>
    </w:p>
    <w:p w14:paraId="7A50AEDF">
      <w:pPr>
        <w:pStyle w:val="70"/>
      </w:pPr>
      <w:r>
        <w:t xml:space="preserve">20. Ji W, Wang L. </w:t>
      </w:r>
      <w:r>
        <w:rPr>
          <w:b/>
        </w:rPr>
        <w:t>Big data analytics based fault prediction for shop floor scheduling</w:t>
      </w:r>
      <w:r>
        <w:t xml:space="preserve">. </w:t>
      </w:r>
      <w:r>
        <w:rPr>
          <w:i/>
        </w:rPr>
        <w:t xml:space="preserve">JOURNAL OF MANUFACTURING SYSTEMS </w:t>
      </w:r>
      <w:r>
        <w:t>2017; 43:187-194.</w:t>
      </w:r>
    </w:p>
    <w:p w14:paraId="0451A544">
      <w:pPr>
        <w:pStyle w:val="70"/>
      </w:pPr>
      <w:r>
        <w:t xml:space="preserve">21. Jia H, Yan J. </w:t>
      </w:r>
      <w:r>
        <w:rPr>
          <w:b/>
        </w:rPr>
        <w:t>Construction of Heritage Digital Resource Platform Based on Digital Twin Technology (Retracted Article)</w:t>
      </w:r>
      <w:r>
        <w:t xml:space="preserve">. </w:t>
      </w:r>
      <w:r>
        <w:rPr>
          <w:i/>
        </w:rPr>
        <w:t xml:space="preserve">MATHEMATICAL PROBLEMS IN ENGINEERING </w:t>
      </w:r>
      <w:r>
        <w:t>2022; 2022.</w:t>
      </w:r>
    </w:p>
    <w:p w14:paraId="4898919C">
      <w:pPr>
        <w:pStyle w:val="70"/>
        <w:rPr>
          <w:color w:val="FF0000"/>
        </w:rPr>
      </w:pPr>
      <w:r>
        <w:rPr>
          <w:rFonts w:hint="eastAsia" w:eastAsia="宋体"/>
          <w:color w:val="FF0000"/>
          <w:lang w:val="en-US" w:eastAsia="zh-CN"/>
        </w:rPr>
        <w:t xml:space="preserve">22. </w:t>
      </w:r>
      <w:r>
        <w:rPr>
          <w:rFonts w:hint="eastAsia"/>
          <w:color w:val="FF0000"/>
        </w:rPr>
        <w:t>Pan J, Zhong R, Hu B, et al. Smart scheduling of hanging workshop via digital twin and deep reinforcement learning. FLEXIBLE SERVICES AND MANUFACTURING JOURNAL 2025; 37(1).</w:t>
      </w:r>
    </w:p>
    <w:p w14:paraId="4B3DC5BE">
      <w:pPr>
        <w:pStyle w:val="70"/>
      </w:pPr>
      <w:r>
        <w:fldChar w:fldCharType="end"/>
      </w:r>
    </w:p>
    <w:sectPr>
      <w:headerReference r:id="rId5" w:type="first"/>
      <w:footerReference r:id="rId8" w:type="first"/>
      <w:headerReference r:id="rId3" w:type="default"/>
      <w:footerReference r:id="rId6" w:type="default"/>
      <w:headerReference r:id="rId4" w:type="even"/>
      <w:footerReference r:id="rId7" w:type="even"/>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KSOF7FC4CF2A">
    <w:panose1 w:val="020B0604020202020204"/>
    <w:charset w:val="00"/>
    <w:family w:val="auto"/>
    <w:pitch w:val="default"/>
    <w:sig w:usb0="00000001" w:usb1="00000000" w:usb2="00000000" w:usb3="00000000" w:csb0="00000001" w:csb1="00000000"/>
  </w:font>
  <w:font w:name="KSOFB4AB0A6B">
    <w:panose1 w:val="020B0704020202020204"/>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KSOFE99145AC">
    <w:panose1 w:val="020B06040202020902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74878">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8FF5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189E6">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7D339">
    <w:pPr>
      <w:pStyle w:val="11"/>
    </w:pPr>
    <w:r>
      <w:pict>
        <v:shape id="PowerPlusWaterMarkObject568750659" o:spid="_x0000_s2051" o:spt="136" type="#_x0000_t136" style="position:absolute;left:0pt;height:77.15pt;width:684.1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1569B">
    <w:pPr>
      <w:pStyle w:val="11"/>
    </w:pPr>
    <w:r>
      <w:pict>
        <v:shape id="PowerPlusWaterMarkObject568750658" o:spid="_x0000_s2050" o:spt="136" type="#_x0000_t136" style="position:absolute;left:0pt;height:77.15pt;width:684.1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F70B6">
    <w:pPr>
      <w:pStyle w:val="11"/>
    </w:pPr>
    <w:r>
      <w:pict>
        <v:shape id="PowerPlusWaterMarkObject568750657" o:spid="_x0000_s2049" o:spt="136" type="#_x0000_t136" style="position:absolute;left:0pt;height:77.15pt;width:684.1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2C01E"/>
    <w:multiLevelType w:val="multilevel"/>
    <w:tmpl w:val="03B2C01E"/>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71604DCD"/>
    <w:multiLevelType w:val="singleLevel"/>
    <w:tmpl w:val="71604DCD"/>
    <w:lvl w:ilvl="0" w:tentative="0">
      <w:start w:val="1"/>
      <w:numFmt w:val="decimal"/>
      <w:pStyle w:val="37"/>
      <w:lvlText w:val="%1."/>
      <w:lvlJc w:val="left"/>
      <w:pPr>
        <w:tabs>
          <w:tab w:val="left" w:pos="360"/>
        </w:tabs>
        <w:ind w:left="360" w:hanging="360"/>
      </w:pPr>
    </w:lvl>
  </w:abstractNum>
  <w:abstractNum w:abstractNumId="2">
    <w:nsid w:val="72DEDD91"/>
    <w:multiLevelType w:val="singleLevel"/>
    <w:tmpl w:val="72DEDD91"/>
    <w:lvl w:ilvl="0" w:tentative="0">
      <w:start w:val="2"/>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1"/>
  <w:bordersDoNotSurroundFooter w:val="1"/>
  <w:attachedTemplate r:id="rId1"/>
  <w:documentProtection w:enforcement="0"/>
  <w:defaultTabStop w:val="720"/>
  <w:doNotHyphenateCaps/>
  <w:drawingGridHorizontalSpacing w:val="100"/>
  <w:noPunctuationKerning w:val="1"/>
  <w:characterSpacingControl w:val="doNotCompress"/>
  <w:hdrShapeDefaults>
    <o:shapelayout v:ext="edit">
      <o:idmap v:ext="edit" data="2"/>
    </o:shapelayout>
  </w:hdrShapeDefault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yMWY4NzMwZDQxMTAwMTEwNzQxZjU0ZTE4NjVjNDcifQ=="/>
    <w:docVar w:name="EN.InstantFormat" w:val="&lt;ENInstantFormat&gt;&lt;Enabled&gt;1&lt;/Enabled&gt;&lt;ScanUnformatted&gt;1&lt;/ScanUnformatted&gt;&lt;ScanChanges&gt;1&lt;/ScanChanges&gt;&lt;Suspended&gt;1&lt;/Suspended&gt;&lt;/ENInstantFormat&gt;"/>
    <w:docVar w:name="EN.Layout" w:val="&lt;ENLayout&gt;&lt;Style&gt;AIDS&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vz5vs5gepttoevwf450wzvp2vprd20zzr9&quot;&gt;yqyre&lt;record-ids&gt;&lt;item&gt;2&lt;/item&gt;&lt;item&gt;6&lt;/item&gt;&lt;item&gt;14&lt;/item&gt;&lt;item&gt;19&lt;/item&gt;&lt;item&gt;23&lt;/item&gt;&lt;item&gt;24&lt;/item&gt;&lt;item&gt;28&lt;/item&gt;&lt;item&gt;30&lt;/item&gt;&lt;item&gt;31&lt;/item&gt;&lt;item&gt;32&lt;/item&gt;&lt;item&gt;34&lt;/item&gt;&lt;item&gt;35&lt;/item&gt;&lt;item&gt;40&lt;/item&gt;&lt;item&gt;43&lt;/item&gt;&lt;item&gt;49&lt;/item&gt;&lt;item&gt;50&lt;/item&gt;&lt;item&gt;52&lt;/item&gt;&lt;item&gt;64&lt;/item&gt;&lt;item&gt;69&lt;/item&gt;&lt;item&gt;72&lt;/item&gt;&lt;item&gt;80&lt;/item&gt;&lt;/record-ids&gt;&lt;/item&gt;&lt;/Libraries&gt;"/>
  </w:docVars>
  <w:rsids>
    <w:rsidRoot w:val="00AA6219"/>
    <w:rsid w:val="00000F8F"/>
    <w:rsid w:val="00006009"/>
    <w:rsid w:val="00014E5C"/>
    <w:rsid w:val="00016EF4"/>
    <w:rsid w:val="00030174"/>
    <w:rsid w:val="000314F7"/>
    <w:rsid w:val="0004579C"/>
    <w:rsid w:val="000848CB"/>
    <w:rsid w:val="00095167"/>
    <w:rsid w:val="000A1FCF"/>
    <w:rsid w:val="000A47FA"/>
    <w:rsid w:val="000A65D3"/>
    <w:rsid w:val="000B0DA4"/>
    <w:rsid w:val="000B1E33"/>
    <w:rsid w:val="000C40E4"/>
    <w:rsid w:val="000D689F"/>
    <w:rsid w:val="000E358C"/>
    <w:rsid w:val="000E7B7B"/>
    <w:rsid w:val="000E7D62"/>
    <w:rsid w:val="000F2304"/>
    <w:rsid w:val="00103357"/>
    <w:rsid w:val="00106297"/>
    <w:rsid w:val="00111B1A"/>
    <w:rsid w:val="00123C9F"/>
    <w:rsid w:val="00126190"/>
    <w:rsid w:val="00130F17"/>
    <w:rsid w:val="001320BF"/>
    <w:rsid w:val="00147FD8"/>
    <w:rsid w:val="00163BC4"/>
    <w:rsid w:val="00177005"/>
    <w:rsid w:val="00191062"/>
    <w:rsid w:val="00192B72"/>
    <w:rsid w:val="00197E0D"/>
    <w:rsid w:val="001A29D8"/>
    <w:rsid w:val="001A5CAA"/>
    <w:rsid w:val="001B0427"/>
    <w:rsid w:val="001D2595"/>
    <w:rsid w:val="001D3A51"/>
    <w:rsid w:val="001E10D2"/>
    <w:rsid w:val="001E25B4"/>
    <w:rsid w:val="001E44FE"/>
    <w:rsid w:val="00200595"/>
    <w:rsid w:val="00204835"/>
    <w:rsid w:val="002077B0"/>
    <w:rsid w:val="002121E7"/>
    <w:rsid w:val="00231920"/>
    <w:rsid w:val="0023195C"/>
    <w:rsid w:val="0024282C"/>
    <w:rsid w:val="002460DC"/>
    <w:rsid w:val="00250985"/>
    <w:rsid w:val="002556F6"/>
    <w:rsid w:val="00283105"/>
    <w:rsid w:val="00284C4C"/>
    <w:rsid w:val="002935F3"/>
    <w:rsid w:val="00296529"/>
    <w:rsid w:val="002B27FB"/>
    <w:rsid w:val="002B685A"/>
    <w:rsid w:val="002C57D2"/>
    <w:rsid w:val="002E0D56"/>
    <w:rsid w:val="00315186"/>
    <w:rsid w:val="00320A99"/>
    <w:rsid w:val="0033343E"/>
    <w:rsid w:val="003512C2"/>
    <w:rsid w:val="00371FB6"/>
    <w:rsid w:val="003763C1"/>
    <w:rsid w:val="00376BBE"/>
    <w:rsid w:val="0038659C"/>
    <w:rsid w:val="0039224F"/>
    <w:rsid w:val="003932F8"/>
    <w:rsid w:val="003A43A4"/>
    <w:rsid w:val="003A7E18"/>
    <w:rsid w:val="003C0C1C"/>
    <w:rsid w:val="003C4C86"/>
    <w:rsid w:val="003C5139"/>
    <w:rsid w:val="003C6258"/>
    <w:rsid w:val="003D32B0"/>
    <w:rsid w:val="003E2904"/>
    <w:rsid w:val="00401927"/>
    <w:rsid w:val="0041027F"/>
    <w:rsid w:val="00412475"/>
    <w:rsid w:val="00414A28"/>
    <w:rsid w:val="00423789"/>
    <w:rsid w:val="00440F43"/>
    <w:rsid w:val="00441B6F"/>
    <w:rsid w:val="00444221"/>
    <w:rsid w:val="00446221"/>
    <w:rsid w:val="00450E62"/>
    <w:rsid w:val="004539DB"/>
    <w:rsid w:val="00471A80"/>
    <w:rsid w:val="004B0BAF"/>
    <w:rsid w:val="004D305E"/>
    <w:rsid w:val="004D4277"/>
    <w:rsid w:val="00502516"/>
    <w:rsid w:val="00505F06"/>
    <w:rsid w:val="00506828"/>
    <w:rsid w:val="00511357"/>
    <w:rsid w:val="0053056E"/>
    <w:rsid w:val="00554FDA"/>
    <w:rsid w:val="00571E24"/>
    <w:rsid w:val="00581278"/>
    <w:rsid w:val="005C784C"/>
    <w:rsid w:val="005D17F6"/>
    <w:rsid w:val="005D6ADD"/>
    <w:rsid w:val="005E5539"/>
    <w:rsid w:val="00602BF5"/>
    <w:rsid w:val="00616D4E"/>
    <w:rsid w:val="00617FDD"/>
    <w:rsid w:val="00626C92"/>
    <w:rsid w:val="00631DBA"/>
    <w:rsid w:val="00633614"/>
    <w:rsid w:val="00633F68"/>
    <w:rsid w:val="00636EB2"/>
    <w:rsid w:val="006375B8"/>
    <w:rsid w:val="00652B5D"/>
    <w:rsid w:val="0066510A"/>
    <w:rsid w:val="00673F9F"/>
    <w:rsid w:val="006773BF"/>
    <w:rsid w:val="00686953"/>
    <w:rsid w:val="00687DEA"/>
    <w:rsid w:val="00687E67"/>
    <w:rsid w:val="006967F7"/>
    <w:rsid w:val="006A250C"/>
    <w:rsid w:val="006A6205"/>
    <w:rsid w:val="006B21D3"/>
    <w:rsid w:val="006B57D0"/>
    <w:rsid w:val="006B6FB2"/>
    <w:rsid w:val="006C5D27"/>
    <w:rsid w:val="006D30FF"/>
    <w:rsid w:val="006D6940"/>
    <w:rsid w:val="006F11EC"/>
    <w:rsid w:val="0070082C"/>
    <w:rsid w:val="007322C9"/>
    <w:rsid w:val="007369E6"/>
    <w:rsid w:val="00746E59"/>
    <w:rsid w:val="00752D67"/>
    <w:rsid w:val="00754C9A"/>
    <w:rsid w:val="0075599A"/>
    <w:rsid w:val="00756D6F"/>
    <w:rsid w:val="00761D52"/>
    <w:rsid w:val="0077749E"/>
    <w:rsid w:val="00790ADA"/>
    <w:rsid w:val="007B5DA1"/>
    <w:rsid w:val="007D2288"/>
    <w:rsid w:val="007E088F"/>
    <w:rsid w:val="007E3227"/>
    <w:rsid w:val="007F4D6E"/>
    <w:rsid w:val="007F5630"/>
    <w:rsid w:val="007F7B32"/>
    <w:rsid w:val="008032BC"/>
    <w:rsid w:val="00804BC2"/>
    <w:rsid w:val="0081431A"/>
    <w:rsid w:val="00827245"/>
    <w:rsid w:val="0083216F"/>
    <w:rsid w:val="00860000"/>
    <w:rsid w:val="00863BD3"/>
    <w:rsid w:val="00866D66"/>
    <w:rsid w:val="008671C6"/>
    <w:rsid w:val="00875803"/>
    <w:rsid w:val="00881C12"/>
    <w:rsid w:val="0089600F"/>
    <w:rsid w:val="008B459E"/>
    <w:rsid w:val="008E13AE"/>
    <w:rsid w:val="008E1506"/>
    <w:rsid w:val="008E710C"/>
    <w:rsid w:val="008F69D6"/>
    <w:rsid w:val="00902823"/>
    <w:rsid w:val="00915CA6"/>
    <w:rsid w:val="00927834"/>
    <w:rsid w:val="009500A6"/>
    <w:rsid w:val="0095655C"/>
    <w:rsid w:val="00957C18"/>
    <w:rsid w:val="00963439"/>
    <w:rsid w:val="009659BA"/>
    <w:rsid w:val="009708B2"/>
    <w:rsid w:val="00973F33"/>
    <w:rsid w:val="00983040"/>
    <w:rsid w:val="009A7944"/>
    <w:rsid w:val="009B3FB9"/>
    <w:rsid w:val="009B4310"/>
    <w:rsid w:val="009C2465"/>
    <w:rsid w:val="009D35A0"/>
    <w:rsid w:val="009D7EB7"/>
    <w:rsid w:val="009E048A"/>
    <w:rsid w:val="009E08E9"/>
    <w:rsid w:val="009E3DB9"/>
    <w:rsid w:val="009E6E35"/>
    <w:rsid w:val="009F0EDA"/>
    <w:rsid w:val="00A03250"/>
    <w:rsid w:val="00A03B96"/>
    <w:rsid w:val="00A05B19"/>
    <w:rsid w:val="00A1134E"/>
    <w:rsid w:val="00A24E7E"/>
    <w:rsid w:val="00A256F2"/>
    <w:rsid w:val="00A258C3"/>
    <w:rsid w:val="00A30947"/>
    <w:rsid w:val="00A347C0"/>
    <w:rsid w:val="00A468EE"/>
    <w:rsid w:val="00A51431"/>
    <w:rsid w:val="00A539AD"/>
    <w:rsid w:val="00A66F57"/>
    <w:rsid w:val="00A94063"/>
    <w:rsid w:val="00AA04A7"/>
    <w:rsid w:val="00AA6219"/>
    <w:rsid w:val="00AA74E0"/>
    <w:rsid w:val="00AB703F"/>
    <w:rsid w:val="00AC6BB8"/>
    <w:rsid w:val="00AE008F"/>
    <w:rsid w:val="00AE1A1B"/>
    <w:rsid w:val="00B01EF5"/>
    <w:rsid w:val="00B01FCD"/>
    <w:rsid w:val="00B10629"/>
    <w:rsid w:val="00B1776C"/>
    <w:rsid w:val="00B263BE"/>
    <w:rsid w:val="00B268BB"/>
    <w:rsid w:val="00B44138"/>
    <w:rsid w:val="00B52896"/>
    <w:rsid w:val="00B535FA"/>
    <w:rsid w:val="00B75A5D"/>
    <w:rsid w:val="00B93302"/>
    <w:rsid w:val="00B95236"/>
    <w:rsid w:val="00B96BD9"/>
    <w:rsid w:val="00BA1B01"/>
    <w:rsid w:val="00BA2641"/>
    <w:rsid w:val="00BB0F4E"/>
    <w:rsid w:val="00BB37AA"/>
    <w:rsid w:val="00BC53A0"/>
    <w:rsid w:val="00BD251F"/>
    <w:rsid w:val="00BD7B41"/>
    <w:rsid w:val="00BE62AD"/>
    <w:rsid w:val="00BF121F"/>
    <w:rsid w:val="00BF1F80"/>
    <w:rsid w:val="00C029C0"/>
    <w:rsid w:val="00C166EF"/>
    <w:rsid w:val="00C17EB0"/>
    <w:rsid w:val="00C26E93"/>
    <w:rsid w:val="00C27F5F"/>
    <w:rsid w:val="00C30A0F"/>
    <w:rsid w:val="00C37E61"/>
    <w:rsid w:val="00C5461B"/>
    <w:rsid w:val="00C70F1B"/>
    <w:rsid w:val="00C71A47"/>
    <w:rsid w:val="00C7464C"/>
    <w:rsid w:val="00C85588"/>
    <w:rsid w:val="00CB574F"/>
    <w:rsid w:val="00CB7143"/>
    <w:rsid w:val="00CD6755"/>
    <w:rsid w:val="00CD6856"/>
    <w:rsid w:val="00CE0089"/>
    <w:rsid w:val="00CE793C"/>
    <w:rsid w:val="00D008E0"/>
    <w:rsid w:val="00D0698A"/>
    <w:rsid w:val="00D173F1"/>
    <w:rsid w:val="00D73E93"/>
    <w:rsid w:val="00D8295D"/>
    <w:rsid w:val="00D84F11"/>
    <w:rsid w:val="00DC2A65"/>
    <w:rsid w:val="00DC3FAB"/>
    <w:rsid w:val="00DE15F0"/>
    <w:rsid w:val="00DE2548"/>
    <w:rsid w:val="00DE5663"/>
    <w:rsid w:val="00DE78AA"/>
    <w:rsid w:val="00DE7E37"/>
    <w:rsid w:val="00DF0EF4"/>
    <w:rsid w:val="00DF4057"/>
    <w:rsid w:val="00E053D0"/>
    <w:rsid w:val="00E15994"/>
    <w:rsid w:val="00E3114E"/>
    <w:rsid w:val="00E31A70"/>
    <w:rsid w:val="00E35B02"/>
    <w:rsid w:val="00E44EFD"/>
    <w:rsid w:val="00E62E67"/>
    <w:rsid w:val="00E66496"/>
    <w:rsid w:val="00E66B35"/>
    <w:rsid w:val="00E66E10"/>
    <w:rsid w:val="00E769F6"/>
    <w:rsid w:val="00E82FF4"/>
    <w:rsid w:val="00E8407C"/>
    <w:rsid w:val="00E84F3C"/>
    <w:rsid w:val="00EA012C"/>
    <w:rsid w:val="00EC3EFD"/>
    <w:rsid w:val="00EC51F8"/>
    <w:rsid w:val="00ED0288"/>
    <w:rsid w:val="00ED053B"/>
    <w:rsid w:val="00ED08EA"/>
    <w:rsid w:val="00ED6DB2"/>
    <w:rsid w:val="00EE52CB"/>
    <w:rsid w:val="00EE6535"/>
    <w:rsid w:val="00EF581D"/>
    <w:rsid w:val="00EF6B4C"/>
    <w:rsid w:val="00EF7FD8"/>
    <w:rsid w:val="00F06F59"/>
    <w:rsid w:val="00F150E1"/>
    <w:rsid w:val="00F1741D"/>
    <w:rsid w:val="00F17988"/>
    <w:rsid w:val="00F17B8A"/>
    <w:rsid w:val="00F469F0"/>
    <w:rsid w:val="00F47756"/>
    <w:rsid w:val="00F53273"/>
    <w:rsid w:val="00F755E4"/>
    <w:rsid w:val="00F77D02"/>
    <w:rsid w:val="00F82CF4"/>
    <w:rsid w:val="00FB3A86"/>
    <w:rsid w:val="00FD36C8"/>
    <w:rsid w:val="033A0C2B"/>
    <w:rsid w:val="051F457C"/>
    <w:rsid w:val="056F2E0E"/>
    <w:rsid w:val="05A01219"/>
    <w:rsid w:val="06532730"/>
    <w:rsid w:val="068E73CF"/>
    <w:rsid w:val="073738D3"/>
    <w:rsid w:val="078608E3"/>
    <w:rsid w:val="0A2D14EA"/>
    <w:rsid w:val="0EEA33CB"/>
    <w:rsid w:val="0F5D461F"/>
    <w:rsid w:val="12411FD6"/>
    <w:rsid w:val="131A2572"/>
    <w:rsid w:val="13441730"/>
    <w:rsid w:val="1F666BD8"/>
    <w:rsid w:val="1FE80104"/>
    <w:rsid w:val="25787665"/>
    <w:rsid w:val="25B40642"/>
    <w:rsid w:val="288E02F2"/>
    <w:rsid w:val="2A1A733F"/>
    <w:rsid w:val="2CA156F3"/>
    <w:rsid w:val="2CBB0508"/>
    <w:rsid w:val="30280776"/>
    <w:rsid w:val="38F640E2"/>
    <w:rsid w:val="39EB608E"/>
    <w:rsid w:val="3CEF6007"/>
    <w:rsid w:val="3F5D194E"/>
    <w:rsid w:val="42096F4A"/>
    <w:rsid w:val="42E40433"/>
    <w:rsid w:val="42FF38DA"/>
    <w:rsid w:val="43543621"/>
    <w:rsid w:val="4384744E"/>
    <w:rsid w:val="44784438"/>
    <w:rsid w:val="486F13F8"/>
    <w:rsid w:val="48D2515B"/>
    <w:rsid w:val="49354C0D"/>
    <w:rsid w:val="4AA30431"/>
    <w:rsid w:val="4CC36B68"/>
    <w:rsid w:val="543469F6"/>
    <w:rsid w:val="56BF1E96"/>
    <w:rsid w:val="574C432A"/>
    <w:rsid w:val="57996E43"/>
    <w:rsid w:val="58201313"/>
    <w:rsid w:val="58E54ED0"/>
    <w:rsid w:val="5C713050"/>
    <w:rsid w:val="5D4C0A06"/>
    <w:rsid w:val="613B0F6B"/>
    <w:rsid w:val="628F41A3"/>
    <w:rsid w:val="6674153C"/>
    <w:rsid w:val="6B9B71D6"/>
    <w:rsid w:val="6C8043A7"/>
    <w:rsid w:val="746C1711"/>
    <w:rsid w:val="75701945"/>
    <w:rsid w:val="77165BF8"/>
    <w:rsid w:val="79605BD5"/>
    <w:rsid w:val="7CB63E0B"/>
    <w:rsid w:val="7D3A0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autoRedefine/>
    <w:qFormat/>
    <w:uiPriority w:val="0"/>
    <w:pPr>
      <w:keepNext/>
      <w:spacing w:before="240" w:after="60"/>
      <w:outlineLvl w:val="0"/>
    </w:pPr>
    <w:rPr>
      <w:rFonts w:ascii="Arial" w:hAnsi="Arial"/>
      <w:b/>
      <w:kern w:val="28"/>
      <w:sz w:val="28"/>
    </w:rPr>
  </w:style>
  <w:style w:type="paragraph" w:styleId="3">
    <w:name w:val="heading 2"/>
    <w:basedOn w:val="1"/>
    <w:next w:val="1"/>
    <w:link w:val="7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73"/>
    <w:semiHidden/>
    <w:unhideWhenUsed/>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autoRedefine/>
    <w:unhideWhenUsed/>
    <w:qFormat/>
    <w:uiPriority w:val="0"/>
    <w:pPr>
      <w:jc w:val="center"/>
    </w:pPr>
    <w:rPr>
      <w:rFonts w:ascii="Times New Roman" w:hAnsi="Times New Roman" w:eastAsia="宋体"/>
      <w:sz w:val="21"/>
    </w:rPr>
  </w:style>
  <w:style w:type="paragraph" w:styleId="6">
    <w:name w:val="annotation text"/>
    <w:basedOn w:val="1"/>
    <w:link w:val="64"/>
    <w:unhideWhenUsed/>
    <w:qFormat/>
    <w:uiPriority w:val="99"/>
    <w:rPr>
      <w:rFonts w:ascii="Times New Roman" w:hAnsi="Times New Roman"/>
      <w:lang w:val="nb-NO" w:eastAsia="nb-NO"/>
    </w:rPr>
  </w:style>
  <w:style w:type="paragraph" w:styleId="7">
    <w:name w:val="Body Text 3"/>
    <w:basedOn w:val="1"/>
    <w:link w:val="66"/>
    <w:autoRedefine/>
    <w:qFormat/>
    <w:uiPriority w:val="0"/>
    <w:pPr>
      <w:spacing w:after="120"/>
    </w:pPr>
    <w:rPr>
      <w:sz w:val="16"/>
      <w:szCs w:val="16"/>
    </w:rPr>
  </w:style>
  <w:style w:type="paragraph" w:styleId="8">
    <w:name w:val="Body Text"/>
    <w:basedOn w:val="1"/>
    <w:link w:val="77"/>
    <w:qFormat/>
    <w:uiPriority w:val="0"/>
    <w:pPr>
      <w:spacing w:after="120"/>
    </w:pPr>
  </w:style>
  <w:style w:type="paragraph" w:styleId="9">
    <w:name w:val="Balloon Text"/>
    <w:basedOn w:val="1"/>
    <w:link w:val="65"/>
    <w:qFormat/>
    <w:uiPriority w:val="0"/>
    <w:rPr>
      <w:rFonts w:ascii="Tahoma" w:hAnsi="Tahoma" w:cs="Tahoma"/>
      <w:sz w:val="16"/>
      <w:szCs w:val="16"/>
    </w:rPr>
  </w:style>
  <w:style w:type="paragraph" w:styleId="10">
    <w:name w:val="footer"/>
    <w:basedOn w:val="1"/>
    <w:qFormat/>
    <w:uiPriority w:val="0"/>
    <w:pPr>
      <w:tabs>
        <w:tab w:val="center" w:pos="4320"/>
        <w:tab w:val="right" w:pos="8640"/>
      </w:tabs>
    </w:pPr>
  </w:style>
  <w:style w:type="paragraph" w:styleId="11">
    <w:name w:val="header"/>
    <w:basedOn w:val="1"/>
    <w:link w:val="74"/>
    <w:autoRedefine/>
    <w:qFormat/>
    <w:uiPriority w:val="0"/>
    <w:pPr>
      <w:tabs>
        <w:tab w:val="center" w:pos="4320"/>
        <w:tab w:val="right" w:pos="8640"/>
      </w:tabs>
    </w:pPr>
  </w:style>
  <w:style w:type="paragraph" w:styleId="12">
    <w:name w:val="Signature"/>
    <w:basedOn w:val="1"/>
    <w:qFormat/>
    <w:uiPriority w:val="0"/>
    <w:pPr>
      <w:ind w:left="4320"/>
    </w:pPr>
  </w:style>
  <w:style w:type="paragraph" w:styleId="13">
    <w:name w:val="Body Text 2"/>
    <w:basedOn w:val="1"/>
    <w:link w:val="63"/>
    <w:autoRedefine/>
    <w:qFormat/>
    <w:uiPriority w:val="0"/>
    <w:pPr>
      <w:spacing w:after="120" w:line="480" w:lineRule="auto"/>
    </w:pPr>
  </w:style>
  <w:style w:type="paragraph" w:styleId="14">
    <w:name w:val="Normal (Web)"/>
    <w:basedOn w:val="1"/>
    <w:qFormat/>
    <w:uiPriority w:val="0"/>
    <w:rPr>
      <w:rFonts w:ascii="Times New Roman" w:hAnsi="Times New Roman"/>
      <w:sz w:val="24"/>
      <w:szCs w:val="24"/>
    </w:rPr>
  </w:style>
  <w:style w:type="paragraph" w:styleId="15">
    <w:name w:val="Title"/>
    <w:basedOn w:val="1"/>
    <w:autoRedefine/>
    <w:qFormat/>
    <w:uiPriority w:val="0"/>
    <w:pPr>
      <w:spacing w:after="360"/>
      <w:jc w:val="right"/>
    </w:pPr>
    <w:rPr>
      <w:b/>
      <w:kern w:val="28"/>
      <w:sz w:val="36"/>
    </w:rPr>
  </w:style>
  <w:style w:type="table" w:styleId="17">
    <w:name w:val="Table Grid"/>
    <w:basedOn w:val="16"/>
    <w:autoRedefine/>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9">
    <w:name w:val="FollowedHyperlink"/>
    <w:basedOn w:val="18"/>
    <w:autoRedefine/>
    <w:qFormat/>
    <w:uiPriority w:val="0"/>
    <w:rPr>
      <w:color w:val="800080"/>
      <w:u w:val="single"/>
    </w:rPr>
  </w:style>
  <w:style w:type="character" w:styleId="20">
    <w:name w:val="Emphasis"/>
    <w:basedOn w:val="18"/>
    <w:autoRedefine/>
    <w:qFormat/>
    <w:uiPriority w:val="20"/>
    <w:rPr>
      <w:i/>
      <w:iCs/>
    </w:rPr>
  </w:style>
  <w:style w:type="character" w:styleId="21">
    <w:name w:val="line number"/>
    <w:basedOn w:val="18"/>
    <w:autoRedefine/>
    <w:qFormat/>
    <w:uiPriority w:val="0"/>
  </w:style>
  <w:style w:type="character" w:styleId="22">
    <w:name w:val="Hyperlink"/>
    <w:basedOn w:val="18"/>
    <w:qFormat/>
    <w:uiPriority w:val="0"/>
    <w:rPr>
      <w:color w:val="FF0080"/>
      <w:u w:val="single"/>
    </w:rPr>
  </w:style>
  <w:style w:type="character" w:styleId="23">
    <w:name w:val="annotation reference"/>
    <w:basedOn w:val="18"/>
    <w:unhideWhenUsed/>
    <w:qFormat/>
    <w:uiPriority w:val="99"/>
    <w:rPr>
      <w:sz w:val="16"/>
      <w:szCs w:val="16"/>
    </w:rPr>
  </w:style>
  <w:style w:type="paragraph" w:customStyle="1" w:styleId="24">
    <w:name w:val="Author"/>
    <w:basedOn w:val="1"/>
    <w:qFormat/>
    <w:uiPriority w:val="0"/>
    <w:pPr>
      <w:spacing w:line="280" w:lineRule="exact"/>
      <w:jc w:val="right"/>
    </w:pPr>
    <w:rPr>
      <w:b/>
      <w:sz w:val="24"/>
    </w:rPr>
  </w:style>
  <w:style w:type="paragraph" w:customStyle="1" w:styleId="25">
    <w:name w:val="Affiliation"/>
    <w:basedOn w:val="1"/>
    <w:autoRedefine/>
    <w:qFormat/>
    <w:uiPriority w:val="0"/>
    <w:pPr>
      <w:spacing w:after="240" w:line="240" w:lineRule="exact"/>
      <w:jc w:val="right"/>
    </w:pPr>
  </w:style>
  <w:style w:type="paragraph" w:customStyle="1" w:styleId="26">
    <w:name w:val="Body"/>
    <w:basedOn w:val="1"/>
    <w:link w:val="68"/>
    <w:qFormat/>
    <w:uiPriority w:val="0"/>
    <w:pPr>
      <w:spacing w:after="240"/>
      <w:jc w:val="both"/>
    </w:pPr>
  </w:style>
  <w:style w:type="paragraph" w:customStyle="1" w:styleId="27">
    <w:name w:val="Abst Head"/>
    <w:basedOn w:val="28"/>
    <w:qFormat/>
    <w:uiPriority w:val="0"/>
    <w:rPr>
      <w:sz w:val="22"/>
    </w:rPr>
  </w:style>
  <w:style w:type="paragraph" w:customStyle="1" w:styleId="28">
    <w:name w:val="Main Head"/>
    <w:basedOn w:val="1"/>
    <w:qFormat/>
    <w:uiPriority w:val="0"/>
    <w:pPr>
      <w:keepNext/>
      <w:spacing w:after="240"/>
    </w:pPr>
    <w:rPr>
      <w:b/>
      <w:caps/>
    </w:rPr>
  </w:style>
  <w:style w:type="paragraph" w:customStyle="1" w:styleId="29">
    <w:name w:val="Intro Head"/>
    <w:basedOn w:val="28"/>
    <w:qFormat/>
    <w:uiPriority w:val="0"/>
    <w:rPr>
      <w:sz w:val="22"/>
    </w:rPr>
  </w:style>
  <w:style w:type="paragraph" w:customStyle="1" w:styleId="30">
    <w:name w:val="Paper Number"/>
    <w:basedOn w:val="1"/>
    <w:qFormat/>
    <w:uiPriority w:val="0"/>
    <w:pPr>
      <w:spacing w:after="280" w:line="280" w:lineRule="exact"/>
      <w:jc w:val="right"/>
    </w:pPr>
    <w:rPr>
      <w:b/>
      <w:sz w:val="28"/>
    </w:rPr>
  </w:style>
  <w:style w:type="paragraph" w:customStyle="1" w:styleId="31">
    <w:name w:val="Conc Head"/>
    <w:basedOn w:val="28"/>
    <w:qFormat/>
    <w:uiPriority w:val="0"/>
    <w:rPr>
      <w:sz w:val="22"/>
    </w:rPr>
  </w:style>
  <w:style w:type="paragraph" w:customStyle="1" w:styleId="32">
    <w:name w:val="Ackn Head"/>
    <w:basedOn w:val="28"/>
    <w:qFormat/>
    <w:uiPriority w:val="0"/>
    <w:rPr>
      <w:sz w:val="22"/>
    </w:rPr>
  </w:style>
  <w:style w:type="paragraph" w:customStyle="1" w:styleId="33">
    <w:name w:val="Refer Head"/>
    <w:basedOn w:val="28"/>
    <w:qFormat/>
    <w:uiPriority w:val="0"/>
    <w:rPr>
      <w:sz w:val="22"/>
    </w:rPr>
  </w:style>
  <w:style w:type="paragraph" w:customStyle="1" w:styleId="34">
    <w:name w:val="AddSrc Head"/>
    <w:basedOn w:val="28"/>
    <w:autoRedefine/>
    <w:qFormat/>
    <w:uiPriority w:val="0"/>
    <w:rPr>
      <w:sz w:val="22"/>
    </w:rPr>
  </w:style>
  <w:style w:type="paragraph" w:customStyle="1" w:styleId="35">
    <w:name w:val="DefAcrHead"/>
    <w:basedOn w:val="28"/>
    <w:autoRedefine/>
    <w:qFormat/>
    <w:uiPriority w:val="0"/>
    <w:rPr>
      <w:sz w:val="22"/>
    </w:rPr>
  </w:style>
  <w:style w:type="paragraph" w:customStyle="1" w:styleId="36">
    <w:name w:val="Copyright"/>
    <w:basedOn w:val="1"/>
    <w:qFormat/>
    <w:uiPriority w:val="0"/>
    <w:pPr>
      <w:spacing w:after="960" w:line="200" w:lineRule="exact"/>
    </w:pPr>
    <w:rPr>
      <w:sz w:val="16"/>
    </w:rPr>
  </w:style>
  <w:style w:type="paragraph" w:customStyle="1" w:styleId="37">
    <w:name w:val="Reference"/>
    <w:basedOn w:val="26"/>
    <w:autoRedefine/>
    <w:qFormat/>
    <w:uiPriority w:val="0"/>
    <w:pPr>
      <w:numPr>
        <w:ilvl w:val="0"/>
        <w:numId w:val="1"/>
      </w:numPr>
      <w:spacing w:after="0" w:line="240" w:lineRule="exact"/>
    </w:pPr>
  </w:style>
  <w:style w:type="paragraph" w:customStyle="1" w:styleId="38">
    <w:name w:val="Head1"/>
    <w:basedOn w:val="28"/>
    <w:qFormat/>
    <w:uiPriority w:val="0"/>
    <w:rPr>
      <w:sz w:val="22"/>
    </w:rPr>
  </w:style>
  <w:style w:type="paragraph" w:customStyle="1" w:styleId="39">
    <w:name w:val="Contact Head"/>
    <w:basedOn w:val="28"/>
    <w:qFormat/>
    <w:uiPriority w:val="0"/>
    <w:rPr>
      <w:sz w:val="22"/>
    </w:rPr>
  </w:style>
  <w:style w:type="paragraph" w:customStyle="1" w:styleId="40">
    <w:name w:val="Head3"/>
    <w:basedOn w:val="41"/>
    <w:autoRedefine/>
    <w:qFormat/>
    <w:uiPriority w:val="0"/>
    <w:rPr>
      <w:caps w:val="0"/>
      <w:u w:val="single"/>
    </w:rPr>
  </w:style>
  <w:style w:type="paragraph" w:customStyle="1" w:styleId="41">
    <w:name w:val="Head2"/>
    <w:basedOn w:val="1"/>
    <w:next w:val="26"/>
    <w:autoRedefine/>
    <w:qFormat/>
    <w:uiPriority w:val="0"/>
    <w:pPr>
      <w:keepNext/>
      <w:spacing w:after="240"/>
    </w:pPr>
    <w:rPr>
      <w:caps/>
    </w:rPr>
  </w:style>
  <w:style w:type="paragraph" w:customStyle="1" w:styleId="42">
    <w:name w:val="Head4"/>
    <w:basedOn w:val="40"/>
    <w:autoRedefine/>
    <w:qFormat/>
    <w:uiPriority w:val="0"/>
    <w:rPr>
      <w:u w:val="none"/>
    </w:rPr>
  </w:style>
  <w:style w:type="paragraph" w:customStyle="1" w:styleId="43">
    <w:name w:val="Unord List"/>
    <w:basedOn w:val="26"/>
    <w:qFormat/>
    <w:uiPriority w:val="0"/>
    <w:pPr>
      <w:spacing w:after="0"/>
      <w:ind w:left="360" w:hanging="360"/>
    </w:pPr>
  </w:style>
  <w:style w:type="paragraph" w:customStyle="1" w:styleId="44">
    <w:name w:val="Ord List"/>
    <w:basedOn w:val="43"/>
    <w:autoRedefine/>
    <w:qFormat/>
    <w:uiPriority w:val="0"/>
    <w:pPr>
      <w:jc w:val="left"/>
    </w:pPr>
  </w:style>
  <w:style w:type="paragraph" w:customStyle="1" w:styleId="45">
    <w:name w:val="Appendix"/>
    <w:basedOn w:val="28"/>
    <w:qFormat/>
    <w:uiPriority w:val="0"/>
    <w:rPr>
      <w:sz w:val="22"/>
    </w:rPr>
  </w:style>
  <w:style w:type="paragraph" w:customStyle="1" w:styleId="46">
    <w:name w:val="Term"/>
    <w:basedOn w:val="26"/>
    <w:qFormat/>
    <w:uiPriority w:val="0"/>
    <w:pPr>
      <w:spacing w:after="0"/>
    </w:pPr>
    <w:rPr>
      <w:b/>
    </w:rPr>
  </w:style>
  <w:style w:type="paragraph" w:customStyle="1" w:styleId="47">
    <w:name w:val="Definition"/>
    <w:basedOn w:val="26"/>
    <w:qFormat/>
    <w:uiPriority w:val="0"/>
  </w:style>
  <w:style w:type="character" w:customStyle="1" w:styleId="48">
    <w:name w:val="Bold"/>
    <w:qFormat/>
    <w:uiPriority w:val="0"/>
    <w:rPr>
      <w:b/>
    </w:rPr>
  </w:style>
  <w:style w:type="character" w:customStyle="1" w:styleId="49">
    <w:name w:val="Italic"/>
    <w:qFormat/>
    <w:uiPriority w:val="0"/>
    <w:rPr>
      <w:i/>
    </w:rPr>
  </w:style>
  <w:style w:type="character" w:customStyle="1" w:styleId="50">
    <w:name w:val="Underline"/>
    <w:qFormat/>
    <w:uiPriority w:val="0"/>
    <w:rPr>
      <w:u w:val="single"/>
    </w:rPr>
  </w:style>
  <w:style w:type="paragraph" w:customStyle="1" w:styleId="51">
    <w:name w:val="Equation"/>
    <w:basedOn w:val="26"/>
    <w:qFormat/>
    <w:uiPriority w:val="0"/>
  </w:style>
  <w:style w:type="paragraph" w:customStyle="1" w:styleId="52">
    <w:name w:val="Figure"/>
    <w:basedOn w:val="36"/>
    <w:qFormat/>
    <w:uiPriority w:val="0"/>
    <w:pPr>
      <w:spacing w:after="240"/>
    </w:pPr>
    <w:rPr>
      <w:sz w:val="20"/>
    </w:rPr>
  </w:style>
  <w:style w:type="paragraph" w:customStyle="1" w:styleId="53">
    <w:name w:val="Head 4"/>
    <w:basedOn w:val="40"/>
    <w:qFormat/>
    <w:uiPriority w:val="0"/>
    <w:rPr>
      <w:u w:val="none"/>
    </w:rPr>
  </w:style>
  <w:style w:type="paragraph" w:customStyle="1" w:styleId="54">
    <w:name w:val="Paper"/>
    <w:basedOn w:val="1"/>
    <w:qFormat/>
    <w:uiPriority w:val="0"/>
    <w:pPr>
      <w:spacing w:after="360" w:line="440" w:lineRule="exact"/>
      <w:jc w:val="right"/>
    </w:pPr>
    <w:rPr>
      <w:b/>
      <w:sz w:val="36"/>
    </w:rPr>
  </w:style>
  <w:style w:type="character" w:customStyle="1" w:styleId="55">
    <w:name w:val="Subscript"/>
    <w:qFormat/>
    <w:uiPriority w:val="0"/>
    <w:rPr>
      <w:vertAlign w:val="subscript"/>
    </w:rPr>
  </w:style>
  <w:style w:type="character" w:customStyle="1" w:styleId="56">
    <w:name w:val="Superscript"/>
    <w:qFormat/>
    <w:uiPriority w:val="0"/>
    <w:rPr>
      <w:vertAlign w:val="superscript"/>
    </w:rPr>
  </w:style>
  <w:style w:type="character" w:customStyle="1" w:styleId="57">
    <w:name w:val="Symbol"/>
    <w:qFormat/>
    <w:uiPriority w:val="0"/>
    <w:rPr>
      <w:rFonts w:ascii="Symbol" w:hAnsi="Symbol"/>
    </w:rPr>
  </w:style>
  <w:style w:type="paragraph" w:customStyle="1" w:styleId="58">
    <w:name w:val="Symbol P"/>
    <w:basedOn w:val="26"/>
    <w:qFormat/>
    <w:uiPriority w:val="0"/>
    <w:pPr>
      <w:tabs>
        <w:tab w:val="left" w:pos="720"/>
        <w:tab w:val="left" w:pos="3780"/>
      </w:tabs>
      <w:spacing w:after="0"/>
    </w:pPr>
    <w:rPr>
      <w:sz w:val="24"/>
    </w:rPr>
  </w:style>
  <w:style w:type="character" w:customStyle="1" w:styleId="59">
    <w:name w:val="BoldItal"/>
    <w:basedOn w:val="18"/>
    <w:qFormat/>
    <w:uiPriority w:val="0"/>
    <w:rPr>
      <w:b/>
      <w:i/>
    </w:rPr>
  </w:style>
  <w:style w:type="character" w:customStyle="1" w:styleId="60">
    <w:name w:val="SubItal"/>
    <w:qFormat/>
    <w:uiPriority w:val="0"/>
    <w:rPr>
      <w:i/>
      <w:vertAlign w:val="subscript"/>
    </w:rPr>
  </w:style>
  <w:style w:type="character" w:customStyle="1" w:styleId="61">
    <w:name w:val="SuperItal"/>
    <w:qFormat/>
    <w:uiPriority w:val="0"/>
    <w:rPr>
      <w:i/>
      <w:vertAlign w:val="superscript"/>
    </w:rPr>
  </w:style>
  <w:style w:type="character" w:customStyle="1" w:styleId="62">
    <w:name w:val="SymItal"/>
    <w:qFormat/>
    <w:uiPriority w:val="0"/>
    <w:rPr>
      <w:rFonts w:ascii="Symbol" w:hAnsi="Symbol"/>
      <w:i/>
    </w:rPr>
  </w:style>
  <w:style w:type="character" w:customStyle="1" w:styleId="63">
    <w:name w:val="Body Text 2 Char"/>
    <w:basedOn w:val="18"/>
    <w:link w:val="13"/>
    <w:qFormat/>
    <w:uiPriority w:val="0"/>
    <w:rPr>
      <w:rFonts w:ascii="Helvetica" w:hAnsi="Helvetica"/>
    </w:rPr>
  </w:style>
  <w:style w:type="character" w:customStyle="1" w:styleId="64">
    <w:name w:val="Comment Text Char"/>
    <w:basedOn w:val="18"/>
    <w:link w:val="6"/>
    <w:qFormat/>
    <w:uiPriority w:val="99"/>
    <w:rPr>
      <w:lang w:val="nb-NO" w:eastAsia="nb-NO"/>
    </w:rPr>
  </w:style>
  <w:style w:type="character" w:customStyle="1" w:styleId="65">
    <w:name w:val="Balloon Text Char"/>
    <w:basedOn w:val="18"/>
    <w:link w:val="9"/>
    <w:qFormat/>
    <w:uiPriority w:val="0"/>
    <w:rPr>
      <w:rFonts w:ascii="Tahoma" w:hAnsi="Tahoma" w:cs="Tahoma"/>
      <w:sz w:val="16"/>
      <w:szCs w:val="16"/>
    </w:rPr>
  </w:style>
  <w:style w:type="character" w:customStyle="1" w:styleId="66">
    <w:name w:val="Body Text 3 Char"/>
    <w:basedOn w:val="18"/>
    <w:link w:val="7"/>
    <w:qFormat/>
    <w:uiPriority w:val="0"/>
    <w:rPr>
      <w:rFonts w:ascii="Helvetica" w:hAnsi="Helvetica"/>
      <w:sz w:val="16"/>
      <w:szCs w:val="16"/>
    </w:rPr>
  </w:style>
  <w:style w:type="paragraph" w:customStyle="1" w:styleId="67">
    <w:name w:val="EndNote Bibliography Title"/>
    <w:basedOn w:val="1"/>
    <w:link w:val="69"/>
    <w:qFormat/>
    <w:uiPriority w:val="0"/>
    <w:pPr>
      <w:jc w:val="center"/>
    </w:pPr>
    <w:rPr>
      <w:rFonts w:cs="Helvetica"/>
      <w:sz w:val="22"/>
    </w:rPr>
  </w:style>
  <w:style w:type="character" w:customStyle="1" w:styleId="68">
    <w:name w:val="Body 字符"/>
    <w:basedOn w:val="18"/>
    <w:link w:val="26"/>
    <w:qFormat/>
    <w:uiPriority w:val="0"/>
    <w:rPr>
      <w:rFonts w:ascii="Helvetica" w:hAnsi="Helvetica" w:eastAsia="Times New Roman"/>
      <w:lang w:eastAsia="en-US"/>
    </w:rPr>
  </w:style>
  <w:style w:type="character" w:customStyle="1" w:styleId="69">
    <w:name w:val="EndNote Bibliography Title 字符"/>
    <w:basedOn w:val="68"/>
    <w:link w:val="67"/>
    <w:qFormat/>
    <w:uiPriority w:val="0"/>
    <w:rPr>
      <w:rFonts w:ascii="Helvetica" w:hAnsi="Helvetica" w:eastAsia="Times New Roman" w:cs="Helvetica"/>
      <w:sz w:val="22"/>
      <w:lang w:eastAsia="en-US"/>
    </w:rPr>
  </w:style>
  <w:style w:type="paragraph" w:customStyle="1" w:styleId="70">
    <w:name w:val="EndNote Bibliography"/>
    <w:basedOn w:val="1"/>
    <w:link w:val="71"/>
    <w:qFormat/>
    <w:uiPriority w:val="0"/>
    <w:pPr>
      <w:jc w:val="both"/>
    </w:pPr>
    <w:rPr>
      <w:rFonts w:cs="Helvetica"/>
      <w:sz w:val="22"/>
    </w:rPr>
  </w:style>
  <w:style w:type="character" w:customStyle="1" w:styleId="71">
    <w:name w:val="EndNote Bibliography 字符"/>
    <w:basedOn w:val="68"/>
    <w:link w:val="70"/>
    <w:qFormat/>
    <w:uiPriority w:val="0"/>
    <w:rPr>
      <w:rFonts w:ascii="Helvetica" w:hAnsi="Helvetica" w:eastAsia="Times New Roman" w:cs="Helvetica"/>
      <w:sz w:val="22"/>
      <w:lang w:eastAsia="en-US"/>
    </w:rPr>
  </w:style>
  <w:style w:type="character" w:customStyle="1" w:styleId="72">
    <w:name w:val="Heading 2 Char"/>
    <w:basedOn w:val="18"/>
    <w:link w:val="3"/>
    <w:semiHidden/>
    <w:qFormat/>
    <w:uiPriority w:val="0"/>
    <w:rPr>
      <w:rFonts w:asciiTheme="majorHAnsi" w:hAnsiTheme="majorHAnsi" w:eastAsiaTheme="majorEastAsia" w:cstheme="majorBidi"/>
      <w:b/>
      <w:bCs/>
      <w:sz w:val="32"/>
      <w:szCs w:val="32"/>
      <w:lang w:eastAsia="en-US"/>
    </w:rPr>
  </w:style>
  <w:style w:type="character" w:customStyle="1" w:styleId="73">
    <w:name w:val="Heading 3 Char"/>
    <w:basedOn w:val="18"/>
    <w:link w:val="4"/>
    <w:semiHidden/>
    <w:qFormat/>
    <w:uiPriority w:val="0"/>
    <w:rPr>
      <w:rFonts w:ascii="Helvetica" w:hAnsi="Helvetica" w:eastAsia="Times New Roman"/>
      <w:b/>
      <w:bCs/>
      <w:sz w:val="32"/>
      <w:szCs w:val="32"/>
      <w:lang w:eastAsia="en-US"/>
    </w:rPr>
  </w:style>
  <w:style w:type="character" w:customStyle="1" w:styleId="74">
    <w:name w:val="Header Char"/>
    <w:basedOn w:val="18"/>
    <w:link w:val="11"/>
    <w:qFormat/>
    <w:uiPriority w:val="0"/>
    <w:rPr>
      <w:rFonts w:ascii="Helvetica" w:hAnsi="Helvetica" w:eastAsia="Times New Roman"/>
      <w:lang w:eastAsia="en-US"/>
    </w:rPr>
  </w:style>
  <w:style w:type="paragraph" w:styleId="75">
    <w:name w:val="List Paragraph"/>
    <w:basedOn w:val="1"/>
    <w:qFormat/>
    <w:uiPriority w:val="99"/>
    <w:pPr>
      <w:ind w:firstLine="420" w:firstLineChars="200"/>
    </w:pPr>
  </w:style>
  <w:style w:type="character" w:customStyle="1" w:styleId="76">
    <w:name w:val="未处理的提及1"/>
    <w:basedOn w:val="18"/>
    <w:semiHidden/>
    <w:unhideWhenUsed/>
    <w:qFormat/>
    <w:uiPriority w:val="99"/>
    <w:rPr>
      <w:color w:val="605E5C"/>
      <w:shd w:val="clear" w:color="auto" w:fill="E1DFDD"/>
    </w:rPr>
  </w:style>
  <w:style w:type="character" w:customStyle="1" w:styleId="77">
    <w:name w:val="Body Text Char"/>
    <w:basedOn w:val="18"/>
    <w:link w:val="8"/>
    <w:qFormat/>
    <w:uiPriority w:val="0"/>
    <w:rPr>
      <w:rFonts w:ascii="Helvetica" w:hAnsi="Helvetica" w:eastAsia="Times New Roman"/>
      <w:lang w:eastAsia="en-US"/>
    </w:rPr>
  </w:style>
  <w:style w:type="character" w:customStyle="1" w:styleId="78">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emf"/><Relationship Id="rId15" Type="http://schemas.openxmlformats.org/officeDocument/2006/relationships/package" Target="embeddings/Microsoft_Visio___3.vsdx"/><Relationship Id="rId14" Type="http://schemas.openxmlformats.org/officeDocument/2006/relationships/image" Target="media/image2.emf"/><Relationship Id="rId13" Type="http://schemas.openxmlformats.org/officeDocument/2006/relationships/package" Target="embeddings/Microsoft_Visio___2.vsdx"/><Relationship Id="rId12" Type="http://schemas.openxmlformats.org/officeDocument/2006/relationships/chart" Target="charts/chart1.xml"/><Relationship Id="rId11" Type="http://schemas.openxmlformats.org/officeDocument/2006/relationships/image" Target="media/image1.emf"/><Relationship Id="rId10" Type="http://schemas.openxmlformats.org/officeDocument/2006/relationships/package" Target="embeddings/Microsoft_Visio___1.vsdx"/><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1382;&#24180;&#35770;&#25991;&#21457;&#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论文发表数量</c:v>
                </c:pt>
              </c:strCache>
            </c:strRef>
          </c:tx>
          <c:spPr>
            <a:ln w="28575" cap="rnd">
              <a:solidFill>
                <a:schemeClr val="accent1"/>
              </a:solidFill>
              <a:round/>
            </a:ln>
            <a:effectLst/>
          </c:spPr>
          <c:marker>
            <c:symbol val="none"/>
          </c:marker>
          <c:dLbls>
            <c:delete val="1"/>
          </c:dLbls>
          <c:cat>
            <c:numRef>
              <c:f>Sheet1!$A$2:$A$25</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Sheet1!$B$2:$B$25</c:f>
              <c:numCache>
                <c:formatCode>General</c:formatCode>
                <c:ptCount val="24"/>
                <c:pt idx="0">
                  <c:v>7</c:v>
                </c:pt>
                <c:pt idx="1">
                  <c:v>8</c:v>
                </c:pt>
                <c:pt idx="2">
                  <c:v>7</c:v>
                </c:pt>
                <c:pt idx="3">
                  <c:v>11</c:v>
                </c:pt>
                <c:pt idx="4">
                  <c:v>7</c:v>
                </c:pt>
                <c:pt idx="5">
                  <c:v>12</c:v>
                </c:pt>
                <c:pt idx="6">
                  <c:v>10</c:v>
                </c:pt>
                <c:pt idx="7">
                  <c:v>8</c:v>
                </c:pt>
                <c:pt idx="8">
                  <c:v>13</c:v>
                </c:pt>
                <c:pt idx="9">
                  <c:v>10</c:v>
                </c:pt>
                <c:pt idx="10">
                  <c:v>103</c:v>
                </c:pt>
                <c:pt idx="11">
                  <c:v>134</c:v>
                </c:pt>
                <c:pt idx="12">
                  <c:v>114</c:v>
                </c:pt>
                <c:pt idx="13">
                  <c:v>98</c:v>
                </c:pt>
                <c:pt idx="14">
                  <c:v>105</c:v>
                </c:pt>
                <c:pt idx="15">
                  <c:v>87</c:v>
                </c:pt>
                <c:pt idx="16">
                  <c:v>76</c:v>
                </c:pt>
                <c:pt idx="17">
                  <c:v>91</c:v>
                </c:pt>
                <c:pt idx="18">
                  <c:v>130</c:v>
                </c:pt>
                <c:pt idx="19">
                  <c:v>208</c:v>
                </c:pt>
                <c:pt idx="20">
                  <c:v>359</c:v>
                </c:pt>
                <c:pt idx="21">
                  <c:v>515</c:v>
                </c:pt>
                <c:pt idx="22">
                  <c:v>743</c:v>
                </c:pt>
                <c:pt idx="23">
                  <c:v>737</c:v>
                </c:pt>
              </c:numCache>
            </c:numRef>
          </c:val>
          <c:smooth val="0"/>
        </c:ser>
        <c:dLbls>
          <c:showLegendKey val="0"/>
          <c:showVal val="0"/>
          <c:showCatName val="0"/>
          <c:showSerName val="0"/>
          <c:showPercent val="0"/>
          <c:showBubbleSize val="0"/>
        </c:dLbls>
        <c:marker val="0"/>
        <c:smooth val="0"/>
        <c:axId val="349261248"/>
        <c:axId val="349264576"/>
      </c:lineChart>
      <c:catAx>
        <c:axId val="349261248"/>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Year of publication</a:t>
                </a:r>
                <a:endParaRPr lang="en-US" altLang="zh-CN"/>
              </a:p>
            </c:rich>
          </c:tx>
          <c:layout>
            <c:manualLayout>
              <c:xMode val="edge"/>
              <c:yMode val="edge"/>
              <c:x val="0.374376321891802"/>
              <c:y val="0.88904109589041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9264576"/>
        <c:crosses val="autoZero"/>
        <c:auto val="1"/>
        <c:lblAlgn val="ctr"/>
        <c:lblOffset val="100"/>
        <c:tickLblSkip val="5"/>
        <c:noMultiLvlLbl val="0"/>
      </c:catAx>
      <c:valAx>
        <c:axId val="34926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Number of papers published</a:t>
                </a:r>
                <a:endParaRPr lang="en-US" altLang="zh-CN"/>
              </a:p>
            </c:rich>
          </c:tx>
          <c:layout>
            <c:manualLayout>
              <c:xMode val="edge"/>
              <c:yMode val="edge"/>
              <c:x val="0.0219795037756202"/>
              <c:y val="0.15349297091288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9261248"/>
        <c:crosses val="autoZero"/>
        <c:crossBetween val="between"/>
      </c:valAx>
      <c:spPr>
        <a:noFill/>
        <a:ln>
          <a:noFill/>
        </a:ln>
        <a:effectLst/>
      </c:spPr>
    </c:plotArea>
    <c:plotVisOnly val="1"/>
    <c:dispBlanksAs val="gap"/>
    <c:showDLblsOverMax val="0"/>
    <c:extLst>
      <c:ext uri="{0b15fc19-7d7d-44ad-8c2d-2c3a37ce22c3}">
        <chartProps xmlns="https://web.wps.cn/et/2018/main" chartId="{dfc29fde-7026-41ec-98fe-fc0fb4e03c84}"/>
      </c:ext>
    </c:extLst>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0EA3DD-1EDE-4D4C-AE83-B433E7BB00D5}">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10</Pages>
  <Words>4019</Words>
  <Characters>24433</Characters>
  <Lines>434</Lines>
  <Paragraphs>122</Paragraphs>
  <TotalTime>8</TotalTime>
  <ScaleCrop>false</ScaleCrop>
  <LinksUpToDate>false</LinksUpToDate>
  <CharactersWithSpaces>28398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2024-09-04T09:39:00Z</dcterms:created>
  <dc:creator>SDI</dc:creator>
  <cp:lastModifiedBy>Sign笔触</cp:lastModifiedBy>
  <cp:lastPrinted>1999-07-06T11:00:00Z</cp:lastPrinted>
  <dcterms:modified xsi:type="dcterms:W3CDTF">2026-03-07T08:52:25Z</dcterms:modified>
  <dc:title>Paper Template</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70AFEBDCE4404DED9485354ACF466862_13</vt:lpwstr>
  </property>
  <property fmtid="{D5CDD505-2E9C-101B-9397-08002B2CF9AE}" pid="4" name="KSOTemplateDocerSaveRecord">
    <vt:lpwstr>eyJoZGlkIjoiNWI0Yzk5NGY3NzE1YTBmNjgxYjdiMWZkMTEwMTRkYzgiLCJ1c2VySWQiOiIzODU3NjI0NTIifQ==</vt:lpwstr>
  </property>
</Properties>
</file>