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93EC6" w14:textId="77777777" w:rsidR="00B30D25" w:rsidRDefault="00000000">
      <w:pPr>
        <w:spacing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Post-Quantum 5G Slicing Security Framework Integrating AI-Driven Threat Mitigation in Global Telecommunications</w:t>
      </w:r>
    </w:p>
    <w:p w14:paraId="7C5A0D0A" w14:textId="77777777" w:rsidR="00B30D25" w:rsidRDefault="00B30D25">
      <w:pPr>
        <w:spacing w:line="360" w:lineRule="auto"/>
        <w:jc w:val="both"/>
        <w:rPr>
          <w:rFonts w:ascii="Times New Roman" w:eastAsia="Times New Roman" w:hAnsi="Times New Roman" w:cs="Times New Roman"/>
        </w:rPr>
      </w:pPr>
    </w:p>
    <w:p w14:paraId="25B3340B" w14:textId="77777777" w:rsidR="00B30D25" w:rsidRDefault="00000000">
      <w:pPr>
        <w:spacing w:line="360" w:lineRule="auto"/>
        <w:jc w:val="both"/>
        <w:rPr>
          <w:rFonts w:ascii="Times New Roman" w:eastAsia="Times New Roman" w:hAnsi="Times New Roman" w:cs="Times New Roman"/>
          <w:b/>
          <w:bCs/>
        </w:rPr>
      </w:pPr>
      <w:bookmarkStart w:id="0" w:name="_8u4wn7556mya" w:colFirst="0" w:colLast="0"/>
      <w:bookmarkEnd w:id="0"/>
      <w:r>
        <w:rPr>
          <w:rFonts w:ascii="Times New Roman" w:eastAsia="Times New Roman" w:hAnsi="Times New Roman" w:cs="Times New Roman"/>
          <w:b/>
          <w:bCs/>
        </w:rPr>
        <w:t>Abstract</w:t>
      </w:r>
    </w:p>
    <w:p w14:paraId="66E043C4"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The rapid deployment of fifth-generation (5G) networks and the adoption of network slicing have significantly enhanced connectivity and service customization, but they have also expanded the cyber-attack surface of telecommunications infrastructure. At the same time, emerging quantum computing capabilities threaten the security of widely used classical cryptographic schemes such as RSA and Elliptic Curve Cryptography. Despite growing concerns, existing security frameworks for 5G slicing rarely integrate post-quantum cryptography with intelligent threat detection mechanisms. This study addresses this gap by developing a quantum-resistant security architecture for 5G network slicing that combines post-quantum cryptography and artificial intelligence–based anomaly detection. The framework incorporates NIST-standardized algorithms including CRYSTALS‑Kyber for secure key exchange and CRYSTALS‑Dilithium and FALCON for authentication. A hybrid post-quantum/classical TLS scheme was implemented to support secure key establishment with minimal latency overhead of 1.65 ms. Additionally, an AI-driven anomaly detection model using a stacked ensemble of Isolation Forest and XGBoost monitored slice orchestration behavior to detect cyber threats. Simulation results demonstrated high detection performance with a macro F1-score of 0.962 and AUC-ROC of 0.985. The proposed framework offers a practical and scalable approach for securing next-generation telecommunications infrastructure against both current cyber threats and future quantum attacks.</w:t>
      </w:r>
    </w:p>
    <w:p w14:paraId="449491C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Keywords: Post-Quantum Cryptography, 5G Network Slicing, AI Threat Detection, Hybrid TLS, Quantum-Resistant Security</w:t>
      </w:r>
    </w:p>
    <w:p w14:paraId="12A8E4B2" w14:textId="77777777" w:rsidR="00B30D25" w:rsidRDefault="00B30D25">
      <w:pPr>
        <w:spacing w:line="360" w:lineRule="auto"/>
        <w:jc w:val="both"/>
        <w:rPr>
          <w:rFonts w:ascii="Times New Roman" w:eastAsia="Times New Roman" w:hAnsi="Times New Roman" w:cs="Times New Roman"/>
        </w:rPr>
      </w:pPr>
    </w:p>
    <w:p w14:paraId="745A47FE"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1.</w:t>
      </w:r>
      <w:r>
        <w:rPr>
          <w:rFonts w:ascii="Times New Roman" w:eastAsia="Times New Roman" w:hAnsi="Times New Roman" w:cs="Times New Roman"/>
          <w:b/>
          <w:bCs/>
        </w:rPr>
        <w:tab/>
        <w:t>Introduction</w:t>
      </w:r>
    </w:p>
    <w:p w14:paraId="4688D87B"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advent of fifth-generation (5G) mobile networks has transformed global telecommunications by delivering ultra-high-speed data transmission, extensive connectivity, and minimal latency, </w:t>
      </w:r>
      <w:r>
        <w:rPr>
          <w:rFonts w:ascii="Times New Roman" w:eastAsia="Times New Roman" w:hAnsi="Times New Roman" w:cs="Times New Roman"/>
        </w:rPr>
        <w:lastRenderedPageBreak/>
        <w:t>enabling applications from industrial Internet of Things (IoT) to telemedicine and autonomous vehicles. This evolution, however, introduces complex security vulnerabilities due to the network's heterogeneous structure and reliance on software. Network slicing, a pivotal 5G feature, allows for the creation of customized virtual networks, enhancing flexibility but expanding the attack surface to threats like man-in-the-middle (MitM) attacks, authentication bypass, denial-of-service (DoS), and rogue base stations (Shukla &amp; Alatawi, 2025). The looming quantum computing era exacerbates these risks, as traditional cryptographic methods such as RSA and ECC could be broken by quantum algorithms, necessitating a shift to post-quantum cryptography (PQC) to safeguard against both classical and quantum adversaries (Hoque et al., 2025). PQC employs quantum-resistant algorithms, with the National Institute of Standards and Technology (NIST) standardizing options like CRYSTALS-Kyber for key encapsulation, CRYSTALS-Dilithium for digital signatures, and FALCON for compact signatures, all rooted in lattice-based problems (NIST, 2025). These are being incorporated into protocols like Transport Layer Security (TLS) for secure key establishment and authentication in 5G cores (Demir et al., 2025).</w:t>
      </w:r>
    </w:p>
    <w:p w14:paraId="0AE5AE3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Complementing PQC, artificial intelligence (AI)-driven threat detection is vital for bolstering 5G security. AI systems monitor network slice orchestration, identifying advanced persistent threats (APTs), distributed denial-of-service (DDoS) attacks, and SIM-based fraud via behavioral analysis of network function virtualization (NFV) components (Chamola et al., 2021). Machine learning models, trained on telecom-specific intelligence, detect anomalies in software-defined networking (SDN) controllers, edge nodes, and radio access networks, offering adaptive defenses (Gabla et al., 2025). Yet, despite these progresses, a unified framework integrating PQC and AI remains elusive. Current approaches often isolate cryptographic enhancements or detection mechanisms, lacking synergy, while PQC deployment in 5G is nascent, with scarce performance insights and guidelines (Mobarki et al., 2021). This gap in merging NIST PQC with AI for 5G slicing undermines resilience against evolving quantum threats.</w:t>
      </w:r>
    </w:p>
    <w:p w14:paraId="285A45E9"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problem centers on this integration deficit, as fragmented solutions fail to provide comprehensive protection for 5G slicing. For instance, while PQC addresses quantum vulnerabilities in encryption, it does not inherently handle dynamic threats like APTs, which AI excels at detecting but lacks quantum resistance in underlying security (Dorozhynskyi et al., 2023). Limited empirical data on PQC in real 5G environments hinders adoption, and without cohesive frameworks, networks remain exposed to hybrid attacks combining classical exploits with quantum capabilities (Dong et al., 2024). Addressing this requires a holistic approach to ensure telecommunications infrastructure's longevity.</w:t>
      </w:r>
    </w:p>
    <w:p w14:paraId="2A38B6C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study's scope emphasizes developing a quantum-resistant architecture for 5G slicing, focusing on NIST PQC (Kyber, Dilithium, Falcon) integrated with AI threat detection. It encompasses designing a hybrid PQC/classical framework for TLS in 5G cores, validating AI anomaly systems for slice monitoring, evaluating performance in deployments, and offering deployment benchmarks. Exclusions include physical quantum key distribution (QKD) or novel PQC algorithm creation, concentrating instead on practical integration and assessment.</w:t>
      </w:r>
    </w:p>
    <w:p w14:paraId="5CC83CB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significance lies in fortifying critical infrastructure against quantum and classical threats through this integrated framework, enabling real-time adaptive responses. It provides essential performance data and guidelines for PQC in 5G, aiding the transition to quantum-safe systems and informing regulatory standards for telecom security (Li et al., 2024; Pearson, 2024). By bridging literature gaps, it enhances global network integrity, supporting sectors reliant on secure 5G like healthcare and transportation (Garcia et al., 2025).</w:t>
      </w:r>
    </w:p>
    <w:p w14:paraId="08CF2011"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elaborating the background, 5G's slicing paradigm, while innovative, demands robust security amid quantum advancements. PQC standardization by NIST marks a proactive step, with algorithms like Kyber ensuring efficient key exchanges resistant to Shor's algorithm (NIST, 2024). AI integration amplifies this by leveraging predictive analytics for threat mitigation, as seen in generative AI's role in 5G maintenance and security (Pearson, 2024). However, the problem persists in siloed implementations; for example, PQC-focused studies overlook AI's behavioral insights, while AI detections often rely on vulnerable classical crypto (Hoque et al., 2025). Scope-wise, the framework's evaluation will simulate real-world scenarios, measuring metrics like latency and detection accuracy, without delving into hardware-specific quantum implementations.</w:t>
      </w:r>
    </w:p>
    <w:p w14:paraId="0D0DD3E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Significantly, this work contributes to post-quantum readiness, as highlighted in reviews of 2025 developments, emphasizing the need for hybrid systems in telecom (QuantumGate, 2026). It aligns with EU roadmaps for PQC adoption, promoting standardized transitions (Telefónica, 2025). By providing benchmarks, it aids industries in deploying secure slicing, reducing vulnerabilities in power systems and beyond (Dam et al., 2025).</w:t>
      </w:r>
    </w:p>
    <w:p w14:paraId="66868FA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aim of this research is to develop a quantum-resistant security architecture for 5G network slicing that integrates NIST-standardized post-quantum cryptographic algorithms with AI-driven threat detection to protect against quantum computing threats.</w:t>
      </w:r>
    </w:p>
    <w:p w14:paraId="53418129"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specific objectives are:</w:t>
      </w:r>
    </w:p>
    <w:p w14:paraId="1304E208" w14:textId="77777777" w:rsidR="00B30D25"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Design a hybrid PQC framework for TLS in 5G cores with low latency.</w:t>
      </w:r>
    </w:p>
    <w:p w14:paraId="3D60021B" w14:textId="77777777" w:rsidR="00B30D25"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Develop AI anomaly detection for monitoring 5G slice threats.</w:t>
      </w:r>
    </w:p>
    <w:p w14:paraId="273D9E4D" w14:textId="77777777" w:rsidR="00B30D25"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Evaluate framework performance and provide deployment guidelines.</w:t>
      </w:r>
    </w:p>
    <w:p w14:paraId="01EEB74F" w14:textId="77777777" w:rsidR="00B30D25" w:rsidRDefault="00B30D25">
      <w:pPr>
        <w:spacing w:line="360" w:lineRule="auto"/>
        <w:jc w:val="both"/>
        <w:rPr>
          <w:rFonts w:ascii="Times New Roman" w:eastAsia="Times New Roman" w:hAnsi="Times New Roman" w:cs="Times New Roman"/>
        </w:rPr>
      </w:pPr>
    </w:p>
    <w:p w14:paraId="3DFB022E"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b/>
          <w:bCs/>
        </w:rPr>
        <w:tab/>
        <w:t>Literature Review</w:t>
      </w:r>
    </w:p>
    <w:p w14:paraId="618F6631"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chapter delves into existing research to establish theoretical, conceptual, and empirical bases for a unified security framework. It examines prior studies on quantum-resistant mechanisms, network slicing security, AI applications in threat mitigation, and identifies persistent gaps that the proposed architecture aims to address.</w:t>
      </w:r>
    </w:p>
    <w:p w14:paraId="55506195"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Theoretical Foundations of Post-Quantum Cryptography</w:t>
      </w:r>
    </w:p>
    <w:p w14:paraId="07BC6DAB" w14:textId="77777777" w:rsidR="00B30D25" w:rsidRDefault="00000000" w:rsidP="00B025A7">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theoretical underpinnings of PQC stem from mathematical problems resistant to quantum algorithms, such as lattice-based, code-based, and hash-based schemes, which form the core of NIST-standardized algorithms like CRYSTALS-Kyber and CRYSTALS-Dilithium. Early works emphasized the inadequacy of classical cryptography against Shor's algorithm, prompting a shift toward quantum-safe alternatives in telecommunications. For instance, research on integrating PQC into 5G core networks demonstrates how lattice-based key encapsulation mechanisms (KEMs) can replace elliptic curve Diffie-Hellman for secure key exchanges, maintaining confidentiality amid quantum advancements (Attema et al., 2025). Conceptual models further explore hybrid approaches, combining classical and PQC primitives to ensure backward compatibility while enhancing resistance to Grover's algorithm, which could halve symmetric key strength. Empirical evaluations reveal that PQC implementations incur higher computational overhead</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up to 20% increase in latency</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but optimizations like hardware acceleration mitigate this in resource-constrained environments (Quantum Computing News, 2025). In 5G contexts, theoretical frameworks advocate for cryptographic agility, allowing dynamic algorithm switching to adapt to evolving threats, as seen in studies simulating quantum attacks on authentication protocols (Bhatt et al., 2025</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Udechukwu, 2025). These foundations underscore the need for standardized transitions, yet many models overlook integration with dynamic network features like slicing, leaving theoretical gaps in holistic quantum resilience.</w:t>
      </w:r>
    </w:p>
    <w:p w14:paraId="62C7F91C"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Security Challenges in 5G Network Slicing</w:t>
      </w:r>
    </w:p>
    <w:p w14:paraId="2CAC85A8"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Network slicing in 5G introduces virtualized, isolated segments for diverse applications, but this heterogeneity amplifies security risks, including cross-slice attacks and resource isolation failures. Conceptual reviews highlight vulnerabilities in software-defined networking (SDN) and network function virtualization (NFV), where attackers exploit orchestration layers to launch denial-of-service (DoS) or man-in-the-middle assaults (Alam et al., 2026). Empirical studies on 5G deployments reveal that inadequate isolation can lead to privilege escalation, with simulations showing success rates for intra-slice breaches in unhardened environments (Dohler, 2024). Current approaches emphasize zero-trust architectures, enforcing continuous verification, but quantum threats compound these issues by potentially decrypting sliced traffic encrypted with vulnerable algorithms (ATIS, 2025). Research on quantum-safe slicing proposes embedding PQC in transport layer security (TLS) for inter-slice communications, yet performance analyses indicate trade-offs, such as increased bandwidth usage due to larger key sizes (Mehić et al., 2023). Sub-topics in orchestration security explore policy-based controls, but gaps persist in addressing quantum-resistant authentication for multi-tenant slices, where classical public-key infrastructures (PKIs) fail against large-scale quantum factoring.</w:t>
      </w:r>
    </w:p>
    <w:p w14:paraId="719059BE"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AI-Driven Threat Mitigation Strategies</w:t>
      </w:r>
    </w:p>
    <w:p w14:paraId="49CFB473"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AI has emerged as a pivotal tool for real-time threat detection in 5G, leveraging machine learning (ML) for anomaly identification in sliced networks. Conceptual frameworks integrate deep learning models, such as convolutional neural networks (CNNs), to analyze traffic patterns and predict advanced persistent threats (APTs), achieving high detection accuracies in controlled simulations (Mohan &amp; Security Architect, 2024). Empirical research demonstrates AI's efficacy in mitigating DDoS attacks through behavioral analysis of NFV components, where reinforcement learning adapts defenses dynamically, reducing false positives by 40% compared to rule-based systems (Sugumar, 2025). In quantum contexts, AI augments PQC by monitoring for side-channel attacks on cryptographic implementations, using unsupervised learning to detect deviations in computational patterns (ATIS, 2025). Recent advances incorporate generative AI for simulating threat scenarios, enhancing predictive maintenance in 5G cores and enabling proactive slice reconfiguration (Subex, 2024). However, challenges arise in data privacy, as AI models trained on telecom datasets risk exposure to quantum decryption if not secured with PQC. Studies on hybrid AI-PQC systems show promise, but empirical benchmarks indicate scalability issues in ultra-low latency applications, with processing delays up to 10ms in edge environments (Okolo et al., 2025).</w:t>
      </w:r>
    </w:p>
    <w:p w14:paraId="404A854E"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Integration Gaps and Research Opportunities</w:t>
      </w:r>
    </w:p>
    <w:p w14:paraId="05E8DFE6"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advancements, significant gaps remain in unifying PQC with AI for 5G slicing security. Theoretical models often isolate cryptographic enhancements from AI-driven detection, leading to fragmented defenses vulnerable to hybrid quantum-classical attacks (Vicomtech, 2025). Empirical analyses reveal that while PQC secures static elements like key exchanges, it inadequately addresses dynamic threats in sliced orchestration, where AI excels but lacks quantum resistance in underlying algorithms (NSA et al., 2022). Current approaches fail to provide comprehensive benchmarks for integrated frameworks, with studies noting up to 25% performance degradation when combining PQC overhead with AI computations (Vicomtech, 2025). Regulatory frameworks emphasize quantum readiness, yet practical deployment guidelines are sparse, highlighting opportunities for hybrid protocols that embed AI anomaly detection within PQC-secured TLS handshakes (Telecommunication Engineering Centre, 2025). Future research should focus on scalable integrations, such as AI-optimized PQC parameter selection to minimize latency, addressing the gap in real-world 5G trials. This synthesis identifies the need for a cohesive architecture, as proposed in this study, to bridge these divides and ensure resilient telecommunications against evolving threats.</w:t>
      </w:r>
    </w:p>
    <w:p w14:paraId="51E236DF" w14:textId="77777777" w:rsidR="00B30D25" w:rsidRDefault="00B30D25">
      <w:pPr>
        <w:spacing w:line="360" w:lineRule="auto"/>
        <w:jc w:val="both"/>
        <w:rPr>
          <w:rFonts w:ascii="Times New Roman" w:eastAsia="Times New Roman" w:hAnsi="Times New Roman" w:cs="Times New Roman"/>
        </w:rPr>
      </w:pPr>
    </w:p>
    <w:p w14:paraId="6E5FEB51"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b/>
          <w:bCs/>
        </w:rPr>
        <w:tab/>
        <w:t>Research Methodology</w:t>
      </w:r>
    </w:p>
    <w:p w14:paraId="70D36840"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chapter outlines the methodological framework employed to develop and evaluate the Post-Quantum 5G Slicing Security Framework Integrating Artificial Intelligence-Driven Threat Mitigation in Global Telecommunications. The methodology adopts a simulation-based design, implementation, and validation approach to ensure quantum-safe security within fifth-generation (5G) network slicing. It integrates National Institute of Standards and Technology (NIST)-standardized post-quantum cryptographic (PQC) algorithms with artificial intelligence (AI)-driven threat detection mechanisms (NIST, 2024).</w:t>
      </w:r>
    </w:p>
    <w:p w14:paraId="795359C1"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Research Design</w:t>
      </w:r>
    </w:p>
    <w:p w14:paraId="0DA740B8"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design follows a hybrid, iterative, and pragmatic approach. It combines quantitative performance modeling with comprehensive threat analysis to construct a layered security architecture that merges post-quantum cryptography with classical mechanisms. The simulation-driven methodology leverages open-source tools, including ns-3 enhanced with the 5G-LENA module for emulating 5G networks and network slicing functionalities, Open Quantum Safe (liboqs) libraries for implementing post-quantum cryptographic primitives, and Python-based frameworks for developing AI components. The overall architecture is structured into three primary layers: the cryptographic layer, the orchestration layer, and the detection layer. The cryptographic layer incorporates NIST-standardized post-quantum algorithms, specifically ML-KEM (formerly CRYSTALS-Kyber) for key encapsulation, ML-DSA (formerly CRYSTALS-Dilithium) for digital signatures, and FALCON for compact and efficient authentication. The orchestration layer utilizes software-defined networking (SDN) controllers augmented with AI-based monitoring capabilities. The detection layer applies machine learning techniques for anomaly identification within network function virtualization (NFV) environments (Attema et al., 2025; Demir et al., 2025).</w:t>
      </w:r>
    </w:p>
    <w:p w14:paraId="646A9335"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Data Collection and Sources</w:t>
      </w:r>
    </w:p>
    <w:p w14:paraId="679E3337"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Data for this study are derived from publicly available telecommunications datasets, standardized test vectors, and simulation-generated traces. Primary sources include the Canadian Institute for Cybersecurity Intrusion Detection System 2017 (CIC-IDS2017) dataset, which provides labeled network flows encompassing benign traffic alongside attacks such as distributed denial-of-service (DDoS) and advanced persistent threats (APTs). This dataset is extended with 5G-specific traces to enhance relevance. Additional sources comprise 5G slicing datasets obtained from European Telecommunications Standards Institute (ETSI) repositories, NIST PQC test vectors for evaluating ML-KEM, ML-DSA, and FALCON operations, and custom traces produced using the ns-3 5G-LENA module. These simulation traces are generated under high-traffic scenarios to replicate slice isolation vulnerabilities and orchestration-related attacks (Sharafaldin et al., 2019).</w:t>
      </w:r>
    </w:p>
    <w:p w14:paraId="3B1FB274"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Data Preprocessing and Feature Engineering</w:t>
      </w:r>
    </w:p>
    <w:p w14:paraId="4A0DCE1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Preprocessing involves applying Min-Max normalization to scale feature values appropriately for machine learning models. The normalization formula is defined as follows:</w:t>
      </w:r>
    </w:p>
    <w:p w14:paraId="0EA7A91D" w14:textId="77777777" w:rsidR="00B30D25"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t>
              </m:r>
            </m:sup>
          </m:sSup>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(x-min(X))</m:t>
                  </m:r>
                </m:num>
                <m:den>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X</m:t>
                      </m:r>
                    </m:e>
                  </m:d>
                  <m:r>
                    <w:rPr>
                      <w:rFonts w:ascii="Cambria Math" w:hAnsi="Cambria Math"/>
                    </w:rPr>
                    <m:t xml:space="preserve"> </m:t>
                  </m:r>
                  <m:r>
                    <w:rPr>
                      <w:rFonts w:ascii="Cambria Math" w:eastAsia="Cambria Math" w:hAnsi="Cambria Math" w:cs="Cambria Math"/>
                    </w:rPr>
                    <m:t>-min(X))</m:t>
                  </m:r>
                </m:den>
              </m:f>
            </m:e>
          </m:d>
        </m:oMath>
      </m:oMathPara>
    </w:p>
    <w:p w14:paraId="510F7AD3"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Here, </w:t>
      </w:r>
      <m:oMath>
        <m:r>
          <w:rPr>
            <w:rFonts w:ascii="Cambria Math" w:eastAsia="Cambria Math" w:hAnsi="Cambria Math" w:cs="Cambria Math"/>
          </w:rPr>
          <m:t>x</m:t>
        </m:r>
      </m:oMath>
      <w:r>
        <w:rPr>
          <w:rFonts w:ascii="Times New Roman" w:eastAsia="Times New Roman" w:hAnsi="Times New Roman" w:cs="Times New Roman"/>
        </w:rPr>
        <w:t xml:space="preserve"> represents an individual feature value, </w:t>
      </w:r>
      <m:oMath>
        <m:r>
          <w:rPr>
            <w:rFonts w:ascii="Cambria Math" w:eastAsia="Cambria Math" w:hAnsi="Cambria Math" w:cs="Cambria Math"/>
          </w:rPr>
          <m:t>min(X)</m:t>
        </m:r>
      </m:oMath>
      <w:r>
        <w:rPr>
          <w:rFonts w:ascii="Times New Roman" w:eastAsia="Times New Roman" w:hAnsi="Times New Roman" w:cs="Times New Roman"/>
        </w:rPr>
        <w:t xml:space="preserve"> denotes the minimum value within the feature set </w:t>
      </w:r>
      <m:oMath>
        <m:r>
          <w:rPr>
            <w:rFonts w:ascii="Cambria Math" w:eastAsia="Cambria Math" w:hAnsi="Cambria Math" w:cs="Cambria Math"/>
          </w:rPr>
          <m:t>X</m:t>
        </m:r>
      </m:oMath>
      <w:r>
        <w:rPr>
          <w:rFonts w:ascii="Times New Roman" w:eastAsia="Times New Roman" w:hAnsi="Times New Roman" w:cs="Times New Roman"/>
        </w:rPr>
        <w:t xml:space="preserve">, and </w:t>
      </w:r>
      <m:oMath>
        <m:d>
          <m:dPr>
            <m:ctrlPr>
              <w:rPr>
                <w:rFonts w:ascii="Cambria Math" w:eastAsia="Cambria Math" w:hAnsi="Cambria Math" w:cs="Cambria Math"/>
              </w:rPr>
            </m:ctrlPr>
          </m:dPr>
          <m:e>
            <m:r>
              <w:rPr>
                <w:rFonts w:ascii="Cambria Math" w:eastAsia="Cambria Math" w:hAnsi="Cambria Math" w:cs="Cambria Math"/>
              </w:rPr>
              <m:t>X</m:t>
            </m:r>
          </m:e>
        </m:d>
        <m:r>
          <w:rPr>
            <w:rFonts w:ascii="Cambria Math" w:hAnsi="Cambria Math"/>
          </w:rPr>
          <m:t xml:space="preserve"> </m:t>
        </m:r>
      </m:oMath>
      <w:r>
        <w:rPr>
          <w:rFonts w:ascii="Times New Roman" w:eastAsia="Times New Roman" w:hAnsi="Times New Roman" w:cs="Times New Roman"/>
        </w:rPr>
        <w:t xml:space="preserve"> denotes the maximum value within the feature set </w:t>
      </w:r>
      <m:oMath>
        <m:r>
          <w:rPr>
            <w:rFonts w:ascii="Cambria Math" w:eastAsia="Cambria Math" w:hAnsi="Cambria Math" w:cs="Cambria Math"/>
          </w:rPr>
          <m:t>X</m:t>
        </m:r>
      </m:oMath>
      <w:r>
        <w:rPr>
          <w:rFonts w:ascii="Times New Roman" w:eastAsia="Times New Roman" w:hAnsi="Times New Roman" w:cs="Times New Roman"/>
        </w:rPr>
        <w:t>.</w:t>
      </w:r>
    </w:p>
    <w:p w14:paraId="59E7E0D2"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Feature engineering extracts domain-specific metrics, including inter-slice traffic entropy, SDN flow anomaly scores, and NFV resource utilization metrics. The dataset comprises approximately 500,000 flow records, which are divided using an 80/20 split for training and validation sets, respectively.</w:t>
      </w:r>
    </w:p>
    <w:p w14:paraId="2FA8AEE8"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Analytical Approaches</w:t>
      </w:r>
    </w:p>
    <w:p w14:paraId="754AD338"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analytical framework integrates cryptographic performance modeling, machine learning pipelines, and statistical validation techniques.</w:t>
      </w:r>
    </w:p>
    <w:p w14:paraId="5295FC7C"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Hybrid Transport Layer Security (TLS) handshakes incorporate post-quantum cryptographic overhead. The total handshake time is modeled as:</w:t>
      </w:r>
    </w:p>
    <w:p w14:paraId="5F0405AD" w14:textId="77777777" w:rsidR="00B30D25" w:rsidRDefault="00000000">
      <w:pPr>
        <w:jc w:val="center"/>
        <w:rPr>
          <w:rFonts w:ascii="Cambria Math" w:eastAsia="Cambria Math" w:hAnsi="Cambria Math" w:cs="Cambria Math"/>
        </w:rPr>
      </w:pPr>
      <m:oMathPara>
        <m:oMath>
          <m:r>
            <w:rPr>
              <w:rFonts w:ascii="Cambria Math" w:eastAsia="Cambria Math" w:hAnsi="Cambria Math" w:cs="Cambria Math"/>
            </w:rPr>
            <m:t xml:space="preserve">Handshake Time=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classical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Kyber-Encaps</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Dilithium-Sign</m:t>
              </m:r>
            </m:sub>
          </m:sSub>
        </m:oMath>
      </m:oMathPara>
    </w:p>
    <w:p w14:paraId="385A958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this equation,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classical</m:t>
            </m:r>
          </m:sub>
        </m:sSub>
      </m:oMath>
      <w:r>
        <w:rPr>
          <w:rFonts w:ascii="Times New Roman" w:eastAsia="Times New Roman" w:hAnsi="Times New Roman" w:cs="Times New Roman"/>
        </w:rPr>
        <w:t xml:space="preserve"> represents the duration of the classical handshake component,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Kyber-Encaps</m:t>
            </m:r>
          </m:sub>
        </m:sSub>
      </m:oMath>
      <w:r>
        <w:rPr>
          <w:rFonts w:ascii="Times New Roman" w:eastAsia="Times New Roman" w:hAnsi="Times New Roman" w:cs="Times New Roman"/>
        </w:rPr>
        <w:t xml:space="preserve"> denotes the time required for Kyber (ML-KEM) encapsulation (approximately 0.5 ms on ARM Cortex-A72 processors), and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Dilithium-Sign</m:t>
            </m:r>
          </m:sub>
        </m:sSub>
      </m:oMath>
      <w:r>
        <w:rPr>
          <w:rFonts w:ascii="Times New Roman" w:eastAsia="Times New Roman" w:hAnsi="Times New Roman" w:cs="Times New Roman"/>
        </w:rPr>
        <w:t xml:space="preserve"> represents the time required for Dilithium (ML-DSA) signing. ML-KEM-768 (Kyber-768) is employed for key encapsulation, while FALCON-512 provides compact signatures of approximately 666 bytes to enhance authentication efficiency (Demir et al., 2025; NIST, 2024).</w:t>
      </w:r>
    </w:p>
    <w:p w14:paraId="0626B05D"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AI-driven threat detection employs a stacked ensemble model combining Isolation Forest for unsupervised anomaly detection and Extreme Gradient Boosting (XGBoost) for supervised classification. The Isolation Forest anomaly score is computed as:</w:t>
      </w:r>
    </w:p>
    <w:p w14:paraId="1548973C" w14:textId="241EF71E" w:rsidR="00B30D25" w:rsidRDefault="00000000">
      <w:pPr>
        <w:jc w:val="center"/>
        <w:rPr>
          <w:rFonts w:ascii="Cambria Math" w:eastAsia="Cambria Math" w:hAnsi="Cambria Math" w:cs="Cambria Math"/>
        </w:rPr>
      </w:pPr>
      <m:oMathPara>
        <m:oMath>
          <m:r>
            <w:rPr>
              <w:rFonts w:ascii="Cambria Math" w:eastAsia="Cambria Math" w:hAnsi="Cambria Math" w:cs="Cambria Math"/>
            </w:rPr>
            <m:t>S=-</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eastAsia="Cambria Math" w:hAnsi="Cambria Math" w:cs="Cambria Math"/>
                </w:rPr>
                <m:t>E[h(</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e>
          </m:nary>
        </m:oMath>
      </m:oMathPara>
    </w:p>
    <w:p w14:paraId="1CDE9C29"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n</m:t>
        </m:r>
      </m:oMath>
      <w:r>
        <w:rPr>
          <w:rFonts w:ascii="Times New Roman" w:eastAsia="Times New Roman" w:hAnsi="Times New Roman" w:cs="Times New Roman"/>
        </w:rPr>
        <w:t xml:space="preserve"> is the number of instances, and </w:t>
      </w:r>
      <m:oMath>
        <m:r>
          <w:rPr>
            <w:rFonts w:ascii="Cambria Math" w:eastAsia="Cambria Math" w:hAnsi="Cambria Math" w:cs="Cambria Math"/>
          </w:rPr>
          <m:t>E[h(</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oMath>
      <w:r>
        <w:rPr>
          <w:rFonts w:ascii="Times New Roman" w:eastAsia="Times New Roman" w:hAnsi="Times New Roman" w:cs="Times New Roman"/>
        </w:rPr>
        <w:t xml:space="preserve"> is the expected path length in isolation trees for instance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w:r>
        <w:rPr>
          <w:rFonts w:ascii="Times New Roman" w:eastAsia="Times New Roman" w:hAnsi="Times New Roman" w:cs="Times New Roman"/>
        </w:rPr>
        <w:t>. Shorter path lengths indicate higher anomaly likelihood.</w:t>
      </w:r>
    </w:p>
    <w:p w14:paraId="23198FB0"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XGBoost prediction is expressed as:</w:t>
      </w:r>
    </w:p>
    <w:p w14:paraId="26AA0EA8" w14:textId="03E953D3" w:rsidR="00B30D25"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y</m:t>
                  </m:r>
                </m:e>
              </m:acc>
            </m:e>
            <m:sub>
              <m:r>
                <w:rPr>
                  <w:rFonts w:ascii="Cambria Math" w:eastAsia="Cambria Math" w:hAnsi="Cambria Math" w:cs="Cambria Math"/>
                </w:rPr>
                <m:t>i</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K</m:t>
              </m:r>
            </m:sup>
            <m:e>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k</m:t>
                  </m:r>
                </m:sub>
              </m:s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e>
          </m:nary>
        </m:oMath>
      </m:oMathPara>
    </w:p>
    <w:p w14:paraId="650113F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model minimizes the objective loss function:</w:t>
      </w:r>
      <w:r>
        <w:rPr>
          <w:rFonts w:ascii="Times New Roman" w:eastAsia="Times New Roman" w:hAnsi="Times New Roman" w:cs="Times New Roman"/>
          <w:noProof/>
        </w:rPr>
        <w:drawing>
          <wp:inline distT="0" distB="0" distL="0" distR="0" wp14:anchorId="34558946" wp14:editId="50801573">
            <wp:extent cx="9525" cy="9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525" cy="9525"/>
                    </a:xfrm>
                    <a:prstGeom prst="rect">
                      <a:avLst/>
                    </a:prstGeom>
                    <a:ln/>
                  </pic:spPr>
                </pic:pic>
              </a:graphicData>
            </a:graphic>
          </wp:inline>
        </w:drawing>
      </w:r>
    </w:p>
    <w:p w14:paraId="62D2F824" w14:textId="5223AE60" w:rsidR="00B025A7" w:rsidRDefault="00B025A7" w:rsidP="00B025A7">
      <w:pPr>
        <w:spacing w:line="360" w:lineRule="auto"/>
        <w:jc w:val="both"/>
        <w:rPr>
          <w:rFonts w:ascii="Times New Roman" w:eastAsia="Times New Roman" w:hAnsi="Times New Roman" w:cs="Times New Roman"/>
        </w:rPr>
      </w:pPr>
      <m:oMathPara>
        <m:oMath>
          <m:r>
            <m:rPr>
              <m:scr m:val="script"/>
            </m:rPr>
            <w:rPr>
              <w:rFonts w:ascii="Cambria Math" w:eastAsia="Times New Roman" w:hAnsi="Cambria Math" w:cs="Times New Roman"/>
            </w:rPr>
            <m:t>L=</m:t>
          </m:r>
          <m:nary>
            <m:naryPr>
              <m:chr m:val="∑"/>
              <m:limLoc m:val="subSup"/>
              <m:supHide m:val="1"/>
              <m:ctrlPr>
                <w:rPr>
                  <w:rFonts w:ascii="Cambria Math" w:eastAsia="Times New Roman" w:hAnsi="Cambria Math" w:cs="Times New Roman"/>
                  <w:i/>
                </w:rPr>
              </m:ctrlPr>
            </m:naryPr>
            <m:sub>
              <m:r>
                <w:rPr>
                  <w:rFonts w:ascii="Cambria Math" w:eastAsia="Times New Roman" w:hAnsi="Cambria Math" w:cs="Times New Roman"/>
                </w:rPr>
                <m:t>l</m:t>
              </m:r>
            </m:sub>
            <m:sup/>
            <m:e>
              <m:r>
                <w:rPr>
                  <w:rFonts w:ascii="Cambria Math" w:eastAsia="Cambria Math" w:hAnsi="Cambria Math" w:cs="Cambria Math"/>
                </w:rPr>
                <m:t>l(</m:t>
              </m:r>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y</m:t>
                      </m:r>
                    </m:e>
                  </m:acc>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r>
                <w:rPr>
                  <w:rFonts w:ascii="Cambria Math" w:eastAsia="Cambria Math" w:hAnsi="Cambria Math" w:cs="Cambria Math"/>
                </w:rPr>
                <m:t>)</m:t>
              </m:r>
            </m:e>
          </m:nary>
          <m:r>
            <w:rPr>
              <w:rFonts w:ascii="Cambria Math" w:eastAsia="Times New Roman" w:hAnsi="Cambria Math" w:cs="Times New Roman"/>
            </w:rPr>
            <m:t>+</m:t>
          </m:r>
          <m:nary>
            <m:naryPr>
              <m:chr m:val="∑"/>
              <m:limLoc m:val="subSup"/>
              <m:supHide m:val="1"/>
              <m:ctrlPr>
                <w:rPr>
                  <w:rFonts w:ascii="Cambria Math" w:eastAsia="Times New Roman" w:hAnsi="Cambria Math" w:cs="Times New Roman"/>
                  <w:i/>
                </w:rPr>
              </m:ctrlPr>
            </m:naryPr>
            <m:sub>
              <m:r>
                <w:rPr>
                  <w:rFonts w:ascii="Cambria Math" w:eastAsia="Times New Roman" w:hAnsi="Cambria Math" w:cs="Times New Roman"/>
                </w:rPr>
                <m:t>k</m:t>
              </m:r>
            </m:sub>
            <m:sup/>
            <m:e>
              <m:r>
                <w:rPr>
                  <w:rFonts w:ascii="Cambria Math" w:eastAsia="Cambria Math" w:hAnsi="Cambria Math" w:cs="Cambria Math"/>
                </w:rPr>
                <m:t>Ω(</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k</m:t>
                  </m:r>
                </m:sub>
              </m:sSub>
              <m:r>
                <w:rPr>
                  <w:rFonts w:ascii="Cambria Math" w:eastAsia="Cambria Math" w:hAnsi="Cambria Math" w:cs="Cambria Math"/>
                </w:rPr>
                <m:t>)</m:t>
              </m:r>
            </m:e>
          </m:nary>
        </m:oMath>
      </m:oMathPara>
    </w:p>
    <w:p w14:paraId="18AAA1FA"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Here, </w:t>
      </w:r>
      <m:oMath>
        <m:r>
          <w:rPr>
            <w:rFonts w:ascii="Cambria Math" w:eastAsia="Cambria Math" w:hAnsi="Cambria Math" w:cs="Cambria Math"/>
          </w:rPr>
          <m:t>l</m:t>
        </m:r>
      </m:oMath>
      <w:r>
        <w:rPr>
          <w:rFonts w:ascii="Times New Roman" w:eastAsia="Times New Roman" w:hAnsi="Times New Roman" w:cs="Times New Roman"/>
        </w:rPr>
        <w:t xml:space="preserve"> denotes the loss term, </w:t>
      </w:r>
      <m:oMath>
        <m:r>
          <w:rPr>
            <w:rFonts w:ascii="Cambria Math" w:hAnsi="Cambria Math"/>
          </w:rPr>
          <m:t>Ω</m:t>
        </m:r>
      </m:oMath>
      <w:r>
        <w:rPr>
          <w:rFonts w:ascii="Times New Roman" w:eastAsia="Times New Roman" w:hAnsi="Times New Roman" w:cs="Times New Roman"/>
        </w:rPr>
        <w:t xml:space="preserve"> represents the regularization term, and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k</m:t>
            </m:r>
          </m:sub>
        </m:sSub>
      </m:oMath>
      <w:r>
        <w:rPr>
          <w:rFonts w:ascii="Times New Roman" w:eastAsia="Times New Roman" w:hAnsi="Times New Roman" w:cs="Times New Roman"/>
        </w:rPr>
        <w:t xml:space="preserve"> represents individual base learners. Input features include NFV central processing unit (CPU) utilization, SDN flow entropy calculated as:</w:t>
      </w:r>
    </w:p>
    <w:p w14:paraId="677C3C96" w14:textId="3EDBAB29" w:rsidR="00B30D25" w:rsidRDefault="00000000">
      <w:pPr>
        <w:jc w:val="center"/>
      </w:pPr>
      <m:oMathPara>
        <m:oMath>
          <m:r>
            <w:rPr>
              <w:rFonts w:ascii="Cambria Math" w:eastAsia="Cambria Math" w:hAnsi="Cambria Math" w:cs="Cambria Math"/>
            </w:rPr>
            <m:t>H</m:t>
          </m:r>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e>
          </m:nary>
          <m:r>
            <w:rPr>
              <w:rFonts w:ascii="Cambria Math" w:hAnsi="Cambria Math"/>
            </w:rPr>
            <m:t xml:space="preserve"> </m:t>
          </m:r>
        </m:oMath>
      </m:oMathPara>
    </w:p>
    <w:p w14:paraId="242D2D5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p</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e>
        </m:d>
      </m:oMath>
      <w:r>
        <w:rPr>
          <w:rFonts w:ascii="Times New Roman" w:eastAsia="Times New Roman" w:hAnsi="Times New Roman" w:cs="Times New Roman"/>
        </w:rPr>
        <w:t xml:space="preserve"> is the probability distribution of flows, and slice isolation ratios (Sharafaldin et al., 2019; Okolo et al., 2025).</w:t>
      </w:r>
    </w:p>
    <w:p w14:paraId="7432580C"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Threat modeling utilizes Attack-Flow Matrices (AFM) with probabilities estimated via Bayesian inference. Matrix elements quantify likelihoods of specific threats across critical assets, such as inter-slice attacks (0.85 probability), orchestration attacks (0.92 probability), and supply-chain compromises (0.78 probability) affecting SDN controllers and edge nodes.</w:t>
      </w:r>
    </w:p>
    <w:p w14:paraId="4A68A996"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Key hyperparameters include Isolation Forest configured with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estimators</m:t>
            </m:r>
          </m:sub>
        </m:sSub>
        <m:r>
          <w:rPr>
            <w:rFonts w:ascii="Cambria Math" w:eastAsia="Cambria Math" w:hAnsi="Cambria Math" w:cs="Cambria Math"/>
          </w:rPr>
          <m:t>=100</m:t>
        </m:r>
      </m:oMath>
      <w:r>
        <w:rPr>
          <w:rFonts w:ascii="Times New Roman" w:eastAsia="Times New Roman" w:hAnsi="Times New Roman" w:cs="Times New Roman"/>
        </w:rPr>
        <w:t xml:space="preserve"> and contamination = 0.1, and XGBoost configured with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depth</m:t>
            </m:r>
          </m:sub>
        </m:sSub>
        <m:r>
          <w:rPr>
            <w:rFonts w:ascii="Cambria Math" w:eastAsia="Cambria Math" w:hAnsi="Cambria Math" w:cs="Cambria Math"/>
          </w:rPr>
          <m:t>=6</m:t>
        </m:r>
      </m:oMath>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learning</m:t>
            </m:r>
          </m:e>
          <m:sub>
            <m:r>
              <w:rPr>
                <w:rFonts w:ascii="Cambria Math" w:eastAsia="Cambria Math" w:hAnsi="Cambria Math" w:cs="Cambria Math"/>
              </w:rPr>
              <m:t>rate</m:t>
            </m:r>
          </m:sub>
        </m:sSub>
        <m:r>
          <w:rPr>
            <w:rFonts w:ascii="Cambria Math" w:eastAsia="Cambria Math" w:hAnsi="Cambria Math" w:cs="Cambria Math"/>
          </w:rPr>
          <m:t>=0.1</m:t>
        </m:r>
      </m:oMath>
      <w:r>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estimators</m:t>
            </m:r>
          </m:sub>
        </m:sSub>
        <m:r>
          <w:rPr>
            <w:rFonts w:ascii="Cambria Math" w:eastAsia="Cambria Math" w:hAnsi="Cambria Math" w:cs="Cambria Math"/>
          </w:rPr>
          <m:t>=200</m:t>
        </m:r>
      </m:oMath>
      <w:r>
        <w:rPr>
          <w:rFonts w:ascii="Times New Roman" w:eastAsia="Times New Roman" w:hAnsi="Times New Roman" w:cs="Times New Roman"/>
        </w:rPr>
        <w:t>. Implementation is performed using Python 3.12, liboqs-python for post-quantum cryptography integration, scikit-learn and XGBoost libraries for machine learning, ns-3 for network simulations, and the OQS provider integrated with OpenSSL for hybrid TLS support (Souvatzidaki &amp; Limniotis, 2025).</w:t>
      </w:r>
    </w:p>
    <w:p w14:paraId="2C3EC89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Performance Evaluation Metrics</w:t>
      </w:r>
    </w:p>
    <w:p w14:paraId="7FA3292A"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Performance is assessed using metrics aligned with 5G key performance indicators (KPIs) and security standards. Cryptographic metrics include latency overhead defined as:</w:t>
      </w:r>
    </w:p>
    <w:p w14:paraId="316F334F" w14:textId="77777777" w:rsidR="00B30D25" w:rsidRDefault="00000000">
      <w:pPr>
        <w:spacing w:line="360" w:lineRule="auto"/>
        <w:jc w:val="both"/>
        <w:rPr>
          <w:rFonts w:ascii="Times New Roman" w:eastAsia="Times New Roman" w:hAnsi="Times New Roman" w:cs="Times New Roman"/>
        </w:rPr>
      </w:pPr>
      <m:oMath>
        <m:r>
          <w:rPr>
            <w:rFonts w:ascii="Cambria Math" w:eastAsia="Cambria Math" w:hAnsi="Cambria Math" w:cs="Cambria Math"/>
          </w:rPr>
          <m:t>∆T=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PQC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classical</m:t>
            </m:r>
          </m:sub>
        </m:sSub>
        <m:r>
          <w:rPr>
            <w:rFonts w:ascii="Cambria Math" w:eastAsia="Cambria Math" w:hAnsi="Cambria Math" w:cs="Cambria Math"/>
          </w:rPr>
          <m:t xml:space="preserve"> &lt;15</m:t>
        </m:r>
      </m:oMath>
      <w:r>
        <w:rPr>
          <w:rFonts w:ascii="Times New Roman" w:eastAsia="Times New Roman" w:hAnsi="Times New Roman" w:cs="Times New Roman"/>
        </w:rPr>
        <w:t>ms throughput measured in packets per second (targeting over 1 Gbps), and key/signature sizes (ML-KEM-768 public key: 1184 bytes; ML-DSA-2 signature: 2420 bytes). Detection metrics comprise precision calculated as:</w:t>
      </w:r>
    </w:p>
    <w:p w14:paraId="12102BB4" w14:textId="77777777" w:rsidR="00B30D25" w:rsidRDefault="00000000">
      <w:pPr>
        <w:jc w:val="center"/>
        <w:rPr>
          <w:rFonts w:ascii="Cambria Math" w:eastAsia="Cambria Math" w:hAnsi="Cambria Math" w:cs="Cambria Math"/>
        </w:rPr>
      </w:pPr>
      <m:oMathPara>
        <m:oMath>
          <m:r>
            <w:rPr>
              <w:rFonts w:ascii="Cambria Math" w:eastAsia="Cambria Math" w:hAnsi="Cambria Math" w:cs="Cambria Math"/>
            </w:rPr>
            <m:t xml:space="preserve">Precision= </m:t>
          </m:r>
          <m:f>
            <m:fPr>
              <m:ctrlPr>
                <w:rPr>
                  <w:rFonts w:ascii="Cambria Math" w:eastAsia="Cambria Math" w:hAnsi="Cambria Math" w:cs="Cambria Math"/>
                </w:rPr>
              </m:ctrlPr>
            </m:fPr>
            <m:num>
              <m:r>
                <w:rPr>
                  <w:rFonts w:ascii="Cambria Math" w:eastAsia="Cambria Math" w:hAnsi="Cambria Math" w:cs="Cambria Math"/>
                </w:rPr>
                <m:t>TP</m:t>
              </m:r>
            </m:num>
            <m:den>
              <m:r>
                <w:rPr>
                  <w:rFonts w:ascii="Cambria Math" w:eastAsia="Cambria Math" w:hAnsi="Cambria Math" w:cs="Cambria Math"/>
                </w:rPr>
                <m:t>(TP+FP)</m:t>
              </m:r>
            </m:den>
          </m:f>
        </m:oMath>
      </m:oMathPara>
    </w:p>
    <w:p w14:paraId="11694F3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Recall calculated as:</w:t>
      </w:r>
    </w:p>
    <w:p w14:paraId="1011AF81" w14:textId="77777777" w:rsidR="00B30D25" w:rsidRDefault="00000000">
      <w:pPr>
        <w:jc w:val="center"/>
        <w:rPr>
          <w:rFonts w:ascii="Cambria Math" w:eastAsia="Cambria Math" w:hAnsi="Cambria Math" w:cs="Cambria Math"/>
        </w:rPr>
      </w:pPr>
      <m:oMathPara>
        <m:oMath>
          <m:r>
            <w:rPr>
              <w:rFonts w:ascii="Cambria Math" w:eastAsia="Cambria Math" w:hAnsi="Cambria Math" w:cs="Cambria Math"/>
            </w:rPr>
            <m:t>Recall=</m:t>
          </m:r>
          <m:f>
            <m:fPr>
              <m:ctrlPr>
                <w:rPr>
                  <w:rFonts w:ascii="Cambria Math" w:eastAsia="Cambria Math" w:hAnsi="Cambria Math" w:cs="Cambria Math"/>
                </w:rPr>
              </m:ctrlPr>
            </m:fPr>
            <m:num>
              <m:r>
                <w:rPr>
                  <w:rFonts w:ascii="Cambria Math" w:eastAsia="Cambria Math" w:hAnsi="Cambria Math" w:cs="Cambria Math"/>
                </w:rPr>
                <m:t>TP</m:t>
              </m:r>
            </m:num>
            <m:den>
              <m:r>
                <w:rPr>
                  <w:rFonts w:ascii="Cambria Math" w:eastAsia="Cambria Math" w:hAnsi="Cambria Math" w:cs="Cambria Math"/>
                </w:rPr>
                <m:t>(TP+FN)</m:t>
              </m:r>
            </m:den>
          </m:f>
        </m:oMath>
      </m:oMathPara>
    </w:p>
    <w:p w14:paraId="1186A143"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F1-score calculated as:</w:t>
      </w:r>
    </w:p>
    <w:p w14:paraId="74E5400F" w14:textId="77777777" w:rsidR="00B30D25" w:rsidRDefault="00000000">
      <w:pPr>
        <w:jc w:val="center"/>
        <w:rPr>
          <w:rFonts w:ascii="Cambria Math" w:eastAsia="Cambria Math" w:hAnsi="Cambria Math" w:cs="Cambria Math"/>
        </w:rPr>
      </w:pPr>
      <m:oMathPara>
        <m:oMath>
          <m:r>
            <w:rPr>
              <w:rFonts w:ascii="Cambria Math" w:eastAsia="Cambria Math" w:hAnsi="Cambria Math" w:cs="Cambria Math"/>
            </w:rPr>
            <m:t>F1-Score=2×</m:t>
          </m:r>
          <m:f>
            <m:fPr>
              <m:ctrlPr>
                <w:rPr>
                  <w:rFonts w:ascii="Cambria Math" w:eastAsia="Cambria Math" w:hAnsi="Cambria Math" w:cs="Cambria Math"/>
                </w:rPr>
              </m:ctrlPr>
            </m:fPr>
            <m:num>
              <m:r>
                <w:rPr>
                  <w:rFonts w:ascii="Cambria Math" w:eastAsia="Cambria Math" w:hAnsi="Cambria Math" w:cs="Cambria Math"/>
                </w:rPr>
                <m:t>(Precision×Recall)</m:t>
              </m:r>
            </m:num>
            <m:den>
              <m:r>
                <w:rPr>
                  <w:rFonts w:ascii="Cambria Math" w:eastAsia="Cambria Math" w:hAnsi="Cambria Math" w:cs="Cambria Math"/>
                </w:rPr>
                <m:t>(Precision+Recall)</m:t>
              </m:r>
            </m:den>
          </m:f>
        </m:oMath>
      </m:oMathPara>
    </w:p>
    <w:p w14:paraId="19D76C8C"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False positive rate (FPR) targeted below 0.01, and area under the receiver operating characteristic curve (AUC-ROC) targeted above 0.98, in accordance with International Telecommunication Union Telecommunication Standardization Sector (ITU-T) Y.3800 guidelines. Energy efficiency is computed as:</w:t>
      </w:r>
    </w:p>
    <w:p w14:paraId="786BFC51" w14:textId="77777777" w:rsidR="00B30D25" w:rsidRDefault="00000000">
      <w:pPr>
        <w:jc w:val="center"/>
        <w:rPr>
          <w:rFonts w:ascii="Cambria Math" w:eastAsia="Cambria Math" w:hAnsi="Cambria Math" w:cs="Cambria Math"/>
        </w:rPr>
      </w:pPr>
      <m:oMathPara>
        <m:oMath>
          <m:r>
            <w:rPr>
              <w:rFonts w:ascii="Cambria Math" w:eastAsia="Cambria Math" w:hAnsi="Cambria Math" w:cs="Cambria Math"/>
            </w:rPr>
            <m:t>E=P×T</m:t>
          </m:r>
        </m:oMath>
      </m:oMathPara>
    </w:p>
    <w:p w14:paraId="61BB97E0"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r>
        <w:rPr>
          <w:rFonts w:ascii="Times New Roman" w:eastAsia="Times New Roman" w:hAnsi="Times New Roman" w:cs="Times New Roman"/>
          <w:i/>
          <w:iCs/>
        </w:rPr>
        <w:t>P</w:t>
      </w:r>
      <w:r>
        <w:rPr>
          <w:rFonts w:ascii="Times New Roman" w:eastAsia="Times New Roman" w:hAnsi="Times New Roman" w:cs="Times New Roman"/>
        </w:rPr>
        <w:t xml:space="preserve"> denotes power consumption and </w:t>
      </w:r>
      <w:r>
        <w:rPr>
          <w:rFonts w:ascii="Times New Roman" w:eastAsia="Times New Roman" w:hAnsi="Times New Roman" w:cs="Times New Roman"/>
          <w:i/>
          <w:iCs/>
        </w:rPr>
        <w:t>T</w:t>
      </w:r>
      <w:r>
        <w:rPr>
          <w:rFonts w:ascii="Times New Roman" w:eastAsia="Times New Roman" w:hAnsi="Times New Roman" w:cs="Times New Roman"/>
        </w:rPr>
        <w:t xml:space="preserve"> represents execution time, with post-quantum cryptography contributing under 5% additional overhead.</w:t>
      </w:r>
    </w:p>
    <w:p w14:paraId="74BE4E4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Validation Techniques</w:t>
      </w:r>
    </w:p>
    <w:p w14:paraId="43CEEFA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Validation employs 10-fold cross-validation, hold-out testing, and McNemar's test for statistical significance. McNemar's test statistic is given by:</w:t>
      </w:r>
    </w:p>
    <w:p w14:paraId="74CDF565" w14:textId="77777777" w:rsidR="00B30D25"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b-c</m:t>
                      </m:r>
                    </m:e>
                  </m:d>
                  <m:r>
                    <w:rPr>
                      <w:rFonts w:ascii="Cambria Math" w:eastAsia="Cambria Math" w:hAnsi="Cambria Math" w:cs="Cambria Math"/>
                    </w:rPr>
                    <m:t>-1)</m:t>
                  </m:r>
                </m:e>
                <m:sup>
                  <m:r>
                    <w:rPr>
                      <w:rFonts w:ascii="Cambria Math" w:eastAsia="Cambria Math" w:hAnsi="Cambria Math" w:cs="Cambria Math"/>
                    </w:rPr>
                    <m:t>2</m:t>
                  </m:r>
                </m:sup>
              </m:sSup>
            </m:num>
            <m:den>
              <m:r>
                <w:rPr>
                  <w:rFonts w:ascii="Cambria Math" w:eastAsia="Cambria Math" w:hAnsi="Cambria Math" w:cs="Cambria Math"/>
                </w:rPr>
                <m:t>b+c</m:t>
              </m:r>
            </m:den>
          </m:f>
        </m:oMath>
      </m:oMathPara>
    </w:p>
    <w:p w14:paraId="1C4C2851"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r>
        <w:rPr>
          <w:rFonts w:ascii="Times New Roman" w:eastAsia="Times New Roman" w:hAnsi="Times New Roman" w:cs="Times New Roman"/>
          <w:i/>
          <w:iCs/>
        </w:rPr>
        <w:t>b</w:t>
      </w:r>
      <w:r>
        <w:rPr>
          <w:rFonts w:ascii="Times New Roman" w:eastAsia="Times New Roman" w:hAnsi="Times New Roman" w:cs="Times New Roman"/>
        </w:rPr>
        <w:t xml:space="preserve"> and </w:t>
      </w:r>
      <w:r>
        <w:rPr>
          <w:rFonts w:ascii="Times New Roman" w:eastAsia="Times New Roman" w:hAnsi="Times New Roman" w:cs="Times New Roman"/>
          <w:i/>
          <w:iCs/>
        </w:rPr>
        <w:t>c</w:t>
      </w:r>
      <w:r>
        <w:rPr>
          <w:rFonts w:ascii="Times New Roman" w:eastAsia="Times New Roman" w:hAnsi="Times New Roman" w:cs="Times New Roman"/>
        </w:rPr>
        <w:t xml:space="preserve"> represent discordant pairs, with significance indicated when χ² &gt; 3.84 (p &lt; 0.05). Ablation studies isolate contributions from post-quantum cryptography and AI components. Sensitivity analysis varies noise levels (σ ranging from 0.1 to 0.5) in non-terrestrial network (NTN) data. Compliance is benchmarked against 3GPP TS 33.501, and feature consistency is evaluated using Cronbach's α &gt; 0.9 (Prasad et al., 2018; Bojović, 2024).</w:t>
      </w:r>
    </w:p>
    <w:p w14:paraId="30B37262"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Ethical Considerations </w:t>
      </w:r>
    </w:p>
    <w:p w14:paraId="6F37F3F6"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Ethical considerations follow IEEE ethical standards, relying exclusively on anonymized simulation data without real-user involvement. The methodology prioritizes practicality on standard computing resources. </w:t>
      </w:r>
    </w:p>
    <w:p w14:paraId="509726D1" w14:textId="77777777" w:rsidR="00B30D25" w:rsidRDefault="00B30D25">
      <w:pPr>
        <w:spacing w:line="360" w:lineRule="auto"/>
        <w:jc w:val="both"/>
        <w:rPr>
          <w:rFonts w:ascii="Times New Roman" w:eastAsia="Times New Roman" w:hAnsi="Times New Roman" w:cs="Times New Roman"/>
        </w:rPr>
      </w:pPr>
    </w:p>
    <w:p w14:paraId="51B902E8"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ab/>
        <w:t>Results and Discussion</w:t>
      </w:r>
    </w:p>
    <w:p w14:paraId="41B15619"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chapter details the empirical outcomes from the simulation-based evaluation of the Post-Quantum 5G Slicing Security Framework Integrating AI-Driven Threat Mitigation in Global Telecommunications, drawing directly from the methodological framework established through ns-3 simulations, NIST post-quantum cryptography test vectors, and telecommunications datasets. The findings encompass quantitative assessments of hybrid cryptographic implementations, AI-based anomaly detection, and overall framework performance, validated against established benchmarks to demonstrate quantum-resistant enhancements in 5G network slicing.</w:t>
      </w:r>
    </w:p>
    <w:p w14:paraId="4B40D26D"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Presentation of Results</w:t>
      </w:r>
    </w:p>
    <w:p w14:paraId="10D5752B"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hybrid Transport Layer Security handshake, incorporating CRYSTALS-Kyber-768 for key encapsulation, CRYSTALS-Dilithium-2 for signatures, and FALCON-512 for compact authentication, recorded an average total latency of 9.8 milliseconds across 1,000 simulation runs, with a post-quantum cryptography overhead of 1.65 milliseconds relative to the classical baseline of 8.2 milliseconds, representing a 20.1 percent increase that remains well below the targeted threshold for 5G core networks. Key sizes aligned with expected standards, as Kyber public keys averaged 1,184 bytes, Dilithium signatures reached 2,421 bytes, and Falcon alternatives minimized to 666 bytes, supporting efficient operations in edge-constrained environments while adhering to 3GPP security specifications (Telecommunication Engineering Centre, 2025). Throughput sustained at 1.95 gigabits per second, preserving 93 percent of the classical 2.1 gigabits per second rate, and central processing unit utilization increased by less than 5 percent on emulated ARM Cortex-A72 processors, indicative of user plane function nodes in 5G architectures. Inter-slice isolation maintained 99.2 percent effectiveness during post-quantum handshakes, ensuring reliability across enhanced mobile broadband, ultra-reliable low-latency communications, and massive machine-type communications slices.</w:t>
      </w:r>
    </w:p>
    <w:p w14:paraId="67FCB6BB"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As illustrated in Table 1, which summarizes performance metrics for post-quantum cryptography algorithms over the simulations, encapsulation and decapsulation for Kyber-768 averaged 0.52 milliseconds with a standard deviation of 0.31 milliseconds and fixed sizes of 1,184 bytes, while Dilithium-2 signing and verification took 1.23 milliseconds with a standard deviation of 0.72 milliseconds and sizes varying by 102 bytes, and Falcon-512 operations averaged 0.89 milliseconds with a standard deviation of 0.45 milliseconds and sizes of 666 bytes plus or minus 25 bytes, all meeting 5G key performance indicators for sub-millisecond and sub-2-millisecond thresholds where applicable, culminating in a full hybrid handshake of 9.85 milliseconds with a standard deviation of 1.42 milliseconds.</w:t>
      </w:r>
    </w:p>
    <w:p w14:paraId="64FB020B"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1</w:t>
      </w:r>
    </w:p>
    <w:p w14:paraId="0C8A3F3C"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PQC Algorithm Performance Metrics</w:t>
      </w:r>
    </w:p>
    <w:tbl>
      <w:tblPr>
        <w:tblStyle w:val="a"/>
        <w:tblW w:w="9401" w:type="dxa"/>
        <w:tblInd w:w="0" w:type="dxa"/>
        <w:tblLayout w:type="fixed"/>
        <w:tblLook w:val="0400" w:firstRow="0" w:lastRow="0" w:firstColumn="0" w:lastColumn="0" w:noHBand="0" w:noVBand="1"/>
      </w:tblPr>
      <w:tblGrid>
        <w:gridCol w:w="1386"/>
        <w:gridCol w:w="1767"/>
        <w:gridCol w:w="2290"/>
        <w:gridCol w:w="2094"/>
        <w:gridCol w:w="1864"/>
      </w:tblGrid>
      <w:tr w:rsidR="00B30D25" w14:paraId="66549943" w14:textId="77777777">
        <w:trPr>
          <w:trHeight w:val="569"/>
          <w:tblHeader/>
        </w:trPr>
        <w:tc>
          <w:tcPr>
            <w:tcW w:w="1386" w:type="dxa"/>
            <w:tcBorders>
              <w:top w:val="single" w:sz="4" w:space="0" w:color="000000"/>
              <w:bottom w:val="single" w:sz="4" w:space="0" w:color="000000"/>
            </w:tcBorders>
            <w:vAlign w:val="center"/>
          </w:tcPr>
          <w:p w14:paraId="2EA88F1B"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Algorithm</w:t>
            </w:r>
          </w:p>
        </w:tc>
        <w:tc>
          <w:tcPr>
            <w:tcW w:w="1767" w:type="dxa"/>
            <w:tcBorders>
              <w:top w:val="single" w:sz="4" w:space="0" w:color="000000"/>
              <w:bottom w:val="single" w:sz="4" w:space="0" w:color="000000"/>
            </w:tcBorders>
            <w:vAlign w:val="center"/>
          </w:tcPr>
          <w:p w14:paraId="1386BC07"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Operation</w:t>
            </w:r>
          </w:p>
        </w:tc>
        <w:tc>
          <w:tcPr>
            <w:tcW w:w="2290" w:type="dxa"/>
            <w:tcBorders>
              <w:top w:val="single" w:sz="4" w:space="0" w:color="000000"/>
              <w:bottom w:val="single" w:sz="4" w:space="0" w:color="000000"/>
            </w:tcBorders>
            <w:vAlign w:val="center"/>
          </w:tcPr>
          <w:p w14:paraId="32E81B61"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Latency (ms, μ ± σ)</w:t>
            </w:r>
          </w:p>
        </w:tc>
        <w:tc>
          <w:tcPr>
            <w:tcW w:w="2094" w:type="dxa"/>
            <w:tcBorders>
              <w:top w:val="single" w:sz="4" w:space="0" w:color="000000"/>
              <w:bottom w:val="single" w:sz="4" w:space="0" w:color="000000"/>
            </w:tcBorders>
            <w:vAlign w:val="center"/>
          </w:tcPr>
          <w:p w14:paraId="0D6F32FB"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Size (bytes, μ ± σ)</w:t>
            </w:r>
          </w:p>
        </w:tc>
        <w:tc>
          <w:tcPr>
            <w:tcW w:w="1864" w:type="dxa"/>
            <w:tcBorders>
              <w:top w:val="single" w:sz="4" w:space="0" w:color="000000"/>
              <w:bottom w:val="single" w:sz="4" w:space="0" w:color="000000"/>
            </w:tcBorders>
            <w:vAlign w:val="center"/>
          </w:tcPr>
          <w:p w14:paraId="7E037962"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Meets 5G KPI?</w:t>
            </w:r>
          </w:p>
        </w:tc>
      </w:tr>
      <w:tr w:rsidR="00B30D25" w14:paraId="74EF2B7B" w14:textId="77777777">
        <w:trPr>
          <w:trHeight w:val="569"/>
        </w:trPr>
        <w:tc>
          <w:tcPr>
            <w:tcW w:w="1386" w:type="dxa"/>
            <w:vAlign w:val="center"/>
          </w:tcPr>
          <w:p w14:paraId="5688987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Kyber-768</w:t>
            </w:r>
          </w:p>
        </w:tc>
        <w:tc>
          <w:tcPr>
            <w:tcW w:w="1767" w:type="dxa"/>
            <w:vAlign w:val="center"/>
          </w:tcPr>
          <w:p w14:paraId="514F3553"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Encaps/Decaps</w:t>
            </w:r>
          </w:p>
        </w:tc>
        <w:tc>
          <w:tcPr>
            <w:tcW w:w="2290" w:type="dxa"/>
            <w:vAlign w:val="center"/>
          </w:tcPr>
          <w:p w14:paraId="66BD8E49"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0.52 ± 0.31</w:t>
            </w:r>
          </w:p>
        </w:tc>
        <w:tc>
          <w:tcPr>
            <w:tcW w:w="2094" w:type="dxa"/>
            <w:vAlign w:val="center"/>
          </w:tcPr>
          <w:p w14:paraId="11087E42"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1,184 ± 0</w:t>
            </w:r>
          </w:p>
        </w:tc>
        <w:tc>
          <w:tcPr>
            <w:tcW w:w="1864" w:type="dxa"/>
            <w:vAlign w:val="center"/>
          </w:tcPr>
          <w:p w14:paraId="0DE0677F"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Yes (&lt;1 ms)</w:t>
            </w:r>
          </w:p>
        </w:tc>
      </w:tr>
      <w:tr w:rsidR="00B30D25" w14:paraId="5906DEDB" w14:textId="77777777">
        <w:trPr>
          <w:trHeight w:val="553"/>
        </w:trPr>
        <w:tc>
          <w:tcPr>
            <w:tcW w:w="1386" w:type="dxa"/>
            <w:vAlign w:val="center"/>
          </w:tcPr>
          <w:p w14:paraId="1663FE4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Dilithium-2</w:t>
            </w:r>
          </w:p>
        </w:tc>
        <w:tc>
          <w:tcPr>
            <w:tcW w:w="1767" w:type="dxa"/>
            <w:vAlign w:val="center"/>
          </w:tcPr>
          <w:p w14:paraId="151FAA1D"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Sign/Verify</w:t>
            </w:r>
          </w:p>
        </w:tc>
        <w:tc>
          <w:tcPr>
            <w:tcW w:w="2290" w:type="dxa"/>
            <w:vAlign w:val="center"/>
          </w:tcPr>
          <w:p w14:paraId="7ACDE1B7"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1.23 ± 0.72</w:t>
            </w:r>
          </w:p>
        </w:tc>
        <w:tc>
          <w:tcPr>
            <w:tcW w:w="2094" w:type="dxa"/>
            <w:vAlign w:val="center"/>
          </w:tcPr>
          <w:p w14:paraId="475918C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2,421 ± 102</w:t>
            </w:r>
          </w:p>
        </w:tc>
        <w:tc>
          <w:tcPr>
            <w:tcW w:w="1864" w:type="dxa"/>
            <w:vAlign w:val="center"/>
          </w:tcPr>
          <w:p w14:paraId="40174D8D"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Yes (&lt;2 ms)</w:t>
            </w:r>
          </w:p>
        </w:tc>
      </w:tr>
      <w:tr w:rsidR="00B30D25" w14:paraId="06C61282" w14:textId="77777777">
        <w:trPr>
          <w:trHeight w:val="569"/>
        </w:trPr>
        <w:tc>
          <w:tcPr>
            <w:tcW w:w="1386" w:type="dxa"/>
            <w:vAlign w:val="center"/>
          </w:tcPr>
          <w:p w14:paraId="77A06015"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Falcon-512</w:t>
            </w:r>
          </w:p>
        </w:tc>
        <w:tc>
          <w:tcPr>
            <w:tcW w:w="1767" w:type="dxa"/>
            <w:vAlign w:val="center"/>
          </w:tcPr>
          <w:p w14:paraId="5E92EE61"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Sign/Verify</w:t>
            </w:r>
          </w:p>
        </w:tc>
        <w:tc>
          <w:tcPr>
            <w:tcW w:w="2290" w:type="dxa"/>
            <w:vAlign w:val="center"/>
          </w:tcPr>
          <w:p w14:paraId="45CFD6AE"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0.89 ± 0.45</w:t>
            </w:r>
          </w:p>
        </w:tc>
        <w:tc>
          <w:tcPr>
            <w:tcW w:w="2094" w:type="dxa"/>
            <w:vAlign w:val="center"/>
          </w:tcPr>
          <w:p w14:paraId="516BAA13"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666 ± 25</w:t>
            </w:r>
          </w:p>
        </w:tc>
        <w:tc>
          <w:tcPr>
            <w:tcW w:w="1864" w:type="dxa"/>
            <w:vAlign w:val="center"/>
          </w:tcPr>
          <w:p w14:paraId="2A68851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Yes (&lt;1 ms)</w:t>
            </w:r>
          </w:p>
        </w:tc>
      </w:tr>
      <w:tr w:rsidR="00B30D25" w14:paraId="4F7A44A2" w14:textId="77777777">
        <w:trPr>
          <w:trHeight w:val="569"/>
        </w:trPr>
        <w:tc>
          <w:tcPr>
            <w:tcW w:w="1386" w:type="dxa"/>
            <w:tcBorders>
              <w:bottom w:val="single" w:sz="4" w:space="0" w:color="000000"/>
            </w:tcBorders>
            <w:vAlign w:val="center"/>
          </w:tcPr>
          <w:p w14:paraId="77C0A837"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Hybrid TLS</w:t>
            </w:r>
          </w:p>
        </w:tc>
        <w:tc>
          <w:tcPr>
            <w:tcW w:w="1767" w:type="dxa"/>
            <w:tcBorders>
              <w:bottom w:val="single" w:sz="4" w:space="0" w:color="000000"/>
            </w:tcBorders>
            <w:vAlign w:val="center"/>
          </w:tcPr>
          <w:p w14:paraId="35023F8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Full Handshake</w:t>
            </w:r>
          </w:p>
        </w:tc>
        <w:tc>
          <w:tcPr>
            <w:tcW w:w="2290" w:type="dxa"/>
            <w:tcBorders>
              <w:bottom w:val="single" w:sz="4" w:space="0" w:color="000000"/>
            </w:tcBorders>
            <w:vAlign w:val="center"/>
          </w:tcPr>
          <w:p w14:paraId="324B7668"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9.85 ± 1.42</w:t>
            </w:r>
          </w:p>
        </w:tc>
        <w:tc>
          <w:tcPr>
            <w:tcW w:w="2094" w:type="dxa"/>
            <w:tcBorders>
              <w:bottom w:val="single" w:sz="4" w:space="0" w:color="000000"/>
            </w:tcBorders>
            <w:vAlign w:val="center"/>
          </w:tcPr>
          <w:p w14:paraId="140A4A4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1864" w:type="dxa"/>
            <w:tcBorders>
              <w:bottom w:val="single" w:sz="4" w:space="0" w:color="000000"/>
            </w:tcBorders>
            <w:vAlign w:val="center"/>
          </w:tcPr>
          <w:p w14:paraId="69CF444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Yes (&lt;15 ms)</w:t>
            </w:r>
          </w:p>
        </w:tc>
      </w:tr>
    </w:tbl>
    <w:p w14:paraId="20A7DE95"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1 depicts the latency distribution for hybrid post-quantum Transport Layer Security, showing a histogram with classical latencies in blue peaking at a mean of 8.2 milliseconds, hybrid post-quantum in green at 9.8 milliseconds, and a red dashed line marking the 15-millisecond threshold, highlighting the framework's compliance across varied network loads.</w:t>
      </w:r>
    </w:p>
    <w:p w14:paraId="6312CAE6" w14:textId="77777777" w:rsidR="00B30D25"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1</w:t>
      </w:r>
    </w:p>
    <w:p w14:paraId="62FED26A" w14:textId="77777777" w:rsidR="00B30D25"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Latency Distribution for Hybrid Post-Quantum Transport Layer Security</w:t>
      </w:r>
    </w:p>
    <w:p w14:paraId="64DB05D2" w14:textId="77777777" w:rsidR="00B30D25"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14:anchorId="5CC3C081" wp14:editId="5CBD0BFF">
            <wp:extent cx="4616021" cy="496693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3552"/>
                    <a:stretch>
                      <a:fillRect/>
                    </a:stretch>
                  </pic:blipFill>
                  <pic:spPr>
                    <a:xfrm>
                      <a:off x="0" y="0"/>
                      <a:ext cx="4616021" cy="4966939"/>
                    </a:xfrm>
                    <a:prstGeom prst="rect">
                      <a:avLst/>
                    </a:prstGeom>
                    <a:ln/>
                  </pic:spPr>
                </pic:pic>
              </a:graphicData>
            </a:graphic>
          </wp:inline>
        </w:drawing>
      </w:r>
    </w:p>
    <w:p w14:paraId="417B36E9"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stacked ensemble model, combining Isolation Forest for anomaly scoring and XGBoost for classification on a balanced dataset of 8,000 samples evenly distributed across four classes, produced a macro-averaged F1-score of 0.962, an area under the receiver operating characteristic curve of 0.985, precision of 0.964, recall of 0.961, and false positive rate of 0.008 on a test set of 2,000 instances, outperforming the baseline machine learning approach with an F1-score of 0.89 and false positive rate of 0.03. Isolation Forest identified 92.4 percent of orchestration anomalies at a contamination level of 0.25, and XGBoost achieved class-specific F1-scores of 0.958 for advanced persistent threats, 0.967 for distributed denial-of-service, 0.953 for SIM-based fraud, and 0.970 for normal traffic. Feature importance analysis prioritized anomaly score at 0.132, followed by packet loss rate at 0.129 and flow duration at 0.126, facilitating effective behavioral monitoring of network function virtualization, software-defined networking, and edge components. In non-terrestrial network traces, the model detected 94.7 percent of supply-chain compromises, with slice entropy values exceeding 6.5 indicating 87 percent of orchestration intrusions.</w:t>
      </w:r>
    </w:p>
    <w:p w14:paraId="2EF65885"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Table 2 presents the AI detection classification report, detailing macro-averaged metrics on the test set, where normal traffic showed precision of 0.975, recall of 0.970, and F1-score of 0.972 over 500 instances; advanced persistent threats had precision of 0.952, recall of 0.958, and F1-score of 0.955 over 500; distributed denial-of-service achieved precision of 0.968, recall of 0.967, and F1-score of 0.967 over 500; SIM fraud recorded precision of 0.949, recall of 0.953, and F1-score of 0.951 over 500; yielding overall macro averages of 0.961 for precision, 0.962 for recall, and 0.961 for F1-score across 2,000 supports.</w:t>
      </w:r>
    </w:p>
    <w:p w14:paraId="3BAEB1EB"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2</w:t>
      </w:r>
    </w:p>
    <w:p w14:paraId="37EC68C7"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AI Detection Classification Report</w:t>
      </w:r>
    </w:p>
    <w:tbl>
      <w:tblPr>
        <w:tblStyle w:val="a0"/>
        <w:tblW w:w="9452" w:type="dxa"/>
        <w:tblInd w:w="0" w:type="dxa"/>
        <w:tblLayout w:type="fixed"/>
        <w:tblLook w:val="0400" w:firstRow="0" w:lastRow="0" w:firstColumn="0" w:lastColumn="0" w:noHBand="0" w:noVBand="1"/>
      </w:tblPr>
      <w:tblGrid>
        <w:gridCol w:w="2703"/>
        <w:gridCol w:w="1890"/>
        <w:gridCol w:w="1311"/>
        <w:gridCol w:w="1838"/>
        <w:gridCol w:w="1710"/>
      </w:tblGrid>
      <w:tr w:rsidR="00B30D25" w14:paraId="72EFF15F" w14:textId="77777777">
        <w:trPr>
          <w:trHeight w:val="576"/>
          <w:tblHeader/>
        </w:trPr>
        <w:tc>
          <w:tcPr>
            <w:tcW w:w="2703" w:type="dxa"/>
            <w:tcBorders>
              <w:top w:val="single" w:sz="4" w:space="0" w:color="000000"/>
              <w:bottom w:val="single" w:sz="4" w:space="0" w:color="000000"/>
            </w:tcBorders>
            <w:vAlign w:val="center"/>
          </w:tcPr>
          <w:p w14:paraId="037C5D0F"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Class</w:t>
            </w:r>
          </w:p>
        </w:tc>
        <w:tc>
          <w:tcPr>
            <w:tcW w:w="1890" w:type="dxa"/>
            <w:tcBorders>
              <w:top w:val="single" w:sz="4" w:space="0" w:color="000000"/>
              <w:bottom w:val="single" w:sz="4" w:space="0" w:color="000000"/>
            </w:tcBorders>
            <w:vAlign w:val="center"/>
          </w:tcPr>
          <w:p w14:paraId="550AB5DB"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Precision</w:t>
            </w:r>
          </w:p>
        </w:tc>
        <w:tc>
          <w:tcPr>
            <w:tcW w:w="1311" w:type="dxa"/>
            <w:tcBorders>
              <w:top w:val="single" w:sz="4" w:space="0" w:color="000000"/>
              <w:bottom w:val="single" w:sz="4" w:space="0" w:color="000000"/>
            </w:tcBorders>
            <w:vAlign w:val="center"/>
          </w:tcPr>
          <w:p w14:paraId="16EF6F3F"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Recall</w:t>
            </w:r>
          </w:p>
        </w:tc>
        <w:tc>
          <w:tcPr>
            <w:tcW w:w="1838" w:type="dxa"/>
            <w:tcBorders>
              <w:top w:val="single" w:sz="4" w:space="0" w:color="000000"/>
              <w:bottom w:val="single" w:sz="4" w:space="0" w:color="000000"/>
            </w:tcBorders>
            <w:vAlign w:val="center"/>
          </w:tcPr>
          <w:p w14:paraId="7A8B91CF"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F1-Score</w:t>
            </w:r>
          </w:p>
        </w:tc>
        <w:tc>
          <w:tcPr>
            <w:tcW w:w="1710" w:type="dxa"/>
            <w:tcBorders>
              <w:top w:val="single" w:sz="4" w:space="0" w:color="000000"/>
              <w:bottom w:val="single" w:sz="4" w:space="0" w:color="000000"/>
            </w:tcBorders>
            <w:vAlign w:val="center"/>
          </w:tcPr>
          <w:p w14:paraId="5765AECE"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Support</w:t>
            </w:r>
          </w:p>
        </w:tc>
      </w:tr>
      <w:tr w:rsidR="00B30D25" w14:paraId="1287EBA5" w14:textId="77777777">
        <w:trPr>
          <w:trHeight w:val="576"/>
        </w:trPr>
        <w:tc>
          <w:tcPr>
            <w:tcW w:w="2703" w:type="dxa"/>
            <w:vAlign w:val="center"/>
          </w:tcPr>
          <w:p w14:paraId="7A0BAFDC"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NORMAL</w:t>
            </w:r>
          </w:p>
        </w:tc>
        <w:tc>
          <w:tcPr>
            <w:tcW w:w="1890" w:type="dxa"/>
            <w:vAlign w:val="center"/>
          </w:tcPr>
          <w:p w14:paraId="2D668FEC"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0.975</w:t>
            </w:r>
          </w:p>
        </w:tc>
        <w:tc>
          <w:tcPr>
            <w:tcW w:w="1311" w:type="dxa"/>
            <w:vAlign w:val="center"/>
          </w:tcPr>
          <w:p w14:paraId="52AC1418"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0.970</w:t>
            </w:r>
          </w:p>
        </w:tc>
        <w:tc>
          <w:tcPr>
            <w:tcW w:w="1838" w:type="dxa"/>
            <w:vAlign w:val="center"/>
          </w:tcPr>
          <w:p w14:paraId="2E8BC1E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0.972</w:t>
            </w:r>
          </w:p>
        </w:tc>
        <w:tc>
          <w:tcPr>
            <w:tcW w:w="1710" w:type="dxa"/>
            <w:vAlign w:val="center"/>
          </w:tcPr>
          <w:p w14:paraId="42996A18"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500</w:t>
            </w:r>
          </w:p>
        </w:tc>
      </w:tr>
      <w:tr w:rsidR="00B30D25" w14:paraId="3D73C7D5" w14:textId="77777777">
        <w:trPr>
          <w:trHeight w:val="560"/>
        </w:trPr>
        <w:tc>
          <w:tcPr>
            <w:tcW w:w="2703" w:type="dxa"/>
            <w:vAlign w:val="center"/>
          </w:tcPr>
          <w:p w14:paraId="0367D30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APT</w:t>
            </w:r>
          </w:p>
        </w:tc>
        <w:tc>
          <w:tcPr>
            <w:tcW w:w="1890" w:type="dxa"/>
            <w:vAlign w:val="center"/>
          </w:tcPr>
          <w:p w14:paraId="4116EB2A"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0.952</w:t>
            </w:r>
          </w:p>
        </w:tc>
        <w:tc>
          <w:tcPr>
            <w:tcW w:w="1311" w:type="dxa"/>
            <w:vAlign w:val="center"/>
          </w:tcPr>
          <w:p w14:paraId="2748724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0.958</w:t>
            </w:r>
          </w:p>
        </w:tc>
        <w:tc>
          <w:tcPr>
            <w:tcW w:w="1838" w:type="dxa"/>
            <w:vAlign w:val="center"/>
          </w:tcPr>
          <w:p w14:paraId="21546389"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0.955</w:t>
            </w:r>
          </w:p>
        </w:tc>
        <w:tc>
          <w:tcPr>
            <w:tcW w:w="1710" w:type="dxa"/>
            <w:vAlign w:val="center"/>
          </w:tcPr>
          <w:p w14:paraId="3D7B4786"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500</w:t>
            </w:r>
          </w:p>
        </w:tc>
      </w:tr>
      <w:tr w:rsidR="00B30D25" w14:paraId="657093BC" w14:textId="77777777">
        <w:trPr>
          <w:trHeight w:val="576"/>
        </w:trPr>
        <w:tc>
          <w:tcPr>
            <w:tcW w:w="2703" w:type="dxa"/>
            <w:vAlign w:val="center"/>
          </w:tcPr>
          <w:p w14:paraId="1DC5FC4A"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DDOS</w:t>
            </w:r>
          </w:p>
        </w:tc>
        <w:tc>
          <w:tcPr>
            <w:tcW w:w="1890" w:type="dxa"/>
            <w:vAlign w:val="center"/>
          </w:tcPr>
          <w:p w14:paraId="4F6C686A"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0.968</w:t>
            </w:r>
          </w:p>
        </w:tc>
        <w:tc>
          <w:tcPr>
            <w:tcW w:w="1311" w:type="dxa"/>
            <w:vAlign w:val="center"/>
          </w:tcPr>
          <w:p w14:paraId="0CEE99EE"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0.967</w:t>
            </w:r>
          </w:p>
        </w:tc>
        <w:tc>
          <w:tcPr>
            <w:tcW w:w="1838" w:type="dxa"/>
            <w:vAlign w:val="center"/>
          </w:tcPr>
          <w:p w14:paraId="3893F6C2"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0.967</w:t>
            </w:r>
          </w:p>
        </w:tc>
        <w:tc>
          <w:tcPr>
            <w:tcW w:w="1710" w:type="dxa"/>
            <w:vAlign w:val="center"/>
          </w:tcPr>
          <w:p w14:paraId="1F6E4C4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500</w:t>
            </w:r>
          </w:p>
        </w:tc>
      </w:tr>
      <w:tr w:rsidR="00B30D25" w14:paraId="26493EF2" w14:textId="77777777">
        <w:trPr>
          <w:trHeight w:val="576"/>
        </w:trPr>
        <w:tc>
          <w:tcPr>
            <w:tcW w:w="2703" w:type="dxa"/>
            <w:vAlign w:val="center"/>
          </w:tcPr>
          <w:p w14:paraId="2AE074A1"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SIM_FRAUD</w:t>
            </w:r>
          </w:p>
        </w:tc>
        <w:tc>
          <w:tcPr>
            <w:tcW w:w="1890" w:type="dxa"/>
            <w:vAlign w:val="center"/>
          </w:tcPr>
          <w:p w14:paraId="7FE71C73"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0.949</w:t>
            </w:r>
          </w:p>
        </w:tc>
        <w:tc>
          <w:tcPr>
            <w:tcW w:w="1311" w:type="dxa"/>
            <w:vAlign w:val="center"/>
          </w:tcPr>
          <w:p w14:paraId="603B716B"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0.953</w:t>
            </w:r>
          </w:p>
        </w:tc>
        <w:tc>
          <w:tcPr>
            <w:tcW w:w="1838" w:type="dxa"/>
            <w:vAlign w:val="center"/>
          </w:tcPr>
          <w:p w14:paraId="637B09A2"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0.951</w:t>
            </w:r>
          </w:p>
        </w:tc>
        <w:tc>
          <w:tcPr>
            <w:tcW w:w="1710" w:type="dxa"/>
            <w:vAlign w:val="center"/>
          </w:tcPr>
          <w:p w14:paraId="022D7E0C"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500</w:t>
            </w:r>
          </w:p>
        </w:tc>
      </w:tr>
      <w:tr w:rsidR="00B30D25" w14:paraId="7953F24A" w14:textId="77777777">
        <w:trPr>
          <w:trHeight w:val="576"/>
        </w:trPr>
        <w:tc>
          <w:tcPr>
            <w:tcW w:w="2703" w:type="dxa"/>
            <w:tcBorders>
              <w:bottom w:val="single" w:sz="4" w:space="0" w:color="000000"/>
            </w:tcBorders>
            <w:vAlign w:val="center"/>
          </w:tcPr>
          <w:p w14:paraId="63008050"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Macro Avg</w:t>
            </w:r>
          </w:p>
        </w:tc>
        <w:tc>
          <w:tcPr>
            <w:tcW w:w="1890" w:type="dxa"/>
            <w:tcBorders>
              <w:bottom w:val="single" w:sz="4" w:space="0" w:color="000000"/>
            </w:tcBorders>
            <w:vAlign w:val="center"/>
          </w:tcPr>
          <w:p w14:paraId="254768F6"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0.961</w:t>
            </w:r>
          </w:p>
        </w:tc>
        <w:tc>
          <w:tcPr>
            <w:tcW w:w="1311" w:type="dxa"/>
            <w:tcBorders>
              <w:bottom w:val="single" w:sz="4" w:space="0" w:color="000000"/>
            </w:tcBorders>
            <w:vAlign w:val="center"/>
          </w:tcPr>
          <w:p w14:paraId="3F926E6C"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0.962</w:t>
            </w:r>
          </w:p>
        </w:tc>
        <w:tc>
          <w:tcPr>
            <w:tcW w:w="1838" w:type="dxa"/>
            <w:tcBorders>
              <w:bottom w:val="single" w:sz="4" w:space="0" w:color="000000"/>
            </w:tcBorders>
            <w:vAlign w:val="center"/>
          </w:tcPr>
          <w:p w14:paraId="6FA302E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0.961</w:t>
            </w:r>
          </w:p>
        </w:tc>
        <w:tc>
          <w:tcPr>
            <w:tcW w:w="1710" w:type="dxa"/>
            <w:tcBorders>
              <w:bottom w:val="single" w:sz="4" w:space="0" w:color="000000"/>
            </w:tcBorders>
            <w:vAlign w:val="center"/>
          </w:tcPr>
          <w:p w14:paraId="5BB2E6FA"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2,000</w:t>
            </w:r>
          </w:p>
        </w:tc>
      </w:tr>
    </w:tbl>
    <w:p w14:paraId="2482E92F"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2 illustrates the AI threat detection receiver operating characteristic curves, featuring four overlaid lines for each class with area under the curve values ranging from 0.97 to 0.99, alongside a navy diagonal reference line, emphasizing high discriminative power.</w:t>
      </w:r>
    </w:p>
    <w:p w14:paraId="4D3883EB" w14:textId="77777777" w:rsidR="00B30D25"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2</w:t>
      </w:r>
    </w:p>
    <w:p w14:paraId="0C29B207" w14:textId="77777777" w:rsidR="00B30D25"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AI Threat Detection Receiver Operating Characteristic Curves</w:t>
      </w:r>
    </w:p>
    <w:p w14:paraId="369F8059"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B822E7F" wp14:editId="2C3E9774">
            <wp:extent cx="4519808" cy="507272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615"/>
                    <a:stretch>
                      <a:fillRect/>
                    </a:stretch>
                  </pic:blipFill>
                  <pic:spPr>
                    <a:xfrm>
                      <a:off x="0" y="0"/>
                      <a:ext cx="4519808" cy="5072726"/>
                    </a:xfrm>
                    <a:prstGeom prst="rect">
                      <a:avLst/>
                    </a:prstGeom>
                    <a:ln/>
                  </pic:spPr>
                </pic:pic>
              </a:graphicData>
            </a:graphic>
          </wp:inline>
        </w:drawing>
      </w:r>
    </w:p>
    <w:p w14:paraId="200BACF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Figure 3 displays the confusion matrix as a 4x4 heatmap, with strong diagonal values exceeding 95 percent and low off-diagonal entries on a blue-to-red color scale, confirming minimal misclassifications across threat categories.</w:t>
      </w:r>
    </w:p>
    <w:p w14:paraId="7AF6BF37"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3</w:t>
      </w:r>
    </w:p>
    <w:p w14:paraId="6712921F"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Confusion Matrix</w:t>
      </w:r>
    </w:p>
    <w:p w14:paraId="4E7C93E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8450465" wp14:editId="0AC68CEF">
            <wp:extent cx="4536012" cy="53540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3587"/>
                    <a:stretch>
                      <a:fillRect/>
                    </a:stretch>
                  </pic:blipFill>
                  <pic:spPr>
                    <a:xfrm>
                      <a:off x="0" y="0"/>
                      <a:ext cx="4536012" cy="5354013"/>
                    </a:xfrm>
                    <a:prstGeom prst="rect">
                      <a:avLst/>
                    </a:prstGeom>
                    <a:ln/>
                  </pic:spPr>
                </pic:pic>
              </a:graphicData>
            </a:graphic>
          </wp:inline>
        </w:drawing>
      </w:r>
    </w:p>
    <w:p w14:paraId="1C42697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Ten-fold cross-validation affirmed model stability with an average F1-score of 0.961 and standard deviation of 0.012, and McNemar's test yielded a chi-squared value of 14.7 with p less than 0.001 compared to baselines. Attack-Flow Matrix probabilities initially stood at 0.85 for inter-slice failures, 0.92 for orchestration attacks, and 0.78 for supply-chain issues, reducing post-mitigation to 0.12, 0.08, and 0.15 respectively. Energy consumption averaged 4.2 millijoules per handshake against 3.9 millijoules classical, fitting edge constraints.</w:t>
      </w:r>
    </w:p>
    <w:p w14:paraId="3AD5F48B"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Table 3 outlines overall framework benchmarks, comparing classical Transport Layer Security latency of 8.2 milliseconds and throughput of 2.1 gigabits per second with zero overhead; hybrid post-quantum Transport Layer Security at 9.8 milliseconds, throughput of 1.95 gigabits per second, and overhead of 1.65 percent; the proposed AI detection with F1-score of 0.962 and false positive rate of 0.8 percent; and baseline machine learning with F1-score of 0.890 and false positive rate of 3.0 percent.</w:t>
      </w:r>
    </w:p>
    <w:p w14:paraId="3D13564F"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3</w:t>
      </w:r>
    </w:p>
    <w:p w14:paraId="29E2D810"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Overall Framework Benchmarks</w:t>
      </w:r>
    </w:p>
    <w:tbl>
      <w:tblPr>
        <w:tblStyle w:val="a1"/>
        <w:tblW w:w="9379" w:type="dxa"/>
        <w:tblInd w:w="0" w:type="dxa"/>
        <w:tblLayout w:type="fixed"/>
        <w:tblLook w:val="0400" w:firstRow="0" w:lastRow="0" w:firstColumn="0" w:lastColumn="0" w:noHBand="0" w:noVBand="1"/>
      </w:tblPr>
      <w:tblGrid>
        <w:gridCol w:w="2203"/>
        <w:gridCol w:w="1537"/>
        <w:gridCol w:w="1071"/>
        <w:gridCol w:w="2282"/>
        <w:gridCol w:w="2286"/>
      </w:tblGrid>
      <w:tr w:rsidR="00B30D25" w14:paraId="51799596" w14:textId="77777777">
        <w:trPr>
          <w:trHeight w:val="589"/>
          <w:tblHeader/>
        </w:trPr>
        <w:tc>
          <w:tcPr>
            <w:tcW w:w="2203" w:type="dxa"/>
            <w:tcBorders>
              <w:top w:val="single" w:sz="4" w:space="0" w:color="000000"/>
              <w:bottom w:val="single" w:sz="4" w:space="0" w:color="000000"/>
            </w:tcBorders>
            <w:vAlign w:val="center"/>
          </w:tcPr>
          <w:p w14:paraId="7E879C99"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Scheme</w:t>
            </w:r>
          </w:p>
        </w:tc>
        <w:tc>
          <w:tcPr>
            <w:tcW w:w="1537" w:type="dxa"/>
            <w:tcBorders>
              <w:top w:val="single" w:sz="4" w:space="0" w:color="000000"/>
              <w:bottom w:val="single" w:sz="4" w:space="0" w:color="000000"/>
            </w:tcBorders>
            <w:vAlign w:val="center"/>
          </w:tcPr>
          <w:p w14:paraId="338FA207"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Latency (ms)</w:t>
            </w:r>
          </w:p>
        </w:tc>
        <w:tc>
          <w:tcPr>
            <w:tcW w:w="1071" w:type="dxa"/>
            <w:tcBorders>
              <w:top w:val="single" w:sz="4" w:space="0" w:color="000000"/>
              <w:bottom w:val="single" w:sz="4" w:space="0" w:color="000000"/>
            </w:tcBorders>
            <w:vAlign w:val="center"/>
          </w:tcPr>
          <w:p w14:paraId="2847B78B"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F1-Score</w:t>
            </w:r>
          </w:p>
        </w:tc>
        <w:tc>
          <w:tcPr>
            <w:tcW w:w="2282" w:type="dxa"/>
            <w:tcBorders>
              <w:top w:val="single" w:sz="4" w:space="0" w:color="000000"/>
              <w:bottom w:val="single" w:sz="4" w:space="0" w:color="000000"/>
            </w:tcBorders>
            <w:vAlign w:val="center"/>
          </w:tcPr>
          <w:p w14:paraId="62591088"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Throughput (Gbps)</w:t>
            </w:r>
          </w:p>
        </w:tc>
        <w:tc>
          <w:tcPr>
            <w:tcW w:w="2286" w:type="dxa"/>
            <w:tcBorders>
              <w:top w:val="single" w:sz="4" w:space="0" w:color="000000"/>
              <w:bottom w:val="single" w:sz="4" w:space="0" w:color="000000"/>
            </w:tcBorders>
            <w:vAlign w:val="center"/>
          </w:tcPr>
          <w:p w14:paraId="0DDC24B9"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Overhead/FPR (%)</w:t>
            </w:r>
          </w:p>
        </w:tc>
      </w:tr>
      <w:tr w:rsidR="00B30D25" w14:paraId="4BC7346E" w14:textId="77777777">
        <w:trPr>
          <w:trHeight w:val="572"/>
        </w:trPr>
        <w:tc>
          <w:tcPr>
            <w:tcW w:w="2203" w:type="dxa"/>
            <w:vAlign w:val="center"/>
          </w:tcPr>
          <w:p w14:paraId="406C872A"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Classical TLS</w:t>
            </w:r>
          </w:p>
        </w:tc>
        <w:tc>
          <w:tcPr>
            <w:tcW w:w="1537" w:type="dxa"/>
            <w:vAlign w:val="center"/>
          </w:tcPr>
          <w:p w14:paraId="1E8A30C6"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8.2</w:t>
            </w:r>
          </w:p>
        </w:tc>
        <w:tc>
          <w:tcPr>
            <w:tcW w:w="1071" w:type="dxa"/>
            <w:vAlign w:val="center"/>
          </w:tcPr>
          <w:p w14:paraId="367DDF97"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82" w:type="dxa"/>
            <w:vAlign w:val="center"/>
          </w:tcPr>
          <w:p w14:paraId="15F77E86"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2.10</w:t>
            </w:r>
          </w:p>
        </w:tc>
        <w:tc>
          <w:tcPr>
            <w:tcW w:w="2286" w:type="dxa"/>
            <w:vAlign w:val="center"/>
          </w:tcPr>
          <w:p w14:paraId="52BD85EA"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B30D25" w14:paraId="5D9EE125" w14:textId="77777777">
        <w:trPr>
          <w:trHeight w:val="572"/>
        </w:trPr>
        <w:tc>
          <w:tcPr>
            <w:tcW w:w="2203" w:type="dxa"/>
            <w:vAlign w:val="center"/>
          </w:tcPr>
          <w:p w14:paraId="3433324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Hybrid PQC-TLS</w:t>
            </w:r>
          </w:p>
        </w:tc>
        <w:tc>
          <w:tcPr>
            <w:tcW w:w="1537" w:type="dxa"/>
            <w:vAlign w:val="center"/>
          </w:tcPr>
          <w:p w14:paraId="2B1DCC1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9.8</w:t>
            </w:r>
          </w:p>
        </w:tc>
        <w:tc>
          <w:tcPr>
            <w:tcW w:w="1071" w:type="dxa"/>
            <w:vAlign w:val="center"/>
          </w:tcPr>
          <w:p w14:paraId="312AEAC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82" w:type="dxa"/>
            <w:vAlign w:val="center"/>
          </w:tcPr>
          <w:p w14:paraId="567D3054"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1.95</w:t>
            </w:r>
          </w:p>
        </w:tc>
        <w:tc>
          <w:tcPr>
            <w:tcW w:w="2286" w:type="dxa"/>
            <w:vAlign w:val="center"/>
          </w:tcPr>
          <w:p w14:paraId="1BB3D92A"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1.65</w:t>
            </w:r>
          </w:p>
        </w:tc>
      </w:tr>
      <w:tr w:rsidR="00B30D25" w14:paraId="3C8CD141" w14:textId="77777777">
        <w:trPr>
          <w:trHeight w:val="572"/>
        </w:trPr>
        <w:tc>
          <w:tcPr>
            <w:tcW w:w="2203" w:type="dxa"/>
            <w:vAlign w:val="center"/>
          </w:tcPr>
          <w:p w14:paraId="33302DD2"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AI Detection (Ours)</w:t>
            </w:r>
          </w:p>
        </w:tc>
        <w:tc>
          <w:tcPr>
            <w:tcW w:w="1537" w:type="dxa"/>
            <w:vAlign w:val="center"/>
          </w:tcPr>
          <w:p w14:paraId="5A5AA1E9"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71" w:type="dxa"/>
            <w:vAlign w:val="center"/>
          </w:tcPr>
          <w:p w14:paraId="62025291"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0.962</w:t>
            </w:r>
          </w:p>
        </w:tc>
        <w:tc>
          <w:tcPr>
            <w:tcW w:w="2282" w:type="dxa"/>
            <w:vAlign w:val="center"/>
          </w:tcPr>
          <w:p w14:paraId="0E26663C"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86" w:type="dxa"/>
            <w:vAlign w:val="center"/>
          </w:tcPr>
          <w:p w14:paraId="722CD24D"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0.8</w:t>
            </w:r>
          </w:p>
        </w:tc>
      </w:tr>
      <w:tr w:rsidR="00B30D25" w14:paraId="414553E3" w14:textId="77777777">
        <w:trPr>
          <w:trHeight w:val="555"/>
        </w:trPr>
        <w:tc>
          <w:tcPr>
            <w:tcW w:w="2203" w:type="dxa"/>
            <w:tcBorders>
              <w:bottom w:val="single" w:sz="4" w:space="0" w:color="000000"/>
            </w:tcBorders>
            <w:vAlign w:val="center"/>
          </w:tcPr>
          <w:p w14:paraId="01447911"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Baseline ML</w:t>
            </w:r>
          </w:p>
        </w:tc>
        <w:tc>
          <w:tcPr>
            <w:tcW w:w="1537" w:type="dxa"/>
            <w:tcBorders>
              <w:bottom w:val="single" w:sz="4" w:space="0" w:color="000000"/>
            </w:tcBorders>
            <w:vAlign w:val="center"/>
          </w:tcPr>
          <w:p w14:paraId="3AE53B78"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71" w:type="dxa"/>
            <w:tcBorders>
              <w:bottom w:val="single" w:sz="4" w:space="0" w:color="000000"/>
            </w:tcBorders>
            <w:vAlign w:val="center"/>
          </w:tcPr>
          <w:p w14:paraId="07275093"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0.890</w:t>
            </w:r>
          </w:p>
        </w:tc>
        <w:tc>
          <w:tcPr>
            <w:tcW w:w="2282" w:type="dxa"/>
            <w:tcBorders>
              <w:bottom w:val="single" w:sz="4" w:space="0" w:color="000000"/>
            </w:tcBorders>
            <w:vAlign w:val="center"/>
          </w:tcPr>
          <w:p w14:paraId="0A4ADE83"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86" w:type="dxa"/>
            <w:tcBorders>
              <w:bottom w:val="single" w:sz="4" w:space="0" w:color="000000"/>
            </w:tcBorders>
            <w:vAlign w:val="center"/>
          </w:tcPr>
          <w:p w14:paraId="75470986"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3.0</w:t>
            </w:r>
          </w:p>
        </w:tc>
      </w:tr>
    </w:tbl>
    <w:p w14:paraId="1BB00F32"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4 visualizes AI detection performance through a bar chart, highlighting metrics such as precision, recall, and F1-score across classes.</w:t>
      </w:r>
    </w:p>
    <w:p w14:paraId="4C43C1F0" w14:textId="77777777" w:rsidR="00B30D25"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4</w:t>
      </w:r>
    </w:p>
    <w:p w14:paraId="5E73E6AF" w14:textId="77777777" w:rsidR="00B30D25"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AI Detection Performance</w:t>
      </w:r>
    </w:p>
    <w:p w14:paraId="1F65A0E4"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E195236" wp14:editId="2C73D3F6">
            <wp:extent cx="4538585" cy="496009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3448" b="3321"/>
                    <a:stretch>
                      <a:fillRect/>
                    </a:stretch>
                  </pic:blipFill>
                  <pic:spPr>
                    <a:xfrm>
                      <a:off x="0" y="0"/>
                      <a:ext cx="4538585" cy="4960091"/>
                    </a:xfrm>
                    <a:prstGeom prst="rect">
                      <a:avLst/>
                    </a:prstGeom>
                    <a:ln/>
                  </pic:spPr>
                </pic:pic>
              </a:graphicData>
            </a:graphic>
          </wp:inline>
        </w:drawing>
      </w:r>
    </w:p>
    <w:p w14:paraId="18DA1216"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Table 4 details slice-specific performance, showing enhanced mobile broadband with F1-score of 0.965, latency of 9.5 milliseconds, and isolation of 99.5 percent; ultra-reliable low-latency communications at 0.972, 9.2 milliseconds, and 99.8 percent; massive machine-type communications at 0.958, 10.1 milliseconds, and 99.1 percent; and non-terrestrial networks at 0.947, 10.4 milliseconds, and 98.7 percent.</w:t>
      </w:r>
    </w:p>
    <w:p w14:paraId="00F4A5DF"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4</w:t>
      </w:r>
    </w:p>
    <w:p w14:paraId="448C0140"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Slice-Specific Performance</w:t>
      </w:r>
    </w:p>
    <w:tbl>
      <w:tblPr>
        <w:tblStyle w:val="a2"/>
        <w:tblW w:w="9410" w:type="dxa"/>
        <w:tblInd w:w="0" w:type="dxa"/>
        <w:tblLayout w:type="fixed"/>
        <w:tblLook w:val="0400" w:firstRow="0" w:lastRow="0" w:firstColumn="0" w:lastColumn="0" w:noHBand="0" w:noVBand="1"/>
      </w:tblPr>
      <w:tblGrid>
        <w:gridCol w:w="1965"/>
        <w:gridCol w:w="2420"/>
        <w:gridCol w:w="2492"/>
        <w:gridCol w:w="2533"/>
      </w:tblGrid>
      <w:tr w:rsidR="00B30D25" w14:paraId="2F125E87" w14:textId="77777777">
        <w:trPr>
          <w:trHeight w:val="573"/>
          <w:tblHeader/>
        </w:trPr>
        <w:tc>
          <w:tcPr>
            <w:tcW w:w="1965" w:type="dxa"/>
            <w:tcBorders>
              <w:top w:val="single" w:sz="4" w:space="0" w:color="000000"/>
              <w:bottom w:val="single" w:sz="4" w:space="0" w:color="000000"/>
            </w:tcBorders>
            <w:vAlign w:val="center"/>
          </w:tcPr>
          <w:p w14:paraId="4A18D8A8"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Slice Type</w:t>
            </w:r>
          </w:p>
        </w:tc>
        <w:tc>
          <w:tcPr>
            <w:tcW w:w="2420" w:type="dxa"/>
            <w:tcBorders>
              <w:top w:val="single" w:sz="4" w:space="0" w:color="000000"/>
              <w:bottom w:val="single" w:sz="4" w:space="0" w:color="000000"/>
            </w:tcBorders>
            <w:vAlign w:val="center"/>
          </w:tcPr>
          <w:p w14:paraId="363C7342"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Detection F1</w:t>
            </w:r>
          </w:p>
        </w:tc>
        <w:tc>
          <w:tcPr>
            <w:tcW w:w="2492" w:type="dxa"/>
            <w:tcBorders>
              <w:top w:val="single" w:sz="4" w:space="0" w:color="000000"/>
              <w:bottom w:val="single" w:sz="4" w:space="0" w:color="000000"/>
            </w:tcBorders>
            <w:vAlign w:val="center"/>
          </w:tcPr>
          <w:p w14:paraId="481E76BB"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Latency (ms)</w:t>
            </w:r>
          </w:p>
        </w:tc>
        <w:tc>
          <w:tcPr>
            <w:tcW w:w="2533" w:type="dxa"/>
            <w:tcBorders>
              <w:top w:val="single" w:sz="4" w:space="0" w:color="000000"/>
              <w:bottom w:val="single" w:sz="4" w:space="0" w:color="000000"/>
            </w:tcBorders>
            <w:vAlign w:val="center"/>
          </w:tcPr>
          <w:p w14:paraId="53BDAFE9"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Isolation (%)</w:t>
            </w:r>
          </w:p>
        </w:tc>
      </w:tr>
      <w:tr w:rsidR="00B30D25" w14:paraId="5FB0FDE5" w14:textId="77777777">
        <w:trPr>
          <w:trHeight w:val="556"/>
        </w:trPr>
        <w:tc>
          <w:tcPr>
            <w:tcW w:w="1965" w:type="dxa"/>
            <w:vAlign w:val="center"/>
          </w:tcPr>
          <w:p w14:paraId="6EC1358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eMBB</w:t>
            </w:r>
          </w:p>
        </w:tc>
        <w:tc>
          <w:tcPr>
            <w:tcW w:w="2420" w:type="dxa"/>
            <w:vAlign w:val="center"/>
          </w:tcPr>
          <w:p w14:paraId="0530AAF6"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0.965</w:t>
            </w:r>
          </w:p>
        </w:tc>
        <w:tc>
          <w:tcPr>
            <w:tcW w:w="2492" w:type="dxa"/>
            <w:vAlign w:val="center"/>
          </w:tcPr>
          <w:p w14:paraId="371B4428"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9.5</w:t>
            </w:r>
          </w:p>
        </w:tc>
        <w:tc>
          <w:tcPr>
            <w:tcW w:w="2533" w:type="dxa"/>
            <w:vAlign w:val="center"/>
          </w:tcPr>
          <w:p w14:paraId="2C12937D"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99.5</w:t>
            </w:r>
          </w:p>
        </w:tc>
      </w:tr>
      <w:tr w:rsidR="00B30D25" w14:paraId="59BE3C32" w14:textId="77777777">
        <w:trPr>
          <w:trHeight w:val="556"/>
        </w:trPr>
        <w:tc>
          <w:tcPr>
            <w:tcW w:w="1965" w:type="dxa"/>
            <w:vAlign w:val="center"/>
          </w:tcPr>
          <w:p w14:paraId="2409321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URLLC</w:t>
            </w:r>
          </w:p>
        </w:tc>
        <w:tc>
          <w:tcPr>
            <w:tcW w:w="2420" w:type="dxa"/>
            <w:vAlign w:val="center"/>
          </w:tcPr>
          <w:p w14:paraId="0FD2F4B9"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0.972</w:t>
            </w:r>
          </w:p>
        </w:tc>
        <w:tc>
          <w:tcPr>
            <w:tcW w:w="2492" w:type="dxa"/>
            <w:vAlign w:val="center"/>
          </w:tcPr>
          <w:p w14:paraId="2B030D5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9.2</w:t>
            </w:r>
          </w:p>
        </w:tc>
        <w:tc>
          <w:tcPr>
            <w:tcW w:w="2533" w:type="dxa"/>
            <w:vAlign w:val="center"/>
          </w:tcPr>
          <w:p w14:paraId="2F228111"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99.8</w:t>
            </w:r>
          </w:p>
        </w:tc>
      </w:tr>
      <w:tr w:rsidR="00B30D25" w14:paraId="5CA1FB27" w14:textId="77777777">
        <w:trPr>
          <w:trHeight w:val="556"/>
        </w:trPr>
        <w:tc>
          <w:tcPr>
            <w:tcW w:w="1965" w:type="dxa"/>
            <w:vAlign w:val="center"/>
          </w:tcPr>
          <w:p w14:paraId="72182DE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mMTC</w:t>
            </w:r>
          </w:p>
        </w:tc>
        <w:tc>
          <w:tcPr>
            <w:tcW w:w="2420" w:type="dxa"/>
            <w:vAlign w:val="center"/>
          </w:tcPr>
          <w:p w14:paraId="24A57AF7"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0.958</w:t>
            </w:r>
          </w:p>
        </w:tc>
        <w:tc>
          <w:tcPr>
            <w:tcW w:w="2492" w:type="dxa"/>
            <w:vAlign w:val="center"/>
          </w:tcPr>
          <w:p w14:paraId="7B6B286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10.1</w:t>
            </w:r>
          </w:p>
        </w:tc>
        <w:tc>
          <w:tcPr>
            <w:tcW w:w="2533" w:type="dxa"/>
            <w:vAlign w:val="center"/>
          </w:tcPr>
          <w:p w14:paraId="58F8D22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99.1</w:t>
            </w:r>
          </w:p>
        </w:tc>
      </w:tr>
      <w:tr w:rsidR="00B30D25" w14:paraId="2354CF94" w14:textId="77777777">
        <w:trPr>
          <w:trHeight w:val="556"/>
        </w:trPr>
        <w:tc>
          <w:tcPr>
            <w:tcW w:w="1965" w:type="dxa"/>
            <w:tcBorders>
              <w:bottom w:val="single" w:sz="4" w:space="0" w:color="000000"/>
            </w:tcBorders>
            <w:vAlign w:val="center"/>
          </w:tcPr>
          <w:p w14:paraId="4D2CE5BA"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NTN</w:t>
            </w:r>
          </w:p>
        </w:tc>
        <w:tc>
          <w:tcPr>
            <w:tcW w:w="2420" w:type="dxa"/>
            <w:tcBorders>
              <w:bottom w:val="single" w:sz="4" w:space="0" w:color="000000"/>
            </w:tcBorders>
            <w:vAlign w:val="center"/>
          </w:tcPr>
          <w:p w14:paraId="4E75F34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0.947</w:t>
            </w:r>
          </w:p>
        </w:tc>
        <w:tc>
          <w:tcPr>
            <w:tcW w:w="2492" w:type="dxa"/>
            <w:tcBorders>
              <w:bottom w:val="single" w:sz="4" w:space="0" w:color="000000"/>
            </w:tcBorders>
            <w:vAlign w:val="center"/>
          </w:tcPr>
          <w:p w14:paraId="1E01C08F"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10.4</w:t>
            </w:r>
          </w:p>
        </w:tc>
        <w:tc>
          <w:tcPr>
            <w:tcW w:w="2533" w:type="dxa"/>
            <w:tcBorders>
              <w:bottom w:val="single" w:sz="4" w:space="0" w:color="000000"/>
            </w:tcBorders>
            <w:vAlign w:val="center"/>
          </w:tcPr>
          <w:p w14:paraId="4444ED6A"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98.7</w:t>
            </w:r>
          </w:p>
        </w:tc>
      </w:tr>
    </w:tbl>
    <w:p w14:paraId="07AC32F7"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Table 5 summarizes cross-validation results, with folds exhibiting F1-scores from 0.958 to 0.967 and area under the receiver operating characteristic curve from 0.982 to 0.989, standard deviations around 0.011 to 0.009, averaging 0.961 for F1-score and 0.985 for area under the curve with a standard deviation of 0.012.</w:t>
      </w:r>
    </w:p>
    <w:p w14:paraId="742BEB2B"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5</w:t>
      </w:r>
    </w:p>
    <w:p w14:paraId="53E9CEB9"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Cross-Validation Results</w:t>
      </w:r>
    </w:p>
    <w:tbl>
      <w:tblPr>
        <w:tblStyle w:val="a3"/>
        <w:tblW w:w="9341" w:type="dxa"/>
        <w:tblInd w:w="0" w:type="dxa"/>
        <w:tblLayout w:type="fixed"/>
        <w:tblLook w:val="0400" w:firstRow="0" w:lastRow="0" w:firstColumn="0" w:lastColumn="0" w:noHBand="0" w:noVBand="1"/>
      </w:tblPr>
      <w:tblGrid>
        <w:gridCol w:w="1505"/>
        <w:gridCol w:w="2425"/>
        <w:gridCol w:w="2976"/>
        <w:gridCol w:w="2435"/>
      </w:tblGrid>
      <w:tr w:rsidR="00B30D25" w14:paraId="6008C255" w14:textId="77777777">
        <w:trPr>
          <w:trHeight w:val="545"/>
          <w:tblHeader/>
        </w:trPr>
        <w:tc>
          <w:tcPr>
            <w:tcW w:w="1505" w:type="dxa"/>
            <w:tcBorders>
              <w:top w:val="single" w:sz="4" w:space="0" w:color="000000"/>
              <w:bottom w:val="single" w:sz="4" w:space="0" w:color="000000"/>
            </w:tcBorders>
            <w:vAlign w:val="center"/>
          </w:tcPr>
          <w:p w14:paraId="4BAC8405"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Fold</w:t>
            </w:r>
          </w:p>
        </w:tc>
        <w:tc>
          <w:tcPr>
            <w:tcW w:w="2425" w:type="dxa"/>
            <w:tcBorders>
              <w:top w:val="single" w:sz="4" w:space="0" w:color="000000"/>
              <w:bottom w:val="single" w:sz="4" w:space="0" w:color="000000"/>
            </w:tcBorders>
            <w:vAlign w:val="center"/>
          </w:tcPr>
          <w:p w14:paraId="3451947A"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F1-Score</w:t>
            </w:r>
          </w:p>
        </w:tc>
        <w:tc>
          <w:tcPr>
            <w:tcW w:w="2976" w:type="dxa"/>
            <w:tcBorders>
              <w:top w:val="single" w:sz="4" w:space="0" w:color="000000"/>
              <w:bottom w:val="single" w:sz="4" w:space="0" w:color="000000"/>
            </w:tcBorders>
            <w:vAlign w:val="center"/>
          </w:tcPr>
          <w:p w14:paraId="38B9CBEF"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AUC-ROC</w:t>
            </w:r>
          </w:p>
        </w:tc>
        <w:tc>
          <w:tcPr>
            <w:tcW w:w="2435" w:type="dxa"/>
            <w:tcBorders>
              <w:top w:val="single" w:sz="4" w:space="0" w:color="000000"/>
              <w:bottom w:val="single" w:sz="4" w:space="0" w:color="000000"/>
            </w:tcBorders>
            <w:vAlign w:val="center"/>
          </w:tcPr>
          <w:p w14:paraId="4AD171D5"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Std. Dev.</w:t>
            </w:r>
          </w:p>
        </w:tc>
      </w:tr>
      <w:tr w:rsidR="00B30D25" w14:paraId="65484AAE" w14:textId="77777777">
        <w:trPr>
          <w:trHeight w:val="545"/>
        </w:trPr>
        <w:tc>
          <w:tcPr>
            <w:tcW w:w="1505" w:type="dxa"/>
            <w:vAlign w:val="center"/>
          </w:tcPr>
          <w:p w14:paraId="4B141B6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425" w:type="dxa"/>
            <w:vAlign w:val="center"/>
          </w:tcPr>
          <w:p w14:paraId="5D6D4205"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0.958</w:t>
            </w:r>
          </w:p>
        </w:tc>
        <w:tc>
          <w:tcPr>
            <w:tcW w:w="2976" w:type="dxa"/>
            <w:vAlign w:val="center"/>
          </w:tcPr>
          <w:p w14:paraId="438AABB5"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0.982</w:t>
            </w:r>
          </w:p>
        </w:tc>
        <w:tc>
          <w:tcPr>
            <w:tcW w:w="2435" w:type="dxa"/>
            <w:vAlign w:val="center"/>
          </w:tcPr>
          <w:p w14:paraId="39EA1C31"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±0.011</w:t>
            </w:r>
          </w:p>
        </w:tc>
      </w:tr>
      <w:tr w:rsidR="00B30D25" w14:paraId="0286F6A8" w14:textId="77777777">
        <w:trPr>
          <w:trHeight w:val="529"/>
        </w:trPr>
        <w:tc>
          <w:tcPr>
            <w:tcW w:w="1505" w:type="dxa"/>
            <w:vAlign w:val="center"/>
          </w:tcPr>
          <w:p w14:paraId="2165EEF9"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tc>
        <w:tc>
          <w:tcPr>
            <w:tcW w:w="2425" w:type="dxa"/>
            <w:vAlign w:val="center"/>
          </w:tcPr>
          <w:p w14:paraId="5E8D804D"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976" w:type="dxa"/>
            <w:vAlign w:val="center"/>
          </w:tcPr>
          <w:p w14:paraId="757FEC8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435" w:type="dxa"/>
            <w:vAlign w:val="center"/>
          </w:tcPr>
          <w:p w14:paraId="47A0E53B"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B30D25" w14:paraId="7F12EACB" w14:textId="77777777">
        <w:trPr>
          <w:trHeight w:val="545"/>
        </w:trPr>
        <w:tc>
          <w:tcPr>
            <w:tcW w:w="1505" w:type="dxa"/>
            <w:vAlign w:val="center"/>
          </w:tcPr>
          <w:p w14:paraId="0EB145E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425" w:type="dxa"/>
            <w:vAlign w:val="center"/>
          </w:tcPr>
          <w:p w14:paraId="41D46619"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0.967</w:t>
            </w:r>
          </w:p>
        </w:tc>
        <w:tc>
          <w:tcPr>
            <w:tcW w:w="2976" w:type="dxa"/>
            <w:vAlign w:val="center"/>
          </w:tcPr>
          <w:p w14:paraId="0C5DA52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0.989</w:t>
            </w:r>
          </w:p>
        </w:tc>
        <w:tc>
          <w:tcPr>
            <w:tcW w:w="2435" w:type="dxa"/>
            <w:vAlign w:val="center"/>
          </w:tcPr>
          <w:p w14:paraId="7F948082"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±0.009</w:t>
            </w:r>
          </w:p>
        </w:tc>
      </w:tr>
      <w:tr w:rsidR="00B30D25" w14:paraId="0696A430" w14:textId="77777777">
        <w:trPr>
          <w:trHeight w:val="545"/>
        </w:trPr>
        <w:tc>
          <w:tcPr>
            <w:tcW w:w="1505" w:type="dxa"/>
            <w:tcBorders>
              <w:bottom w:val="single" w:sz="4" w:space="0" w:color="000000"/>
            </w:tcBorders>
            <w:vAlign w:val="center"/>
          </w:tcPr>
          <w:p w14:paraId="13C6596C"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Mean</w:t>
            </w:r>
          </w:p>
        </w:tc>
        <w:tc>
          <w:tcPr>
            <w:tcW w:w="2425" w:type="dxa"/>
            <w:tcBorders>
              <w:bottom w:val="single" w:sz="4" w:space="0" w:color="000000"/>
            </w:tcBorders>
            <w:vAlign w:val="center"/>
          </w:tcPr>
          <w:p w14:paraId="3B613876"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0.961</w:t>
            </w:r>
          </w:p>
        </w:tc>
        <w:tc>
          <w:tcPr>
            <w:tcW w:w="2976" w:type="dxa"/>
            <w:tcBorders>
              <w:bottom w:val="single" w:sz="4" w:space="0" w:color="000000"/>
            </w:tcBorders>
            <w:vAlign w:val="center"/>
          </w:tcPr>
          <w:p w14:paraId="1BBFD180"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0.985</w:t>
            </w:r>
          </w:p>
        </w:tc>
        <w:tc>
          <w:tcPr>
            <w:tcW w:w="2435" w:type="dxa"/>
            <w:tcBorders>
              <w:bottom w:val="single" w:sz="4" w:space="0" w:color="000000"/>
            </w:tcBorders>
            <w:vAlign w:val="center"/>
          </w:tcPr>
          <w:p w14:paraId="28D4CBAE"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±0.012</w:t>
            </w:r>
          </w:p>
        </w:tc>
      </w:tr>
    </w:tbl>
    <w:p w14:paraId="5C256DF9"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5 represents the Attack-Flow Matrix as a heatmap, contrasting pre-mitigation high probabilities in red with post-mitigation lows in green across inter-slice, orchestration, and supply-chain dimensions.</w:t>
      </w:r>
    </w:p>
    <w:p w14:paraId="22F8CD90" w14:textId="77777777" w:rsidR="00B30D25"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5</w:t>
      </w:r>
    </w:p>
    <w:p w14:paraId="3DF2DA90" w14:textId="77777777" w:rsidR="00B30D25" w:rsidRDefault="0000000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Attack-Flow Matrix (AFM)</w:t>
      </w:r>
    </w:p>
    <w:p w14:paraId="28B7AA91" w14:textId="77777777" w:rsidR="00B30D25" w:rsidRDefault="00B30D25">
      <w:pPr>
        <w:spacing w:before="240" w:line="360" w:lineRule="auto"/>
        <w:jc w:val="both"/>
        <w:rPr>
          <w:rFonts w:ascii="Times New Roman" w:eastAsia="Times New Roman" w:hAnsi="Times New Roman" w:cs="Times New Roman"/>
        </w:rPr>
      </w:pPr>
    </w:p>
    <w:p w14:paraId="291757DE" w14:textId="77777777" w:rsidR="00B30D25"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973F09" wp14:editId="2F5A1EBA">
            <wp:extent cx="4392128" cy="530007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932" t="2981" r="1587" b="3326"/>
                    <a:stretch>
                      <a:fillRect/>
                    </a:stretch>
                  </pic:blipFill>
                  <pic:spPr>
                    <a:xfrm>
                      <a:off x="0" y="0"/>
                      <a:ext cx="4392128" cy="5300071"/>
                    </a:xfrm>
                    <a:prstGeom prst="rect">
                      <a:avLst/>
                    </a:prstGeom>
                    <a:ln/>
                  </pic:spPr>
                </pic:pic>
              </a:graphicData>
            </a:graphic>
          </wp:inline>
        </w:drawing>
      </w:r>
    </w:p>
    <w:p w14:paraId="7F92954B"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Table 6 highlights regulatory compliance, noting 3GPP 33.501 quantum-safe keys as achieved against NIST post-quantum cryptography requirements; ITU Y.3800 false positive rate under 0.01 at 0.008 compliant; and ETSI non-terrestrial networks detection F1 over 0.90 at 0.947.</w:t>
      </w:r>
    </w:p>
    <w:p w14:paraId="3576608C"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6</w:t>
      </w:r>
    </w:p>
    <w:p w14:paraId="1962AFE8" w14:textId="77777777" w:rsidR="00B30D25" w:rsidRDefault="0000000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Regulatory Compliance</w:t>
      </w:r>
    </w:p>
    <w:tbl>
      <w:tblPr>
        <w:tblStyle w:val="a4"/>
        <w:tblW w:w="9380" w:type="dxa"/>
        <w:tblInd w:w="0" w:type="dxa"/>
        <w:tblLayout w:type="fixed"/>
        <w:tblLook w:val="0400" w:firstRow="0" w:lastRow="0" w:firstColumn="0" w:lastColumn="0" w:noHBand="0" w:noVBand="1"/>
      </w:tblPr>
      <w:tblGrid>
        <w:gridCol w:w="2178"/>
        <w:gridCol w:w="3278"/>
        <w:gridCol w:w="1630"/>
        <w:gridCol w:w="2294"/>
      </w:tblGrid>
      <w:tr w:rsidR="00B30D25" w14:paraId="73D06298" w14:textId="77777777">
        <w:trPr>
          <w:trHeight w:val="645"/>
          <w:tblHeader/>
        </w:trPr>
        <w:tc>
          <w:tcPr>
            <w:tcW w:w="2178" w:type="dxa"/>
            <w:tcBorders>
              <w:top w:val="single" w:sz="4" w:space="0" w:color="000000"/>
              <w:bottom w:val="single" w:sz="4" w:space="0" w:color="000000"/>
            </w:tcBorders>
            <w:vAlign w:val="center"/>
          </w:tcPr>
          <w:p w14:paraId="7A0310F9"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Standard</w:t>
            </w:r>
          </w:p>
        </w:tc>
        <w:tc>
          <w:tcPr>
            <w:tcW w:w="3278" w:type="dxa"/>
            <w:tcBorders>
              <w:top w:val="single" w:sz="4" w:space="0" w:color="000000"/>
              <w:bottom w:val="single" w:sz="4" w:space="0" w:color="000000"/>
            </w:tcBorders>
            <w:vAlign w:val="center"/>
          </w:tcPr>
          <w:p w14:paraId="62AF1B6A"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Metric</w:t>
            </w:r>
          </w:p>
        </w:tc>
        <w:tc>
          <w:tcPr>
            <w:tcW w:w="1630" w:type="dxa"/>
            <w:tcBorders>
              <w:top w:val="single" w:sz="4" w:space="0" w:color="000000"/>
              <w:bottom w:val="single" w:sz="4" w:space="0" w:color="000000"/>
            </w:tcBorders>
            <w:vAlign w:val="center"/>
          </w:tcPr>
          <w:p w14:paraId="72BB8E31"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Achieved</w:t>
            </w:r>
          </w:p>
        </w:tc>
        <w:tc>
          <w:tcPr>
            <w:tcW w:w="2294" w:type="dxa"/>
            <w:tcBorders>
              <w:top w:val="single" w:sz="4" w:space="0" w:color="000000"/>
              <w:bottom w:val="single" w:sz="4" w:space="0" w:color="000000"/>
            </w:tcBorders>
            <w:vAlign w:val="center"/>
          </w:tcPr>
          <w:p w14:paraId="204AE217" w14:textId="77777777" w:rsidR="00B30D25" w:rsidRDefault="00000000" w:rsidP="00B025A7">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Requirement</w:t>
            </w:r>
          </w:p>
        </w:tc>
      </w:tr>
      <w:tr w:rsidR="00B30D25" w14:paraId="3BBF5E31" w14:textId="77777777">
        <w:trPr>
          <w:trHeight w:val="645"/>
        </w:trPr>
        <w:tc>
          <w:tcPr>
            <w:tcW w:w="2178" w:type="dxa"/>
            <w:vAlign w:val="center"/>
          </w:tcPr>
          <w:p w14:paraId="1C63640C"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3GPP 33.501</w:t>
            </w:r>
          </w:p>
        </w:tc>
        <w:tc>
          <w:tcPr>
            <w:tcW w:w="3278" w:type="dxa"/>
            <w:vAlign w:val="center"/>
          </w:tcPr>
          <w:p w14:paraId="2C01D988"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Quantum-Safe Keys</w:t>
            </w:r>
          </w:p>
        </w:tc>
        <w:tc>
          <w:tcPr>
            <w:tcW w:w="1630" w:type="dxa"/>
            <w:vAlign w:val="center"/>
          </w:tcPr>
          <w:p w14:paraId="5E030095"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2294" w:type="dxa"/>
            <w:vAlign w:val="center"/>
          </w:tcPr>
          <w:p w14:paraId="343A4D97"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NIST PQC</w:t>
            </w:r>
          </w:p>
        </w:tc>
      </w:tr>
      <w:tr w:rsidR="00B30D25" w14:paraId="70E7C6A4" w14:textId="77777777">
        <w:trPr>
          <w:trHeight w:val="645"/>
        </w:trPr>
        <w:tc>
          <w:tcPr>
            <w:tcW w:w="2178" w:type="dxa"/>
            <w:vAlign w:val="center"/>
          </w:tcPr>
          <w:p w14:paraId="378D4A74"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ITU Y.3800</w:t>
            </w:r>
          </w:p>
        </w:tc>
        <w:tc>
          <w:tcPr>
            <w:tcW w:w="3278" w:type="dxa"/>
            <w:vAlign w:val="center"/>
          </w:tcPr>
          <w:p w14:paraId="426E1703"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FPR &lt;0.01</w:t>
            </w:r>
          </w:p>
        </w:tc>
        <w:tc>
          <w:tcPr>
            <w:tcW w:w="1630" w:type="dxa"/>
            <w:vAlign w:val="center"/>
          </w:tcPr>
          <w:p w14:paraId="1475A3E3"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0.008</w:t>
            </w:r>
          </w:p>
        </w:tc>
        <w:tc>
          <w:tcPr>
            <w:tcW w:w="2294" w:type="dxa"/>
            <w:vAlign w:val="center"/>
          </w:tcPr>
          <w:p w14:paraId="001CEE1F"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Compliant</w:t>
            </w:r>
          </w:p>
        </w:tc>
      </w:tr>
      <w:tr w:rsidR="00B30D25" w14:paraId="0F571304" w14:textId="77777777">
        <w:trPr>
          <w:trHeight w:val="645"/>
        </w:trPr>
        <w:tc>
          <w:tcPr>
            <w:tcW w:w="2178" w:type="dxa"/>
            <w:tcBorders>
              <w:bottom w:val="single" w:sz="4" w:space="0" w:color="000000"/>
            </w:tcBorders>
            <w:vAlign w:val="center"/>
          </w:tcPr>
          <w:p w14:paraId="06BC884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ETSI NTN</w:t>
            </w:r>
          </w:p>
        </w:tc>
        <w:tc>
          <w:tcPr>
            <w:tcW w:w="3278" w:type="dxa"/>
            <w:tcBorders>
              <w:bottom w:val="single" w:sz="4" w:space="0" w:color="000000"/>
            </w:tcBorders>
            <w:vAlign w:val="center"/>
          </w:tcPr>
          <w:p w14:paraId="09C5CA77"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NTN Detection F1</w:t>
            </w:r>
          </w:p>
        </w:tc>
        <w:tc>
          <w:tcPr>
            <w:tcW w:w="1630" w:type="dxa"/>
            <w:tcBorders>
              <w:bottom w:val="single" w:sz="4" w:space="0" w:color="000000"/>
            </w:tcBorders>
            <w:vAlign w:val="center"/>
          </w:tcPr>
          <w:p w14:paraId="03F4FE91"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0.947</w:t>
            </w:r>
          </w:p>
        </w:tc>
        <w:tc>
          <w:tcPr>
            <w:tcW w:w="2294" w:type="dxa"/>
            <w:tcBorders>
              <w:bottom w:val="single" w:sz="4" w:space="0" w:color="000000"/>
            </w:tcBorders>
            <w:vAlign w:val="center"/>
          </w:tcPr>
          <w:p w14:paraId="68D6B127" w14:textId="77777777" w:rsidR="00B30D25" w:rsidRDefault="00000000" w:rsidP="00B025A7">
            <w:pPr>
              <w:spacing w:line="360" w:lineRule="auto"/>
              <w:jc w:val="center"/>
              <w:rPr>
                <w:rFonts w:ascii="Times New Roman" w:eastAsia="Times New Roman" w:hAnsi="Times New Roman" w:cs="Times New Roman"/>
              </w:rPr>
            </w:pPr>
            <w:r>
              <w:rPr>
                <w:rFonts w:ascii="Times New Roman" w:eastAsia="Times New Roman" w:hAnsi="Times New Roman" w:cs="Times New Roman"/>
              </w:rPr>
              <w:t>&gt;0.90</w:t>
            </w:r>
          </w:p>
        </w:tc>
      </w:tr>
    </w:tbl>
    <w:p w14:paraId="1A813EDF" w14:textId="77777777" w:rsidR="00B30D25" w:rsidRDefault="00000000">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p>
    <w:p w14:paraId="6B55B040"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achieved 9.8-millisecond hybrid Transport Layer Security latency, incorporating lattice-based post-quantum algorithms, underscores the framework's efficacy in maintaining low overheads while ensuring quantum resistance, outperforming comparable implementations such as those in efficient post-quantum QUIC protocols due to less optimized key encapsulation (Dong &amp; Wang, 2025). This result aligns with NIST standardization guidelines for module-lattice-based key encapsulation mechanism and module-lattice-based digital signature algorithm, facilitating seamless integration into 5G cores without compromising ultra-reliable low-latency communications mandates under 1 millisecond end-to-end (NIST, 2024; Telecommunication Engineering Centre, 2025). The reduced overhead to 1.1 milliseconds via FALCON-512 addresses edge computing constraints, as highlighted in energy-efficient post-quantum cryptography studies for resource-limited nodes, potentially extending battery life in massive machine-type communications devices (Roma et al., 2021). Compared to quantum key distribution hybrids, which impose 45-millisecond latencies reliant on physical infrastructure, the lattice approach offers scalable, software-based quantum safety suitable for non-terrestrial network extensions (Mehić et al., 2023).</w:t>
      </w:r>
    </w:p>
    <w:p w14:paraId="51576CC7"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stacked ensemble's F1-score of 0.962 surpasses prior deep learning models for 5G intrusion detection, which averaged 0.92 in slice monitoring architectures, attributable to the fusion of entropy-based features with network function virtualization utilization metrics that capture nuanced advanced persistent threat patterns overlooked in traditional flow analyses (Salih et al., 2021; Saha et al., 2025). Synthetic minority oversampling technique balancing mitigated inherent class disparities, elevating SIM-fraud recall dramatically and aligning with economic impact assessments estimating annual fraud losses at 40 billion dollars, where enhanced detection could yield substantial savings (Ajuzieogu, 2025). The false positive rate of 0.008 complies with ITU-T recommendations for machine learning-based anomaly detection, minimizing unnecessary slice disruptions by 73 percent relative to baselines and enhancing operational resilience in software-defined networking environments (Alves et al., 2023; Do Xuan &amp; Cuong, 2024). Synergistic integration of post-quantum authenticated AI telemetry thwarted 96 percent of orchestration spoofing attempts, echoing adaptive post-quantum systems with machine learning feedback that dynamically optimize parameters for real-time threat adaptation (Omoseebi et al., 2025).</w:t>
      </w:r>
    </w:p>
    <w:p w14:paraId="21F4ECE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Overall framework benchmarks, including sustained throughput and reduced post-mitigation Attack-Flow Matrix probabilities, demonstrate superior performance in simulated standalone deployments, mirroring case studies where similar hybrids curtailed attack dwell times by 84 percent, thus supporting global telecommunications transitions amid rising quantum threats (Krishnapriya &amp; Singh, 2024; Khan et al., 2025). Slice-specific metrics affirm versatility across enhanced mobile broadband to non-terrestrial networks, filling vulnerabilities in satellite integrations as assessed in technical reports, and contributing to regulatory roadmaps mandating post-quantum adoption by 2028 (Telecommunication Engineering Centre, 2025; ETSI, 2017). </w:t>
      </w:r>
    </w:p>
    <w:p w14:paraId="4C3229BF"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Limitations of the Study</w:t>
      </w:r>
    </w:p>
    <w:p w14:paraId="3B786292"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Limitations of this research encompass the reliance on simulation abstractions, which may not fully replicate real quantum hardware threats despite NIST test vectors, potentially underestimating side-channel vulnerabilities in physical 5G deployments; additionally, the absence of live network data limits generalizability to diverse operator environments, though mitigated by standardized datasets.</w:t>
      </w:r>
    </w:p>
    <w:p w14:paraId="146A613F"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Future Considerations</w:t>
      </w:r>
    </w:p>
    <w:p w14:paraId="50215812"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considerations involve extending the framework to hybrid automatic repeat request integrations for further latency reductions, incorporating emerging open radio access network standards for broader interoperability, and conducting field trials with quantum simulators to validate against actual qubit-based attacks, informing enhanced regulatory guidelines.</w:t>
      </w:r>
    </w:p>
    <w:p w14:paraId="2A3C8E7F" w14:textId="77777777" w:rsidR="00B30D25" w:rsidRDefault="00B30D25">
      <w:pPr>
        <w:spacing w:line="360" w:lineRule="auto"/>
        <w:jc w:val="both"/>
        <w:rPr>
          <w:rFonts w:ascii="Times New Roman" w:eastAsia="Times New Roman" w:hAnsi="Times New Roman" w:cs="Times New Roman"/>
        </w:rPr>
      </w:pPr>
    </w:p>
    <w:p w14:paraId="70335D73"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5.</w:t>
      </w:r>
      <w:r>
        <w:rPr>
          <w:rFonts w:ascii="Times New Roman" w:eastAsia="Times New Roman" w:hAnsi="Times New Roman" w:cs="Times New Roman"/>
          <w:b/>
          <w:bCs/>
        </w:rPr>
        <w:tab/>
        <w:t>Conclusions and Recommendations</w:t>
      </w:r>
    </w:p>
    <w:p w14:paraId="7D94F145"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developed a quantum-resistant security architecture for 5G network slicing by integrating NIST-standardized post-quantum cryptographic algorithms with AI-driven threat detection. The framework incorporated CRYSTALS-Kyber, CRYSTALS-Dilithium, and FALCON within a hybrid TLS architecture. Results showed secure key establishment with minimal latency overhead of 1.65 ms, satisfying stringent 5G performance requirements. The AI-based anomaly detection model effectively identified orchestration threats, DDoS attacks, and SIM-based fraud with high accuracy. Overall, the evaluation demonstrates that the proposed framework provides scalable, standards-compliant, and practical protection for telecommunications infrastructure against both classical cyber threats and emerging quantum computing risks.</w:t>
      </w:r>
    </w:p>
    <w:p w14:paraId="55F8E4DE"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Recommendations</w:t>
      </w:r>
      <w:r>
        <w:rPr>
          <w:rFonts w:ascii="Times New Roman" w:eastAsia="Times New Roman" w:hAnsi="Times New Roman" w:cs="Times New Roman"/>
        </w:rPr>
        <w:t xml:space="preserve"> </w:t>
      </w:r>
    </w:p>
    <w:p w14:paraId="4870FBC7" w14:textId="260A0CAE"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research should prioritize real-world deployment trials within live 5G standalone networks to evaluate performance under realistic traffic and adversarial conditions. Further optimization can be achieved through hardware acceleration and adaptive tuning of post-quantum cryptographic parameters. Integrating explainable artificial intelligence techniques is also recommended to improve</w:t>
      </w:r>
      <w:r w:rsidR="00B025A7">
        <w:rPr>
          <w:rFonts w:ascii="Times New Roman" w:eastAsia="Times New Roman" w:hAnsi="Times New Roman" w:cs="Times New Roman"/>
        </w:rPr>
        <w:t xml:space="preserve"> </w:t>
      </w:r>
      <w:r>
        <w:rPr>
          <w:rFonts w:ascii="Times New Roman" w:eastAsia="Times New Roman" w:hAnsi="Times New Roman" w:cs="Times New Roman"/>
        </w:rPr>
        <w:t>transparency and trust in automated threat detection. Collaboration among telecommunications operators, academia, and global standards organizations is necessary to establish unified post-quantum security benchmarks. Extending the framework toward future networks, including 6G, will ensure sustained resilience against evolving quantum and cyber threats.</w:t>
      </w:r>
    </w:p>
    <w:p w14:paraId="3177E70C" w14:textId="77777777" w:rsidR="00B30D25" w:rsidRDefault="00B30D25">
      <w:pPr>
        <w:spacing w:line="360" w:lineRule="auto"/>
        <w:jc w:val="both"/>
        <w:rPr>
          <w:rFonts w:ascii="Times New Roman" w:eastAsia="Times New Roman" w:hAnsi="Times New Roman" w:cs="Times New Roman"/>
        </w:rPr>
      </w:pPr>
    </w:p>
    <w:p w14:paraId="5FE78475" w14:textId="77777777" w:rsidR="00B30D25" w:rsidRDefault="00B30D25">
      <w:pPr>
        <w:spacing w:line="360" w:lineRule="auto"/>
        <w:jc w:val="both"/>
        <w:rPr>
          <w:rFonts w:ascii="Times New Roman" w:eastAsia="Times New Roman" w:hAnsi="Times New Roman" w:cs="Times New Roman"/>
        </w:rPr>
      </w:pPr>
    </w:p>
    <w:p w14:paraId="4FD1792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Disclaimer (Artificial intelligence)</w:t>
      </w:r>
    </w:p>
    <w:p w14:paraId="3222E381" w14:textId="77777777" w:rsidR="00B30D25" w:rsidRDefault="00B30D25">
      <w:pPr>
        <w:spacing w:line="360" w:lineRule="auto"/>
        <w:jc w:val="both"/>
        <w:rPr>
          <w:rFonts w:ascii="Times New Roman" w:eastAsia="Times New Roman" w:hAnsi="Times New Roman" w:cs="Times New Roman"/>
        </w:rPr>
      </w:pPr>
    </w:p>
    <w:p w14:paraId="7F7EA71F" w14:textId="77777777" w:rsidR="00B30D2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(ChatGPT, COPILOT, etc.) and text-to-image generators have been used during the writing or editing of this manuscript.</w:t>
      </w:r>
    </w:p>
    <w:p w14:paraId="38DE599B" w14:textId="77777777" w:rsidR="00B30D25" w:rsidRDefault="00B30D25">
      <w:pPr>
        <w:spacing w:line="360" w:lineRule="auto"/>
        <w:jc w:val="both"/>
        <w:rPr>
          <w:rFonts w:ascii="Times New Roman" w:eastAsia="Times New Roman" w:hAnsi="Times New Roman" w:cs="Times New Roman"/>
        </w:rPr>
      </w:pPr>
    </w:p>
    <w:p w14:paraId="45206733" w14:textId="77777777" w:rsidR="00B30D25" w:rsidRDefault="00B30D25">
      <w:pPr>
        <w:spacing w:line="360" w:lineRule="auto"/>
        <w:jc w:val="both"/>
        <w:rPr>
          <w:rFonts w:ascii="Times New Roman" w:eastAsia="Times New Roman" w:hAnsi="Times New Roman" w:cs="Times New Roman"/>
        </w:rPr>
      </w:pPr>
    </w:p>
    <w:p w14:paraId="081B688E" w14:textId="77777777" w:rsidR="00B30D2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1E86D413"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Ajuzieogu, U. (2025). Mobile Identity Under Siege: SIM Swap Fraud in the Digital Economy. </w:t>
      </w:r>
      <w:r>
        <w:rPr>
          <w:rFonts w:ascii="Times New Roman" w:eastAsia="Times New Roman" w:hAnsi="Times New Roman" w:cs="Times New Roman"/>
          <w:i/>
          <w:iCs/>
        </w:rPr>
        <w:t>ResearchGate</w:t>
      </w:r>
      <w:r>
        <w:rPr>
          <w:rFonts w:ascii="Times New Roman" w:eastAsia="Times New Roman" w:hAnsi="Times New Roman" w:cs="Times New Roman"/>
        </w:rPr>
        <w:t>. https://doi.org/10.13140/RG.2.2.31641.68962</w:t>
      </w:r>
    </w:p>
    <w:p w14:paraId="35829121"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Alam, A., Umer, A., Ullah, I., &amp; Alsayat, A. (2026). AI-enabled cybersecurity framework for future 5G wireless infrastructures. </w:t>
      </w:r>
      <w:r>
        <w:rPr>
          <w:rFonts w:ascii="Times New Roman" w:eastAsia="Times New Roman" w:hAnsi="Times New Roman" w:cs="Times New Roman"/>
          <w:i/>
          <w:iCs/>
        </w:rPr>
        <w:t>Scientific Reports</w:t>
      </w:r>
      <w:r>
        <w:rPr>
          <w:rFonts w:ascii="Times New Roman" w:eastAsia="Times New Roman" w:hAnsi="Times New Roman" w:cs="Times New Roman"/>
        </w:rPr>
        <w:t>. https://doi.org/10.1038/s41598-026-37444-8</w:t>
      </w:r>
    </w:p>
    <w:p w14:paraId="6D06699D"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Alves, P. V. A., Goldbarg, M., Barros, W. K. P., Rego, I. D., Filho, V. J. M. T., Martins, A. M., Angelo de Sousa Jr, V., Fontes, R., Aranha, E. H. da S., Neto, A. V., &amp; Fernandes, M. A. C. (2023). Machine Learning Applied to Anomaly Detection on 5G O-RAN Architecture. </w:t>
      </w:r>
      <w:r>
        <w:rPr>
          <w:rFonts w:ascii="Times New Roman" w:eastAsia="Times New Roman" w:hAnsi="Times New Roman" w:cs="Times New Roman"/>
          <w:i/>
          <w:iCs/>
        </w:rPr>
        <w:t>Procedia Computer Science</w:t>
      </w:r>
      <w:r>
        <w:rPr>
          <w:rFonts w:ascii="Times New Roman" w:eastAsia="Times New Roman" w:hAnsi="Times New Roman" w:cs="Times New Roman"/>
        </w:rPr>
        <w:t xml:space="preserve">, </w:t>
      </w:r>
      <w:r>
        <w:rPr>
          <w:rFonts w:ascii="Times New Roman" w:eastAsia="Times New Roman" w:hAnsi="Times New Roman" w:cs="Times New Roman"/>
          <w:i/>
          <w:iCs/>
        </w:rPr>
        <w:t>222</w:t>
      </w:r>
      <w:r>
        <w:rPr>
          <w:rFonts w:ascii="Times New Roman" w:eastAsia="Times New Roman" w:hAnsi="Times New Roman" w:cs="Times New Roman"/>
        </w:rPr>
        <w:t>, 81–93. https://doi.org/10.1016/j.procs.2023.08.146</w:t>
      </w:r>
    </w:p>
    <w:p w14:paraId="2A0EA8F1"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ATIS. (2025). </w:t>
      </w:r>
      <w:r>
        <w:rPr>
          <w:rFonts w:ascii="Times New Roman" w:eastAsia="Times New Roman" w:hAnsi="Times New Roman" w:cs="Times New Roman"/>
          <w:i/>
          <w:iCs/>
        </w:rPr>
        <w:t>Preparing 5G for the Quantum Era: An Analysis of 3GPP Architecture and the Transition to Quantum-Resistant Cryptography – ATIS</w:t>
      </w:r>
      <w:r>
        <w:rPr>
          <w:rFonts w:ascii="Times New Roman" w:eastAsia="Times New Roman" w:hAnsi="Times New Roman" w:cs="Times New Roman"/>
        </w:rPr>
        <w:t>. Atis.org. https://atis.org/resources/preparing-5g-for-the-quantum-era-an-analysis-of-3gpp-architecture-and-the-transition-to-quantum-resistant-cryptography/</w:t>
      </w:r>
    </w:p>
    <w:p w14:paraId="0F73F79A"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Attema, T., Kock, B. de , Jayaprakash, S. M., &amp; Van de vlasakker, R. (2025). </w:t>
      </w:r>
      <w:r>
        <w:rPr>
          <w:rFonts w:ascii="Times New Roman" w:eastAsia="Times New Roman" w:hAnsi="Times New Roman" w:cs="Times New Roman"/>
          <w:i/>
          <w:iCs/>
        </w:rPr>
        <w:t>Post-Quantum Cryptography in the 5G Core</w:t>
      </w:r>
      <w:r>
        <w:rPr>
          <w:rFonts w:ascii="Times New Roman" w:eastAsia="Times New Roman" w:hAnsi="Times New Roman" w:cs="Times New Roman"/>
        </w:rPr>
        <w:t>. https://doi.org/10.48550/arXiv.2512.20243</w:t>
      </w:r>
    </w:p>
    <w:p w14:paraId="6EEE7E73"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Bhatt, D., Bhardwaj, N., &amp; Pal, O. (2025). </w:t>
      </w:r>
      <w:r>
        <w:rPr>
          <w:rFonts w:ascii="Times New Roman" w:eastAsia="Times New Roman" w:hAnsi="Times New Roman" w:cs="Times New Roman"/>
          <w:i/>
          <w:iCs/>
        </w:rPr>
        <w:t>PQC for 5G and Beyond: Foundations, Challenges, and Future Directions</w:t>
      </w:r>
      <w:r>
        <w:rPr>
          <w:rFonts w:ascii="Times New Roman" w:eastAsia="Times New Roman" w:hAnsi="Times New Roman" w:cs="Times New Roman"/>
        </w:rPr>
        <w:t>. https://doi.org/10.2139/ssrn.5711625</w:t>
      </w:r>
    </w:p>
    <w:p w14:paraId="4E75E1C3"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Bojović, B. (2024). </w:t>
      </w:r>
      <w:r>
        <w:rPr>
          <w:rFonts w:ascii="Times New Roman" w:eastAsia="Times New Roman" w:hAnsi="Times New Roman" w:cs="Times New Roman"/>
          <w:i/>
          <w:iCs/>
        </w:rPr>
        <w:t xml:space="preserve">5G-LENA NR MODULE OVERVIEW </w:t>
      </w:r>
      <w:r>
        <w:rPr>
          <w:rFonts w:ascii="Times New Roman" w:eastAsia="Times New Roman" w:hAnsi="Times New Roman" w:cs="Times New Roman"/>
        </w:rPr>
        <w:t>. https://www.nsnam.org/tutorials/consortium24/NR-Tutorial-2024.pdf</w:t>
      </w:r>
    </w:p>
    <w:p w14:paraId="1B62C38B"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Chamola, V., Jolfaei, A., Chanana, V., Parashari, P., &amp; Hassija, V. (2021). Information security in the post quantum era for 5G and beyond networks: Threats to existing cryptography, and post-quantum cryptography. </w:t>
      </w:r>
      <w:r>
        <w:rPr>
          <w:rFonts w:ascii="Times New Roman" w:eastAsia="Times New Roman" w:hAnsi="Times New Roman" w:cs="Times New Roman"/>
          <w:i/>
          <w:iCs/>
        </w:rPr>
        <w:t>Computer Communications</w:t>
      </w:r>
      <w:r>
        <w:rPr>
          <w:rFonts w:ascii="Times New Roman" w:eastAsia="Times New Roman" w:hAnsi="Times New Roman" w:cs="Times New Roman"/>
        </w:rPr>
        <w:t xml:space="preserve">, </w:t>
      </w:r>
      <w:r>
        <w:rPr>
          <w:rFonts w:ascii="Times New Roman" w:eastAsia="Times New Roman" w:hAnsi="Times New Roman" w:cs="Times New Roman"/>
          <w:i/>
          <w:iCs/>
        </w:rPr>
        <w:t>176</w:t>
      </w:r>
      <w:r>
        <w:rPr>
          <w:rFonts w:ascii="Times New Roman" w:eastAsia="Times New Roman" w:hAnsi="Times New Roman" w:cs="Times New Roman"/>
        </w:rPr>
        <w:t>, 99–118. https://doi.org/10.1016/j.comcom.2021.05.019</w:t>
      </w:r>
    </w:p>
    <w:p w14:paraId="36F46CD6"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Dam, D.-T., Tran, T.-H., Nguyen, T.-H., Hoang, T.-T., &amp; Pham, C.-K. (2025). Compact FALCON FFT/NTT Accelerator for Post-Quantum Cryptography. </w:t>
      </w:r>
      <w:r>
        <w:rPr>
          <w:rFonts w:ascii="Times New Roman" w:eastAsia="Times New Roman" w:hAnsi="Times New Roman" w:cs="Times New Roman"/>
          <w:i/>
          <w:iCs/>
        </w:rPr>
        <w:t>2025 IEEE International Symposium on Circuits and Systems (ISCAS)</w:t>
      </w:r>
      <w:r>
        <w:rPr>
          <w:rFonts w:ascii="Times New Roman" w:eastAsia="Times New Roman" w:hAnsi="Times New Roman" w:cs="Times New Roman"/>
        </w:rPr>
        <w:t>, 1–5. https://doi.org/10.1109/iscas56072.2025.11043460</w:t>
      </w:r>
    </w:p>
    <w:p w14:paraId="5A001034"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Demir, E. D., Bilgin, B., &amp; Onbasli, M. C. (2025). </w:t>
      </w:r>
      <w:r>
        <w:rPr>
          <w:rFonts w:ascii="Times New Roman" w:eastAsia="Times New Roman" w:hAnsi="Times New Roman" w:cs="Times New Roman"/>
          <w:i/>
          <w:iCs/>
        </w:rPr>
        <w:t>Performance Analysis and Industry Deployment of Post-Quantum Cryptography Algorithms</w:t>
      </w:r>
      <w:r>
        <w:rPr>
          <w:rFonts w:ascii="Times New Roman" w:eastAsia="Times New Roman" w:hAnsi="Times New Roman" w:cs="Times New Roman"/>
        </w:rPr>
        <w:t>. https://doi.org/10.48550/arXiv.2503.12952</w:t>
      </w:r>
    </w:p>
    <w:p w14:paraId="4F7A7926"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Do Xuan, C., &amp; Cuong, N. H. (2024). A novel approach for APT attack detection based on feature intelligent extraction and representation learning. </w:t>
      </w:r>
      <w:r>
        <w:rPr>
          <w:rFonts w:ascii="Times New Roman" w:eastAsia="Times New Roman" w:hAnsi="Times New Roman" w:cs="Times New Roman"/>
          <w:i/>
          <w:iCs/>
        </w:rPr>
        <w:t>PLOS ONE</w:t>
      </w:r>
      <w:r>
        <w:rPr>
          <w:rFonts w:ascii="Times New Roman" w:eastAsia="Times New Roman" w:hAnsi="Times New Roman" w:cs="Times New Roman"/>
        </w:rPr>
        <w:t xml:space="preserve">, </w:t>
      </w:r>
      <w:r>
        <w:rPr>
          <w:rFonts w:ascii="Times New Roman" w:eastAsia="Times New Roman" w:hAnsi="Times New Roman" w:cs="Times New Roman"/>
          <w:i/>
          <w:iCs/>
        </w:rPr>
        <w:t>19</w:t>
      </w:r>
      <w:r>
        <w:rPr>
          <w:rFonts w:ascii="Times New Roman" w:eastAsia="Times New Roman" w:hAnsi="Times New Roman" w:cs="Times New Roman"/>
        </w:rPr>
        <w:t>(6), e0305618. https://doi.org/10.1371/journal.pone.0305618</w:t>
      </w:r>
    </w:p>
    <w:p w14:paraId="288693FA"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Dohler, M. (2024). </w:t>
      </w:r>
      <w:r>
        <w:rPr>
          <w:rFonts w:ascii="Times New Roman" w:eastAsia="Times New Roman" w:hAnsi="Times New Roman" w:cs="Times New Roman"/>
          <w:i/>
          <w:iCs/>
        </w:rPr>
        <w:t xml:space="preserve">AI and Security in 5G Network Security Reinvented </w:t>
      </w:r>
      <w:r>
        <w:rPr>
          <w:rFonts w:ascii="Times New Roman" w:eastAsia="Times New Roman" w:hAnsi="Times New Roman" w:cs="Times New Roman"/>
        </w:rPr>
        <w:t>. Mischa Dohler. https://mischadohler.com/ai-and-security-in-5g-network-security-reinvented/</w:t>
      </w:r>
    </w:p>
    <w:p w14:paraId="4DE7AA3F"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Dong, B., &amp; Wang, Q. (2025). EPQUIC: Efficient Post-Quantum Cryptography for QUIC-Enabled Secure Communication. </w:t>
      </w:r>
      <w:r>
        <w:rPr>
          <w:rFonts w:ascii="Times New Roman" w:eastAsia="Times New Roman" w:hAnsi="Times New Roman" w:cs="Times New Roman"/>
          <w:i/>
          <w:iCs/>
        </w:rPr>
        <w:t>Proceedings of the Great Lakes Symposium on VLSI 2025</w:t>
      </w:r>
      <w:r>
        <w:rPr>
          <w:rFonts w:ascii="Times New Roman" w:eastAsia="Times New Roman" w:hAnsi="Times New Roman" w:cs="Times New Roman"/>
        </w:rPr>
        <w:t>, 141–146. https://doi.org/10.1145/3716368.3735199</w:t>
      </w:r>
    </w:p>
    <w:p w14:paraId="4B7B1737"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Dong, Y., Tong, L., Lv, Y., Wu, H., Yao, H., &amp; Cao, Q. (2024). Post-Quantum Cryptography and TEE for 5G VPN in Power Systems: Assessment and Security. </w:t>
      </w:r>
      <w:r>
        <w:rPr>
          <w:rFonts w:ascii="Times New Roman" w:eastAsia="Times New Roman" w:hAnsi="Times New Roman" w:cs="Times New Roman"/>
          <w:i/>
          <w:iCs/>
        </w:rPr>
        <w:t>2024 4th International Conference on Artificial Intelligence, Robotics, and Communication (ICAIRC)</w:t>
      </w:r>
      <w:r>
        <w:rPr>
          <w:rFonts w:ascii="Times New Roman" w:eastAsia="Times New Roman" w:hAnsi="Times New Roman" w:cs="Times New Roman"/>
        </w:rPr>
        <w:t>, 721–726. https://doi.org/10.1109/icairc64177.2024.10900123</w:t>
      </w:r>
    </w:p>
    <w:p w14:paraId="4C367B23"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Dorozhynskyi, S., Zakutynskyi, I., Ryabyy, M., &amp; Skurativskyi, A. (2023). Maximizing Security and Efficiency in 5G Networks by Means of Quantum Cryptography and Network Slicing Concepts. </w:t>
      </w:r>
      <w:r>
        <w:rPr>
          <w:rFonts w:ascii="Times New Roman" w:eastAsia="Times New Roman" w:hAnsi="Times New Roman" w:cs="Times New Roman"/>
          <w:i/>
          <w:iCs/>
        </w:rPr>
        <w:t>2023 IEEE 12th International Conference on Intelligent Data Acquisition and Advanced Computing Systems: Technology and Applications (IDAACS)</w:t>
      </w:r>
      <w:r>
        <w:rPr>
          <w:rFonts w:ascii="Times New Roman" w:eastAsia="Times New Roman" w:hAnsi="Times New Roman" w:cs="Times New Roman"/>
        </w:rPr>
        <w:t>, 1031–1036. https://doi.org/10.1109/idaacs58523.2023.10348871</w:t>
      </w:r>
    </w:p>
    <w:p w14:paraId="611EC59B"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ETSI. (2017). </w:t>
      </w:r>
      <w:r>
        <w:rPr>
          <w:rFonts w:ascii="Times New Roman" w:eastAsia="Times New Roman" w:hAnsi="Times New Roman" w:cs="Times New Roman"/>
          <w:i/>
          <w:iCs/>
        </w:rPr>
        <w:t xml:space="preserve">ETSI GR QSC 004 V1.1.1 (2017-03) - Quantum-Safe Cryptography; Quantum-Safe threat assessment </w:t>
      </w:r>
      <w:r>
        <w:rPr>
          <w:rFonts w:ascii="Times New Roman" w:eastAsia="Times New Roman" w:hAnsi="Times New Roman" w:cs="Times New Roman"/>
        </w:rPr>
        <w:t>. Etsi.org. http://www.etsi.org/standards-search</w:t>
      </w:r>
    </w:p>
    <w:p w14:paraId="748FA79E"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Gabla, E. S., Enyejo, L. A., &amp; James, U. U. (2025). Investigating 5G Network Slicing Security Vulnerabilities Using Artificial Intelligence–Driven Intrusion Detection for Telecommunication Resilience. </w:t>
      </w:r>
      <w:r>
        <w:rPr>
          <w:rFonts w:ascii="Times New Roman" w:eastAsia="Times New Roman" w:hAnsi="Times New Roman" w:cs="Times New Roman"/>
          <w:i/>
          <w:iCs/>
        </w:rPr>
        <w:t>World Journal of Advanced Engineering Technology and Sciences</w:t>
      </w:r>
      <w:r>
        <w:rPr>
          <w:rFonts w:ascii="Times New Roman" w:eastAsia="Times New Roman" w:hAnsi="Times New Roman" w:cs="Times New Roman"/>
        </w:rPr>
        <w:t xml:space="preserve">, </w:t>
      </w:r>
      <w:r>
        <w:rPr>
          <w:rFonts w:ascii="Times New Roman" w:eastAsia="Times New Roman" w:hAnsi="Times New Roman" w:cs="Times New Roman"/>
          <w:i/>
          <w:iCs/>
        </w:rPr>
        <w:t>17</w:t>
      </w:r>
      <w:r>
        <w:rPr>
          <w:rFonts w:ascii="Times New Roman" w:eastAsia="Times New Roman" w:hAnsi="Times New Roman" w:cs="Times New Roman"/>
        </w:rPr>
        <w:t>(2), 098-112. https://doi.org/10.30574/wjaets.2025.17.2.1431</w:t>
      </w:r>
    </w:p>
    <w:p w14:paraId="461E5035"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Garcia, C. R., Aguilera, A. C., Stan, C., Vegas, J. J., Rommel, S., &amp; Monroy, I. T. (2025). Enhanced Network Security Protocols for The Quantum Era: Combining Classical and Post-Quantum Cryptography, and Quantum Key Distribution. </w:t>
      </w:r>
      <w:r>
        <w:rPr>
          <w:rFonts w:ascii="Times New Roman" w:eastAsia="Times New Roman" w:hAnsi="Times New Roman" w:cs="Times New Roman"/>
          <w:i/>
          <w:iCs/>
        </w:rPr>
        <w:t>IEEE Journal on Selected Areas in Communications</w:t>
      </w:r>
      <w:r>
        <w:rPr>
          <w:rFonts w:ascii="Times New Roman" w:eastAsia="Times New Roman" w:hAnsi="Times New Roman" w:cs="Times New Roman"/>
        </w:rPr>
        <w:t>, 1–1. https://doi.org/10.1109/jsac.2025.3568011</w:t>
      </w:r>
    </w:p>
    <w:p w14:paraId="13F7EC2E"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Hoque, S., Aydeger, A., Zeydan, E., &amp; Liyanage, M. (2025). Analysis of Post-Quantum Cryptography in User Equipment in 5G and Beyond. </w:t>
      </w:r>
      <w:r>
        <w:rPr>
          <w:rFonts w:ascii="Times New Roman" w:eastAsia="Times New Roman" w:hAnsi="Times New Roman" w:cs="Times New Roman"/>
          <w:i/>
          <w:iCs/>
        </w:rPr>
        <w:t>2025 IEEE 50th Conference on Local Computer Networks (LCN)</w:t>
      </w:r>
      <w:r>
        <w:rPr>
          <w:rFonts w:ascii="Times New Roman" w:eastAsia="Times New Roman" w:hAnsi="Times New Roman" w:cs="Times New Roman"/>
        </w:rPr>
        <w:t>, 1–9. https://doi.org/10.1109/lcn65610.2025.11146323</w:t>
      </w:r>
    </w:p>
    <w:p w14:paraId="292C5BE8"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Khan, R. A., Khan, H. U., Alwageed, H. S., Hashimi, H. A., &amp; Keshta, I. (2025). 5G Networks Security Mitigation Model: An ANN-ISM Hybrid Approach. </w:t>
      </w:r>
      <w:r>
        <w:rPr>
          <w:rFonts w:ascii="Times New Roman" w:eastAsia="Times New Roman" w:hAnsi="Times New Roman" w:cs="Times New Roman"/>
          <w:i/>
          <w:iCs/>
        </w:rPr>
        <w:t>IEEE Open Journal of the Communications Society</w:t>
      </w:r>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 881–925. https://doi.org/10.1109/ojcoms.2025.3529717</w:t>
      </w:r>
    </w:p>
    <w:p w14:paraId="25CE99CA"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Krishnapriya, S., &amp; Singh, S. (2024). A Comprehensive Survey on Advanced Persistent Threat (APT) Detection Techniques. </w:t>
      </w:r>
      <w:r>
        <w:rPr>
          <w:rFonts w:ascii="Times New Roman" w:eastAsia="Times New Roman" w:hAnsi="Times New Roman" w:cs="Times New Roman"/>
          <w:i/>
          <w:iCs/>
        </w:rPr>
        <w:t>Computers, Materials &amp; Continua/Computers, Materials &amp; Continua (Print)</w:t>
      </w:r>
      <w:r>
        <w:rPr>
          <w:rFonts w:ascii="Times New Roman" w:eastAsia="Times New Roman" w:hAnsi="Times New Roman" w:cs="Times New Roman"/>
        </w:rPr>
        <w:t xml:space="preserve">, </w:t>
      </w:r>
      <w:r>
        <w:rPr>
          <w:rFonts w:ascii="Times New Roman" w:eastAsia="Times New Roman" w:hAnsi="Times New Roman" w:cs="Times New Roman"/>
          <w:i/>
          <w:iCs/>
        </w:rPr>
        <w:t>0</w:t>
      </w:r>
      <w:r>
        <w:rPr>
          <w:rFonts w:ascii="Times New Roman" w:eastAsia="Times New Roman" w:hAnsi="Times New Roman" w:cs="Times New Roman"/>
        </w:rPr>
        <w:t>(0), 1–10. https://doi.org/10.32604/cmc.2024.052447</w:t>
      </w:r>
    </w:p>
    <w:p w14:paraId="01EEB14E"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 P., Chen, T., &amp; Liu, J. (2024). Enhancing Quantum Security over Federated Learning via Post-Quantum Cryptography. </w:t>
      </w:r>
      <w:r>
        <w:rPr>
          <w:rFonts w:ascii="Times New Roman" w:eastAsia="Times New Roman" w:hAnsi="Times New Roman" w:cs="Times New Roman"/>
          <w:i/>
          <w:iCs/>
        </w:rPr>
        <w:t>ArXiv (Cornell University)</w:t>
      </w:r>
      <w:r>
        <w:rPr>
          <w:rFonts w:ascii="Times New Roman" w:eastAsia="Times New Roman" w:hAnsi="Times New Roman" w:cs="Times New Roman"/>
        </w:rPr>
        <w:t>. https://doi.org/10.48550/arxiv.2409.04637</w:t>
      </w:r>
    </w:p>
    <w:p w14:paraId="3D14A56C"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Mehić, M., Michálek, L., Dervisevic, E., Burdiak, P., Plakalovic, M., Rozhon, J., Mahovac, N., Richter, F., Kaljić, E., Lauterbach, F., Njemčević, P., Marić, A., Hamza, M., Fazio, P., &amp; Vozňák, M. (2023). Quantum Cryptography in 5G Networks: A Comprehensive Overview. </w:t>
      </w:r>
      <w:r>
        <w:rPr>
          <w:rFonts w:ascii="Times New Roman" w:eastAsia="Times New Roman" w:hAnsi="Times New Roman" w:cs="Times New Roman"/>
          <w:i/>
          <w:iCs/>
        </w:rPr>
        <w:t>IEEE Communications Surveys and Tutorials</w:t>
      </w:r>
      <w:r>
        <w:rPr>
          <w:rFonts w:ascii="Times New Roman" w:eastAsia="Times New Roman" w:hAnsi="Times New Roman" w:cs="Times New Roman"/>
        </w:rPr>
        <w:t>, 1–1. https://doi.org/10.1109/comst.2023.3309051</w:t>
      </w:r>
    </w:p>
    <w:p w14:paraId="5C1B00E5"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Mobarki, N. M., Ponader, N. J., &amp; Aworetan, N. V. (2021). SECURING 5G AND BEYOND: A COMPARATIVE STUDY OF WIRELESS NETWORK VULNERABILITIES AND NEXT-GENERATION CRYPTOGRAPHIC SOLUTIONS. </w:t>
      </w:r>
      <w:r>
        <w:rPr>
          <w:rFonts w:ascii="Times New Roman" w:eastAsia="Times New Roman" w:hAnsi="Times New Roman" w:cs="Times New Roman"/>
          <w:i/>
          <w:iCs/>
        </w:rPr>
        <w:t>Computer Science &amp; IT Research Journal</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(1), 33–51. https://doi.org/10.51594/csitrj.v2i1.2047</w:t>
      </w:r>
    </w:p>
    <w:p w14:paraId="12FE27D0"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Mohan, O., &amp; Security Architect. (2024). </w:t>
      </w:r>
      <w:r>
        <w:rPr>
          <w:rFonts w:ascii="Times New Roman" w:eastAsia="Times New Roman" w:hAnsi="Times New Roman" w:cs="Times New Roman"/>
          <w:i/>
          <w:iCs/>
        </w:rPr>
        <w:t>5G network AI models: Threats and Mitigations</w:t>
      </w:r>
      <w:r>
        <w:rPr>
          <w:rFonts w:ascii="Times New Roman" w:eastAsia="Times New Roman" w:hAnsi="Times New Roman" w:cs="Times New Roman"/>
        </w:rPr>
        <w:t>. Check Point Blog; Check Point Software. https://blog.checkpoint.com/artificial-intelligence/5g-network-ai-models-threats-and-mitigations/</w:t>
      </w:r>
    </w:p>
    <w:p w14:paraId="3B4A0924"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NIST. (2024a). Module-Lattice-Based Key-Encapsulation Mechanism Standard. </w:t>
      </w:r>
      <w:r>
        <w:rPr>
          <w:rFonts w:ascii="Times New Roman" w:eastAsia="Times New Roman" w:hAnsi="Times New Roman" w:cs="Times New Roman"/>
          <w:i/>
          <w:iCs/>
        </w:rPr>
        <w:t>Module-Lattice-Based Key-Encapsulation Mechanism Standard</w:t>
      </w:r>
      <w:r>
        <w:rPr>
          <w:rFonts w:ascii="Times New Roman" w:eastAsia="Times New Roman" w:hAnsi="Times New Roman" w:cs="Times New Roman"/>
        </w:rPr>
        <w:t>. https://doi.org/10.6028/nist.fips.203</w:t>
      </w:r>
    </w:p>
    <w:p w14:paraId="224D74DC"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NIST. (2024b). </w:t>
      </w:r>
      <w:r>
        <w:rPr>
          <w:rFonts w:ascii="Times New Roman" w:eastAsia="Times New Roman" w:hAnsi="Times New Roman" w:cs="Times New Roman"/>
          <w:i/>
          <w:iCs/>
        </w:rPr>
        <w:t>What Is Post-Quantum Cryptography?</w:t>
      </w:r>
      <w:r>
        <w:rPr>
          <w:rFonts w:ascii="Times New Roman" w:eastAsia="Times New Roman" w:hAnsi="Times New Roman" w:cs="Times New Roman"/>
        </w:rPr>
        <w:t xml:space="preserve"> NIST. https://www.nist.gov/cybersecurity/what-post-quantum-cryptography</w:t>
      </w:r>
    </w:p>
    <w:p w14:paraId="1088DA0A"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NIST. (2025). </w:t>
      </w:r>
      <w:r>
        <w:rPr>
          <w:rFonts w:ascii="Times New Roman" w:eastAsia="Times New Roman" w:hAnsi="Times New Roman" w:cs="Times New Roman"/>
          <w:i/>
          <w:iCs/>
        </w:rPr>
        <w:t>Post-Quantum Cryptography | CSRC</w:t>
      </w:r>
      <w:r>
        <w:rPr>
          <w:rFonts w:ascii="Times New Roman" w:eastAsia="Times New Roman" w:hAnsi="Times New Roman" w:cs="Times New Roman"/>
        </w:rPr>
        <w:t>. Nist.gov. https://csrc.nist.gov/pqc-standardization</w:t>
      </w:r>
    </w:p>
    <w:p w14:paraId="6D217B5C"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NSA, C., 2022. </w:t>
      </w:r>
      <w:r>
        <w:rPr>
          <w:rFonts w:ascii="Times New Roman" w:eastAsia="Times New Roman" w:hAnsi="Times New Roman" w:cs="Times New Roman"/>
          <w:i/>
          <w:iCs/>
        </w:rPr>
        <w:t>Potential Threats to 5G Network Slicing</w:t>
      </w:r>
      <w:r>
        <w:rPr>
          <w:rFonts w:ascii="Times New Roman" w:eastAsia="Times New Roman" w:hAnsi="Times New Roman" w:cs="Times New Roman"/>
        </w:rPr>
        <w:t xml:space="preserve">, Cybersecurity and Infrastructure Security Agency. United States of America. Retrieved from https://coilink.org/20.500.12592/6ct98j4  </w:t>
      </w:r>
    </w:p>
    <w:p w14:paraId="38866E6F"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Okolo, J. N., Agboola, S. O., Adeniji, S. A., &amp; Fatoki, I. E. (2025). Enhancing cybersecurity in communication networks using machine learning and AI: A Case Study of 5G Infrastructure Security. </w:t>
      </w:r>
      <w:r>
        <w:rPr>
          <w:rFonts w:ascii="Times New Roman" w:eastAsia="Times New Roman" w:hAnsi="Times New Roman" w:cs="Times New Roman"/>
          <w:i/>
          <w:iCs/>
        </w:rPr>
        <w:t>World Journal of Advanced Research and Reviews</w:t>
      </w:r>
      <w:r>
        <w:rPr>
          <w:rFonts w:ascii="Times New Roman" w:eastAsia="Times New Roman" w:hAnsi="Times New Roman" w:cs="Times New Roman"/>
        </w:rPr>
        <w:t xml:space="preserve">, </w:t>
      </w:r>
      <w:r>
        <w:rPr>
          <w:rFonts w:ascii="Times New Roman" w:eastAsia="Times New Roman" w:hAnsi="Times New Roman" w:cs="Times New Roman"/>
          <w:i/>
          <w:iCs/>
        </w:rPr>
        <w:t>26</w:t>
      </w:r>
      <w:r>
        <w:rPr>
          <w:rFonts w:ascii="Times New Roman" w:eastAsia="Times New Roman" w:hAnsi="Times New Roman" w:cs="Times New Roman"/>
        </w:rPr>
        <w:t>(1), 1210–1219. https://doi.org/10.30574/wjarr.2025.26.1.1098</w:t>
      </w:r>
    </w:p>
    <w:p w14:paraId="18477576"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Omoseebi, A., Owen, J., &amp; Ibrahim, I. (2025). </w:t>
      </w:r>
      <w:r>
        <w:rPr>
          <w:rFonts w:ascii="Times New Roman" w:eastAsia="Times New Roman" w:hAnsi="Times New Roman" w:cs="Times New Roman"/>
          <w:i/>
          <w:iCs/>
        </w:rPr>
        <w:t>Adaptive Parameter Tuning in PQC Schemes Using Reinforcement Learning</w:t>
      </w:r>
      <w:r>
        <w:rPr>
          <w:rFonts w:ascii="Times New Roman" w:eastAsia="Times New Roman" w:hAnsi="Times New Roman" w:cs="Times New Roman"/>
        </w:rPr>
        <w:t>. https://www.researchgate.net/publication/390832692_Adaptive_Parameter_Tuning_in_PQC_Schemes_Using_Reinforcement_Learning</w:t>
      </w:r>
    </w:p>
    <w:p w14:paraId="0872013E"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Open Quantum Safe. (2025). </w:t>
      </w:r>
      <w:r>
        <w:rPr>
          <w:rFonts w:ascii="Times New Roman" w:eastAsia="Times New Roman" w:hAnsi="Times New Roman" w:cs="Times New Roman"/>
          <w:i/>
          <w:iCs/>
        </w:rPr>
        <w:t>liboqs</w:t>
      </w:r>
      <w:r>
        <w:rPr>
          <w:rFonts w:ascii="Times New Roman" w:eastAsia="Times New Roman" w:hAnsi="Times New Roman" w:cs="Times New Roman"/>
        </w:rPr>
        <w:t>. Open Quantum Safe. https://openquantumsafe.org/liboqs/</w:t>
      </w:r>
    </w:p>
    <w:p w14:paraId="18A6650B"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Pearson, C. (2024). </w:t>
      </w:r>
      <w:r>
        <w:rPr>
          <w:rFonts w:ascii="Times New Roman" w:eastAsia="Times New Roman" w:hAnsi="Times New Roman" w:cs="Times New Roman"/>
          <w:i/>
          <w:iCs/>
        </w:rPr>
        <w:t>The Potential of Generative AI Security Enhancements and Predictive Maintenance in 5G Networks</w:t>
      </w:r>
      <w:r>
        <w:rPr>
          <w:rFonts w:ascii="Times New Roman" w:eastAsia="Times New Roman" w:hAnsi="Times New Roman" w:cs="Times New Roman"/>
        </w:rPr>
        <w:t>. 5G Americas. http://5gamericas.org/the-potential-of-generative-ai-security-enhancements-and-predictive-maintenance-in-5g-networks/</w:t>
      </w:r>
    </w:p>
    <w:p w14:paraId="427F0F58"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Prasad, A. R., Arumugam, S., Sheeba B., &amp; Zugenmaier, A. (2018). 3GPP 5G Security. </w:t>
      </w:r>
      <w:r>
        <w:rPr>
          <w:rFonts w:ascii="Times New Roman" w:eastAsia="Times New Roman" w:hAnsi="Times New Roman" w:cs="Times New Roman"/>
          <w:i/>
          <w:iCs/>
        </w:rPr>
        <w:t>Journal of ICT Standardization</w:t>
      </w:r>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(1), 137–158. https://doi.org/10.13052/jicts2245-800x.619</w:t>
      </w:r>
    </w:p>
    <w:p w14:paraId="1F7C6D3A"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Quantum Computing News. (2025). </w:t>
      </w:r>
      <w:r>
        <w:rPr>
          <w:rFonts w:ascii="Times New Roman" w:eastAsia="Times New Roman" w:hAnsi="Times New Roman" w:cs="Times New Roman"/>
          <w:i/>
          <w:iCs/>
        </w:rPr>
        <w:t>Quantum Secure 5G/B5G Core, QORE, Enables Transition To Post-Quantum Cryptography For Future Networks</w:t>
      </w:r>
      <w:r>
        <w:rPr>
          <w:rFonts w:ascii="Times New Roman" w:eastAsia="Times New Roman" w:hAnsi="Times New Roman" w:cs="Times New Roman"/>
        </w:rPr>
        <w:t>. Quantum Zeitgeist. https://quantumzeitgeist.com/quantum-networks-secure-b5g-core-qore-enables-transition-post-cryptography/</w:t>
      </w:r>
    </w:p>
    <w:p w14:paraId="0376FDC6"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QuantumGate. (2026). </w:t>
      </w:r>
      <w:r>
        <w:rPr>
          <w:rFonts w:ascii="Times New Roman" w:eastAsia="Times New Roman" w:hAnsi="Times New Roman" w:cs="Times New Roman"/>
          <w:i/>
          <w:iCs/>
        </w:rPr>
        <w:t>Year in Review: Notes from 2025 on Post-Quantum Readiness</w:t>
      </w:r>
      <w:r>
        <w:rPr>
          <w:rFonts w:ascii="Times New Roman" w:eastAsia="Times New Roman" w:hAnsi="Times New Roman" w:cs="Times New Roman"/>
        </w:rPr>
        <w:t>. Quantumgate.ae. https://quantumgate.ae/year-in-review-notes-from-2025-on-post-quantum-readiness</w:t>
      </w:r>
    </w:p>
    <w:p w14:paraId="06F25526"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Roma, C. A., Tai, C.-E. A., &amp; Hasan, M. A. (2021). Energy Efficiency Analysis of Post-Quantum Cryptographic Algorithms. </w:t>
      </w:r>
      <w:r>
        <w:rPr>
          <w:rFonts w:ascii="Times New Roman" w:eastAsia="Times New Roman" w:hAnsi="Times New Roman" w:cs="Times New Roman"/>
          <w:i/>
          <w:iCs/>
        </w:rPr>
        <w:t>IEEE Access</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 71295–71317. https://doi.org/10.1109/access.2021.3077843</w:t>
      </w:r>
    </w:p>
    <w:p w14:paraId="19B93978"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Saha, N., Shahriar, N., Sulaiman, M., Limam, N., Boutaba, R., &amp; Saleh, A. (2025). Monarch: Monitoring Architecture for 5G and Beyond Network Slices. </w:t>
      </w:r>
      <w:r>
        <w:rPr>
          <w:rFonts w:ascii="Times New Roman" w:eastAsia="Times New Roman" w:hAnsi="Times New Roman" w:cs="Times New Roman"/>
          <w:i/>
          <w:iCs/>
        </w:rPr>
        <w:t>IEEE Transactions on Network and Service Management</w:t>
      </w:r>
      <w:r>
        <w:rPr>
          <w:rFonts w:ascii="Times New Roman" w:eastAsia="Times New Roman" w:hAnsi="Times New Roman" w:cs="Times New Roman"/>
        </w:rPr>
        <w:t xml:space="preserve">, </w:t>
      </w:r>
      <w:r>
        <w:rPr>
          <w:rFonts w:ascii="Times New Roman" w:eastAsia="Times New Roman" w:hAnsi="Times New Roman" w:cs="Times New Roman"/>
          <w:i/>
          <w:iCs/>
        </w:rPr>
        <w:t>22</w:t>
      </w:r>
      <w:r>
        <w:rPr>
          <w:rFonts w:ascii="Times New Roman" w:eastAsia="Times New Roman" w:hAnsi="Times New Roman" w:cs="Times New Roman"/>
        </w:rPr>
        <w:t>(1), 777–790. https://doi.org/10.1109/tnsm.2024.3479246</w:t>
      </w:r>
    </w:p>
    <w:p w14:paraId="71DE7FF1"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Salih, A. A., Ameen, S. Y., Zeebaree, S. R. M., Sadeeq, M. A. M., Kak, S. F., Omar, N., Ibrahim, I. M., Yasin, H. M., Rashid, Z. N., &amp; Ageed, Z. S. (2021). Deep Learning Approaches for Intrusion Detection. </w:t>
      </w:r>
      <w:r>
        <w:rPr>
          <w:rFonts w:ascii="Times New Roman" w:eastAsia="Times New Roman" w:hAnsi="Times New Roman" w:cs="Times New Roman"/>
          <w:i/>
          <w:iCs/>
        </w:rPr>
        <w:t>Asian Journal of Research in Computer Science</w:t>
      </w:r>
      <w:r>
        <w:rPr>
          <w:rFonts w:ascii="Times New Roman" w:eastAsia="Times New Roman" w:hAnsi="Times New Roman" w:cs="Times New Roman"/>
        </w:rPr>
        <w:t>, 50–64. https://doi.org/10.9734/ajrcos/2021/v9i430229</w:t>
      </w:r>
    </w:p>
    <w:p w14:paraId="7FDF2819"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Sharafaldin, I., Lashkari, A. H., Hakak, S., &amp; Ghorbani, A. A. (2019). Developing Realistic Distributed Denial of Service (DDoS) Attack Dataset and Taxonomy. </w:t>
      </w:r>
      <w:r>
        <w:rPr>
          <w:rFonts w:ascii="Times New Roman" w:eastAsia="Times New Roman" w:hAnsi="Times New Roman" w:cs="Times New Roman"/>
          <w:i/>
          <w:iCs/>
        </w:rPr>
        <w:t>2019 International Carnahan Conference on Security Technology (ICCST)</w:t>
      </w:r>
      <w:r>
        <w:rPr>
          <w:rFonts w:ascii="Times New Roman" w:eastAsia="Times New Roman" w:hAnsi="Times New Roman" w:cs="Times New Roman"/>
        </w:rPr>
        <w:t>. https://doi.org/10.1109/ccst.2019.8888419</w:t>
      </w:r>
    </w:p>
    <w:p w14:paraId="2F12487C"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Shukla, R. S., &amp; Alatawi, A. M. (2025). Enhanced Security Protocols for 5G Networks: Addressing Vulnerabilities and Opportunities in High-Speed Data Transmission. </w:t>
      </w:r>
      <w:r>
        <w:rPr>
          <w:rFonts w:ascii="Times New Roman" w:eastAsia="Times New Roman" w:hAnsi="Times New Roman" w:cs="Times New Roman"/>
          <w:i/>
          <w:iCs/>
        </w:rPr>
        <w:t>2025 International Conference on Networks and Cryptology (NETCRYPT)</w:t>
      </w:r>
      <w:r>
        <w:rPr>
          <w:rFonts w:ascii="Times New Roman" w:eastAsia="Times New Roman" w:hAnsi="Times New Roman" w:cs="Times New Roman"/>
        </w:rPr>
        <w:t>, 1574–1577. https://doi.org/10.1109/netcrypt65877.2025.11102735</w:t>
      </w:r>
    </w:p>
    <w:p w14:paraId="6B738B32"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Souvatzidaki, K., &amp; Limniotis, K. (2025). Post-Quantum Key Exchange in TLS 1.3: Further Analysis on Performance of New Cryptographic Standards. </w:t>
      </w:r>
      <w:r>
        <w:rPr>
          <w:rFonts w:ascii="Times New Roman" w:eastAsia="Times New Roman" w:hAnsi="Times New Roman" w:cs="Times New Roman"/>
          <w:i/>
          <w:iCs/>
        </w:rPr>
        <w:t>Cryptography</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(4), 73. https://doi.org/10.3390/cryptography9040073</w:t>
      </w:r>
    </w:p>
    <w:p w14:paraId="4AAFE850"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Subex. (2024). </w:t>
      </w:r>
      <w:r>
        <w:rPr>
          <w:rFonts w:ascii="Times New Roman" w:eastAsia="Times New Roman" w:hAnsi="Times New Roman" w:cs="Times New Roman"/>
          <w:i/>
          <w:iCs/>
        </w:rPr>
        <w:t>Revolutionizing Telecom with AI: Key Solutions for 5G and IoT</w:t>
      </w:r>
      <w:r>
        <w:rPr>
          <w:rFonts w:ascii="Times New Roman" w:eastAsia="Times New Roman" w:hAnsi="Times New Roman" w:cs="Times New Roman"/>
        </w:rPr>
        <w:t>. Subex. https://www.subex.com/article/revolutionizing-telecom-with-ai-key-solutions-for-5g-and-iot/</w:t>
      </w:r>
    </w:p>
    <w:p w14:paraId="5970154F"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Sugumar, A. (2025). AI-Driven 5G Network Slicing: Revolutionizing Enterprise Connectivity. </w:t>
      </w:r>
      <w:r>
        <w:rPr>
          <w:rFonts w:ascii="Times New Roman" w:eastAsia="Times New Roman" w:hAnsi="Times New Roman" w:cs="Times New Roman"/>
          <w:i/>
          <w:iCs/>
        </w:rPr>
        <w:t>International Journal of Scientific Research in Computer Science, Engineering and Information Technology</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(2), 2601–2608. https://doi.org/10.32628/cseit25112729</w:t>
      </w:r>
    </w:p>
    <w:p w14:paraId="3BEE6625"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Telecommunication Engineering Centre. (2025). </w:t>
      </w:r>
      <w:r>
        <w:rPr>
          <w:rFonts w:ascii="Times New Roman" w:eastAsia="Times New Roman" w:hAnsi="Times New Roman" w:cs="Times New Roman"/>
          <w:i/>
          <w:iCs/>
        </w:rPr>
        <w:t>TECHNICAL REPORT on Quantum Secure 5G / beyond 5G Core using Post-Quantum Cryptography</w:t>
      </w:r>
      <w:r>
        <w:rPr>
          <w:rFonts w:ascii="Times New Roman" w:eastAsia="Times New Roman" w:hAnsi="Times New Roman" w:cs="Times New Roman"/>
        </w:rPr>
        <w:t>. https://www.tec.gov.in/pdf/TR/final%20Technical%20Report%20on%20Q%20Secure%205G%20and%20beyond%205G%20core%2028-03-25.pdf</w:t>
      </w:r>
    </w:p>
    <w:p w14:paraId="43D1693D"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Telefónica. (2025). </w:t>
      </w:r>
      <w:r>
        <w:rPr>
          <w:rFonts w:ascii="Times New Roman" w:eastAsia="Times New Roman" w:hAnsi="Times New Roman" w:cs="Times New Roman"/>
          <w:i/>
          <w:iCs/>
        </w:rPr>
        <w:t>EU Roadmap on Post-Quantum Cryptography</w:t>
      </w:r>
      <w:r>
        <w:rPr>
          <w:rFonts w:ascii="Times New Roman" w:eastAsia="Times New Roman" w:hAnsi="Times New Roman" w:cs="Times New Roman"/>
        </w:rPr>
        <w:t>. https://www.telefonica.com/es/wp-content/uploads/sites/4/2025/12/2025.09.29-Quantum-Roadmap-Contributions-Telefonica.pdf</w:t>
      </w:r>
    </w:p>
    <w:p w14:paraId="53BF3428" w14:textId="77777777" w:rsidR="00B30D25" w:rsidRDefault="00000000">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Udechukwu, L. M. (2025). AI-governed security frameworks for virtualized enterprises: </w:t>
      </w:r>
    </w:p>
    <w:p w14:paraId="6940CB0E" w14:textId="77777777" w:rsidR="00B30D25" w:rsidRDefault="00000000">
      <w:pPr>
        <w:pBdr>
          <w:top w:val="nil"/>
          <w:left w:val="nil"/>
          <w:bottom w:val="nil"/>
          <w:right w:val="nil"/>
          <w:between w:val="nil"/>
        </w:pBdr>
        <w:spacing w:after="0"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Preventing data breaches and ensuring compliance. Asian Journal of Research in Computer Science, 18(9), 39–57. https://doi.org/10.9734/ajrcos/2025/v18i9753</w:t>
      </w:r>
    </w:p>
    <w:p w14:paraId="75BAC0D5" w14:textId="77777777" w:rsidR="00B30D25"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Vicomtech. (2025). </w:t>
      </w:r>
      <w:r>
        <w:rPr>
          <w:rFonts w:ascii="Times New Roman" w:eastAsia="Times New Roman" w:hAnsi="Times New Roman" w:cs="Times New Roman"/>
          <w:i/>
          <w:iCs/>
        </w:rPr>
        <w:t>Q-PROTECT: Advancing the protection of 5G networks against quantum computing threats</w:t>
      </w:r>
      <w:r>
        <w:rPr>
          <w:rFonts w:ascii="Times New Roman" w:eastAsia="Times New Roman" w:hAnsi="Times New Roman" w:cs="Times New Roman"/>
        </w:rPr>
        <w:t>. Vicomtech.org. https://www.vicomtech.org/en/news/detail/610_qprotect-advancing-the-protection-of-5g-networks-against-quantum-computing-threats</w:t>
      </w:r>
    </w:p>
    <w:p w14:paraId="1884A909" w14:textId="77777777" w:rsidR="00B30D25" w:rsidRDefault="00B30D25">
      <w:pPr>
        <w:spacing w:line="360" w:lineRule="auto"/>
        <w:jc w:val="both"/>
        <w:rPr>
          <w:rFonts w:ascii="Times New Roman" w:eastAsia="Times New Roman" w:hAnsi="Times New Roman" w:cs="Times New Roman"/>
          <w:b/>
          <w:bCs/>
        </w:rPr>
      </w:pPr>
    </w:p>
    <w:sectPr w:rsidR="00B30D2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1BF28" w14:textId="77777777" w:rsidR="00E66555" w:rsidRDefault="00E66555">
      <w:pPr>
        <w:spacing w:after="0" w:line="240" w:lineRule="auto"/>
      </w:pPr>
      <w:r>
        <w:separator/>
      </w:r>
    </w:p>
  </w:endnote>
  <w:endnote w:type="continuationSeparator" w:id="0">
    <w:p w14:paraId="63844A43" w14:textId="77777777" w:rsidR="00E66555" w:rsidRDefault="00E66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6ADFEB9-6EBA-49A1-A1C8-0D6D0BAB1948}"/>
    <w:embedItalic r:id="rId2" w:fontKey="{344BC5B6-9DF2-4D21-8AEF-2B1B710D021A}"/>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5FE4725C-D831-4809-941B-C9D6DCB768BB}"/>
    <w:embedItalic r:id="rId4" w:fontKey="{75A2FB9E-BC5E-478D-AAF0-2EB1E89CA99D}"/>
  </w:font>
  <w:font w:name="Calibri">
    <w:panose1 w:val="020F0502020204030204"/>
    <w:charset w:val="00"/>
    <w:family w:val="swiss"/>
    <w:pitch w:val="variable"/>
    <w:sig w:usb0="E4002EFF" w:usb1="C000247B" w:usb2="00000009" w:usb3="00000000" w:csb0="000001FF" w:csb1="00000000"/>
    <w:embedRegular r:id="rId5" w:fontKey="{8501B071-93D4-4C57-8187-B9AB1FCE3EA2}"/>
  </w:font>
  <w:font w:name="Cambria">
    <w:panose1 w:val="02040503050406030204"/>
    <w:charset w:val="00"/>
    <w:family w:val="roman"/>
    <w:pitch w:val="variable"/>
    <w:sig w:usb0="E00006FF" w:usb1="420024FF" w:usb2="02000000" w:usb3="00000000" w:csb0="0000019F" w:csb1="00000000"/>
    <w:embedRegular r:id="rId6" w:fontKey="{2B915EBC-F43D-48FC-A97A-332408D75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0739" w14:textId="77777777" w:rsidR="00B30D25" w:rsidRDefault="00B30D2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A2B1" w14:textId="77777777" w:rsidR="00B30D25" w:rsidRDefault="00B30D2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DD37" w14:textId="77777777" w:rsidR="00B30D25" w:rsidRDefault="00B30D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55E67" w14:textId="77777777" w:rsidR="00E66555" w:rsidRDefault="00E66555">
      <w:pPr>
        <w:spacing w:after="0" w:line="240" w:lineRule="auto"/>
      </w:pPr>
      <w:r>
        <w:separator/>
      </w:r>
    </w:p>
  </w:footnote>
  <w:footnote w:type="continuationSeparator" w:id="0">
    <w:p w14:paraId="5091586D" w14:textId="77777777" w:rsidR="00E66555" w:rsidRDefault="00E66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5C59" w14:textId="77777777" w:rsidR="00B30D25"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673A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C0A7" w14:textId="77777777" w:rsidR="00B30D25"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DEA4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5268D" w14:textId="77777777" w:rsidR="00B30D25"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EE2D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21BD9"/>
    <w:multiLevelType w:val="multilevel"/>
    <w:tmpl w:val="18BA0D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77657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D25"/>
    <w:rsid w:val="005448B0"/>
    <w:rsid w:val="00B025A7"/>
    <w:rsid w:val="00B30D25"/>
    <w:rsid w:val="00E66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BE224"/>
  <w15:docId w15:val="{50071B78-776E-4F47-B179-60B83F32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B025A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29</Pages>
  <Words>7360</Words>
  <Characters>41956</Characters>
  <Application>Microsoft Office Word</Application>
  <DocSecurity>0</DocSecurity>
  <Lines>349</Lines>
  <Paragraphs>98</Paragraphs>
  <ScaleCrop>false</ScaleCrop>
  <Company/>
  <LinksUpToDate>false</LinksUpToDate>
  <CharactersWithSpaces>49218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Otolorin</cp:lastModifiedBy>
  <cp:revision>2</cp:revision>
  <dcterms:created xsi:type="dcterms:W3CDTF">2026-03-07T16:05:00Z</dcterms:created>
  <dcterms:modified xsi:type="dcterms:W3CDTF">2026-03-07T16:18:00Z</dcterms:modified>
</cp:coreProperties>
</file>