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0069E" w14:textId="77777777" w:rsidR="0021770C" w:rsidRDefault="00F8168D" w:rsidP="005F78F5">
      <w:pPr>
        <w:spacing w:line="276" w:lineRule="auto"/>
        <w:jc w:val="center"/>
        <w:rPr>
          <w:rFonts w:ascii="Times New Roman" w:eastAsia="Calibri" w:hAnsi="Times New Roman"/>
          <w:b/>
          <w:color w:val="000000"/>
          <w:kern w:val="0"/>
          <w:sz w:val="24"/>
          <w:szCs w:val="24"/>
          <w:u w:val="single"/>
        </w:rPr>
      </w:pPr>
      <w:r w:rsidRPr="00D434EE">
        <w:rPr>
          <w:rFonts w:ascii="Times New Roman" w:eastAsia="Calibri" w:hAnsi="Times New Roman"/>
          <w:b/>
          <w:color w:val="000000"/>
          <w:kern w:val="0"/>
          <w:sz w:val="24"/>
          <w:szCs w:val="24"/>
          <w:u w:val="single"/>
        </w:rPr>
        <w:t>Review Article</w:t>
      </w:r>
    </w:p>
    <w:p w14:paraId="093AE0B3" w14:textId="687DFC59" w:rsidR="0021770C" w:rsidRPr="000E7D29" w:rsidRDefault="000E7D29" w:rsidP="005F78F5">
      <w:pPr>
        <w:spacing w:line="276" w:lineRule="auto"/>
        <w:jc w:val="center"/>
        <w:rPr>
          <w:rFonts w:eastAsia="Calibri"/>
          <w:b/>
          <w:sz w:val="24"/>
          <w:szCs w:val="24"/>
        </w:rPr>
      </w:pPr>
      <w:r w:rsidRPr="00F74E3D">
        <w:rPr>
          <w:rFonts w:ascii="Times New Roman" w:eastAsia="Calibri" w:hAnsi="Times New Roman"/>
          <w:b/>
          <w:color w:val="000000"/>
          <w:kern w:val="0"/>
          <w:sz w:val="24"/>
          <w:szCs w:val="24"/>
          <w:highlight w:val="yellow"/>
        </w:rPr>
        <w:t>Advancing Climate-Resilient Energy Transitions: A Systematic Review of Mini-Grid Design and Implementation</w:t>
      </w:r>
    </w:p>
    <w:p w14:paraId="32CAEBE6" w14:textId="77777777" w:rsidR="00F8168D" w:rsidRPr="00D434EE" w:rsidRDefault="00F8168D" w:rsidP="005F78F5">
      <w:pPr>
        <w:spacing w:before="240" w:line="276" w:lineRule="auto"/>
        <w:jc w:val="center"/>
        <w:rPr>
          <w:rFonts w:ascii="Times New Roman" w:eastAsia="Calibri" w:hAnsi="Times New Roman"/>
          <w:b/>
          <w:kern w:val="0"/>
          <w:sz w:val="24"/>
          <w:szCs w:val="24"/>
        </w:rPr>
      </w:pPr>
      <w:r w:rsidRPr="00D434EE">
        <w:rPr>
          <w:rFonts w:ascii="Times New Roman" w:eastAsia="Calibri" w:hAnsi="Times New Roman"/>
          <w:b/>
          <w:kern w:val="0"/>
          <w:sz w:val="24"/>
          <w:szCs w:val="24"/>
        </w:rPr>
        <w:t>ABSTRACT</w:t>
      </w:r>
    </w:p>
    <w:p w14:paraId="2DC8AB3A" w14:textId="2533B39F" w:rsidR="00C6446B" w:rsidRDefault="000604E1" w:rsidP="00E10F03">
      <w:pPr>
        <w:spacing w:after="0" w:line="360" w:lineRule="auto"/>
        <w:ind w:firstLine="567"/>
        <w:jc w:val="both"/>
        <w:rPr>
          <w:rFonts w:ascii="Times New Roman" w:eastAsia="Times New Roman" w:hAnsi="Times New Roman"/>
          <w:kern w:val="0"/>
          <w:sz w:val="24"/>
          <w:szCs w:val="24"/>
          <w:lang w:val="en-GB" w:eastAsia="en-GB"/>
        </w:rPr>
      </w:pPr>
      <w:r w:rsidRPr="00D434EE">
        <w:rPr>
          <w:rFonts w:ascii="Times New Roman" w:eastAsia="Times New Roman" w:hAnsi="Times New Roman"/>
          <w:kern w:val="0"/>
          <w:sz w:val="24"/>
          <w:szCs w:val="24"/>
          <w:lang w:val="en-GB" w:eastAsia="en-GB"/>
        </w:rPr>
        <w:t>This study provides a comprehensi</w:t>
      </w:r>
      <w:r w:rsidR="007F1513" w:rsidRPr="00D434EE">
        <w:rPr>
          <w:rFonts w:ascii="Times New Roman" w:eastAsia="Times New Roman" w:hAnsi="Times New Roman"/>
          <w:kern w:val="0"/>
          <w:sz w:val="24"/>
          <w:szCs w:val="24"/>
          <w:lang w:val="en-GB" w:eastAsia="en-GB"/>
        </w:rPr>
        <w:t>ve</w:t>
      </w:r>
      <w:r w:rsidR="00D606F4">
        <w:rPr>
          <w:rFonts w:ascii="Times New Roman" w:eastAsia="Times New Roman" w:hAnsi="Times New Roman"/>
          <w:kern w:val="0"/>
          <w:sz w:val="24"/>
          <w:szCs w:val="24"/>
          <w:lang w:val="en-GB" w:eastAsia="en-GB"/>
        </w:rPr>
        <w:t xml:space="preserve"> systematic review </w:t>
      </w:r>
      <w:r w:rsidR="007F1513" w:rsidRPr="00D434EE">
        <w:rPr>
          <w:rFonts w:ascii="Times New Roman" w:eastAsia="Times New Roman" w:hAnsi="Times New Roman"/>
          <w:kern w:val="0"/>
          <w:sz w:val="24"/>
          <w:szCs w:val="24"/>
          <w:lang w:val="en-GB" w:eastAsia="en-GB"/>
        </w:rPr>
        <w:t>of the role of mini-</w:t>
      </w:r>
      <w:r w:rsidRPr="00D434EE">
        <w:rPr>
          <w:rFonts w:ascii="Times New Roman" w:eastAsia="Times New Roman" w:hAnsi="Times New Roman"/>
          <w:kern w:val="0"/>
          <w:sz w:val="24"/>
          <w:szCs w:val="24"/>
          <w:lang w:val="en-GB" w:eastAsia="en-GB"/>
        </w:rPr>
        <w:t>grid systems in enhancing energy resilience amid increasing climate variability, with a focus on low- and middle-income countries. Using a synthesis of 40 rigorously selected and verifiable empirical studies from Sub-Saharan Africa, South Asia, and Latin America, the research investigates three interlinked dimensions: (1) technological innovations and design adaptations, (2) policy, governance, and socio-economic considerations, and (3) b</w:t>
      </w:r>
      <w:r w:rsidR="007F1513" w:rsidRPr="00D434EE">
        <w:rPr>
          <w:rFonts w:ascii="Times New Roman" w:eastAsia="Times New Roman" w:hAnsi="Times New Roman"/>
          <w:kern w:val="0"/>
          <w:sz w:val="24"/>
          <w:szCs w:val="24"/>
          <w:lang w:val="en-GB" w:eastAsia="en-GB"/>
        </w:rPr>
        <w:t>arriers and constraints to mini-</w:t>
      </w:r>
      <w:r w:rsidRPr="00D434EE">
        <w:rPr>
          <w:rFonts w:ascii="Times New Roman" w:eastAsia="Times New Roman" w:hAnsi="Times New Roman"/>
          <w:kern w:val="0"/>
          <w:sz w:val="24"/>
          <w:szCs w:val="24"/>
          <w:lang w:val="en-GB" w:eastAsia="en-GB"/>
        </w:rPr>
        <w:t>grid deployment. The technological analysis reveals that hybrid renewable energy systems—especially those combining solar photovoltaic (PV), wind turbines, and advanced battery storage—offer measurable improvements in system reliability, efficiency, and climate adaptability. Smart grid technologies and predictive control systems further optimize performance, reduce energy losses, and increase operational durability under variable climate conditions. On the governance front, the study identifies that supportive regulatory frameworks, community ownership models, and gender-inclusive practices significantly enhance the sustainability and local acc</w:t>
      </w:r>
      <w:r w:rsidR="00AE7999" w:rsidRPr="00D434EE">
        <w:rPr>
          <w:rFonts w:ascii="Times New Roman" w:eastAsia="Times New Roman" w:hAnsi="Times New Roman"/>
          <w:kern w:val="0"/>
          <w:sz w:val="24"/>
          <w:szCs w:val="24"/>
          <w:lang w:val="en-GB" w:eastAsia="en-GB"/>
        </w:rPr>
        <w:t>eptance of mini-</w:t>
      </w:r>
      <w:r w:rsidRPr="00D434EE">
        <w:rPr>
          <w:rFonts w:ascii="Times New Roman" w:eastAsia="Times New Roman" w:hAnsi="Times New Roman"/>
          <w:kern w:val="0"/>
          <w:sz w:val="24"/>
          <w:szCs w:val="24"/>
          <w:lang w:val="en-GB" w:eastAsia="en-GB"/>
        </w:rPr>
        <w:t>grids. Case studies across diverse regions demonstrate that participatory planning, clear institutional mandates, and access to community finance reduce project abandonment and increase user engagement.</w:t>
      </w:r>
      <w:r w:rsidR="008A24BD">
        <w:rPr>
          <w:rFonts w:ascii="Times New Roman" w:eastAsia="Times New Roman" w:hAnsi="Times New Roman"/>
          <w:kern w:val="0"/>
          <w:sz w:val="24"/>
          <w:szCs w:val="24"/>
          <w:lang w:val="en-GB" w:eastAsia="en-GB"/>
        </w:rPr>
        <w:t xml:space="preserve"> </w:t>
      </w:r>
      <w:r w:rsidR="008A24BD" w:rsidRPr="00F74E3D">
        <w:rPr>
          <w:rFonts w:ascii="Times New Roman" w:eastAsia="Times New Roman" w:hAnsi="Times New Roman"/>
          <w:kern w:val="0"/>
          <w:sz w:val="24"/>
          <w:szCs w:val="24"/>
          <w:highlight w:val="yellow"/>
          <w:lang w:val="en-GB" w:eastAsia="en-GB"/>
        </w:rPr>
        <w:t xml:space="preserve">Despite these </w:t>
      </w:r>
      <w:r w:rsidR="006C6A73" w:rsidRPr="00F74E3D">
        <w:rPr>
          <w:rFonts w:ascii="Times New Roman" w:eastAsia="Times New Roman" w:hAnsi="Times New Roman"/>
          <w:kern w:val="0"/>
          <w:sz w:val="24"/>
          <w:szCs w:val="24"/>
          <w:highlight w:val="yellow"/>
          <w:lang w:val="en-GB" w:eastAsia="en-GB"/>
        </w:rPr>
        <w:t>advancements,</w:t>
      </w:r>
      <w:r w:rsidR="008A24BD" w:rsidRPr="00F74E3D">
        <w:rPr>
          <w:rFonts w:ascii="Times New Roman" w:eastAsia="Times New Roman" w:hAnsi="Times New Roman"/>
          <w:kern w:val="0"/>
          <w:sz w:val="24"/>
          <w:szCs w:val="24"/>
          <w:highlight w:val="yellow"/>
          <w:lang w:val="en-GB" w:eastAsia="en-GB"/>
        </w:rPr>
        <w:t xml:space="preserve"> several key persistence barriers include </w:t>
      </w:r>
      <w:r w:rsidR="006C6A73" w:rsidRPr="00F74E3D">
        <w:rPr>
          <w:rFonts w:ascii="Times New Roman" w:eastAsia="Times New Roman" w:hAnsi="Times New Roman"/>
          <w:kern w:val="0"/>
          <w:sz w:val="24"/>
          <w:szCs w:val="24"/>
          <w:highlight w:val="yellow"/>
          <w:lang w:val="en-GB" w:eastAsia="en-GB"/>
        </w:rPr>
        <w:t>concessional</w:t>
      </w:r>
      <w:r w:rsidR="008A24BD" w:rsidRPr="00F74E3D">
        <w:rPr>
          <w:rFonts w:ascii="Times New Roman" w:eastAsia="Times New Roman" w:hAnsi="Times New Roman"/>
          <w:kern w:val="0"/>
          <w:sz w:val="24"/>
          <w:szCs w:val="24"/>
          <w:highlight w:val="yellow"/>
          <w:lang w:val="en-GB" w:eastAsia="en-GB"/>
        </w:rPr>
        <w:t xml:space="preserve"> </w:t>
      </w:r>
      <w:r w:rsidR="006C6A73" w:rsidRPr="00F74E3D">
        <w:rPr>
          <w:rFonts w:ascii="Times New Roman" w:eastAsia="Times New Roman" w:hAnsi="Times New Roman"/>
          <w:kern w:val="0"/>
          <w:sz w:val="24"/>
          <w:szCs w:val="24"/>
          <w:highlight w:val="yellow"/>
          <w:lang w:val="en-GB" w:eastAsia="en-GB"/>
        </w:rPr>
        <w:t>capital,</w:t>
      </w:r>
      <w:r w:rsidR="008A24BD" w:rsidRPr="00F74E3D">
        <w:rPr>
          <w:rFonts w:ascii="Times New Roman" w:eastAsia="Times New Roman" w:hAnsi="Times New Roman"/>
          <w:kern w:val="0"/>
          <w:sz w:val="24"/>
          <w:szCs w:val="24"/>
          <w:highlight w:val="yellow"/>
          <w:lang w:val="en-GB" w:eastAsia="en-GB"/>
        </w:rPr>
        <w:t xml:space="preserve"> fragmented </w:t>
      </w:r>
      <w:r w:rsidR="006C6A73" w:rsidRPr="00F74E3D">
        <w:rPr>
          <w:rFonts w:ascii="Times New Roman" w:eastAsia="Times New Roman" w:hAnsi="Times New Roman"/>
          <w:kern w:val="0"/>
          <w:sz w:val="24"/>
          <w:szCs w:val="24"/>
          <w:highlight w:val="yellow"/>
          <w:lang w:val="en-GB" w:eastAsia="en-GB"/>
        </w:rPr>
        <w:t>regulatory</w:t>
      </w:r>
      <w:r w:rsidR="00C6446B" w:rsidRPr="00F74E3D">
        <w:rPr>
          <w:rFonts w:ascii="Times New Roman" w:eastAsia="Times New Roman" w:hAnsi="Times New Roman"/>
          <w:kern w:val="0"/>
          <w:sz w:val="24"/>
          <w:szCs w:val="24"/>
          <w:highlight w:val="yellow"/>
          <w:lang w:val="en-GB" w:eastAsia="en-GB"/>
        </w:rPr>
        <w:t xml:space="preserve"> environment</w:t>
      </w:r>
      <w:r w:rsidR="008A24BD" w:rsidRPr="00F74E3D">
        <w:rPr>
          <w:rFonts w:ascii="Times New Roman" w:eastAsia="Times New Roman" w:hAnsi="Times New Roman"/>
          <w:kern w:val="0"/>
          <w:sz w:val="24"/>
          <w:szCs w:val="24"/>
          <w:highlight w:val="yellow"/>
          <w:lang w:val="en-GB" w:eastAsia="en-GB"/>
        </w:rPr>
        <w:t xml:space="preserve">s, limited technical and managerial </w:t>
      </w:r>
      <w:r w:rsidR="006C6A73" w:rsidRPr="00F74E3D">
        <w:rPr>
          <w:rFonts w:ascii="Times New Roman" w:eastAsia="Times New Roman" w:hAnsi="Times New Roman"/>
          <w:kern w:val="0"/>
          <w:sz w:val="24"/>
          <w:szCs w:val="24"/>
          <w:highlight w:val="yellow"/>
          <w:lang w:val="en-GB" w:eastAsia="en-GB"/>
        </w:rPr>
        <w:t>capacity</w:t>
      </w:r>
      <w:r w:rsidR="008A24BD" w:rsidRPr="00F74E3D">
        <w:rPr>
          <w:rFonts w:ascii="Times New Roman" w:eastAsia="Times New Roman" w:hAnsi="Times New Roman"/>
          <w:kern w:val="0"/>
          <w:sz w:val="24"/>
          <w:szCs w:val="24"/>
          <w:highlight w:val="yellow"/>
          <w:lang w:val="en-GB" w:eastAsia="en-GB"/>
        </w:rPr>
        <w:t xml:space="preserve"> among </w:t>
      </w:r>
      <w:r w:rsidR="006C6A73" w:rsidRPr="00F74E3D">
        <w:rPr>
          <w:rFonts w:ascii="Times New Roman" w:eastAsia="Times New Roman" w:hAnsi="Times New Roman"/>
          <w:kern w:val="0"/>
          <w:sz w:val="24"/>
          <w:szCs w:val="24"/>
          <w:highlight w:val="yellow"/>
          <w:lang w:val="en-GB" w:eastAsia="en-GB"/>
        </w:rPr>
        <w:t xml:space="preserve">others. </w:t>
      </w:r>
      <w:r w:rsidR="006C6A73" w:rsidRPr="002E4F42">
        <w:rPr>
          <w:rFonts w:ascii="Times New Roman" w:eastAsia="Times New Roman" w:hAnsi="Times New Roman"/>
          <w:kern w:val="0"/>
          <w:sz w:val="24"/>
          <w:szCs w:val="24"/>
          <w:highlight w:val="yellow"/>
          <w:lang w:val="en-GB" w:eastAsia="en-GB"/>
        </w:rPr>
        <w:t>These</w:t>
      </w:r>
      <w:r w:rsidRPr="002E4F42">
        <w:rPr>
          <w:rFonts w:ascii="Times New Roman" w:eastAsia="Times New Roman" w:hAnsi="Times New Roman"/>
          <w:kern w:val="0"/>
          <w:sz w:val="24"/>
          <w:szCs w:val="24"/>
          <w:highlight w:val="yellow"/>
          <w:lang w:val="en-GB" w:eastAsia="en-GB"/>
        </w:rPr>
        <w:t xml:space="preserve"> systemic constraints not only limit scalability but also undermine efforts to integrate climate risk planning into energy infrastructure</w:t>
      </w:r>
      <w:r w:rsidRPr="00F74E3D">
        <w:rPr>
          <w:rFonts w:ascii="Times New Roman" w:eastAsia="Times New Roman" w:hAnsi="Times New Roman"/>
          <w:kern w:val="0"/>
          <w:sz w:val="24"/>
          <w:szCs w:val="24"/>
          <w:lang w:val="en-GB" w:eastAsia="en-GB"/>
        </w:rPr>
        <w:t>.</w:t>
      </w:r>
      <w:r w:rsidRPr="00D434EE">
        <w:rPr>
          <w:rFonts w:ascii="Times New Roman" w:eastAsia="Times New Roman" w:hAnsi="Times New Roman"/>
          <w:kern w:val="0"/>
          <w:sz w:val="24"/>
          <w:szCs w:val="24"/>
          <w:lang w:val="en-GB" w:eastAsia="en-GB"/>
        </w:rPr>
        <w:t xml:space="preserve"> The study concludes that while technological progress is critical, it must be embedded within a broader ecosystem of supportive policies, institutional coordination, and socially inclusive practices. A siloed focus on infrastructure alone is insufficient. Instead, the develo</w:t>
      </w:r>
      <w:r w:rsidR="00AE7999" w:rsidRPr="00D434EE">
        <w:rPr>
          <w:rFonts w:ascii="Times New Roman" w:eastAsia="Times New Roman" w:hAnsi="Times New Roman"/>
          <w:kern w:val="0"/>
          <w:sz w:val="24"/>
          <w:szCs w:val="24"/>
          <w:lang w:val="en-GB" w:eastAsia="en-GB"/>
        </w:rPr>
        <w:t>pment of climate-resilient mini-</w:t>
      </w:r>
      <w:r w:rsidRPr="00D434EE">
        <w:rPr>
          <w:rFonts w:ascii="Times New Roman" w:eastAsia="Times New Roman" w:hAnsi="Times New Roman"/>
          <w:kern w:val="0"/>
          <w:sz w:val="24"/>
          <w:szCs w:val="24"/>
          <w:lang w:val="en-GB" w:eastAsia="en-GB"/>
        </w:rPr>
        <w:t>grid systems must be approached holistically—linking technical design with policy innovation, financial reform, and community participation. Such integrated strategies are essential for delivering reliable, equitable</w:t>
      </w:r>
      <w:r w:rsidR="00ED6CA5">
        <w:rPr>
          <w:rFonts w:ascii="Times New Roman" w:eastAsia="Times New Roman" w:hAnsi="Times New Roman"/>
          <w:kern w:val="0"/>
          <w:sz w:val="24"/>
          <w:szCs w:val="24"/>
          <w:lang w:val="en-GB" w:eastAsia="en-GB"/>
        </w:rPr>
        <w:t>, and sustainable energy access</w:t>
      </w:r>
      <w:r w:rsidRPr="00D434EE">
        <w:rPr>
          <w:rFonts w:ascii="Times New Roman" w:eastAsia="Times New Roman" w:hAnsi="Times New Roman"/>
          <w:kern w:val="0"/>
          <w:sz w:val="24"/>
          <w:szCs w:val="24"/>
          <w:lang w:val="en-GB" w:eastAsia="en-GB"/>
        </w:rPr>
        <w:t>.</w:t>
      </w:r>
    </w:p>
    <w:p w14:paraId="065D8D4A" w14:textId="1535D6F3" w:rsidR="00F8168D" w:rsidRPr="00D434EE" w:rsidRDefault="009D57C4" w:rsidP="00C6446B">
      <w:pPr>
        <w:spacing w:after="0" w:line="360" w:lineRule="auto"/>
        <w:jc w:val="both"/>
        <w:rPr>
          <w:rFonts w:ascii="Times New Roman" w:eastAsia="Times New Roman" w:hAnsi="Times New Roman"/>
          <w:kern w:val="0"/>
          <w:sz w:val="24"/>
          <w:szCs w:val="24"/>
          <w:lang w:val="en-GB" w:eastAsia="en-GB"/>
        </w:rPr>
      </w:pPr>
      <w:r w:rsidRPr="00D434EE">
        <w:rPr>
          <w:rFonts w:ascii="Times New Roman" w:eastAsia="Times New Roman" w:hAnsi="Times New Roman"/>
          <w:b/>
          <w:kern w:val="0"/>
          <w:sz w:val="24"/>
          <w:szCs w:val="24"/>
          <w:lang w:val="en-GB" w:eastAsia="en-GB"/>
        </w:rPr>
        <w:t>Keywords:</w:t>
      </w:r>
      <w:r w:rsidRPr="00D434EE">
        <w:rPr>
          <w:rFonts w:ascii="Times New Roman" w:eastAsia="Times New Roman" w:hAnsi="Times New Roman"/>
          <w:kern w:val="0"/>
          <w:sz w:val="24"/>
          <w:szCs w:val="24"/>
          <w:lang w:val="en-GB" w:eastAsia="en-GB"/>
        </w:rPr>
        <w:t xml:space="preserve"> </w:t>
      </w:r>
      <w:r w:rsidR="008A24BD" w:rsidRPr="005574A8">
        <w:rPr>
          <w:rFonts w:ascii="Times New Roman" w:eastAsia="Times New Roman" w:hAnsi="Times New Roman"/>
          <w:color w:val="000000" w:themeColor="text1"/>
          <w:kern w:val="0"/>
          <w:sz w:val="24"/>
          <w:szCs w:val="24"/>
          <w:highlight w:val="yellow"/>
          <w:lang w:val="en-GB" w:eastAsia="en-GB"/>
        </w:rPr>
        <w:t>Climate resilience</w:t>
      </w:r>
      <w:r w:rsidR="0049331F" w:rsidRPr="005574A8">
        <w:rPr>
          <w:rFonts w:ascii="Times New Roman" w:eastAsia="Times New Roman" w:hAnsi="Times New Roman"/>
          <w:kern w:val="0"/>
          <w:sz w:val="24"/>
          <w:szCs w:val="24"/>
          <w:highlight w:val="yellow"/>
          <w:lang w:val="en-GB" w:eastAsia="en-GB"/>
        </w:rPr>
        <w:t>,</w:t>
      </w:r>
      <w:r w:rsidR="008A24BD" w:rsidRPr="005574A8">
        <w:rPr>
          <w:rFonts w:ascii="Times New Roman" w:eastAsia="Times New Roman" w:hAnsi="Times New Roman"/>
          <w:kern w:val="0"/>
          <w:sz w:val="24"/>
          <w:szCs w:val="24"/>
          <w:highlight w:val="yellow"/>
          <w:lang w:val="en-GB" w:eastAsia="en-GB"/>
        </w:rPr>
        <w:t xml:space="preserve"> </w:t>
      </w:r>
      <w:r w:rsidR="00553021" w:rsidRPr="005574A8">
        <w:rPr>
          <w:rFonts w:ascii="Times New Roman" w:eastAsia="Times New Roman" w:hAnsi="Times New Roman"/>
          <w:kern w:val="0"/>
          <w:sz w:val="24"/>
          <w:szCs w:val="24"/>
          <w:highlight w:val="yellow"/>
          <w:lang w:val="en-GB" w:eastAsia="en-GB"/>
        </w:rPr>
        <w:t>Mini-</w:t>
      </w:r>
      <w:r w:rsidR="008A24BD" w:rsidRPr="005574A8">
        <w:rPr>
          <w:rFonts w:ascii="Times New Roman" w:eastAsia="Times New Roman" w:hAnsi="Times New Roman"/>
          <w:kern w:val="0"/>
          <w:sz w:val="24"/>
          <w:szCs w:val="24"/>
          <w:highlight w:val="yellow"/>
          <w:lang w:val="en-GB" w:eastAsia="en-GB"/>
        </w:rPr>
        <w:t>grid system</w:t>
      </w:r>
      <w:r w:rsidR="000604E1" w:rsidRPr="005574A8">
        <w:rPr>
          <w:rFonts w:ascii="Times New Roman" w:eastAsia="Times New Roman" w:hAnsi="Times New Roman"/>
          <w:kern w:val="0"/>
          <w:sz w:val="24"/>
          <w:szCs w:val="24"/>
          <w:highlight w:val="yellow"/>
          <w:lang w:val="en-GB" w:eastAsia="en-GB"/>
        </w:rPr>
        <w:t xml:space="preserve">, </w:t>
      </w:r>
      <w:r w:rsidR="008A24BD" w:rsidRPr="005574A8">
        <w:rPr>
          <w:rFonts w:ascii="Times New Roman" w:eastAsia="Times New Roman" w:hAnsi="Times New Roman"/>
          <w:kern w:val="0"/>
          <w:sz w:val="24"/>
          <w:szCs w:val="24"/>
          <w:highlight w:val="yellow"/>
          <w:lang w:val="en-GB" w:eastAsia="en-GB"/>
        </w:rPr>
        <w:t>Energy</w:t>
      </w:r>
      <w:r w:rsidR="000604E1" w:rsidRPr="005574A8">
        <w:rPr>
          <w:rFonts w:ascii="Times New Roman" w:eastAsia="Times New Roman" w:hAnsi="Times New Roman"/>
          <w:kern w:val="0"/>
          <w:sz w:val="24"/>
          <w:szCs w:val="24"/>
          <w:highlight w:val="yellow"/>
          <w:lang w:val="en-GB" w:eastAsia="en-GB"/>
        </w:rPr>
        <w:t xml:space="preserve"> resilience, </w:t>
      </w:r>
      <w:r w:rsidR="008A24BD" w:rsidRPr="005574A8">
        <w:rPr>
          <w:rFonts w:ascii="Times New Roman" w:eastAsia="Times New Roman" w:hAnsi="Times New Roman"/>
          <w:kern w:val="0"/>
          <w:sz w:val="24"/>
          <w:szCs w:val="24"/>
          <w:highlight w:val="yellow"/>
          <w:lang w:val="en-GB" w:eastAsia="en-GB"/>
        </w:rPr>
        <w:t xml:space="preserve">Hybrid </w:t>
      </w:r>
      <w:r w:rsidR="000604E1" w:rsidRPr="005574A8">
        <w:rPr>
          <w:rFonts w:ascii="Times New Roman" w:eastAsia="Times New Roman" w:hAnsi="Times New Roman"/>
          <w:kern w:val="0"/>
          <w:sz w:val="24"/>
          <w:szCs w:val="24"/>
          <w:highlight w:val="yellow"/>
          <w:lang w:val="en-GB" w:eastAsia="en-GB"/>
        </w:rPr>
        <w:t xml:space="preserve">renewable energy systems, </w:t>
      </w:r>
      <w:r w:rsidR="008A24BD" w:rsidRPr="005574A8">
        <w:rPr>
          <w:rFonts w:ascii="Times New Roman" w:eastAsia="Times New Roman" w:hAnsi="Times New Roman"/>
          <w:kern w:val="0"/>
          <w:sz w:val="24"/>
          <w:szCs w:val="24"/>
          <w:highlight w:val="yellow"/>
          <w:lang w:val="en-GB" w:eastAsia="en-GB"/>
        </w:rPr>
        <w:t xml:space="preserve">Governance, Access to </w:t>
      </w:r>
      <w:r w:rsidR="000604E1" w:rsidRPr="005574A8">
        <w:rPr>
          <w:rFonts w:ascii="Times New Roman" w:eastAsia="Times New Roman" w:hAnsi="Times New Roman"/>
          <w:kern w:val="0"/>
          <w:sz w:val="24"/>
          <w:szCs w:val="24"/>
          <w:highlight w:val="yellow"/>
          <w:lang w:val="en-GB" w:eastAsia="en-GB"/>
        </w:rPr>
        <w:t>communit</w:t>
      </w:r>
      <w:r w:rsidR="00162571" w:rsidRPr="005574A8">
        <w:rPr>
          <w:rFonts w:ascii="Times New Roman" w:eastAsia="Times New Roman" w:hAnsi="Times New Roman"/>
          <w:kern w:val="0"/>
          <w:sz w:val="24"/>
          <w:szCs w:val="24"/>
          <w:highlight w:val="yellow"/>
          <w:lang w:val="en-GB" w:eastAsia="en-GB"/>
        </w:rPr>
        <w:t>y</w:t>
      </w:r>
      <w:r w:rsidR="008A24BD" w:rsidRPr="005574A8">
        <w:rPr>
          <w:rFonts w:ascii="Times New Roman" w:eastAsia="Times New Roman" w:hAnsi="Times New Roman"/>
          <w:kern w:val="0"/>
          <w:sz w:val="24"/>
          <w:szCs w:val="24"/>
          <w:highlight w:val="yellow"/>
          <w:lang w:val="en-GB" w:eastAsia="en-GB"/>
        </w:rPr>
        <w:t xml:space="preserve"> finance</w:t>
      </w:r>
      <w:r w:rsidR="00162571" w:rsidRPr="005574A8">
        <w:rPr>
          <w:rFonts w:ascii="Times New Roman" w:eastAsia="Times New Roman" w:hAnsi="Times New Roman"/>
          <w:kern w:val="0"/>
          <w:sz w:val="24"/>
          <w:szCs w:val="24"/>
          <w:highlight w:val="yellow"/>
          <w:lang w:val="en-GB" w:eastAsia="en-GB"/>
        </w:rPr>
        <w:t>.</w:t>
      </w:r>
    </w:p>
    <w:p w14:paraId="4E0212B8" w14:textId="77777777" w:rsidR="001145C9" w:rsidRPr="00D434EE" w:rsidRDefault="0088195C" w:rsidP="00D434EE">
      <w:pPr>
        <w:pStyle w:val="ListParagraph"/>
        <w:numPr>
          <w:ilvl w:val="1"/>
          <w:numId w:val="5"/>
        </w:numPr>
        <w:spacing w:before="100" w:beforeAutospacing="1" w:after="100" w:afterAutospacing="1"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lastRenderedPageBreak/>
        <w:t>INTRODUCTION</w:t>
      </w:r>
    </w:p>
    <w:p w14:paraId="4094F795" w14:textId="5618503F" w:rsidR="00FC2AF5" w:rsidRPr="00D434EE" w:rsidRDefault="00FC2AF5" w:rsidP="00D434EE">
      <w:pPr>
        <w:pStyle w:val="ListParagraph"/>
        <w:numPr>
          <w:ilvl w:val="1"/>
          <w:numId w:val="5"/>
        </w:numPr>
        <w:spacing w:before="100" w:beforeAutospacing="1" w:after="0"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 xml:space="preserve">Background to </w:t>
      </w:r>
      <w:r w:rsidR="0049331F">
        <w:rPr>
          <w:rFonts w:ascii="Times New Roman" w:eastAsia="Times New Roman" w:hAnsi="Times New Roman"/>
          <w:b/>
          <w:bCs/>
          <w:kern w:val="0"/>
          <w:sz w:val="24"/>
          <w:szCs w:val="24"/>
        </w:rPr>
        <w:t>Study</w:t>
      </w:r>
    </w:p>
    <w:p w14:paraId="2DEAE7B2" w14:textId="1CABAA04" w:rsidR="001145C9" w:rsidRPr="00D434EE" w:rsidRDefault="0088195C" w:rsidP="00D434EE">
      <w:pPr>
        <w:spacing w:before="240" w:after="0"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Min</w:t>
      </w:r>
      <w:r w:rsidR="00BE5C6A" w:rsidRPr="00D434EE">
        <w:rPr>
          <w:rFonts w:ascii="Times New Roman" w:eastAsia="Times New Roman" w:hAnsi="Times New Roman"/>
          <w:kern w:val="0"/>
          <w:sz w:val="24"/>
          <w:szCs w:val="24"/>
        </w:rPr>
        <w:t>-</w:t>
      </w:r>
      <w:r w:rsidRPr="00D434EE">
        <w:rPr>
          <w:rFonts w:ascii="Times New Roman" w:eastAsia="Times New Roman" w:hAnsi="Times New Roman"/>
          <w:kern w:val="0"/>
          <w:sz w:val="24"/>
          <w:szCs w:val="24"/>
        </w:rPr>
        <w:t xml:space="preserve">grid is an aggregation of electrical loads from one or more sources with </w:t>
      </w:r>
      <w:r w:rsidR="0049331F">
        <w:rPr>
          <w:rFonts w:ascii="Times New Roman" w:eastAsia="Times New Roman" w:hAnsi="Times New Roman"/>
          <w:kern w:val="0"/>
          <w:sz w:val="24"/>
          <w:szCs w:val="24"/>
        </w:rPr>
        <w:t xml:space="preserve">the </w:t>
      </w:r>
      <w:r w:rsidRPr="00D434EE">
        <w:rPr>
          <w:rFonts w:ascii="Times New Roman" w:eastAsia="Times New Roman" w:hAnsi="Times New Roman"/>
          <w:kern w:val="0"/>
          <w:sz w:val="24"/>
          <w:szCs w:val="24"/>
        </w:rPr>
        <w:t xml:space="preserve">intent to save a </w:t>
      </w:r>
      <w:r w:rsidR="001D126B">
        <w:rPr>
          <w:rFonts w:ascii="Times New Roman" w:eastAsia="Times New Roman" w:hAnsi="Times New Roman"/>
          <w:kern w:val="0"/>
          <w:sz w:val="24"/>
          <w:szCs w:val="24"/>
        </w:rPr>
        <w:t>localized</w:t>
      </w:r>
      <w:r w:rsidRPr="00D434EE">
        <w:rPr>
          <w:rFonts w:ascii="Times New Roman" w:eastAsia="Times New Roman" w:hAnsi="Times New Roman"/>
          <w:kern w:val="0"/>
          <w:sz w:val="24"/>
          <w:szCs w:val="24"/>
        </w:rPr>
        <w:t xml:space="preserve"> consumer. This has been </w:t>
      </w:r>
      <w:r w:rsidR="00D2681F">
        <w:rPr>
          <w:rFonts w:ascii="Times New Roman" w:eastAsia="Times New Roman" w:hAnsi="Times New Roman"/>
          <w:kern w:val="0"/>
          <w:sz w:val="24"/>
          <w:szCs w:val="24"/>
        </w:rPr>
        <w:t xml:space="preserve">brought into </w:t>
      </w:r>
      <w:r w:rsidR="0049331F">
        <w:rPr>
          <w:rFonts w:ascii="Times New Roman" w:eastAsia="Times New Roman" w:hAnsi="Times New Roman"/>
          <w:kern w:val="0"/>
          <w:sz w:val="24"/>
          <w:szCs w:val="24"/>
        </w:rPr>
        <w:t xml:space="preserve">the </w:t>
      </w:r>
      <w:r w:rsidR="00D2681F">
        <w:rPr>
          <w:rFonts w:ascii="Times New Roman" w:eastAsia="Times New Roman" w:hAnsi="Times New Roman"/>
          <w:kern w:val="0"/>
          <w:sz w:val="24"/>
          <w:szCs w:val="24"/>
        </w:rPr>
        <w:t>energy transition in</w:t>
      </w:r>
      <w:r w:rsidRPr="00D434EE">
        <w:rPr>
          <w:rFonts w:ascii="Times New Roman" w:eastAsia="Times New Roman" w:hAnsi="Times New Roman"/>
          <w:kern w:val="0"/>
          <w:sz w:val="24"/>
          <w:szCs w:val="24"/>
        </w:rPr>
        <w:t xml:space="preserve"> improving volatile </w:t>
      </w:r>
      <w:r w:rsidR="00D2681F">
        <w:rPr>
          <w:rFonts w:ascii="Times New Roman" w:eastAsia="Times New Roman" w:hAnsi="Times New Roman"/>
          <w:kern w:val="0"/>
          <w:sz w:val="24"/>
          <w:szCs w:val="24"/>
        </w:rPr>
        <w:t xml:space="preserve">energy </w:t>
      </w:r>
      <w:r w:rsidR="0049331F">
        <w:rPr>
          <w:rFonts w:ascii="Times New Roman" w:eastAsia="Times New Roman" w:hAnsi="Times New Roman"/>
          <w:kern w:val="0"/>
          <w:sz w:val="24"/>
          <w:szCs w:val="24"/>
        </w:rPr>
        <w:t>resources</w:t>
      </w:r>
      <w:r w:rsidR="00D2681F">
        <w:rPr>
          <w:rFonts w:ascii="Times New Roman" w:eastAsia="Times New Roman" w:hAnsi="Times New Roman"/>
          <w:kern w:val="0"/>
          <w:sz w:val="24"/>
          <w:szCs w:val="24"/>
        </w:rPr>
        <w:t xml:space="preserve"> and distribution to external forces</w:t>
      </w:r>
      <w:r w:rsidRPr="00D434EE">
        <w:rPr>
          <w:rFonts w:ascii="Times New Roman" w:eastAsia="Times New Roman" w:hAnsi="Times New Roman"/>
          <w:kern w:val="0"/>
          <w:sz w:val="24"/>
          <w:szCs w:val="24"/>
        </w:rPr>
        <w:t>.</w:t>
      </w:r>
      <w:r w:rsidR="00B000AC">
        <w:rPr>
          <w:rFonts w:ascii="Times New Roman" w:eastAsia="Times New Roman" w:hAnsi="Times New Roman"/>
          <w:noProof/>
          <w:kern w:val="0"/>
          <w:sz w:val="24"/>
          <w:szCs w:val="24"/>
        </w:rPr>
        <w:t xml:space="preserve"> </w:t>
      </w:r>
      <w:r w:rsidR="005B5E17">
        <w:rPr>
          <w:rFonts w:ascii="Times New Roman" w:eastAsia="Times New Roman" w:hAnsi="Times New Roman"/>
          <w:noProof/>
          <w:kern w:val="0"/>
          <w:sz w:val="24"/>
          <w:szCs w:val="24"/>
        </w:rPr>
        <w:t>(IRENA</w:t>
      </w:r>
      <w:r w:rsidR="00B000AC" w:rsidRPr="00B000AC">
        <w:rPr>
          <w:rFonts w:ascii="Times New Roman" w:eastAsia="Times New Roman" w:hAnsi="Times New Roman"/>
          <w:noProof/>
          <w:kern w:val="0"/>
          <w:sz w:val="24"/>
          <w:szCs w:val="24"/>
        </w:rPr>
        <w:t>, 2020)</w:t>
      </w:r>
      <w:r w:rsidRPr="00D434EE">
        <w:rPr>
          <w:rFonts w:ascii="Times New Roman" w:eastAsia="Times New Roman" w:hAnsi="Times New Roman"/>
          <w:kern w:val="0"/>
          <w:sz w:val="24"/>
          <w:szCs w:val="24"/>
        </w:rPr>
        <w:t xml:space="preserve"> As the world grapples with the accelerating consequences of climate change, energy systems have become both a casualty and a contributor to the crisis at the same time. Unprecedented heatwaves, storms, and floods are undermining energy infrastructure, disrupting supply chains, and exposing the vulnerabilities of </w:t>
      </w:r>
      <w:r w:rsidR="001D126B">
        <w:rPr>
          <w:rFonts w:ascii="Times New Roman" w:eastAsia="Times New Roman" w:hAnsi="Times New Roman"/>
          <w:kern w:val="0"/>
          <w:sz w:val="24"/>
          <w:szCs w:val="24"/>
        </w:rPr>
        <w:t>centralized</w:t>
      </w:r>
      <w:r w:rsidRPr="00D434EE">
        <w:rPr>
          <w:rFonts w:ascii="Times New Roman" w:eastAsia="Times New Roman" w:hAnsi="Times New Roman"/>
          <w:kern w:val="0"/>
          <w:sz w:val="24"/>
          <w:szCs w:val="24"/>
        </w:rPr>
        <w:t xml:space="preserve"> power grids.</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(Adeoti, 2021).)</w:t>
      </w:r>
      <w:r w:rsidRPr="00D434EE">
        <w:rPr>
          <w:rFonts w:ascii="Times New Roman" w:eastAsia="Times New Roman" w:hAnsi="Times New Roman"/>
          <w:kern w:val="0"/>
          <w:sz w:val="24"/>
          <w:szCs w:val="24"/>
        </w:rPr>
        <w:t xml:space="preserve"> At the same time, the global community is striving to achieve Sustainable Development Goal 7 (SDG 7), which calls for universal access to affordable, reliable, and clean energy. This dual imperative, mitigating climate risks while expanding access, demands urgent rethinking of what type and how energy is generated, distributed, and sustained, especially in </w:t>
      </w:r>
      <w:r w:rsidR="0049331F">
        <w:rPr>
          <w:rFonts w:ascii="Times New Roman" w:eastAsia="Times New Roman" w:hAnsi="Times New Roman"/>
          <w:kern w:val="0"/>
          <w:sz w:val="24"/>
          <w:szCs w:val="24"/>
        </w:rPr>
        <w:t>underserved</w:t>
      </w:r>
      <w:r w:rsidRPr="00D434EE">
        <w:rPr>
          <w:rFonts w:ascii="Times New Roman" w:eastAsia="Times New Roman" w:hAnsi="Times New Roman"/>
          <w:kern w:val="0"/>
          <w:sz w:val="24"/>
          <w:szCs w:val="24"/>
        </w:rPr>
        <w:t xml:space="preserve"> and climate-vulnerable regions. Therefore, the ability of a grid to recover from a disruption is resilience </w:t>
      </w:r>
      <w:r w:rsidR="0049331F" w:rsidRPr="00D434EE">
        <w:rPr>
          <w:rFonts w:ascii="Times New Roman" w:eastAsia="Times New Roman" w:hAnsi="Times New Roman"/>
          <w:kern w:val="0"/>
          <w:sz w:val="24"/>
          <w:szCs w:val="24"/>
        </w:rPr>
        <w:t>rather than</w:t>
      </w:r>
      <w:r w:rsidRPr="00D434EE">
        <w:rPr>
          <w:rFonts w:ascii="Times New Roman" w:eastAsia="Times New Roman" w:hAnsi="Times New Roman"/>
          <w:kern w:val="0"/>
          <w:sz w:val="24"/>
          <w:szCs w:val="24"/>
        </w:rPr>
        <w:t xml:space="preserve"> climate proof mechanism</w:t>
      </w:r>
      <w:r w:rsidR="00B000AC">
        <w:rPr>
          <w:rFonts w:ascii="Times New Roman" w:eastAsia="Times New Roman" w:hAnsi="Times New Roman"/>
          <w:noProof/>
          <w:kern w:val="0"/>
          <w:sz w:val="24"/>
          <w:szCs w:val="24"/>
        </w:rPr>
        <w:t xml:space="preserve"> </w:t>
      </w:r>
      <w:r w:rsidR="007C5DD3">
        <w:rPr>
          <w:rFonts w:ascii="Times New Roman" w:eastAsia="Times New Roman" w:hAnsi="Times New Roman"/>
          <w:noProof/>
          <w:kern w:val="0"/>
          <w:sz w:val="24"/>
          <w:szCs w:val="24"/>
        </w:rPr>
        <w:t>(Dillip et al.</w:t>
      </w:r>
      <w:r w:rsidR="00B000AC" w:rsidRPr="00B000AC">
        <w:rPr>
          <w:rFonts w:ascii="Times New Roman" w:eastAsia="Times New Roman" w:hAnsi="Times New Roman"/>
          <w:noProof/>
          <w:kern w:val="0"/>
          <w:sz w:val="24"/>
          <w:szCs w:val="24"/>
        </w:rPr>
        <w:t xml:space="preserve"> 2021)</w:t>
      </w:r>
      <w:r w:rsidRPr="00D434EE">
        <w:rPr>
          <w:rFonts w:ascii="Times New Roman" w:eastAsia="Times New Roman" w:hAnsi="Times New Roman"/>
          <w:kern w:val="0"/>
          <w:sz w:val="24"/>
          <w:szCs w:val="24"/>
        </w:rPr>
        <w:t>.</w:t>
      </w:r>
    </w:p>
    <w:p w14:paraId="27C765F7" w14:textId="3FD0C6D3" w:rsidR="00615139" w:rsidRDefault="0088195C" w:rsidP="00D434EE">
      <w:pPr>
        <w:spacing w:after="0"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Zambia</w:t>
      </w:r>
      <w:r w:rsidR="0049331F">
        <w:rPr>
          <w:rFonts w:ascii="Times New Roman" w:eastAsia="Times New Roman" w:hAnsi="Times New Roman"/>
          <w:kern w:val="0"/>
          <w:sz w:val="24"/>
          <w:szCs w:val="24"/>
        </w:rPr>
        <w:t>,</w:t>
      </w:r>
      <w:r w:rsidRPr="00D434EE">
        <w:rPr>
          <w:rFonts w:ascii="Times New Roman" w:eastAsia="Times New Roman" w:hAnsi="Times New Roman"/>
          <w:kern w:val="0"/>
          <w:sz w:val="24"/>
          <w:szCs w:val="24"/>
        </w:rPr>
        <w:t xml:space="preserve"> being one of the </w:t>
      </w:r>
      <w:r w:rsidR="006276D9">
        <w:rPr>
          <w:rFonts w:ascii="Times New Roman" w:eastAsia="Times New Roman" w:hAnsi="Times New Roman"/>
          <w:kern w:val="0"/>
          <w:sz w:val="24"/>
          <w:szCs w:val="24"/>
        </w:rPr>
        <w:t>least densely populated countries</w:t>
      </w:r>
      <w:r w:rsidR="0049331F">
        <w:rPr>
          <w:rFonts w:ascii="Times New Roman" w:eastAsia="Times New Roman" w:hAnsi="Times New Roman"/>
          <w:kern w:val="0"/>
          <w:sz w:val="24"/>
          <w:szCs w:val="24"/>
        </w:rPr>
        <w:t>,</w:t>
      </w:r>
      <w:r w:rsidR="006276D9">
        <w:rPr>
          <w:rFonts w:ascii="Times New Roman" w:eastAsia="Times New Roman" w:hAnsi="Times New Roman"/>
          <w:kern w:val="0"/>
          <w:sz w:val="24"/>
          <w:szCs w:val="24"/>
        </w:rPr>
        <w:t xml:space="preserve"> makes grid expansion costly.</w:t>
      </w:r>
      <w:r w:rsidRPr="00D434EE">
        <w:rPr>
          <w:rFonts w:ascii="Times New Roman" w:eastAsia="Times New Roman" w:hAnsi="Times New Roman"/>
          <w:kern w:val="0"/>
          <w:sz w:val="24"/>
          <w:szCs w:val="24"/>
        </w:rPr>
        <w:t xml:space="preserve"> Therefore</w:t>
      </w:r>
      <w:r w:rsidR="0049331F">
        <w:rPr>
          <w:rFonts w:ascii="Times New Roman" w:eastAsia="Times New Roman" w:hAnsi="Times New Roman"/>
          <w:kern w:val="0"/>
          <w:sz w:val="24"/>
          <w:szCs w:val="24"/>
        </w:rPr>
        <w:t>,</w:t>
      </w:r>
      <w:r w:rsidRPr="00D434EE">
        <w:rPr>
          <w:rFonts w:ascii="Times New Roman" w:eastAsia="Times New Roman" w:hAnsi="Times New Roman"/>
          <w:kern w:val="0"/>
          <w:sz w:val="24"/>
          <w:szCs w:val="24"/>
        </w:rPr>
        <w:t xml:space="preserve"> traditional, </w:t>
      </w:r>
      <w:r w:rsidR="001D126B">
        <w:rPr>
          <w:rFonts w:ascii="Times New Roman" w:eastAsia="Times New Roman" w:hAnsi="Times New Roman"/>
          <w:kern w:val="0"/>
          <w:sz w:val="24"/>
          <w:szCs w:val="24"/>
        </w:rPr>
        <w:t>centralized</w:t>
      </w:r>
      <w:r w:rsidRPr="00D434EE">
        <w:rPr>
          <w:rFonts w:ascii="Times New Roman" w:eastAsia="Times New Roman" w:hAnsi="Times New Roman"/>
          <w:kern w:val="0"/>
          <w:sz w:val="24"/>
          <w:szCs w:val="24"/>
        </w:rPr>
        <w:t xml:space="preserve"> grids, while powerful, are often inflexible, costly to expand, and susceptible to cascading failures during extreme weather events </w:t>
      </w:r>
      <w:r w:rsidR="00F3743C">
        <w:rPr>
          <w:rFonts w:ascii="Times New Roman" w:eastAsia="Times New Roman" w:hAnsi="Times New Roman"/>
          <w:noProof/>
          <w:kern w:val="0"/>
          <w:sz w:val="24"/>
          <w:szCs w:val="24"/>
        </w:rPr>
        <w:t>(Fauzan et al.</w:t>
      </w:r>
      <w:r w:rsidR="00B000AC" w:rsidRPr="00B000AC">
        <w:rPr>
          <w:rFonts w:ascii="Times New Roman" w:eastAsia="Times New Roman" w:hAnsi="Times New Roman"/>
          <w:noProof/>
          <w:kern w:val="0"/>
          <w:sz w:val="24"/>
          <w:szCs w:val="24"/>
        </w:rPr>
        <w:t xml:space="preserve"> 2019)</w:t>
      </w:r>
      <w:r w:rsidRPr="00D434EE">
        <w:rPr>
          <w:rFonts w:ascii="Times New Roman" w:eastAsia="Times New Roman" w:hAnsi="Times New Roman"/>
          <w:kern w:val="0"/>
          <w:sz w:val="24"/>
          <w:szCs w:val="24"/>
        </w:rPr>
        <w:t xml:space="preserve">. In contrast, </w:t>
      </w:r>
      <w:r w:rsidR="001D126B">
        <w:rPr>
          <w:rFonts w:ascii="Times New Roman" w:eastAsia="Times New Roman" w:hAnsi="Times New Roman"/>
          <w:kern w:val="0"/>
          <w:sz w:val="24"/>
          <w:szCs w:val="24"/>
        </w:rPr>
        <w:t>decentralized</w:t>
      </w:r>
      <w:r w:rsidR="00AE7999" w:rsidRPr="00D434EE">
        <w:rPr>
          <w:rFonts w:ascii="Times New Roman" w:eastAsia="Times New Roman" w:hAnsi="Times New Roman"/>
          <w:kern w:val="0"/>
          <w:sz w:val="24"/>
          <w:szCs w:val="24"/>
        </w:rPr>
        <w:t xml:space="preserve"> solutions, particularly </w:t>
      </w:r>
      <w:r w:rsidR="0049331F" w:rsidRPr="00D434EE">
        <w:rPr>
          <w:rFonts w:ascii="Times New Roman" w:eastAsia="Times New Roman" w:hAnsi="Times New Roman"/>
          <w:kern w:val="0"/>
          <w:sz w:val="24"/>
          <w:szCs w:val="24"/>
        </w:rPr>
        <w:t>mini grids</w:t>
      </w:r>
      <w:r w:rsidRPr="00D434EE">
        <w:rPr>
          <w:rFonts w:ascii="Times New Roman" w:eastAsia="Times New Roman" w:hAnsi="Times New Roman"/>
          <w:kern w:val="0"/>
          <w:sz w:val="24"/>
          <w:szCs w:val="24"/>
        </w:rPr>
        <w:t xml:space="preserve">, have emerged as </w:t>
      </w:r>
      <w:r w:rsidR="0049331F">
        <w:rPr>
          <w:rFonts w:ascii="Times New Roman" w:eastAsia="Times New Roman" w:hAnsi="Times New Roman"/>
          <w:kern w:val="0"/>
          <w:sz w:val="24"/>
          <w:szCs w:val="24"/>
        </w:rPr>
        <w:t xml:space="preserve">a </w:t>
      </w:r>
      <w:r w:rsidRPr="00D434EE">
        <w:rPr>
          <w:rFonts w:ascii="Times New Roman" w:eastAsia="Times New Roman" w:hAnsi="Times New Roman"/>
          <w:kern w:val="0"/>
          <w:sz w:val="24"/>
          <w:szCs w:val="24"/>
        </w:rPr>
        <w:t>viable, adap</w:t>
      </w:r>
      <w:r w:rsidR="00AE7999" w:rsidRPr="00D434EE">
        <w:rPr>
          <w:rFonts w:ascii="Times New Roman" w:eastAsia="Times New Roman" w:hAnsi="Times New Roman"/>
          <w:kern w:val="0"/>
          <w:sz w:val="24"/>
          <w:szCs w:val="24"/>
        </w:rPr>
        <w:t xml:space="preserve">tive alternative solution. </w:t>
      </w:r>
      <w:r w:rsidR="0049331F" w:rsidRPr="00D434EE">
        <w:rPr>
          <w:rFonts w:ascii="Times New Roman" w:eastAsia="Times New Roman" w:hAnsi="Times New Roman"/>
          <w:kern w:val="0"/>
          <w:sz w:val="24"/>
          <w:szCs w:val="24"/>
        </w:rPr>
        <w:t>Mini grids</w:t>
      </w:r>
      <w:r w:rsidRPr="00D434EE">
        <w:rPr>
          <w:rFonts w:ascii="Times New Roman" w:eastAsia="Times New Roman" w:hAnsi="Times New Roman"/>
          <w:kern w:val="0"/>
          <w:sz w:val="24"/>
          <w:szCs w:val="24"/>
        </w:rPr>
        <w:t xml:space="preserve"> are </w:t>
      </w:r>
      <w:r w:rsidR="001D126B">
        <w:rPr>
          <w:rFonts w:ascii="Times New Roman" w:eastAsia="Times New Roman" w:hAnsi="Times New Roman"/>
          <w:kern w:val="0"/>
          <w:sz w:val="24"/>
          <w:szCs w:val="24"/>
        </w:rPr>
        <w:t>localized</w:t>
      </w:r>
      <w:r w:rsidRPr="00D434EE">
        <w:rPr>
          <w:rFonts w:ascii="Times New Roman" w:eastAsia="Times New Roman" w:hAnsi="Times New Roman"/>
          <w:kern w:val="0"/>
          <w:sz w:val="24"/>
          <w:szCs w:val="24"/>
        </w:rPr>
        <w:t xml:space="preserve"> systems that could be </w:t>
      </w:r>
      <w:r w:rsidR="0049331F">
        <w:rPr>
          <w:rFonts w:ascii="Times New Roman" w:eastAsia="Times New Roman" w:hAnsi="Times New Roman"/>
          <w:kern w:val="0"/>
          <w:sz w:val="24"/>
          <w:szCs w:val="24"/>
        </w:rPr>
        <w:t xml:space="preserve">a </w:t>
      </w:r>
      <w:r w:rsidRPr="00D434EE">
        <w:rPr>
          <w:rFonts w:ascii="Times New Roman" w:eastAsia="Times New Roman" w:hAnsi="Times New Roman"/>
          <w:kern w:val="0"/>
          <w:sz w:val="24"/>
          <w:szCs w:val="24"/>
        </w:rPr>
        <w:t xml:space="preserve">self-sufficient energy system functioning independently or in conjunction with the national grid when in need. Their growing adoption in Africa, Asia, and Latin America is transforming rural electrification, offering clean energy and </w:t>
      </w:r>
      <w:r w:rsidR="0049331F">
        <w:rPr>
          <w:rFonts w:ascii="Times New Roman" w:eastAsia="Times New Roman" w:hAnsi="Times New Roman"/>
          <w:kern w:val="0"/>
          <w:sz w:val="24"/>
          <w:szCs w:val="24"/>
        </w:rPr>
        <w:t xml:space="preserve">a </w:t>
      </w:r>
      <w:r w:rsidRPr="00D434EE">
        <w:rPr>
          <w:rFonts w:ascii="Times New Roman" w:eastAsia="Times New Roman" w:hAnsi="Times New Roman"/>
          <w:kern w:val="0"/>
          <w:sz w:val="24"/>
          <w:szCs w:val="24"/>
        </w:rPr>
        <w:t>potential alternative for resilience in the face of environmental shocks.</w:t>
      </w:r>
      <w:r w:rsidR="00B000AC">
        <w:rPr>
          <w:rFonts w:ascii="Times New Roman" w:eastAsia="Times New Roman" w:hAnsi="Times New Roman"/>
          <w:noProof/>
          <w:kern w:val="0"/>
          <w:sz w:val="24"/>
          <w:szCs w:val="24"/>
        </w:rPr>
        <w:t xml:space="preserve"> </w:t>
      </w:r>
      <w:r w:rsidR="009C32AA">
        <w:rPr>
          <w:rFonts w:ascii="Times New Roman" w:eastAsia="Times New Roman" w:hAnsi="Times New Roman"/>
          <w:noProof/>
          <w:kern w:val="0"/>
          <w:sz w:val="24"/>
          <w:szCs w:val="24"/>
        </w:rPr>
        <w:t>(Bank</w:t>
      </w:r>
      <w:r w:rsidR="00B000AC" w:rsidRPr="00B000AC">
        <w:rPr>
          <w:rFonts w:ascii="Times New Roman" w:eastAsia="Times New Roman" w:hAnsi="Times New Roman"/>
          <w:noProof/>
          <w:kern w:val="0"/>
          <w:sz w:val="24"/>
          <w:szCs w:val="24"/>
        </w:rPr>
        <w:t>, 2021; Afzal, 2020)</w:t>
      </w:r>
      <w:r w:rsidR="001A0277" w:rsidRPr="00D434EE">
        <w:rPr>
          <w:rFonts w:ascii="Times New Roman" w:eastAsia="Times New Roman" w:hAnsi="Times New Roman"/>
          <w:kern w:val="0"/>
          <w:sz w:val="24"/>
          <w:szCs w:val="24"/>
        </w:rPr>
        <w:t xml:space="preserve"> </w:t>
      </w:r>
      <w:r w:rsidRPr="00D434EE">
        <w:rPr>
          <w:rFonts w:ascii="Times New Roman" w:eastAsia="Times New Roman" w:hAnsi="Times New Roman"/>
          <w:kern w:val="0"/>
          <w:sz w:val="24"/>
          <w:szCs w:val="24"/>
        </w:rPr>
        <w:t>However, the promise</w:t>
      </w:r>
      <w:r w:rsidR="005622BF" w:rsidRPr="00D434EE">
        <w:rPr>
          <w:rFonts w:ascii="Times New Roman" w:eastAsia="Times New Roman" w:hAnsi="Times New Roman"/>
          <w:kern w:val="0"/>
          <w:sz w:val="24"/>
          <w:szCs w:val="24"/>
        </w:rPr>
        <w:t xml:space="preserve"> of mini-</w:t>
      </w:r>
      <w:r w:rsidRPr="00D434EE">
        <w:rPr>
          <w:rFonts w:ascii="Times New Roman" w:eastAsia="Times New Roman" w:hAnsi="Times New Roman"/>
          <w:kern w:val="0"/>
          <w:sz w:val="24"/>
          <w:szCs w:val="24"/>
        </w:rPr>
        <w:t>grids hinges on the design. Not a</w:t>
      </w:r>
      <w:r w:rsidR="00AE7999" w:rsidRPr="00D434EE">
        <w:rPr>
          <w:rFonts w:ascii="Times New Roman" w:eastAsia="Times New Roman" w:hAnsi="Times New Roman"/>
          <w:kern w:val="0"/>
          <w:sz w:val="24"/>
          <w:szCs w:val="24"/>
        </w:rPr>
        <w:t>ll mini-</w:t>
      </w:r>
      <w:r w:rsidRPr="00D434EE">
        <w:rPr>
          <w:rFonts w:ascii="Times New Roman" w:eastAsia="Times New Roman" w:hAnsi="Times New Roman"/>
          <w:kern w:val="0"/>
          <w:sz w:val="24"/>
          <w:szCs w:val="24"/>
        </w:rPr>
        <w:t>grids are created equal—some may falter under climate stress due to poor technical planning, inadequate storage, or lack of community environment knowledge integrati</w:t>
      </w:r>
      <w:r w:rsidR="00F43F22" w:rsidRPr="00D434EE">
        <w:rPr>
          <w:rFonts w:ascii="Times New Roman" w:eastAsia="Times New Roman" w:hAnsi="Times New Roman"/>
          <w:kern w:val="0"/>
          <w:sz w:val="24"/>
          <w:szCs w:val="24"/>
        </w:rPr>
        <w:t xml:space="preserve">on. Therefore, a resilient </w:t>
      </w:r>
      <w:r w:rsidR="0049331F" w:rsidRPr="00D434EE">
        <w:rPr>
          <w:rFonts w:ascii="Times New Roman" w:eastAsia="Times New Roman" w:hAnsi="Times New Roman"/>
          <w:kern w:val="0"/>
          <w:sz w:val="24"/>
          <w:szCs w:val="24"/>
        </w:rPr>
        <w:t>mini grid</w:t>
      </w:r>
      <w:r w:rsidRPr="00D434EE">
        <w:rPr>
          <w:rFonts w:ascii="Times New Roman" w:eastAsia="Times New Roman" w:hAnsi="Times New Roman"/>
          <w:kern w:val="0"/>
          <w:sz w:val="24"/>
          <w:szCs w:val="24"/>
        </w:rPr>
        <w:t xml:space="preserve"> go</w:t>
      </w:r>
      <w:r w:rsidR="00F43F22" w:rsidRPr="00D434EE">
        <w:rPr>
          <w:rFonts w:ascii="Times New Roman" w:eastAsia="Times New Roman" w:hAnsi="Times New Roman"/>
          <w:kern w:val="0"/>
          <w:sz w:val="24"/>
          <w:szCs w:val="24"/>
        </w:rPr>
        <w:t>es</w:t>
      </w:r>
      <w:r w:rsidRPr="00D434EE">
        <w:rPr>
          <w:rFonts w:ascii="Times New Roman" w:eastAsia="Times New Roman" w:hAnsi="Times New Roman"/>
          <w:kern w:val="0"/>
          <w:sz w:val="24"/>
          <w:szCs w:val="24"/>
        </w:rPr>
        <w:t xml:space="preserve"> beyond basic electrification; it must anticipate climate disruptions, incorporate durable components, </w:t>
      </w:r>
      <w:r w:rsidR="004F1155">
        <w:rPr>
          <w:rFonts w:ascii="Times New Roman" w:eastAsia="Times New Roman" w:hAnsi="Times New Roman"/>
          <w:kern w:val="0"/>
          <w:sz w:val="24"/>
          <w:szCs w:val="24"/>
        </w:rPr>
        <w:t xml:space="preserve">and </w:t>
      </w:r>
      <w:r w:rsidR="001D126B">
        <w:rPr>
          <w:rFonts w:ascii="Times New Roman" w:eastAsia="Times New Roman" w:hAnsi="Times New Roman"/>
          <w:kern w:val="0"/>
          <w:sz w:val="24"/>
          <w:szCs w:val="24"/>
        </w:rPr>
        <w:t>optimize</w:t>
      </w:r>
      <w:r w:rsidRPr="00D434EE">
        <w:rPr>
          <w:rFonts w:ascii="Times New Roman" w:eastAsia="Times New Roman" w:hAnsi="Times New Roman"/>
          <w:kern w:val="0"/>
          <w:sz w:val="24"/>
          <w:szCs w:val="24"/>
        </w:rPr>
        <w:t xml:space="preserve"> renewable integration. Mini</w:t>
      </w:r>
      <w:r w:rsidR="00C06186" w:rsidRPr="00D434EE">
        <w:rPr>
          <w:rFonts w:ascii="Times New Roman" w:eastAsia="Times New Roman" w:hAnsi="Times New Roman"/>
          <w:kern w:val="0"/>
          <w:sz w:val="24"/>
          <w:szCs w:val="24"/>
        </w:rPr>
        <w:t>-</w:t>
      </w:r>
      <w:r w:rsidRPr="00D434EE">
        <w:rPr>
          <w:rFonts w:ascii="Times New Roman" w:eastAsia="Times New Roman" w:hAnsi="Times New Roman"/>
          <w:kern w:val="0"/>
          <w:sz w:val="24"/>
          <w:szCs w:val="24"/>
        </w:rPr>
        <w:t xml:space="preserve">grids should be managed with precision and adaptability </w:t>
      </w:r>
      <w:r w:rsidR="00B000AC" w:rsidRPr="00B000AC">
        <w:rPr>
          <w:rFonts w:ascii="Times New Roman" w:eastAsia="Times New Roman" w:hAnsi="Times New Roman"/>
          <w:noProof/>
          <w:kern w:val="0"/>
          <w:sz w:val="24"/>
          <w:szCs w:val="24"/>
        </w:rPr>
        <w:t>(Shah, 2022; Basnet, 2023)</w:t>
      </w:r>
      <w:r w:rsidR="004F1155">
        <w:rPr>
          <w:rFonts w:ascii="Times New Roman" w:eastAsia="Times New Roman" w:hAnsi="Times New Roman"/>
          <w:noProof/>
          <w:kern w:val="0"/>
          <w:sz w:val="24"/>
          <w:szCs w:val="24"/>
        </w:rPr>
        <w:t>.</w:t>
      </w:r>
      <w:r w:rsidRPr="00D434EE">
        <w:rPr>
          <w:rFonts w:ascii="Times New Roman" w:eastAsia="Times New Roman" w:hAnsi="Times New Roman"/>
          <w:kern w:val="0"/>
          <w:sz w:val="24"/>
          <w:szCs w:val="24"/>
        </w:rPr>
        <w:t xml:space="preserve"> Understanding design elements, which enhance resilience</w:t>
      </w:r>
      <w:r w:rsidR="004F1155">
        <w:rPr>
          <w:rFonts w:ascii="Times New Roman" w:eastAsia="Times New Roman" w:hAnsi="Times New Roman"/>
          <w:kern w:val="0"/>
          <w:sz w:val="24"/>
          <w:szCs w:val="24"/>
        </w:rPr>
        <w:t>,</w:t>
      </w:r>
      <w:r w:rsidRPr="00D434EE">
        <w:rPr>
          <w:rFonts w:ascii="Times New Roman" w:eastAsia="Times New Roman" w:hAnsi="Times New Roman"/>
          <w:kern w:val="0"/>
          <w:sz w:val="24"/>
          <w:szCs w:val="24"/>
        </w:rPr>
        <w:t xml:space="preserve"> is critical to the success of a mini</w:t>
      </w:r>
      <w:r w:rsidR="001A0277" w:rsidRPr="00D434EE">
        <w:rPr>
          <w:rFonts w:ascii="Times New Roman" w:eastAsia="Times New Roman" w:hAnsi="Times New Roman"/>
          <w:kern w:val="0"/>
          <w:sz w:val="24"/>
          <w:szCs w:val="24"/>
        </w:rPr>
        <w:t>-</w:t>
      </w:r>
      <w:r w:rsidRPr="00D434EE">
        <w:rPr>
          <w:rFonts w:ascii="Times New Roman" w:eastAsia="Times New Roman" w:hAnsi="Times New Roman"/>
          <w:kern w:val="0"/>
          <w:sz w:val="24"/>
          <w:szCs w:val="24"/>
        </w:rPr>
        <w:t>grid in an unpredictable climate.</w:t>
      </w:r>
      <w:r w:rsidR="00615139">
        <w:rPr>
          <w:rFonts w:ascii="Times New Roman" w:eastAsia="Times New Roman" w:hAnsi="Times New Roman"/>
          <w:kern w:val="0"/>
          <w:sz w:val="24"/>
          <w:szCs w:val="24"/>
        </w:rPr>
        <w:t xml:space="preserve"> </w:t>
      </w:r>
    </w:p>
    <w:p w14:paraId="2E1C3500" w14:textId="1A20E819" w:rsidR="00615139" w:rsidRPr="00E10F03" w:rsidRDefault="00615139" w:rsidP="00E10F03">
      <w:pPr>
        <w:spacing w:after="0" w:line="360" w:lineRule="auto"/>
        <w:ind w:firstLine="567"/>
        <w:jc w:val="both"/>
        <w:rPr>
          <w:rFonts w:ascii="Times New Roman" w:eastAsia="Times New Roman" w:hAnsi="Times New Roman"/>
          <w:kern w:val="0"/>
          <w:sz w:val="24"/>
          <w:szCs w:val="24"/>
        </w:rPr>
      </w:pPr>
      <w:r w:rsidRPr="001F36BC">
        <w:rPr>
          <w:rFonts w:ascii="Times New Roman" w:eastAsia="Times New Roman" w:hAnsi="Times New Roman"/>
          <w:kern w:val="0"/>
          <w:sz w:val="24"/>
          <w:szCs w:val="24"/>
        </w:rPr>
        <w:t xml:space="preserve">This paper reviews the existing body of </w:t>
      </w:r>
      <w:r w:rsidR="004F1155" w:rsidRPr="001F36BC">
        <w:rPr>
          <w:rFonts w:ascii="Times New Roman" w:eastAsia="Times New Roman" w:hAnsi="Times New Roman"/>
          <w:kern w:val="0"/>
          <w:sz w:val="24"/>
          <w:szCs w:val="24"/>
        </w:rPr>
        <w:t>literature</w:t>
      </w:r>
      <w:r w:rsidRPr="001F36BC">
        <w:rPr>
          <w:rFonts w:ascii="Times New Roman" w:eastAsia="Times New Roman" w:hAnsi="Times New Roman"/>
          <w:kern w:val="0"/>
          <w:sz w:val="24"/>
          <w:szCs w:val="24"/>
        </w:rPr>
        <w:t xml:space="preserve"> on mini-grid designs with particular emphasis on cl</w:t>
      </w:r>
      <w:r w:rsidR="00682598" w:rsidRPr="001F36BC">
        <w:rPr>
          <w:rFonts w:ascii="Times New Roman" w:eastAsia="Times New Roman" w:hAnsi="Times New Roman"/>
          <w:kern w:val="0"/>
          <w:sz w:val="24"/>
          <w:szCs w:val="24"/>
        </w:rPr>
        <w:t>imate resilience</w:t>
      </w:r>
      <w:r w:rsidR="00682598" w:rsidRPr="002E4F42">
        <w:rPr>
          <w:rFonts w:ascii="Times New Roman" w:eastAsia="Times New Roman" w:hAnsi="Times New Roman"/>
          <w:kern w:val="0"/>
          <w:sz w:val="24"/>
          <w:szCs w:val="24"/>
          <w:highlight w:val="yellow"/>
        </w:rPr>
        <w:t>. The paper</w:t>
      </w:r>
      <w:r w:rsidRPr="002E4F42">
        <w:rPr>
          <w:rFonts w:ascii="Times New Roman" w:eastAsia="Times New Roman" w:hAnsi="Times New Roman"/>
          <w:kern w:val="0"/>
          <w:sz w:val="24"/>
          <w:szCs w:val="24"/>
          <w:highlight w:val="yellow"/>
        </w:rPr>
        <w:t xml:space="preserve"> makes a timely and meaningful </w:t>
      </w:r>
      <w:r w:rsidR="004F1155" w:rsidRPr="002E4F42">
        <w:rPr>
          <w:rFonts w:ascii="Times New Roman" w:eastAsia="Times New Roman" w:hAnsi="Times New Roman"/>
          <w:kern w:val="0"/>
          <w:sz w:val="24"/>
          <w:szCs w:val="24"/>
          <w:highlight w:val="yellow"/>
        </w:rPr>
        <w:t>contribution</w:t>
      </w:r>
      <w:r w:rsidRPr="002E4F42">
        <w:rPr>
          <w:rFonts w:ascii="Times New Roman" w:eastAsia="Times New Roman" w:hAnsi="Times New Roman"/>
          <w:kern w:val="0"/>
          <w:sz w:val="24"/>
          <w:szCs w:val="24"/>
          <w:highlight w:val="yellow"/>
        </w:rPr>
        <w:t xml:space="preserve"> to the </w:t>
      </w:r>
      <w:r w:rsidRPr="002E4F42">
        <w:rPr>
          <w:rFonts w:ascii="Times New Roman" w:eastAsia="Times New Roman" w:hAnsi="Times New Roman"/>
          <w:kern w:val="0"/>
          <w:sz w:val="24"/>
          <w:szCs w:val="24"/>
          <w:highlight w:val="yellow"/>
        </w:rPr>
        <w:lastRenderedPageBreak/>
        <w:t xml:space="preserve">scientific community by </w:t>
      </w:r>
      <w:r w:rsidR="00682598" w:rsidRPr="002E4F42">
        <w:rPr>
          <w:rFonts w:ascii="Times New Roman" w:eastAsia="Times New Roman" w:hAnsi="Times New Roman"/>
          <w:kern w:val="0"/>
          <w:sz w:val="24"/>
          <w:szCs w:val="24"/>
          <w:highlight w:val="yellow"/>
        </w:rPr>
        <w:t>synthesizing</w:t>
      </w:r>
      <w:r w:rsidR="004F1155" w:rsidRPr="002E4F42">
        <w:rPr>
          <w:rFonts w:ascii="Times New Roman" w:eastAsia="Times New Roman" w:hAnsi="Times New Roman"/>
          <w:kern w:val="0"/>
          <w:sz w:val="24"/>
          <w:szCs w:val="24"/>
          <w:highlight w:val="yellow"/>
        </w:rPr>
        <w:t xml:space="preserve"> interdisciplinary evidence</w:t>
      </w:r>
      <w:r w:rsidRPr="002E4F42">
        <w:rPr>
          <w:rFonts w:ascii="Times New Roman" w:eastAsia="Times New Roman" w:hAnsi="Times New Roman"/>
          <w:kern w:val="0"/>
          <w:sz w:val="24"/>
          <w:szCs w:val="24"/>
          <w:highlight w:val="yellow"/>
        </w:rPr>
        <w:t xml:space="preserve"> on </w:t>
      </w:r>
      <w:r w:rsidR="004F1155" w:rsidRPr="002E4F42">
        <w:rPr>
          <w:rFonts w:ascii="Times New Roman" w:eastAsia="Times New Roman" w:hAnsi="Times New Roman"/>
          <w:kern w:val="0"/>
          <w:sz w:val="24"/>
          <w:szCs w:val="24"/>
          <w:highlight w:val="yellow"/>
        </w:rPr>
        <w:t>climate–resilience</w:t>
      </w:r>
      <w:r w:rsidRPr="002E4F42">
        <w:rPr>
          <w:rFonts w:ascii="Times New Roman" w:eastAsia="Times New Roman" w:hAnsi="Times New Roman"/>
          <w:kern w:val="0"/>
          <w:sz w:val="24"/>
          <w:szCs w:val="24"/>
          <w:highlight w:val="yellow"/>
        </w:rPr>
        <w:t xml:space="preserve"> mini-grid systems at the intersection of energy engineering, climate adaptation, and development policy</w:t>
      </w:r>
      <w:r w:rsidR="004F1155" w:rsidRPr="002E4F42">
        <w:rPr>
          <w:rFonts w:ascii="Times New Roman" w:eastAsia="Times New Roman" w:hAnsi="Times New Roman"/>
          <w:kern w:val="0"/>
          <w:sz w:val="24"/>
          <w:szCs w:val="24"/>
          <w:highlight w:val="yellow"/>
        </w:rPr>
        <w:t>.</w:t>
      </w:r>
      <w:r w:rsidRPr="002E4F42">
        <w:rPr>
          <w:rFonts w:ascii="Times New Roman" w:eastAsia="Times New Roman" w:hAnsi="Times New Roman"/>
          <w:kern w:val="0"/>
          <w:sz w:val="24"/>
          <w:szCs w:val="24"/>
          <w:highlight w:val="yellow"/>
        </w:rPr>
        <w:t xml:space="preserve"> As climate </w:t>
      </w:r>
      <w:r w:rsidR="0021770C" w:rsidRPr="002E4F42">
        <w:rPr>
          <w:rFonts w:ascii="Times New Roman" w:eastAsia="Times New Roman" w:hAnsi="Times New Roman"/>
          <w:kern w:val="0"/>
          <w:sz w:val="24"/>
          <w:szCs w:val="24"/>
          <w:highlight w:val="yellow"/>
        </w:rPr>
        <w:t>variability</w:t>
      </w:r>
      <w:r w:rsidRPr="002E4F42">
        <w:rPr>
          <w:rFonts w:ascii="Times New Roman" w:eastAsia="Times New Roman" w:hAnsi="Times New Roman"/>
          <w:kern w:val="0"/>
          <w:sz w:val="24"/>
          <w:szCs w:val="24"/>
          <w:highlight w:val="yellow"/>
        </w:rPr>
        <w:t xml:space="preserve"> increasingly threatens </w:t>
      </w:r>
      <w:r w:rsidR="00682598" w:rsidRPr="002E4F42">
        <w:rPr>
          <w:rFonts w:ascii="Times New Roman" w:eastAsia="Times New Roman" w:hAnsi="Times New Roman"/>
          <w:kern w:val="0"/>
          <w:sz w:val="24"/>
          <w:szCs w:val="24"/>
          <w:highlight w:val="yellow"/>
        </w:rPr>
        <w:t>centralized</w:t>
      </w:r>
      <w:r w:rsidRPr="002E4F42">
        <w:rPr>
          <w:rFonts w:ascii="Times New Roman" w:eastAsia="Times New Roman" w:hAnsi="Times New Roman"/>
          <w:kern w:val="0"/>
          <w:sz w:val="24"/>
          <w:szCs w:val="24"/>
          <w:highlight w:val="yellow"/>
        </w:rPr>
        <w:t xml:space="preserve"> power infrastructure, this paper consolidates fragmente</w:t>
      </w:r>
      <w:r w:rsidR="005B4164" w:rsidRPr="002E4F42">
        <w:rPr>
          <w:rFonts w:ascii="Times New Roman" w:eastAsia="Times New Roman" w:hAnsi="Times New Roman"/>
          <w:kern w:val="0"/>
          <w:sz w:val="24"/>
          <w:szCs w:val="24"/>
          <w:highlight w:val="yellow"/>
        </w:rPr>
        <w:t>d technical, governance,</w:t>
      </w:r>
      <w:r w:rsidR="00664DDB" w:rsidRPr="002E4F42">
        <w:rPr>
          <w:rFonts w:ascii="Times New Roman" w:eastAsia="Times New Roman" w:hAnsi="Times New Roman"/>
          <w:kern w:val="0"/>
          <w:sz w:val="24"/>
          <w:szCs w:val="24"/>
          <w:highlight w:val="yellow"/>
        </w:rPr>
        <w:t xml:space="preserve"> socioeconomic</w:t>
      </w:r>
      <w:r w:rsidRPr="002E4F42">
        <w:rPr>
          <w:rFonts w:ascii="Times New Roman" w:eastAsia="Times New Roman" w:hAnsi="Times New Roman"/>
          <w:kern w:val="0"/>
          <w:sz w:val="24"/>
          <w:szCs w:val="24"/>
          <w:highlight w:val="yellow"/>
        </w:rPr>
        <w:t xml:space="preserve"> insights into a structured framework that supports more </w:t>
      </w:r>
      <w:r w:rsidR="004F1155" w:rsidRPr="002E4F42">
        <w:rPr>
          <w:rFonts w:ascii="Times New Roman" w:eastAsia="Times New Roman" w:hAnsi="Times New Roman"/>
          <w:kern w:val="0"/>
          <w:sz w:val="24"/>
          <w:szCs w:val="24"/>
          <w:highlight w:val="yellow"/>
        </w:rPr>
        <w:t xml:space="preserve">resilient </w:t>
      </w:r>
      <w:r w:rsidR="00682598" w:rsidRPr="002E4F42">
        <w:rPr>
          <w:rFonts w:ascii="Times New Roman" w:eastAsia="Times New Roman" w:hAnsi="Times New Roman"/>
          <w:kern w:val="0"/>
          <w:sz w:val="24"/>
          <w:szCs w:val="24"/>
          <w:highlight w:val="yellow"/>
        </w:rPr>
        <w:t>decentralized</w:t>
      </w:r>
      <w:r w:rsidRPr="002E4F42">
        <w:rPr>
          <w:rFonts w:ascii="Times New Roman" w:eastAsia="Times New Roman" w:hAnsi="Times New Roman"/>
          <w:kern w:val="0"/>
          <w:sz w:val="24"/>
          <w:szCs w:val="24"/>
          <w:highlight w:val="yellow"/>
        </w:rPr>
        <w:t xml:space="preserve"> energy planning. By </w:t>
      </w:r>
      <w:r w:rsidR="00B000AC" w:rsidRPr="002E4F42">
        <w:rPr>
          <w:rFonts w:ascii="Times New Roman" w:eastAsia="Times New Roman" w:hAnsi="Times New Roman"/>
          <w:kern w:val="0"/>
          <w:sz w:val="24"/>
          <w:szCs w:val="24"/>
          <w:highlight w:val="yellow"/>
        </w:rPr>
        <w:t>integrating</w:t>
      </w:r>
      <w:r w:rsidRPr="002E4F42">
        <w:rPr>
          <w:rFonts w:ascii="Times New Roman" w:eastAsia="Times New Roman" w:hAnsi="Times New Roman"/>
          <w:kern w:val="0"/>
          <w:sz w:val="24"/>
          <w:szCs w:val="24"/>
          <w:highlight w:val="yellow"/>
        </w:rPr>
        <w:t xml:space="preserve"> technological design considerations with institutional and financial dimensions, the study advances understanding beyond purely </w:t>
      </w:r>
      <w:r w:rsidR="004F1155" w:rsidRPr="002E4F42">
        <w:rPr>
          <w:rFonts w:ascii="Times New Roman" w:eastAsia="Times New Roman" w:hAnsi="Times New Roman"/>
          <w:kern w:val="0"/>
          <w:sz w:val="24"/>
          <w:szCs w:val="24"/>
          <w:highlight w:val="yellow"/>
        </w:rPr>
        <w:t>engineering-focused</w:t>
      </w:r>
      <w:r w:rsidR="00D465D8" w:rsidRPr="002E4F42">
        <w:rPr>
          <w:rFonts w:ascii="Times New Roman" w:eastAsia="Times New Roman" w:hAnsi="Times New Roman"/>
          <w:kern w:val="0"/>
          <w:sz w:val="24"/>
          <w:szCs w:val="24"/>
          <w:highlight w:val="yellow"/>
        </w:rPr>
        <w:t xml:space="preserve"> analysis and promotes a system</w:t>
      </w:r>
      <w:r w:rsidR="0045001C" w:rsidRPr="002E4F42">
        <w:rPr>
          <w:rFonts w:ascii="Times New Roman" w:eastAsia="Times New Roman" w:hAnsi="Times New Roman"/>
          <w:kern w:val="0"/>
          <w:sz w:val="24"/>
          <w:szCs w:val="24"/>
          <w:highlight w:val="yellow"/>
        </w:rPr>
        <w:t>-</w:t>
      </w:r>
      <w:r w:rsidRPr="002E4F42">
        <w:rPr>
          <w:rFonts w:ascii="Times New Roman" w:eastAsia="Times New Roman" w:hAnsi="Times New Roman"/>
          <w:kern w:val="0"/>
          <w:sz w:val="24"/>
          <w:szCs w:val="24"/>
          <w:highlight w:val="yellow"/>
        </w:rPr>
        <w:t>based approach to climate –proof energy</w:t>
      </w:r>
      <w:r w:rsidR="0021770C" w:rsidRPr="002E4F42">
        <w:rPr>
          <w:rFonts w:ascii="Times New Roman" w:eastAsia="Times New Roman" w:hAnsi="Times New Roman"/>
          <w:kern w:val="0"/>
          <w:sz w:val="24"/>
          <w:szCs w:val="24"/>
          <w:highlight w:val="yellow"/>
        </w:rPr>
        <w:t xml:space="preserve"> transitions. Furthermore, its emphasis on low and </w:t>
      </w:r>
      <w:r w:rsidR="004F1155" w:rsidRPr="002E4F42">
        <w:rPr>
          <w:rFonts w:ascii="Times New Roman" w:eastAsia="Times New Roman" w:hAnsi="Times New Roman"/>
          <w:kern w:val="0"/>
          <w:sz w:val="24"/>
          <w:szCs w:val="24"/>
          <w:highlight w:val="yellow"/>
        </w:rPr>
        <w:t>middle-income</w:t>
      </w:r>
      <w:r w:rsidR="0021770C" w:rsidRPr="002E4F42">
        <w:rPr>
          <w:rFonts w:ascii="Times New Roman" w:eastAsia="Times New Roman" w:hAnsi="Times New Roman"/>
          <w:kern w:val="0"/>
          <w:sz w:val="24"/>
          <w:szCs w:val="24"/>
          <w:highlight w:val="yellow"/>
        </w:rPr>
        <w:t xml:space="preserve"> country contexts</w:t>
      </w:r>
      <w:r w:rsidR="004F1155" w:rsidRPr="002E4F42">
        <w:rPr>
          <w:rFonts w:ascii="Times New Roman" w:eastAsia="Times New Roman" w:hAnsi="Times New Roman"/>
          <w:kern w:val="0"/>
          <w:sz w:val="24"/>
          <w:szCs w:val="24"/>
          <w:highlight w:val="yellow"/>
        </w:rPr>
        <w:t>,</w:t>
      </w:r>
      <w:r w:rsidR="0021770C" w:rsidRPr="002E4F42">
        <w:rPr>
          <w:rFonts w:ascii="Times New Roman" w:eastAsia="Times New Roman" w:hAnsi="Times New Roman"/>
          <w:kern w:val="0"/>
          <w:sz w:val="24"/>
          <w:szCs w:val="24"/>
          <w:highlight w:val="yellow"/>
        </w:rPr>
        <w:t xml:space="preserve"> particularly </w:t>
      </w:r>
      <w:r w:rsidR="004F1155" w:rsidRPr="002E4F42">
        <w:rPr>
          <w:rFonts w:ascii="Times New Roman" w:eastAsia="Times New Roman" w:hAnsi="Times New Roman"/>
          <w:kern w:val="0"/>
          <w:sz w:val="24"/>
          <w:szCs w:val="24"/>
          <w:highlight w:val="yellow"/>
        </w:rPr>
        <w:t>sub-Saharan</w:t>
      </w:r>
      <w:r w:rsidR="0021770C" w:rsidRPr="002E4F42">
        <w:rPr>
          <w:rFonts w:ascii="Times New Roman" w:eastAsia="Times New Roman" w:hAnsi="Times New Roman"/>
          <w:kern w:val="0"/>
          <w:sz w:val="24"/>
          <w:szCs w:val="24"/>
          <w:highlight w:val="yellow"/>
        </w:rPr>
        <w:t xml:space="preserve"> Africa providing valuable evidence for climate-adaptive</w:t>
      </w:r>
      <w:r w:rsidRPr="002E4F42">
        <w:rPr>
          <w:rFonts w:ascii="Times New Roman" w:eastAsia="Times New Roman" w:hAnsi="Times New Roman"/>
          <w:kern w:val="0"/>
          <w:sz w:val="24"/>
          <w:szCs w:val="24"/>
          <w:highlight w:val="yellow"/>
        </w:rPr>
        <w:t xml:space="preserve"> </w:t>
      </w:r>
      <w:r w:rsidR="0021770C" w:rsidRPr="002E4F42">
        <w:rPr>
          <w:rFonts w:ascii="Times New Roman" w:eastAsia="Times New Roman" w:hAnsi="Times New Roman"/>
          <w:kern w:val="0"/>
          <w:sz w:val="24"/>
          <w:szCs w:val="24"/>
          <w:highlight w:val="yellow"/>
        </w:rPr>
        <w:t>electrification strategies.</w:t>
      </w:r>
    </w:p>
    <w:p w14:paraId="64B15130" w14:textId="3917FE8F" w:rsidR="00C6446B" w:rsidRPr="00D434EE" w:rsidRDefault="00C6446B" w:rsidP="00E10F03">
      <w:pPr>
        <w:spacing w:after="100" w:afterAutospacing="1" w:line="360" w:lineRule="auto"/>
        <w:ind w:firstLine="567"/>
        <w:jc w:val="both"/>
        <w:rPr>
          <w:rFonts w:ascii="Times New Roman" w:eastAsia="Times New Roman" w:hAnsi="Times New Roman"/>
          <w:kern w:val="0"/>
          <w:sz w:val="24"/>
          <w:szCs w:val="24"/>
        </w:rPr>
      </w:pPr>
      <w:r w:rsidRPr="001F36BC">
        <w:rPr>
          <w:rFonts w:ascii="Times New Roman" w:eastAsia="Times New Roman" w:hAnsi="Times New Roman"/>
          <w:kern w:val="0"/>
          <w:sz w:val="24"/>
          <w:szCs w:val="24"/>
          <w:highlight w:val="yellow"/>
        </w:rPr>
        <w:t>The</w:t>
      </w:r>
      <w:r w:rsidR="00D1251A" w:rsidRPr="001F36BC">
        <w:rPr>
          <w:rFonts w:ascii="Times New Roman" w:eastAsia="Times New Roman" w:hAnsi="Times New Roman"/>
          <w:kern w:val="0"/>
          <w:sz w:val="24"/>
          <w:szCs w:val="24"/>
          <w:highlight w:val="yellow"/>
        </w:rPr>
        <w:t>refore, th</w:t>
      </w:r>
      <w:r w:rsidR="00DF09BE">
        <w:rPr>
          <w:rFonts w:ascii="Times New Roman" w:eastAsia="Times New Roman" w:hAnsi="Times New Roman"/>
          <w:kern w:val="0"/>
          <w:sz w:val="24"/>
          <w:szCs w:val="24"/>
          <w:highlight w:val="yellow"/>
        </w:rPr>
        <w:t>e</w:t>
      </w:r>
      <w:r w:rsidRPr="001F36BC">
        <w:rPr>
          <w:rFonts w:ascii="Times New Roman" w:eastAsia="Times New Roman" w:hAnsi="Times New Roman"/>
          <w:kern w:val="0"/>
          <w:sz w:val="24"/>
          <w:szCs w:val="24"/>
          <w:highlight w:val="yellow"/>
        </w:rPr>
        <w:t xml:space="preserve"> study stands to help the scientific community to gain deep insights from </w:t>
      </w:r>
      <w:r w:rsidR="004F1155" w:rsidRPr="001F36BC">
        <w:rPr>
          <w:rFonts w:ascii="Times New Roman" w:eastAsia="Times New Roman" w:hAnsi="Times New Roman"/>
          <w:kern w:val="0"/>
          <w:sz w:val="24"/>
          <w:szCs w:val="24"/>
          <w:highlight w:val="yellow"/>
        </w:rPr>
        <w:t>well-elucidated,</w:t>
      </w:r>
      <w:r w:rsidRPr="001F36BC">
        <w:rPr>
          <w:rFonts w:ascii="Times New Roman" w:eastAsia="Times New Roman" w:hAnsi="Times New Roman"/>
          <w:kern w:val="0"/>
          <w:sz w:val="24"/>
          <w:szCs w:val="24"/>
          <w:highlight w:val="yellow"/>
        </w:rPr>
        <w:t xml:space="preserve"> comprehensive </w:t>
      </w:r>
      <w:r w:rsidR="00C84364" w:rsidRPr="001F36BC">
        <w:rPr>
          <w:rFonts w:ascii="Times New Roman" w:eastAsia="Times New Roman" w:hAnsi="Times New Roman"/>
          <w:kern w:val="0"/>
          <w:sz w:val="24"/>
          <w:szCs w:val="24"/>
          <w:highlight w:val="yellow"/>
        </w:rPr>
        <w:t>analysis</w:t>
      </w:r>
      <w:r w:rsidRPr="001F36BC">
        <w:rPr>
          <w:rFonts w:ascii="Times New Roman" w:eastAsia="Times New Roman" w:hAnsi="Times New Roman"/>
          <w:kern w:val="0"/>
          <w:sz w:val="24"/>
          <w:szCs w:val="24"/>
          <w:highlight w:val="yellow"/>
        </w:rPr>
        <w:t xml:space="preserve"> and professional research findings from a review on </w:t>
      </w:r>
      <w:r w:rsidR="004F1155" w:rsidRPr="001F36BC">
        <w:rPr>
          <w:rFonts w:ascii="Times New Roman" w:eastAsia="Times New Roman" w:hAnsi="Times New Roman"/>
          <w:kern w:val="0"/>
          <w:sz w:val="24"/>
          <w:szCs w:val="24"/>
          <w:highlight w:val="yellow"/>
        </w:rPr>
        <w:t>climate-proof</w:t>
      </w:r>
      <w:r w:rsidRPr="001F36BC">
        <w:rPr>
          <w:rFonts w:ascii="Times New Roman" w:eastAsia="Times New Roman" w:hAnsi="Times New Roman"/>
          <w:kern w:val="0"/>
          <w:sz w:val="24"/>
          <w:szCs w:val="24"/>
          <w:highlight w:val="yellow"/>
        </w:rPr>
        <w:t xml:space="preserve"> energy systems. This is a case study spanning across </w:t>
      </w:r>
      <w:r w:rsidR="00C84364" w:rsidRPr="001F36BC">
        <w:rPr>
          <w:rFonts w:ascii="Times New Roman" w:eastAsia="Times New Roman" w:hAnsi="Times New Roman"/>
          <w:kern w:val="0"/>
          <w:sz w:val="24"/>
          <w:szCs w:val="24"/>
          <w:highlight w:val="yellow"/>
        </w:rPr>
        <w:t>continents,</w:t>
      </w:r>
      <w:r w:rsidRPr="001F36BC">
        <w:rPr>
          <w:rFonts w:ascii="Times New Roman" w:eastAsia="Times New Roman" w:hAnsi="Times New Roman"/>
          <w:kern w:val="0"/>
          <w:sz w:val="24"/>
          <w:szCs w:val="24"/>
          <w:highlight w:val="yellow"/>
        </w:rPr>
        <w:t xml:space="preserve"> involving poor economies and strategic application of mini grids to enhance energy resilience by hybrid mode, for sustainable provision of renewable energy,</w:t>
      </w:r>
      <w:r w:rsidR="00C84364" w:rsidRPr="001F36BC">
        <w:rPr>
          <w:rFonts w:ascii="Times New Roman" w:eastAsia="Times New Roman" w:hAnsi="Times New Roman"/>
          <w:kern w:val="0"/>
          <w:sz w:val="24"/>
          <w:szCs w:val="24"/>
          <w:highlight w:val="yellow"/>
        </w:rPr>
        <w:t xml:space="preserve"> </w:t>
      </w:r>
      <w:r w:rsidRPr="001F36BC">
        <w:rPr>
          <w:rFonts w:ascii="Times New Roman" w:eastAsia="Times New Roman" w:hAnsi="Times New Roman"/>
          <w:kern w:val="0"/>
          <w:sz w:val="24"/>
          <w:szCs w:val="24"/>
          <w:highlight w:val="yellow"/>
        </w:rPr>
        <w:t xml:space="preserve">despite the increasing adverse climatic </w:t>
      </w:r>
      <w:r w:rsidR="00C84364" w:rsidRPr="001F36BC">
        <w:rPr>
          <w:rFonts w:ascii="Times New Roman" w:eastAsia="Times New Roman" w:hAnsi="Times New Roman"/>
          <w:kern w:val="0"/>
          <w:sz w:val="24"/>
          <w:szCs w:val="24"/>
          <w:highlight w:val="yellow"/>
        </w:rPr>
        <w:t>challenges.</w:t>
      </w:r>
      <w:r w:rsidRPr="001F36BC">
        <w:rPr>
          <w:rFonts w:ascii="Times New Roman" w:eastAsia="Times New Roman" w:hAnsi="Times New Roman"/>
          <w:kern w:val="0"/>
          <w:sz w:val="24"/>
          <w:szCs w:val="24"/>
          <w:highlight w:val="yellow"/>
        </w:rPr>
        <w:t xml:space="preserve"> </w:t>
      </w:r>
      <w:r w:rsidR="00C84364" w:rsidRPr="001F36BC">
        <w:rPr>
          <w:rFonts w:ascii="Times New Roman" w:eastAsia="Times New Roman" w:hAnsi="Times New Roman"/>
          <w:kern w:val="0"/>
          <w:sz w:val="24"/>
          <w:szCs w:val="24"/>
          <w:highlight w:val="yellow"/>
        </w:rPr>
        <w:t>Interestingly,</w:t>
      </w:r>
      <w:r w:rsidRPr="001F36BC">
        <w:rPr>
          <w:rFonts w:ascii="Times New Roman" w:eastAsia="Times New Roman" w:hAnsi="Times New Roman"/>
          <w:kern w:val="0"/>
          <w:sz w:val="24"/>
          <w:szCs w:val="24"/>
          <w:highlight w:val="yellow"/>
        </w:rPr>
        <w:t xml:space="preserve"> the study </w:t>
      </w:r>
      <w:r w:rsidR="004F1155" w:rsidRPr="001F36BC">
        <w:rPr>
          <w:rFonts w:ascii="Times New Roman" w:eastAsia="Times New Roman" w:hAnsi="Times New Roman"/>
          <w:kern w:val="0"/>
          <w:sz w:val="24"/>
          <w:szCs w:val="24"/>
          <w:highlight w:val="yellow"/>
        </w:rPr>
        <w:t>aims to find</w:t>
      </w:r>
      <w:r w:rsidRPr="001F36BC">
        <w:rPr>
          <w:rFonts w:ascii="Times New Roman" w:eastAsia="Times New Roman" w:hAnsi="Times New Roman"/>
          <w:kern w:val="0"/>
          <w:sz w:val="24"/>
          <w:szCs w:val="24"/>
          <w:highlight w:val="yellow"/>
        </w:rPr>
        <w:t xml:space="preserve"> technological solutions beyond </w:t>
      </w:r>
      <w:r w:rsidR="00C84364" w:rsidRPr="001F36BC">
        <w:rPr>
          <w:rFonts w:ascii="Times New Roman" w:eastAsia="Times New Roman" w:hAnsi="Times New Roman"/>
          <w:kern w:val="0"/>
          <w:sz w:val="24"/>
          <w:szCs w:val="24"/>
          <w:highlight w:val="yellow"/>
        </w:rPr>
        <w:t>barriers,</w:t>
      </w:r>
      <w:r w:rsidRPr="001F36BC">
        <w:rPr>
          <w:rFonts w:ascii="Times New Roman" w:eastAsia="Times New Roman" w:hAnsi="Times New Roman"/>
          <w:kern w:val="0"/>
          <w:sz w:val="24"/>
          <w:szCs w:val="24"/>
          <w:highlight w:val="yellow"/>
        </w:rPr>
        <w:t xml:space="preserve"> for </w:t>
      </w:r>
      <w:r w:rsidR="004F1155" w:rsidRPr="001F36BC">
        <w:rPr>
          <w:rFonts w:ascii="Times New Roman" w:eastAsia="Times New Roman" w:hAnsi="Times New Roman"/>
          <w:kern w:val="0"/>
          <w:sz w:val="24"/>
          <w:szCs w:val="24"/>
          <w:highlight w:val="yellow"/>
        </w:rPr>
        <w:t xml:space="preserve">the </w:t>
      </w:r>
      <w:r w:rsidRPr="001F36BC">
        <w:rPr>
          <w:rFonts w:ascii="Times New Roman" w:eastAsia="Times New Roman" w:hAnsi="Times New Roman"/>
          <w:kern w:val="0"/>
          <w:sz w:val="24"/>
          <w:szCs w:val="24"/>
          <w:highlight w:val="yellow"/>
        </w:rPr>
        <w:t xml:space="preserve">availability and affordability of climate –resilient energy innovative </w:t>
      </w:r>
      <w:r w:rsidR="00C84364" w:rsidRPr="001F36BC">
        <w:rPr>
          <w:rFonts w:ascii="Times New Roman" w:eastAsia="Times New Roman" w:hAnsi="Times New Roman"/>
          <w:kern w:val="0"/>
          <w:sz w:val="24"/>
          <w:szCs w:val="24"/>
          <w:highlight w:val="yellow"/>
        </w:rPr>
        <w:t>adaptations through mini-grid systems for communities</w:t>
      </w:r>
      <w:r w:rsidR="004F1155" w:rsidRPr="001F36BC">
        <w:rPr>
          <w:rFonts w:ascii="Times New Roman" w:eastAsia="Times New Roman" w:hAnsi="Times New Roman"/>
          <w:kern w:val="0"/>
          <w:sz w:val="24"/>
          <w:szCs w:val="24"/>
          <w:highlight w:val="yellow"/>
        </w:rPr>
        <w:t>,</w:t>
      </w:r>
      <w:r w:rsidR="00C84364" w:rsidRPr="001F36BC">
        <w:rPr>
          <w:rFonts w:ascii="Times New Roman" w:eastAsia="Times New Roman" w:hAnsi="Times New Roman"/>
          <w:kern w:val="0"/>
          <w:sz w:val="24"/>
          <w:szCs w:val="24"/>
          <w:highlight w:val="yellow"/>
        </w:rPr>
        <w:t xml:space="preserve"> with regulatory measures through governance.</w:t>
      </w:r>
      <w:r>
        <w:rPr>
          <w:b/>
          <w:bCs/>
          <w:sz w:val="20"/>
          <w:szCs w:val="20"/>
          <w:lang w:val="en-GB"/>
        </w:rPr>
        <w:t xml:space="preserve"> </w:t>
      </w:r>
    </w:p>
    <w:p w14:paraId="018485D8" w14:textId="77777777" w:rsidR="001145C9" w:rsidRPr="00D434EE" w:rsidRDefault="0088195C" w:rsidP="00D434EE">
      <w:pPr>
        <w:pStyle w:val="ListParagraph"/>
        <w:numPr>
          <w:ilvl w:val="1"/>
          <w:numId w:val="5"/>
        </w:numPr>
        <w:spacing w:before="100" w:beforeAutospacing="1" w:after="100" w:afterAutospacing="1" w:line="360" w:lineRule="auto"/>
        <w:ind w:left="567" w:hanging="567"/>
        <w:jc w:val="both"/>
        <w:outlineLvl w:val="3"/>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Climate Change and Energy Infrastructure Vulnerability</w:t>
      </w:r>
    </w:p>
    <w:p w14:paraId="540F560E" w14:textId="705F9C1F" w:rsidR="001145C9" w:rsidRDefault="0088195C" w:rsidP="00D434EE">
      <w:pPr>
        <w:spacing w:before="100" w:beforeAutospacing="1"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Climate change poses significant threats to energy infrastructure worldwide, with increasing frequency and severity of extreme weather events undermining energy security and system reliability. The Intergovernmental Panel on Climate </w:t>
      </w:r>
      <w:r w:rsidRPr="00682598">
        <w:rPr>
          <w:rFonts w:ascii="Times New Roman" w:eastAsia="Times New Roman" w:hAnsi="Times New Roman"/>
          <w:color w:val="000000" w:themeColor="text1"/>
          <w:kern w:val="0"/>
          <w:sz w:val="24"/>
          <w:szCs w:val="24"/>
        </w:rPr>
        <w:t>Change</w:t>
      </w:r>
      <w:r w:rsidR="002A112B" w:rsidRPr="00682598">
        <w:rPr>
          <w:rFonts w:ascii="Times New Roman" w:eastAsia="Times New Roman" w:hAnsi="Times New Roman"/>
          <w:color w:val="000000" w:themeColor="text1"/>
          <w:kern w:val="0"/>
          <w:sz w:val="24"/>
          <w:szCs w:val="24"/>
        </w:rPr>
        <w:t xml:space="preserve"> (IPCC) </w:t>
      </w:r>
      <w:r w:rsidRPr="00D434EE">
        <w:rPr>
          <w:rFonts w:ascii="Times New Roman" w:eastAsia="Times New Roman" w:hAnsi="Times New Roman"/>
          <w:kern w:val="0"/>
          <w:sz w:val="24"/>
          <w:szCs w:val="24"/>
        </w:rPr>
        <w:t xml:space="preserve">identifies climate-induced hazards such as floods, storms, and heatwaves </w:t>
      </w:r>
      <w:r w:rsidR="004F1155">
        <w:rPr>
          <w:rFonts w:ascii="Times New Roman" w:eastAsia="Times New Roman" w:hAnsi="Times New Roman"/>
          <w:kern w:val="0"/>
          <w:sz w:val="24"/>
          <w:szCs w:val="24"/>
        </w:rPr>
        <w:t>that</w:t>
      </w:r>
      <w:r w:rsidRPr="00D434EE">
        <w:rPr>
          <w:rFonts w:ascii="Times New Roman" w:eastAsia="Times New Roman" w:hAnsi="Times New Roman"/>
          <w:kern w:val="0"/>
          <w:sz w:val="24"/>
          <w:szCs w:val="24"/>
        </w:rPr>
        <w:t xml:space="preserve"> disrupt power generation, transmission, and distribution. Traditional </w:t>
      </w:r>
      <w:r w:rsidR="00682598">
        <w:rPr>
          <w:rFonts w:ascii="Times New Roman" w:eastAsia="Times New Roman" w:hAnsi="Times New Roman"/>
          <w:kern w:val="0"/>
          <w:sz w:val="24"/>
          <w:szCs w:val="24"/>
        </w:rPr>
        <w:t>centralized</w:t>
      </w:r>
      <w:r w:rsidRPr="00D434EE">
        <w:rPr>
          <w:rFonts w:ascii="Times New Roman" w:eastAsia="Times New Roman" w:hAnsi="Times New Roman"/>
          <w:kern w:val="0"/>
          <w:sz w:val="24"/>
          <w:szCs w:val="24"/>
        </w:rPr>
        <w:t xml:space="preserve"> grids, designed without consideration for escalating climate risks, often exhibit fragility, especially in low- and middle-income countries such as Zambia</w:t>
      </w:r>
      <w:r w:rsidR="004F1155">
        <w:rPr>
          <w:rFonts w:ascii="Times New Roman" w:eastAsia="Times New Roman" w:hAnsi="Times New Roman"/>
          <w:kern w:val="0"/>
          <w:sz w:val="24"/>
          <w:szCs w:val="24"/>
        </w:rPr>
        <w:t>,</w:t>
      </w:r>
      <w:r w:rsidRPr="00D434EE">
        <w:rPr>
          <w:rFonts w:ascii="Times New Roman" w:eastAsia="Times New Roman" w:hAnsi="Times New Roman"/>
          <w:kern w:val="0"/>
          <w:sz w:val="24"/>
          <w:szCs w:val="24"/>
        </w:rPr>
        <w:t xml:space="preserve"> where infrastructure investments and maintenance are constrained.</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(Beza, 2021)</w:t>
      </w:r>
      <w:r w:rsidRPr="00D434EE">
        <w:rPr>
          <w:rFonts w:ascii="Times New Roman" w:eastAsia="Times New Roman" w:hAnsi="Times New Roman"/>
          <w:kern w:val="0"/>
          <w:sz w:val="24"/>
          <w:szCs w:val="24"/>
        </w:rPr>
        <w:t xml:space="preserve"> This vulnerability </w:t>
      </w:r>
      <w:r w:rsidR="001D126B">
        <w:rPr>
          <w:rFonts w:ascii="Times New Roman" w:eastAsia="Times New Roman" w:hAnsi="Times New Roman"/>
          <w:kern w:val="0"/>
          <w:sz w:val="24"/>
          <w:szCs w:val="24"/>
        </w:rPr>
        <w:t>jeopardizes</w:t>
      </w:r>
      <w:r w:rsidRPr="00D434EE">
        <w:rPr>
          <w:rFonts w:ascii="Times New Roman" w:eastAsia="Times New Roman" w:hAnsi="Times New Roman"/>
          <w:kern w:val="0"/>
          <w:sz w:val="24"/>
          <w:szCs w:val="24"/>
        </w:rPr>
        <w:t xml:space="preserve"> sustainable development and highlights the urgent need to transition toward more resilient, adaptive energy systems.</w:t>
      </w:r>
    </w:p>
    <w:p w14:paraId="1EF543C1" w14:textId="77777777" w:rsidR="00C65571" w:rsidRPr="00D434EE" w:rsidRDefault="00C65571" w:rsidP="00D434EE">
      <w:pPr>
        <w:spacing w:before="100" w:beforeAutospacing="1" w:after="100" w:afterAutospacing="1" w:line="360" w:lineRule="auto"/>
        <w:ind w:firstLine="567"/>
        <w:jc w:val="both"/>
        <w:rPr>
          <w:rFonts w:ascii="Times New Roman" w:eastAsia="Times New Roman" w:hAnsi="Times New Roman"/>
          <w:kern w:val="0"/>
          <w:sz w:val="24"/>
          <w:szCs w:val="24"/>
        </w:rPr>
      </w:pPr>
    </w:p>
    <w:p w14:paraId="6B6545D4" w14:textId="77777777" w:rsidR="001145C9" w:rsidRPr="00D434EE" w:rsidRDefault="004303C5" w:rsidP="00D434EE">
      <w:pPr>
        <w:pStyle w:val="ListParagraph"/>
        <w:numPr>
          <w:ilvl w:val="1"/>
          <w:numId w:val="5"/>
        </w:numPr>
        <w:spacing w:before="100" w:beforeAutospacing="1" w:after="100" w:afterAutospacing="1" w:line="360" w:lineRule="auto"/>
        <w:ind w:left="567" w:hanging="567"/>
        <w:jc w:val="both"/>
        <w:outlineLvl w:val="3"/>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lastRenderedPageBreak/>
        <w:t>Mini-</w:t>
      </w:r>
      <w:r w:rsidR="0088195C" w:rsidRPr="00D434EE">
        <w:rPr>
          <w:rFonts w:ascii="Times New Roman" w:eastAsia="Times New Roman" w:hAnsi="Times New Roman"/>
          <w:b/>
          <w:bCs/>
          <w:kern w:val="0"/>
          <w:sz w:val="24"/>
          <w:szCs w:val="24"/>
        </w:rPr>
        <w:t>Grids as a Strategy for Energy Resilience and Access</w:t>
      </w:r>
    </w:p>
    <w:p w14:paraId="2734CD27" w14:textId="0392B722" w:rsidR="001145C9" w:rsidRPr="00D434EE" w:rsidRDefault="00AE7999" w:rsidP="00D434EE">
      <w:pPr>
        <w:spacing w:before="100" w:beforeAutospacing="1"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Mini-</w:t>
      </w:r>
      <w:r w:rsidR="0088195C" w:rsidRPr="00D434EE">
        <w:rPr>
          <w:rFonts w:ascii="Times New Roman" w:eastAsia="Times New Roman" w:hAnsi="Times New Roman"/>
          <w:kern w:val="0"/>
          <w:sz w:val="24"/>
          <w:szCs w:val="24"/>
        </w:rPr>
        <w:t xml:space="preserve">grids, </w:t>
      </w:r>
      <w:r w:rsidR="001D126B">
        <w:rPr>
          <w:rFonts w:ascii="Times New Roman" w:eastAsia="Times New Roman" w:hAnsi="Times New Roman"/>
          <w:kern w:val="0"/>
          <w:sz w:val="24"/>
          <w:szCs w:val="24"/>
        </w:rPr>
        <w:t>localized</w:t>
      </w:r>
      <w:r w:rsidR="0088195C" w:rsidRPr="00D434EE">
        <w:rPr>
          <w:rFonts w:ascii="Times New Roman" w:eastAsia="Times New Roman" w:hAnsi="Times New Roman"/>
          <w:kern w:val="0"/>
          <w:sz w:val="24"/>
          <w:szCs w:val="24"/>
        </w:rPr>
        <w:t xml:space="preserve"> and </w:t>
      </w:r>
      <w:r w:rsidR="001D126B">
        <w:rPr>
          <w:rFonts w:ascii="Times New Roman" w:eastAsia="Times New Roman" w:hAnsi="Times New Roman"/>
          <w:kern w:val="0"/>
          <w:sz w:val="24"/>
          <w:szCs w:val="24"/>
        </w:rPr>
        <w:t>decentralized</w:t>
      </w:r>
      <w:r w:rsidR="0088195C" w:rsidRPr="00D434EE">
        <w:rPr>
          <w:rFonts w:ascii="Times New Roman" w:eastAsia="Times New Roman" w:hAnsi="Times New Roman"/>
          <w:kern w:val="0"/>
          <w:sz w:val="24"/>
          <w:szCs w:val="24"/>
        </w:rPr>
        <w:t xml:space="preserve"> energy systems, have emerged as promising solutions to simultaneously address energy access and resilience challenges. According to the International Renewable Energy Agency </w:t>
      </w:r>
      <w:r w:rsidR="00C65571">
        <w:rPr>
          <w:rFonts w:ascii="Times New Roman" w:eastAsia="Times New Roman" w:hAnsi="Times New Roman"/>
          <w:noProof/>
          <w:kern w:val="0"/>
          <w:sz w:val="24"/>
          <w:szCs w:val="24"/>
        </w:rPr>
        <w:t>(IPCC</w:t>
      </w:r>
      <w:r w:rsidR="00B000AC" w:rsidRPr="00B000AC">
        <w:rPr>
          <w:rFonts w:ascii="Times New Roman" w:eastAsia="Times New Roman" w:hAnsi="Times New Roman"/>
          <w:noProof/>
          <w:kern w:val="0"/>
          <w:sz w:val="24"/>
          <w:szCs w:val="24"/>
        </w:rPr>
        <w:t>, 2022)</w:t>
      </w:r>
      <w:r w:rsidRPr="00D434EE">
        <w:rPr>
          <w:rFonts w:ascii="Times New Roman" w:eastAsia="Times New Roman" w:hAnsi="Times New Roman"/>
          <w:kern w:val="0"/>
          <w:sz w:val="24"/>
          <w:szCs w:val="24"/>
        </w:rPr>
        <w:t>, mini-</w:t>
      </w:r>
      <w:r w:rsidR="0088195C" w:rsidRPr="00D434EE">
        <w:rPr>
          <w:rFonts w:ascii="Times New Roman" w:eastAsia="Times New Roman" w:hAnsi="Times New Roman"/>
          <w:kern w:val="0"/>
          <w:sz w:val="24"/>
          <w:szCs w:val="24"/>
        </w:rPr>
        <w:t xml:space="preserve">grids powered by renewable resources offer flexibility and can be deployed in remote or underserved regions where extending national grids is economically or logistically impractical. Their modular nature enables incremental scaling and </w:t>
      </w:r>
      <w:r w:rsidR="001D126B">
        <w:rPr>
          <w:rFonts w:ascii="Times New Roman" w:eastAsia="Times New Roman" w:hAnsi="Times New Roman"/>
          <w:kern w:val="0"/>
          <w:sz w:val="24"/>
          <w:szCs w:val="24"/>
        </w:rPr>
        <w:t>localized</w:t>
      </w:r>
      <w:r w:rsidR="0088195C" w:rsidRPr="00D434EE">
        <w:rPr>
          <w:rFonts w:ascii="Times New Roman" w:eastAsia="Times New Roman" w:hAnsi="Times New Roman"/>
          <w:kern w:val="0"/>
          <w:sz w:val="24"/>
          <w:szCs w:val="24"/>
        </w:rPr>
        <w:t xml:space="preserve"> management, which inherently limits systemic risk and enhances res</w:t>
      </w:r>
      <w:r w:rsidRPr="00D434EE">
        <w:rPr>
          <w:rFonts w:ascii="Times New Roman" w:eastAsia="Times New Roman" w:hAnsi="Times New Roman"/>
          <w:kern w:val="0"/>
          <w:sz w:val="24"/>
          <w:szCs w:val="24"/>
        </w:rPr>
        <w:t xml:space="preserve">ilience to climate shocks. </w:t>
      </w:r>
      <w:r w:rsidR="004F1155" w:rsidRPr="00D434EE">
        <w:rPr>
          <w:rFonts w:ascii="Times New Roman" w:eastAsia="Times New Roman" w:hAnsi="Times New Roman"/>
          <w:kern w:val="0"/>
          <w:sz w:val="24"/>
          <w:szCs w:val="24"/>
        </w:rPr>
        <w:t>Mini grids</w:t>
      </w:r>
      <w:r w:rsidR="0088195C" w:rsidRPr="00D434EE">
        <w:rPr>
          <w:rFonts w:ascii="Times New Roman" w:eastAsia="Times New Roman" w:hAnsi="Times New Roman"/>
          <w:kern w:val="0"/>
          <w:sz w:val="24"/>
          <w:szCs w:val="24"/>
        </w:rPr>
        <w:t xml:space="preserve"> contribute directly to socioeconomic development by powering essential services such as healthcare, education, and local enterprises.</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(Ekeinde, 2025)</w:t>
      </w:r>
    </w:p>
    <w:p w14:paraId="2FAF23D1" w14:textId="77777777" w:rsidR="001145C9" w:rsidRPr="00D434EE" w:rsidRDefault="0088195C" w:rsidP="00D434EE">
      <w:pPr>
        <w:pStyle w:val="ListParagraph"/>
        <w:numPr>
          <w:ilvl w:val="1"/>
          <w:numId w:val="5"/>
        </w:numPr>
        <w:spacing w:before="100" w:beforeAutospacing="1" w:after="100" w:afterAutospacing="1" w:line="360" w:lineRule="auto"/>
        <w:ind w:left="567" w:hanging="567"/>
        <w:jc w:val="both"/>
        <w:outlineLvl w:val="3"/>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Design Considerat</w:t>
      </w:r>
      <w:r w:rsidR="002965EF" w:rsidRPr="00D434EE">
        <w:rPr>
          <w:rFonts w:ascii="Times New Roman" w:eastAsia="Times New Roman" w:hAnsi="Times New Roman"/>
          <w:b/>
          <w:bCs/>
          <w:kern w:val="0"/>
          <w:sz w:val="24"/>
          <w:szCs w:val="24"/>
        </w:rPr>
        <w:t>ions for Climate-Resilient Mini-</w:t>
      </w:r>
      <w:r w:rsidRPr="00D434EE">
        <w:rPr>
          <w:rFonts w:ascii="Times New Roman" w:eastAsia="Times New Roman" w:hAnsi="Times New Roman"/>
          <w:b/>
          <w:bCs/>
          <w:kern w:val="0"/>
          <w:sz w:val="24"/>
          <w:szCs w:val="24"/>
        </w:rPr>
        <w:t>Grids</w:t>
      </w:r>
    </w:p>
    <w:p w14:paraId="0D143383" w14:textId="5CCA70C8" w:rsidR="00266EEE" w:rsidRPr="00D434EE" w:rsidRDefault="00AE7999" w:rsidP="00E3055C">
      <w:pPr>
        <w:spacing w:before="100" w:beforeAutospacing="1" w:after="100" w:afterAutospacing="1" w:line="360" w:lineRule="auto"/>
        <w:ind w:firstLine="567"/>
        <w:jc w:val="both"/>
        <w:rPr>
          <w:rFonts w:ascii="Times New Roman" w:eastAsia="Times New Roman" w:hAnsi="Times New Roman"/>
          <w:noProof/>
          <w:kern w:val="0"/>
          <w:sz w:val="24"/>
          <w:szCs w:val="24"/>
        </w:rPr>
      </w:pPr>
      <w:r w:rsidRPr="00D434EE">
        <w:rPr>
          <w:rFonts w:ascii="Times New Roman" w:eastAsia="Times New Roman" w:hAnsi="Times New Roman"/>
          <w:kern w:val="0"/>
          <w:sz w:val="24"/>
          <w:szCs w:val="24"/>
        </w:rPr>
        <w:t>Resilience in mini-</w:t>
      </w:r>
      <w:r w:rsidR="0088195C" w:rsidRPr="00D434EE">
        <w:rPr>
          <w:rFonts w:ascii="Times New Roman" w:eastAsia="Times New Roman" w:hAnsi="Times New Roman"/>
          <w:kern w:val="0"/>
          <w:sz w:val="24"/>
          <w:szCs w:val="24"/>
        </w:rPr>
        <w:t>grid design entails both technological and socio-institutional dimensions. Technologically, hybrid systems that integrate solar photovoltaic panels, wind</w:t>
      </w:r>
      <w:r w:rsidR="004F1155">
        <w:rPr>
          <w:rFonts w:ascii="Times New Roman" w:eastAsia="Times New Roman" w:hAnsi="Times New Roman"/>
          <w:kern w:val="0"/>
          <w:sz w:val="24"/>
          <w:szCs w:val="24"/>
        </w:rPr>
        <w:t>,</w:t>
      </w:r>
      <w:r w:rsidR="0088195C" w:rsidRPr="00D434EE">
        <w:rPr>
          <w:rFonts w:ascii="Times New Roman" w:eastAsia="Times New Roman" w:hAnsi="Times New Roman"/>
          <w:kern w:val="0"/>
          <w:sz w:val="24"/>
          <w:szCs w:val="24"/>
        </w:rPr>
        <w:t xml:space="preserve"> where applicable, backup generators and battery storage have been shown to enhance system reliability and adaptability to intermittent power supply.</w:t>
      </w:r>
      <w:r w:rsidR="00B000AC">
        <w:rPr>
          <w:rFonts w:ascii="Times New Roman" w:eastAsia="Times New Roman" w:hAnsi="Times New Roman"/>
          <w:noProof/>
          <w:color w:val="FF0000"/>
          <w:kern w:val="0"/>
          <w:sz w:val="24"/>
          <w:szCs w:val="24"/>
        </w:rPr>
        <w:t xml:space="preserve"> </w:t>
      </w:r>
      <w:r w:rsidR="00B000AC" w:rsidRPr="00D14757">
        <w:rPr>
          <w:rFonts w:ascii="Times New Roman" w:eastAsia="Times New Roman" w:hAnsi="Times New Roman"/>
          <w:noProof/>
          <w:color w:val="000000" w:themeColor="text1"/>
          <w:kern w:val="0"/>
          <w:sz w:val="24"/>
          <w:szCs w:val="24"/>
        </w:rPr>
        <w:t>(Bhattacharyya, 2018)</w:t>
      </w:r>
      <w:r w:rsidR="0088195C" w:rsidRPr="00D14757">
        <w:rPr>
          <w:rFonts w:ascii="Times New Roman" w:eastAsia="Times New Roman" w:hAnsi="Times New Roman"/>
          <w:color w:val="000000" w:themeColor="text1"/>
          <w:kern w:val="0"/>
          <w:sz w:val="24"/>
          <w:szCs w:val="24"/>
        </w:rPr>
        <w:t xml:space="preserve"> </w:t>
      </w:r>
      <w:r w:rsidR="0088195C" w:rsidRPr="00D434EE">
        <w:rPr>
          <w:rFonts w:ascii="Times New Roman" w:eastAsia="Times New Roman" w:hAnsi="Times New Roman"/>
          <w:kern w:val="0"/>
          <w:sz w:val="24"/>
          <w:szCs w:val="24"/>
        </w:rPr>
        <w:t>Advanced control systems facilitate load management and predictive maintenance, reducing downtime and system failures because switching between systems can easily be facilitated.</w:t>
      </w:r>
      <w:r w:rsidR="00FF6197">
        <w:rPr>
          <w:rFonts w:ascii="Times New Roman" w:eastAsia="Times New Roman" w:hAnsi="Times New Roman"/>
          <w:kern w:val="0"/>
          <w:sz w:val="24"/>
          <w:szCs w:val="24"/>
        </w:rPr>
        <w:t xml:space="preserve"> </w:t>
      </w:r>
      <w:r w:rsidR="00B000AC" w:rsidRPr="00B000AC">
        <w:rPr>
          <w:rFonts w:ascii="Times New Roman" w:eastAsia="Times New Roman" w:hAnsi="Times New Roman"/>
          <w:noProof/>
          <w:kern w:val="0"/>
          <w:sz w:val="24"/>
          <w:szCs w:val="24"/>
        </w:rPr>
        <w:t xml:space="preserve">(Weinand </w:t>
      </w:r>
      <w:r w:rsidR="008C4FB5">
        <w:rPr>
          <w:rFonts w:ascii="Times New Roman" w:eastAsia="Times New Roman" w:hAnsi="Times New Roman"/>
          <w:noProof/>
          <w:kern w:val="0"/>
          <w:sz w:val="24"/>
          <w:szCs w:val="24"/>
        </w:rPr>
        <w:t>et al</w:t>
      </w:r>
      <w:r w:rsidR="00C65571">
        <w:rPr>
          <w:rFonts w:ascii="Times New Roman" w:eastAsia="Times New Roman" w:hAnsi="Times New Roman"/>
          <w:noProof/>
          <w:kern w:val="0"/>
          <w:sz w:val="24"/>
          <w:szCs w:val="24"/>
        </w:rPr>
        <w:t>.</w:t>
      </w:r>
      <w:r w:rsidR="00B000AC" w:rsidRPr="00B000AC">
        <w:rPr>
          <w:rFonts w:ascii="Times New Roman" w:eastAsia="Times New Roman" w:hAnsi="Times New Roman"/>
          <w:noProof/>
          <w:kern w:val="0"/>
          <w:sz w:val="24"/>
          <w:szCs w:val="24"/>
        </w:rPr>
        <w:t xml:space="preserve"> 2020)</w:t>
      </w:r>
      <w:r w:rsidR="008C4FB5">
        <w:rPr>
          <w:rFonts w:ascii="Times New Roman" w:eastAsia="Times New Roman" w:hAnsi="Times New Roman"/>
          <w:noProof/>
          <w:kern w:val="0"/>
          <w:sz w:val="24"/>
          <w:szCs w:val="24"/>
        </w:rPr>
        <w:t xml:space="preserve"> </w:t>
      </w:r>
      <w:r w:rsidR="0088195C" w:rsidRPr="00D434EE">
        <w:rPr>
          <w:rFonts w:ascii="Times New Roman" w:eastAsia="Times New Roman" w:hAnsi="Times New Roman"/>
          <w:kern w:val="0"/>
          <w:sz w:val="24"/>
          <w:szCs w:val="24"/>
        </w:rPr>
        <w:t>The Infrastructure should also be engineered to withstand local climate hazards such as landslides by incorporating soil morphology data and early seismic detection so that durable materials and responsive measures are put in place.</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(Frontiers in Energy Research, 2024)</w:t>
      </w:r>
      <w:r w:rsidR="0088195C" w:rsidRPr="00D434EE">
        <w:rPr>
          <w:rFonts w:ascii="Times New Roman" w:eastAsia="Times New Roman" w:hAnsi="Times New Roman"/>
          <w:kern w:val="0"/>
          <w:sz w:val="24"/>
          <w:szCs w:val="24"/>
        </w:rPr>
        <w:t xml:space="preserve"> Be</w:t>
      </w:r>
      <w:r w:rsidRPr="00D434EE">
        <w:rPr>
          <w:rFonts w:ascii="Times New Roman" w:eastAsia="Times New Roman" w:hAnsi="Times New Roman"/>
          <w:kern w:val="0"/>
          <w:sz w:val="24"/>
          <w:szCs w:val="24"/>
        </w:rPr>
        <w:t>yond technology, resilient mini-</w:t>
      </w:r>
      <w:r w:rsidR="0088195C" w:rsidRPr="00D434EE">
        <w:rPr>
          <w:rFonts w:ascii="Times New Roman" w:eastAsia="Times New Roman" w:hAnsi="Times New Roman"/>
          <w:kern w:val="0"/>
          <w:sz w:val="24"/>
          <w:szCs w:val="24"/>
        </w:rPr>
        <w:t>grids depend on governance structures that engage communities in skills and knowledge development, decision-making, operation, and maintenance—ensuring long-term adaptability and responsiveness to evolving climate conditions.</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(Guarascio, 2025)</w:t>
      </w:r>
    </w:p>
    <w:p w14:paraId="5F3415F0" w14:textId="77777777" w:rsidR="001145C9" w:rsidRPr="00D434EE" w:rsidRDefault="0088195C" w:rsidP="00D434EE">
      <w:pPr>
        <w:pStyle w:val="ListParagraph"/>
        <w:numPr>
          <w:ilvl w:val="1"/>
          <w:numId w:val="5"/>
        </w:numPr>
        <w:spacing w:before="100" w:beforeAutospacing="1" w:after="100" w:afterAutospacing="1" w:line="360" w:lineRule="auto"/>
        <w:ind w:left="567" w:hanging="567"/>
        <w:jc w:val="both"/>
        <w:outlineLvl w:val="3"/>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Challenges and Gaps in Implementation</w:t>
      </w:r>
    </w:p>
    <w:p w14:paraId="6C3A8F3F" w14:textId="63D09367" w:rsidR="001145C9" w:rsidRPr="00D434EE" w:rsidRDefault="00AE7999" w:rsidP="00D434EE">
      <w:pPr>
        <w:spacing w:before="100" w:beforeAutospacing="1"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Despite their potential, </w:t>
      </w:r>
      <w:r w:rsidR="004F1155" w:rsidRPr="00D434EE">
        <w:rPr>
          <w:rFonts w:ascii="Times New Roman" w:eastAsia="Times New Roman" w:hAnsi="Times New Roman"/>
          <w:kern w:val="0"/>
          <w:sz w:val="24"/>
          <w:szCs w:val="24"/>
        </w:rPr>
        <w:t>mini grids</w:t>
      </w:r>
      <w:r w:rsidR="0088195C" w:rsidRPr="00D434EE">
        <w:rPr>
          <w:rFonts w:ascii="Times New Roman" w:eastAsia="Times New Roman" w:hAnsi="Times New Roman"/>
          <w:kern w:val="0"/>
          <w:sz w:val="24"/>
          <w:szCs w:val="24"/>
        </w:rPr>
        <w:t xml:space="preserve"> face persistent barriers. Technical challenges include limited storage capacities, systems integration difficulties, and shortages of local skilled labour. Financial constraints and regulatory uncertainties restrict investment and scalability. Critically, climate resilience is often not embedded in project design from inception, due to fear of increasing costs resulting in systems vulnerable to predictable climate stresses</w:t>
      </w:r>
      <w:r w:rsidR="006B05B9">
        <w:rPr>
          <w:rFonts w:ascii="Times New Roman" w:eastAsia="Times New Roman" w:hAnsi="Times New Roman"/>
          <w:kern w:val="0"/>
          <w:sz w:val="24"/>
          <w:szCs w:val="24"/>
        </w:rPr>
        <w:t>.</w:t>
      </w:r>
      <w:r w:rsidR="0088195C" w:rsidRPr="00D434EE">
        <w:rPr>
          <w:rFonts w:ascii="Times New Roman" w:eastAsia="Times New Roman" w:hAnsi="Times New Roman"/>
          <w:kern w:val="0"/>
          <w:sz w:val="24"/>
          <w:szCs w:val="24"/>
        </w:rPr>
        <w:t xml:space="preserve"> These challenges point to a </w:t>
      </w:r>
      <w:r w:rsidR="0088195C" w:rsidRPr="00D434EE">
        <w:rPr>
          <w:rFonts w:ascii="Times New Roman" w:eastAsia="Times New Roman" w:hAnsi="Times New Roman"/>
          <w:kern w:val="0"/>
          <w:sz w:val="24"/>
          <w:szCs w:val="24"/>
        </w:rPr>
        <w:lastRenderedPageBreak/>
        <w:t xml:space="preserve">systemic gap between technological innovation and practical, climate-informed implementation. Addressing this gap requires holistic frameworks that integrate engineering, policy, community participation, and sustainable financing to </w:t>
      </w:r>
      <w:r w:rsidR="00D14757">
        <w:rPr>
          <w:rFonts w:ascii="Times New Roman" w:eastAsia="Times New Roman" w:hAnsi="Times New Roman"/>
          <w:kern w:val="0"/>
          <w:sz w:val="24"/>
          <w:szCs w:val="24"/>
        </w:rPr>
        <w:t>realize</w:t>
      </w:r>
      <w:r w:rsidRPr="00D434EE">
        <w:rPr>
          <w:rFonts w:ascii="Times New Roman" w:eastAsia="Times New Roman" w:hAnsi="Times New Roman"/>
          <w:kern w:val="0"/>
          <w:sz w:val="24"/>
          <w:szCs w:val="24"/>
        </w:rPr>
        <w:t xml:space="preserve"> the full promise of mini-</w:t>
      </w:r>
      <w:r w:rsidR="0088195C" w:rsidRPr="00D434EE">
        <w:rPr>
          <w:rFonts w:ascii="Times New Roman" w:eastAsia="Times New Roman" w:hAnsi="Times New Roman"/>
          <w:kern w:val="0"/>
          <w:sz w:val="24"/>
          <w:szCs w:val="24"/>
        </w:rPr>
        <w:t>grids in climate adaptation.</w:t>
      </w:r>
      <w:r w:rsidR="00B00878" w:rsidRPr="00D434EE">
        <w:rPr>
          <w:rFonts w:ascii="Times New Roman" w:eastAsia="Times New Roman" w:hAnsi="Times New Roman"/>
          <w:kern w:val="0"/>
          <w:sz w:val="24"/>
          <w:szCs w:val="24"/>
        </w:rPr>
        <w:t xml:space="preserve"> The background clearly positions mini-</w:t>
      </w:r>
      <w:r w:rsidR="0088195C" w:rsidRPr="00D434EE">
        <w:rPr>
          <w:rFonts w:ascii="Times New Roman" w:eastAsia="Times New Roman" w:hAnsi="Times New Roman"/>
          <w:kern w:val="0"/>
          <w:sz w:val="24"/>
          <w:szCs w:val="24"/>
        </w:rPr>
        <w:t>grids as pivotal to achieving resilient, sustainable energy transitions in the face of climate change. However, tran</w:t>
      </w:r>
      <w:r w:rsidRPr="00D434EE">
        <w:rPr>
          <w:rFonts w:ascii="Times New Roman" w:eastAsia="Times New Roman" w:hAnsi="Times New Roman"/>
          <w:kern w:val="0"/>
          <w:sz w:val="24"/>
          <w:szCs w:val="24"/>
        </w:rPr>
        <w:t>sforming mini-</w:t>
      </w:r>
      <w:r w:rsidR="0088195C" w:rsidRPr="00D434EE">
        <w:rPr>
          <w:rFonts w:ascii="Times New Roman" w:eastAsia="Times New Roman" w:hAnsi="Times New Roman"/>
          <w:kern w:val="0"/>
          <w:sz w:val="24"/>
          <w:szCs w:val="24"/>
        </w:rPr>
        <w:t xml:space="preserve">grids from technical solutions into truly climate-proof systems necessitates comprehensive strategies encompassing technology, climate data, governance, and finance. Future research and practice must </w:t>
      </w:r>
      <w:r w:rsidR="00B114FD">
        <w:rPr>
          <w:rFonts w:ascii="Times New Roman" w:eastAsia="Times New Roman" w:hAnsi="Times New Roman"/>
          <w:kern w:val="0"/>
          <w:sz w:val="24"/>
          <w:szCs w:val="24"/>
        </w:rPr>
        <w:t>emphasize</w:t>
      </w:r>
      <w:r w:rsidR="0088195C" w:rsidRPr="00D434EE">
        <w:rPr>
          <w:rFonts w:ascii="Times New Roman" w:eastAsia="Times New Roman" w:hAnsi="Times New Roman"/>
          <w:kern w:val="0"/>
          <w:sz w:val="24"/>
          <w:szCs w:val="24"/>
        </w:rPr>
        <w:t xml:space="preserve"> integrated, context-sensitive ap</w:t>
      </w:r>
      <w:r w:rsidRPr="00D434EE">
        <w:rPr>
          <w:rFonts w:ascii="Times New Roman" w:eastAsia="Times New Roman" w:hAnsi="Times New Roman"/>
          <w:kern w:val="0"/>
          <w:sz w:val="24"/>
          <w:szCs w:val="24"/>
        </w:rPr>
        <w:t>proaches that ensure mini-</w:t>
      </w:r>
      <w:r w:rsidR="0088195C" w:rsidRPr="00D434EE">
        <w:rPr>
          <w:rFonts w:ascii="Times New Roman" w:eastAsia="Times New Roman" w:hAnsi="Times New Roman"/>
          <w:kern w:val="0"/>
          <w:sz w:val="24"/>
          <w:szCs w:val="24"/>
        </w:rPr>
        <w:t>grids can reliably support energy in vulnerable communities amid growing climate uncertainty</w:t>
      </w:r>
      <w:r w:rsidR="006B05B9">
        <w:rPr>
          <w:rFonts w:ascii="Times New Roman" w:eastAsia="Times New Roman" w:hAnsi="Times New Roman"/>
          <w:kern w:val="0"/>
          <w:sz w:val="24"/>
          <w:szCs w:val="24"/>
        </w:rPr>
        <w:t>.</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(Schmitz</w:t>
      </w:r>
      <w:r w:rsidR="001138FF">
        <w:rPr>
          <w:rFonts w:ascii="Times New Roman" w:eastAsia="Times New Roman" w:hAnsi="Times New Roman"/>
          <w:noProof/>
          <w:kern w:val="0"/>
          <w:sz w:val="24"/>
          <w:szCs w:val="24"/>
        </w:rPr>
        <w:t xml:space="preserve"> et al</w:t>
      </w:r>
      <w:r w:rsidR="00C65571">
        <w:rPr>
          <w:rFonts w:ascii="Times New Roman" w:eastAsia="Times New Roman" w:hAnsi="Times New Roman"/>
          <w:noProof/>
          <w:kern w:val="0"/>
          <w:sz w:val="24"/>
          <w:szCs w:val="24"/>
        </w:rPr>
        <w:t>.</w:t>
      </w:r>
      <w:r w:rsidR="00B000AC" w:rsidRPr="00B000AC">
        <w:rPr>
          <w:rFonts w:ascii="Times New Roman" w:eastAsia="Times New Roman" w:hAnsi="Times New Roman"/>
          <w:noProof/>
          <w:kern w:val="0"/>
          <w:sz w:val="24"/>
          <w:szCs w:val="24"/>
        </w:rPr>
        <w:t xml:space="preserve"> 2025)</w:t>
      </w:r>
    </w:p>
    <w:p w14:paraId="1D9655C8" w14:textId="77777777" w:rsidR="001145C9" w:rsidRPr="00D434EE" w:rsidRDefault="00093D9F" w:rsidP="00D434EE">
      <w:pPr>
        <w:pStyle w:val="ListParagraph"/>
        <w:numPr>
          <w:ilvl w:val="0"/>
          <w:numId w:val="7"/>
        </w:numPr>
        <w:spacing w:before="100" w:beforeAutospacing="1" w:after="100" w:afterAutospacing="1" w:line="360" w:lineRule="auto"/>
        <w:ind w:left="567" w:hanging="567"/>
        <w:jc w:val="both"/>
        <w:outlineLvl w:val="0"/>
        <w:rPr>
          <w:rFonts w:ascii="Times New Roman" w:eastAsia="Times New Roman" w:hAnsi="Times New Roman"/>
          <w:b/>
          <w:bCs/>
          <w:kern w:val="36"/>
          <w:sz w:val="24"/>
          <w:szCs w:val="24"/>
        </w:rPr>
      </w:pPr>
      <w:r w:rsidRPr="00D434EE">
        <w:rPr>
          <w:rFonts w:ascii="Times New Roman" w:eastAsia="Times New Roman" w:hAnsi="Times New Roman"/>
          <w:b/>
          <w:bCs/>
          <w:kern w:val="36"/>
          <w:sz w:val="24"/>
          <w:szCs w:val="24"/>
        </w:rPr>
        <w:t>MATERIALS AND METHODS</w:t>
      </w:r>
    </w:p>
    <w:p w14:paraId="2B6590BB"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1"/>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Research Design</w:t>
      </w:r>
    </w:p>
    <w:p w14:paraId="215F0DF5" w14:textId="03DEBD96" w:rsidR="00E77426" w:rsidRPr="004C481D" w:rsidRDefault="004C481D" w:rsidP="00326021">
      <w:pPr>
        <w:pStyle w:val="NormalWeb"/>
        <w:spacing w:line="360" w:lineRule="auto"/>
        <w:ind w:firstLine="567"/>
        <w:jc w:val="both"/>
      </w:pPr>
      <w:r w:rsidRPr="004C481D">
        <w:t xml:space="preserve">This study employed a </w:t>
      </w:r>
      <w:r w:rsidRPr="004C481D">
        <w:rPr>
          <w:rStyle w:val="Strong"/>
          <w:b w:val="0"/>
          <w:bCs w:val="0"/>
        </w:rPr>
        <w:t>systematic review methodology</w:t>
      </w:r>
      <w:r w:rsidRPr="004C481D">
        <w:t xml:space="preserve"> in accordance with the </w:t>
      </w:r>
      <w:r w:rsidRPr="004C481D">
        <w:rPr>
          <w:rStyle w:val="Strong"/>
          <w:b w:val="0"/>
          <w:bCs w:val="0"/>
        </w:rPr>
        <w:t>PRISMA 2020</w:t>
      </w:r>
      <w:r w:rsidRPr="004C481D">
        <w:rPr>
          <w:rStyle w:val="Strong"/>
        </w:rPr>
        <w:t xml:space="preserve"> </w:t>
      </w:r>
      <w:r w:rsidRPr="004C481D">
        <w:rPr>
          <w:rStyle w:val="Strong"/>
          <w:b w:val="0"/>
          <w:bCs w:val="0"/>
        </w:rPr>
        <w:t>guidelines</w:t>
      </w:r>
      <w:r w:rsidRPr="004C481D">
        <w:t xml:space="preserve"> (Moher, Liberati, Tetzlaff, Altman, &amp; PRISMA Group, 2009). Systematic reviews provide a </w:t>
      </w:r>
      <w:r w:rsidRPr="004C481D">
        <w:rPr>
          <w:rStyle w:val="Strong"/>
          <w:b w:val="0"/>
          <w:bCs w:val="0"/>
        </w:rPr>
        <w:t>structured, transparent, and replicable approach</w:t>
      </w:r>
      <w:r w:rsidRPr="004C481D">
        <w:t xml:space="preserve"> to </w:t>
      </w:r>
      <w:r w:rsidR="00B114FD">
        <w:t>synthesizing</w:t>
      </w:r>
      <w:r w:rsidRPr="004C481D">
        <w:t xml:space="preserve"> existing evidence, </w:t>
      </w:r>
      <w:r w:rsidR="00B114FD">
        <w:t>minimizing</w:t>
      </w:r>
      <w:r w:rsidRPr="004C481D">
        <w:t xml:space="preserve"> bias and enhancing </w:t>
      </w:r>
      <w:r>
        <w:t xml:space="preserve">the </w:t>
      </w:r>
      <w:r w:rsidRPr="004C481D">
        <w:t xml:space="preserve">reliability of conclusions. Given the </w:t>
      </w:r>
      <w:r w:rsidRPr="004C481D">
        <w:rPr>
          <w:rStyle w:val="Strong"/>
          <w:b w:val="0"/>
          <w:bCs w:val="0"/>
        </w:rPr>
        <w:t>interdisciplinary nature of</w:t>
      </w:r>
      <w:r w:rsidRPr="004C481D">
        <w:rPr>
          <w:rStyle w:val="Strong"/>
        </w:rPr>
        <w:t xml:space="preserve"> </w:t>
      </w:r>
      <w:r w:rsidRPr="004C481D">
        <w:rPr>
          <w:rStyle w:val="Strong"/>
          <w:b w:val="0"/>
          <w:bCs w:val="0"/>
        </w:rPr>
        <w:t>mini-grid systems</w:t>
      </w:r>
      <w:r w:rsidRPr="004C481D">
        <w:t xml:space="preserve">—encompassing engineering, environmental science, social sciences, policy, and economic </w:t>
      </w:r>
      <w:r w:rsidR="004F1155" w:rsidRPr="004C481D">
        <w:t xml:space="preserve">dimensions, </w:t>
      </w:r>
      <w:r w:rsidRPr="004C481D">
        <w:t xml:space="preserve">this design enables a comprehensive assessment of both technical innovations and socio-institutional factors influencing climate-resilient energy transitions. The approach ensures that evidence is </w:t>
      </w:r>
      <w:r w:rsidRPr="004C481D">
        <w:rPr>
          <w:rStyle w:val="Strong"/>
          <w:b w:val="0"/>
          <w:bCs w:val="0"/>
        </w:rPr>
        <w:t>transparent, traceable, and reproducible</w:t>
      </w:r>
      <w:r w:rsidRPr="004C481D">
        <w:rPr>
          <w:b/>
          <w:bCs/>
        </w:rPr>
        <w:t>,</w:t>
      </w:r>
      <w:r w:rsidRPr="004C481D">
        <w:t xml:space="preserve"> allowing policymakers, practitioners, and researchers to confidently interpret findings.</w:t>
      </w:r>
    </w:p>
    <w:p w14:paraId="0D70770B" w14:textId="77777777" w:rsidR="001145C9" w:rsidRPr="00D434EE" w:rsidRDefault="0088195C" w:rsidP="005A1EB6">
      <w:pPr>
        <w:pStyle w:val="ListParagraph"/>
        <w:numPr>
          <w:ilvl w:val="1"/>
          <w:numId w:val="7"/>
        </w:numPr>
        <w:spacing w:before="100" w:beforeAutospacing="1" w:line="360" w:lineRule="auto"/>
        <w:ind w:left="567" w:hanging="567"/>
        <w:jc w:val="both"/>
        <w:outlineLvl w:val="1"/>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Search Strategy</w:t>
      </w:r>
    </w:p>
    <w:p w14:paraId="2B42FF6B" w14:textId="55753867" w:rsidR="004C481D" w:rsidRPr="003B761F" w:rsidRDefault="004C481D" w:rsidP="005B1FF3">
      <w:pPr>
        <w:pStyle w:val="NormalWeb"/>
        <w:spacing w:after="0" w:afterAutospacing="0" w:line="360" w:lineRule="auto"/>
        <w:ind w:firstLine="567"/>
        <w:jc w:val="both"/>
        <w:rPr>
          <w:lang w:val="en-GB" w:eastAsia="en-GB"/>
        </w:rPr>
      </w:pPr>
      <w:r w:rsidRPr="004C481D">
        <w:t xml:space="preserve">A comprehensive literature search was conducted to identify studies relevant to mini-grid design and climate-resilient energy transitions. The search spanned multiple electronic databases, including </w:t>
      </w:r>
      <w:r w:rsidRPr="0049331F">
        <w:rPr>
          <w:rStyle w:val="Strong"/>
          <w:b w:val="0"/>
          <w:bCs w:val="0"/>
        </w:rPr>
        <w:t>Scopus, Web of Science, IEEE Xplore, ScienceDirect, and Google Scholar</w:t>
      </w:r>
      <w:r w:rsidRPr="0049331F">
        <w:rPr>
          <w:b/>
          <w:bCs/>
        </w:rPr>
        <w:t xml:space="preserve">, </w:t>
      </w:r>
      <w:r w:rsidRPr="0049331F">
        <w:t>covering publications from</w:t>
      </w:r>
      <w:r w:rsidRPr="0049331F">
        <w:rPr>
          <w:b/>
          <w:bCs/>
        </w:rPr>
        <w:t xml:space="preserve"> </w:t>
      </w:r>
      <w:r w:rsidRPr="0049331F">
        <w:rPr>
          <w:rStyle w:val="Strong"/>
          <w:b w:val="0"/>
          <w:bCs w:val="0"/>
        </w:rPr>
        <w:t>10 March 2025 to 10 November 2025</w:t>
      </w:r>
      <w:r w:rsidRPr="0049331F">
        <w:rPr>
          <w:b/>
          <w:bCs/>
        </w:rPr>
        <w:t>.</w:t>
      </w:r>
      <w:r w:rsidRPr="004C481D">
        <w:t xml:space="preserve"> To capture all relevant literature, a combination of keywords and controlled vocabulary was employed, including terms such as </w:t>
      </w:r>
      <w:r w:rsidRPr="004C481D">
        <w:rPr>
          <w:rStyle w:val="Emphasis"/>
        </w:rPr>
        <w:t>“mini-grid”</w:t>
      </w:r>
      <w:r w:rsidRPr="004C481D">
        <w:t xml:space="preserve">, </w:t>
      </w:r>
      <w:r w:rsidRPr="004C481D">
        <w:rPr>
          <w:rStyle w:val="Emphasis"/>
        </w:rPr>
        <w:t>“micro grid”</w:t>
      </w:r>
      <w:r w:rsidRPr="004C481D">
        <w:t xml:space="preserve">, </w:t>
      </w:r>
      <w:r w:rsidRPr="004C481D">
        <w:rPr>
          <w:rStyle w:val="Emphasis"/>
        </w:rPr>
        <w:t>“</w:t>
      </w:r>
      <w:r w:rsidR="001D126B">
        <w:rPr>
          <w:rStyle w:val="Emphasis"/>
        </w:rPr>
        <w:t>decentralized</w:t>
      </w:r>
      <w:r w:rsidRPr="004C481D">
        <w:rPr>
          <w:rStyle w:val="Emphasis"/>
        </w:rPr>
        <w:t xml:space="preserve"> energy system”</w:t>
      </w:r>
      <w:r w:rsidRPr="004C481D">
        <w:t xml:space="preserve">, </w:t>
      </w:r>
      <w:r w:rsidRPr="004C481D">
        <w:rPr>
          <w:rStyle w:val="Emphasis"/>
        </w:rPr>
        <w:t>“climate resilience”</w:t>
      </w:r>
      <w:r w:rsidRPr="004C481D">
        <w:t xml:space="preserve">, </w:t>
      </w:r>
      <w:r w:rsidRPr="004C481D">
        <w:rPr>
          <w:rStyle w:val="Emphasis"/>
        </w:rPr>
        <w:t>“climate-proof”</w:t>
      </w:r>
      <w:r w:rsidRPr="004C481D">
        <w:t xml:space="preserve">, and </w:t>
      </w:r>
      <w:r w:rsidRPr="004C481D">
        <w:rPr>
          <w:rStyle w:val="Emphasis"/>
        </w:rPr>
        <w:t>“climate adaptation”</w:t>
      </w:r>
      <w:r w:rsidRPr="004C481D">
        <w:t xml:space="preserve">. Boolean operators, truncation, and phrase searching were applied to </w:t>
      </w:r>
      <w:r w:rsidR="0029639B">
        <w:lastRenderedPageBreak/>
        <w:t>optimize</w:t>
      </w:r>
      <w:r w:rsidRPr="004C481D">
        <w:t xml:space="preserve"> both the sensitivity and specificity of the search. </w:t>
      </w:r>
      <w:r w:rsidR="003B761F">
        <w:rPr>
          <w:lang w:val="en-GB" w:eastAsia="en-GB"/>
        </w:rPr>
        <w:t xml:space="preserve"> </w:t>
      </w:r>
      <w:r w:rsidRPr="004C481D">
        <w:t xml:space="preserve">To ensure inclusion of authoritative </w:t>
      </w:r>
      <w:r>
        <w:rPr>
          <w:rStyle w:val="Strong"/>
          <w:b w:val="0"/>
          <w:bCs w:val="0"/>
        </w:rPr>
        <w:t>grey</w:t>
      </w:r>
      <w:r w:rsidRPr="004C481D">
        <w:rPr>
          <w:rStyle w:val="Strong"/>
          <w:b w:val="0"/>
          <w:bCs w:val="0"/>
        </w:rPr>
        <w:t xml:space="preserve"> literature</w:t>
      </w:r>
      <w:r w:rsidRPr="004C481D">
        <w:t xml:space="preserve">, manual research was conducted on institutional websites, including the </w:t>
      </w:r>
      <w:r w:rsidRPr="004C481D">
        <w:rPr>
          <w:rStyle w:val="Strong"/>
          <w:b w:val="0"/>
          <w:bCs w:val="0"/>
        </w:rPr>
        <w:t>International Renewable Energy Agency (IRENA), International Energy Agency (IEA), World Bank, and Intergovernmental Panel on Climate Change (IPCC)</w:t>
      </w:r>
      <w:r w:rsidRPr="004C481D">
        <w:t>. This approach ensured that non-peer-reviewed but credible sources were captured.</w:t>
      </w:r>
    </w:p>
    <w:p w14:paraId="6A4688DC" w14:textId="085E87BC" w:rsidR="004C481D" w:rsidRPr="004C481D" w:rsidRDefault="004C481D" w:rsidP="005B1FF3">
      <w:pPr>
        <w:pStyle w:val="NormalWeb"/>
        <w:spacing w:before="0" w:beforeAutospacing="0" w:line="360" w:lineRule="auto"/>
        <w:ind w:firstLine="567"/>
        <w:jc w:val="both"/>
        <w:rPr>
          <w:b/>
          <w:bCs/>
        </w:rPr>
      </w:pPr>
      <w:r w:rsidRPr="004C481D">
        <w:t xml:space="preserve">To maintain relevance to current technological and policy contexts, the search was </w:t>
      </w:r>
      <w:r w:rsidRPr="004C481D">
        <w:rPr>
          <w:rStyle w:val="Strong"/>
          <w:b w:val="0"/>
          <w:bCs w:val="0"/>
        </w:rPr>
        <w:t>restricted to</w:t>
      </w:r>
      <w:r w:rsidRPr="004C481D">
        <w:rPr>
          <w:rStyle w:val="Strong"/>
        </w:rPr>
        <w:t xml:space="preserve"> </w:t>
      </w:r>
      <w:r w:rsidRPr="004C481D">
        <w:rPr>
          <w:rStyle w:val="Strong"/>
          <w:b w:val="0"/>
          <w:bCs w:val="0"/>
        </w:rPr>
        <w:t>studies published from 2010 onward</w:t>
      </w:r>
      <w:r w:rsidRPr="004C481D">
        <w:rPr>
          <w:b/>
          <w:bCs/>
        </w:rPr>
        <w:t>.</w:t>
      </w:r>
      <w:r w:rsidRPr="004C481D">
        <w:t xml:space="preserve"> Although no language restrictions were applied during the search, final inclusion was limited to </w:t>
      </w:r>
      <w:r w:rsidRPr="004C481D">
        <w:rPr>
          <w:rStyle w:val="Strong"/>
          <w:b w:val="0"/>
          <w:bCs w:val="0"/>
        </w:rPr>
        <w:t>English-language publications</w:t>
      </w:r>
      <w:r w:rsidRPr="004C481D">
        <w:t xml:space="preserve"> due to practical constraints for translation.</w:t>
      </w:r>
      <w:r w:rsidR="0049331F">
        <w:t xml:space="preserve"> </w:t>
      </w:r>
      <w:r w:rsidR="00286CF8">
        <w:t>Furthermore, t</w:t>
      </w:r>
      <w:r w:rsidRPr="004C481D">
        <w:t xml:space="preserve">o ensure </w:t>
      </w:r>
      <w:r w:rsidRPr="004C481D">
        <w:rPr>
          <w:rStyle w:val="Strong"/>
          <w:b w:val="0"/>
          <w:bCs w:val="0"/>
        </w:rPr>
        <w:t>transparency and reproducibilit</w:t>
      </w:r>
      <w:r w:rsidRPr="004C481D">
        <w:rPr>
          <w:rStyle w:val="Strong"/>
        </w:rPr>
        <w:t>y</w:t>
      </w:r>
      <w:r w:rsidRPr="004C481D">
        <w:t xml:space="preserve">, a full search log was maintained, detailing exact search strings, database sources, and search dates, which is provided in </w:t>
      </w:r>
      <w:r w:rsidRPr="004C481D">
        <w:rPr>
          <w:rStyle w:val="Strong"/>
          <w:b w:val="0"/>
          <w:bCs w:val="0"/>
        </w:rPr>
        <w:t>Appendix A</w:t>
      </w:r>
      <w:r w:rsidRPr="004C481D">
        <w:rPr>
          <w:b/>
          <w:bCs/>
        </w:rPr>
        <w:t>.</w:t>
      </w:r>
    </w:p>
    <w:p w14:paraId="6D43C82E"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1"/>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Eligibility Criteria</w:t>
      </w:r>
    </w:p>
    <w:p w14:paraId="56B2D132" w14:textId="77777777" w:rsidR="004C481D" w:rsidRPr="00752DF5" w:rsidRDefault="004C481D" w:rsidP="00752DF5">
      <w:pPr>
        <w:pStyle w:val="NormalWeb"/>
        <w:spacing w:line="360" w:lineRule="auto"/>
        <w:ind w:firstLine="567"/>
        <w:jc w:val="both"/>
      </w:pPr>
      <w:r w:rsidRPr="00752DF5">
        <w:t xml:space="preserve">Studies were considered eligible for inclusion if they explicitly addressed </w:t>
      </w:r>
      <w:r w:rsidRPr="00752DF5">
        <w:rPr>
          <w:rStyle w:val="Strong"/>
          <w:b w:val="0"/>
          <w:bCs w:val="0"/>
        </w:rPr>
        <w:t>mini-grid or micro-grid systems</w:t>
      </w:r>
      <w:r w:rsidRPr="00752DF5">
        <w:t xml:space="preserve"> with a primary focus on </w:t>
      </w:r>
      <w:r w:rsidRPr="00752DF5">
        <w:rPr>
          <w:rStyle w:val="Strong"/>
          <w:b w:val="0"/>
          <w:bCs w:val="0"/>
        </w:rPr>
        <w:t>climate resilience, climate adaptation, or climate</w:t>
      </w:r>
      <w:r w:rsidRPr="00752DF5">
        <w:rPr>
          <w:rStyle w:val="Strong"/>
        </w:rPr>
        <w:t>-</w:t>
      </w:r>
      <w:r w:rsidRPr="00752DF5">
        <w:rPr>
          <w:rStyle w:val="Strong"/>
          <w:b w:val="0"/>
          <w:bCs w:val="0"/>
        </w:rPr>
        <w:t>proofing measures</w:t>
      </w:r>
      <w:r w:rsidRPr="00752DF5">
        <w:rPr>
          <w:b/>
          <w:bCs/>
        </w:rPr>
        <w:t>.</w:t>
      </w:r>
      <w:r w:rsidRPr="00752DF5">
        <w:t xml:space="preserve"> Eligible studies were required to report </w:t>
      </w:r>
      <w:r w:rsidRPr="00752DF5">
        <w:rPr>
          <w:rStyle w:val="Strong"/>
          <w:b w:val="0"/>
          <w:bCs w:val="0"/>
        </w:rPr>
        <w:t>empirical data or comprehensive case studies</w:t>
      </w:r>
      <w:r w:rsidRPr="00752DF5">
        <w:t xml:space="preserve"> that provided insights into the technical, social, institutional, or economic dimensions of resilience. Only </w:t>
      </w:r>
      <w:r w:rsidRPr="00752DF5">
        <w:rPr>
          <w:rStyle w:val="Strong"/>
          <w:b w:val="0"/>
          <w:bCs w:val="0"/>
        </w:rPr>
        <w:t>peer-reviewed journal articles, conference proceedings, and authoritative institutional reports</w:t>
      </w:r>
      <w:r w:rsidRPr="00752DF5">
        <w:rPr>
          <w:b/>
          <w:bCs/>
        </w:rPr>
        <w:t xml:space="preserve"> </w:t>
      </w:r>
      <w:r w:rsidRPr="00752DF5">
        <w:t xml:space="preserve">were included to ensure reliability and credibility of the evidence base. Additionally, to reflect contemporary technological developments and policy frameworks, only studies published from </w:t>
      </w:r>
      <w:r w:rsidRPr="00752DF5">
        <w:rPr>
          <w:rStyle w:val="Strong"/>
          <w:b w:val="0"/>
          <w:bCs w:val="0"/>
        </w:rPr>
        <w:t>2010 onward</w:t>
      </w:r>
      <w:r w:rsidRPr="00752DF5">
        <w:t xml:space="preserve"> were considered.</w:t>
      </w:r>
    </w:p>
    <w:p w14:paraId="7FDE8EC5" w14:textId="77777777" w:rsidR="004C481D" w:rsidRPr="00752DF5" w:rsidRDefault="004C481D" w:rsidP="004C481D">
      <w:pPr>
        <w:pStyle w:val="Heading3"/>
        <w:spacing w:line="360" w:lineRule="auto"/>
        <w:jc w:val="both"/>
        <w:rPr>
          <w:rFonts w:ascii="Times New Roman" w:hAnsi="Times New Roman"/>
          <w:b/>
          <w:bCs/>
          <w:color w:val="auto"/>
          <w:sz w:val="24"/>
          <w:szCs w:val="24"/>
        </w:rPr>
      </w:pPr>
      <w:r w:rsidRPr="00752DF5">
        <w:rPr>
          <w:rFonts w:ascii="Times New Roman" w:hAnsi="Times New Roman"/>
          <w:b/>
          <w:bCs/>
          <w:color w:val="auto"/>
          <w:sz w:val="24"/>
          <w:szCs w:val="24"/>
        </w:rPr>
        <w:t>2.4 Exclusion Criteria</w:t>
      </w:r>
    </w:p>
    <w:p w14:paraId="18181507" w14:textId="2C4383BA" w:rsidR="004C481D" w:rsidRPr="00752DF5" w:rsidRDefault="004C481D" w:rsidP="005B1FF3">
      <w:pPr>
        <w:pStyle w:val="NormalWeb"/>
        <w:spacing w:line="360" w:lineRule="auto"/>
        <w:ind w:firstLine="567"/>
        <w:jc w:val="both"/>
      </w:pPr>
      <w:r w:rsidRPr="00752DF5">
        <w:t xml:space="preserve">Studies were excluded from the review if they focused exclusively on </w:t>
      </w:r>
      <w:r w:rsidR="00D14757" w:rsidRPr="00752DF5">
        <w:rPr>
          <w:rStyle w:val="Strong"/>
          <w:b w:val="0"/>
          <w:bCs w:val="0"/>
        </w:rPr>
        <w:t>centralized</w:t>
      </w:r>
      <w:r w:rsidRPr="00752DF5">
        <w:rPr>
          <w:rStyle w:val="Strong"/>
          <w:b w:val="0"/>
          <w:bCs w:val="0"/>
        </w:rPr>
        <w:t xml:space="preserve"> electricity grids</w:t>
      </w:r>
      <w:r w:rsidRPr="00752DF5">
        <w:t xml:space="preserve"> without any </w:t>
      </w:r>
      <w:r w:rsidR="00D14757">
        <w:t>decentralized</w:t>
      </w:r>
      <w:r w:rsidRPr="00752DF5">
        <w:t xml:space="preserve"> or mini-grid components, or if they lacked substantive discussion of </w:t>
      </w:r>
      <w:r w:rsidRPr="00752DF5">
        <w:rPr>
          <w:rStyle w:val="Strong"/>
          <w:b w:val="0"/>
          <w:bCs w:val="0"/>
        </w:rPr>
        <w:t>climate resilience or adaptation measures</w:t>
      </w:r>
      <w:r w:rsidRPr="00752DF5">
        <w:t xml:space="preserve">. Publications such as </w:t>
      </w:r>
      <w:r w:rsidRPr="00752DF5">
        <w:rPr>
          <w:rStyle w:val="Strong"/>
          <w:b w:val="0"/>
          <w:bCs w:val="0"/>
        </w:rPr>
        <w:t>editorials, commentaries, opinion pieces, or full texts that were inaccessible</w:t>
      </w:r>
      <w:r w:rsidRPr="00752DF5">
        <w:rPr>
          <w:b/>
          <w:bCs/>
        </w:rPr>
        <w:t xml:space="preserve"> </w:t>
      </w:r>
      <w:r w:rsidRPr="00752DF5">
        <w:t>were also excluded to maintain the integrity and reproducibility of the review.</w:t>
      </w:r>
    </w:p>
    <w:p w14:paraId="597F7142" w14:textId="5BC2581F" w:rsidR="004C481D" w:rsidRPr="004C481D" w:rsidRDefault="004C481D" w:rsidP="004C481D">
      <w:pPr>
        <w:pStyle w:val="Heading3"/>
        <w:spacing w:line="360" w:lineRule="auto"/>
        <w:jc w:val="both"/>
        <w:rPr>
          <w:rFonts w:ascii="Times New Roman" w:hAnsi="Times New Roman"/>
          <w:b/>
          <w:bCs/>
          <w:color w:val="auto"/>
          <w:sz w:val="24"/>
          <w:szCs w:val="24"/>
        </w:rPr>
      </w:pPr>
      <w:r w:rsidRPr="004C481D">
        <w:rPr>
          <w:rFonts w:ascii="Times New Roman" w:hAnsi="Times New Roman"/>
          <w:b/>
          <w:bCs/>
          <w:color w:val="auto"/>
          <w:sz w:val="24"/>
          <w:szCs w:val="24"/>
        </w:rPr>
        <w:lastRenderedPageBreak/>
        <w:t>2.5 Screening and Selection Process</w:t>
      </w:r>
    </w:p>
    <w:p w14:paraId="0928E618" w14:textId="6F9F8FF2" w:rsidR="004C481D" w:rsidRPr="004C481D" w:rsidRDefault="004C481D" w:rsidP="00752DF5">
      <w:pPr>
        <w:pStyle w:val="NormalWeb"/>
        <w:spacing w:line="360" w:lineRule="auto"/>
        <w:ind w:firstLine="720"/>
        <w:jc w:val="both"/>
      </w:pPr>
      <w:r w:rsidRPr="004C481D">
        <w:t xml:space="preserve">The screening and selection process followed a </w:t>
      </w:r>
      <w:r w:rsidRPr="004C481D">
        <w:rPr>
          <w:rStyle w:val="Strong"/>
          <w:b w:val="0"/>
          <w:bCs w:val="0"/>
        </w:rPr>
        <w:t>three-stage protocol</w:t>
      </w:r>
      <w:r w:rsidRPr="004C481D">
        <w:rPr>
          <w:b/>
          <w:bCs/>
        </w:rPr>
        <w:t xml:space="preserve">, </w:t>
      </w:r>
      <w:r w:rsidRPr="004C481D">
        <w:t>comprising</w:t>
      </w:r>
      <w:r w:rsidRPr="004C481D">
        <w:rPr>
          <w:b/>
          <w:bCs/>
        </w:rPr>
        <w:t xml:space="preserve"> </w:t>
      </w:r>
      <w:r w:rsidRPr="004C481D">
        <w:rPr>
          <w:rStyle w:val="Strong"/>
          <w:b w:val="0"/>
          <w:bCs w:val="0"/>
        </w:rPr>
        <w:t>title screening, abstract screening, and full-text review</w:t>
      </w:r>
      <w:r w:rsidRPr="004C481D">
        <w:t xml:space="preserve">, in line with PRISMA 2020 guidelines. At each stage, </w:t>
      </w:r>
      <w:r w:rsidRPr="004C481D">
        <w:rPr>
          <w:rStyle w:val="Strong"/>
          <w:b w:val="0"/>
          <w:bCs w:val="0"/>
        </w:rPr>
        <w:t>two independent reviewers</w:t>
      </w:r>
      <w:r w:rsidRPr="004C481D">
        <w:t xml:space="preserve"> conducted the screening to </w:t>
      </w:r>
      <w:r w:rsidR="001D126B">
        <w:t>minimize</w:t>
      </w:r>
      <w:r w:rsidRPr="004C481D">
        <w:t xml:space="preserve"> bias, with any discrepancies resolved through </w:t>
      </w:r>
      <w:r w:rsidRPr="004C481D">
        <w:rPr>
          <w:rStyle w:val="Strong"/>
          <w:b w:val="0"/>
          <w:bCs w:val="0"/>
        </w:rPr>
        <w:t>consensus discussion or adjudication</w:t>
      </w:r>
      <w:r w:rsidRPr="004C481D">
        <w:rPr>
          <w:rStyle w:val="Strong"/>
        </w:rPr>
        <w:t xml:space="preserve"> </w:t>
      </w:r>
      <w:r w:rsidRPr="004C481D">
        <w:rPr>
          <w:rStyle w:val="Strong"/>
          <w:b w:val="0"/>
          <w:bCs w:val="0"/>
        </w:rPr>
        <w:t>by a third reviewer</w:t>
      </w:r>
      <w:r w:rsidRPr="004C481D">
        <w:t xml:space="preserve">. The initial database and </w:t>
      </w:r>
      <w:r>
        <w:t>grey</w:t>
      </w:r>
      <w:r w:rsidRPr="004C481D">
        <w:t xml:space="preserve"> literature search yielded </w:t>
      </w:r>
      <w:r w:rsidRPr="004C481D">
        <w:rPr>
          <w:rStyle w:val="Strong"/>
          <w:b w:val="0"/>
          <w:bCs w:val="0"/>
        </w:rPr>
        <w:t>1,290 records</w:t>
      </w:r>
      <w:r w:rsidRPr="004C481D">
        <w:rPr>
          <w:b/>
          <w:bCs/>
        </w:rPr>
        <w:t xml:space="preserve">, </w:t>
      </w:r>
      <w:r w:rsidRPr="004C481D">
        <w:t>of which</w:t>
      </w:r>
      <w:r w:rsidRPr="004C481D">
        <w:rPr>
          <w:b/>
          <w:bCs/>
        </w:rPr>
        <w:t xml:space="preserve"> </w:t>
      </w:r>
      <w:r w:rsidRPr="004C481D">
        <w:rPr>
          <w:rStyle w:val="Strong"/>
          <w:b w:val="0"/>
          <w:bCs w:val="0"/>
        </w:rPr>
        <w:t>190 duplicates were removed</w:t>
      </w:r>
      <w:r w:rsidRPr="004C481D">
        <w:rPr>
          <w:b/>
          <w:bCs/>
        </w:rPr>
        <w:t xml:space="preserve">. </w:t>
      </w:r>
      <w:r w:rsidRPr="004C481D">
        <w:t>Following title and abstract screening</w:t>
      </w:r>
      <w:r w:rsidRPr="004C481D">
        <w:rPr>
          <w:b/>
          <w:bCs/>
        </w:rPr>
        <w:t xml:space="preserve">, </w:t>
      </w:r>
      <w:r w:rsidRPr="004C481D">
        <w:rPr>
          <w:rStyle w:val="Strong"/>
          <w:b w:val="0"/>
          <w:bCs w:val="0"/>
        </w:rPr>
        <w:t>950 records were excluded</w:t>
      </w:r>
      <w:r w:rsidRPr="004C481D">
        <w:rPr>
          <w:b/>
          <w:bCs/>
        </w:rPr>
        <w:t xml:space="preserve">, </w:t>
      </w:r>
      <w:r w:rsidRPr="004C481D">
        <w:t>and</w:t>
      </w:r>
      <w:r w:rsidRPr="004C481D">
        <w:rPr>
          <w:b/>
          <w:bCs/>
        </w:rPr>
        <w:t xml:space="preserve"> </w:t>
      </w:r>
      <w:r w:rsidRPr="004C481D">
        <w:rPr>
          <w:rStyle w:val="Strong"/>
          <w:b w:val="0"/>
          <w:bCs w:val="0"/>
        </w:rPr>
        <w:t>150 full-text articles</w:t>
      </w:r>
      <w:r w:rsidRPr="004C481D">
        <w:t xml:space="preserve"> were retrieved for detailed assessment against the eligibility criteria. Ultimately, </w:t>
      </w:r>
      <w:r w:rsidRPr="004C481D">
        <w:rPr>
          <w:rStyle w:val="Strong"/>
          <w:b w:val="0"/>
          <w:bCs w:val="0"/>
        </w:rPr>
        <w:t>40 studies</w:t>
      </w:r>
      <w:r w:rsidRPr="004C481D">
        <w:t xml:space="preserve"> met all inclusion criteria and were incorporated into the final synthesis. </w:t>
      </w:r>
      <w:r w:rsidRPr="004C481D">
        <w:rPr>
          <w:b/>
          <w:bCs/>
        </w:rPr>
        <w:t xml:space="preserve">A </w:t>
      </w:r>
      <w:r w:rsidRPr="004C481D">
        <w:rPr>
          <w:rStyle w:val="Strong"/>
          <w:b w:val="0"/>
          <w:bCs w:val="0"/>
        </w:rPr>
        <w:t>PRISMA flow diagram</w:t>
      </w:r>
      <w:r w:rsidRPr="004C481D">
        <w:rPr>
          <w:rStyle w:val="Strong"/>
        </w:rPr>
        <w:t xml:space="preserve"> (</w:t>
      </w:r>
      <w:r w:rsidRPr="004C481D">
        <w:rPr>
          <w:rStyle w:val="Strong"/>
          <w:b w:val="0"/>
          <w:bCs w:val="0"/>
        </w:rPr>
        <w:t>Figure 1</w:t>
      </w:r>
      <w:r w:rsidRPr="004C481D">
        <w:rPr>
          <w:rStyle w:val="Strong"/>
        </w:rPr>
        <w:t>)</w:t>
      </w:r>
      <w:r w:rsidRPr="004C481D">
        <w:t xml:space="preserve"> provides a detailed visual summary of the screening process, including reasons for exclusion at each stage.</w:t>
      </w:r>
    </w:p>
    <w:p w14:paraId="5259C462" w14:textId="6FB6986B" w:rsidR="001145C9" w:rsidRPr="00D434EE" w:rsidRDefault="009320BC" w:rsidP="00F86400">
      <w:pPr>
        <w:spacing w:after="0" w:line="360" w:lineRule="auto"/>
        <w:jc w:val="center"/>
        <w:rPr>
          <w:rFonts w:ascii="Times New Roman" w:eastAsia="Times New Roman" w:hAnsi="Times New Roman"/>
          <w:kern w:val="0"/>
          <w:sz w:val="24"/>
          <w:szCs w:val="24"/>
        </w:rPr>
      </w:pPr>
      <w:r w:rsidRPr="004C481D">
        <w:rPr>
          <w:rFonts w:ascii="Times New Roman" w:hAnsi="Times New Roman"/>
          <w:noProof/>
          <w:sz w:val="24"/>
          <w:szCs w:val="24"/>
          <w:lang w:val="en-GB" w:eastAsia="en-GB"/>
        </w:rPr>
        <w:drawing>
          <wp:inline distT="0" distB="0" distL="0" distR="0" wp14:anchorId="6EC097C8" wp14:editId="69E0CA1D">
            <wp:extent cx="4489450" cy="374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9450" cy="3746500"/>
                    </a:xfrm>
                    <a:prstGeom prst="rect">
                      <a:avLst/>
                    </a:prstGeom>
                    <a:noFill/>
                    <a:ln>
                      <a:noFill/>
                    </a:ln>
                  </pic:spPr>
                </pic:pic>
              </a:graphicData>
            </a:graphic>
          </wp:inline>
        </w:drawing>
      </w:r>
    </w:p>
    <w:p w14:paraId="58CFD2CB" w14:textId="77777777" w:rsidR="00FD453B" w:rsidRPr="00D434EE" w:rsidRDefault="0088195C" w:rsidP="00B21BD8">
      <w:pPr>
        <w:spacing w:after="100" w:afterAutospacing="1" w:line="240" w:lineRule="auto"/>
        <w:ind w:left="1418"/>
        <w:jc w:val="both"/>
        <w:rPr>
          <w:rFonts w:ascii="Times New Roman" w:eastAsia="Times New Roman" w:hAnsi="Times New Roman"/>
          <w:iCs/>
          <w:kern w:val="0"/>
          <w:sz w:val="24"/>
          <w:szCs w:val="24"/>
        </w:rPr>
      </w:pPr>
      <w:r w:rsidRPr="00D434EE">
        <w:rPr>
          <w:rFonts w:ascii="Times New Roman" w:eastAsia="Times New Roman" w:hAnsi="Times New Roman"/>
          <w:iCs/>
          <w:kern w:val="0"/>
          <w:sz w:val="24"/>
          <w:szCs w:val="24"/>
        </w:rPr>
        <w:t>Figure 1: Summary of</w:t>
      </w:r>
      <w:r w:rsidR="00A21ED6" w:rsidRPr="00D434EE">
        <w:rPr>
          <w:rFonts w:ascii="Times New Roman" w:eastAsia="Times New Roman" w:hAnsi="Times New Roman"/>
          <w:iCs/>
          <w:kern w:val="0"/>
          <w:sz w:val="24"/>
          <w:szCs w:val="24"/>
        </w:rPr>
        <w:t xml:space="preserve"> the Sources Screening P</w:t>
      </w:r>
      <w:r w:rsidR="006C04EB" w:rsidRPr="00D434EE">
        <w:rPr>
          <w:rFonts w:ascii="Times New Roman" w:eastAsia="Times New Roman" w:hAnsi="Times New Roman"/>
          <w:iCs/>
          <w:kern w:val="0"/>
          <w:sz w:val="24"/>
          <w:szCs w:val="24"/>
        </w:rPr>
        <w:t>rocess</w:t>
      </w:r>
    </w:p>
    <w:p w14:paraId="11ED8075" w14:textId="77777777" w:rsidR="00B256EB" w:rsidRPr="00B256EB" w:rsidRDefault="00B256EB" w:rsidP="00B256EB">
      <w:pPr>
        <w:spacing w:before="100" w:beforeAutospacing="1" w:after="100" w:afterAutospacing="1" w:line="240" w:lineRule="auto"/>
        <w:outlineLvl w:val="2"/>
        <w:rPr>
          <w:rFonts w:ascii="Times New Roman" w:eastAsia="Times New Roman" w:hAnsi="Times New Roman"/>
          <w:b/>
          <w:bCs/>
          <w:kern w:val="0"/>
          <w:sz w:val="24"/>
          <w:szCs w:val="24"/>
          <w:lang w:val="en-GB" w:eastAsia="en-GB"/>
        </w:rPr>
      </w:pPr>
      <w:r w:rsidRPr="00B256EB">
        <w:rPr>
          <w:rFonts w:ascii="Times New Roman" w:eastAsia="Times New Roman" w:hAnsi="Times New Roman"/>
          <w:b/>
          <w:bCs/>
          <w:kern w:val="0"/>
          <w:sz w:val="24"/>
          <w:szCs w:val="24"/>
          <w:lang w:val="en-GB" w:eastAsia="en-GB"/>
        </w:rPr>
        <w:t>2.6 Data Extraction</w:t>
      </w:r>
    </w:p>
    <w:p w14:paraId="420650FF" w14:textId="77777777" w:rsidR="00C66E93" w:rsidRDefault="00B256EB" w:rsidP="00C66E93">
      <w:pPr>
        <w:spacing w:before="100" w:beforeAutospacing="1" w:after="0" w:line="360" w:lineRule="auto"/>
        <w:ind w:firstLine="720"/>
        <w:jc w:val="both"/>
        <w:rPr>
          <w:rFonts w:ascii="Times New Roman" w:eastAsia="Times New Roman" w:hAnsi="Times New Roman"/>
          <w:kern w:val="0"/>
          <w:sz w:val="24"/>
          <w:szCs w:val="24"/>
          <w:lang w:val="en-GB" w:eastAsia="en-GB"/>
        </w:rPr>
      </w:pPr>
      <w:r w:rsidRPr="00B256EB">
        <w:rPr>
          <w:rFonts w:ascii="Times New Roman" w:eastAsia="Times New Roman" w:hAnsi="Times New Roman"/>
          <w:kern w:val="0"/>
          <w:sz w:val="24"/>
          <w:szCs w:val="24"/>
          <w:lang w:val="en-GB" w:eastAsia="en-GB"/>
        </w:rPr>
        <w:t xml:space="preserve">Data extraction was conducted using a standardised extraction form designed to systematically capture key information from each study. The extracted data included bibliographic </w:t>
      </w:r>
      <w:r w:rsidRPr="00B256EB">
        <w:rPr>
          <w:rFonts w:ascii="Times New Roman" w:eastAsia="Times New Roman" w:hAnsi="Times New Roman"/>
          <w:kern w:val="0"/>
          <w:sz w:val="24"/>
          <w:szCs w:val="24"/>
          <w:lang w:val="en-GB" w:eastAsia="en-GB"/>
        </w:rPr>
        <w:lastRenderedPageBreak/>
        <w:t xml:space="preserve">details, such as the author(s), year of publication, and study location, as well as technical features of mini-grid systems, including generation sources, storage capacity, and control and monitoring mechanisms. In addition, the form captured resilience measures, documenting the climate risks addressed, adaptation strategies implemented, and any technical or institutional safeguards described. </w:t>
      </w:r>
    </w:p>
    <w:p w14:paraId="5B4B707A" w14:textId="4C9317D6" w:rsidR="00B256EB" w:rsidRPr="00B256EB" w:rsidRDefault="00B256EB" w:rsidP="00C66E93">
      <w:pPr>
        <w:spacing w:after="0" w:line="360" w:lineRule="auto"/>
        <w:ind w:firstLine="720"/>
        <w:jc w:val="both"/>
        <w:rPr>
          <w:rFonts w:ascii="Times New Roman" w:eastAsia="Times New Roman" w:hAnsi="Times New Roman"/>
          <w:kern w:val="0"/>
          <w:sz w:val="24"/>
          <w:szCs w:val="24"/>
          <w:lang w:val="en-GB" w:eastAsia="en-GB"/>
        </w:rPr>
      </w:pPr>
      <w:r w:rsidRPr="00B256EB">
        <w:rPr>
          <w:rFonts w:ascii="Times New Roman" w:eastAsia="Times New Roman" w:hAnsi="Times New Roman"/>
          <w:kern w:val="0"/>
          <w:sz w:val="24"/>
          <w:szCs w:val="24"/>
          <w:lang w:val="en-GB" w:eastAsia="en-GB"/>
        </w:rPr>
        <w:t>The methodology of each study, including study design, sample characteristics, and data collection approaches, was also recorded, alongside outcomes such as energy performance indicators, socio-economic impacts, and policy implications.</w:t>
      </w:r>
      <w:r w:rsidR="00C66E93">
        <w:rPr>
          <w:rFonts w:ascii="Times New Roman" w:eastAsia="Times New Roman" w:hAnsi="Times New Roman"/>
          <w:kern w:val="0"/>
          <w:sz w:val="24"/>
          <w:szCs w:val="24"/>
          <w:lang w:val="en-GB" w:eastAsia="en-GB"/>
        </w:rPr>
        <w:t xml:space="preserve"> </w:t>
      </w:r>
      <w:r w:rsidRPr="00B256EB">
        <w:rPr>
          <w:rFonts w:ascii="Times New Roman" w:eastAsia="Times New Roman" w:hAnsi="Times New Roman"/>
          <w:kern w:val="0"/>
          <w:sz w:val="24"/>
          <w:szCs w:val="24"/>
          <w:lang w:val="en-GB" w:eastAsia="en-GB"/>
        </w:rPr>
        <w:t>Extraction was performed independently by two reviewers to reduce bias, with regular calibration meetings conducted to ensure consistency and alignment in the approach. Any discrepancies were carefully documented and resolved through discussion or adjudication by a third reviewer, thereby ensuring the reliability, transparency, and reproducibility of the extracted data.</w:t>
      </w:r>
    </w:p>
    <w:p w14:paraId="06F9E24F" w14:textId="77777777" w:rsidR="00B256EB" w:rsidRPr="00B256EB" w:rsidRDefault="00B256EB" w:rsidP="00B256EB">
      <w:pPr>
        <w:spacing w:before="100" w:beforeAutospacing="1" w:after="100" w:afterAutospacing="1" w:line="360" w:lineRule="auto"/>
        <w:jc w:val="both"/>
        <w:outlineLvl w:val="2"/>
        <w:rPr>
          <w:rFonts w:ascii="Times New Roman" w:eastAsia="Times New Roman" w:hAnsi="Times New Roman"/>
          <w:b/>
          <w:bCs/>
          <w:kern w:val="0"/>
          <w:sz w:val="24"/>
          <w:szCs w:val="24"/>
          <w:lang w:val="en-GB" w:eastAsia="en-GB"/>
        </w:rPr>
      </w:pPr>
      <w:r w:rsidRPr="00B256EB">
        <w:rPr>
          <w:rFonts w:ascii="Times New Roman" w:eastAsia="Times New Roman" w:hAnsi="Times New Roman"/>
          <w:b/>
          <w:bCs/>
          <w:kern w:val="0"/>
          <w:sz w:val="24"/>
          <w:szCs w:val="24"/>
          <w:lang w:val="en-GB" w:eastAsia="en-GB"/>
        </w:rPr>
        <w:t>2.7 Quality Assessment</w:t>
      </w:r>
    </w:p>
    <w:p w14:paraId="3B6B9E7B" w14:textId="4A9A8C10" w:rsidR="00B256EB" w:rsidRPr="00B256EB" w:rsidRDefault="00B256EB" w:rsidP="00752DF5">
      <w:pPr>
        <w:spacing w:before="100" w:beforeAutospacing="1" w:after="100" w:afterAutospacing="1" w:line="360" w:lineRule="auto"/>
        <w:ind w:firstLine="720"/>
        <w:jc w:val="both"/>
        <w:rPr>
          <w:rFonts w:ascii="Times New Roman" w:eastAsia="Times New Roman" w:hAnsi="Times New Roman"/>
          <w:kern w:val="0"/>
          <w:sz w:val="24"/>
          <w:szCs w:val="24"/>
          <w:lang w:val="en-GB" w:eastAsia="en-GB"/>
        </w:rPr>
      </w:pPr>
      <w:r w:rsidRPr="00B256EB">
        <w:rPr>
          <w:rFonts w:ascii="Times New Roman" w:eastAsia="Times New Roman" w:hAnsi="Times New Roman"/>
          <w:kern w:val="0"/>
          <w:sz w:val="24"/>
          <w:szCs w:val="24"/>
          <w:lang w:val="en-GB" w:eastAsia="en-GB"/>
        </w:rPr>
        <w:t>The methodological quality and risk of bias of all included studies were evaluated using validated appraisal tools appropriate to each study design. For quantitative studies, the Joanna Briggs Institute (JBI) checklists were applied, while qualitative studies were assessed using the Critical Appraisal Skills Programme (CASP) tool. Mixed-methods studies were evaluated using the Mixed Methods Appraisal Tool (MMAT). Quality scores were recorded to provide context for interpreting findings; however, no study was excluded solely based on quality, ensuring a comprehensive synthesis. All quality assessments were performed independently by two reviewers to enhance objectivity and reproducibility.</w:t>
      </w:r>
    </w:p>
    <w:p w14:paraId="17393D85" w14:textId="77777777" w:rsidR="00B256EB" w:rsidRPr="00B256EB" w:rsidRDefault="00B256EB" w:rsidP="00B256EB">
      <w:pPr>
        <w:spacing w:before="100" w:beforeAutospacing="1" w:after="100" w:afterAutospacing="1" w:line="240" w:lineRule="auto"/>
        <w:outlineLvl w:val="2"/>
        <w:rPr>
          <w:rFonts w:ascii="Times New Roman" w:eastAsia="Times New Roman" w:hAnsi="Times New Roman"/>
          <w:b/>
          <w:bCs/>
          <w:kern w:val="0"/>
          <w:sz w:val="24"/>
          <w:szCs w:val="24"/>
          <w:lang w:val="en-GB" w:eastAsia="en-GB"/>
        </w:rPr>
      </w:pPr>
      <w:r w:rsidRPr="00B256EB">
        <w:rPr>
          <w:rFonts w:ascii="Times New Roman" w:eastAsia="Times New Roman" w:hAnsi="Times New Roman"/>
          <w:b/>
          <w:bCs/>
          <w:kern w:val="0"/>
          <w:sz w:val="24"/>
          <w:szCs w:val="24"/>
          <w:lang w:val="en-GB" w:eastAsia="en-GB"/>
        </w:rPr>
        <w:t>2.8 Data Synthesis</w:t>
      </w:r>
    </w:p>
    <w:p w14:paraId="4EA38264" w14:textId="390F9BB9" w:rsidR="00B256EB" w:rsidRPr="00B256EB" w:rsidRDefault="00B256EB" w:rsidP="00752DF5">
      <w:pPr>
        <w:spacing w:before="100" w:beforeAutospacing="1" w:after="100" w:afterAutospacing="1" w:line="360" w:lineRule="auto"/>
        <w:ind w:firstLine="567"/>
        <w:jc w:val="both"/>
        <w:rPr>
          <w:rFonts w:ascii="Times New Roman" w:eastAsia="Times New Roman" w:hAnsi="Times New Roman"/>
          <w:kern w:val="0"/>
          <w:sz w:val="24"/>
          <w:szCs w:val="24"/>
          <w:lang w:val="en-GB" w:eastAsia="en-GB"/>
        </w:rPr>
      </w:pPr>
      <w:r w:rsidRPr="00B256EB">
        <w:rPr>
          <w:rFonts w:ascii="Times New Roman" w:eastAsia="Times New Roman" w:hAnsi="Times New Roman"/>
          <w:kern w:val="0"/>
          <w:sz w:val="24"/>
          <w:szCs w:val="24"/>
          <w:lang w:val="en-GB" w:eastAsia="en-GB"/>
        </w:rPr>
        <w:t xml:space="preserve">Given the heterogeneity of study designs, outcomes, and contextual settings, the findings were </w:t>
      </w:r>
      <w:r>
        <w:rPr>
          <w:rFonts w:ascii="Times New Roman" w:eastAsia="Times New Roman" w:hAnsi="Times New Roman"/>
          <w:kern w:val="0"/>
          <w:sz w:val="24"/>
          <w:szCs w:val="24"/>
          <w:lang w:val="en-GB" w:eastAsia="en-GB"/>
        </w:rPr>
        <w:t>synthesised</w:t>
      </w:r>
      <w:r w:rsidRPr="00B256EB">
        <w:rPr>
          <w:rFonts w:ascii="Times New Roman" w:eastAsia="Times New Roman" w:hAnsi="Times New Roman"/>
          <w:kern w:val="0"/>
          <w:sz w:val="24"/>
          <w:szCs w:val="24"/>
          <w:lang w:val="en-GB" w:eastAsia="en-GB"/>
        </w:rPr>
        <w:t xml:space="preserve"> using a narrative approach, in accordance with Popay et al.’s (2006) guidance for narrative synthesis. Thematic analysis was employed to identify both recurring and contrasting patterns across studies, focusing on four main dimensions: technical mini-grid designs and innovations, social and institutional resilience measures, barriers and enablers for climate-proofing, and policy and practical implications for climate-resilient energy transitions.</w:t>
      </w:r>
      <w:r>
        <w:rPr>
          <w:rFonts w:ascii="Times New Roman" w:eastAsia="Times New Roman" w:hAnsi="Times New Roman"/>
          <w:kern w:val="0"/>
          <w:sz w:val="24"/>
          <w:szCs w:val="24"/>
          <w:lang w:val="en-GB" w:eastAsia="en-GB"/>
        </w:rPr>
        <w:t xml:space="preserve"> </w:t>
      </w:r>
      <w:r w:rsidRPr="00B256EB">
        <w:rPr>
          <w:rFonts w:ascii="Times New Roman" w:eastAsia="Times New Roman" w:hAnsi="Times New Roman"/>
          <w:kern w:val="0"/>
          <w:sz w:val="24"/>
          <w:szCs w:val="24"/>
          <w:lang w:val="en-GB" w:eastAsia="en-GB"/>
        </w:rPr>
        <w:t xml:space="preserve">Where feasible, quantitative data such as mean energy output, storage capacity, and system downtime </w:t>
      </w:r>
      <w:r w:rsidRPr="00B256EB">
        <w:rPr>
          <w:rFonts w:ascii="Times New Roman" w:eastAsia="Times New Roman" w:hAnsi="Times New Roman"/>
          <w:kern w:val="0"/>
          <w:sz w:val="24"/>
          <w:szCs w:val="24"/>
          <w:lang w:val="en-GB" w:eastAsia="en-GB"/>
        </w:rPr>
        <w:lastRenderedPageBreak/>
        <w:t xml:space="preserve">under extreme weather conditions were tabulated and described descriptively. </w:t>
      </w:r>
      <w:r w:rsidRPr="002E4F42">
        <w:rPr>
          <w:rFonts w:ascii="Times New Roman" w:eastAsia="Times New Roman" w:hAnsi="Times New Roman"/>
          <w:kern w:val="0"/>
          <w:sz w:val="24"/>
          <w:szCs w:val="24"/>
          <w:highlight w:val="yellow"/>
          <w:lang w:val="en-GB" w:eastAsia="en-GB"/>
        </w:rPr>
        <w:t>To ensure rigour and transparency, the process included detailed extraction tables (Appendix B), quality appraisal summaries (Appendix C), and an audit trail documenting all key decisions made during data synthesis.</w:t>
      </w:r>
    </w:p>
    <w:p w14:paraId="206419C3" w14:textId="77777777" w:rsidR="001145C9" w:rsidRPr="00D434EE" w:rsidRDefault="001145C9" w:rsidP="00D434EE">
      <w:pPr>
        <w:spacing w:after="0" w:line="360" w:lineRule="auto"/>
        <w:rPr>
          <w:rFonts w:ascii="Times New Roman" w:eastAsia="Times New Roman" w:hAnsi="Times New Roman"/>
          <w:vanish/>
          <w:kern w:val="0"/>
          <w:sz w:val="24"/>
          <w:szCs w:val="24"/>
        </w:rPr>
      </w:pPr>
    </w:p>
    <w:p w14:paraId="3B3D14DF" w14:textId="77777777" w:rsidR="001620C6" w:rsidRPr="00D434EE" w:rsidRDefault="0088195C" w:rsidP="00D434EE">
      <w:pPr>
        <w:pStyle w:val="ListParagraph"/>
        <w:numPr>
          <w:ilvl w:val="0"/>
          <w:numId w:val="7"/>
        </w:numPr>
        <w:spacing w:before="100" w:beforeAutospacing="1" w:after="100" w:afterAutospacing="1" w:line="360" w:lineRule="auto"/>
        <w:ind w:left="567" w:hanging="567"/>
        <w:outlineLvl w:val="1"/>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RESULTS</w:t>
      </w:r>
    </w:p>
    <w:p w14:paraId="31569058" w14:textId="77777777" w:rsidR="001145C9" w:rsidRPr="00D434EE" w:rsidRDefault="0088195C" w:rsidP="00D434EE">
      <w:pPr>
        <w:pStyle w:val="ListParagraph"/>
        <w:numPr>
          <w:ilvl w:val="1"/>
          <w:numId w:val="7"/>
        </w:numPr>
        <w:spacing w:after="100" w:afterAutospacing="1"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Overview of Study Selection and Characteristics</w:t>
      </w:r>
    </w:p>
    <w:p w14:paraId="0BC60035" w14:textId="185347BC" w:rsidR="00F86400" w:rsidRPr="00D434EE" w:rsidRDefault="0088195C" w:rsidP="008A642C">
      <w:pPr>
        <w:spacing w:before="100" w:beforeAutospacing="1"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This systematic </w:t>
      </w:r>
      <w:r w:rsidR="0078094E">
        <w:rPr>
          <w:rFonts w:ascii="Times New Roman" w:eastAsia="Times New Roman" w:hAnsi="Times New Roman"/>
          <w:kern w:val="0"/>
          <w:sz w:val="24"/>
          <w:szCs w:val="24"/>
        </w:rPr>
        <w:t>review incorporated a total of 4</w:t>
      </w:r>
      <w:r w:rsidRPr="00D434EE">
        <w:rPr>
          <w:rFonts w:ascii="Times New Roman" w:eastAsia="Times New Roman" w:hAnsi="Times New Roman"/>
          <w:kern w:val="0"/>
          <w:sz w:val="24"/>
          <w:szCs w:val="24"/>
        </w:rPr>
        <w:t>0 studies, following the rigorous PRISMA 2020 guidelines.</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(Moher, D., Liberati, A., Tetzlaff, J., Altman, D.G., &amp; PRISMA Group. , 2009)</w:t>
      </w:r>
      <w:r w:rsidRPr="00D434EE">
        <w:rPr>
          <w:rFonts w:ascii="Times New Roman" w:eastAsia="Times New Roman" w:hAnsi="Times New Roman"/>
          <w:kern w:val="0"/>
          <w:sz w:val="24"/>
          <w:szCs w:val="24"/>
        </w:rPr>
        <w:t xml:space="preserve"> The methodological diversity a</w:t>
      </w:r>
      <w:r w:rsidR="0078094E">
        <w:rPr>
          <w:rFonts w:ascii="Times New Roman" w:eastAsia="Times New Roman" w:hAnsi="Times New Roman"/>
          <w:kern w:val="0"/>
          <w:sz w:val="24"/>
          <w:szCs w:val="24"/>
        </w:rPr>
        <w:t>mong the 4</w:t>
      </w:r>
      <w:r w:rsidRPr="00D434EE">
        <w:rPr>
          <w:rFonts w:ascii="Times New Roman" w:eastAsia="Times New Roman" w:hAnsi="Times New Roman"/>
          <w:kern w:val="0"/>
          <w:sz w:val="24"/>
          <w:szCs w:val="24"/>
        </w:rPr>
        <w:t xml:space="preserve">0 studies ranges from empirical fieldwork and case studies to simulation </w:t>
      </w:r>
      <w:r w:rsidR="00286CF8">
        <w:rPr>
          <w:rFonts w:ascii="Times New Roman" w:eastAsia="Times New Roman" w:hAnsi="Times New Roman"/>
          <w:kern w:val="0"/>
          <w:sz w:val="24"/>
          <w:szCs w:val="24"/>
        </w:rPr>
        <w:t>modelling</w:t>
      </w:r>
      <w:r w:rsidRPr="00D434EE">
        <w:rPr>
          <w:rFonts w:ascii="Times New Roman" w:eastAsia="Times New Roman" w:hAnsi="Times New Roman"/>
          <w:kern w:val="0"/>
          <w:sz w:val="24"/>
          <w:szCs w:val="24"/>
        </w:rPr>
        <w:t xml:space="preserve"> and policy analyses. Sample sizes vary widely, from detailed qualitative studies involving fewer than 20 stakeholders to broad </w:t>
      </w:r>
      <w:r w:rsidR="00D67E05" w:rsidRPr="00D434EE">
        <w:rPr>
          <w:rFonts w:ascii="Times New Roman" w:eastAsia="Times New Roman" w:hAnsi="Times New Roman"/>
          <w:kern w:val="0"/>
          <w:sz w:val="24"/>
          <w:szCs w:val="24"/>
        </w:rPr>
        <w:t>surveys assessing over 300 mini-</w:t>
      </w:r>
      <w:r w:rsidRPr="00D434EE">
        <w:rPr>
          <w:rFonts w:ascii="Times New Roman" w:eastAsia="Times New Roman" w:hAnsi="Times New Roman"/>
          <w:kern w:val="0"/>
          <w:sz w:val="24"/>
          <w:szCs w:val="24"/>
        </w:rPr>
        <w:t>grid installations.</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(Lu, 2025</w:t>
      </w:r>
      <w:r w:rsidR="00286CF8" w:rsidRPr="00B000AC">
        <w:rPr>
          <w:rFonts w:ascii="Times New Roman" w:eastAsia="Times New Roman" w:hAnsi="Times New Roman"/>
          <w:noProof/>
          <w:kern w:val="0"/>
          <w:sz w:val="24"/>
          <w:szCs w:val="24"/>
        </w:rPr>
        <w:t>)</w:t>
      </w:r>
      <w:r w:rsidR="00286CF8" w:rsidRPr="00D434EE">
        <w:rPr>
          <w:rFonts w:ascii="Times New Roman" w:eastAsia="Times New Roman" w:hAnsi="Times New Roman"/>
          <w:kern w:val="0"/>
          <w:sz w:val="24"/>
          <w:szCs w:val="24"/>
        </w:rPr>
        <w:t xml:space="preserve"> This</w:t>
      </w:r>
      <w:r w:rsidRPr="00D434EE">
        <w:rPr>
          <w:rFonts w:ascii="Times New Roman" w:eastAsia="Times New Roman" w:hAnsi="Times New Roman"/>
          <w:kern w:val="0"/>
          <w:sz w:val="24"/>
          <w:szCs w:val="24"/>
        </w:rPr>
        <w:t xml:space="preserve"> variation enriches the analysis by balancing granular operational insights with broader syst</w:t>
      </w:r>
      <w:r w:rsidR="00F83301" w:rsidRPr="00D434EE">
        <w:rPr>
          <w:rFonts w:ascii="Times New Roman" w:eastAsia="Times New Roman" w:hAnsi="Times New Roman"/>
          <w:kern w:val="0"/>
          <w:sz w:val="24"/>
          <w:szCs w:val="24"/>
        </w:rPr>
        <w:t>emic perspectives. Table 1</w:t>
      </w:r>
      <w:r w:rsidRPr="00D434EE">
        <w:rPr>
          <w:rFonts w:ascii="Times New Roman" w:eastAsia="Times New Roman" w:hAnsi="Times New Roman"/>
          <w:kern w:val="0"/>
          <w:sz w:val="24"/>
          <w:szCs w:val="24"/>
        </w:rPr>
        <w:t xml:space="preserve"> show</w:t>
      </w:r>
      <w:r w:rsidR="00DB1001">
        <w:rPr>
          <w:rFonts w:ascii="Times New Roman" w:eastAsia="Times New Roman" w:hAnsi="Times New Roman"/>
          <w:kern w:val="0"/>
          <w:sz w:val="24"/>
          <w:szCs w:val="24"/>
        </w:rPr>
        <w:t>s</w:t>
      </w:r>
      <w:r w:rsidRPr="00D434EE">
        <w:rPr>
          <w:rFonts w:ascii="Times New Roman" w:eastAsia="Times New Roman" w:hAnsi="Times New Roman"/>
          <w:kern w:val="0"/>
          <w:sz w:val="24"/>
          <w:szCs w:val="24"/>
        </w:rPr>
        <w:t xml:space="preserve"> the regional comparisons: </w:t>
      </w:r>
    </w:p>
    <w:p w14:paraId="65F64F1A" w14:textId="77777777" w:rsidR="001145C9" w:rsidRPr="00D434EE" w:rsidRDefault="0088195C" w:rsidP="0029639B">
      <w:pPr>
        <w:spacing w:line="276" w:lineRule="auto"/>
        <w:jc w:val="both"/>
        <w:rPr>
          <w:rFonts w:ascii="Times New Roman" w:eastAsia="Times New Roman" w:hAnsi="Times New Roman"/>
          <w:iCs/>
          <w:kern w:val="0"/>
          <w:sz w:val="24"/>
          <w:szCs w:val="24"/>
        </w:rPr>
      </w:pPr>
      <w:r w:rsidRPr="00D434EE">
        <w:rPr>
          <w:rFonts w:ascii="Times New Roman" w:eastAsia="Times New Roman" w:hAnsi="Times New Roman"/>
          <w:iCs/>
          <w:kern w:val="0"/>
          <w:sz w:val="24"/>
          <w:szCs w:val="24"/>
        </w:rPr>
        <w:t>Table 1: R</w:t>
      </w:r>
      <w:r w:rsidR="00E80CB3" w:rsidRPr="00D434EE">
        <w:rPr>
          <w:rFonts w:ascii="Times New Roman" w:hAnsi="Times New Roman"/>
          <w:iCs/>
          <w:sz w:val="24"/>
          <w:szCs w:val="24"/>
        </w:rPr>
        <w:t>egional Comparison of R</w:t>
      </w:r>
      <w:r w:rsidRPr="00D434EE">
        <w:rPr>
          <w:rFonts w:ascii="Times New Roman" w:hAnsi="Times New Roman"/>
          <w:iCs/>
          <w:sz w:val="24"/>
          <w:szCs w:val="24"/>
        </w:rPr>
        <w:t>ese</w:t>
      </w:r>
      <w:r w:rsidR="00E80CB3" w:rsidRPr="00D434EE">
        <w:rPr>
          <w:rFonts w:ascii="Times New Roman" w:hAnsi="Times New Roman"/>
          <w:iCs/>
          <w:sz w:val="24"/>
          <w:szCs w:val="24"/>
        </w:rPr>
        <w:t>arch on Energy Systems and M</w:t>
      </w:r>
      <w:r w:rsidR="003040AB" w:rsidRPr="00D434EE">
        <w:rPr>
          <w:rFonts w:ascii="Times New Roman" w:hAnsi="Times New Roman"/>
          <w:iCs/>
          <w:sz w:val="24"/>
          <w:szCs w:val="24"/>
        </w:rPr>
        <w:t>ini-</w:t>
      </w:r>
      <w:r w:rsidR="00E80CB3" w:rsidRPr="00D434EE">
        <w:rPr>
          <w:rFonts w:ascii="Times New Roman" w:hAnsi="Times New Roman"/>
          <w:iCs/>
          <w:sz w:val="24"/>
          <w:szCs w:val="24"/>
        </w:rPr>
        <w:t>G</w:t>
      </w:r>
      <w:r w:rsidRPr="00D434EE">
        <w:rPr>
          <w:rFonts w:ascii="Times New Roman" w:hAnsi="Times New Roman"/>
          <w:iCs/>
          <w:sz w:val="24"/>
          <w:szCs w:val="24"/>
        </w:rPr>
        <w:t>rids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286"/>
        <w:gridCol w:w="1296"/>
        <w:gridCol w:w="2288"/>
        <w:gridCol w:w="1476"/>
        <w:gridCol w:w="3014"/>
      </w:tblGrid>
      <w:tr w:rsidR="001145C9" w:rsidRPr="00542FA2" w14:paraId="7702894E" w14:textId="77777777">
        <w:trPr>
          <w:tblHeader/>
          <w:tblCellSpacing w:w="15" w:type="dxa"/>
        </w:trPr>
        <w:tc>
          <w:tcPr>
            <w:tcW w:w="0" w:type="auto"/>
            <w:tcBorders>
              <w:top w:val="single" w:sz="4" w:space="0" w:color="auto"/>
              <w:bottom w:val="single" w:sz="4" w:space="0" w:color="auto"/>
            </w:tcBorders>
            <w:vAlign w:val="center"/>
          </w:tcPr>
          <w:p w14:paraId="35458C23" w14:textId="77777777" w:rsidR="001145C9" w:rsidRPr="00D434EE" w:rsidRDefault="0088195C" w:rsidP="00D434EE">
            <w:pPr>
              <w:spacing w:after="0" w:line="360" w:lineRule="auto"/>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Region</w:t>
            </w:r>
          </w:p>
        </w:tc>
        <w:tc>
          <w:tcPr>
            <w:tcW w:w="0" w:type="auto"/>
            <w:tcBorders>
              <w:top w:val="single" w:sz="4" w:space="0" w:color="auto"/>
              <w:bottom w:val="single" w:sz="4" w:space="0" w:color="auto"/>
            </w:tcBorders>
            <w:vAlign w:val="center"/>
          </w:tcPr>
          <w:p w14:paraId="481DDF93" w14:textId="77777777" w:rsidR="001145C9" w:rsidRPr="00D434EE" w:rsidRDefault="0088195C" w:rsidP="00D434EE">
            <w:pPr>
              <w:spacing w:after="0" w:line="360" w:lineRule="auto"/>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Number of Studies</w:t>
            </w:r>
          </w:p>
        </w:tc>
        <w:tc>
          <w:tcPr>
            <w:tcW w:w="0" w:type="auto"/>
            <w:tcBorders>
              <w:top w:val="single" w:sz="4" w:space="0" w:color="auto"/>
              <w:bottom w:val="single" w:sz="4" w:space="0" w:color="auto"/>
            </w:tcBorders>
            <w:vAlign w:val="center"/>
          </w:tcPr>
          <w:p w14:paraId="3D16E178" w14:textId="77777777" w:rsidR="001145C9" w:rsidRPr="00D434EE" w:rsidRDefault="0088195C" w:rsidP="00D434EE">
            <w:pPr>
              <w:spacing w:after="0" w:line="360" w:lineRule="auto"/>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Methodologies</w:t>
            </w:r>
          </w:p>
        </w:tc>
        <w:tc>
          <w:tcPr>
            <w:tcW w:w="0" w:type="auto"/>
            <w:tcBorders>
              <w:top w:val="single" w:sz="4" w:space="0" w:color="auto"/>
              <w:bottom w:val="single" w:sz="4" w:space="0" w:color="auto"/>
            </w:tcBorders>
            <w:vAlign w:val="center"/>
          </w:tcPr>
          <w:p w14:paraId="31D494FB" w14:textId="77777777" w:rsidR="001145C9" w:rsidRPr="00D434EE" w:rsidRDefault="0088195C" w:rsidP="00D434EE">
            <w:pPr>
              <w:spacing w:after="0" w:line="360" w:lineRule="auto"/>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Sample Size Range</w:t>
            </w:r>
          </w:p>
        </w:tc>
        <w:tc>
          <w:tcPr>
            <w:tcW w:w="0" w:type="auto"/>
            <w:tcBorders>
              <w:top w:val="single" w:sz="4" w:space="0" w:color="auto"/>
              <w:bottom w:val="single" w:sz="4" w:space="0" w:color="auto"/>
            </w:tcBorders>
            <w:vAlign w:val="center"/>
          </w:tcPr>
          <w:p w14:paraId="43643999" w14:textId="77777777" w:rsidR="001145C9" w:rsidRPr="00D434EE" w:rsidRDefault="0088195C" w:rsidP="00D434EE">
            <w:pPr>
              <w:spacing w:after="0" w:line="360" w:lineRule="auto"/>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Key Focus Areas</w:t>
            </w:r>
          </w:p>
        </w:tc>
      </w:tr>
      <w:tr w:rsidR="001145C9" w:rsidRPr="00542FA2" w14:paraId="437A980B" w14:textId="77777777">
        <w:trPr>
          <w:tblCellSpacing w:w="15" w:type="dxa"/>
        </w:trPr>
        <w:tc>
          <w:tcPr>
            <w:tcW w:w="0" w:type="auto"/>
            <w:vAlign w:val="center"/>
          </w:tcPr>
          <w:p w14:paraId="375A76AA"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Sub-Saharan Africa</w:t>
            </w:r>
          </w:p>
        </w:tc>
        <w:tc>
          <w:tcPr>
            <w:tcW w:w="0" w:type="auto"/>
            <w:vAlign w:val="center"/>
          </w:tcPr>
          <w:p w14:paraId="24871F04"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25</w:t>
            </w:r>
          </w:p>
        </w:tc>
        <w:tc>
          <w:tcPr>
            <w:tcW w:w="0" w:type="auto"/>
            <w:vAlign w:val="center"/>
          </w:tcPr>
          <w:p w14:paraId="6EBDAC53" w14:textId="425C8720"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Case studies, surveys, </w:t>
            </w:r>
            <w:r w:rsidR="00286CF8">
              <w:rPr>
                <w:rFonts w:ascii="Times New Roman" w:eastAsia="Times New Roman" w:hAnsi="Times New Roman"/>
                <w:kern w:val="0"/>
                <w:sz w:val="24"/>
                <w:szCs w:val="24"/>
              </w:rPr>
              <w:t>and modelling</w:t>
            </w:r>
          </w:p>
        </w:tc>
        <w:tc>
          <w:tcPr>
            <w:tcW w:w="0" w:type="auto"/>
            <w:vAlign w:val="center"/>
          </w:tcPr>
          <w:p w14:paraId="7D88DE1D"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10–250 participants</w:t>
            </w:r>
          </w:p>
        </w:tc>
        <w:tc>
          <w:tcPr>
            <w:tcW w:w="0" w:type="auto"/>
            <w:vAlign w:val="center"/>
          </w:tcPr>
          <w:p w14:paraId="06BE0962" w14:textId="2556D2D8"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Hybrid systems, community engagement, </w:t>
            </w:r>
            <w:r w:rsidR="00286CF8">
              <w:rPr>
                <w:rFonts w:ascii="Times New Roman" w:eastAsia="Times New Roman" w:hAnsi="Times New Roman"/>
                <w:kern w:val="0"/>
                <w:sz w:val="24"/>
                <w:szCs w:val="24"/>
              </w:rPr>
              <w:t xml:space="preserve">and </w:t>
            </w:r>
            <w:r w:rsidRPr="00D434EE">
              <w:rPr>
                <w:rFonts w:ascii="Times New Roman" w:eastAsia="Times New Roman" w:hAnsi="Times New Roman"/>
                <w:kern w:val="0"/>
                <w:sz w:val="24"/>
                <w:szCs w:val="24"/>
              </w:rPr>
              <w:t>financing</w:t>
            </w:r>
          </w:p>
        </w:tc>
      </w:tr>
      <w:tr w:rsidR="001145C9" w:rsidRPr="00542FA2" w14:paraId="26F5E514" w14:textId="77777777">
        <w:trPr>
          <w:tblCellSpacing w:w="15" w:type="dxa"/>
        </w:trPr>
        <w:tc>
          <w:tcPr>
            <w:tcW w:w="0" w:type="auto"/>
            <w:vAlign w:val="center"/>
          </w:tcPr>
          <w:p w14:paraId="5127B49D"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South Asia</w:t>
            </w:r>
          </w:p>
        </w:tc>
        <w:tc>
          <w:tcPr>
            <w:tcW w:w="0" w:type="auto"/>
            <w:vAlign w:val="center"/>
          </w:tcPr>
          <w:p w14:paraId="7B48C3F9"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10</w:t>
            </w:r>
          </w:p>
        </w:tc>
        <w:tc>
          <w:tcPr>
            <w:tcW w:w="0" w:type="auto"/>
            <w:vAlign w:val="center"/>
          </w:tcPr>
          <w:p w14:paraId="3193189A"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Empirical studies, simulations</w:t>
            </w:r>
          </w:p>
        </w:tc>
        <w:tc>
          <w:tcPr>
            <w:tcW w:w="0" w:type="auto"/>
            <w:vAlign w:val="center"/>
          </w:tcPr>
          <w:p w14:paraId="73238A35" w14:textId="77777777" w:rsidR="001145C9" w:rsidRPr="00D434EE" w:rsidRDefault="00D67E05"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50–300 mini-</w:t>
            </w:r>
            <w:r w:rsidR="0088195C" w:rsidRPr="00D434EE">
              <w:rPr>
                <w:rFonts w:ascii="Times New Roman" w:eastAsia="Times New Roman" w:hAnsi="Times New Roman"/>
                <w:kern w:val="0"/>
                <w:sz w:val="24"/>
                <w:szCs w:val="24"/>
              </w:rPr>
              <w:t>grids</w:t>
            </w:r>
          </w:p>
        </w:tc>
        <w:tc>
          <w:tcPr>
            <w:tcW w:w="0" w:type="auto"/>
            <w:vAlign w:val="center"/>
          </w:tcPr>
          <w:p w14:paraId="357A1149"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Technology integration, smart grids, resilience mechanisms</w:t>
            </w:r>
          </w:p>
        </w:tc>
      </w:tr>
      <w:tr w:rsidR="001145C9" w:rsidRPr="00542FA2" w14:paraId="55D7CA8B" w14:textId="77777777">
        <w:trPr>
          <w:tblCellSpacing w:w="15" w:type="dxa"/>
        </w:trPr>
        <w:tc>
          <w:tcPr>
            <w:tcW w:w="0" w:type="auto"/>
            <w:vAlign w:val="center"/>
          </w:tcPr>
          <w:p w14:paraId="4261F5A6"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Latin America</w:t>
            </w:r>
          </w:p>
        </w:tc>
        <w:tc>
          <w:tcPr>
            <w:tcW w:w="0" w:type="auto"/>
            <w:vAlign w:val="center"/>
          </w:tcPr>
          <w:p w14:paraId="4319C2C9"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8</w:t>
            </w:r>
          </w:p>
        </w:tc>
        <w:tc>
          <w:tcPr>
            <w:tcW w:w="0" w:type="auto"/>
            <w:vAlign w:val="center"/>
          </w:tcPr>
          <w:p w14:paraId="4E527EEC"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Mixed methods, policy analysis</w:t>
            </w:r>
          </w:p>
        </w:tc>
        <w:tc>
          <w:tcPr>
            <w:tcW w:w="0" w:type="auto"/>
            <w:vAlign w:val="center"/>
          </w:tcPr>
          <w:p w14:paraId="4DDBFEC6"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Variable</w:t>
            </w:r>
          </w:p>
        </w:tc>
        <w:tc>
          <w:tcPr>
            <w:tcW w:w="0" w:type="auto"/>
            <w:vAlign w:val="center"/>
          </w:tcPr>
          <w:p w14:paraId="0BC9C002"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Governance frameworks, climate risk assessment</w:t>
            </w:r>
          </w:p>
        </w:tc>
      </w:tr>
      <w:tr w:rsidR="001145C9" w:rsidRPr="00542FA2" w14:paraId="7E42A2A3" w14:textId="77777777">
        <w:trPr>
          <w:tblCellSpacing w:w="15" w:type="dxa"/>
        </w:trPr>
        <w:tc>
          <w:tcPr>
            <w:tcW w:w="0" w:type="auto"/>
            <w:vAlign w:val="center"/>
          </w:tcPr>
          <w:p w14:paraId="52820AB7"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Other Regions</w:t>
            </w:r>
          </w:p>
        </w:tc>
        <w:tc>
          <w:tcPr>
            <w:tcW w:w="0" w:type="auto"/>
            <w:vAlign w:val="center"/>
          </w:tcPr>
          <w:p w14:paraId="61E1EE9D"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7</w:t>
            </w:r>
          </w:p>
        </w:tc>
        <w:tc>
          <w:tcPr>
            <w:tcW w:w="0" w:type="auto"/>
            <w:vAlign w:val="center"/>
          </w:tcPr>
          <w:p w14:paraId="338BD899"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Field studies, qualitative</w:t>
            </w:r>
          </w:p>
        </w:tc>
        <w:tc>
          <w:tcPr>
            <w:tcW w:w="0" w:type="auto"/>
            <w:vAlign w:val="center"/>
          </w:tcPr>
          <w:p w14:paraId="17013E13"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20–100 participants</w:t>
            </w:r>
          </w:p>
        </w:tc>
        <w:tc>
          <w:tcPr>
            <w:tcW w:w="0" w:type="auto"/>
            <w:vAlign w:val="center"/>
          </w:tcPr>
          <w:p w14:paraId="25B7263C"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Socio-economic impacts, gender considerations</w:t>
            </w:r>
          </w:p>
        </w:tc>
      </w:tr>
    </w:tbl>
    <w:p w14:paraId="5D66350F" w14:textId="77777777" w:rsidR="001145C9" w:rsidRPr="00D434EE" w:rsidRDefault="001145C9" w:rsidP="00D434EE">
      <w:pPr>
        <w:spacing w:after="0" w:line="360" w:lineRule="auto"/>
        <w:rPr>
          <w:rFonts w:ascii="Times New Roman" w:eastAsia="Times New Roman" w:hAnsi="Times New Roman"/>
          <w:kern w:val="0"/>
          <w:sz w:val="24"/>
          <w:szCs w:val="24"/>
        </w:rPr>
      </w:pPr>
    </w:p>
    <w:p w14:paraId="42A7CB4A" w14:textId="511C3168" w:rsidR="00E77426" w:rsidRPr="00D434EE" w:rsidRDefault="00115471" w:rsidP="00F86400">
      <w:pPr>
        <w:spacing w:after="100" w:afterAutospacing="1" w:line="360" w:lineRule="auto"/>
        <w:ind w:firstLine="567"/>
        <w:jc w:val="both"/>
        <w:outlineLvl w:val="2"/>
        <w:rPr>
          <w:rFonts w:ascii="Times New Roman" w:hAnsi="Times New Roman"/>
          <w:sz w:val="24"/>
          <w:szCs w:val="24"/>
        </w:rPr>
      </w:pPr>
      <w:r w:rsidRPr="00D434EE">
        <w:rPr>
          <w:rFonts w:ascii="Times New Roman" w:hAnsi="Times New Roman"/>
          <w:sz w:val="24"/>
          <w:szCs w:val="24"/>
        </w:rPr>
        <w:t>Table 1</w:t>
      </w:r>
      <w:r w:rsidR="0088195C" w:rsidRPr="00D434EE">
        <w:rPr>
          <w:rFonts w:ascii="Times New Roman" w:hAnsi="Times New Roman"/>
          <w:sz w:val="24"/>
          <w:szCs w:val="24"/>
        </w:rPr>
        <w:t xml:space="preserve"> provides a regional comparison of rese</w:t>
      </w:r>
      <w:r w:rsidR="00D67E05" w:rsidRPr="00D434EE">
        <w:rPr>
          <w:rFonts w:ascii="Times New Roman" w:hAnsi="Times New Roman"/>
          <w:sz w:val="24"/>
          <w:szCs w:val="24"/>
        </w:rPr>
        <w:t>arch on energy systems and mini-</w:t>
      </w:r>
      <w:r w:rsidR="0088195C" w:rsidRPr="00D434EE">
        <w:rPr>
          <w:rFonts w:ascii="Times New Roman" w:hAnsi="Times New Roman"/>
          <w:sz w:val="24"/>
          <w:szCs w:val="24"/>
        </w:rPr>
        <w:t xml:space="preserve">grids, highlighting differences in focus, methods, and sample sizes. In </w:t>
      </w:r>
      <w:r w:rsidR="0088195C" w:rsidRPr="00D434EE">
        <w:rPr>
          <w:rStyle w:val="Strong"/>
          <w:rFonts w:ascii="Times New Roman" w:hAnsi="Times New Roman"/>
          <w:b w:val="0"/>
          <w:bCs w:val="0"/>
          <w:sz w:val="24"/>
          <w:szCs w:val="24"/>
        </w:rPr>
        <w:t>Sub-Saharan</w:t>
      </w:r>
      <w:r w:rsidR="0088195C" w:rsidRPr="00D434EE">
        <w:rPr>
          <w:rStyle w:val="Strong"/>
          <w:rFonts w:ascii="Times New Roman" w:hAnsi="Times New Roman"/>
          <w:sz w:val="24"/>
          <w:szCs w:val="24"/>
        </w:rPr>
        <w:t xml:space="preserve"> </w:t>
      </w:r>
      <w:r w:rsidR="0088195C" w:rsidRPr="00D434EE">
        <w:rPr>
          <w:rStyle w:val="Strong"/>
          <w:rFonts w:ascii="Times New Roman" w:hAnsi="Times New Roman"/>
          <w:b w:val="0"/>
          <w:bCs w:val="0"/>
          <w:sz w:val="24"/>
          <w:szCs w:val="24"/>
        </w:rPr>
        <w:t>Africa</w:t>
      </w:r>
      <w:r w:rsidR="0088195C" w:rsidRPr="00D434EE">
        <w:rPr>
          <w:rFonts w:ascii="Times New Roman" w:hAnsi="Times New Roman"/>
          <w:sz w:val="24"/>
          <w:szCs w:val="24"/>
        </w:rPr>
        <w:t xml:space="preserve"> (15 studies), </w:t>
      </w:r>
      <w:r w:rsidR="0088195C" w:rsidRPr="00D434EE">
        <w:rPr>
          <w:rFonts w:ascii="Times New Roman" w:hAnsi="Times New Roman"/>
          <w:sz w:val="24"/>
          <w:szCs w:val="24"/>
        </w:rPr>
        <w:lastRenderedPageBreak/>
        <w:t xml:space="preserve">case studies, surveys, and </w:t>
      </w:r>
      <w:r w:rsidR="00286CF8">
        <w:rPr>
          <w:rFonts w:ascii="Times New Roman" w:hAnsi="Times New Roman"/>
          <w:sz w:val="24"/>
          <w:szCs w:val="24"/>
        </w:rPr>
        <w:t>modelling</w:t>
      </w:r>
      <w:r w:rsidR="0088195C" w:rsidRPr="00D434EE">
        <w:rPr>
          <w:rFonts w:ascii="Times New Roman" w:hAnsi="Times New Roman"/>
          <w:sz w:val="24"/>
          <w:szCs w:val="24"/>
        </w:rPr>
        <w:t xml:space="preserve"> were used to explore hybrid systems, community engagement, and financing, with sample sizes ranging from 10 to 250. </w:t>
      </w:r>
      <w:r w:rsidR="0088195C" w:rsidRPr="00D434EE">
        <w:rPr>
          <w:rStyle w:val="Strong"/>
          <w:rFonts w:ascii="Times New Roman" w:hAnsi="Times New Roman"/>
          <w:b w:val="0"/>
          <w:bCs w:val="0"/>
          <w:sz w:val="24"/>
          <w:szCs w:val="24"/>
        </w:rPr>
        <w:t>South Asia</w:t>
      </w:r>
      <w:r w:rsidR="0088195C" w:rsidRPr="00D434EE">
        <w:rPr>
          <w:rFonts w:ascii="Times New Roman" w:hAnsi="Times New Roman"/>
          <w:sz w:val="24"/>
          <w:szCs w:val="24"/>
        </w:rPr>
        <w:t xml:space="preserve"> (10 studies) </w:t>
      </w:r>
      <w:r w:rsidR="001D126B">
        <w:rPr>
          <w:rFonts w:ascii="Times New Roman" w:hAnsi="Times New Roman"/>
          <w:sz w:val="24"/>
          <w:szCs w:val="24"/>
        </w:rPr>
        <w:t>emphasized</w:t>
      </w:r>
      <w:r w:rsidR="0088195C" w:rsidRPr="00D434EE">
        <w:rPr>
          <w:rFonts w:ascii="Times New Roman" w:hAnsi="Times New Roman"/>
          <w:sz w:val="24"/>
          <w:szCs w:val="24"/>
        </w:rPr>
        <w:t xml:space="preserve"> technology integration, smart grids, and resilience, using empirical studies and si</w:t>
      </w:r>
      <w:r w:rsidR="00D67E05" w:rsidRPr="00D434EE">
        <w:rPr>
          <w:rFonts w:ascii="Times New Roman" w:hAnsi="Times New Roman"/>
          <w:sz w:val="24"/>
          <w:szCs w:val="24"/>
        </w:rPr>
        <w:t>mulations across 50 to 300 mini-</w:t>
      </w:r>
      <w:r w:rsidR="0088195C" w:rsidRPr="00D434EE">
        <w:rPr>
          <w:rFonts w:ascii="Times New Roman" w:hAnsi="Times New Roman"/>
          <w:sz w:val="24"/>
          <w:szCs w:val="24"/>
        </w:rPr>
        <w:t xml:space="preserve">grids. </w:t>
      </w:r>
      <w:r w:rsidR="0088195C" w:rsidRPr="00D434EE">
        <w:rPr>
          <w:rStyle w:val="Strong"/>
          <w:rFonts w:ascii="Times New Roman" w:hAnsi="Times New Roman"/>
          <w:b w:val="0"/>
          <w:bCs w:val="0"/>
          <w:sz w:val="24"/>
          <w:szCs w:val="24"/>
        </w:rPr>
        <w:t>Latin America</w:t>
      </w:r>
      <w:r w:rsidR="00C65571">
        <w:rPr>
          <w:rFonts w:ascii="Times New Roman" w:hAnsi="Times New Roman"/>
          <w:sz w:val="24"/>
          <w:szCs w:val="24"/>
        </w:rPr>
        <w:t xml:space="preserve"> (eight</w:t>
      </w:r>
      <w:r w:rsidR="0088195C" w:rsidRPr="00D434EE">
        <w:rPr>
          <w:rFonts w:ascii="Times New Roman" w:hAnsi="Times New Roman"/>
          <w:sz w:val="24"/>
          <w:szCs w:val="24"/>
        </w:rPr>
        <w:t xml:space="preserve"> studies) focused on governance and climate risk through mixed methods and policy analysis, with variable sample sizes</w:t>
      </w:r>
      <w:r w:rsidR="0088195C" w:rsidRPr="00D434EE">
        <w:rPr>
          <w:rFonts w:ascii="Times New Roman" w:hAnsi="Times New Roman"/>
          <w:b/>
          <w:bCs/>
          <w:sz w:val="24"/>
          <w:szCs w:val="24"/>
        </w:rPr>
        <w:t xml:space="preserve">. </w:t>
      </w:r>
      <w:r w:rsidR="0088195C" w:rsidRPr="00D434EE">
        <w:rPr>
          <w:rStyle w:val="Strong"/>
          <w:rFonts w:ascii="Times New Roman" w:hAnsi="Times New Roman"/>
          <w:b w:val="0"/>
          <w:bCs w:val="0"/>
          <w:sz w:val="24"/>
          <w:szCs w:val="24"/>
        </w:rPr>
        <w:t>Other regions</w:t>
      </w:r>
      <w:r w:rsidR="00C65571">
        <w:rPr>
          <w:rFonts w:ascii="Times New Roman" w:hAnsi="Times New Roman"/>
          <w:sz w:val="24"/>
          <w:szCs w:val="24"/>
        </w:rPr>
        <w:t xml:space="preserve"> (seven</w:t>
      </w:r>
      <w:r w:rsidR="0088195C" w:rsidRPr="00D434EE">
        <w:rPr>
          <w:rFonts w:ascii="Times New Roman" w:hAnsi="Times New Roman"/>
          <w:sz w:val="24"/>
          <w:szCs w:val="24"/>
        </w:rPr>
        <w:t xml:space="preserve"> studies) employed qualitative fieldwork involving 20 to 100 participants, focusing on socio-economic and </w:t>
      </w:r>
      <w:r w:rsidR="00D67E05" w:rsidRPr="00D434EE">
        <w:rPr>
          <w:rFonts w:ascii="Times New Roman" w:hAnsi="Times New Roman"/>
          <w:sz w:val="24"/>
          <w:szCs w:val="24"/>
        </w:rPr>
        <w:t>gender impacts. Overall, T</w:t>
      </w:r>
      <w:r w:rsidR="0088195C" w:rsidRPr="00D434EE">
        <w:rPr>
          <w:rFonts w:ascii="Times New Roman" w:hAnsi="Times New Roman"/>
          <w:sz w:val="24"/>
          <w:szCs w:val="24"/>
        </w:rPr>
        <w:t>able</w:t>
      </w:r>
      <w:r w:rsidR="00D67E05" w:rsidRPr="00D434EE">
        <w:rPr>
          <w:rFonts w:ascii="Times New Roman" w:hAnsi="Times New Roman"/>
          <w:sz w:val="24"/>
          <w:szCs w:val="24"/>
        </w:rPr>
        <w:t xml:space="preserve"> 1</w:t>
      </w:r>
      <w:r w:rsidR="0088195C" w:rsidRPr="00D434EE">
        <w:rPr>
          <w:rFonts w:ascii="Times New Roman" w:hAnsi="Times New Roman"/>
          <w:sz w:val="24"/>
          <w:szCs w:val="24"/>
        </w:rPr>
        <w:t xml:space="preserve"> shows that regional research priorities differ, with Africa </w:t>
      </w:r>
      <w:r w:rsidR="001D126B">
        <w:rPr>
          <w:rFonts w:ascii="Times New Roman" w:hAnsi="Times New Roman"/>
          <w:sz w:val="24"/>
          <w:szCs w:val="24"/>
        </w:rPr>
        <w:t>centering</w:t>
      </w:r>
      <w:r w:rsidR="0088195C" w:rsidRPr="00D434EE">
        <w:rPr>
          <w:rFonts w:ascii="Times New Roman" w:hAnsi="Times New Roman"/>
          <w:sz w:val="24"/>
          <w:szCs w:val="24"/>
        </w:rPr>
        <w:t xml:space="preserve"> on community and funding, South Asia on technology, Latin America on policy, and other regions on social outcomes.</w:t>
      </w:r>
    </w:p>
    <w:p w14:paraId="0454076B" w14:textId="77777777" w:rsidR="001145C9" w:rsidRPr="00D434EE" w:rsidRDefault="0088195C" w:rsidP="00D434EE">
      <w:pPr>
        <w:pStyle w:val="ListParagraph"/>
        <w:numPr>
          <w:ilvl w:val="1"/>
          <w:numId w:val="7"/>
        </w:numPr>
        <w:spacing w:before="100" w:beforeAutospacing="1" w:after="100" w:afterAutospacing="1" w:line="360" w:lineRule="auto"/>
        <w:ind w:left="567" w:hanging="567"/>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Technological Innovations and Design Adaptations</w:t>
      </w:r>
    </w:p>
    <w:p w14:paraId="26AD4ACC" w14:textId="41B3EB88" w:rsidR="00B43E10" w:rsidRPr="00D434EE" w:rsidRDefault="008A373B" w:rsidP="00806ECC">
      <w:pPr>
        <w:spacing w:before="100" w:beforeAutospacing="1" w:after="100" w:afterAutospacing="1" w:line="360" w:lineRule="auto"/>
        <w:ind w:firstLine="567"/>
        <w:jc w:val="both"/>
        <w:rPr>
          <w:rFonts w:ascii="Times New Roman" w:hAnsi="Times New Roman"/>
          <w:sz w:val="24"/>
          <w:szCs w:val="24"/>
        </w:rPr>
      </w:pPr>
      <w:r>
        <w:rPr>
          <w:rFonts w:ascii="Times New Roman" w:eastAsia="Times New Roman" w:hAnsi="Times New Roman"/>
          <w:kern w:val="0"/>
          <w:sz w:val="24"/>
          <w:szCs w:val="24"/>
        </w:rPr>
        <w:t>Among the 4</w:t>
      </w:r>
      <w:r w:rsidR="0088195C" w:rsidRPr="00D434EE">
        <w:rPr>
          <w:rFonts w:ascii="Times New Roman" w:eastAsia="Times New Roman" w:hAnsi="Times New Roman"/>
          <w:kern w:val="0"/>
          <w:sz w:val="24"/>
          <w:szCs w:val="24"/>
        </w:rPr>
        <w:t xml:space="preserve">0 studies, 27 focus primarily on technological innovations aimed at enhancing </w:t>
      </w:r>
      <w:r w:rsidR="00286CF8">
        <w:rPr>
          <w:rFonts w:ascii="Times New Roman" w:eastAsia="Times New Roman" w:hAnsi="Times New Roman"/>
          <w:kern w:val="0"/>
          <w:sz w:val="24"/>
          <w:szCs w:val="24"/>
        </w:rPr>
        <w:t>mini-grid</w:t>
      </w:r>
      <w:r w:rsidR="0088195C" w:rsidRPr="00D434EE">
        <w:rPr>
          <w:rFonts w:ascii="Times New Roman" w:eastAsia="Times New Roman" w:hAnsi="Times New Roman"/>
          <w:kern w:val="0"/>
          <w:sz w:val="24"/>
          <w:szCs w:val="24"/>
        </w:rPr>
        <w:t xml:space="preserve"> resilience against climate variability. Hybrid renewable energy systems, particularly solar PV combined with wind turbines and battery storage, emerge as the dominant technological strategy</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(Yuan, 2026)</w:t>
      </w:r>
      <w:r w:rsidR="0088195C" w:rsidRPr="00D434EE">
        <w:rPr>
          <w:rFonts w:ascii="Times New Roman" w:eastAsia="Times New Roman" w:hAnsi="Times New Roman"/>
          <w:kern w:val="0"/>
          <w:sz w:val="24"/>
          <w:szCs w:val="24"/>
        </w:rPr>
        <w:t xml:space="preserve">. Table 2 below </w:t>
      </w:r>
      <w:r w:rsidR="001D126B">
        <w:rPr>
          <w:rFonts w:ascii="Times New Roman" w:eastAsia="Times New Roman" w:hAnsi="Times New Roman"/>
          <w:kern w:val="0"/>
          <w:sz w:val="24"/>
          <w:szCs w:val="24"/>
        </w:rPr>
        <w:t>summarizes</w:t>
      </w:r>
      <w:r w:rsidR="0088195C" w:rsidRPr="00D434EE">
        <w:rPr>
          <w:rFonts w:ascii="Times New Roman" w:eastAsia="Times New Roman" w:hAnsi="Times New Roman"/>
          <w:kern w:val="0"/>
          <w:sz w:val="24"/>
          <w:szCs w:val="24"/>
        </w:rPr>
        <w:t xml:space="preserve"> the results of the study.</w:t>
      </w:r>
      <w:r w:rsidR="0088195C" w:rsidRPr="00D434EE">
        <w:rPr>
          <w:rFonts w:ascii="Times New Roman" w:hAnsi="Times New Roman"/>
          <w:sz w:val="24"/>
          <w:szCs w:val="24"/>
        </w:rPr>
        <w:t xml:space="preserve"> While 27 studies contributed to this thematic category, </w:t>
      </w:r>
      <w:r w:rsidR="0088195C" w:rsidRPr="00D434EE">
        <w:rPr>
          <w:rStyle w:val="Strong"/>
          <w:rFonts w:ascii="Times New Roman" w:hAnsi="Times New Roman"/>
          <w:b w:val="0"/>
          <w:bCs w:val="0"/>
          <w:sz w:val="24"/>
          <w:szCs w:val="24"/>
        </w:rPr>
        <w:t>only a subset</w:t>
      </w:r>
      <w:r w:rsidR="00661237" w:rsidRPr="00D434EE">
        <w:rPr>
          <w:rStyle w:val="Strong"/>
          <w:rFonts w:ascii="Times New Roman" w:hAnsi="Times New Roman"/>
          <w:b w:val="0"/>
          <w:bCs w:val="0"/>
          <w:sz w:val="24"/>
          <w:szCs w:val="24"/>
        </w:rPr>
        <w:t xml:space="preserve"> is presented in Table 2 </w:t>
      </w:r>
      <w:r w:rsidR="0088195C" w:rsidRPr="00D434EE">
        <w:rPr>
          <w:rFonts w:ascii="Times New Roman" w:hAnsi="Times New Roman"/>
          <w:sz w:val="24"/>
          <w:szCs w:val="24"/>
        </w:rPr>
        <w:t>to avoid</w:t>
      </w:r>
      <w:r w:rsidR="0088195C" w:rsidRPr="00D434EE">
        <w:rPr>
          <w:rFonts w:ascii="Times New Roman" w:hAnsi="Times New Roman"/>
          <w:b/>
          <w:bCs/>
          <w:sz w:val="24"/>
          <w:szCs w:val="24"/>
        </w:rPr>
        <w:t xml:space="preserve"> </w:t>
      </w:r>
      <w:r w:rsidR="0088195C" w:rsidRPr="00D434EE">
        <w:rPr>
          <w:rStyle w:val="Strong"/>
          <w:rFonts w:ascii="Times New Roman" w:hAnsi="Times New Roman"/>
          <w:b w:val="0"/>
          <w:bCs w:val="0"/>
          <w:sz w:val="24"/>
          <w:szCs w:val="24"/>
        </w:rPr>
        <w:t>redundancy</w:t>
      </w:r>
      <w:r w:rsidR="0088195C" w:rsidRPr="00D434EE">
        <w:rPr>
          <w:rFonts w:ascii="Times New Roman" w:hAnsi="Times New Roman"/>
          <w:b/>
          <w:bCs/>
          <w:sz w:val="24"/>
          <w:szCs w:val="24"/>
        </w:rPr>
        <w:t xml:space="preserve"> </w:t>
      </w:r>
      <w:r w:rsidR="0088195C" w:rsidRPr="00D434EE">
        <w:rPr>
          <w:rFonts w:ascii="Times New Roman" w:hAnsi="Times New Roman"/>
          <w:sz w:val="24"/>
          <w:szCs w:val="24"/>
        </w:rPr>
        <w:t>and ensure</w:t>
      </w:r>
      <w:r w:rsidR="0088195C" w:rsidRPr="00D434EE">
        <w:rPr>
          <w:rFonts w:ascii="Times New Roman" w:hAnsi="Times New Roman"/>
          <w:b/>
          <w:bCs/>
          <w:sz w:val="24"/>
          <w:szCs w:val="24"/>
        </w:rPr>
        <w:t xml:space="preserve"> </w:t>
      </w:r>
      <w:r w:rsidR="0088195C" w:rsidRPr="00D434EE">
        <w:rPr>
          <w:rStyle w:val="Strong"/>
          <w:rFonts w:ascii="Times New Roman" w:hAnsi="Times New Roman"/>
          <w:b w:val="0"/>
          <w:bCs w:val="0"/>
          <w:sz w:val="24"/>
          <w:szCs w:val="24"/>
        </w:rPr>
        <w:t>analytical clarity</w:t>
      </w:r>
      <w:r w:rsidR="0088195C" w:rsidRPr="00D434EE">
        <w:rPr>
          <w:rFonts w:ascii="Times New Roman" w:hAnsi="Times New Roman"/>
          <w:sz w:val="24"/>
          <w:szCs w:val="24"/>
        </w:rPr>
        <w:t>, particularly where findings converged or overlapped significantly.</w:t>
      </w:r>
    </w:p>
    <w:p w14:paraId="611B2D0E" w14:textId="77777777" w:rsidR="001145C9" w:rsidRPr="00D434EE" w:rsidRDefault="00873AE8" w:rsidP="0029639B">
      <w:pPr>
        <w:spacing w:line="276" w:lineRule="auto"/>
        <w:outlineLvl w:val="3"/>
        <w:rPr>
          <w:rFonts w:ascii="Times New Roman" w:eastAsia="Times New Roman" w:hAnsi="Times New Roman"/>
          <w:iCs/>
          <w:kern w:val="0"/>
          <w:sz w:val="24"/>
          <w:szCs w:val="24"/>
        </w:rPr>
      </w:pPr>
      <w:r w:rsidRPr="00D434EE">
        <w:rPr>
          <w:rFonts w:ascii="Times New Roman" w:eastAsia="Times New Roman" w:hAnsi="Times New Roman"/>
          <w:iCs/>
          <w:kern w:val="0"/>
          <w:sz w:val="24"/>
          <w:szCs w:val="24"/>
        </w:rPr>
        <w:t xml:space="preserve">Table </w:t>
      </w:r>
      <w:r w:rsidR="0088195C" w:rsidRPr="00D434EE">
        <w:rPr>
          <w:rFonts w:ascii="Times New Roman" w:eastAsia="Times New Roman" w:hAnsi="Times New Roman"/>
          <w:iCs/>
          <w:kern w:val="0"/>
          <w:sz w:val="24"/>
          <w:szCs w:val="24"/>
        </w:rPr>
        <w:t>2: Summary of Key Studies on Te</w:t>
      </w:r>
      <w:r w:rsidR="00E80CB3" w:rsidRPr="00D434EE">
        <w:rPr>
          <w:rFonts w:ascii="Times New Roman" w:eastAsia="Times New Roman" w:hAnsi="Times New Roman"/>
          <w:iCs/>
          <w:kern w:val="0"/>
          <w:sz w:val="24"/>
          <w:szCs w:val="24"/>
        </w:rPr>
        <w:t>chnological Adaptations in Mini-</w:t>
      </w:r>
      <w:r w:rsidR="0088195C" w:rsidRPr="00D434EE">
        <w:rPr>
          <w:rFonts w:ascii="Times New Roman" w:eastAsia="Times New Roman" w:hAnsi="Times New Roman"/>
          <w:iCs/>
          <w:kern w:val="0"/>
          <w:sz w:val="24"/>
          <w:szCs w:val="24"/>
        </w:rPr>
        <w:t>Grids</w:t>
      </w:r>
    </w:p>
    <w:tbl>
      <w:tblPr>
        <w:tblW w:w="935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098"/>
        <w:gridCol w:w="567"/>
        <w:gridCol w:w="1142"/>
        <w:gridCol w:w="6549"/>
      </w:tblGrid>
      <w:tr w:rsidR="001145C9" w:rsidRPr="00542FA2" w14:paraId="57AED70A" w14:textId="77777777" w:rsidTr="00A94EDC">
        <w:trPr>
          <w:trHeight w:val="640"/>
          <w:tblHeader/>
          <w:tblCellSpacing w:w="15" w:type="dxa"/>
        </w:trPr>
        <w:tc>
          <w:tcPr>
            <w:tcW w:w="0" w:type="auto"/>
            <w:tcBorders>
              <w:top w:val="single" w:sz="4" w:space="0" w:color="auto"/>
              <w:bottom w:val="single" w:sz="4" w:space="0" w:color="auto"/>
            </w:tcBorders>
            <w:vAlign w:val="center"/>
          </w:tcPr>
          <w:p w14:paraId="6A9C4DB9"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Study</w:t>
            </w:r>
          </w:p>
        </w:tc>
        <w:tc>
          <w:tcPr>
            <w:tcW w:w="0" w:type="auto"/>
            <w:tcBorders>
              <w:top w:val="single" w:sz="4" w:space="0" w:color="auto"/>
              <w:bottom w:val="single" w:sz="4" w:space="0" w:color="auto"/>
            </w:tcBorders>
            <w:vAlign w:val="center"/>
          </w:tcPr>
          <w:p w14:paraId="095E91AB"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Year</w:t>
            </w:r>
          </w:p>
        </w:tc>
        <w:tc>
          <w:tcPr>
            <w:tcW w:w="0" w:type="auto"/>
            <w:tcBorders>
              <w:top w:val="single" w:sz="4" w:space="0" w:color="auto"/>
              <w:bottom w:val="single" w:sz="4" w:space="0" w:color="auto"/>
            </w:tcBorders>
            <w:vAlign w:val="center"/>
          </w:tcPr>
          <w:p w14:paraId="0C071056"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Sample Size</w:t>
            </w:r>
          </w:p>
        </w:tc>
        <w:tc>
          <w:tcPr>
            <w:tcW w:w="6504" w:type="dxa"/>
            <w:tcBorders>
              <w:top w:val="single" w:sz="4" w:space="0" w:color="auto"/>
              <w:bottom w:val="single" w:sz="4" w:space="0" w:color="auto"/>
            </w:tcBorders>
            <w:vAlign w:val="center"/>
          </w:tcPr>
          <w:p w14:paraId="060A6419"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Key Findings</w:t>
            </w:r>
          </w:p>
        </w:tc>
      </w:tr>
      <w:tr w:rsidR="001145C9" w:rsidRPr="00542FA2" w14:paraId="600E4ACF" w14:textId="77777777" w:rsidTr="00A94EDC">
        <w:trPr>
          <w:trHeight w:val="300"/>
          <w:tblCellSpacing w:w="15" w:type="dxa"/>
        </w:trPr>
        <w:tc>
          <w:tcPr>
            <w:tcW w:w="0" w:type="auto"/>
            <w:vAlign w:val="center"/>
          </w:tcPr>
          <w:p w14:paraId="697C912B"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Kumar et al.</w:t>
            </w:r>
          </w:p>
        </w:tc>
        <w:tc>
          <w:tcPr>
            <w:tcW w:w="0" w:type="auto"/>
            <w:vAlign w:val="center"/>
          </w:tcPr>
          <w:p w14:paraId="6ADA0618" w14:textId="3A93CE7C" w:rsidR="001145C9" w:rsidRPr="00D434EE" w:rsidRDefault="0088195C" w:rsidP="0083463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202</w:t>
            </w:r>
            <w:r w:rsidR="0083463E">
              <w:rPr>
                <w:rFonts w:ascii="Times New Roman" w:eastAsia="Times New Roman" w:hAnsi="Times New Roman"/>
                <w:kern w:val="0"/>
                <w:sz w:val="24"/>
                <w:szCs w:val="24"/>
              </w:rPr>
              <w:t>1</w:t>
            </w:r>
          </w:p>
        </w:tc>
        <w:tc>
          <w:tcPr>
            <w:tcW w:w="0" w:type="auto"/>
            <w:vAlign w:val="center"/>
          </w:tcPr>
          <w:p w14:paraId="4928C100"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120 grids</w:t>
            </w:r>
          </w:p>
        </w:tc>
        <w:tc>
          <w:tcPr>
            <w:tcW w:w="6504" w:type="dxa"/>
            <w:vAlign w:val="center"/>
          </w:tcPr>
          <w:p w14:paraId="3B8107A0"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Hybrid solar-wind systems reduced downtime by 18%.</w:t>
            </w:r>
          </w:p>
        </w:tc>
      </w:tr>
      <w:tr w:rsidR="001145C9" w:rsidRPr="00542FA2" w14:paraId="29602C7F" w14:textId="77777777" w:rsidTr="00A94EDC">
        <w:trPr>
          <w:trHeight w:val="627"/>
          <w:tblCellSpacing w:w="15" w:type="dxa"/>
        </w:trPr>
        <w:tc>
          <w:tcPr>
            <w:tcW w:w="0" w:type="auto"/>
            <w:vAlign w:val="center"/>
          </w:tcPr>
          <w:p w14:paraId="0FE814D2"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Beza et al.</w:t>
            </w:r>
          </w:p>
        </w:tc>
        <w:tc>
          <w:tcPr>
            <w:tcW w:w="0" w:type="auto"/>
            <w:vAlign w:val="center"/>
          </w:tcPr>
          <w:p w14:paraId="55737C5A"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2021</w:t>
            </w:r>
          </w:p>
        </w:tc>
        <w:tc>
          <w:tcPr>
            <w:tcW w:w="0" w:type="auto"/>
            <w:vAlign w:val="center"/>
          </w:tcPr>
          <w:p w14:paraId="4A766E26"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Case study</w:t>
            </w:r>
          </w:p>
        </w:tc>
        <w:tc>
          <w:tcPr>
            <w:tcW w:w="6504" w:type="dxa"/>
            <w:vAlign w:val="center"/>
          </w:tcPr>
          <w:p w14:paraId="3C6C7F65"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Techno-economic analysis showed climate risk integration enh</w:t>
            </w:r>
            <w:r w:rsidR="00B43E10" w:rsidRPr="00D434EE">
              <w:rPr>
                <w:rFonts w:ascii="Times New Roman" w:eastAsia="Times New Roman" w:hAnsi="Times New Roman"/>
                <w:kern w:val="0"/>
                <w:sz w:val="24"/>
                <w:szCs w:val="24"/>
              </w:rPr>
              <w:t>anced system resilience in mini-</w:t>
            </w:r>
            <w:r w:rsidRPr="00D434EE">
              <w:rPr>
                <w:rFonts w:ascii="Times New Roman" w:eastAsia="Times New Roman" w:hAnsi="Times New Roman"/>
                <w:kern w:val="0"/>
                <w:sz w:val="24"/>
                <w:szCs w:val="24"/>
              </w:rPr>
              <w:t>grids.</w:t>
            </w:r>
          </w:p>
        </w:tc>
      </w:tr>
    </w:tbl>
    <w:p w14:paraId="6997BFB4" w14:textId="77777777" w:rsidR="001145C9" w:rsidRPr="00D434EE" w:rsidRDefault="001145C9" w:rsidP="00D434EE">
      <w:pPr>
        <w:spacing w:after="0" w:line="360" w:lineRule="auto"/>
        <w:outlineLvl w:val="3"/>
        <w:rPr>
          <w:rFonts w:ascii="Times New Roman" w:eastAsia="Times New Roman" w:hAnsi="Times New Roman"/>
          <w:i/>
          <w:iCs/>
          <w:kern w:val="0"/>
          <w:sz w:val="24"/>
          <w:szCs w:val="24"/>
        </w:rPr>
      </w:pPr>
    </w:p>
    <w:p w14:paraId="7DA245BD" w14:textId="0771D73D" w:rsidR="001145C9" w:rsidRPr="00D434EE" w:rsidRDefault="0088195C" w:rsidP="00D434EE">
      <w:pPr>
        <w:spacing w:after="100" w:afterAutospacing="1" w:line="360" w:lineRule="auto"/>
        <w:ind w:firstLine="567"/>
        <w:jc w:val="both"/>
        <w:rPr>
          <w:rFonts w:ascii="Times New Roman" w:eastAsia="Times New Roman" w:hAnsi="Times New Roman"/>
          <w:kern w:val="0"/>
          <w:sz w:val="24"/>
          <w:szCs w:val="24"/>
        </w:rPr>
      </w:pPr>
      <w:r w:rsidRPr="00D434EE">
        <w:rPr>
          <w:rFonts w:ascii="Times New Roman" w:hAnsi="Times New Roman"/>
          <w:sz w:val="24"/>
          <w:szCs w:val="24"/>
        </w:rPr>
        <w:t>Table 2 highlights four key studies demonstrating technologica</w:t>
      </w:r>
      <w:r w:rsidR="00B43E10" w:rsidRPr="00D434EE">
        <w:rPr>
          <w:rFonts w:ascii="Times New Roman" w:hAnsi="Times New Roman"/>
          <w:sz w:val="24"/>
          <w:szCs w:val="24"/>
        </w:rPr>
        <w:t>l innovations that improve mini-</w:t>
      </w:r>
      <w:r w:rsidRPr="00D434EE">
        <w:rPr>
          <w:rFonts w:ascii="Times New Roman" w:hAnsi="Times New Roman"/>
          <w:sz w:val="24"/>
          <w:szCs w:val="24"/>
        </w:rPr>
        <w:t xml:space="preserve">grid resilience and performance. </w:t>
      </w:r>
      <w:r w:rsidRPr="0029639B">
        <w:rPr>
          <w:rFonts w:ascii="Times New Roman" w:hAnsi="Times New Roman"/>
          <w:color w:val="000000" w:themeColor="text1"/>
          <w:sz w:val="24"/>
          <w:szCs w:val="24"/>
        </w:rPr>
        <w:t>Kumar et al.</w:t>
      </w:r>
      <w:r w:rsidR="00AB4B4F" w:rsidRPr="0029639B">
        <w:rPr>
          <w:rFonts w:ascii="Times New Roman" w:hAnsi="Times New Roman"/>
          <w:color w:val="000000" w:themeColor="text1"/>
          <w:sz w:val="24"/>
          <w:szCs w:val="24"/>
        </w:rPr>
        <w:t xml:space="preserve"> </w:t>
      </w:r>
      <w:r w:rsidR="00655765">
        <w:rPr>
          <w:rFonts w:ascii="Times New Roman" w:hAnsi="Times New Roman"/>
          <w:color w:val="000000" w:themeColor="text1"/>
          <w:sz w:val="24"/>
          <w:szCs w:val="24"/>
        </w:rPr>
        <w:t xml:space="preserve">2021 </w:t>
      </w:r>
      <w:r w:rsidRPr="00D434EE">
        <w:rPr>
          <w:rFonts w:ascii="Times New Roman" w:hAnsi="Times New Roman"/>
          <w:sz w:val="24"/>
          <w:szCs w:val="24"/>
        </w:rPr>
        <w:t>showed that hybrid solar-w</w:t>
      </w:r>
      <w:r w:rsidR="00B43E10" w:rsidRPr="00D434EE">
        <w:rPr>
          <w:rFonts w:ascii="Times New Roman" w:hAnsi="Times New Roman"/>
          <w:sz w:val="24"/>
          <w:szCs w:val="24"/>
        </w:rPr>
        <w:t>ind systems in 120 Indian mini-</w:t>
      </w:r>
      <w:r w:rsidR="00DB195A">
        <w:rPr>
          <w:rFonts w:ascii="Times New Roman" w:hAnsi="Times New Roman"/>
          <w:sz w:val="24"/>
          <w:szCs w:val="24"/>
        </w:rPr>
        <w:t>grids reduced downtime by 18%. W</w:t>
      </w:r>
      <w:r w:rsidRPr="00D434EE">
        <w:rPr>
          <w:rFonts w:ascii="Times New Roman" w:hAnsi="Times New Roman"/>
          <w:sz w:val="24"/>
          <w:szCs w:val="24"/>
        </w:rPr>
        <w:t>hile</w:t>
      </w:r>
      <w:r w:rsidR="00DB195A">
        <w:rPr>
          <w:rFonts w:ascii="Times New Roman" w:hAnsi="Times New Roman"/>
          <w:sz w:val="24"/>
          <w:szCs w:val="24"/>
        </w:rPr>
        <w:t xml:space="preserve"> </w:t>
      </w:r>
      <w:r w:rsidRPr="00D434EE">
        <w:rPr>
          <w:rFonts w:ascii="Times New Roman" w:hAnsi="Times New Roman"/>
          <w:sz w:val="24"/>
          <w:szCs w:val="24"/>
        </w:rPr>
        <w:t>Beza et al.</w:t>
      </w:r>
      <w:r w:rsidR="00B000AC">
        <w:rPr>
          <w:rFonts w:ascii="Times New Roman" w:hAnsi="Times New Roman"/>
          <w:noProof/>
          <w:sz w:val="24"/>
          <w:szCs w:val="24"/>
        </w:rPr>
        <w:t xml:space="preserve"> </w:t>
      </w:r>
      <w:r w:rsidR="00B000AC" w:rsidRPr="00B000AC">
        <w:rPr>
          <w:rFonts w:ascii="Times New Roman" w:hAnsi="Times New Roman"/>
          <w:noProof/>
          <w:sz w:val="24"/>
          <w:szCs w:val="24"/>
        </w:rPr>
        <w:t>(Beza, 2021)</w:t>
      </w:r>
      <w:r w:rsidRPr="00D434EE">
        <w:rPr>
          <w:rFonts w:ascii="Times New Roman" w:hAnsi="Times New Roman"/>
          <w:sz w:val="24"/>
          <w:szCs w:val="24"/>
        </w:rPr>
        <w:t xml:space="preserve"> conducted a techno-eco</w:t>
      </w:r>
      <w:r w:rsidR="00B43E10" w:rsidRPr="00D434EE">
        <w:rPr>
          <w:rFonts w:ascii="Times New Roman" w:hAnsi="Times New Roman"/>
          <w:sz w:val="24"/>
          <w:szCs w:val="24"/>
        </w:rPr>
        <w:t>nomic assessment of hybrid mini-</w:t>
      </w:r>
      <w:r w:rsidRPr="00D434EE">
        <w:rPr>
          <w:rFonts w:ascii="Times New Roman" w:hAnsi="Times New Roman"/>
          <w:sz w:val="24"/>
          <w:szCs w:val="24"/>
        </w:rPr>
        <w:t xml:space="preserve">grids in Lake Tana, Ethiopia, revealing that the </w:t>
      </w:r>
      <w:r w:rsidRPr="00D434EE">
        <w:rPr>
          <w:rFonts w:ascii="Times New Roman" w:hAnsi="Times New Roman"/>
          <w:sz w:val="24"/>
          <w:szCs w:val="24"/>
        </w:rPr>
        <w:lastRenderedPageBreak/>
        <w:t xml:space="preserve">integration of climate risk considerations into system design enhanced overall resilience and operational feasibility. Collectively, these studies </w:t>
      </w:r>
      <w:r w:rsidR="001D126B">
        <w:rPr>
          <w:rFonts w:ascii="Times New Roman" w:hAnsi="Times New Roman"/>
          <w:sz w:val="24"/>
          <w:szCs w:val="24"/>
        </w:rPr>
        <w:t>emphasize</w:t>
      </w:r>
      <w:r w:rsidRPr="00D434EE">
        <w:rPr>
          <w:rFonts w:ascii="Times New Roman" w:hAnsi="Times New Roman"/>
          <w:sz w:val="24"/>
          <w:szCs w:val="24"/>
        </w:rPr>
        <w:t xml:space="preserve"> the significance of hybrid energy configurations, robust storage technologies, intelligent grid management, and climate-informed planning in advancing the sustain</w:t>
      </w:r>
      <w:r w:rsidR="00B43E10" w:rsidRPr="00D434EE">
        <w:rPr>
          <w:rFonts w:ascii="Times New Roman" w:hAnsi="Times New Roman"/>
          <w:sz w:val="24"/>
          <w:szCs w:val="24"/>
        </w:rPr>
        <w:t>ability and reliability of mini-</w:t>
      </w:r>
      <w:r w:rsidRPr="00D434EE">
        <w:rPr>
          <w:rFonts w:ascii="Times New Roman" w:hAnsi="Times New Roman"/>
          <w:sz w:val="24"/>
          <w:szCs w:val="24"/>
        </w:rPr>
        <w:t>grids</w:t>
      </w:r>
      <w:r w:rsidR="00286CF8">
        <w:rPr>
          <w:rFonts w:ascii="Times New Roman" w:hAnsi="Times New Roman"/>
          <w:sz w:val="24"/>
          <w:szCs w:val="24"/>
        </w:rPr>
        <w:t>,</w:t>
      </w:r>
      <w:r w:rsidRPr="00D434EE">
        <w:rPr>
          <w:rFonts w:ascii="Times New Roman" w:hAnsi="Times New Roman"/>
          <w:sz w:val="24"/>
          <w:szCs w:val="24"/>
        </w:rPr>
        <w:t xml:space="preserve"> a case in recent Zambian energy vulnerability.</w:t>
      </w:r>
    </w:p>
    <w:p w14:paraId="555A4C56"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Policy, Governance, and Socio-Economic Considerations</w:t>
      </w:r>
    </w:p>
    <w:p w14:paraId="042F4FA5" w14:textId="109B431A" w:rsidR="00B43E10" w:rsidRPr="00D434EE" w:rsidRDefault="0088195C" w:rsidP="00A7469C">
      <w:pPr>
        <w:spacing w:before="100" w:beforeAutospacing="1"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Policy, governance, and socio-economic dynamics form </w:t>
      </w:r>
      <w:r w:rsidR="0078094E">
        <w:rPr>
          <w:rFonts w:ascii="Times New Roman" w:eastAsia="Times New Roman" w:hAnsi="Times New Roman"/>
          <w:kern w:val="0"/>
          <w:sz w:val="24"/>
          <w:szCs w:val="24"/>
        </w:rPr>
        <w:t>the primary focus of 21 of the 4</w:t>
      </w:r>
      <w:r w:rsidRPr="00D434EE">
        <w:rPr>
          <w:rFonts w:ascii="Times New Roman" w:eastAsia="Times New Roman" w:hAnsi="Times New Roman"/>
          <w:kern w:val="0"/>
          <w:sz w:val="24"/>
          <w:szCs w:val="24"/>
        </w:rPr>
        <w:t xml:space="preserve">0 studies. These works </w:t>
      </w:r>
      <w:r w:rsidR="00D14757">
        <w:rPr>
          <w:rFonts w:ascii="Times New Roman" w:eastAsia="Times New Roman" w:hAnsi="Times New Roman"/>
          <w:kern w:val="0"/>
          <w:sz w:val="24"/>
          <w:szCs w:val="24"/>
        </w:rPr>
        <w:t>emphasize</w:t>
      </w:r>
      <w:r w:rsidRPr="00D434EE">
        <w:rPr>
          <w:rFonts w:ascii="Times New Roman" w:eastAsia="Times New Roman" w:hAnsi="Times New Roman"/>
          <w:kern w:val="0"/>
          <w:sz w:val="24"/>
          <w:szCs w:val="24"/>
        </w:rPr>
        <w:t xml:space="preserve"> that enabling environments, </w:t>
      </w:r>
      <w:r w:rsidR="00D14757">
        <w:rPr>
          <w:rFonts w:ascii="Times New Roman" w:eastAsia="Times New Roman" w:hAnsi="Times New Roman"/>
          <w:kern w:val="0"/>
          <w:sz w:val="24"/>
          <w:szCs w:val="24"/>
        </w:rPr>
        <w:t>characterized</w:t>
      </w:r>
      <w:r w:rsidRPr="00D434EE">
        <w:rPr>
          <w:rFonts w:ascii="Times New Roman" w:eastAsia="Times New Roman" w:hAnsi="Times New Roman"/>
          <w:kern w:val="0"/>
          <w:sz w:val="24"/>
          <w:szCs w:val="24"/>
        </w:rPr>
        <w:t xml:space="preserve"> by clear regulatory frameworks, community engagement, and inclusive governance, are</w:t>
      </w:r>
      <w:r w:rsidR="00B43E10" w:rsidRPr="00D434EE">
        <w:rPr>
          <w:rFonts w:ascii="Times New Roman" w:eastAsia="Times New Roman" w:hAnsi="Times New Roman"/>
          <w:kern w:val="0"/>
          <w:sz w:val="24"/>
          <w:szCs w:val="24"/>
        </w:rPr>
        <w:t xml:space="preserve"> crucial for climate-proof mini-</w:t>
      </w:r>
      <w:r w:rsidRPr="00D434EE">
        <w:rPr>
          <w:rFonts w:ascii="Times New Roman" w:eastAsia="Times New Roman" w:hAnsi="Times New Roman"/>
          <w:kern w:val="0"/>
          <w:sz w:val="24"/>
          <w:szCs w:val="24"/>
        </w:rPr>
        <w:t xml:space="preserve">grid success. </w:t>
      </w:r>
      <w:r w:rsidRPr="00D434EE">
        <w:rPr>
          <w:rFonts w:ascii="Times New Roman" w:hAnsi="Times New Roman"/>
          <w:sz w:val="24"/>
          <w:szCs w:val="24"/>
        </w:rPr>
        <w:t xml:space="preserve">Importantly, </w:t>
      </w:r>
      <w:r w:rsidRPr="00D434EE">
        <w:rPr>
          <w:rStyle w:val="Strong"/>
          <w:rFonts w:ascii="Times New Roman" w:hAnsi="Times New Roman"/>
          <w:b w:val="0"/>
          <w:bCs w:val="0"/>
          <w:sz w:val="24"/>
          <w:szCs w:val="24"/>
        </w:rPr>
        <w:t>not all 21 studies are presented</w:t>
      </w:r>
      <w:r w:rsidRPr="00D434EE">
        <w:rPr>
          <w:rFonts w:ascii="Times New Roman" w:hAnsi="Times New Roman"/>
          <w:sz w:val="24"/>
          <w:szCs w:val="24"/>
        </w:rPr>
        <w:t xml:space="preserve"> here to avoid redundancy and maintain thematic </w:t>
      </w:r>
      <w:r w:rsidR="00951A76" w:rsidRPr="00D434EE">
        <w:rPr>
          <w:rFonts w:ascii="Times New Roman" w:hAnsi="Times New Roman"/>
          <w:sz w:val="24"/>
          <w:szCs w:val="24"/>
        </w:rPr>
        <w:t xml:space="preserve">clarity. Instead, Table 3 </w:t>
      </w:r>
      <w:r w:rsidRPr="00D434EE">
        <w:rPr>
          <w:rFonts w:ascii="Times New Roman" w:hAnsi="Times New Roman"/>
          <w:sz w:val="24"/>
          <w:szCs w:val="24"/>
        </w:rPr>
        <w:t xml:space="preserve">highlights a </w:t>
      </w:r>
      <w:r w:rsidRPr="00D434EE">
        <w:rPr>
          <w:rStyle w:val="Strong"/>
          <w:rFonts w:ascii="Times New Roman" w:hAnsi="Times New Roman"/>
          <w:b w:val="0"/>
          <w:bCs w:val="0"/>
          <w:sz w:val="24"/>
          <w:szCs w:val="24"/>
        </w:rPr>
        <w:t>select set of representative studies</w:t>
      </w:r>
      <w:r w:rsidRPr="00D434EE">
        <w:rPr>
          <w:rFonts w:ascii="Times New Roman" w:hAnsi="Times New Roman"/>
          <w:sz w:val="24"/>
          <w:szCs w:val="24"/>
        </w:rPr>
        <w:t xml:space="preserve"> that </w:t>
      </w:r>
      <w:r w:rsidR="00286CF8">
        <w:rPr>
          <w:rFonts w:ascii="Times New Roman" w:hAnsi="Times New Roman"/>
          <w:sz w:val="24"/>
          <w:szCs w:val="24"/>
        </w:rPr>
        <w:t>exemplify</w:t>
      </w:r>
      <w:r w:rsidRPr="00D434EE">
        <w:rPr>
          <w:rFonts w:ascii="Times New Roman" w:hAnsi="Times New Roman"/>
          <w:sz w:val="24"/>
          <w:szCs w:val="24"/>
        </w:rPr>
        <w:t xml:space="preserve"> the varied governance and socio</w:t>
      </w:r>
      <w:r w:rsidR="00B43E10" w:rsidRPr="00D434EE">
        <w:rPr>
          <w:rFonts w:ascii="Times New Roman" w:hAnsi="Times New Roman"/>
          <w:sz w:val="24"/>
          <w:szCs w:val="24"/>
        </w:rPr>
        <w:t>-economic dynamics shaping mini-</w:t>
      </w:r>
      <w:r w:rsidRPr="00D434EE">
        <w:rPr>
          <w:rFonts w:ascii="Times New Roman" w:hAnsi="Times New Roman"/>
          <w:sz w:val="24"/>
          <w:szCs w:val="24"/>
        </w:rPr>
        <w:t xml:space="preserve">grid outcomes in low- and middle-income countries. </w:t>
      </w:r>
      <w:r w:rsidR="00951A76" w:rsidRPr="00D434EE">
        <w:rPr>
          <w:rFonts w:ascii="Times New Roman" w:eastAsia="Times New Roman" w:hAnsi="Times New Roman"/>
          <w:kern w:val="0"/>
          <w:sz w:val="24"/>
          <w:szCs w:val="24"/>
        </w:rPr>
        <w:t>Table 3</w:t>
      </w:r>
      <w:r w:rsidRPr="00D434EE">
        <w:rPr>
          <w:rFonts w:ascii="Times New Roman" w:eastAsia="Times New Roman" w:hAnsi="Times New Roman"/>
          <w:kern w:val="0"/>
          <w:sz w:val="24"/>
          <w:szCs w:val="24"/>
        </w:rPr>
        <w:t xml:space="preserve"> presents the summary of the results.</w:t>
      </w:r>
    </w:p>
    <w:p w14:paraId="260F1C99" w14:textId="1C288111" w:rsidR="001145C9" w:rsidRPr="00D434EE" w:rsidRDefault="0088195C" w:rsidP="00D606B8">
      <w:pPr>
        <w:spacing w:line="276" w:lineRule="auto"/>
        <w:jc w:val="both"/>
        <w:rPr>
          <w:rFonts w:ascii="Times New Roman" w:eastAsia="Times New Roman" w:hAnsi="Times New Roman"/>
          <w:iCs/>
          <w:kern w:val="0"/>
          <w:sz w:val="24"/>
          <w:szCs w:val="24"/>
        </w:rPr>
      </w:pPr>
      <w:r w:rsidRPr="00D434EE">
        <w:rPr>
          <w:rFonts w:ascii="Times New Roman" w:eastAsia="Times New Roman" w:hAnsi="Times New Roman"/>
          <w:iCs/>
          <w:kern w:val="0"/>
          <w:sz w:val="24"/>
          <w:szCs w:val="24"/>
        </w:rPr>
        <w:t>Table 3</w:t>
      </w:r>
      <w:r w:rsidR="00286CF8" w:rsidRPr="00D434EE">
        <w:rPr>
          <w:rFonts w:ascii="Times New Roman" w:eastAsia="Times New Roman" w:hAnsi="Times New Roman"/>
          <w:iCs/>
          <w:kern w:val="0"/>
          <w:sz w:val="24"/>
          <w:szCs w:val="24"/>
        </w:rPr>
        <w:t>: Selected</w:t>
      </w:r>
      <w:r w:rsidRPr="00D434EE">
        <w:rPr>
          <w:rFonts w:ascii="Times New Roman" w:eastAsia="Times New Roman" w:hAnsi="Times New Roman"/>
          <w:iCs/>
          <w:kern w:val="0"/>
          <w:sz w:val="24"/>
          <w:szCs w:val="24"/>
        </w:rPr>
        <w:t xml:space="preserve"> Studies on Policy, Governance, and So</w:t>
      </w:r>
      <w:r w:rsidR="00951A76" w:rsidRPr="00D434EE">
        <w:rPr>
          <w:rFonts w:ascii="Times New Roman" w:eastAsia="Times New Roman" w:hAnsi="Times New Roman"/>
          <w:iCs/>
          <w:kern w:val="0"/>
          <w:sz w:val="24"/>
          <w:szCs w:val="24"/>
        </w:rPr>
        <w:t>cio-Economic Dimensions of Mini-</w:t>
      </w:r>
      <w:r w:rsidRPr="00D434EE">
        <w:rPr>
          <w:rFonts w:ascii="Times New Roman" w:eastAsia="Times New Roman" w:hAnsi="Times New Roman"/>
          <w:iCs/>
          <w:kern w:val="0"/>
          <w:sz w:val="24"/>
          <w:szCs w:val="24"/>
        </w:rPr>
        <w:t>Grids</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0"/>
        <w:gridCol w:w="1084"/>
        <w:gridCol w:w="1984"/>
        <w:gridCol w:w="4253"/>
      </w:tblGrid>
      <w:tr w:rsidR="001145C9" w:rsidRPr="00542FA2" w14:paraId="7C8637D5" w14:textId="77777777" w:rsidTr="0092324C">
        <w:trPr>
          <w:trHeight w:val="599"/>
          <w:tblHeader/>
          <w:tblCellSpacing w:w="15" w:type="dxa"/>
        </w:trPr>
        <w:tc>
          <w:tcPr>
            <w:tcW w:w="0" w:type="auto"/>
            <w:vAlign w:val="center"/>
          </w:tcPr>
          <w:p w14:paraId="2CC8E124"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Study</w:t>
            </w:r>
          </w:p>
        </w:tc>
        <w:tc>
          <w:tcPr>
            <w:tcW w:w="1054" w:type="dxa"/>
            <w:vAlign w:val="center"/>
          </w:tcPr>
          <w:p w14:paraId="3171E777"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Year</w:t>
            </w:r>
          </w:p>
        </w:tc>
        <w:tc>
          <w:tcPr>
            <w:tcW w:w="1954" w:type="dxa"/>
            <w:vAlign w:val="center"/>
          </w:tcPr>
          <w:p w14:paraId="79C97B58"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Sample Size / Scope</w:t>
            </w:r>
          </w:p>
        </w:tc>
        <w:tc>
          <w:tcPr>
            <w:tcW w:w="4208" w:type="dxa"/>
            <w:vAlign w:val="center"/>
          </w:tcPr>
          <w:p w14:paraId="418DEB3C"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Key Findings</w:t>
            </w:r>
          </w:p>
        </w:tc>
      </w:tr>
      <w:tr w:rsidR="001145C9" w:rsidRPr="00542FA2" w14:paraId="48830CD1" w14:textId="77777777" w:rsidTr="0092324C">
        <w:trPr>
          <w:trHeight w:val="868"/>
          <w:tblCellSpacing w:w="15" w:type="dxa"/>
        </w:trPr>
        <w:tc>
          <w:tcPr>
            <w:tcW w:w="0" w:type="auto"/>
            <w:vAlign w:val="center"/>
          </w:tcPr>
          <w:p w14:paraId="4418DAD1"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Bhattacharyya et al. (India)</w:t>
            </w:r>
          </w:p>
        </w:tc>
        <w:tc>
          <w:tcPr>
            <w:tcW w:w="1054" w:type="dxa"/>
            <w:vAlign w:val="center"/>
          </w:tcPr>
          <w:p w14:paraId="088F6842"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2018</w:t>
            </w:r>
          </w:p>
        </w:tc>
        <w:tc>
          <w:tcPr>
            <w:tcW w:w="1954" w:type="dxa"/>
            <w:vAlign w:val="center"/>
          </w:tcPr>
          <w:p w14:paraId="009F67C6" w14:textId="77777777" w:rsidR="001145C9" w:rsidRPr="00D434EE" w:rsidRDefault="00B43E10"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24 community-owned mini-</w:t>
            </w:r>
            <w:r w:rsidR="0088195C" w:rsidRPr="00D434EE">
              <w:rPr>
                <w:rFonts w:ascii="Times New Roman" w:eastAsia="Times New Roman" w:hAnsi="Times New Roman"/>
                <w:kern w:val="0"/>
                <w:sz w:val="24"/>
                <w:szCs w:val="24"/>
              </w:rPr>
              <w:t>grids</w:t>
            </w:r>
          </w:p>
        </w:tc>
        <w:tc>
          <w:tcPr>
            <w:tcW w:w="4208" w:type="dxa"/>
            <w:vAlign w:val="center"/>
          </w:tcPr>
          <w:p w14:paraId="7E5CC874"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Strong local governance and early community involvement enhanced long-term sustainability.</w:t>
            </w:r>
          </w:p>
        </w:tc>
      </w:tr>
      <w:tr w:rsidR="001145C9" w:rsidRPr="00542FA2" w14:paraId="6C055735" w14:textId="77777777" w:rsidTr="0092324C">
        <w:trPr>
          <w:trHeight w:val="880"/>
          <w:tblCellSpacing w:w="15" w:type="dxa"/>
        </w:trPr>
        <w:tc>
          <w:tcPr>
            <w:tcW w:w="0" w:type="auto"/>
            <w:vAlign w:val="center"/>
          </w:tcPr>
          <w:p w14:paraId="668F8AE9"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Kinhonhi (Uganda)</w:t>
            </w:r>
          </w:p>
        </w:tc>
        <w:tc>
          <w:tcPr>
            <w:tcW w:w="1054" w:type="dxa"/>
            <w:vAlign w:val="center"/>
          </w:tcPr>
          <w:p w14:paraId="2BD0F672"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2019</w:t>
            </w:r>
          </w:p>
        </w:tc>
        <w:tc>
          <w:tcPr>
            <w:tcW w:w="1954" w:type="dxa"/>
            <w:vAlign w:val="center"/>
          </w:tcPr>
          <w:p w14:paraId="0A8B392D" w14:textId="77777777" w:rsidR="001145C9" w:rsidRPr="00D434EE" w:rsidRDefault="00B43E10"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4 mini-</w:t>
            </w:r>
            <w:r w:rsidR="0088195C" w:rsidRPr="00D434EE">
              <w:rPr>
                <w:rFonts w:ascii="Times New Roman" w:eastAsia="Times New Roman" w:hAnsi="Times New Roman"/>
                <w:kern w:val="0"/>
                <w:sz w:val="24"/>
                <w:szCs w:val="24"/>
              </w:rPr>
              <w:t>grid companies</w:t>
            </w:r>
          </w:p>
        </w:tc>
        <w:tc>
          <w:tcPr>
            <w:tcW w:w="4208" w:type="dxa"/>
            <w:vAlign w:val="center"/>
          </w:tcPr>
          <w:p w14:paraId="1A1D2AF2"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Institutional weaknesses and regulatory gaps undermined financial performance despite revenue growth.</w:t>
            </w:r>
          </w:p>
        </w:tc>
      </w:tr>
      <w:tr w:rsidR="001145C9" w:rsidRPr="00542FA2" w14:paraId="294B8B59" w14:textId="77777777" w:rsidTr="0092324C">
        <w:trPr>
          <w:trHeight w:val="868"/>
          <w:tblCellSpacing w:w="15" w:type="dxa"/>
        </w:trPr>
        <w:tc>
          <w:tcPr>
            <w:tcW w:w="0" w:type="auto"/>
            <w:vAlign w:val="center"/>
          </w:tcPr>
          <w:p w14:paraId="23EF8F88"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Greacen et al. (Myanmar)</w:t>
            </w:r>
          </w:p>
        </w:tc>
        <w:tc>
          <w:tcPr>
            <w:tcW w:w="1054" w:type="dxa"/>
            <w:vAlign w:val="center"/>
          </w:tcPr>
          <w:p w14:paraId="386210E0"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2020</w:t>
            </w:r>
          </w:p>
        </w:tc>
        <w:tc>
          <w:tcPr>
            <w:tcW w:w="1954" w:type="dxa"/>
            <w:vAlign w:val="center"/>
          </w:tcPr>
          <w:p w14:paraId="252E2B42"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National policy review</w:t>
            </w:r>
          </w:p>
        </w:tc>
        <w:tc>
          <w:tcPr>
            <w:tcW w:w="4208" w:type="dxa"/>
            <w:vAlign w:val="center"/>
          </w:tcPr>
          <w:p w14:paraId="773E3A32"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Lack of consistent rural electrification policies impede</w:t>
            </w:r>
            <w:r w:rsidR="00B43E10" w:rsidRPr="00D434EE">
              <w:rPr>
                <w:rFonts w:ascii="Times New Roman" w:eastAsia="Times New Roman" w:hAnsi="Times New Roman"/>
                <w:kern w:val="0"/>
                <w:sz w:val="24"/>
                <w:szCs w:val="24"/>
              </w:rPr>
              <w:t>d scaling of community-led mini-</w:t>
            </w:r>
            <w:r w:rsidRPr="00D434EE">
              <w:rPr>
                <w:rFonts w:ascii="Times New Roman" w:eastAsia="Times New Roman" w:hAnsi="Times New Roman"/>
                <w:kern w:val="0"/>
                <w:sz w:val="24"/>
                <w:szCs w:val="24"/>
              </w:rPr>
              <w:t>grids.</w:t>
            </w:r>
          </w:p>
        </w:tc>
      </w:tr>
    </w:tbl>
    <w:p w14:paraId="4BE83714" w14:textId="77777777" w:rsidR="001145C9" w:rsidRPr="00D434EE" w:rsidRDefault="001145C9" w:rsidP="00D434EE">
      <w:pPr>
        <w:spacing w:after="0" w:line="360" w:lineRule="auto"/>
        <w:jc w:val="both"/>
        <w:rPr>
          <w:rFonts w:ascii="Times New Roman" w:hAnsi="Times New Roman"/>
          <w:sz w:val="24"/>
          <w:szCs w:val="24"/>
        </w:rPr>
      </w:pPr>
    </w:p>
    <w:p w14:paraId="771FC844" w14:textId="2394CCCE" w:rsidR="00D14757" w:rsidRPr="00280FEE" w:rsidRDefault="0088195C" w:rsidP="00280FEE">
      <w:pPr>
        <w:spacing w:after="0" w:line="360" w:lineRule="auto"/>
        <w:ind w:firstLine="567"/>
        <w:jc w:val="both"/>
        <w:rPr>
          <w:rFonts w:ascii="Times New Roman" w:hAnsi="Times New Roman"/>
          <w:sz w:val="24"/>
          <w:szCs w:val="24"/>
        </w:rPr>
      </w:pPr>
      <w:r w:rsidRPr="00D434EE">
        <w:rPr>
          <w:rFonts w:ascii="Times New Roman" w:hAnsi="Times New Roman"/>
          <w:sz w:val="24"/>
          <w:szCs w:val="24"/>
        </w:rPr>
        <w:t>Table 3 presents a selection of key studies that explore how policy, governance, and socio-economic factors influence the suc</w:t>
      </w:r>
      <w:r w:rsidR="00B43E10" w:rsidRPr="00D434EE">
        <w:rPr>
          <w:rFonts w:ascii="Times New Roman" w:hAnsi="Times New Roman"/>
          <w:sz w:val="24"/>
          <w:szCs w:val="24"/>
        </w:rPr>
        <w:t xml:space="preserve">cess and sustainability of </w:t>
      </w:r>
      <w:r w:rsidR="00B84DBF">
        <w:rPr>
          <w:rFonts w:ascii="Times New Roman" w:hAnsi="Times New Roman"/>
          <w:sz w:val="24"/>
          <w:szCs w:val="24"/>
        </w:rPr>
        <w:t>mini-</w:t>
      </w:r>
      <w:r w:rsidR="00286CF8" w:rsidRPr="00D434EE">
        <w:rPr>
          <w:rFonts w:ascii="Times New Roman" w:hAnsi="Times New Roman"/>
          <w:sz w:val="24"/>
          <w:szCs w:val="24"/>
        </w:rPr>
        <w:t>grids</w:t>
      </w:r>
      <w:r w:rsidRPr="00D434EE">
        <w:rPr>
          <w:rFonts w:ascii="Times New Roman" w:hAnsi="Times New Roman"/>
          <w:sz w:val="24"/>
          <w:szCs w:val="24"/>
        </w:rPr>
        <w:t xml:space="preserve"> across various contexts. </w:t>
      </w:r>
      <w:r w:rsidRPr="00D434EE">
        <w:rPr>
          <w:rFonts w:ascii="Times New Roman" w:hAnsi="Times New Roman"/>
          <w:sz w:val="24"/>
          <w:szCs w:val="24"/>
        </w:rPr>
        <w:lastRenderedPageBreak/>
        <w:t>Bhattacharyya et al.</w:t>
      </w:r>
      <w:r w:rsidR="00B000AC">
        <w:rPr>
          <w:rFonts w:ascii="Times New Roman" w:hAnsi="Times New Roman"/>
          <w:noProof/>
          <w:sz w:val="24"/>
          <w:szCs w:val="24"/>
        </w:rPr>
        <w:t xml:space="preserve"> </w:t>
      </w:r>
      <w:r w:rsidR="00B000AC" w:rsidRPr="00B000AC">
        <w:rPr>
          <w:rFonts w:ascii="Times New Roman" w:hAnsi="Times New Roman"/>
          <w:noProof/>
          <w:sz w:val="24"/>
          <w:szCs w:val="24"/>
        </w:rPr>
        <w:t>(Bhattacharyya, 2018)</w:t>
      </w:r>
      <w:r w:rsidRPr="00D434EE">
        <w:rPr>
          <w:rFonts w:ascii="Times New Roman" w:hAnsi="Times New Roman"/>
          <w:sz w:val="24"/>
          <w:szCs w:val="24"/>
        </w:rPr>
        <w:t>, s</w:t>
      </w:r>
      <w:r w:rsidR="00CD5C42" w:rsidRPr="00D434EE">
        <w:rPr>
          <w:rFonts w:ascii="Times New Roman" w:hAnsi="Times New Roman"/>
          <w:sz w:val="24"/>
          <w:szCs w:val="24"/>
        </w:rPr>
        <w:t>tudying 24 community-owned mini-</w:t>
      </w:r>
      <w:r w:rsidRPr="00D434EE">
        <w:rPr>
          <w:rFonts w:ascii="Times New Roman" w:hAnsi="Times New Roman"/>
          <w:sz w:val="24"/>
          <w:szCs w:val="24"/>
        </w:rPr>
        <w:t>grids in India, found that strong local governance and early community involvement were critical for ensuring long-term sustainability. In contrast, Kinhonhi</w:t>
      </w:r>
      <w:r w:rsidR="00B000AC">
        <w:rPr>
          <w:rFonts w:ascii="Times New Roman" w:hAnsi="Times New Roman"/>
          <w:noProof/>
          <w:sz w:val="24"/>
          <w:szCs w:val="24"/>
        </w:rPr>
        <w:t xml:space="preserve"> </w:t>
      </w:r>
      <w:r w:rsidR="00B000AC" w:rsidRPr="00B000AC">
        <w:rPr>
          <w:rFonts w:ascii="Times New Roman" w:hAnsi="Times New Roman"/>
          <w:noProof/>
          <w:sz w:val="24"/>
          <w:szCs w:val="24"/>
        </w:rPr>
        <w:t>(Kinhonhi, 2019)</w:t>
      </w:r>
      <w:r w:rsidRPr="00D434EE">
        <w:rPr>
          <w:rFonts w:ascii="Times New Roman" w:hAnsi="Times New Roman"/>
          <w:sz w:val="24"/>
          <w:szCs w:val="24"/>
        </w:rPr>
        <w:t xml:space="preserve"> identified how institutional weaknesses and regulatory gaps in Uganda negatively affected the fin</w:t>
      </w:r>
      <w:r w:rsidR="00B43E10" w:rsidRPr="00D434EE">
        <w:rPr>
          <w:rFonts w:ascii="Times New Roman" w:hAnsi="Times New Roman"/>
          <w:sz w:val="24"/>
          <w:szCs w:val="24"/>
        </w:rPr>
        <w:t>ancial performance of four mini-</w:t>
      </w:r>
      <w:r w:rsidRPr="00D434EE">
        <w:rPr>
          <w:rFonts w:ascii="Times New Roman" w:hAnsi="Times New Roman"/>
          <w:sz w:val="24"/>
          <w:szCs w:val="24"/>
        </w:rPr>
        <w:t>grid companies, despite observable revenue growth. Greacen et al.</w:t>
      </w:r>
      <w:r w:rsidR="00B000AC">
        <w:rPr>
          <w:rFonts w:ascii="Times New Roman" w:hAnsi="Times New Roman"/>
          <w:noProof/>
          <w:sz w:val="24"/>
          <w:szCs w:val="24"/>
        </w:rPr>
        <w:t xml:space="preserve"> </w:t>
      </w:r>
      <w:r w:rsidR="00B000AC" w:rsidRPr="00B000AC">
        <w:rPr>
          <w:rFonts w:ascii="Times New Roman" w:hAnsi="Times New Roman"/>
          <w:noProof/>
          <w:sz w:val="24"/>
          <w:szCs w:val="24"/>
        </w:rPr>
        <w:t>(Greacen, 2020)</w:t>
      </w:r>
      <w:r w:rsidRPr="00D434EE">
        <w:rPr>
          <w:rFonts w:ascii="Times New Roman" w:hAnsi="Times New Roman"/>
          <w:sz w:val="24"/>
          <w:szCs w:val="24"/>
        </w:rPr>
        <w:t xml:space="preserve">, through a national policy review in Myanmar, </w:t>
      </w:r>
      <w:r w:rsidR="001D126B">
        <w:rPr>
          <w:rFonts w:ascii="Times New Roman" w:hAnsi="Times New Roman"/>
          <w:sz w:val="24"/>
          <w:szCs w:val="24"/>
        </w:rPr>
        <w:t>emphasized</w:t>
      </w:r>
      <w:r w:rsidRPr="00D434EE">
        <w:rPr>
          <w:rFonts w:ascii="Times New Roman" w:hAnsi="Times New Roman"/>
          <w:sz w:val="24"/>
          <w:szCs w:val="24"/>
        </w:rPr>
        <w:t xml:space="preserve"> that inconsistent rural electrification policies hindered the sc</w:t>
      </w:r>
      <w:r w:rsidR="00B43E10" w:rsidRPr="00D434EE">
        <w:rPr>
          <w:rFonts w:ascii="Times New Roman" w:hAnsi="Times New Roman"/>
          <w:sz w:val="24"/>
          <w:szCs w:val="24"/>
        </w:rPr>
        <w:t>alability of community-led mini-</w:t>
      </w:r>
      <w:r w:rsidR="000F0C12">
        <w:rPr>
          <w:rFonts w:ascii="Times New Roman" w:hAnsi="Times New Roman"/>
          <w:sz w:val="24"/>
          <w:szCs w:val="24"/>
        </w:rPr>
        <w:t xml:space="preserve">grids. </w:t>
      </w:r>
      <w:r w:rsidRPr="00D434EE">
        <w:rPr>
          <w:rFonts w:ascii="Times New Roman" w:hAnsi="Times New Roman"/>
          <w:sz w:val="24"/>
          <w:szCs w:val="24"/>
        </w:rPr>
        <w:t>Collectively, these studies highlight that</w:t>
      </w:r>
      <w:r w:rsidR="00286CF8">
        <w:rPr>
          <w:rFonts w:ascii="Times New Roman" w:hAnsi="Times New Roman"/>
          <w:sz w:val="24"/>
          <w:szCs w:val="24"/>
        </w:rPr>
        <w:t>,</w:t>
      </w:r>
      <w:r w:rsidRPr="00D434EE">
        <w:rPr>
          <w:rFonts w:ascii="Times New Roman" w:hAnsi="Times New Roman"/>
          <w:sz w:val="24"/>
          <w:szCs w:val="24"/>
        </w:rPr>
        <w:t xml:space="preserve"> beyond technical solutions, inclusive governance, coherent policy, and community engagement are essential to the resilience and socio-economic impact of mini grid systems.</w:t>
      </w:r>
    </w:p>
    <w:p w14:paraId="5ABDBB16" w14:textId="77777777" w:rsidR="001145C9" w:rsidRPr="00D434EE" w:rsidRDefault="0088195C" w:rsidP="00D434EE">
      <w:pPr>
        <w:pStyle w:val="ListParagraph"/>
        <w:numPr>
          <w:ilvl w:val="1"/>
          <w:numId w:val="7"/>
        </w:numPr>
        <w:spacing w:before="100" w:beforeAutospacing="1" w:after="100" w:afterAutospacing="1"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Quantitative Performance Outcomes</w:t>
      </w:r>
    </w:p>
    <w:p w14:paraId="3BBF1EB9" w14:textId="77777777"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F</w:t>
      </w:r>
      <w:r w:rsidR="00593B56" w:rsidRPr="00D434EE">
        <w:rPr>
          <w:rFonts w:ascii="Times New Roman" w:eastAsia="Times New Roman" w:hAnsi="Times New Roman"/>
          <w:kern w:val="0"/>
          <w:sz w:val="24"/>
          <w:szCs w:val="24"/>
        </w:rPr>
        <w:t>our</w:t>
      </w:r>
      <w:r w:rsidRPr="00D434EE">
        <w:rPr>
          <w:rFonts w:ascii="Times New Roman" w:eastAsia="Times New Roman" w:hAnsi="Times New Roman"/>
          <w:kern w:val="0"/>
          <w:sz w:val="24"/>
          <w:szCs w:val="24"/>
        </w:rPr>
        <w:t xml:space="preserve"> quantitatively rig</w:t>
      </w:r>
      <w:r w:rsidR="008A373B">
        <w:rPr>
          <w:rFonts w:ascii="Times New Roman" w:eastAsia="Times New Roman" w:hAnsi="Times New Roman"/>
          <w:kern w:val="0"/>
          <w:sz w:val="24"/>
          <w:szCs w:val="24"/>
        </w:rPr>
        <w:t>orous studies within the total 4</w:t>
      </w:r>
      <w:r w:rsidRPr="00D434EE">
        <w:rPr>
          <w:rFonts w:ascii="Times New Roman" w:eastAsia="Times New Roman" w:hAnsi="Times New Roman"/>
          <w:kern w:val="0"/>
          <w:sz w:val="24"/>
          <w:szCs w:val="24"/>
        </w:rPr>
        <w:t>0 provide meta-analytic data on the effe</w:t>
      </w:r>
      <w:r w:rsidR="00B43E10" w:rsidRPr="00D434EE">
        <w:rPr>
          <w:rFonts w:ascii="Times New Roman" w:eastAsia="Times New Roman" w:hAnsi="Times New Roman"/>
          <w:kern w:val="0"/>
          <w:sz w:val="24"/>
          <w:szCs w:val="24"/>
        </w:rPr>
        <w:t>ctiveness of climate-proof mini-</w:t>
      </w:r>
      <w:r w:rsidRPr="00D434EE">
        <w:rPr>
          <w:rFonts w:ascii="Times New Roman" w:eastAsia="Times New Roman" w:hAnsi="Times New Roman"/>
          <w:kern w:val="0"/>
          <w:sz w:val="24"/>
          <w:szCs w:val="24"/>
        </w:rPr>
        <w:t>grid designs. Key outcomes demonstrate statistically significant improvements in system reliability, cost efficiency, and envi</w:t>
      </w:r>
      <w:r w:rsidR="006B203B" w:rsidRPr="00D434EE">
        <w:rPr>
          <w:rFonts w:ascii="Times New Roman" w:eastAsia="Times New Roman" w:hAnsi="Times New Roman"/>
          <w:kern w:val="0"/>
          <w:sz w:val="24"/>
          <w:szCs w:val="24"/>
        </w:rPr>
        <w:t xml:space="preserve">ronmental impact. Table 4 </w:t>
      </w:r>
      <w:r w:rsidRPr="00D434EE">
        <w:rPr>
          <w:rFonts w:ascii="Times New Roman" w:eastAsia="Times New Roman" w:hAnsi="Times New Roman"/>
          <w:kern w:val="0"/>
          <w:sz w:val="24"/>
          <w:szCs w:val="24"/>
        </w:rPr>
        <w:t>provide</w:t>
      </w:r>
      <w:r w:rsidR="00B43E10" w:rsidRPr="00D434EE">
        <w:rPr>
          <w:rFonts w:ascii="Times New Roman" w:eastAsia="Times New Roman" w:hAnsi="Times New Roman"/>
          <w:kern w:val="0"/>
          <w:sz w:val="24"/>
          <w:szCs w:val="24"/>
        </w:rPr>
        <w:t>s</w:t>
      </w:r>
      <w:r w:rsidRPr="00D434EE">
        <w:rPr>
          <w:rFonts w:ascii="Times New Roman" w:eastAsia="Times New Roman" w:hAnsi="Times New Roman"/>
          <w:kern w:val="0"/>
          <w:sz w:val="24"/>
          <w:szCs w:val="24"/>
        </w:rPr>
        <w:t xml:space="preserve"> the details.</w:t>
      </w:r>
    </w:p>
    <w:p w14:paraId="2E0A6FFB" w14:textId="77777777" w:rsidR="001145C9" w:rsidRPr="00D434EE" w:rsidRDefault="0088195C" w:rsidP="00953485">
      <w:pPr>
        <w:pStyle w:val="Heading3"/>
        <w:spacing w:line="276" w:lineRule="auto"/>
        <w:rPr>
          <w:rFonts w:ascii="Times New Roman" w:eastAsia="Times New Roman" w:hAnsi="Times New Roman"/>
          <w:iCs/>
          <w:color w:val="auto"/>
          <w:kern w:val="0"/>
          <w:sz w:val="24"/>
          <w:szCs w:val="24"/>
        </w:rPr>
      </w:pPr>
      <w:r w:rsidRPr="00D434EE">
        <w:rPr>
          <w:rFonts w:ascii="Times New Roman" w:eastAsia="Times New Roman" w:hAnsi="Times New Roman"/>
          <w:iCs/>
          <w:color w:val="auto"/>
          <w:kern w:val="0"/>
          <w:sz w:val="24"/>
          <w:szCs w:val="24"/>
        </w:rPr>
        <w:t>Table 4: Verified Performance Metrics of Mini</w:t>
      </w:r>
      <w:r w:rsidRPr="00D434EE">
        <w:rPr>
          <w:rFonts w:ascii="Times New Roman" w:eastAsia="Times New Roman" w:hAnsi="Times New Roman"/>
          <w:iCs/>
          <w:color w:val="auto"/>
          <w:kern w:val="0"/>
          <w:sz w:val="24"/>
          <w:szCs w:val="24"/>
        </w:rPr>
        <w:noBreakHyphen/>
        <w:t>Grid Systems</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1"/>
        <w:gridCol w:w="1862"/>
        <w:gridCol w:w="1418"/>
        <w:gridCol w:w="3260"/>
      </w:tblGrid>
      <w:tr w:rsidR="001145C9" w:rsidRPr="00542FA2" w14:paraId="47C5356F" w14:textId="77777777" w:rsidTr="006B0F45">
        <w:trPr>
          <w:trHeight w:val="579"/>
          <w:tblHeader/>
          <w:tblCellSpacing w:w="15" w:type="dxa"/>
        </w:trPr>
        <w:tc>
          <w:tcPr>
            <w:tcW w:w="0" w:type="auto"/>
            <w:vAlign w:val="center"/>
          </w:tcPr>
          <w:p w14:paraId="6176C2AE" w14:textId="77777777" w:rsidR="001145C9" w:rsidRPr="00D434EE" w:rsidRDefault="0088195C" w:rsidP="00D434EE">
            <w:pPr>
              <w:spacing w:after="0" w:line="360" w:lineRule="auto"/>
              <w:jc w:val="both"/>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Performance Metric</w:t>
            </w:r>
          </w:p>
        </w:tc>
        <w:tc>
          <w:tcPr>
            <w:tcW w:w="1832" w:type="dxa"/>
            <w:vAlign w:val="center"/>
          </w:tcPr>
          <w:p w14:paraId="24176687"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Effect Size (95% CI)</w:t>
            </w:r>
          </w:p>
        </w:tc>
        <w:tc>
          <w:tcPr>
            <w:tcW w:w="1388" w:type="dxa"/>
            <w:vAlign w:val="center"/>
          </w:tcPr>
          <w:p w14:paraId="30C5104D"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Number of Studies</w:t>
            </w:r>
          </w:p>
        </w:tc>
        <w:tc>
          <w:tcPr>
            <w:tcW w:w="3215" w:type="dxa"/>
            <w:vAlign w:val="center"/>
          </w:tcPr>
          <w:p w14:paraId="130F29D9" w14:textId="77777777" w:rsidR="001145C9" w:rsidRPr="00D434EE" w:rsidRDefault="0088195C" w:rsidP="00D434EE">
            <w:pPr>
              <w:spacing w:after="0" w:line="360" w:lineRule="auto"/>
              <w:jc w:val="both"/>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Representative References</w:t>
            </w:r>
          </w:p>
        </w:tc>
      </w:tr>
      <w:tr w:rsidR="001145C9" w:rsidRPr="004C481D" w14:paraId="09F6ACE9" w14:textId="77777777" w:rsidTr="006B0F45">
        <w:trPr>
          <w:trHeight w:val="595"/>
          <w:tblCellSpacing w:w="15" w:type="dxa"/>
        </w:trPr>
        <w:tc>
          <w:tcPr>
            <w:tcW w:w="0" w:type="auto"/>
            <w:vAlign w:val="center"/>
          </w:tcPr>
          <w:p w14:paraId="739FC7BA" w14:textId="77777777" w:rsidR="001145C9" w:rsidRPr="00D434EE" w:rsidRDefault="0088195C" w:rsidP="00D434EE">
            <w:pPr>
              <w:spacing w:after="0" w:line="360" w:lineRule="auto"/>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System reliability (%)</w:t>
            </w:r>
          </w:p>
        </w:tc>
        <w:tc>
          <w:tcPr>
            <w:tcW w:w="1832" w:type="dxa"/>
            <w:vAlign w:val="center"/>
          </w:tcPr>
          <w:p w14:paraId="53BE13B2"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+15.3 (12.1 to 18.5)</w:t>
            </w:r>
          </w:p>
        </w:tc>
        <w:tc>
          <w:tcPr>
            <w:tcW w:w="1388" w:type="dxa"/>
            <w:vAlign w:val="center"/>
          </w:tcPr>
          <w:p w14:paraId="3E066782"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2</w:t>
            </w:r>
          </w:p>
        </w:tc>
        <w:tc>
          <w:tcPr>
            <w:tcW w:w="3215" w:type="dxa"/>
            <w:vAlign w:val="center"/>
          </w:tcPr>
          <w:p w14:paraId="16BDC9E2" w14:textId="6AE2C36F" w:rsidR="001145C9" w:rsidRPr="00D434EE" w:rsidRDefault="0088195C" w:rsidP="00D434EE">
            <w:pPr>
              <w:spacing w:after="0" w:line="360" w:lineRule="auto"/>
              <w:jc w:val="both"/>
              <w:rPr>
                <w:rFonts w:ascii="Times New Roman" w:eastAsia="Times New Roman" w:hAnsi="Times New Roman"/>
                <w:kern w:val="0"/>
                <w:sz w:val="24"/>
                <w:szCs w:val="24"/>
                <w:lang w:val="nb-NO"/>
              </w:rPr>
            </w:pPr>
            <w:r w:rsidRPr="00D434EE">
              <w:rPr>
                <w:rFonts w:ascii="Times New Roman" w:eastAsia="Times New Roman" w:hAnsi="Times New Roman"/>
                <w:kern w:val="0"/>
                <w:sz w:val="24"/>
                <w:szCs w:val="24"/>
                <w:lang w:val="nb-NO"/>
              </w:rPr>
              <w:t>Rathore &amp; Kusakana (2021)</w:t>
            </w:r>
          </w:p>
        </w:tc>
      </w:tr>
      <w:tr w:rsidR="001145C9" w:rsidRPr="00542FA2" w14:paraId="60DBEE23" w14:textId="77777777" w:rsidTr="006B0F45">
        <w:trPr>
          <w:trHeight w:val="579"/>
          <w:tblCellSpacing w:w="15" w:type="dxa"/>
        </w:trPr>
        <w:tc>
          <w:tcPr>
            <w:tcW w:w="0" w:type="auto"/>
            <w:vAlign w:val="center"/>
          </w:tcPr>
          <w:p w14:paraId="575416E6" w14:textId="2F8D0DBE" w:rsidR="001145C9" w:rsidRPr="00D434EE" w:rsidRDefault="001D126B" w:rsidP="00D434EE">
            <w:pPr>
              <w:spacing w:after="0" w:line="360" w:lineRule="auto"/>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Level</w:t>
            </w:r>
            <w:r>
              <w:rPr>
                <w:rFonts w:ascii="Times New Roman" w:eastAsia="Times New Roman" w:hAnsi="Times New Roman"/>
                <w:kern w:val="0"/>
                <w:sz w:val="24"/>
                <w:szCs w:val="24"/>
              </w:rPr>
              <w:t>i</w:t>
            </w:r>
            <w:r w:rsidR="005A584E">
              <w:rPr>
                <w:rFonts w:ascii="Times New Roman" w:eastAsia="Times New Roman" w:hAnsi="Times New Roman"/>
                <w:kern w:val="0"/>
                <w:sz w:val="24"/>
                <w:szCs w:val="24"/>
              </w:rPr>
              <w:t>z</w:t>
            </w:r>
            <w:r w:rsidRPr="00D434EE">
              <w:rPr>
                <w:rFonts w:ascii="Times New Roman" w:eastAsia="Times New Roman" w:hAnsi="Times New Roman"/>
                <w:kern w:val="0"/>
                <w:sz w:val="24"/>
                <w:szCs w:val="24"/>
              </w:rPr>
              <w:t>ed</w:t>
            </w:r>
            <w:r w:rsidR="0088195C" w:rsidRPr="00D434EE">
              <w:rPr>
                <w:rFonts w:ascii="Times New Roman" w:eastAsia="Times New Roman" w:hAnsi="Times New Roman"/>
                <w:kern w:val="0"/>
                <w:sz w:val="24"/>
                <w:szCs w:val="24"/>
              </w:rPr>
              <w:t xml:space="preserve"> cost of electricity (USD/kWh)</w:t>
            </w:r>
          </w:p>
        </w:tc>
        <w:tc>
          <w:tcPr>
            <w:tcW w:w="1832" w:type="dxa"/>
            <w:vAlign w:val="center"/>
          </w:tcPr>
          <w:p w14:paraId="4FFF4E7E"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 0.106 – 0.14</w:t>
            </w:r>
          </w:p>
        </w:tc>
        <w:tc>
          <w:tcPr>
            <w:tcW w:w="1388" w:type="dxa"/>
            <w:vAlign w:val="center"/>
          </w:tcPr>
          <w:p w14:paraId="107328EB"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2</w:t>
            </w:r>
          </w:p>
        </w:tc>
        <w:tc>
          <w:tcPr>
            <w:tcW w:w="3215" w:type="dxa"/>
            <w:vAlign w:val="center"/>
          </w:tcPr>
          <w:p w14:paraId="2CF57D7D" w14:textId="77777777" w:rsidR="001145C9" w:rsidRPr="00D434EE" w:rsidRDefault="0088195C" w:rsidP="00D434EE">
            <w:pPr>
              <w:spacing w:after="0" w:line="360" w:lineRule="auto"/>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Frontiers study (Nigeria, 2024); Basnet et al. (Nepal, 2023)</w:t>
            </w:r>
          </w:p>
        </w:tc>
      </w:tr>
      <w:tr w:rsidR="001145C9" w:rsidRPr="00542FA2" w14:paraId="35E7F927" w14:textId="77777777" w:rsidTr="006B0F45">
        <w:trPr>
          <w:trHeight w:val="595"/>
          <w:tblCellSpacing w:w="15" w:type="dxa"/>
        </w:trPr>
        <w:tc>
          <w:tcPr>
            <w:tcW w:w="0" w:type="auto"/>
            <w:vAlign w:val="center"/>
          </w:tcPr>
          <w:p w14:paraId="704BAAB9" w14:textId="77777777" w:rsidR="001145C9" w:rsidRPr="00D434EE" w:rsidRDefault="0088195C" w:rsidP="00D434EE">
            <w:pPr>
              <w:spacing w:after="0" w:line="360" w:lineRule="auto"/>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Carbon emissions reduction (kg CO₂/kWh)</w:t>
            </w:r>
          </w:p>
        </w:tc>
        <w:tc>
          <w:tcPr>
            <w:tcW w:w="1832" w:type="dxa"/>
            <w:vAlign w:val="center"/>
          </w:tcPr>
          <w:p w14:paraId="21E17EA2"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 0.055 (Ghana value)</w:t>
            </w:r>
          </w:p>
        </w:tc>
        <w:tc>
          <w:tcPr>
            <w:tcW w:w="1388" w:type="dxa"/>
            <w:vAlign w:val="center"/>
          </w:tcPr>
          <w:p w14:paraId="62C3D767"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1</w:t>
            </w:r>
          </w:p>
        </w:tc>
        <w:tc>
          <w:tcPr>
            <w:tcW w:w="3215" w:type="dxa"/>
            <w:vAlign w:val="center"/>
          </w:tcPr>
          <w:p w14:paraId="0E2B805C" w14:textId="77777777" w:rsidR="001145C9" w:rsidRPr="00D434EE" w:rsidRDefault="0088195C" w:rsidP="00D434EE">
            <w:pPr>
              <w:spacing w:after="0" w:line="360" w:lineRule="auto"/>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Stinder et al. (2022, Ghana)</w:t>
            </w:r>
          </w:p>
        </w:tc>
      </w:tr>
    </w:tbl>
    <w:p w14:paraId="1F4E1BB2" w14:textId="77777777" w:rsidR="001145C9" w:rsidRPr="00D434EE" w:rsidRDefault="001145C9" w:rsidP="00D434EE">
      <w:pPr>
        <w:spacing w:after="0" w:line="360" w:lineRule="auto"/>
        <w:rPr>
          <w:rFonts w:ascii="Times New Roman" w:eastAsia="Times New Roman" w:hAnsi="Times New Roman"/>
          <w:kern w:val="0"/>
          <w:sz w:val="24"/>
          <w:szCs w:val="24"/>
        </w:rPr>
      </w:pPr>
    </w:p>
    <w:p w14:paraId="4DD04005" w14:textId="555EF945" w:rsidR="00BA5E7D" w:rsidRPr="00D434EE" w:rsidRDefault="0088195C" w:rsidP="00280FEE">
      <w:pPr>
        <w:spacing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Table 4 shows that verified evidence shows hybrid mini-grid implementations can significantly improve system reliability by around 15%, as demonstrated in Kumar et al.</w:t>
      </w:r>
      <w:r w:rsidR="00B000AC">
        <w:rPr>
          <w:rFonts w:ascii="Times New Roman" w:eastAsia="Times New Roman" w:hAnsi="Times New Roman"/>
          <w:noProof/>
          <w:kern w:val="0"/>
          <w:sz w:val="24"/>
          <w:szCs w:val="24"/>
        </w:rPr>
        <w:t xml:space="preserve"> </w:t>
      </w:r>
      <w:r w:rsidR="00B84DBF">
        <w:rPr>
          <w:rFonts w:ascii="Times New Roman" w:eastAsia="Times New Roman" w:hAnsi="Times New Roman"/>
          <w:noProof/>
          <w:kern w:val="0"/>
          <w:sz w:val="24"/>
          <w:szCs w:val="24"/>
        </w:rPr>
        <w:t xml:space="preserve">2021 </w:t>
      </w:r>
      <w:r w:rsidRPr="00D434EE">
        <w:rPr>
          <w:rFonts w:ascii="Times New Roman" w:eastAsia="Times New Roman" w:hAnsi="Times New Roman"/>
          <w:kern w:val="0"/>
          <w:sz w:val="24"/>
          <w:szCs w:val="24"/>
        </w:rPr>
        <w:t xml:space="preserve">Rathore &amp; </w:t>
      </w:r>
      <w:proofErr w:type="spellStart"/>
      <w:r w:rsidRPr="00D434EE">
        <w:rPr>
          <w:rFonts w:ascii="Times New Roman" w:eastAsia="Times New Roman" w:hAnsi="Times New Roman"/>
          <w:kern w:val="0"/>
          <w:sz w:val="24"/>
          <w:szCs w:val="24"/>
        </w:rPr>
        <w:t>Kusakana</w:t>
      </w:r>
      <w:proofErr w:type="spellEnd"/>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(Sahu, 2021)</w:t>
      </w:r>
      <w:r w:rsidRPr="00D434EE">
        <w:rPr>
          <w:rFonts w:ascii="Times New Roman" w:eastAsia="Times New Roman" w:hAnsi="Times New Roman"/>
          <w:kern w:val="0"/>
          <w:sz w:val="24"/>
          <w:szCs w:val="24"/>
        </w:rPr>
        <w:t xml:space="preserve"> In terms of costs, the levelized cost of electricity (LCOE) in rural mini-grid applications ranges between USD 0.106 and 0.14/kWh, based on Frontiers-in-</w:t>
      </w:r>
      <w:r w:rsidRPr="00D434EE">
        <w:rPr>
          <w:rFonts w:ascii="Times New Roman" w:eastAsia="Times New Roman" w:hAnsi="Times New Roman"/>
          <w:kern w:val="0"/>
          <w:sz w:val="24"/>
          <w:szCs w:val="24"/>
        </w:rPr>
        <w:lastRenderedPageBreak/>
        <w:t xml:space="preserve">Energy Research </w:t>
      </w:r>
      <w:r w:rsidR="00B000AC" w:rsidRPr="00B000AC">
        <w:rPr>
          <w:rFonts w:ascii="Times New Roman" w:eastAsia="Times New Roman" w:hAnsi="Times New Roman"/>
          <w:noProof/>
          <w:kern w:val="0"/>
          <w:sz w:val="24"/>
          <w:szCs w:val="24"/>
        </w:rPr>
        <w:t xml:space="preserve">(Frontiers in Energy </w:t>
      </w:r>
      <w:r w:rsidR="002F248C">
        <w:rPr>
          <w:rFonts w:ascii="Times New Roman" w:eastAsia="Times New Roman" w:hAnsi="Times New Roman"/>
          <w:noProof/>
          <w:kern w:val="0"/>
          <w:sz w:val="24"/>
          <w:szCs w:val="24"/>
        </w:rPr>
        <w:t>Research,</w:t>
      </w:r>
      <w:r w:rsidR="00B000AC" w:rsidRPr="00B000AC">
        <w:rPr>
          <w:rFonts w:ascii="Times New Roman" w:eastAsia="Times New Roman" w:hAnsi="Times New Roman"/>
          <w:noProof/>
          <w:kern w:val="0"/>
          <w:sz w:val="24"/>
          <w:szCs w:val="24"/>
        </w:rPr>
        <w:t xml:space="preserve"> 2024)</w:t>
      </w:r>
      <w:r w:rsidRPr="00D434EE">
        <w:rPr>
          <w:rFonts w:ascii="Times New Roman" w:eastAsia="Times New Roman" w:hAnsi="Times New Roman"/>
          <w:kern w:val="0"/>
          <w:sz w:val="24"/>
          <w:szCs w:val="24"/>
        </w:rPr>
        <w:t xml:space="preserve"> and Basnet et al.</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(Basnet, 2023)</w:t>
      </w:r>
      <w:r w:rsidRPr="00D434EE">
        <w:rPr>
          <w:rFonts w:ascii="Times New Roman" w:eastAsia="Times New Roman" w:hAnsi="Times New Roman"/>
          <w:kern w:val="0"/>
          <w:sz w:val="24"/>
          <w:szCs w:val="24"/>
        </w:rPr>
        <w:t xml:space="preserve"> For carbon emissions, Stinder et al. </w:t>
      </w:r>
      <w:r w:rsidR="00B000AC" w:rsidRPr="00B000AC">
        <w:rPr>
          <w:rFonts w:ascii="Times New Roman" w:eastAsia="Times New Roman" w:hAnsi="Times New Roman"/>
          <w:noProof/>
          <w:kern w:val="0"/>
          <w:sz w:val="24"/>
          <w:szCs w:val="24"/>
        </w:rPr>
        <w:t>(Stinder, 2022)</w:t>
      </w:r>
      <w:r w:rsidRPr="00D434EE">
        <w:rPr>
          <w:rFonts w:ascii="Times New Roman" w:eastAsia="Times New Roman" w:hAnsi="Times New Roman"/>
          <w:kern w:val="0"/>
          <w:sz w:val="24"/>
          <w:szCs w:val="24"/>
        </w:rPr>
        <w:t xml:space="preserve"> report that a solar mini-grid in Ghana results in approximately 0.055 kg CO₂ per kWh, substantially lower than national g</w:t>
      </w:r>
      <w:r w:rsidR="00BA5E7D">
        <w:rPr>
          <w:rFonts w:ascii="Times New Roman" w:eastAsia="Times New Roman" w:hAnsi="Times New Roman"/>
          <w:kern w:val="0"/>
          <w:sz w:val="24"/>
          <w:szCs w:val="24"/>
        </w:rPr>
        <w:t>rid averages (~0.46 kg CO₂/kWh).</w:t>
      </w:r>
    </w:p>
    <w:p w14:paraId="4934EC9D" w14:textId="77777777" w:rsidR="001145C9" w:rsidRPr="00D434EE" w:rsidRDefault="0088195C" w:rsidP="00D434EE">
      <w:pPr>
        <w:pStyle w:val="ListParagraph"/>
        <w:numPr>
          <w:ilvl w:val="1"/>
          <w:numId w:val="7"/>
        </w:numPr>
        <w:spacing w:before="100" w:beforeAutospacing="1" w:after="100" w:afterAutospacing="1" w:line="360" w:lineRule="auto"/>
        <w:ind w:left="567" w:hanging="567"/>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Barriers and Constraints in Mini</w:t>
      </w:r>
      <w:r w:rsidRPr="00D434EE">
        <w:rPr>
          <w:rFonts w:ascii="Times New Roman" w:eastAsia="Times New Roman" w:hAnsi="Times New Roman"/>
          <w:b/>
          <w:bCs/>
          <w:kern w:val="0"/>
          <w:sz w:val="24"/>
          <w:szCs w:val="24"/>
        </w:rPr>
        <w:noBreakHyphen/>
        <w:t>Grid Deployment</w:t>
      </w:r>
    </w:p>
    <w:p w14:paraId="5B6AFD9B" w14:textId="16E4494B" w:rsidR="00280FEE" w:rsidRPr="00D434EE" w:rsidRDefault="00B83FD8" w:rsidP="009E0554">
      <w:pPr>
        <w:spacing w:before="100" w:beforeAutospacing="1" w:after="100" w:afterAutospacing="1" w:line="360" w:lineRule="auto"/>
        <w:ind w:firstLine="567"/>
        <w:jc w:val="both"/>
        <w:rPr>
          <w:rFonts w:ascii="Times New Roman" w:eastAsia="Times New Roman" w:hAnsi="Times New Roman"/>
          <w:kern w:val="0"/>
          <w:sz w:val="24"/>
          <w:szCs w:val="24"/>
        </w:rPr>
      </w:pPr>
      <w:r>
        <w:rPr>
          <w:rFonts w:ascii="Times New Roman" w:eastAsia="Times New Roman" w:hAnsi="Times New Roman"/>
          <w:kern w:val="0"/>
          <w:sz w:val="24"/>
          <w:szCs w:val="24"/>
        </w:rPr>
        <w:t>Among the 4</w:t>
      </w:r>
      <w:r w:rsidR="0088195C" w:rsidRPr="00D434EE">
        <w:rPr>
          <w:rFonts w:ascii="Times New Roman" w:eastAsia="Times New Roman" w:hAnsi="Times New Roman"/>
          <w:kern w:val="0"/>
          <w:sz w:val="24"/>
          <w:szCs w:val="24"/>
        </w:rPr>
        <w:t xml:space="preserve">0 studies reviewed, 20 </w:t>
      </w:r>
      <w:r w:rsidR="00286CF8">
        <w:rPr>
          <w:rFonts w:ascii="Times New Roman" w:eastAsia="Times New Roman" w:hAnsi="Times New Roman"/>
          <w:kern w:val="0"/>
          <w:sz w:val="24"/>
          <w:szCs w:val="24"/>
        </w:rPr>
        <w:t>focus</w:t>
      </w:r>
      <w:r w:rsidR="0088195C" w:rsidRPr="00D434EE">
        <w:rPr>
          <w:rFonts w:ascii="Times New Roman" w:eastAsia="Times New Roman" w:hAnsi="Times New Roman"/>
          <w:kern w:val="0"/>
          <w:sz w:val="24"/>
          <w:szCs w:val="24"/>
        </w:rPr>
        <w:t xml:space="preserve"> explicitly on the persistent barriers impeding the effective deployment</w:t>
      </w:r>
      <w:r w:rsidR="00664633" w:rsidRPr="00D434EE">
        <w:rPr>
          <w:rFonts w:ascii="Times New Roman" w:eastAsia="Times New Roman" w:hAnsi="Times New Roman"/>
          <w:kern w:val="0"/>
          <w:sz w:val="24"/>
          <w:szCs w:val="24"/>
        </w:rPr>
        <w:t xml:space="preserve"> and climate resilience of mini-</w:t>
      </w:r>
      <w:r w:rsidR="0088195C" w:rsidRPr="00D434EE">
        <w:rPr>
          <w:rFonts w:ascii="Times New Roman" w:eastAsia="Times New Roman" w:hAnsi="Times New Roman"/>
          <w:kern w:val="0"/>
          <w:sz w:val="24"/>
          <w:szCs w:val="24"/>
        </w:rPr>
        <w:t xml:space="preserve">grids. These barriers frequently include limited access to finance, deficits in technical capacity, and fragmented governance structures. However, to ensure academic </w:t>
      </w:r>
      <w:r w:rsidR="001D126B">
        <w:rPr>
          <w:rFonts w:ascii="Times New Roman" w:eastAsia="Times New Roman" w:hAnsi="Times New Roman"/>
          <w:kern w:val="0"/>
          <w:sz w:val="24"/>
          <w:szCs w:val="24"/>
        </w:rPr>
        <w:t>rigor</w:t>
      </w:r>
      <w:r w:rsidR="0088195C" w:rsidRPr="00D434EE">
        <w:rPr>
          <w:rFonts w:ascii="Times New Roman" w:eastAsia="Times New Roman" w:hAnsi="Times New Roman"/>
          <w:kern w:val="0"/>
          <w:sz w:val="24"/>
          <w:szCs w:val="24"/>
        </w:rPr>
        <w:t xml:space="preserve">, this section draws only from verifiable peer-reviewed or publicly accessible sources. Several studies initially identified were excluded due to </w:t>
      </w:r>
      <w:r w:rsidR="00286CF8">
        <w:rPr>
          <w:rFonts w:ascii="Times New Roman" w:eastAsia="Times New Roman" w:hAnsi="Times New Roman"/>
          <w:kern w:val="0"/>
          <w:sz w:val="24"/>
          <w:szCs w:val="24"/>
        </w:rPr>
        <w:t xml:space="preserve">a </w:t>
      </w:r>
      <w:r w:rsidR="0088195C" w:rsidRPr="00D434EE">
        <w:rPr>
          <w:rFonts w:ascii="Times New Roman" w:eastAsia="Times New Roman" w:hAnsi="Times New Roman"/>
          <w:kern w:val="0"/>
          <w:sz w:val="24"/>
          <w:szCs w:val="24"/>
        </w:rPr>
        <w:t xml:space="preserve">lack </w:t>
      </w:r>
      <w:r w:rsidR="00B24D95" w:rsidRPr="00D434EE">
        <w:rPr>
          <w:rFonts w:ascii="Times New Roman" w:eastAsia="Times New Roman" w:hAnsi="Times New Roman"/>
          <w:kern w:val="0"/>
          <w:sz w:val="24"/>
          <w:szCs w:val="24"/>
        </w:rPr>
        <w:t xml:space="preserve">of verifiability. Table 5 </w:t>
      </w:r>
      <w:r w:rsidR="0088195C" w:rsidRPr="00D434EE">
        <w:rPr>
          <w:rFonts w:ascii="Times New Roman" w:eastAsia="Times New Roman" w:hAnsi="Times New Roman"/>
          <w:kern w:val="0"/>
          <w:sz w:val="24"/>
          <w:szCs w:val="24"/>
        </w:rPr>
        <w:t>give</w:t>
      </w:r>
      <w:r w:rsidR="00B24D95" w:rsidRPr="00D434EE">
        <w:rPr>
          <w:rFonts w:ascii="Times New Roman" w:eastAsia="Times New Roman" w:hAnsi="Times New Roman"/>
          <w:kern w:val="0"/>
          <w:sz w:val="24"/>
          <w:szCs w:val="24"/>
        </w:rPr>
        <w:t>s</w:t>
      </w:r>
      <w:r w:rsidR="0088195C" w:rsidRPr="00D434EE">
        <w:rPr>
          <w:rFonts w:ascii="Times New Roman" w:eastAsia="Times New Roman" w:hAnsi="Times New Roman"/>
          <w:kern w:val="0"/>
          <w:sz w:val="24"/>
          <w:szCs w:val="24"/>
        </w:rPr>
        <w:t xml:space="preserve"> the details.</w:t>
      </w:r>
    </w:p>
    <w:p w14:paraId="7CF3201D" w14:textId="77777777" w:rsidR="001145C9" w:rsidRPr="00D434EE" w:rsidRDefault="0088195C" w:rsidP="00156CE6">
      <w:pPr>
        <w:spacing w:line="276" w:lineRule="auto"/>
        <w:outlineLvl w:val="2"/>
        <w:rPr>
          <w:rFonts w:ascii="Times New Roman" w:eastAsia="Times New Roman" w:hAnsi="Times New Roman"/>
          <w:iCs/>
          <w:kern w:val="0"/>
          <w:sz w:val="24"/>
          <w:szCs w:val="24"/>
        </w:rPr>
      </w:pPr>
      <w:r w:rsidRPr="00D434EE">
        <w:rPr>
          <w:rFonts w:ascii="Times New Roman" w:eastAsia="Times New Roman" w:hAnsi="Times New Roman"/>
          <w:iCs/>
          <w:kern w:val="0"/>
          <w:sz w:val="24"/>
          <w:szCs w:val="24"/>
        </w:rPr>
        <w:t>Table 5: Selected Verifiable Barriers to Mini</w:t>
      </w:r>
      <w:r w:rsidRPr="00D434EE">
        <w:rPr>
          <w:rFonts w:ascii="Times New Roman" w:eastAsia="Times New Roman" w:hAnsi="Times New Roman"/>
          <w:iCs/>
          <w:kern w:val="0"/>
          <w:sz w:val="24"/>
          <w:szCs w:val="24"/>
        </w:rPr>
        <w:noBreakHyphen/>
        <w:t>Grid Deployment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4"/>
        <w:gridCol w:w="587"/>
        <w:gridCol w:w="1762"/>
        <w:gridCol w:w="4437"/>
      </w:tblGrid>
      <w:tr w:rsidR="001145C9" w:rsidRPr="00542FA2" w14:paraId="183B15F0" w14:textId="77777777">
        <w:trPr>
          <w:tblHeader/>
          <w:tblCellSpacing w:w="15" w:type="dxa"/>
        </w:trPr>
        <w:tc>
          <w:tcPr>
            <w:tcW w:w="0" w:type="auto"/>
            <w:vAlign w:val="center"/>
          </w:tcPr>
          <w:p w14:paraId="1623FF2F" w14:textId="77777777" w:rsidR="001145C9" w:rsidRPr="00D434EE" w:rsidRDefault="0088195C" w:rsidP="00D434EE">
            <w:pPr>
              <w:spacing w:after="0" w:line="360" w:lineRule="auto"/>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Study</w:t>
            </w:r>
          </w:p>
        </w:tc>
        <w:tc>
          <w:tcPr>
            <w:tcW w:w="0" w:type="auto"/>
            <w:vAlign w:val="center"/>
          </w:tcPr>
          <w:p w14:paraId="7E017148"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Year</w:t>
            </w:r>
          </w:p>
        </w:tc>
        <w:tc>
          <w:tcPr>
            <w:tcW w:w="0" w:type="auto"/>
            <w:vAlign w:val="center"/>
          </w:tcPr>
          <w:p w14:paraId="1863D4BD" w14:textId="77777777" w:rsidR="001145C9" w:rsidRPr="00D434EE" w:rsidRDefault="0088195C" w:rsidP="00D434EE">
            <w:pPr>
              <w:spacing w:after="0" w:line="360" w:lineRule="auto"/>
              <w:jc w:val="center"/>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Sample Size / Context</w:t>
            </w:r>
          </w:p>
        </w:tc>
        <w:tc>
          <w:tcPr>
            <w:tcW w:w="0" w:type="auto"/>
            <w:vAlign w:val="center"/>
          </w:tcPr>
          <w:p w14:paraId="48E51A9F" w14:textId="77777777" w:rsidR="001145C9" w:rsidRPr="00D434EE" w:rsidRDefault="0088195C" w:rsidP="00D434EE">
            <w:pPr>
              <w:spacing w:after="0" w:line="360" w:lineRule="auto"/>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Barriers Identified</w:t>
            </w:r>
          </w:p>
        </w:tc>
      </w:tr>
      <w:tr w:rsidR="001145C9" w:rsidRPr="00542FA2" w14:paraId="507197A5" w14:textId="77777777">
        <w:trPr>
          <w:tblCellSpacing w:w="15" w:type="dxa"/>
        </w:trPr>
        <w:tc>
          <w:tcPr>
            <w:tcW w:w="0" w:type="auto"/>
            <w:vAlign w:val="center"/>
          </w:tcPr>
          <w:p w14:paraId="2DC5594D"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Frontiers in Energy Research (Nigeria)</w:t>
            </w:r>
          </w:p>
        </w:tc>
        <w:tc>
          <w:tcPr>
            <w:tcW w:w="0" w:type="auto"/>
            <w:vAlign w:val="center"/>
          </w:tcPr>
          <w:p w14:paraId="06FFB2E5"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2024</w:t>
            </w:r>
          </w:p>
        </w:tc>
        <w:tc>
          <w:tcPr>
            <w:tcW w:w="0" w:type="auto"/>
            <w:vAlign w:val="center"/>
          </w:tcPr>
          <w:p w14:paraId="1A7EBF74"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National case review</w:t>
            </w:r>
          </w:p>
        </w:tc>
        <w:tc>
          <w:tcPr>
            <w:tcW w:w="0" w:type="auto"/>
            <w:vAlign w:val="center"/>
          </w:tcPr>
          <w:p w14:paraId="0B838AD4"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Limited access to concessional finance and risk capital</w:t>
            </w:r>
          </w:p>
        </w:tc>
      </w:tr>
      <w:tr w:rsidR="001145C9" w:rsidRPr="00542FA2" w14:paraId="04729536" w14:textId="77777777">
        <w:trPr>
          <w:tblCellSpacing w:w="15" w:type="dxa"/>
        </w:trPr>
        <w:tc>
          <w:tcPr>
            <w:tcW w:w="0" w:type="auto"/>
            <w:vAlign w:val="center"/>
          </w:tcPr>
          <w:p w14:paraId="30D36A5C"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Greacen et al. (Myanmar)</w:t>
            </w:r>
          </w:p>
        </w:tc>
        <w:tc>
          <w:tcPr>
            <w:tcW w:w="0" w:type="auto"/>
            <w:vAlign w:val="center"/>
          </w:tcPr>
          <w:p w14:paraId="39A427F6"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2020</w:t>
            </w:r>
          </w:p>
        </w:tc>
        <w:tc>
          <w:tcPr>
            <w:tcW w:w="0" w:type="auto"/>
            <w:vAlign w:val="center"/>
          </w:tcPr>
          <w:p w14:paraId="699DC85B"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National policy review</w:t>
            </w:r>
          </w:p>
        </w:tc>
        <w:tc>
          <w:tcPr>
            <w:tcW w:w="0" w:type="auto"/>
            <w:vAlign w:val="center"/>
          </w:tcPr>
          <w:p w14:paraId="651C298B" w14:textId="0B424CAC"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Regulatory inconsistency </w:t>
            </w:r>
            <w:r w:rsidR="00286CF8">
              <w:rPr>
                <w:rFonts w:ascii="Times New Roman" w:eastAsia="Times New Roman" w:hAnsi="Times New Roman"/>
                <w:kern w:val="0"/>
                <w:sz w:val="24"/>
                <w:szCs w:val="24"/>
              </w:rPr>
              <w:t xml:space="preserve">is </w:t>
            </w:r>
            <w:r w:rsidRPr="00D434EE">
              <w:rPr>
                <w:rFonts w:ascii="Times New Roman" w:eastAsia="Times New Roman" w:hAnsi="Times New Roman"/>
                <w:kern w:val="0"/>
                <w:sz w:val="24"/>
                <w:szCs w:val="24"/>
              </w:rPr>
              <w:t>impeding private and community investments</w:t>
            </w:r>
          </w:p>
        </w:tc>
      </w:tr>
      <w:tr w:rsidR="001145C9" w:rsidRPr="00542FA2" w14:paraId="2C120C49" w14:textId="77777777">
        <w:trPr>
          <w:tblCellSpacing w:w="15" w:type="dxa"/>
        </w:trPr>
        <w:tc>
          <w:tcPr>
            <w:tcW w:w="0" w:type="auto"/>
            <w:vAlign w:val="center"/>
          </w:tcPr>
          <w:p w14:paraId="3AD2F8AE"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Oxford Energy Review (East Africa)</w:t>
            </w:r>
          </w:p>
        </w:tc>
        <w:tc>
          <w:tcPr>
            <w:tcW w:w="0" w:type="auto"/>
            <w:vAlign w:val="center"/>
          </w:tcPr>
          <w:p w14:paraId="4A9B10AA"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2023</w:t>
            </w:r>
          </w:p>
        </w:tc>
        <w:tc>
          <w:tcPr>
            <w:tcW w:w="0" w:type="auto"/>
            <w:vAlign w:val="center"/>
          </w:tcPr>
          <w:p w14:paraId="39DB215A" w14:textId="77777777" w:rsidR="001145C9" w:rsidRPr="00D434EE" w:rsidRDefault="0088195C" w:rsidP="00D434EE">
            <w:pPr>
              <w:spacing w:after="0" w:line="360" w:lineRule="auto"/>
              <w:jc w:val="center"/>
              <w:rPr>
                <w:rFonts w:ascii="Times New Roman" w:eastAsia="Times New Roman" w:hAnsi="Times New Roman"/>
                <w:kern w:val="0"/>
                <w:sz w:val="24"/>
                <w:szCs w:val="24"/>
              </w:rPr>
            </w:pPr>
            <w:r w:rsidRPr="00D434EE">
              <w:rPr>
                <w:rFonts w:ascii="Times New Roman" w:eastAsia="Times New Roman" w:hAnsi="Times New Roman"/>
                <w:kern w:val="0"/>
                <w:sz w:val="24"/>
                <w:szCs w:val="24"/>
              </w:rPr>
              <w:t>Regional provider survey</w:t>
            </w:r>
          </w:p>
        </w:tc>
        <w:tc>
          <w:tcPr>
            <w:tcW w:w="0" w:type="auto"/>
            <w:vAlign w:val="center"/>
          </w:tcPr>
          <w:p w14:paraId="269B3A23" w14:textId="77777777" w:rsidR="001145C9" w:rsidRPr="00D434EE" w:rsidRDefault="0088195C" w:rsidP="00D434EE">
            <w:pPr>
              <w:spacing w:after="0" w:line="360" w:lineRule="auto"/>
              <w:rPr>
                <w:rFonts w:ascii="Times New Roman" w:eastAsia="Times New Roman" w:hAnsi="Times New Roman"/>
                <w:kern w:val="0"/>
                <w:sz w:val="24"/>
                <w:szCs w:val="24"/>
              </w:rPr>
            </w:pPr>
            <w:r w:rsidRPr="00D434EE">
              <w:rPr>
                <w:rFonts w:ascii="Times New Roman" w:eastAsia="Times New Roman" w:hAnsi="Times New Roman"/>
                <w:kern w:val="0"/>
                <w:sz w:val="24"/>
                <w:szCs w:val="24"/>
              </w:rPr>
              <w:t>Unsustainable funding models, limited access to patient capital</w:t>
            </w:r>
          </w:p>
        </w:tc>
      </w:tr>
    </w:tbl>
    <w:p w14:paraId="71286A0C" w14:textId="01128A29" w:rsidR="00280FEE" w:rsidRPr="00D434EE" w:rsidRDefault="0088195C" w:rsidP="009E0554">
      <w:pPr>
        <w:spacing w:before="100" w:beforeAutospacing="1" w:after="100" w:afterAutospacing="1" w:line="360" w:lineRule="auto"/>
        <w:ind w:firstLine="567"/>
        <w:jc w:val="both"/>
        <w:outlineLvl w:val="2"/>
        <w:rPr>
          <w:rFonts w:ascii="Times New Roman" w:hAnsi="Times New Roman"/>
          <w:sz w:val="24"/>
          <w:szCs w:val="24"/>
        </w:rPr>
      </w:pPr>
      <w:r w:rsidRPr="00D434EE">
        <w:rPr>
          <w:rFonts w:ascii="Times New Roman" w:hAnsi="Times New Roman"/>
          <w:sz w:val="24"/>
          <w:szCs w:val="24"/>
        </w:rPr>
        <w:t>Table 5 presents a synthesis of key verifiable studies that highli</w:t>
      </w:r>
      <w:r w:rsidR="0085356F">
        <w:rPr>
          <w:rFonts w:ascii="Times New Roman" w:hAnsi="Times New Roman"/>
          <w:sz w:val="24"/>
          <w:szCs w:val="24"/>
        </w:rPr>
        <w:t>ght persistent barriers to mini-</w:t>
      </w:r>
      <w:r w:rsidRPr="00D434EE">
        <w:rPr>
          <w:rFonts w:ascii="Times New Roman" w:hAnsi="Times New Roman"/>
          <w:sz w:val="24"/>
          <w:szCs w:val="24"/>
        </w:rPr>
        <w:t xml:space="preserve">grid deployment in various low- and middle-income contexts. The 2024 review by </w:t>
      </w:r>
      <w:r w:rsidRPr="00D434EE">
        <w:rPr>
          <w:rStyle w:val="Emphasis"/>
          <w:rFonts w:ascii="Times New Roman" w:hAnsi="Times New Roman"/>
          <w:sz w:val="24"/>
          <w:szCs w:val="24"/>
        </w:rPr>
        <w:t xml:space="preserve">Frontiers in Energy </w:t>
      </w:r>
      <w:r w:rsidR="00286CF8" w:rsidRPr="00D434EE">
        <w:rPr>
          <w:rStyle w:val="Emphasis"/>
          <w:rFonts w:ascii="Times New Roman" w:hAnsi="Times New Roman"/>
          <w:sz w:val="24"/>
          <w:szCs w:val="24"/>
        </w:rPr>
        <w:t>Research</w:t>
      </w:r>
      <w:r w:rsidR="00286CF8" w:rsidRPr="00D434EE">
        <w:rPr>
          <w:rFonts w:ascii="Times New Roman" w:hAnsi="Times New Roman"/>
          <w:sz w:val="24"/>
          <w:szCs w:val="24"/>
        </w:rPr>
        <w:t xml:space="preserve"> (</w:t>
      </w:r>
      <w:r w:rsidR="00B000AC" w:rsidRPr="00B000AC">
        <w:rPr>
          <w:rFonts w:ascii="Times New Roman" w:hAnsi="Times New Roman"/>
          <w:noProof/>
          <w:sz w:val="24"/>
          <w:szCs w:val="24"/>
        </w:rPr>
        <w:t>Frontiers in Energy Research, 2024)</w:t>
      </w:r>
      <w:r w:rsidRPr="00D434EE">
        <w:rPr>
          <w:rFonts w:ascii="Times New Roman" w:hAnsi="Times New Roman"/>
          <w:sz w:val="24"/>
          <w:szCs w:val="24"/>
        </w:rPr>
        <w:t xml:space="preserve"> focuses on Nigeria and </w:t>
      </w:r>
      <w:r w:rsidR="00664633" w:rsidRPr="00D434EE">
        <w:rPr>
          <w:rFonts w:ascii="Times New Roman" w:hAnsi="Times New Roman"/>
          <w:sz w:val="24"/>
          <w:szCs w:val="24"/>
        </w:rPr>
        <w:t>underscores the difficulty mini-</w:t>
      </w:r>
      <w:r w:rsidRPr="00D434EE">
        <w:rPr>
          <w:rFonts w:ascii="Times New Roman" w:hAnsi="Times New Roman"/>
          <w:sz w:val="24"/>
          <w:szCs w:val="24"/>
        </w:rPr>
        <w:t xml:space="preserve">grid developers face in accessing </w:t>
      </w:r>
      <w:r w:rsidRPr="00D434EE">
        <w:rPr>
          <w:rStyle w:val="Strong"/>
          <w:rFonts w:ascii="Times New Roman" w:hAnsi="Times New Roman"/>
          <w:b w:val="0"/>
          <w:bCs w:val="0"/>
          <w:sz w:val="24"/>
          <w:szCs w:val="24"/>
        </w:rPr>
        <w:t>concessional finance</w:t>
      </w:r>
      <w:r w:rsidRPr="00D434EE">
        <w:rPr>
          <w:rFonts w:ascii="Times New Roman" w:hAnsi="Times New Roman"/>
          <w:sz w:val="24"/>
          <w:szCs w:val="24"/>
        </w:rPr>
        <w:t xml:space="preserve"> and </w:t>
      </w:r>
      <w:r w:rsidRPr="00D434EE">
        <w:rPr>
          <w:rStyle w:val="Strong"/>
          <w:rFonts w:ascii="Times New Roman" w:hAnsi="Times New Roman"/>
          <w:b w:val="0"/>
          <w:bCs w:val="0"/>
          <w:sz w:val="24"/>
          <w:szCs w:val="24"/>
        </w:rPr>
        <w:t>risk capital</w:t>
      </w:r>
      <w:r w:rsidRPr="00D434EE">
        <w:rPr>
          <w:rFonts w:ascii="Times New Roman" w:hAnsi="Times New Roman"/>
          <w:sz w:val="24"/>
          <w:szCs w:val="24"/>
        </w:rPr>
        <w:t xml:space="preserve">—financial instruments that are essential for de-risking early-stage projects and attracting private investment. In Myanmar, </w:t>
      </w:r>
      <w:r w:rsidRPr="00D434EE">
        <w:rPr>
          <w:rStyle w:val="Emphasis"/>
          <w:rFonts w:ascii="Times New Roman" w:hAnsi="Times New Roman"/>
          <w:sz w:val="24"/>
          <w:szCs w:val="24"/>
        </w:rPr>
        <w:t xml:space="preserve">Greacen et al. </w:t>
      </w:r>
      <w:r w:rsidR="00125D96">
        <w:rPr>
          <w:rFonts w:ascii="Times New Roman" w:hAnsi="Times New Roman"/>
          <w:noProof/>
          <w:sz w:val="24"/>
          <w:szCs w:val="24"/>
        </w:rPr>
        <w:t>(</w:t>
      </w:r>
      <w:r w:rsidR="00B000AC" w:rsidRPr="00B000AC">
        <w:rPr>
          <w:rFonts w:ascii="Times New Roman" w:hAnsi="Times New Roman"/>
          <w:noProof/>
          <w:sz w:val="24"/>
          <w:szCs w:val="24"/>
        </w:rPr>
        <w:t>2020)</w:t>
      </w:r>
      <w:r w:rsidRPr="00D434EE">
        <w:rPr>
          <w:rFonts w:ascii="Times New Roman" w:hAnsi="Times New Roman"/>
          <w:sz w:val="24"/>
          <w:szCs w:val="24"/>
        </w:rPr>
        <w:t xml:space="preserve"> conducted a national policy review and identified </w:t>
      </w:r>
      <w:r w:rsidRPr="00D434EE">
        <w:rPr>
          <w:rStyle w:val="Strong"/>
          <w:rFonts w:ascii="Times New Roman" w:hAnsi="Times New Roman"/>
          <w:b w:val="0"/>
          <w:bCs w:val="0"/>
          <w:sz w:val="24"/>
          <w:szCs w:val="24"/>
        </w:rPr>
        <w:t>regulatory inconsistency</w:t>
      </w:r>
      <w:r w:rsidRPr="00D434EE">
        <w:rPr>
          <w:rFonts w:ascii="Times New Roman" w:hAnsi="Times New Roman"/>
          <w:b/>
          <w:bCs/>
          <w:sz w:val="24"/>
          <w:szCs w:val="24"/>
        </w:rPr>
        <w:t xml:space="preserve"> </w:t>
      </w:r>
      <w:r w:rsidRPr="00D434EE">
        <w:rPr>
          <w:rFonts w:ascii="Times New Roman" w:hAnsi="Times New Roman"/>
          <w:sz w:val="24"/>
          <w:szCs w:val="24"/>
        </w:rPr>
        <w:t xml:space="preserve">as a major deterrent to both </w:t>
      </w:r>
      <w:r w:rsidRPr="00D434EE">
        <w:rPr>
          <w:rStyle w:val="Strong"/>
          <w:rFonts w:ascii="Times New Roman" w:hAnsi="Times New Roman"/>
          <w:b w:val="0"/>
          <w:bCs w:val="0"/>
          <w:sz w:val="24"/>
          <w:szCs w:val="24"/>
        </w:rPr>
        <w:t>private sector</w:t>
      </w:r>
      <w:r w:rsidRPr="00D434EE">
        <w:rPr>
          <w:rStyle w:val="Strong"/>
          <w:rFonts w:ascii="Times New Roman" w:hAnsi="Times New Roman"/>
          <w:sz w:val="24"/>
          <w:szCs w:val="24"/>
        </w:rPr>
        <w:t xml:space="preserve"> </w:t>
      </w:r>
      <w:r w:rsidRPr="00D434EE">
        <w:rPr>
          <w:rStyle w:val="Strong"/>
          <w:rFonts w:ascii="Times New Roman" w:hAnsi="Times New Roman"/>
          <w:b w:val="0"/>
          <w:bCs w:val="0"/>
          <w:sz w:val="24"/>
          <w:szCs w:val="24"/>
        </w:rPr>
        <w:t>engagement</w:t>
      </w:r>
      <w:r w:rsidRPr="00D434EE">
        <w:rPr>
          <w:rFonts w:ascii="Times New Roman" w:hAnsi="Times New Roman"/>
          <w:sz w:val="24"/>
          <w:szCs w:val="24"/>
        </w:rPr>
        <w:t xml:space="preserve"> and </w:t>
      </w:r>
      <w:r w:rsidRPr="00D434EE">
        <w:rPr>
          <w:rStyle w:val="Strong"/>
          <w:rFonts w:ascii="Times New Roman" w:hAnsi="Times New Roman"/>
          <w:b w:val="0"/>
          <w:bCs w:val="0"/>
          <w:sz w:val="24"/>
          <w:szCs w:val="24"/>
        </w:rPr>
        <w:t xml:space="preserve">community-led </w:t>
      </w:r>
      <w:r w:rsidRPr="00D434EE">
        <w:rPr>
          <w:rStyle w:val="Strong"/>
          <w:rFonts w:ascii="Times New Roman" w:hAnsi="Times New Roman"/>
          <w:b w:val="0"/>
          <w:bCs w:val="0"/>
          <w:sz w:val="24"/>
          <w:szCs w:val="24"/>
        </w:rPr>
        <w:lastRenderedPageBreak/>
        <w:t>electrification efforts</w:t>
      </w:r>
      <w:r w:rsidRPr="00D434EE">
        <w:rPr>
          <w:rFonts w:ascii="Times New Roman" w:hAnsi="Times New Roman"/>
          <w:sz w:val="24"/>
          <w:szCs w:val="24"/>
        </w:rPr>
        <w:t xml:space="preserve">. The lack of coherent and enforceable policies was found to undermine investor confidence and delay project implementation. Similarly, the 2023 regional survey reported in the </w:t>
      </w:r>
      <w:r w:rsidRPr="00D434EE">
        <w:rPr>
          <w:rStyle w:val="Emphasis"/>
          <w:rFonts w:ascii="Times New Roman" w:hAnsi="Times New Roman"/>
          <w:sz w:val="24"/>
          <w:szCs w:val="24"/>
        </w:rPr>
        <w:t>Oxford Energy Review</w:t>
      </w:r>
      <w:r w:rsidRPr="00D434EE">
        <w:rPr>
          <w:rFonts w:ascii="Times New Roman" w:hAnsi="Times New Roman"/>
          <w:sz w:val="24"/>
          <w:szCs w:val="24"/>
        </w:rPr>
        <w:t xml:space="preserve"> reveals that across East Africa, many</w:t>
      </w:r>
      <w:r w:rsidR="00664633" w:rsidRPr="00D434EE">
        <w:rPr>
          <w:rFonts w:ascii="Times New Roman" w:hAnsi="Times New Roman"/>
          <w:sz w:val="24"/>
          <w:szCs w:val="24"/>
        </w:rPr>
        <w:t xml:space="preserve"> mini-</w:t>
      </w:r>
      <w:r w:rsidRPr="00D434EE">
        <w:rPr>
          <w:rFonts w:ascii="Times New Roman" w:hAnsi="Times New Roman"/>
          <w:sz w:val="24"/>
          <w:szCs w:val="24"/>
        </w:rPr>
        <w:t xml:space="preserve">grid initiatives suffer from </w:t>
      </w:r>
      <w:r w:rsidRPr="00D434EE">
        <w:rPr>
          <w:rStyle w:val="Strong"/>
          <w:rFonts w:ascii="Times New Roman" w:hAnsi="Times New Roman"/>
          <w:b w:val="0"/>
          <w:bCs w:val="0"/>
          <w:sz w:val="24"/>
          <w:szCs w:val="24"/>
        </w:rPr>
        <w:t>unsustainable funding models</w:t>
      </w:r>
      <w:r w:rsidRPr="00D434EE">
        <w:rPr>
          <w:rFonts w:ascii="Times New Roman" w:hAnsi="Times New Roman"/>
          <w:sz w:val="24"/>
          <w:szCs w:val="24"/>
        </w:rPr>
        <w:t xml:space="preserve"> and </w:t>
      </w:r>
      <w:r w:rsidRPr="00D434EE">
        <w:rPr>
          <w:rStyle w:val="Strong"/>
          <w:rFonts w:ascii="Times New Roman" w:hAnsi="Times New Roman"/>
          <w:b w:val="0"/>
          <w:bCs w:val="0"/>
          <w:sz w:val="24"/>
          <w:szCs w:val="24"/>
        </w:rPr>
        <w:t>limited access to patient capital</w:t>
      </w:r>
      <w:r w:rsidRPr="00D434EE">
        <w:rPr>
          <w:rFonts w:ascii="Times New Roman" w:hAnsi="Times New Roman"/>
          <w:b/>
          <w:bCs/>
          <w:sz w:val="24"/>
          <w:szCs w:val="24"/>
        </w:rPr>
        <w:t>—</w:t>
      </w:r>
      <w:r w:rsidRPr="00D434EE">
        <w:rPr>
          <w:rFonts w:ascii="Times New Roman" w:hAnsi="Times New Roman"/>
          <w:sz w:val="24"/>
          <w:szCs w:val="24"/>
        </w:rPr>
        <w:t>long-term investment resources that are critical for infrastructure projects with delayed returns.</w:t>
      </w:r>
      <w:r w:rsidR="00B000AC">
        <w:rPr>
          <w:rFonts w:ascii="Times New Roman" w:hAnsi="Times New Roman"/>
          <w:noProof/>
          <w:sz w:val="24"/>
          <w:szCs w:val="24"/>
        </w:rPr>
        <w:t xml:space="preserve"> </w:t>
      </w:r>
      <w:r w:rsidR="00286CF8" w:rsidRPr="00B000AC">
        <w:rPr>
          <w:rFonts w:ascii="Times New Roman" w:hAnsi="Times New Roman"/>
          <w:noProof/>
          <w:sz w:val="24"/>
          <w:szCs w:val="24"/>
        </w:rPr>
        <w:t>Collectively</w:t>
      </w:r>
      <w:r w:rsidRPr="00D434EE">
        <w:rPr>
          <w:rFonts w:ascii="Times New Roman" w:hAnsi="Times New Roman"/>
          <w:sz w:val="24"/>
          <w:szCs w:val="24"/>
        </w:rPr>
        <w:t>, these studies demonstrate that despite t</w:t>
      </w:r>
      <w:r w:rsidR="00664633" w:rsidRPr="00D434EE">
        <w:rPr>
          <w:rFonts w:ascii="Times New Roman" w:hAnsi="Times New Roman"/>
          <w:sz w:val="24"/>
          <w:szCs w:val="24"/>
        </w:rPr>
        <w:t>echnological advancements, mini-</w:t>
      </w:r>
      <w:r w:rsidRPr="00D434EE">
        <w:rPr>
          <w:rFonts w:ascii="Times New Roman" w:hAnsi="Times New Roman"/>
          <w:sz w:val="24"/>
          <w:szCs w:val="24"/>
        </w:rPr>
        <w:t xml:space="preserve">grid scalability remains constrained by structural and institutional bottlenecks in financing and governance. Addressing these barriers </w:t>
      </w:r>
      <w:r w:rsidR="002511FF">
        <w:rPr>
          <w:rFonts w:ascii="Times New Roman" w:hAnsi="Times New Roman"/>
          <w:sz w:val="24"/>
          <w:szCs w:val="24"/>
        </w:rPr>
        <w:t>requires</w:t>
      </w:r>
      <w:r w:rsidRPr="00D434EE">
        <w:rPr>
          <w:rFonts w:ascii="Times New Roman" w:hAnsi="Times New Roman"/>
          <w:sz w:val="24"/>
          <w:szCs w:val="24"/>
        </w:rPr>
        <w:t xml:space="preserve"> targeted reforms in energy policy, financial systems, and regulatory frameworks tailored to support </w:t>
      </w:r>
      <w:r w:rsidR="001D126B">
        <w:rPr>
          <w:rFonts w:ascii="Times New Roman" w:hAnsi="Times New Roman"/>
          <w:sz w:val="24"/>
          <w:szCs w:val="24"/>
        </w:rPr>
        <w:t>decentralized</w:t>
      </w:r>
      <w:r w:rsidRPr="00D434EE">
        <w:rPr>
          <w:rFonts w:ascii="Times New Roman" w:hAnsi="Times New Roman"/>
          <w:sz w:val="24"/>
          <w:szCs w:val="24"/>
        </w:rPr>
        <w:t xml:space="preserve"> renewable energy solutions.</w:t>
      </w:r>
    </w:p>
    <w:p w14:paraId="6A626E74" w14:textId="77777777" w:rsidR="00006E98" w:rsidRPr="00D434EE" w:rsidRDefault="00006E98" w:rsidP="00D434EE">
      <w:pPr>
        <w:pStyle w:val="ListParagraph"/>
        <w:numPr>
          <w:ilvl w:val="1"/>
          <w:numId w:val="7"/>
        </w:numPr>
        <w:spacing w:line="360" w:lineRule="auto"/>
        <w:ind w:left="567" w:hanging="567"/>
        <w:rPr>
          <w:rFonts w:ascii="Times New Roman" w:hAnsi="Times New Roman"/>
          <w:b/>
          <w:sz w:val="24"/>
          <w:szCs w:val="24"/>
        </w:rPr>
      </w:pPr>
      <w:bookmarkStart w:id="0" w:name="_GoBack"/>
      <w:bookmarkEnd w:id="0"/>
      <w:r w:rsidRPr="00D434EE">
        <w:rPr>
          <w:rFonts w:ascii="Times New Roman" w:hAnsi="Times New Roman"/>
          <w:b/>
          <w:sz w:val="24"/>
          <w:szCs w:val="24"/>
        </w:rPr>
        <w:t>D</w:t>
      </w:r>
      <w:r w:rsidR="00F336F0" w:rsidRPr="00D434EE">
        <w:rPr>
          <w:rFonts w:ascii="Times New Roman" w:hAnsi="Times New Roman"/>
          <w:b/>
          <w:sz w:val="24"/>
          <w:szCs w:val="24"/>
        </w:rPr>
        <w:t>iscussion</w:t>
      </w:r>
    </w:p>
    <w:p w14:paraId="5D344D8D" w14:textId="256FB82A"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The systematic review of </w:t>
      </w:r>
      <w:r w:rsidR="00B83FD8">
        <w:rPr>
          <w:rFonts w:ascii="Times New Roman" w:eastAsia="Times New Roman" w:hAnsi="Times New Roman"/>
          <w:kern w:val="0"/>
          <w:sz w:val="24"/>
          <w:szCs w:val="24"/>
        </w:rPr>
        <w:t>4</w:t>
      </w:r>
      <w:r w:rsidR="00664633" w:rsidRPr="00D434EE">
        <w:rPr>
          <w:rFonts w:ascii="Times New Roman" w:eastAsia="Times New Roman" w:hAnsi="Times New Roman"/>
          <w:kern w:val="0"/>
          <w:sz w:val="24"/>
          <w:szCs w:val="24"/>
        </w:rPr>
        <w:t>0 studies on climate-proof mini-</w:t>
      </w:r>
      <w:r w:rsidRPr="00D434EE">
        <w:rPr>
          <w:rFonts w:ascii="Times New Roman" w:eastAsia="Times New Roman" w:hAnsi="Times New Roman"/>
          <w:kern w:val="0"/>
          <w:sz w:val="24"/>
          <w:szCs w:val="24"/>
        </w:rPr>
        <w:t xml:space="preserve">grid designs reveals a nuanced landscape </w:t>
      </w:r>
      <w:r w:rsidR="001D126B">
        <w:rPr>
          <w:rFonts w:ascii="Times New Roman" w:eastAsia="Times New Roman" w:hAnsi="Times New Roman"/>
          <w:kern w:val="0"/>
          <w:sz w:val="24"/>
          <w:szCs w:val="24"/>
        </w:rPr>
        <w:t>characterized</w:t>
      </w:r>
      <w:r w:rsidRPr="00D434EE">
        <w:rPr>
          <w:rFonts w:ascii="Times New Roman" w:eastAsia="Times New Roman" w:hAnsi="Times New Roman"/>
          <w:kern w:val="0"/>
          <w:sz w:val="24"/>
          <w:szCs w:val="24"/>
        </w:rPr>
        <w:t xml:space="preserve"> by significant technological advances but also persistent challenges that threaten the scalability and sustainability of these systems</w:t>
      </w:r>
      <w:r w:rsidR="002511FF">
        <w:rPr>
          <w:rFonts w:ascii="Times New Roman" w:eastAsia="Times New Roman" w:hAnsi="Times New Roman"/>
          <w:kern w:val="0"/>
          <w:sz w:val="24"/>
          <w:szCs w:val="24"/>
        </w:rPr>
        <w:t>. Development</w:t>
      </w:r>
      <w:r w:rsidRPr="00D434EE">
        <w:rPr>
          <w:rFonts w:ascii="Times New Roman" w:eastAsia="Times New Roman" w:hAnsi="Times New Roman"/>
          <w:kern w:val="0"/>
          <w:sz w:val="24"/>
          <w:szCs w:val="24"/>
        </w:rPr>
        <w:t xml:space="preserve"> and management is needed.</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(Arabnya, 2024)</w:t>
      </w:r>
      <w:r w:rsidRPr="00D434EE">
        <w:rPr>
          <w:rFonts w:ascii="Times New Roman" w:eastAsia="Times New Roman" w:hAnsi="Times New Roman"/>
          <w:kern w:val="0"/>
          <w:sz w:val="24"/>
          <w:szCs w:val="24"/>
        </w:rPr>
        <w:t xml:space="preserve"> This discussion critically </w:t>
      </w:r>
      <w:r w:rsidR="001D126B">
        <w:rPr>
          <w:rFonts w:ascii="Times New Roman" w:eastAsia="Times New Roman" w:hAnsi="Times New Roman"/>
          <w:kern w:val="0"/>
          <w:sz w:val="24"/>
          <w:szCs w:val="24"/>
        </w:rPr>
        <w:t>synthesizes</w:t>
      </w:r>
      <w:r w:rsidRPr="00D434EE">
        <w:rPr>
          <w:rFonts w:ascii="Times New Roman" w:eastAsia="Times New Roman" w:hAnsi="Times New Roman"/>
          <w:kern w:val="0"/>
          <w:sz w:val="24"/>
          <w:szCs w:val="24"/>
        </w:rPr>
        <w:t xml:space="preserve"> the main findings while interrogating the limitations and implications for policy, practice, and future research.</w:t>
      </w:r>
    </w:p>
    <w:p w14:paraId="3A900C44" w14:textId="77777777" w:rsidR="001145C9" w:rsidRPr="00D434EE" w:rsidRDefault="00A9578B"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T</w:t>
      </w:r>
      <w:r w:rsidR="0088195C" w:rsidRPr="00D434EE">
        <w:rPr>
          <w:rFonts w:ascii="Times New Roman" w:eastAsia="Times New Roman" w:hAnsi="Times New Roman"/>
          <w:b/>
          <w:bCs/>
          <w:kern w:val="0"/>
          <w:sz w:val="24"/>
          <w:szCs w:val="24"/>
        </w:rPr>
        <w:t>echnological Innovations</w:t>
      </w:r>
    </w:p>
    <w:p w14:paraId="433351B6" w14:textId="183AD933" w:rsidR="001145C9" w:rsidRPr="00D434EE" w:rsidRDefault="0088195C" w:rsidP="00D434EE">
      <w:pPr>
        <w:spacing w:before="100" w:beforeAutospacing="1" w:after="0"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Across th</w:t>
      </w:r>
      <w:r w:rsidR="00664633" w:rsidRPr="00D434EE">
        <w:rPr>
          <w:rFonts w:ascii="Times New Roman" w:eastAsia="Times New Roman" w:hAnsi="Times New Roman"/>
          <w:kern w:val="0"/>
          <w:sz w:val="24"/>
          <w:szCs w:val="24"/>
        </w:rPr>
        <w:t>e corpus, hybrid renewable mini-</w:t>
      </w:r>
      <w:r w:rsidRPr="00D434EE">
        <w:rPr>
          <w:rFonts w:ascii="Times New Roman" w:eastAsia="Times New Roman" w:hAnsi="Times New Roman"/>
          <w:kern w:val="0"/>
          <w:sz w:val="24"/>
          <w:szCs w:val="24"/>
        </w:rPr>
        <w:t>grids—especially those combining solar photovoltaic (PV), wind energy, and battery storage—dominate the discourse on climate-resilient energy systems.</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 xml:space="preserve">Weinand </w:t>
      </w:r>
      <w:r w:rsidR="00E77426">
        <w:rPr>
          <w:rFonts w:ascii="Times New Roman" w:eastAsia="Times New Roman" w:hAnsi="Times New Roman"/>
          <w:noProof/>
          <w:kern w:val="0"/>
          <w:sz w:val="24"/>
          <w:szCs w:val="24"/>
        </w:rPr>
        <w:t xml:space="preserve"> et al</w:t>
      </w:r>
      <w:r w:rsidR="00125D96">
        <w:rPr>
          <w:rFonts w:ascii="Times New Roman" w:eastAsia="Times New Roman" w:hAnsi="Times New Roman"/>
          <w:noProof/>
          <w:kern w:val="0"/>
          <w:sz w:val="24"/>
          <w:szCs w:val="24"/>
        </w:rPr>
        <w:t>.</w:t>
      </w:r>
      <w:r w:rsidR="00B000AC" w:rsidRPr="00B000AC">
        <w:rPr>
          <w:rFonts w:ascii="Times New Roman" w:eastAsia="Times New Roman" w:hAnsi="Times New Roman"/>
          <w:noProof/>
          <w:kern w:val="0"/>
          <w:sz w:val="24"/>
          <w:szCs w:val="24"/>
        </w:rPr>
        <w:t xml:space="preserve"> </w:t>
      </w:r>
      <w:r w:rsidR="00125D96">
        <w:rPr>
          <w:rFonts w:ascii="Times New Roman" w:eastAsia="Times New Roman" w:hAnsi="Times New Roman"/>
          <w:noProof/>
          <w:kern w:val="0"/>
          <w:sz w:val="24"/>
          <w:szCs w:val="24"/>
        </w:rPr>
        <w:t>(</w:t>
      </w:r>
      <w:r w:rsidR="00B000AC" w:rsidRPr="00B000AC">
        <w:rPr>
          <w:rFonts w:ascii="Times New Roman" w:eastAsia="Times New Roman" w:hAnsi="Times New Roman"/>
          <w:noProof/>
          <w:kern w:val="0"/>
          <w:sz w:val="24"/>
          <w:szCs w:val="24"/>
        </w:rPr>
        <w:t>2020)</w:t>
      </w:r>
      <w:r w:rsidRPr="00D434EE">
        <w:rPr>
          <w:rFonts w:ascii="Times New Roman" w:eastAsia="Times New Roman" w:hAnsi="Times New Roman"/>
          <w:kern w:val="0"/>
          <w:sz w:val="24"/>
          <w:szCs w:val="24"/>
        </w:rPr>
        <w:t xml:space="preserve"> These configurations have demonstrated improved system reliability, enhanced energy availability, and reduced greenhouse gas emissions compared to conventional grid extensions.</w:t>
      </w:r>
    </w:p>
    <w:p w14:paraId="0D63B5BE" w14:textId="641C7CF5" w:rsidR="00000295" w:rsidRDefault="0088195C" w:rsidP="00280FEE">
      <w:pPr>
        <w:spacing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However, the promise of these technological advancements is tempered by operational realities frequently cited in empirical field studies. Kumar et al.</w:t>
      </w:r>
      <w:r w:rsidR="00B000AC">
        <w:rPr>
          <w:rFonts w:ascii="Times New Roman" w:eastAsia="Times New Roman" w:hAnsi="Times New Roman"/>
          <w:noProof/>
          <w:kern w:val="0"/>
          <w:sz w:val="24"/>
          <w:szCs w:val="24"/>
        </w:rPr>
        <w:t xml:space="preserve"> </w:t>
      </w:r>
      <w:r w:rsidR="002F22B5">
        <w:rPr>
          <w:rFonts w:ascii="Times New Roman" w:eastAsia="Times New Roman" w:hAnsi="Times New Roman"/>
          <w:noProof/>
          <w:kern w:val="0"/>
          <w:sz w:val="24"/>
          <w:szCs w:val="24"/>
        </w:rPr>
        <w:t>(</w:t>
      </w:r>
      <w:r w:rsidR="00B000AC" w:rsidRPr="00B000AC">
        <w:rPr>
          <w:rFonts w:ascii="Times New Roman" w:eastAsia="Times New Roman" w:hAnsi="Times New Roman"/>
          <w:noProof/>
          <w:kern w:val="0"/>
          <w:sz w:val="24"/>
          <w:szCs w:val="24"/>
        </w:rPr>
        <w:t>202</w:t>
      </w:r>
      <w:r w:rsidR="006A1F6C">
        <w:rPr>
          <w:rFonts w:ascii="Times New Roman" w:eastAsia="Times New Roman" w:hAnsi="Times New Roman"/>
          <w:noProof/>
          <w:kern w:val="0"/>
          <w:sz w:val="24"/>
          <w:szCs w:val="24"/>
        </w:rPr>
        <w:t>1</w:t>
      </w:r>
      <w:r w:rsidR="00B000AC" w:rsidRPr="00B000AC">
        <w:rPr>
          <w:rFonts w:ascii="Times New Roman" w:eastAsia="Times New Roman" w:hAnsi="Times New Roman"/>
          <w:noProof/>
          <w:kern w:val="0"/>
          <w:sz w:val="24"/>
          <w:szCs w:val="24"/>
        </w:rPr>
        <w:t>)</w:t>
      </w:r>
      <w:r w:rsidRPr="00D434EE">
        <w:rPr>
          <w:rFonts w:ascii="Times New Roman" w:eastAsia="Times New Roman" w:hAnsi="Times New Roman"/>
          <w:kern w:val="0"/>
          <w:sz w:val="24"/>
          <w:szCs w:val="24"/>
        </w:rPr>
        <w:t xml:space="preserve"> highlight maintenance challenges stemming from inadequate local technical expertise, resulting in frequent system downti</w:t>
      </w:r>
      <w:r w:rsidR="00123C87">
        <w:rPr>
          <w:rFonts w:ascii="Times New Roman" w:eastAsia="Times New Roman" w:hAnsi="Times New Roman"/>
          <w:kern w:val="0"/>
          <w:sz w:val="24"/>
          <w:szCs w:val="24"/>
        </w:rPr>
        <w:t>mes. Similarly</w:t>
      </w:r>
      <w:r w:rsidR="002511FF">
        <w:rPr>
          <w:rFonts w:ascii="Times New Roman" w:eastAsia="Times New Roman" w:hAnsi="Times New Roman"/>
          <w:kern w:val="0"/>
          <w:sz w:val="24"/>
          <w:szCs w:val="24"/>
        </w:rPr>
        <w:t>,</w:t>
      </w:r>
      <w:r w:rsidRPr="00D434EE">
        <w:rPr>
          <w:rFonts w:ascii="Times New Roman" w:eastAsia="Times New Roman" w:hAnsi="Times New Roman"/>
          <w:kern w:val="0"/>
          <w:sz w:val="24"/>
          <w:szCs w:val="24"/>
        </w:rPr>
        <w:t xml:space="preserve"> supply chain constraints that delay component replacements, especially in remote regions, </w:t>
      </w:r>
      <w:r w:rsidR="002511FF">
        <w:rPr>
          <w:rFonts w:ascii="Times New Roman" w:eastAsia="Times New Roman" w:hAnsi="Times New Roman"/>
          <w:kern w:val="0"/>
          <w:sz w:val="24"/>
          <w:szCs w:val="24"/>
        </w:rPr>
        <w:t>undermine</w:t>
      </w:r>
      <w:r w:rsidRPr="00D434EE">
        <w:rPr>
          <w:rFonts w:ascii="Times New Roman" w:eastAsia="Times New Roman" w:hAnsi="Times New Roman"/>
          <w:kern w:val="0"/>
          <w:sz w:val="24"/>
          <w:szCs w:val="24"/>
        </w:rPr>
        <w:t xml:space="preserve"> system resilience. These findings resonate with the broader literature on technology transfer and adaptation, which stresses that technological efficacy is inseparable from socio-econ</w:t>
      </w:r>
      <w:r w:rsidR="00EB401E">
        <w:rPr>
          <w:rFonts w:ascii="Times New Roman" w:eastAsia="Times New Roman" w:hAnsi="Times New Roman"/>
          <w:kern w:val="0"/>
          <w:sz w:val="24"/>
          <w:szCs w:val="24"/>
        </w:rPr>
        <w:t>omic and institutional contexts</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(Mocci, 2024)</w:t>
      </w:r>
      <w:r w:rsidR="00EB401E">
        <w:rPr>
          <w:rFonts w:ascii="Times New Roman" w:eastAsia="Times New Roman" w:hAnsi="Times New Roman"/>
          <w:noProof/>
          <w:kern w:val="0"/>
          <w:sz w:val="24"/>
          <w:szCs w:val="24"/>
        </w:rPr>
        <w:t>.</w:t>
      </w:r>
      <w:r w:rsidRPr="00D434EE">
        <w:rPr>
          <w:rFonts w:ascii="Times New Roman" w:eastAsia="Times New Roman" w:hAnsi="Times New Roman"/>
          <w:kern w:val="0"/>
          <w:sz w:val="24"/>
          <w:szCs w:val="24"/>
        </w:rPr>
        <w:t xml:space="preserve"> Therefore, while engineering </w:t>
      </w:r>
      <w:r w:rsidRPr="00D434EE">
        <w:rPr>
          <w:rFonts w:ascii="Times New Roman" w:eastAsia="Times New Roman" w:hAnsi="Times New Roman"/>
          <w:kern w:val="0"/>
          <w:sz w:val="24"/>
          <w:szCs w:val="24"/>
        </w:rPr>
        <w:lastRenderedPageBreak/>
        <w:t>innovations are necessary, they are insufficient in isolation to guarantee</w:t>
      </w:r>
      <w:r w:rsidR="00DA4C56" w:rsidRPr="00D434EE">
        <w:rPr>
          <w:rFonts w:ascii="Times New Roman" w:eastAsia="Times New Roman" w:hAnsi="Times New Roman"/>
          <w:kern w:val="0"/>
          <w:sz w:val="24"/>
          <w:szCs w:val="24"/>
        </w:rPr>
        <w:t xml:space="preserve"> sustainable energy transitions</w:t>
      </w:r>
      <w:r w:rsidR="00664633" w:rsidRPr="00D434EE">
        <w:rPr>
          <w:rFonts w:ascii="Times New Roman" w:eastAsia="Times New Roman" w:hAnsi="Times New Roman"/>
          <w:kern w:val="0"/>
          <w:sz w:val="24"/>
          <w:szCs w:val="24"/>
        </w:rPr>
        <w:t>.</w:t>
      </w:r>
    </w:p>
    <w:p w14:paraId="41FCBBF2"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Governance and Policy Frameworks: Enablers and Bottlenecks</w:t>
      </w:r>
    </w:p>
    <w:p w14:paraId="17C3129A" w14:textId="48EC898B" w:rsidR="001145C9" w:rsidRPr="00D434EE" w:rsidRDefault="0088195C" w:rsidP="00D434EE">
      <w:pPr>
        <w:spacing w:before="100" w:beforeAutospacing="1" w:after="0"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Effective governance is a recurrent theme across 22 studies, where regulatory clarity, institutional coordination, and community participation emer</w:t>
      </w:r>
      <w:r w:rsidR="00664633" w:rsidRPr="00D434EE">
        <w:rPr>
          <w:rFonts w:ascii="Times New Roman" w:eastAsia="Times New Roman" w:hAnsi="Times New Roman"/>
          <w:kern w:val="0"/>
          <w:sz w:val="24"/>
          <w:szCs w:val="24"/>
        </w:rPr>
        <w:t>ge as critical enablers of mini-</w:t>
      </w:r>
      <w:r w:rsidRPr="00D434EE">
        <w:rPr>
          <w:rFonts w:ascii="Times New Roman" w:eastAsia="Times New Roman" w:hAnsi="Times New Roman"/>
          <w:kern w:val="0"/>
          <w:sz w:val="24"/>
          <w:szCs w:val="24"/>
        </w:rPr>
        <w:t>grid success.</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(Hong, 2018)</w:t>
      </w:r>
      <w:r w:rsidRPr="00D434EE">
        <w:rPr>
          <w:rFonts w:ascii="Times New Roman" w:eastAsia="Times New Roman" w:hAnsi="Times New Roman"/>
          <w:kern w:val="0"/>
          <w:sz w:val="24"/>
          <w:szCs w:val="24"/>
        </w:rPr>
        <w:t xml:space="preserve"> Adeoti et al.</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(Adeoti, 2021)</w:t>
      </w:r>
      <w:r w:rsidRPr="00D434EE">
        <w:rPr>
          <w:rFonts w:ascii="Times New Roman" w:eastAsia="Times New Roman" w:hAnsi="Times New Roman"/>
          <w:kern w:val="0"/>
          <w:sz w:val="24"/>
          <w:szCs w:val="24"/>
        </w:rPr>
        <w:t xml:space="preserve"> highlight how transparent regulatory frameworks facilitate investment by reducing policy risk, a sentiment echoed by IRENA</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(IRENA, 20</w:t>
      </w:r>
      <w:r w:rsidR="003E2B73">
        <w:rPr>
          <w:rFonts w:ascii="Times New Roman" w:eastAsia="Times New Roman" w:hAnsi="Times New Roman"/>
          <w:noProof/>
          <w:kern w:val="0"/>
          <w:sz w:val="24"/>
          <w:szCs w:val="24"/>
        </w:rPr>
        <w:t>19</w:t>
      </w:r>
      <w:r w:rsidR="00B000AC" w:rsidRPr="00B000AC">
        <w:rPr>
          <w:rFonts w:ascii="Times New Roman" w:eastAsia="Times New Roman" w:hAnsi="Times New Roman"/>
          <w:noProof/>
          <w:kern w:val="0"/>
          <w:sz w:val="24"/>
          <w:szCs w:val="24"/>
        </w:rPr>
        <w:t>)</w:t>
      </w:r>
      <w:r w:rsidRPr="00D434EE">
        <w:rPr>
          <w:rFonts w:ascii="Times New Roman" w:eastAsia="Times New Roman" w:hAnsi="Times New Roman"/>
          <w:kern w:val="0"/>
          <w:sz w:val="24"/>
          <w:szCs w:val="24"/>
        </w:rPr>
        <w:t xml:space="preserve">, which argues that robust policy environments are essential for </w:t>
      </w:r>
      <w:r w:rsidR="001D126B">
        <w:rPr>
          <w:rFonts w:ascii="Times New Roman" w:eastAsia="Times New Roman" w:hAnsi="Times New Roman"/>
          <w:kern w:val="0"/>
          <w:sz w:val="24"/>
          <w:szCs w:val="24"/>
        </w:rPr>
        <w:t>mobilizing</w:t>
      </w:r>
      <w:r w:rsidRPr="00D434EE">
        <w:rPr>
          <w:rFonts w:ascii="Times New Roman" w:eastAsia="Times New Roman" w:hAnsi="Times New Roman"/>
          <w:kern w:val="0"/>
          <w:sz w:val="24"/>
          <w:szCs w:val="24"/>
        </w:rPr>
        <w:t xml:space="preserve"> capital in </w:t>
      </w:r>
      <w:r w:rsidR="001D126B">
        <w:rPr>
          <w:rFonts w:ascii="Times New Roman" w:eastAsia="Times New Roman" w:hAnsi="Times New Roman"/>
          <w:kern w:val="0"/>
          <w:sz w:val="24"/>
          <w:szCs w:val="24"/>
        </w:rPr>
        <w:t>decentralized</w:t>
      </w:r>
      <w:r w:rsidRPr="00D434EE">
        <w:rPr>
          <w:rFonts w:ascii="Times New Roman" w:eastAsia="Times New Roman" w:hAnsi="Times New Roman"/>
          <w:kern w:val="0"/>
          <w:sz w:val="24"/>
          <w:szCs w:val="24"/>
        </w:rPr>
        <w:t xml:space="preserve"> micro grids.</w:t>
      </w:r>
    </w:p>
    <w:p w14:paraId="31AD4FB3" w14:textId="3DC22A41" w:rsidR="001145C9" w:rsidRPr="00D434EE" w:rsidRDefault="0088195C" w:rsidP="00D434EE">
      <w:pPr>
        <w:spacing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Conversely, governance bottlenecks remain pervasive. Juma and Karanja</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(Juma, 2020</w:t>
      </w:r>
      <w:r w:rsidR="002511FF" w:rsidRPr="00B000AC">
        <w:rPr>
          <w:rFonts w:ascii="Times New Roman" w:eastAsia="Times New Roman" w:hAnsi="Times New Roman"/>
          <w:noProof/>
          <w:kern w:val="0"/>
          <w:sz w:val="24"/>
          <w:szCs w:val="24"/>
        </w:rPr>
        <w:t>)</w:t>
      </w:r>
      <w:r w:rsidR="002511FF" w:rsidRPr="00D434EE">
        <w:rPr>
          <w:rFonts w:ascii="Times New Roman" w:eastAsia="Times New Roman" w:hAnsi="Times New Roman"/>
          <w:kern w:val="0"/>
          <w:sz w:val="24"/>
          <w:szCs w:val="24"/>
        </w:rPr>
        <w:t xml:space="preserve"> document</w:t>
      </w:r>
      <w:r w:rsidRPr="00D434EE">
        <w:rPr>
          <w:rFonts w:ascii="Times New Roman" w:eastAsia="Times New Roman" w:hAnsi="Times New Roman"/>
          <w:kern w:val="0"/>
          <w:sz w:val="24"/>
          <w:szCs w:val="24"/>
        </w:rPr>
        <w:t xml:space="preserve"> bureaucratic inertia and overlapping institutional mandates that stifle project implementation in East African contexts. These structural weaknesses lead to delays in licensing and poor enforcement of quality standards, diminishing consumer confidence and investor interest. Moreover, the neglect of social inclusion in governance frameworks is a notable gap. </w:t>
      </w:r>
      <w:r w:rsidR="00900961">
        <w:rPr>
          <w:rFonts w:ascii="Times New Roman" w:eastAsia="Times New Roman" w:hAnsi="Times New Roman"/>
          <w:kern w:val="0"/>
          <w:sz w:val="24"/>
          <w:szCs w:val="24"/>
        </w:rPr>
        <w:t>G</w:t>
      </w:r>
      <w:r w:rsidRPr="00D434EE">
        <w:rPr>
          <w:rFonts w:ascii="Times New Roman" w:eastAsia="Times New Roman" w:hAnsi="Times New Roman"/>
          <w:kern w:val="0"/>
          <w:sz w:val="24"/>
          <w:szCs w:val="24"/>
        </w:rPr>
        <w:t xml:space="preserve">ender considerations are often sidelined, resulting in inequitable access and participation, which undermines community ownership and sustainability. This mixed governance landscape underscores the critical importance of policy coherence, participatory governance, and equity-focused approaches to </w:t>
      </w:r>
      <w:r w:rsidR="001D126B">
        <w:rPr>
          <w:rFonts w:ascii="Times New Roman" w:eastAsia="Times New Roman" w:hAnsi="Times New Roman"/>
          <w:kern w:val="0"/>
          <w:sz w:val="24"/>
          <w:szCs w:val="24"/>
        </w:rPr>
        <w:t>realize</w:t>
      </w:r>
      <w:r w:rsidRPr="00D434EE">
        <w:rPr>
          <w:rFonts w:ascii="Times New Roman" w:eastAsia="Times New Roman" w:hAnsi="Times New Roman"/>
          <w:kern w:val="0"/>
          <w:sz w:val="24"/>
          <w:szCs w:val="24"/>
        </w:rPr>
        <w:t xml:space="preserve"> the full potential of </w:t>
      </w:r>
      <w:r w:rsidR="00892670" w:rsidRPr="00D434EE">
        <w:rPr>
          <w:rFonts w:ascii="Times New Roman" w:eastAsia="Times New Roman" w:hAnsi="Times New Roman"/>
          <w:kern w:val="0"/>
          <w:sz w:val="24"/>
          <w:szCs w:val="24"/>
        </w:rPr>
        <w:t>mini-</w:t>
      </w:r>
      <w:r w:rsidRPr="00D434EE">
        <w:rPr>
          <w:rFonts w:ascii="Times New Roman" w:eastAsia="Times New Roman" w:hAnsi="Times New Roman"/>
          <w:kern w:val="0"/>
          <w:sz w:val="24"/>
          <w:szCs w:val="24"/>
        </w:rPr>
        <w:t>grids as climate-resilient energy solutions.</w:t>
      </w:r>
    </w:p>
    <w:p w14:paraId="60D750E1"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Quantitative Evidence: Strengths and Methodological Gaps</w:t>
      </w:r>
    </w:p>
    <w:p w14:paraId="3F46B330" w14:textId="472C5154" w:rsidR="001145C9" w:rsidRPr="00D434EE" w:rsidRDefault="0088195C" w:rsidP="00D434EE">
      <w:pPr>
        <w:spacing w:before="100" w:beforeAutospacing="1" w:after="0"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Fifteen studies provid</w:t>
      </w:r>
      <w:r w:rsidR="00892670" w:rsidRPr="00D434EE">
        <w:rPr>
          <w:rFonts w:ascii="Times New Roman" w:eastAsia="Times New Roman" w:hAnsi="Times New Roman"/>
          <w:kern w:val="0"/>
          <w:sz w:val="24"/>
          <w:szCs w:val="24"/>
        </w:rPr>
        <w:t>e quantitative evidence on mini-</w:t>
      </w:r>
      <w:r w:rsidRPr="00D434EE">
        <w:rPr>
          <w:rFonts w:ascii="Times New Roman" w:eastAsia="Times New Roman" w:hAnsi="Times New Roman"/>
          <w:kern w:val="0"/>
          <w:sz w:val="24"/>
          <w:szCs w:val="24"/>
        </w:rPr>
        <w:t>grid performance, with statistical analyses indicating significant gains in system uptime, cost-effectiveness, and emissions reduction.</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(Dimovski, 2023)</w:t>
      </w:r>
      <w:r w:rsidRPr="00D434EE">
        <w:rPr>
          <w:rFonts w:ascii="Times New Roman" w:eastAsia="Times New Roman" w:hAnsi="Times New Roman"/>
          <w:kern w:val="0"/>
          <w:sz w:val="24"/>
          <w:szCs w:val="24"/>
        </w:rPr>
        <w:t xml:space="preserve"> a large sample (n=150) of mini grids in Asia and Africa to demonstrate that hybrid designs </w:t>
      </w:r>
      <w:r w:rsidRPr="006C4D1A">
        <w:rPr>
          <w:rFonts w:ascii="Times New Roman" w:eastAsia="Times New Roman" w:hAnsi="Times New Roman"/>
          <w:kern w:val="0"/>
          <w:sz w:val="24"/>
          <w:szCs w:val="24"/>
        </w:rPr>
        <w:t xml:space="preserve">reduce </w:t>
      </w:r>
      <w:r w:rsidR="001D126B" w:rsidRPr="006C4D1A">
        <w:rPr>
          <w:rFonts w:ascii="Times New Roman" w:eastAsia="Times New Roman" w:hAnsi="Times New Roman"/>
          <w:kern w:val="0"/>
          <w:sz w:val="24"/>
          <w:szCs w:val="24"/>
        </w:rPr>
        <w:t>Leveled</w:t>
      </w:r>
      <w:r w:rsidRPr="006C4D1A">
        <w:rPr>
          <w:rFonts w:ascii="Times New Roman" w:eastAsia="Times New Roman" w:hAnsi="Times New Roman"/>
          <w:kern w:val="0"/>
          <w:sz w:val="24"/>
          <w:szCs w:val="24"/>
        </w:rPr>
        <w:t xml:space="preserve"> Cost</w:t>
      </w:r>
      <w:r w:rsidRPr="00D434EE">
        <w:rPr>
          <w:rFonts w:ascii="Times New Roman" w:eastAsia="Times New Roman" w:hAnsi="Times New Roman"/>
          <w:kern w:val="0"/>
          <w:sz w:val="24"/>
          <w:szCs w:val="24"/>
        </w:rPr>
        <w:t xml:space="preserve"> of Electricity (LCOE) by 15–25% compared to standalone diesel generators.</w:t>
      </w:r>
    </w:p>
    <w:p w14:paraId="4EBE373F" w14:textId="293C2EBE" w:rsidR="00280FEE" w:rsidRPr="00D434EE" w:rsidRDefault="0088195C" w:rsidP="009E0554">
      <w:pPr>
        <w:spacing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Despite these encouraging findings, methodological heterogeneity constrains generalizability. The diversity of performance metrics, ranging from technical indicators like availability and efficiency to financial parameters like LCOE, impedes meta-analyses. Furthermore, </w:t>
      </w:r>
      <w:r w:rsidR="002511FF" w:rsidRPr="00D434EE">
        <w:rPr>
          <w:rFonts w:ascii="Times New Roman" w:eastAsia="Times New Roman" w:hAnsi="Times New Roman"/>
          <w:kern w:val="0"/>
          <w:sz w:val="24"/>
          <w:szCs w:val="24"/>
        </w:rPr>
        <w:t>most of</w:t>
      </w:r>
      <w:r w:rsidRPr="00D434EE">
        <w:rPr>
          <w:rFonts w:ascii="Times New Roman" w:eastAsia="Times New Roman" w:hAnsi="Times New Roman"/>
          <w:kern w:val="0"/>
          <w:sz w:val="24"/>
          <w:szCs w:val="24"/>
        </w:rPr>
        <w:t xml:space="preserve"> these studies rely on short-term pilot projects or simulation-based models </w:t>
      </w:r>
      <w:r w:rsidRPr="00D434EE">
        <w:rPr>
          <w:rFonts w:ascii="Times New Roman" w:eastAsia="Times New Roman" w:hAnsi="Times New Roman"/>
          <w:kern w:val="0"/>
          <w:sz w:val="24"/>
          <w:szCs w:val="24"/>
        </w:rPr>
        <w:lastRenderedPageBreak/>
        <w:t>rather than longitudinal real-world data.</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(Dvorakova, 2020)</w:t>
      </w:r>
      <w:r w:rsidRPr="00D434EE">
        <w:rPr>
          <w:rFonts w:ascii="Times New Roman" w:eastAsia="Times New Roman" w:hAnsi="Times New Roman"/>
          <w:kern w:val="0"/>
          <w:sz w:val="24"/>
          <w:szCs w:val="24"/>
        </w:rPr>
        <w:t xml:space="preserve"> This temporal limitation restricts </w:t>
      </w:r>
      <w:r w:rsidR="002511FF" w:rsidRPr="00D434EE">
        <w:rPr>
          <w:rFonts w:ascii="Times New Roman" w:eastAsia="Times New Roman" w:hAnsi="Times New Roman"/>
          <w:kern w:val="0"/>
          <w:sz w:val="24"/>
          <w:szCs w:val="24"/>
        </w:rPr>
        <w:t>insight</w:t>
      </w:r>
      <w:r w:rsidRPr="00D434EE">
        <w:rPr>
          <w:rFonts w:ascii="Times New Roman" w:eastAsia="Times New Roman" w:hAnsi="Times New Roman"/>
          <w:kern w:val="0"/>
          <w:sz w:val="24"/>
          <w:szCs w:val="24"/>
        </w:rPr>
        <w:t xml:space="preserve"> into durability under climate variability and evolving user demand patterns, vital for assessing true resilience.</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(Bhattacharyya, 2018)</w:t>
      </w:r>
      <w:r w:rsidRPr="00D434EE">
        <w:rPr>
          <w:rFonts w:ascii="Times New Roman" w:eastAsia="Times New Roman" w:hAnsi="Times New Roman"/>
          <w:kern w:val="0"/>
          <w:sz w:val="24"/>
          <w:szCs w:val="24"/>
        </w:rPr>
        <w:t xml:space="preserve"> The scarcity of </w:t>
      </w:r>
      <w:r w:rsidR="006A1F6C">
        <w:rPr>
          <w:rFonts w:ascii="Times New Roman" w:eastAsia="Times New Roman" w:hAnsi="Times New Roman"/>
          <w:kern w:val="0"/>
          <w:sz w:val="24"/>
          <w:szCs w:val="24"/>
        </w:rPr>
        <w:t>standardized</w:t>
      </w:r>
      <w:r w:rsidRPr="00D434EE">
        <w:rPr>
          <w:rFonts w:ascii="Times New Roman" w:eastAsia="Times New Roman" w:hAnsi="Times New Roman"/>
          <w:kern w:val="0"/>
          <w:sz w:val="24"/>
          <w:szCs w:val="24"/>
        </w:rPr>
        <w:t xml:space="preserve"> data collection and reporting protocols calls for establishing rigorous monitoring frameworks to enhance evidence quality and comparability.</w:t>
      </w:r>
    </w:p>
    <w:p w14:paraId="55A2E262"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Barriers to Adoption: Financial, Technical, and Social Constraints</w:t>
      </w:r>
    </w:p>
    <w:p w14:paraId="64D3A324" w14:textId="443D79DF" w:rsidR="001145C9" w:rsidRPr="00D434EE" w:rsidRDefault="0088195C" w:rsidP="00D434EE">
      <w:pPr>
        <w:spacing w:before="100" w:beforeAutospacing="1" w:after="0"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A near-universal theme across the studies is the formidable financial barrier confro</w:t>
      </w:r>
      <w:r w:rsidR="00892670" w:rsidRPr="00D434EE">
        <w:rPr>
          <w:rFonts w:ascii="Times New Roman" w:eastAsia="Times New Roman" w:hAnsi="Times New Roman"/>
          <w:kern w:val="0"/>
          <w:sz w:val="24"/>
          <w:szCs w:val="24"/>
        </w:rPr>
        <w:t>nting mini-</w:t>
      </w:r>
      <w:r w:rsidRPr="00D434EE">
        <w:rPr>
          <w:rFonts w:ascii="Times New Roman" w:eastAsia="Times New Roman" w:hAnsi="Times New Roman"/>
          <w:kern w:val="0"/>
          <w:sz w:val="24"/>
          <w:szCs w:val="24"/>
        </w:rPr>
        <w:t>grid deployment, cited in over 35 of the 50 studies.</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(Arabnya, 2024)</w:t>
      </w:r>
      <w:r w:rsidRPr="00D434EE">
        <w:rPr>
          <w:rFonts w:ascii="Times New Roman" w:eastAsia="Times New Roman" w:hAnsi="Times New Roman"/>
          <w:kern w:val="0"/>
          <w:sz w:val="24"/>
          <w:szCs w:val="24"/>
        </w:rPr>
        <w:t xml:space="preserve"> High upfront capital requirements, coupled with limited access to affordable financing instruments, particularly for community-based projects, severely re</w:t>
      </w:r>
      <w:r w:rsidR="003B4CCD">
        <w:rPr>
          <w:rFonts w:ascii="Times New Roman" w:eastAsia="Times New Roman" w:hAnsi="Times New Roman"/>
          <w:kern w:val="0"/>
          <w:sz w:val="24"/>
          <w:szCs w:val="24"/>
        </w:rPr>
        <w:t xml:space="preserve">strict expansion. </w:t>
      </w:r>
      <w:r w:rsidRPr="00D434EE">
        <w:rPr>
          <w:rFonts w:ascii="Times New Roman" w:eastAsia="Times New Roman" w:hAnsi="Times New Roman"/>
          <w:kern w:val="0"/>
          <w:sz w:val="24"/>
          <w:szCs w:val="24"/>
        </w:rPr>
        <w:t xml:space="preserve"> </w:t>
      </w:r>
    </w:p>
    <w:p w14:paraId="2CDFA609" w14:textId="794C5DEC" w:rsidR="007E1806" w:rsidRPr="00D434EE" w:rsidRDefault="0088195C" w:rsidP="00280FEE">
      <w:pPr>
        <w:spacing w:after="0"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Technical capacity deficits emerge as criti</w:t>
      </w:r>
      <w:r w:rsidR="00EB401E">
        <w:rPr>
          <w:rFonts w:ascii="Times New Roman" w:eastAsia="Times New Roman" w:hAnsi="Times New Roman"/>
          <w:kern w:val="0"/>
          <w:sz w:val="24"/>
          <w:szCs w:val="24"/>
        </w:rPr>
        <w:t xml:space="preserve">cal impediments. </w:t>
      </w:r>
      <w:r w:rsidR="00EB401E">
        <w:rPr>
          <w:rFonts w:ascii="Times New Roman" w:eastAsia="Times New Roman" w:hAnsi="Times New Roman"/>
          <w:noProof/>
          <w:kern w:val="0"/>
          <w:sz w:val="24"/>
          <w:szCs w:val="24"/>
        </w:rPr>
        <w:t>Kumar et al. 2021</w:t>
      </w:r>
      <w:r w:rsidRPr="00D434EE">
        <w:rPr>
          <w:rFonts w:ascii="Times New Roman" w:eastAsia="Times New Roman" w:hAnsi="Times New Roman"/>
          <w:kern w:val="0"/>
          <w:sz w:val="24"/>
          <w:szCs w:val="24"/>
        </w:rPr>
        <w:t xml:space="preserve"> stress the urgent need for </w:t>
      </w:r>
      <w:r w:rsidR="001D126B">
        <w:rPr>
          <w:rFonts w:ascii="Times New Roman" w:eastAsia="Times New Roman" w:hAnsi="Times New Roman"/>
          <w:kern w:val="0"/>
          <w:sz w:val="24"/>
          <w:szCs w:val="24"/>
        </w:rPr>
        <w:t>localized</w:t>
      </w:r>
      <w:r w:rsidRPr="00D434EE">
        <w:rPr>
          <w:rFonts w:ascii="Times New Roman" w:eastAsia="Times New Roman" w:hAnsi="Times New Roman"/>
          <w:kern w:val="0"/>
          <w:sz w:val="24"/>
          <w:szCs w:val="24"/>
        </w:rPr>
        <w:t xml:space="preserve"> training programs to develop skilled technicians capable of maintaining increasingly complex hybrid systems. Without this capacity-building, technical failures proliferate, leading to service interruptions and stakeholder disenchantment. </w:t>
      </w:r>
      <w:r w:rsidR="008C7D12">
        <w:rPr>
          <w:rFonts w:ascii="Times New Roman" w:hAnsi="Times New Roman"/>
          <w:sz w:val="24"/>
          <w:szCs w:val="24"/>
        </w:rPr>
        <w:t xml:space="preserve">Stritzke </w:t>
      </w:r>
      <w:r w:rsidR="00DB195A">
        <w:rPr>
          <w:rFonts w:ascii="Times New Roman" w:hAnsi="Times New Roman"/>
          <w:sz w:val="24"/>
          <w:szCs w:val="24"/>
        </w:rPr>
        <w:t>et la</w:t>
      </w:r>
      <w:r w:rsidR="008C7D12">
        <w:rPr>
          <w:rFonts w:ascii="Times New Roman" w:eastAsia="Times New Roman" w:hAnsi="Times New Roman"/>
          <w:kern w:val="0"/>
          <w:sz w:val="24"/>
          <w:szCs w:val="24"/>
        </w:rPr>
        <w:t xml:space="preserve"> </w:t>
      </w:r>
      <w:r w:rsidR="00EB401E">
        <w:rPr>
          <w:rFonts w:ascii="Times New Roman" w:eastAsia="Times New Roman" w:hAnsi="Times New Roman"/>
          <w:noProof/>
          <w:kern w:val="0"/>
          <w:sz w:val="24"/>
          <w:szCs w:val="24"/>
        </w:rPr>
        <w:t>(Jain</w:t>
      </w:r>
      <w:r w:rsidR="00B000AC" w:rsidRPr="00B000AC">
        <w:rPr>
          <w:rFonts w:ascii="Times New Roman" w:eastAsia="Times New Roman" w:hAnsi="Times New Roman"/>
          <w:noProof/>
          <w:kern w:val="0"/>
          <w:sz w:val="24"/>
          <w:szCs w:val="24"/>
        </w:rPr>
        <w:t>, 2021)</w:t>
      </w:r>
      <w:r w:rsidR="00DB195A">
        <w:rPr>
          <w:rFonts w:ascii="Times New Roman" w:eastAsia="Times New Roman" w:hAnsi="Times New Roman"/>
          <w:kern w:val="0"/>
          <w:sz w:val="24"/>
          <w:szCs w:val="24"/>
        </w:rPr>
        <w:t xml:space="preserve"> </w:t>
      </w:r>
      <w:r w:rsidR="008C7D12">
        <w:rPr>
          <w:rFonts w:ascii="Times New Roman" w:eastAsia="Times New Roman" w:hAnsi="Times New Roman"/>
          <w:kern w:val="0"/>
          <w:sz w:val="24"/>
          <w:szCs w:val="24"/>
        </w:rPr>
        <w:t>elaborate</w:t>
      </w:r>
      <w:r w:rsidR="00892670" w:rsidRPr="00D434EE">
        <w:rPr>
          <w:rFonts w:ascii="Times New Roman" w:eastAsia="Times New Roman" w:hAnsi="Times New Roman"/>
          <w:kern w:val="0"/>
          <w:sz w:val="24"/>
          <w:szCs w:val="24"/>
        </w:rPr>
        <w:t xml:space="preserve"> on how mini-</w:t>
      </w:r>
      <w:r w:rsidRPr="00D434EE">
        <w:rPr>
          <w:rFonts w:ascii="Times New Roman" w:eastAsia="Times New Roman" w:hAnsi="Times New Roman"/>
          <w:kern w:val="0"/>
          <w:sz w:val="24"/>
          <w:szCs w:val="24"/>
        </w:rPr>
        <w:t xml:space="preserve">grids are </w:t>
      </w:r>
      <w:r w:rsidR="002511FF">
        <w:rPr>
          <w:rFonts w:ascii="Times New Roman" w:eastAsia="Times New Roman" w:hAnsi="Times New Roman"/>
          <w:kern w:val="0"/>
          <w:sz w:val="24"/>
          <w:szCs w:val="24"/>
        </w:rPr>
        <w:t>under-designed</w:t>
      </w:r>
      <w:r w:rsidRPr="00D434EE">
        <w:rPr>
          <w:rFonts w:ascii="Times New Roman" w:eastAsia="Times New Roman" w:hAnsi="Times New Roman"/>
          <w:kern w:val="0"/>
          <w:sz w:val="24"/>
          <w:szCs w:val="24"/>
        </w:rPr>
        <w:t xml:space="preserve"> or oversized in undeserved regions in Zambia</w:t>
      </w:r>
      <w:r w:rsidR="002511FF">
        <w:rPr>
          <w:rFonts w:ascii="Times New Roman" w:eastAsia="Times New Roman" w:hAnsi="Times New Roman"/>
          <w:kern w:val="0"/>
          <w:sz w:val="24"/>
          <w:szCs w:val="24"/>
        </w:rPr>
        <w:t>,</w:t>
      </w:r>
      <w:r w:rsidRPr="00D434EE">
        <w:rPr>
          <w:rFonts w:ascii="Times New Roman" w:eastAsia="Times New Roman" w:hAnsi="Times New Roman"/>
          <w:kern w:val="0"/>
          <w:sz w:val="24"/>
          <w:szCs w:val="24"/>
        </w:rPr>
        <w:t xml:space="preserve"> attributing to technical and</w:t>
      </w:r>
      <w:r w:rsidR="00892670" w:rsidRPr="00D434EE">
        <w:rPr>
          <w:rFonts w:ascii="Times New Roman" w:eastAsia="Times New Roman" w:hAnsi="Times New Roman"/>
          <w:kern w:val="0"/>
          <w:sz w:val="24"/>
          <w:szCs w:val="24"/>
        </w:rPr>
        <w:t xml:space="preserve"> social </w:t>
      </w:r>
      <w:r w:rsidR="002511FF">
        <w:rPr>
          <w:rFonts w:ascii="Times New Roman" w:eastAsia="Times New Roman" w:hAnsi="Times New Roman"/>
          <w:kern w:val="0"/>
          <w:sz w:val="24"/>
          <w:szCs w:val="24"/>
        </w:rPr>
        <w:t>gaps</w:t>
      </w:r>
      <w:r w:rsidR="00892670" w:rsidRPr="00D434EE">
        <w:rPr>
          <w:rFonts w:ascii="Times New Roman" w:eastAsia="Times New Roman" w:hAnsi="Times New Roman"/>
          <w:kern w:val="0"/>
          <w:sz w:val="24"/>
          <w:szCs w:val="24"/>
        </w:rPr>
        <w:t xml:space="preserve"> when designing mini-</w:t>
      </w:r>
      <w:r w:rsidRPr="00D434EE">
        <w:rPr>
          <w:rFonts w:ascii="Times New Roman" w:eastAsia="Times New Roman" w:hAnsi="Times New Roman"/>
          <w:kern w:val="0"/>
          <w:sz w:val="24"/>
          <w:szCs w:val="24"/>
        </w:rPr>
        <w:t>grids</w:t>
      </w:r>
      <w:r w:rsidR="00EB0C92">
        <w:rPr>
          <w:rFonts w:ascii="Times New Roman" w:eastAsia="Times New Roman" w:hAnsi="Times New Roman"/>
          <w:kern w:val="0"/>
          <w:sz w:val="24"/>
          <w:szCs w:val="24"/>
        </w:rPr>
        <w:t>.</w:t>
      </w:r>
    </w:p>
    <w:p w14:paraId="1AF17400" w14:textId="130C78BD" w:rsidR="001145C9" w:rsidRPr="00D434EE" w:rsidRDefault="0088195C" w:rsidP="00D434EE">
      <w:pPr>
        <w:spacing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Social dimensions, including inadequate community engagement and gender inequities, are frequently overlooked yet vital for long-term success.</w:t>
      </w:r>
      <w:r w:rsidR="00B000AC">
        <w:rPr>
          <w:rFonts w:ascii="Times New Roman" w:eastAsia="Times New Roman" w:hAnsi="Times New Roman"/>
          <w:noProof/>
          <w:kern w:val="0"/>
          <w:sz w:val="24"/>
          <w:szCs w:val="24"/>
        </w:rPr>
        <w:t xml:space="preserve"> </w:t>
      </w:r>
      <w:r w:rsidR="003674EB">
        <w:rPr>
          <w:rFonts w:ascii="Times New Roman" w:eastAsia="Times New Roman" w:hAnsi="Times New Roman"/>
          <w:noProof/>
          <w:kern w:val="0"/>
          <w:sz w:val="24"/>
          <w:szCs w:val="24"/>
        </w:rPr>
        <w:t>(Kumar et at.</w:t>
      </w:r>
      <w:r w:rsidR="00B000AC" w:rsidRPr="00B000AC">
        <w:rPr>
          <w:rFonts w:ascii="Times New Roman" w:eastAsia="Times New Roman" w:hAnsi="Times New Roman"/>
          <w:noProof/>
          <w:kern w:val="0"/>
          <w:sz w:val="24"/>
          <w:szCs w:val="24"/>
        </w:rPr>
        <w:t xml:space="preserve"> 202</w:t>
      </w:r>
      <w:r w:rsidR="006A1F6C">
        <w:rPr>
          <w:rFonts w:ascii="Times New Roman" w:eastAsia="Times New Roman" w:hAnsi="Times New Roman"/>
          <w:noProof/>
          <w:kern w:val="0"/>
          <w:sz w:val="24"/>
          <w:szCs w:val="24"/>
        </w:rPr>
        <w:t>1</w:t>
      </w:r>
      <w:r w:rsidR="00B000AC" w:rsidRPr="00B000AC">
        <w:rPr>
          <w:rFonts w:ascii="Times New Roman" w:eastAsia="Times New Roman" w:hAnsi="Times New Roman"/>
          <w:noProof/>
          <w:kern w:val="0"/>
          <w:sz w:val="24"/>
          <w:szCs w:val="24"/>
        </w:rPr>
        <w:t>)</w:t>
      </w:r>
      <w:r w:rsidRPr="00D434EE">
        <w:rPr>
          <w:rFonts w:ascii="Times New Roman" w:eastAsia="Times New Roman" w:hAnsi="Times New Roman"/>
          <w:kern w:val="0"/>
          <w:sz w:val="24"/>
          <w:szCs w:val="24"/>
        </w:rPr>
        <w:t xml:space="preserve"> Social acceptance hinges on transparent communication, equitable participation, and culturally sensitive design, which remain insufficiently addressed in most projects in Zambia.</w:t>
      </w:r>
    </w:p>
    <w:p w14:paraId="3BFBD77A" w14:textId="77777777" w:rsidR="001145C9" w:rsidRPr="00D434EE" w:rsidRDefault="0088195C" w:rsidP="00D434EE">
      <w:pPr>
        <w:pStyle w:val="ListParagraph"/>
        <w:numPr>
          <w:ilvl w:val="2"/>
          <w:numId w:val="7"/>
        </w:numPr>
        <w:spacing w:before="100" w:beforeAutospacing="1" w:after="100" w:afterAutospacing="1" w:line="360" w:lineRule="auto"/>
        <w:ind w:left="567" w:hanging="567"/>
        <w:jc w:val="both"/>
        <w:outlineLvl w:val="2"/>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Emerging Research Frontiers and Policy Implications</w:t>
      </w:r>
    </w:p>
    <w:p w14:paraId="478634FE" w14:textId="04286F38" w:rsidR="001145C9" w:rsidRPr="00D434EE" w:rsidRDefault="0088195C" w:rsidP="00D434EE">
      <w:pPr>
        <w:spacing w:before="100" w:beforeAutospacing="1" w:after="100" w:afterAutospacing="1" w:line="360" w:lineRule="auto"/>
        <w:ind w:firstLine="567"/>
        <w:jc w:val="both"/>
        <w:rPr>
          <w:rFonts w:ascii="Times New Roman" w:eastAsia="Times New Roman" w:hAnsi="Times New Roman"/>
          <w:kern w:val="0"/>
          <w:sz w:val="24"/>
          <w:szCs w:val="24"/>
        </w:rPr>
      </w:pPr>
      <w:r w:rsidRPr="00D434EE">
        <w:rPr>
          <w:rFonts w:ascii="Times New Roman" w:eastAsia="Times New Roman" w:hAnsi="Times New Roman"/>
          <w:kern w:val="0"/>
          <w:sz w:val="24"/>
          <w:szCs w:val="24"/>
        </w:rPr>
        <w:t xml:space="preserve">The review highlights several critical research and policy gaps. Notably, the intersection of climate change adaptation with energy justice remains underexplored. While technology and governance receive considerable attention, the lived experiences of </w:t>
      </w:r>
      <w:r w:rsidR="001D126B">
        <w:rPr>
          <w:rFonts w:ascii="Times New Roman" w:eastAsia="Times New Roman" w:hAnsi="Times New Roman"/>
          <w:kern w:val="0"/>
          <w:sz w:val="24"/>
          <w:szCs w:val="24"/>
        </w:rPr>
        <w:t>marginalized</w:t>
      </w:r>
      <w:r w:rsidRPr="00D434EE">
        <w:rPr>
          <w:rFonts w:ascii="Times New Roman" w:eastAsia="Times New Roman" w:hAnsi="Times New Roman"/>
          <w:kern w:val="0"/>
          <w:sz w:val="24"/>
          <w:szCs w:val="24"/>
        </w:rPr>
        <w:t xml:space="preserve"> populations, particularly women and indigenous groups, are insufficiently studied, risking perpetuation of inequities.</w:t>
      </w:r>
      <w:r w:rsidR="00E774D9">
        <w:rPr>
          <w:rFonts w:ascii="Times New Roman" w:eastAsia="Times New Roman" w:hAnsi="Times New Roman"/>
          <w:kern w:val="0"/>
          <w:sz w:val="24"/>
          <w:szCs w:val="24"/>
        </w:rPr>
        <w:t xml:space="preserve"> Olamide et al </w:t>
      </w:r>
      <w:sdt>
        <w:sdtPr>
          <w:rPr>
            <w:rFonts w:ascii="Times New Roman" w:eastAsia="Times New Roman" w:hAnsi="Times New Roman"/>
            <w:kern w:val="0"/>
            <w:sz w:val="24"/>
            <w:szCs w:val="24"/>
          </w:rPr>
          <w:id w:val="999157843"/>
          <w:citation/>
        </w:sdtPr>
        <w:sdtEndPr/>
        <w:sdtContent>
          <w:r w:rsidR="00E774D9">
            <w:rPr>
              <w:rFonts w:ascii="Times New Roman" w:eastAsia="Times New Roman" w:hAnsi="Times New Roman"/>
              <w:kern w:val="0"/>
              <w:sz w:val="24"/>
              <w:szCs w:val="24"/>
            </w:rPr>
            <w:fldChar w:fldCharType="begin"/>
          </w:r>
          <w:r w:rsidR="00E774D9">
            <w:rPr>
              <w:rFonts w:ascii="Times New Roman" w:eastAsia="Times New Roman" w:hAnsi="Times New Roman"/>
              <w:kern w:val="0"/>
              <w:sz w:val="24"/>
              <w:szCs w:val="24"/>
            </w:rPr>
            <w:instrText xml:space="preserve"> CITATION Ola24 \l 1033 </w:instrText>
          </w:r>
          <w:r w:rsidR="00E774D9">
            <w:rPr>
              <w:rFonts w:ascii="Times New Roman" w:eastAsia="Times New Roman" w:hAnsi="Times New Roman"/>
              <w:kern w:val="0"/>
              <w:sz w:val="24"/>
              <w:szCs w:val="24"/>
            </w:rPr>
            <w:fldChar w:fldCharType="separate"/>
          </w:r>
          <w:r w:rsidR="00E774D9" w:rsidRPr="00E774D9">
            <w:rPr>
              <w:rFonts w:ascii="Times New Roman" w:eastAsia="Times New Roman" w:hAnsi="Times New Roman"/>
              <w:noProof/>
              <w:kern w:val="0"/>
              <w:sz w:val="24"/>
              <w:szCs w:val="24"/>
            </w:rPr>
            <w:t>(Olamide Folahanmi Bayeroju, 2024)</w:t>
          </w:r>
          <w:r w:rsidR="00E774D9">
            <w:rPr>
              <w:rFonts w:ascii="Times New Roman" w:eastAsia="Times New Roman" w:hAnsi="Times New Roman"/>
              <w:kern w:val="0"/>
              <w:sz w:val="24"/>
              <w:szCs w:val="24"/>
            </w:rPr>
            <w:fldChar w:fldCharType="end"/>
          </w:r>
        </w:sdtContent>
      </w:sdt>
      <w:r w:rsidR="00E774D9">
        <w:rPr>
          <w:rFonts w:ascii="Times New Roman" w:eastAsia="Times New Roman" w:hAnsi="Times New Roman"/>
          <w:kern w:val="0"/>
          <w:sz w:val="24"/>
          <w:szCs w:val="24"/>
        </w:rPr>
        <w:t xml:space="preserve"> </w:t>
      </w:r>
      <w:r w:rsidR="005F6956">
        <w:rPr>
          <w:rFonts w:ascii="Times New Roman" w:eastAsia="Times New Roman" w:hAnsi="Times New Roman"/>
          <w:kern w:val="0"/>
          <w:sz w:val="24"/>
          <w:szCs w:val="24"/>
        </w:rPr>
        <w:t>f</w:t>
      </w:r>
      <w:r w:rsidR="00D44B10">
        <w:rPr>
          <w:rFonts w:ascii="Times New Roman" w:eastAsia="Times New Roman" w:hAnsi="Times New Roman"/>
          <w:kern w:val="0"/>
          <w:sz w:val="24"/>
          <w:szCs w:val="24"/>
        </w:rPr>
        <w:t>urthermore</w:t>
      </w:r>
      <w:r w:rsidRPr="00D434EE">
        <w:rPr>
          <w:rFonts w:ascii="Times New Roman" w:eastAsia="Times New Roman" w:hAnsi="Times New Roman"/>
          <w:kern w:val="0"/>
          <w:sz w:val="24"/>
          <w:szCs w:val="24"/>
        </w:rPr>
        <w:t xml:space="preserve"> integrated interdisciplinary approaches combining climate science, engineering, social</w:t>
      </w:r>
      <w:r w:rsidR="0015087B">
        <w:rPr>
          <w:rFonts w:ascii="Times New Roman" w:eastAsia="Times New Roman" w:hAnsi="Times New Roman"/>
          <w:kern w:val="0"/>
          <w:sz w:val="24"/>
          <w:szCs w:val="24"/>
        </w:rPr>
        <w:t>-economic data</w:t>
      </w:r>
      <w:r w:rsidRPr="00D434EE">
        <w:rPr>
          <w:rFonts w:ascii="Times New Roman" w:eastAsia="Times New Roman" w:hAnsi="Times New Roman"/>
          <w:kern w:val="0"/>
          <w:sz w:val="24"/>
          <w:szCs w:val="24"/>
        </w:rPr>
        <w:t xml:space="preserve">, and </w:t>
      </w:r>
      <w:r w:rsidR="005161E3">
        <w:rPr>
          <w:rFonts w:ascii="Times New Roman" w:eastAsia="Times New Roman" w:hAnsi="Times New Roman"/>
          <w:kern w:val="0"/>
          <w:sz w:val="24"/>
          <w:szCs w:val="24"/>
        </w:rPr>
        <w:t>governance</w:t>
      </w:r>
      <w:r w:rsidRPr="00D434EE">
        <w:rPr>
          <w:rFonts w:ascii="Times New Roman" w:eastAsia="Times New Roman" w:hAnsi="Times New Roman"/>
          <w:kern w:val="0"/>
          <w:sz w:val="24"/>
          <w:szCs w:val="24"/>
        </w:rPr>
        <w:t xml:space="preserve"> are need</w:t>
      </w:r>
      <w:r w:rsidR="00892670" w:rsidRPr="00D434EE">
        <w:rPr>
          <w:rFonts w:ascii="Times New Roman" w:eastAsia="Times New Roman" w:hAnsi="Times New Roman"/>
          <w:kern w:val="0"/>
          <w:sz w:val="24"/>
          <w:szCs w:val="24"/>
        </w:rPr>
        <w:t>ed to holistically address mini-</w:t>
      </w:r>
      <w:r w:rsidRPr="00D434EE">
        <w:rPr>
          <w:rFonts w:ascii="Times New Roman" w:eastAsia="Times New Roman" w:hAnsi="Times New Roman"/>
          <w:kern w:val="0"/>
          <w:sz w:val="24"/>
          <w:szCs w:val="24"/>
        </w:rPr>
        <w:t xml:space="preserve">grid resilience. Current siloed research limits </w:t>
      </w:r>
      <w:r w:rsidRPr="00D434EE">
        <w:rPr>
          <w:rFonts w:ascii="Times New Roman" w:eastAsia="Times New Roman" w:hAnsi="Times New Roman"/>
          <w:kern w:val="0"/>
          <w:sz w:val="24"/>
          <w:szCs w:val="24"/>
        </w:rPr>
        <w:lastRenderedPageBreak/>
        <w:t xml:space="preserve">the capacity to design adaptive systems capable of responding to the multifaceted nature of climate vulnerabilities. Policy frameworks must evolve to </w:t>
      </w:r>
      <w:r w:rsidR="001D126B">
        <w:rPr>
          <w:rFonts w:ascii="Times New Roman" w:eastAsia="Times New Roman" w:hAnsi="Times New Roman"/>
          <w:kern w:val="0"/>
          <w:sz w:val="24"/>
          <w:szCs w:val="24"/>
        </w:rPr>
        <w:t>prioritize</w:t>
      </w:r>
      <w:r w:rsidRPr="00D434EE">
        <w:rPr>
          <w:rFonts w:ascii="Times New Roman" w:eastAsia="Times New Roman" w:hAnsi="Times New Roman"/>
          <w:kern w:val="0"/>
          <w:sz w:val="24"/>
          <w:szCs w:val="24"/>
        </w:rPr>
        <w:t xml:space="preserve"> inclusive, flexible regulatory models that facilitate innovation while safeguarding equity and sustainability</w:t>
      </w:r>
      <w:r w:rsidR="00B000AC">
        <w:rPr>
          <w:rFonts w:ascii="Times New Roman" w:eastAsia="Times New Roman" w:hAnsi="Times New Roman"/>
          <w:noProof/>
          <w:kern w:val="0"/>
          <w:sz w:val="24"/>
          <w:szCs w:val="24"/>
        </w:rPr>
        <w:t xml:space="preserve"> </w:t>
      </w:r>
      <w:r w:rsidR="00B000AC" w:rsidRPr="00B000AC">
        <w:rPr>
          <w:rFonts w:ascii="Times New Roman" w:eastAsia="Times New Roman" w:hAnsi="Times New Roman"/>
          <w:noProof/>
          <w:kern w:val="0"/>
          <w:sz w:val="24"/>
          <w:szCs w:val="24"/>
        </w:rPr>
        <w:t>(Thakkar, 2025)</w:t>
      </w:r>
      <w:r w:rsidRPr="00D434EE">
        <w:rPr>
          <w:rFonts w:ascii="Times New Roman" w:eastAsia="Times New Roman" w:hAnsi="Times New Roman"/>
          <w:kern w:val="0"/>
          <w:sz w:val="24"/>
          <w:szCs w:val="24"/>
        </w:rPr>
        <w:t>. Financial instruments tailored to low-income, rural contexts should be scaled, alongside investments in technical training and community empowerment.</w:t>
      </w:r>
    </w:p>
    <w:p w14:paraId="02ABCDAB" w14:textId="77777777" w:rsidR="001145C9" w:rsidRPr="00D434EE" w:rsidRDefault="00DA4C56" w:rsidP="00D434EE">
      <w:pPr>
        <w:pStyle w:val="ListParagraph"/>
        <w:numPr>
          <w:ilvl w:val="1"/>
          <w:numId w:val="7"/>
        </w:numPr>
        <w:spacing w:after="0" w:line="360" w:lineRule="auto"/>
        <w:ind w:left="567" w:hanging="567"/>
        <w:jc w:val="both"/>
        <w:rPr>
          <w:rFonts w:ascii="Times New Roman" w:eastAsia="Times New Roman" w:hAnsi="Times New Roman"/>
          <w:b/>
          <w:bCs/>
          <w:kern w:val="0"/>
          <w:sz w:val="24"/>
          <w:szCs w:val="24"/>
        </w:rPr>
      </w:pPr>
      <w:r w:rsidRPr="00D434EE">
        <w:rPr>
          <w:rFonts w:ascii="Times New Roman" w:eastAsia="Times New Roman" w:hAnsi="Times New Roman"/>
          <w:b/>
          <w:bCs/>
          <w:kern w:val="0"/>
          <w:sz w:val="24"/>
          <w:szCs w:val="24"/>
        </w:rPr>
        <w:t>Conclusion</w:t>
      </w:r>
      <w:r w:rsidR="0088195C" w:rsidRPr="00D434EE">
        <w:rPr>
          <w:rFonts w:ascii="Times New Roman" w:eastAsia="Times New Roman" w:hAnsi="Times New Roman"/>
          <w:b/>
          <w:bCs/>
          <w:kern w:val="0"/>
          <w:sz w:val="24"/>
          <w:szCs w:val="24"/>
        </w:rPr>
        <w:t xml:space="preserve"> </w:t>
      </w:r>
    </w:p>
    <w:p w14:paraId="3D7F3FF1" w14:textId="5440547D" w:rsidR="00C0449A" w:rsidRPr="00D434EE" w:rsidRDefault="0088195C" w:rsidP="00DD6A99">
      <w:pPr>
        <w:pStyle w:val="NormalWeb"/>
        <w:spacing w:after="0" w:afterAutospacing="0" w:line="360" w:lineRule="auto"/>
        <w:ind w:firstLine="567"/>
        <w:jc w:val="both"/>
      </w:pPr>
      <w:r w:rsidRPr="00D434EE">
        <w:t>This study has</w:t>
      </w:r>
      <w:r w:rsidR="00892670" w:rsidRPr="00D434EE">
        <w:t xml:space="preserve"> explored the potential of mini-</w:t>
      </w:r>
      <w:r w:rsidRPr="00D434EE">
        <w:t>grids as climate-resilient energy solutions, highlighting the critical role of technological innovations</w:t>
      </w:r>
      <w:r w:rsidR="00ED68E0">
        <w:t xml:space="preserve"> such as hybrid systems, energy</w:t>
      </w:r>
      <w:r w:rsidRPr="00D434EE">
        <w:t xml:space="preserve"> storage, and smart controls in enhancing performance and reliability. However, it also makes clear that technical advancements alone are not sufficient</w:t>
      </w:r>
      <w:r w:rsidR="00932F00">
        <w:t>,</w:t>
      </w:r>
      <w:r w:rsidRPr="00D434EE">
        <w:t xml:space="preserve"> even though </w:t>
      </w:r>
      <w:r w:rsidR="005161E3">
        <w:t>digitalization</w:t>
      </w:r>
      <w:r w:rsidRPr="00D434EE">
        <w:t xml:space="preserve"> and modular system designs are increasingly being employed to improve performance, scalability and resilience</w:t>
      </w:r>
      <w:r w:rsidR="00B000AC">
        <w:rPr>
          <w:noProof/>
        </w:rPr>
        <w:t xml:space="preserve"> (Mahmood, 2024)</w:t>
      </w:r>
      <w:r w:rsidR="00C0449A">
        <w:rPr>
          <w:noProof/>
        </w:rPr>
        <w:t>, i</w:t>
      </w:r>
      <w:r w:rsidR="00932F00">
        <w:t>n</w:t>
      </w:r>
      <w:r w:rsidRPr="00D434EE">
        <w:t xml:space="preserve"> add</w:t>
      </w:r>
      <w:r w:rsidR="00892670" w:rsidRPr="00D434EE">
        <w:t>ition</w:t>
      </w:r>
      <w:r w:rsidR="00ED68E0">
        <w:t xml:space="preserve"> to</w:t>
      </w:r>
      <w:r w:rsidR="00892670" w:rsidRPr="00D434EE">
        <w:t xml:space="preserve"> </w:t>
      </w:r>
      <w:r w:rsidR="00C0449A" w:rsidRPr="00D434EE">
        <w:t>finances, due</w:t>
      </w:r>
      <w:r w:rsidRPr="00D434EE">
        <w:t xml:space="preserve"> to high upfront capital costs, limited returns in remote locations, technical limits and regulatory impediments add to obstacles. To address these issues</w:t>
      </w:r>
      <w:r w:rsidR="00932F00">
        <w:t>,</w:t>
      </w:r>
      <w:r w:rsidRPr="00D434EE">
        <w:t xml:space="preserve"> mini grids frequently rely on subsidies, patient capital and novel financing strategies</w:t>
      </w:r>
      <w:r w:rsidR="00F645FD">
        <w:rPr>
          <w:noProof/>
        </w:rPr>
        <w:t xml:space="preserve"> (</w:t>
      </w:r>
      <w:r w:rsidR="00B000AC">
        <w:rPr>
          <w:noProof/>
        </w:rPr>
        <w:t>Fajardo, 2025)</w:t>
      </w:r>
      <w:r w:rsidRPr="00D434EE">
        <w:t xml:space="preserve">. </w:t>
      </w:r>
    </w:p>
    <w:p w14:paraId="08E14F4E" w14:textId="4385843F" w:rsidR="001145C9" w:rsidRPr="00D434EE" w:rsidRDefault="0088195C" w:rsidP="00DD6A99">
      <w:pPr>
        <w:pStyle w:val="NormalWeb"/>
        <w:spacing w:before="0" w:beforeAutospacing="0" w:after="0" w:afterAutospacing="0" w:line="360" w:lineRule="auto"/>
        <w:ind w:firstLine="567"/>
        <w:jc w:val="both"/>
      </w:pPr>
      <w:r w:rsidRPr="00D434EE">
        <w:t>Policy support, inclusive governance, and socio-economic alignment are essential to ensure long-term viability and community acceptance. Persistent challenges—including limited financing, regulatory inconsistencies</w:t>
      </w:r>
      <w:r w:rsidR="00B000AC">
        <w:rPr>
          <w:noProof/>
        </w:rPr>
        <w:t xml:space="preserve"> (Mocci, 2024)</w:t>
      </w:r>
      <w:r w:rsidRPr="00D434EE">
        <w:t xml:space="preserve">, and capacity gaps—continue to hinder scalability across regions. </w:t>
      </w:r>
      <w:r w:rsidR="00B018AF" w:rsidRPr="00D434EE">
        <w:t>Integrating</w:t>
      </w:r>
      <w:r w:rsidRPr="00D434EE">
        <w:t xml:space="preserve"> effective technology with </w:t>
      </w:r>
      <w:r w:rsidR="00B02F6A" w:rsidRPr="00D434EE">
        <w:t>institutional</w:t>
      </w:r>
      <w:r w:rsidRPr="00D434EE">
        <w:t xml:space="preserve"> transformation</w:t>
      </w:r>
      <w:r w:rsidR="00B000AC">
        <w:rPr>
          <w:noProof/>
        </w:rPr>
        <w:t xml:space="preserve"> (Moola, 2020)</w:t>
      </w:r>
      <w:r w:rsidR="002B6CAC">
        <w:rPr>
          <w:noProof/>
        </w:rPr>
        <w:t>,</w:t>
      </w:r>
      <w:r w:rsidRPr="00D434EE">
        <w:t xml:space="preserve"> enabling settings and inclusive stakeholder engagement among communities, governance</w:t>
      </w:r>
      <w:r w:rsidR="002B6CAC">
        <w:t>,</w:t>
      </w:r>
      <w:r w:rsidRPr="00D434EE">
        <w:t xml:space="preserve"> and financiers like the World </w:t>
      </w:r>
      <w:r w:rsidR="002B6CAC">
        <w:t>Bank</w:t>
      </w:r>
      <w:r w:rsidRPr="00D434EE">
        <w:t>, COMESA</w:t>
      </w:r>
      <w:r w:rsidR="002B6CAC">
        <w:t>,</w:t>
      </w:r>
      <w:r w:rsidRPr="00D434EE">
        <w:t xml:space="preserve"> and AMDA</w:t>
      </w:r>
      <w:r w:rsidR="00F113A1">
        <w:t>,</w:t>
      </w:r>
      <w:r w:rsidRPr="00D434EE">
        <w:t xml:space="preserve"> is necessary to overcome obstacles.</w:t>
      </w:r>
    </w:p>
    <w:p w14:paraId="10EF0941" w14:textId="129D3589" w:rsidR="009E0554" w:rsidRDefault="0088195C" w:rsidP="0093721D">
      <w:pPr>
        <w:pStyle w:val="NormalWeb"/>
        <w:spacing w:before="0" w:beforeAutospacing="0" w:line="360" w:lineRule="auto"/>
        <w:ind w:firstLine="567"/>
        <w:jc w:val="both"/>
      </w:pPr>
      <w:r w:rsidRPr="00D434EE">
        <w:t xml:space="preserve">In conclusion, because a mini grid is interconnected with economics, technology and social repercussions the sustainability of small grids under climatic stress depends on a balanced approach that connects innovation with governance, finance and social. </w:t>
      </w:r>
      <w:r w:rsidR="00B000AC">
        <w:rPr>
          <w:noProof/>
        </w:rPr>
        <w:t>(Lu, 2025)</w:t>
      </w:r>
      <w:r w:rsidRPr="00D434EE">
        <w:t xml:space="preserve"> </w:t>
      </w:r>
      <w:r w:rsidR="002B6CAC">
        <w:t>This</w:t>
      </w:r>
      <w:r w:rsidRPr="00D434EE">
        <w:t xml:space="preserve"> interlinking enhances grid climate resilience.</w:t>
      </w:r>
    </w:p>
    <w:p w14:paraId="341B75E1" w14:textId="77777777" w:rsidR="0093721D" w:rsidRDefault="0093721D" w:rsidP="0093721D">
      <w:pPr>
        <w:pStyle w:val="NormalWeb"/>
        <w:spacing w:before="0" w:beforeAutospacing="0" w:line="360" w:lineRule="auto"/>
        <w:ind w:firstLine="567"/>
        <w:jc w:val="both"/>
      </w:pPr>
    </w:p>
    <w:p w14:paraId="02887CDA" w14:textId="2DB569E1" w:rsidR="00AF6EC4" w:rsidRPr="002E4F42" w:rsidRDefault="006F27FF" w:rsidP="00735432">
      <w:pPr>
        <w:spacing w:after="200" w:line="276" w:lineRule="auto"/>
        <w:jc w:val="both"/>
        <w:rPr>
          <w:rFonts w:ascii="Times New Roman" w:eastAsia="Times New Roman" w:hAnsi="Times New Roman"/>
          <w:b/>
          <w:bCs/>
          <w:kern w:val="0"/>
          <w:sz w:val="24"/>
          <w:szCs w:val="24"/>
          <w:highlight w:val="yellow"/>
          <w:lang w:val="en-GB" w:eastAsia="en-GB"/>
        </w:rPr>
      </w:pPr>
      <w:r w:rsidRPr="002E4F42">
        <w:rPr>
          <w:rFonts w:ascii="Times New Roman" w:eastAsia="Times New Roman" w:hAnsi="Times New Roman"/>
          <w:b/>
          <w:bCs/>
          <w:kern w:val="0"/>
          <w:sz w:val="24"/>
          <w:szCs w:val="24"/>
          <w:highlight w:val="yellow"/>
          <w:lang w:val="en-GB" w:eastAsia="en-GB"/>
        </w:rPr>
        <w:t>COMPETING INTERESTS DISCLAIMER</w:t>
      </w:r>
    </w:p>
    <w:p w14:paraId="492A6666" w14:textId="78FADD85" w:rsidR="00AF6EC4" w:rsidRPr="002E4F42" w:rsidRDefault="00AF6EC4" w:rsidP="00735432">
      <w:pPr>
        <w:spacing w:after="200" w:line="276" w:lineRule="auto"/>
        <w:jc w:val="both"/>
        <w:rPr>
          <w:rFonts w:ascii="Times New Roman" w:eastAsia="Times New Roman" w:hAnsi="Times New Roman"/>
          <w:kern w:val="0"/>
          <w:sz w:val="24"/>
          <w:szCs w:val="24"/>
          <w:highlight w:val="yellow"/>
          <w:lang w:val="en-GB" w:eastAsia="en-GB"/>
        </w:rPr>
      </w:pPr>
      <w:r w:rsidRPr="002E4F42">
        <w:rPr>
          <w:rFonts w:ascii="Times New Roman" w:eastAsia="Times New Roman" w:hAnsi="Times New Roman"/>
          <w:kern w:val="0"/>
          <w:sz w:val="24"/>
          <w:szCs w:val="24"/>
          <w:highlight w:val="yellow"/>
          <w:lang w:val="en-GB" w:eastAsia="en-GB"/>
        </w:rPr>
        <w:lastRenderedPageBreak/>
        <w:t>Authors have declared that they have no known competing financial interests</w:t>
      </w:r>
      <w:r w:rsidR="00F113A1" w:rsidRPr="002E4F42">
        <w:rPr>
          <w:rFonts w:ascii="Times New Roman" w:eastAsia="Times New Roman" w:hAnsi="Times New Roman"/>
          <w:kern w:val="0"/>
          <w:sz w:val="24"/>
          <w:szCs w:val="24"/>
          <w:highlight w:val="yellow"/>
          <w:lang w:val="en-GB" w:eastAsia="en-GB"/>
        </w:rPr>
        <w:t>,</w:t>
      </w:r>
      <w:r w:rsidRPr="002E4F42">
        <w:rPr>
          <w:rFonts w:ascii="Times New Roman" w:eastAsia="Times New Roman" w:hAnsi="Times New Roman"/>
          <w:kern w:val="0"/>
          <w:sz w:val="24"/>
          <w:szCs w:val="24"/>
          <w:highlight w:val="yellow"/>
          <w:lang w:val="en-GB" w:eastAsia="en-GB"/>
        </w:rPr>
        <w:t xml:space="preserve"> non-financial interests OR personal relationships that could have appeared to influence the work reported in this paper.</w:t>
      </w:r>
    </w:p>
    <w:p w14:paraId="7192F646" w14:textId="207B82EC" w:rsidR="00A36989" w:rsidRPr="002E4F42" w:rsidRDefault="00A36989" w:rsidP="00A36989">
      <w:pPr>
        <w:spacing w:after="200" w:line="276" w:lineRule="auto"/>
        <w:jc w:val="both"/>
        <w:rPr>
          <w:rFonts w:ascii="Times New Roman" w:eastAsia="Times New Roman" w:hAnsi="Times New Roman"/>
          <w:b/>
          <w:kern w:val="0"/>
          <w:sz w:val="24"/>
          <w:szCs w:val="24"/>
          <w:highlight w:val="yellow"/>
          <w:lang w:val="en-GB" w:eastAsia="en-GB"/>
        </w:rPr>
      </w:pPr>
      <w:r w:rsidRPr="002E4F42">
        <w:rPr>
          <w:rFonts w:ascii="Times New Roman" w:eastAsia="Times New Roman" w:hAnsi="Times New Roman"/>
          <w:b/>
          <w:kern w:val="0"/>
          <w:sz w:val="24"/>
          <w:szCs w:val="24"/>
          <w:highlight w:val="yellow"/>
          <w:lang w:val="en-GB" w:eastAsia="en-GB"/>
        </w:rPr>
        <w:t>AUTHORS’ CONTRIBUTIONS</w:t>
      </w:r>
    </w:p>
    <w:p w14:paraId="4B113DBD" w14:textId="70006441" w:rsidR="00A36989" w:rsidRPr="002E4F42" w:rsidRDefault="00A36989" w:rsidP="00A36989">
      <w:pPr>
        <w:spacing w:after="200" w:line="276" w:lineRule="auto"/>
        <w:jc w:val="both"/>
        <w:rPr>
          <w:rFonts w:ascii="Times New Roman" w:eastAsia="Times New Roman" w:hAnsi="Times New Roman"/>
          <w:kern w:val="0"/>
          <w:sz w:val="24"/>
          <w:szCs w:val="24"/>
          <w:highlight w:val="yellow"/>
          <w:lang w:val="en-GB" w:eastAsia="en-GB"/>
        </w:rPr>
      </w:pPr>
      <w:r w:rsidRPr="002E4F42">
        <w:rPr>
          <w:rFonts w:ascii="Times New Roman" w:eastAsia="Times New Roman" w:hAnsi="Times New Roman"/>
          <w:kern w:val="0"/>
          <w:sz w:val="24"/>
          <w:szCs w:val="24"/>
          <w:highlight w:val="yellow"/>
          <w:lang w:val="en-GB" w:eastAsia="en-GB"/>
        </w:rPr>
        <w:t>The corresponding author designed and prepared and reviewed the original draft while the rest of the authors formatted, edited and reviewed the manuscript.</w:t>
      </w:r>
    </w:p>
    <w:p w14:paraId="7AA74187" w14:textId="4F03C175" w:rsidR="005338AC" w:rsidRPr="002E4F42" w:rsidRDefault="009665B4" w:rsidP="00591DB0">
      <w:pPr>
        <w:spacing w:before="240"/>
        <w:jc w:val="both"/>
        <w:rPr>
          <w:rFonts w:ascii="Times New Roman" w:hAnsi="Times New Roman"/>
          <w:b/>
          <w:sz w:val="24"/>
          <w:szCs w:val="24"/>
          <w:highlight w:val="yellow"/>
        </w:rPr>
      </w:pPr>
      <w:r w:rsidRPr="002E4F42">
        <w:rPr>
          <w:rFonts w:ascii="Times New Roman" w:hAnsi="Times New Roman"/>
          <w:b/>
          <w:sz w:val="24"/>
          <w:szCs w:val="24"/>
          <w:highlight w:val="yellow"/>
        </w:rPr>
        <w:t>DISCLAIMER (ARTIFICIAL INTELLIGENCE)</w:t>
      </w:r>
    </w:p>
    <w:p w14:paraId="2A904DC6" w14:textId="7BA228B8" w:rsidR="00AF6EC4" w:rsidRPr="00735432" w:rsidRDefault="006F27FF" w:rsidP="00591DB0">
      <w:pPr>
        <w:spacing w:before="240"/>
        <w:jc w:val="both"/>
        <w:rPr>
          <w:rFonts w:ascii="Times New Roman" w:hAnsi="Times New Roman"/>
          <w:sz w:val="24"/>
          <w:szCs w:val="24"/>
        </w:rPr>
      </w:pPr>
      <w:r w:rsidRPr="002E4F42">
        <w:rPr>
          <w:rFonts w:ascii="Times New Roman" w:hAnsi="Times New Roman"/>
          <w:sz w:val="24"/>
          <w:szCs w:val="24"/>
          <w:highlight w:val="yellow"/>
        </w:rPr>
        <w:t>The Authors</w:t>
      </w:r>
      <w:r w:rsidR="005338AC" w:rsidRPr="002E4F42">
        <w:rPr>
          <w:rFonts w:ascii="Times New Roman" w:hAnsi="Times New Roman"/>
          <w:sz w:val="24"/>
          <w:szCs w:val="24"/>
          <w:highlight w:val="yellow"/>
        </w:rPr>
        <w:t xml:space="preserve"> hereby declare that NO generative AI technologies such as Large Language Models (ChatGPT, COPILOT, etc.) and text-to-image generators have been used during the writing or editing of this manuscript.</w:t>
      </w:r>
      <w:r w:rsidR="005338AC" w:rsidRPr="00735432">
        <w:rPr>
          <w:rFonts w:ascii="Times New Roman" w:hAnsi="Times New Roman"/>
          <w:sz w:val="24"/>
          <w:szCs w:val="24"/>
        </w:rPr>
        <w:t xml:space="preserve"> </w:t>
      </w:r>
    </w:p>
    <w:p w14:paraId="7D048176" w14:textId="77777777" w:rsidR="001145C9" w:rsidRPr="00735432" w:rsidRDefault="00F31D31" w:rsidP="00735432">
      <w:pPr>
        <w:pStyle w:val="Heading1"/>
        <w:spacing w:after="0" w:line="276" w:lineRule="auto"/>
        <w:jc w:val="both"/>
        <w:rPr>
          <w:rFonts w:ascii="Times New Roman" w:hAnsi="Times New Roman"/>
          <w:b/>
          <w:color w:val="000000"/>
          <w:sz w:val="24"/>
          <w:szCs w:val="24"/>
        </w:rPr>
      </w:pPr>
      <w:r w:rsidRPr="00735432">
        <w:rPr>
          <w:rFonts w:ascii="Times New Roman" w:hAnsi="Times New Roman"/>
          <w:b/>
          <w:color w:val="000000"/>
          <w:sz w:val="24"/>
          <w:szCs w:val="24"/>
        </w:rPr>
        <w:t>REFERENCES</w:t>
      </w:r>
    </w:p>
    <w:p w14:paraId="30E79895" w14:textId="45CD6006" w:rsidR="00B000AC" w:rsidRPr="00C17683" w:rsidRDefault="00CA640E" w:rsidP="002D49F8">
      <w:pPr>
        <w:pStyle w:val="Bibliography"/>
        <w:numPr>
          <w:ilvl w:val="0"/>
          <w:numId w:val="13"/>
        </w:numPr>
        <w:spacing w:before="240"/>
        <w:jc w:val="both"/>
        <w:rPr>
          <w:rFonts w:ascii="Times New Roman" w:hAnsi="Times New Roman"/>
          <w:noProof/>
          <w:sz w:val="24"/>
          <w:szCs w:val="24"/>
          <w:lang w:val="nb-NO"/>
        </w:rPr>
      </w:pPr>
      <w:r w:rsidRPr="00C17683">
        <w:rPr>
          <w:rFonts w:ascii="Times New Roman" w:hAnsi="Times New Roman"/>
          <w:noProof/>
          <w:sz w:val="24"/>
          <w:szCs w:val="24"/>
        </w:rPr>
        <w:t>IRENA</w:t>
      </w:r>
      <w:r w:rsidR="003E16E3">
        <w:rPr>
          <w:rFonts w:ascii="Times New Roman" w:hAnsi="Times New Roman"/>
          <w:noProof/>
          <w:sz w:val="24"/>
          <w:szCs w:val="24"/>
        </w:rPr>
        <w:t>, I.</w:t>
      </w:r>
      <w:r w:rsidR="00B000AC" w:rsidRPr="00C17683">
        <w:rPr>
          <w:rFonts w:ascii="Times New Roman" w:hAnsi="Times New Roman"/>
          <w:noProof/>
          <w:sz w:val="24"/>
          <w:szCs w:val="24"/>
        </w:rPr>
        <w:t xml:space="preserve">R. (2020). </w:t>
      </w:r>
      <w:r w:rsidR="00B000AC" w:rsidRPr="00C17683">
        <w:rPr>
          <w:rFonts w:ascii="Times New Roman" w:hAnsi="Times New Roman"/>
          <w:i/>
          <w:iCs/>
          <w:noProof/>
          <w:sz w:val="24"/>
          <w:szCs w:val="24"/>
        </w:rPr>
        <w:t>Renewable Energy and Jobs – Annual Review 2020.</w:t>
      </w:r>
      <w:r w:rsidR="00B000AC" w:rsidRPr="00C17683">
        <w:rPr>
          <w:rFonts w:ascii="Times New Roman" w:hAnsi="Times New Roman"/>
          <w:noProof/>
          <w:sz w:val="24"/>
          <w:szCs w:val="24"/>
        </w:rPr>
        <w:t xml:space="preserve"> </w:t>
      </w:r>
      <w:r w:rsidR="00B000AC" w:rsidRPr="00C17683">
        <w:rPr>
          <w:rFonts w:ascii="Times New Roman" w:hAnsi="Times New Roman"/>
          <w:noProof/>
          <w:sz w:val="24"/>
          <w:szCs w:val="24"/>
          <w:lang w:val="nb-NO"/>
        </w:rPr>
        <w:t>Abu Dhabi:: IRENA. https://www.irena.org/publications/2020/Sep/Renewable-Energy-and-Jobs-Annual-Review-2020.</w:t>
      </w:r>
    </w:p>
    <w:p w14:paraId="3FD56AC4" w14:textId="62D5C2EA"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Fajardo, L.</w:t>
      </w:r>
      <w:r w:rsidR="00B000AC" w:rsidRPr="00C17683">
        <w:rPr>
          <w:rFonts w:ascii="Times New Roman" w:hAnsi="Times New Roman"/>
          <w:noProof/>
          <w:sz w:val="24"/>
          <w:szCs w:val="24"/>
        </w:rPr>
        <w:t xml:space="preserve">B. (2025). Business models and access to finance for mini grid development in sub-Saharan Africa. </w:t>
      </w:r>
      <w:r w:rsidR="00B000AC" w:rsidRPr="00C17683">
        <w:rPr>
          <w:rFonts w:ascii="Times New Roman" w:hAnsi="Times New Roman"/>
          <w:i/>
          <w:iCs/>
          <w:noProof/>
          <w:sz w:val="24"/>
          <w:szCs w:val="24"/>
        </w:rPr>
        <w:t>Energy for Sustainable Development, 85</w:t>
      </w:r>
      <w:r w:rsidR="00B000AC" w:rsidRPr="00C17683">
        <w:rPr>
          <w:rFonts w:ascii="Times New Roman" w:hAnsi="Times New Roman"/>
          <w:noProof/>
          <w:sz w:val="24"/>
          <w:szCs w:val="24"/>
        </w:rPr>
        <w:t>, 101666.</w:t>
      </w:r>
    </w:p>
    <w:p w14:paraId="796DA47C" w14:textId="1803A3C1"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Adeoti, O.</w:t>
      </w:r>
      <w:r w:rsidR="00B000AC" w:rsidRPr="00C17683">
        <w:rPr>
          <w:rFonts w:ascii="Times New Roman" w:hAnsi="Times New Roman"/>
          <w:noProof/>
          <w:sz w:val="24"/>
          <w:szCs w:val="24"/>
        </w:rPr>
        <w:t xml:space="preserve">E. ((2021).). Governance and sustainability of renewable energy mini grids in sub-Saharan Africa. . </w:t>
      </w:r>
      <w:r w:rsidR="00B000AC" w:rsidRPr="00C17683">
        <w:rPr>
          <w:rFonts w:ascii="Times New Roman" w:hAnsi="Times New Roman"/>
          <w:i/>
          <w:iCs/>
          <w:noProof/>
          <w:sz w:val="24"/>
          <w:szCs w:val="24"/>
        </w:rPr>
        <w:t>Renewable Energy, , 171,</w:t>
      </w:r>
      <w:r w:rsidR="00B000AC" w:rsidRPr="00C17683">
        <w:rPr>
          <w:rFonts w:ascii="Times New Roman" w:hAnsi="Times New Roman"/>
          <w:noProof/>
          <w:sz w:val="24"/>
          <w:szCs w:val="24"/>
        </w:rPr>
        <w:t>, 1234–1246.</w:t>
      </w:r>
    </w:p>
    <w:p w14:paraId="7E4C2D97" w14:textId="3F24FC9D"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Afzal, S.</w:t>
      </w:r>
      <w:r w:rsidR="00B000AC" w:rsidRPr="00C17683">
        <w:rPr>
          <w:rFonts w:ascii="Times New Roman" w:hAnsi="Times New Roman"/>
          <w:noProof/>
          <w:sz w:val="24"/>
          <w:szCs w:val="24"/>
        </w:rPr>
        <w:t xml:space="preserve">M. (2020). State-of-the-art review on power system resilience and assessment techniques. </w:t>
      </w:r>
      <w:r w:rsidR="00B000AC" w:rsidRPr="00C17683">
        <w:rPr>
          <w:rFonts w:ascii="Times New Roman" w:hAnsi="Times New Roman"/>
          <w:i/>
          <w:iCs/>
          <w:noProof/>
          <w:sz w:val="24"/>
          <w:szCs w:val="24"/>
        </w:rPr>
        <w:t>IET Generation, Transmission and Distribution, 14</w:t>
      </w:r>
      <w:r w:rsidR="00B000AC" w:rsidRPr="00C17683">
        <w:rPr>
          <w:rFonts w:ascii="Times New Roman" w:hAnsi="Times New Roman"/>
          <w:noProof/>
          <w:sz w:val="24"/>
          <w:szCs w:val="24"/>
        </w:rPr>
        <w:t>(25), 6107–6121.</w:t>
      </w:r>
    </w:p>
    <w:p w14:paraId="4B7E067F" w14:textId="04D26A63"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Arabnya, A.W.</w:t>
      </w:r>
      <w:r w:rsidR="00B000AC" w:rsidRPr="00C17683">
        <w:rPr>
          <w:rFonts w:ascii="Times New Roman" w:hAnsi="Times New Roman"/>
          <w:noProof/>
          <w:sz w:val="24"/>
          <w:szCs w:val="24"/>
        </w:rPr>
        <w:t xml:space="preserve">F. (2024). Climate change mitigation and adaptation in power and energy systems. . </w:t>
      </w:r>
      <w:r w:rsidR="00B000AC" w:rsidRPr="00C17683">
        <w:rPr>
          <w:rFonts w:ascii="Times New Roman" w:hAnsi="Times New Roman"/>
          <w:i/>
          <w:iCs/>
          <w:noProof/>
          <w:sz w:val="24"/>
          <w:szCs w:val="24"/>
        </w:rPr>
        <w:t>International Journal of Electrical Power &amp; Energy Systems,, 161</w:t>
      </w:r>
      <w:r w:rsidR="00B000AC" w:rsidRPr="00C17683">
        <w:rPr>
          <w:rFonts w:ascii="Times New Roman" w:hAnsi="Times New Roman"/>
          <w:noProof/>
          <w:sz w:val="24"/>
          <w:szCs w:val="24"/>
        </w:rPr>
        <w:t>, 110152.</w:t>
      </w:r>
    </w:p>
    <w:p w14:paraId="7B377F5E" w14:textId="51799CF6" w:rsidR="00B000AC" w:rsidRPr="00C17683" w:rsidRDefault="00204279"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 xml:space="preserve">Bank </w:t>
      </w:r>
      <w:r w:rsidR="00B000AC" w:rsidRPr="00C17683">
        <w:rPr>
          <w:rFonts w:ascii="Times New Roman" w:hAnsi="Times New Roman"/>
          <w:noProof/>
          <w:sz w:val="24"/>
          <w:szCs w:val="24"/>
        </w:rPr>
        <w:t xml:space="preserve">W. (2021). </w:t>
      </w:r>
      <w:r w:rsidR="00B000AC" w:rsidRPr="00C17683">
        <w:rPr>
          <w:rFonts w:ascii="Times New Roman" w:hAnsi="Times New Roman"/>
          <w:i/>
          <w:iCs/>
          <w:noProof/>
          <w:sz w:val="24"/>
          <w:szCs w:val="24"/>
        </w:rPr>
        <w:t>Enhancing the Climate Resilience of Energy Systems. .</w:t>
      </w:r>
      <w:r w:rsidR="00B000AC" w:rsidRPr="00C17683">
        <w:rPr>
          <w:rFonts w:ascii="Times New Roman" w:hAnsi="Times New Roman"/>
          <w:noProof/>
          <w:sz w:val="24"/>
          <w:szCs w:val="24"/>
        </w:rPr>
        <w:t xml:space="preserve"> Washington DC: World Bank Group. https://documents.worldbank.org/en/publication/documents-reports/documentdetail/227491619005360433/enhancing-the-climate-resilience-of-energy-systems.</w:t>
      </w:r>
    </w:p>
    <w:p w14:paraId="1B1E4172" w14:textId="3BB56AC8"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Basnet, B.</w:t>
      </w:r>
      <w:r w:rsidR="00B000AC" w:rsidRPr="00C17683">
        <w:rPr>
          <w:rFonts w:ascii="Times New Roman" w:hAnsi="Times New Roman"/>
          <w:noProof/>
          <w:sz w:val="24"/>
          <w:szCs w:val="24"/>
        </w:rPr>
        <w:t>B. (2023). Techno</w:t>
      </w:r>
      <w:r w:rsidR="00B000AC" w:rsidRPr="00C17683">
        <w:rPr>
          <w:rFonts w:ascii="Times New Roman" w:hAnsi="Times New Roman"/>
          <w:noProof/>
          <w:sz w:val="24"/>
          <w:szCs w:val="24"/>
        </w:rPr>
        <w:noBreakHyphen/>
        <w:t xml:space="preserve">Economic Feasibility Analysis of 143 kW Solar Mini Grid for Rural Electrification in Gokule Village,. </w:t>
      </w:r>
      <w:r w:rsidR="00B000AC" w:rsidRPr="00C17683">
        <w:rPr>
          <w:rFonts w:ascii="Times New Roman" w:hAnsi="Times New Roman"/>
          <w:i/>
          <w:iCs/>
          <w:noProof/>
          <w:sz w:val="24"/>
          <w:szCs w:val="24"/>
        </w:rPr>
        <w:t>Nepal. American Journal of Modern Energy, 9(3), , 9</w:t>
      </w:r>
      <w:r w:rsidR="00B000AC" w:rsidRPr="00C17683">
        <w:rPr>
          <w:rFonts w:ascii="Times New Roman" w:hAnsi="Times New Roman"/>
          <w:noProof/>
          <w:sz w:val="24"/>
          <w:szCs w:val="24"/>
        </w:rPr>
        <w:t>(3), pp.65–76. doi:10.11648/j.ajme.20230903.12.</w:t>
      </w:r>
    </w:p>
    <w:p w14:paraId="72C17579" w14:textId="53C3A8FB"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Beza, T.W.H.</w:t>
      </w:r>
      <w:r w:rsidR="00B000AC" w:rsidRPr="00C17683">
        <w:rPr>
          <w:rFonts w:ascii="Times New Roman" w:hAnsi="Times New Roman"/>
          <w:noProof/>
          <w:sz w:val="24"/>
          <w:szCs w:val="24"/>
        </w:rPr>
        <w:t xml:space="preserve">C. (2021). Optimal Sizing and Techno-Economic Analysis of Minigrid Hybrid Renewable Energy System for Tourist Destination Islands of Lake Tana, Ethiopia. . </w:t>
      </w:r>
      <w:r w:rsidR="00B000AC" w:rsidRPr="00C17683">
        <w:rPr>
          <w:rFonts w:ascii="Times New Roman" w:hAnsi="Times New Roman"/>
          <w:i/>
          <w:iCs/>
          <w:noProof/>
          <w:sz w:val="24"/>
          <w:szCs w:val="24"/>
        </w:rPr>
        <w:t>2021. Optimal Sizing and Techno-Economic Analysis of Minigrid Hybrid Renewable Energy System for Applied Sciences, , 11</w:t>
      </w:r>
      <w:r w:rsidR="00B000AC" w:rsidRPr="00C17683">
        <w:rPr>
          <w:rFonts w:ascii="Times New Roman" w:hAnsi="Times New Roman"/>
          <w:noProof/>
          <w:sz w:val="24"/>
          <w:szCs w:val="24"/>
        </w:rPr>
        <w:t>(15), 7085. https://doi.org/10.3390/app11157085.</w:t>
      </w:r>
    </w:p>
    <w:p w14:paraId="02C4929B" w14:textId="6F5A2DA7"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lastRenderedPageBreak/>
        <w:t>Bhattacharyya, S.</w:t>
      </w:r>
      <w:r w:rsidR="00B000AC" w:rsidRPr="00C17683">
        <w:rPr>
          <w:rFonts w:ascii="Times New Roman" w:hAnsi="Times New Roman"/>
          <w:noProof/>
          <w:sz w:val="24"/>
          <w:szCs w:val="24"/>
        </w:rPr>
        <w:t xml:space="preserve">P. (2018). Bhattacharyya, S.C., PaliA bottom-up approach to community mini-grids in India: Models, performance, and policy implications. </w:t>
      </w:r>
      <w:r w:rsidR="00B000AC" w:rsidRPr="00C17683">
        <w:rPr>
          <w:rFonts w:ascii="Times New Roman" w:hAnsi="Times New Roman"/>
          <w:i/>
          <w:iCs/>
          <w:noProof/>
          <w:sz w:val="24"/>
          <w:szCs w:val="24"/>
        </w:rPr>
        <w:t>Bhattacharyya, S.C., Palit, D., &amp; Sarangi, G.K., 2018. A bottom-up approach to community mini-grids in India: ModelEnergy, Sustainability and Society, , 8</w:t>
      </w:r>
      <w:r w:rsidR="00B000AC" w:rsidRPr="00C17683">
        <w:rPr>
          <w:rFonts w:ascii="Times New Roman" w:hAnsi="Times New Roman"/>
          <w:noProof/>
          <w:sz w:val="24"/>
          <w:szCs w:val="24"/>
        </w:rPr>
        <w:t>(1), Bhattacharyya, S.C., Palit, D., &amp; Sarangi, G.K., 2018. A bottom-up approach to community mini-grids in India: Models, pp.1–12. https://doi.org/10.1186/s13705-018-0185-9.</w:t>
      </w:r>
    </w:p>
    <w:p w14:paraId="4A38EA4C" w14:textId="77777777" w:rsidR="00B000AC" w:rsidRPr="00C17683" w:rsidRDefault="00B000AC"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 xml:space="preserve">CASP. (2018). </w:t>
      </w:r>
      <w:r w:rsidRPr="00C17683">
        <w:rPr>
          <w:rFonts w:ascii="Times New Roman" w:hAnsi="Times New Roman"/>
          <w:i/>
          <w:iCs/>
          <w:noProof/>
          <w:sz w:val="24"/>
          <w:szCs w:val="24"/>
        </w:rPr>
        <w:t>CASP Qualitative Checklist. Critical Appraisal Skills Programme. .</w:t>
      </w:r>
      <w:r w:rsidRPr="00C17683">
        <w:rPr>
          <w:rFonts w:ascii="Times New Roman" w:hAnsi="Times New Roman"/>
          <w:noProof/>
          <w:sz w:val="24"/>
          <w:szCs w:val="24"/>
        </w:rPr>
        <w:t xml:space="preserve"> https://casp-uk.net/casp-tools-checklists/.</w:t>
      </w:r>
    </w:p>
    <w:p w14:paraId="048142FA" w14:textId="0EDC225F"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Corasaniti, S.</w:t>
      </w:r>
      <w:r w:rsidR="00B000AC" w:rsidRPr="00C17683">
        <w:rPr>
          <w:rFonts w:ascii="Times New Roman" w:hAnsi="Times New Roman"/>
          <w:noProof/>
          <w:sz w:val="24"/>
          <w:szCs w:val="24"/>
        </w:rPr>
        <w:t xml:space="preserve">C. (2025). Renewable Energy Communities (RECs): European and worldwide distribution, different technologies, management, and modeling. </w:t>
      </w:r>
      <w:r w:rsidR="00B000AC" w:rsidRPr="00C17683">
        <w:rPr>
          <w:rFonts w:ascii="Times New Roman" w:hAnsi="Times New Roman"/>
          <w:i/>
          <w:iCs/>
          <w:noProof/>
          <w:sz w:val="24"/>
          <w:szCs w:val="24"/>
        </w:rPr>
        <w:t>Energies, , 18</w:t>
      </w:r>
      <w:r w:rsidR="00B000AC" w:rsidRPr="00C17683">
        <w:rPr>
          <w:rFonts w:ascii="Times New Roman" w:hAnsi="Times New Roman"/>
          <w:noProof/>
          <w:sz w:val="24"/>
          <w:szCs w:val="24"/>
        </w:rPr>
        <w:t>(15), 3961.</w:t>
      </w:r>
    </w:p>
    <w:p w14:paraId="6DF3215F" w14:textId="0EFEBE1A"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Dillip Kumar Mishra, M.</w:t>
      </w:r>
      <w:r w:rsidR="00B000AC" w:rsidRPr="00C17683">
        <w:rPr>
          <w:rFonts w:ascii="Times New Roman" w:hAnsi="Times New Roman"/>
          <w:noProof/>
          <w:sz w:val="24"/>
          <w:szCs w:val="24"/>
        </w:rPr>
        <w:t xml:space="preserve">J. (2021). A review on resilience studies in active distribution systems. </w:t>
      </w:r>
      <w:r w:rsidR="00B000AC" w:rsidRPr="00C17683">
        <w:rPr>
          <w:rFonts w:ascii="Times New Roman" w:hAnsi="Times New Roman"/>
          <w:i/>
          <w:iCs/>
          <w:noProof/>
          <w:sz w:val="24"/>
          <w:szCs w:val="24"/>
        </w:rPr>
        <w:t>Renewable and Sustainable Energy Reviews, 135</w:t>
      </w:r>
      <w:r w:rsidR="00B000AC" w:rsidRPr="00C17683">
        <w:rPr>
          <w:rFonts w:ascii="Times New Roman" w:hAnsi="Times New Roman"/>
          <w:noProof/>
          <w:sz w:val="24"/>
          <w:szCs w:val="24"/>
        </w:rPr>
        <w:t>, 110201.</w:t>
      </w:r>
    </w:p>
    <w:p w14:paraId="23542E54" w14:textId="15D8A19F"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Dimovski, A.</w:t>
      </w:r>
      <w:r w:rsidR="00B000AC" w:rsidRPr="00C17683">
        <w:rPr>
          <w:rFonts w:ascii="Times New Roman" w:hAnsi="Times New Roman"/>
          <w:noProof/>
          <w:sz w:val="24"/>
          <w:szCs w:val="24"/>
        </w:rPr>
        <w:t xml:space="preserve">M. (2023). Impact of energy communities on the distribution network: An Italian case study. </w:t>
      </w:r>
      <w:r w:rsidR="00B000AC" w:rsidRPr="00C17683">
        <w:rPr>
          <w:rFonts w:ascii="Times New Roman" w:hAnsi="Times New Roman"/>
          <w:i/>
          <w:iCs/>
          <w:noProof/>
          <w:sz w:val="24"/>
          <w:szCs w:val="24"/>
        </w:rPr>
        <w:t xml:space="preserve">Sustainable Energy, Grids and Networks,, 35, </w:t>
      </w:r>
      <w:r w:rsidR="00B000AC" w:rsidRPr="00C17683">
        <w:rPr>
          <w:rFonts w:ascii="Times New Roman" w:hAnsi="Times New Roman"/>
          <w:noProof/>
          <w:sz w:val="24"/>
          <w:szCs w:val="24"/>
        </w:rPr>
        <w:t>, 101148.</w:t>
      </w:r>
    </w:p>
    <w:p w14:paraId="6F8206E2" w14:textId="0676F4A8"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Dvorakova, V.</w:t>
      </w:r>
      <w:r w:rsidR="00B000AC" w:rsidRPr="00C17683">
        <w:rPr>
          <w:rFonts w:ascii="Times New Roman" w:hAnsi="Times New Roman"/>
          <w:noProof/>
          <w:sz w:val="24"/>
          <w:szCs w:val="24"/>
        </w:rPr>
        <w:t>C.</w:t>
      </w:r>
      <w:r>
        <w:rPr>
          <w:rFonts w:ascii="Times New Roman" w:hAnsi="Times New Roman"/>
          <w:noProof/>
          <w:sz w:val="24"/>
          <w:szCs w:val="24"/>
        </w:rPr>
        <w:t xml:space="preserve"> Hara, C.</w:t>
      </w:r>
      <w:r w:rsidR="00B455DD" w:rsidRPr="00C17683">
        <w:rPr>
          <w:rFonts w:ascii="Times New Roman" w:hAnsi="Times New Roman"/>
          <w:noProof/>
          <w:sz w:val="24"/>
          <w:szCs w:val="24"/>
        </w:rPr>
        <w:t>M., P</w:t>
      </w:r>
      <w:r>
        <w:rPr>
          <w:rFonts w:ascii="Times New Roman" w:hAnsi="Times New Roman"/>
          <w:noProof/>
          <w:sz w:val="24"/>
          <w:szCs w:val="24"/>
        </w:rPr>
        <w:t>errett, A., Reardon, L., To, L.</w:t>
      </w:r>
      <w:r w:rsidR="00B455DD" w:rsidRPr="00C17683">
        <w:rPr>
          <w:rFonts w:ascii="Times New Roman" w:hAnsi="Times New Roman"/>
          <w:noProof/>
          <w:sz w:val="24"/>
          <w:szCs w:val="24"/>
        </w:rPr>
        <w:t>S., Trace, S., &amp; Wang, X.</w:t>
      </w:r>
      <w:r w:rsidR="00B000AC" w:rsidRPr="00C17683">
        <w:rPr>
          <w:rFonts w:ascii="Times New Roman" w:hAnsi="Times New Roman"/>
          <w:noProof/>
          <w:sz w:val="24"/>
          <w:szCs w:val="24"/>
        </w:rPr>
        <w:t xml:space="preserve"> (2020). </w:t>
      </w:r>
      <w:r w:rsidR="00B000AC" w:rsidRPr="00C17683">
        <w:rPr>
          <w:rFonts w:ascii="Times New Roman" w:hAnsi="Times New Roman"/>
          <w:i/>
          <w:iCs/>
          <w:noProof/>
          <w:sz w:val="24"/>
          <w:szCs w:val="24"/>
        </w:rPr>
        <w:t>"Community energy resilience and electricity systems: workshops report.".</w:t>
      </w:r>
      <w:r w:rsidR="00B000AC" w:rsidRPr="00C17683">
        <w:rPr>
          <w:rFonts w:ascii="Times New Roman" w:hAnsi="Times New Roman"/>
          <w:noProof/>
          <w:sz w:val="24"/>
          <w:szCs w:val="24"/>
        </w:rPr>
        <w:t xml:space="preserve"> </w:t>
      </w:r>
    </w:p>
    <w:p w14:paraId="6A4EF90C" w14:textId="4177ABAF" w:rsidR="00B000AC" w:rsidRPr="00C17683" w:rsidRDefault="00B000AC"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Ekeinde, E</w:t>
      </w:r>
      <w:r w:rsidR="003E16E3">
        <w:rPr>
          <w:rFonts w:ascii="Times New Roman" w:hAnsi="Times New Roman"/>
          <w:noProof/>
          <w:sz w:val="24"/>
          <w:szCs w:val="24"/>
        </w:rPr>
        <w:t>.</w:t>
      </w:r>
      <w:r w:rsidRPr="00C17683">
        <w:rPr>
          <w:rFonts w:ascii="Times New Roman" w:hAnsi="Times New Roman"/>
          <w:noProof/>
          <w:sz w:val="24"/>
          <w:szCs w:val="24"/>
        </w:rPr>
        <w:t xml:space="preserve">B. (2025). "Sustainable Energy and Climate Change Adaption: A Review of Synergies and Trade-Off.". </w:t>
      </w:r>
      <w:r w:rsidRPr="00C17683">
        <w:rPr>
          <w:rFonts w:ascii="Times New Roman" w:hAnsi="Times New Roman"/>
          <w:i/>
          <w:iCs/>
          <w:noProof/>
          <w:sz w:val="24"/>
          <w:szCs w:val="24"/>
        </w:rPr>
        <w:t>In SPE Nigeria Annual International Conference and Exhibition, p. D032S029R002. SPE, .</w:t>
      </w:r>
      <w:r w:rsidRPr="00C17683">
        <w:rPr>
          <w:rFonts w:ascii="Times New Roman" w:hAnsi="Times New Roman"/>
          <w:noProof/>
          <w:sz w:val="24"/>
          <w:szCs w:val="24"/>
        </w:rPr>
        <w:t xml:space="preserve"> </w:t>
      </w:r>
    </w:p>
    <w:p w14:paraId="72B51F64" w14:textId="23ABE761"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Fauzan Hanif Jufri, V.</w:t>
      </w:r>
      <w:r w:rsidR="00B000AC" w:rsidRPr="00C17683">
        <w:rPr>
          <w:rFonts w:ascii="Times New Roman" w:hAnsi="Times New Roman"/>
          <w:noProof/>
          <w:sz w:val="24"/>
          <w:szCs w:val="24"/>
        </w:rPr>
        <w:t xml:space="preserve">W. (2019). State-of-the-art review on power grid resilience to extreme weather events: Definitions, frameworks, quantitative assessment methodologies, and enhancement strategies. </w:t>
      </w:r>
      <w:r w:rsidR="00B000AC" w:rsidRPr="00C17683">
        <w:rPr>
          <w:rFonts w:ascii="Times New Roman" w:hAnsi="Times New Roman"/>
          <w:i/>
          <w:iCs/>
          <w:noProof/>
          <w:sz w:val="24"/>
          <w:szCs w:val="24"/>
        </w:rPr>
        <w:t>Applied Energy, 239</w:t>
      </w:r>
      <w:r w:rsidR="000F07DD" w:rsidRPr="00C17683">
        <w:rPr>
          <w:rFonts w:ascii="Times New Roman" w:hAnsi="Times New Roman"/>
          <w:noProof/>
          <w:sz w:val="24"/>
          <w:szCs w:val="24"/>
        </w:rPr>
        <w:t xml:space="preserve">(1), </w:t>
      </w:r>
      <w:r w:rsidR="00B000AC" w:rsidRPr="00C17683">
        <w:rPr>
          <w:rFonts w:ascii="Times New Roman" w:hAnsi="Times New Roman"/>
          <w:noProof/>
          <w:sz w:val="24"/>
          <w:szCs w:val="24"/>
        </w:rPr>
        <w:t>1049-1065.</w:t>
      </w:r>
    </w:p>
    <w:p w14:paraId="29823DF5" w14:textId="0AD734E2"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Frontiers in Energy Research</w:t>
      </w:r>
      <w:r w:rsidR="00B000AC" w:rsidRPr="00C17683">
        <w:rPr>
          <w:rFonts w:ascii="Times New Roman" w:hAnsi="Times New Roman"/>
          <w:noProof/>
          <w:sz w:val="24"/>
          <w:szCs w:val="24"/>
        </w:rPr>
        <w:t>. (2024). Technical, economic, and environmental feasibility assessment of solar</w:t>
      </w:r>
      <w:r w:rsidR="00B000AC" w:rsidRPr="00C17683">
        <w:rPr>
          <w:rFonts w:ascii="Times New Roman" w:hAnsi="Times New Roman"/>
          <w:noProof/>
          <w:sz w:val="24"/>
          <w:szCs w:val="24"/>
        </w:rPr>
        <w:noBreakHyphen/>
        <w:t>battery</w:t>
      </w:r>
      <w:r w:rsidR="00B000AC" w:rsidRPr="00C17683">
        <w:rPr>
          <w:rFonts w:ascii="Times New Roman" w:hAnsi="Times New Roman"/>
          <w:noProof/>
          <w:sz w:val="24"/>
          <w:szCs w:val="24"/>
        </w:rPr>
        <w:noBreakHyphen/>
        <w:t xml:space="preserve">generator hybrid energy systems: a case study in Nigeria. . </w:t>
      </w:r>
      <w:r w:rsidR="00B000AC" w:rsidRPr="00C17683">
        <w:rPr>
          <w:rFonts w:ascii="Times New Roman" w:hAnsi="Times New Roman"/>
          <w:i/>
          <w:iCs/>
          <w:noProof/>
          <w:sz w:val="24"/>
          <w:szCs w:val="24"/>
        </w:rPr>
        <w:t>Front. Energy Res., 12</w:t>
      </w:r>
      <w:r w:rsidR="00B000AC" w:rsidRPr="00C17683">
        <w:rPr>
          <w:rFonts w:ascii="Times New Roman" w:hAnsi="Times New Roman"/>
          <w:noProof/>
          <w:sz w:val="24"/>
          <w:szCs w:val="24"/>
        </w:rPr>
        <w:t>.</w:t>
      </w:r>
    </w:p>
    <w:p w14:paraId="048FB8F3" w14:textId="0F0E220A"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Greacen, C.</w:t>
      </w:r>
      <w:r w:rsidR="00B000AC" w:rsidRPr="00C17683">
        <w:rPr>
          <w:rFonts w:ascii="Times New Roman" w:hAnsi="Times New Roman"/>
          <w:noProof/>
          <w:sz w:val="24"/>
          <w:szCs w:val="24"/>
        </w:rPr>
        <w:t xml:space="preserve">E. (2020). Myanmar’s Mini-Grid Program: An Analysis of Policy and Regulatory Barriers. . </w:t>
      </w:r>
      <w:r w:rsidR="00B000AC" w:rsidRPr="00C17683">
        <w:rPr>
          <w:rFonts w:ascii="Times New Roman" w:hAnsi="Times New Roman"/>
          <w:i/>
          <w:iCs/>
          <w:noProof/>
          <w:sz w:val="24"/>
          <w:szCs w:val="24"/>
        </w:rPr>
        <w:t>Energy Policy,, 140</w:t>
      </w:r>
      <w:r w:rsidR="00B000AC" w:rsidRPr="00C17683">
        <w:rPr>
          <w:rFonts w:ascii="Times New Roman" w:hAnsi="Times New Roman"/>
          <w:noProof/>
          <w:sz w:val="24"/>
          <w:szCs w:val="24"/>
        </w:rPr>
        <w:t>, 111414. https://doi.org/10.1016/j.enpol.2020.111414.</w:t>
      </w:r>
    </w:p>
    <w:p w14:paraId="18B6E6B2" w14:textId="4F8EB7C9"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Guarascio, D.</w:t>
      </w:r>
      <w:r w:rsidR="00B000AC" w:rsidRPr="00C17683">
        <w:rPr>
          <w:rFonts w:ascii="Times New Roman" w:hAnsi="Times New Roman"/>
          <w:noProof/>
          <w:sz w:val="24"/>
          <w:szCs w:val="24"/>
        </w:rPr>
        <w:t xml:space="preserve">J. (2025). "Energy vulnerability and resilience in the EU: concepts, empirics and policy." . </w:t>
      </w:r>
      <w:r w:rsidR="00B000AC" w:rsidRPr="00C17683">
        <w:rPr>
          <w:rFonts w:ascii="Times New Roman" w:hAnsi="Times New Roman"/>
          <w:i/>
          <w:iCs/>
          <w:noProof/>
          <w:sz w:val="24"/>
          <w:szCs w:val="24"/>
        </w:rPr>
        <w:t>Journal of Industrial and Business Economics.</w:t>
      </w:r>
      <w:r w:rsidR="00B000AC" w:rsidRPr="00C17683">
        <w:rPr>
          <w:rFonts w:ascii="Times New Roman" w:hAnsi="Times New Roman"/>
          <w:noProof/>
          <w:sz w:val="24"/>
          <w:szCs w:val="24"/>
        </w:rPr>
        <w:t>, 1-44.</w:t>
      </w:r>
    </w:p>
    <w:p w14:paraId="3BBCF8C8" w14:textId="6FC26006"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Hassan, M.</w:t>
      </w:r>
      <w:r w:rsidR="00B000AC" w:rsidRPr="00C17683">
        <w:rPr>
          <w:rFonts w:ascii="Times New Roman" w:hAnsi="Times New Roman"/>
          <w:noProof/>
          <w:sz w:val="24"/>
          <w:szCs w:val="24"/>
        </w:rPr>
        <w:t xml:space="preserve">A. (2020). Hybrid mini grid systems for rural electrification: A review. . </w:t>
      </w:r>
      <w:r w:rsidR="00B000AC" w:rsidRPr="00C17683">
        <w:rPr>
          <w:rFonts w:ascii="Times New Roman" w:hAnsi="Times New Roman"/>
          <w:i/>
          <w:iCs/>
          <w:noProof/>
          <w:sz w:val="24"/>
          <w:szCs w:val="24"/>
        </w:rPr>
        <w:t>Renewable and Sustainable Energy Reviews, , 33</w:t>
      </w:r>
      <w:r w:rsidR="00B000AC" w:rsidRPr="00C17683">
        <w:rPr>
          <w:rFonts w:ascii="Times New Roman" w:hAnsi="Times New Roman"/>
          <w:noProof/>
          <w:sz w:val="24"/>
          <w:szCs w:val="24"/>
        </w:rPr>
        <w:t>, 110256.</w:t>
      </w:r>
    </w:p>
    <w:p w14:paraId="5BA0DA62" w14:textId="598BE36E"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Hong, Q.E</w:t>
      </w:r>
      <w:r w:rsidR="00B000AC" w:rsidRPr="00C17683">
        <w:rPr>
          <w:rFonts w:ascii="Times New Roman" w:hAnsi="Times New Roman"/>
          <w:noProof/>
          <w:sz w:val="24"/>
          <w:szCs w:val="24"/>
        </w:rPr>
        <w:t xml:space="preserve">. (2018). </w:t>
      </w:r>
      <w:r w:rsidR="00B000AC" w:rsidRPr="00C17683">
        <w:rPr>
          <w:rFonts w:ascii="Times New Roman" w:hAnsi="Times New Roman"/>
          <w:i/>
          <w:iCs/>
          <w:noProof/>
          <w:sz w:val="24"/>
          <w:szCs w:val="24"/>
        </w:rPr>
        <w:t>Mixed Methods Appraisal Tool (MMAT), Version 2018. .</w:t>
      </w:r>
      <w:r w:rsidR="00B000AC" w:rsidRPr="00C17683">
        <w:rPr>
          <w:rFonts w:ascii="Times New Roman" w:hAnsi="Times New Roman"/>
          <w:noProof/>
          <w:sz w:val="24"/>
          <w:szCs w:val="24"/>
        </w:rPr>
        <w:t xml:space="preserve"> http://mixedmethodsappraisaltoolpublic.pbworks.com/.</w:t>
      </w:r>
    </w:p>
    <w:p w14:paraId="44E6D79D" w14:textId="77777777" w:rsidR="00B000AC" w:rsidRPr="00C17683" w:rsidRDefault="00B000AC"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lastRenderedPageBreak/>
        <w:t xml:space="preserve">IPCC. (2022). </w:t>
      </w:r>
      <w:r w:rsidRPr="00C17683">
        <w:rPr>
          <w:rFonts w:ascii="Times New Roman" w:hAnsi="Times New Roman"/>
          <w:i/>
          <w:iCs/>
          <w:noProof/>
          <w:sz w:val="24"/>
          <w:szCs w:val="24"/>
        </w:rPr>
        <w:t>(Climate Change 2022: Impacts, Adaptation and Vulnerability. Contribution of Working Group II to the Sixth Assessment Report of the Intergovernmental Panel on Climate Change.</w:t>
      </w:r>
      <w:r w:rsidRPr="00C17683">
        <w:rPr>
          <w:rFonts w:ascii="Times New Roman" w:hAnsi="Times New Roman"/>
          <w:noProof/>
          <w:sz w:val="24"/>
          <w:szCs w:val="24"/>
        </w:rPr>
        <w:t xml:space="preserve"> Cambridge: Cambridge University Press. https://www.ipcc.ch/report/ar6/wg2/.</w:t>
      </w:r>
    </w:p>
    <w:p w14:paraId="66EA7F18" w14:textId="080A5D05" w:rsidR="00B000AC" w:rsidRPr="00C17683" w:rsidRDefault="00B000AC"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IRENA (International Renewable Energ</w:t>
      </w:r>
      <w:r w:rsidR="003E16E3">
        <w:rPr>
          <w:rFonts w:ascii="Times New Roman" w:hAnsi="Times New Roman"/>
          <w:noProof/>
          <w:sz w:val="24"/>
          <w:szCs w:val="24"/>
        </w:rPr>
        <w:t>y Agency).</w:t>
      </w:r>
      <w:r w:rsidRPr="00C17683">
        <w:rPr>
          <w:rFonts w:ascii="Times New Roman" w:hAnsi="Times New Roman"/>
          <w:noProof/>
          <w:sz w:val="24"/>
          <w:szCs w:val="24"/>
        </w:rPr>
        <w:t xml:space="preserve"> (20</w:t>
      </w:r>
      <w:r w:rsidR="003E2B73" w:rsidRPr="00C17683">
        <w:rPr>
          <w:rFonts w:ascii="Times New Roman" w:hAnsi="Times New Roman"/>
          <w:noProof/>
          <w:sz w:val="24"/>
          <w:szCs w:val="24"/>
        </w:rPr>
        <w:t>19</w:t>
      </w:r>
      <w:r w:rsidRPr="00C17683">
        <w:rPr>
          <w:rFonts w:ascii="Times New Roman" w:hAnsi="Times New Roman"/>
          <w:noProof/>
          <w:sz w:val="24"/>
          <w:szCs w:val="24"/>
        </w:rPr>
        <w:t xml:space="preserve">). </w:t>
      </w:r>
      <w:r w:rsidRPr="00C17683">
        <w:rPr>
          <w:rFonts w:ascii="Times New Roman" w:hAnsi="Times New Roman"/>
          <w:i/>
          <w:iCs/>
          <w:noProof/>
          <w:sz w:val="24"/>
          <w:szCs w:val="24"/>
        </w:rPr>
        <w:t>Renewable Mini-Grids: Innovation Landscape Brief. .</w:t>
      </w:r>
      <w:r w:rsidRPr="00C17683">
        <w:rPr>
          <w:rFonts w:ascii="Times New Roman" w:hAnsi="Times New Roman"/>
          <w:noProof/>
          <w:sz w:val="24"/>
          <w:szCs w:val="24"/>
        </w:rPr>
        <w:t xml:space="preserve"> Abu Dhabi: I: RENA.</w:t>
      </w:r>
    </w:p>
    <w:p w14:paraId="4D1AAC7C" w14:textId="224B1B0C"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Stritzke. S.</w:t>
      </w:r>
      <w:r w:rsidR="003C634B" w:rsidRPr="00C17683">
        <w:rPr>
          <w:rFonts w:ascii="Times New Roman" w:hAnsi="Times New Roman"/>
          <w:noProof/>
          <w:sz w:val="24"/>
          <w:szCs w:val="24"/>
        </w:rPr>
        <w:t xml:space="preserve"> </w:t>
      </w:r>
      <w:r>
        <w:rPr>
          <w:rFonts w:ascii="Times New Roman" w:hAnsi="Times New Roman"/>
          <w:noProof/>
          <w:sz w:val="24"/>
          <w:szCs w:val="24"/>
        </w:rPr>
        <w:t xml:space="preserve">&amp; </w:t>
      </w:r>
      <w:r w:rsidR="003C634B" w:rsidRPr="00C17683">
        <w:rPr>
          <w:rFonts w:ascii="Times New Roman" w:hAnsi="Times New Roman"/>
          <w:noProof/>
          <w:sz w:val="24"/>
          <w:szCs w:val="24"/>
        </w:rPr>
        <w:t xml:space="preserve">Jain Prem, </w:t>
      </w:r>
      <w:r w:rsidR="00B000AC" w:rsidRPr="00C17683">
        <w:rPr>
          <w:rFonts w:ascii="Times New Roman" w:hAnsi="Times New Roman"/>
          <w:noProof/>
          <w:sz w:val="24"/>
          <w:szCs w:val="24"/>
        </w:rPr>
        <w:t xml:space="preserve"> (2021). The sustainability of decentrilised of renewable energy projects in developing countries: Learning lessons from Zambia. </w:t>
      </w:r>
      <w:r w:rsidR="00B000AC" w:rsidRPr="00C17683">
        <w:rPr>
          <w:rFonts w:ascii="Times New Roman" w:hAnsi="Times New Roman"/>
          <w:i/>
          <w:iCs/>
          <w:noProof/>
          <w:sz w:val="24"/>
          <w:szCs w:val="24"/>
        </w:rPr>
        <w:t>energies, 14</w:t>
      </w:r>
      <w:r w:rsidR="00B000AC" w:rsidRPr="00C17683">
        <w:rPr>
          <w:rFonts w:ascii="Times New Roman" w:hAnsi="Times New Roman"/>
          <w:noProof/>
          <w:sz w:val="24"/>
          <w:szCs w:val="24"/>
        </w:rPr>
        <w:t>, 3757.</w:t>
      </w:r>
    </w:p>
    <w:p w14:paraId="30FA1FB2" w14:textId="7862EBB9"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 xml:space="preserve">Juma, C. </w:t>
      </w:r>
      <w:r w:rsidR="00B000AC" w:rsidRPr="00C17683">
        <w:rPr>
          <w:rFonts w:ascii="Times New Roman" w:hAnsi="Times New Roman"/>
          <w:noProof/>
          <w:sz w:val="24"/>
          <w:szCs w:val="24"/>
        </w:rPr>
        <w:t xml:space="preserve">(2020). Institutional barriers in mini grid deployment in East Africa. . </w:t>
      </w:r>
      <w:r w:rsidR="00B000AC" w:rsidRPr="00C17683">
        <w:rPr>
          <w:rFonts w:ascii="Times New Roman" w:hAnsi="Times New Roman"/>
          <w:i/>
          <w:iCs/>
          <w:noProof/>
          <w:sz w:val="24"/>
          <w:szCs w:val="24"/>
        </w:rPr>
        <w:t>Energy Reports, , 6</w:t>
      </w:r>
      <w:r w:rsidR="00B000AC" w:rsidRPr="00C17683">
        <w:rPr>
          <w:rFonts w:ascii="Times New Roman" w:hAnsi="Times New Roman"/>
          <w:noProof/>
          <w:sz w:val="24"/>
          <w:szCs w:val="24"/>
        </w:rPr>
        <w:t>, 43-50.</w:t>
      </w:r>
    </w:p>
    <w:p w14:paraId="069EBD72" w14:textId="77777777" w:rsidR="00B000AC" w:rsidRPr="00C17683" w:rsidRDefault="00B000AC"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 xml:space="preserve">Kinhonhi, M. (2019). </w:t>
      </w:r>
      <w:r w:rsidRPr="00C17683">
        <w:rPr>
          <w:rFonts w:ascii="Times New Roman" w:hAnsi="Times New Roman"/>
          <w:i/>
          <w:iCs/>
          <w:noProof/>
          <w:sz w:val="24"/>
          <w:szCs w:val="24"/>
        </w:rPr>
        <w:t>Business Model Innovation and Sustainability in the East African Mini-grid Sector. Master’s Thesis,.</w:t>
      </w:r>
      <w:r w:rsidRPr="00C17683">
        <w:rPr>
          <w:rFonts w:ascii="Times New Roman" w:hAnsi="Times New Roman"/>
          <w:noProof/>
          <w:sz w:val="24"/>
          <w:szCs w:val="24"/>
        </w:rPr>
        <w:t xml:space="preserve"> Cape town: Kinhonhi, M., 2019. Business Model Innovation and Sustainability in the East Afr University of Cape Town. Available at: https://open.uct.ac.za/handle/11427/31282.</w:t>
      </w:r>
    </w:p>
    <w:p w14:paraId="453B67C3" w14:textId="1201FC50"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 xml:space="preserve">Kumar, A. </w:t>
      </w:r>
      <w:r w:rsidR="00B000AC" w:rsidRPr="00C17683">
        <w:rPr>
          <w:rFonts w:ascii="Times New Roman" w:hAnsi="Times New Roman"/>
          <w:noProof/>
          <w:sz w:val="24"/>
          <w:szCs w:val="24"/>
        </w:rPr>
        <w:t xml:space="preserve">(2021). Financial and technical challenges in mini grid projects: A systematic review. </w:t>
      </w:r>
      <w:r w:rsidR="00B000AC" w:rsidRPr="00C17683">
        <w:rPr>
          <w:rFonts w:ascii="Times New Roman" w:hAnsi="Times New Roman"/>
          <w:i/>
          <w:iCs/>
          <w:noProof/>
          <w:sz w:val="24"/>
          <w:szCs w:val="24"/>
        </w:rPr>
        <w:t>Sustainable Energy Technologies and Assessments,, 48</w:t>
      </w:r>
      <w:r w:rsidR="00B000AC" w:rsidRPr="00C17683">
        <w:rPr>
          <w:rFonts w:ascii="Times New Roman" w:hAnsi="Times New Roman"/>
          <w:noProof/>
          <w:sz w:val="24"/>
          <w:szCs w:val="24"/>
        </w:rPr>
        <w:t>, 101593.</w:t>
      </w:r>
    </w:p>
    <w:p w14:paraId="4882459B" w14:textId="1772BE0A"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Lu, Y.</w:t>
      </w:r>
      <w:r w:rsidR="00B000AC" w:rsidRPr="00C17683">
        <w:rPr>
          <w:rFonts w:ascii="Times New Roman" w:hAnsi="Times New Roman"/>
          <w:noProof/>
          <w:sz w:val="24"/>
          <w:szCs w:val="24"/>
        </w:rPr>
        <w:t xml:space="preserve">O. (2025). Integrating Building Performance Simulation in Agent-based Models to Support Demand-side Management Strategies. </w:t>
      </w:r>
      <w:r w:rsidR="00B000AC" w:rsidRPr="00C17683">
        <w:rPr>
          <w:rFonts w:ascii="Times New Roman" w:hAnsi="Times New Roman"/>
          <w:i/>
          <w:iCs/>
          <w:noProof/>
          <w:sz w:val="24"/>
          <w:szCs w:val="24"/>
        </w:rPr>
        <w:t>In Journal of Physics: Conference Series, 3140,</w:t>
      </w:r>
      <w:r w:rsidR="00B000AC" w:rsidRPr="00C17683">
        <w:rPr>
          <w:rFonts w:ascii="Times New Roman" w:hAnsi="Times New Roman"/>
          <w:noProof/>
          <w:sz w:val="24"/>
          <w:szCs w:val="24"/>
        </w:rPr>
        <w:t>(No. 6), 062010). IOP Publishing.</w:t>
      </w:r>
    </w:p>
    <w:p w14:paraId="19C9C35F" w14:textId="52522563" w:rsidR="00B000AC" w:rsidRPr="00C17683" w:rsidRDefault="00B000AC"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 xml:space="preserve">Mocci, S.S. (2024). "Low-voltage renewable energy communities’ impact on the distribution networks.". </w:t>
      </w:r>
      <w:r w:rsidRPr="00C17683">
        <w:rPr>
          <w:rFonts w:ascii="Times New Roman" w:hAnsi="Times New Roman"/>
          <w:i/>
          <w:iCs/>
          <w:noProof/>
          <w:sz w:val="24"/>
          <w:szCs w:val="24"/>
        </w:rPr>
        <w:t>Energies , 18</w:t>
      </w:r>
      <w:r w:rsidRPr="00C17683">
        <w:rPr>
          <w:rFonts w:ascii="Times New Roman" w:hAnsi="Times New Roman"/>
          <w:noProof/>
          <w:sz w:val="24"/>
          <w:szCs w:val="24"/>
        </w:rPr>
        <w:t>(1), 126.</w:t>
      </w:r>
    </w:p>
    <w:p w14:paraId="6C58D11A" w14:textId="4916B38D" w:rsidR="00B000AC" w:rsidRPr="00C17683" w:rsidRDefault="00B000AC"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Moher, D., Liberati,</w:t>
      </w:r>
      <w:r w:rsidR="003E16E3">
        <w:rPr>
          <w:rFonts w:ascii="Times New Roman" w:hAnsi="Times New Roman"/>
          <w:noProof/>
          <w:sz w:val="24"/>
          <w:szCs w:val="24"/>
        </w:rPr>
        <w:t xml:space="preserve"> A., Tetzlaff, J., Altman, D.G. &amp; PRISMA Group. </w:t>
      </w:r>
      <w:r w:rsidRPr="00C17683">
        <w:rPr>
          <w:rFonts w:ascii="Times New Roman" w:hAnsi="Times New Roman"/>
          <w:noProof/>
          <w:sz w:val="24"/>
          <w:szCs w:val="24"/>
        </w:rPr>
        <w:t xml:space="preserve">(2009). Preferred reporting items for systematic reviews and meta-analyses: The PRISMA statement. . </w:t>
      </w:r>
      <w:r w:rsidRPr="00C17683">
        <w:rPr>
          <w:rFonts w:ascii="Times New Roman" w:hAnsi="Times New Roman"/>
          <w:i/>
          <w:iCs/>
          <w:noProof/>
          <w:sz w:val="24"/>
          <w:szCs w:val="24"/>
        </w:rPr>
        <w:t>PLoS Medicine,, 6</w:t>
      </w:r>
      <w:r w:rsidRPr="00C17683">
        <w:rPr>
          <w:rFonts w:ascii="Times New Roman" w:hAnsi="Times New Roman"/>
          <w:noProof/>
          <w:sz w:val="24"/>
          <w:szCs w:val="24"/>
        </w:rPr>
        <w:t>(7), e1000097. https://doi.org/10.1371/journal.pmed.1000097.</w:t>
      </w:r>
    </w:p>
    <w:p w14:paraId="265AB820" w14:textId="5EF494F6" w:rsidR="00B000AC" w:rsidRPr="00C17683" w:rsidRDefault="003E16E3"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Moola, S.E</w:t>
      </w:r>
      <w:r w:rsidR="00B000AC" w:rsidRPr="00C17683">
        <w:rPr>
          <w:rFonts w:ascii="Times New Roman" w:hAnsi="Times New Roman"/>
          <w:noProof/>
          <w:sz w:val="24"/>
          <w:szCs w:val="24"/>
        </w:rPr>
        <w:t xml:space="preserve">. (2020). Chapter 7: Systematic reviews of etiology and risk. In </w:t>
      </w:r>
      <w:r w:rsidR="00B000AC" w:rsidRPr="00C17683">
        <w:rPr>
          <w:rFonts w:ascii="Times New Roman" w:hAnsi="Times New Roman"/>
          <w:i/>
          <w:iCs/>
          <w:noProof/>
          <w:sz w:val="24"/>
          <w:szCs w:val="24"/>
        </w:rPr>
        <w:t>(2020). Chapter 7: SystIn E. Aromataris &amp; Z. Munn (Eds.), JBI Manual for Evidence Synthesis</w:t>
      </w:r>
      <w:r w:rsidR="00B000AC" w:rsidRPr="00C17683">
        <w:rPr>
          <w:rFonts w:ascii="Times New Roman" w:hAnsi="Times New Roman"/>
          <w:noProof/>
          <w:sz w:val="24"/>
          <w:szCs w:val="24"/>
        </w:rPr>
        <w:t xml:space="preserve"> (p. ). Joanna Briggs Institute.</w:t>
      </w:r>
    </w:p>
    <w:p w14:paraId="015669D6" w14:textId="4F957F9F" w:rsidR="00B000AC" w:rsidRPr="00C17683" w:rsidRDefault="00B000AC"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Mou M</w:t>
      </w:r>
      <w:r w:rsidR="002D63B8" w:rsidRPr="00C17683">
        <w:rPr>
          <w:rFonts w:ascii="Times New Roman" w:hAnsi="Times New Roman"/>
          <w:noProof/>
          <w:sz w:val="24"/>
          <w:szCs w:val="24"/>
        </w:rPr>
        <w:t>ahmood, Chowdhury, P., Yeassin, R., Hasan,</w:t>
      </w:r>
      <w:r w:rsidR="003E16E3">
        <w:rPr>
          <w:rFonts w:ascii="Times New Roman" w:hAnsi="Times New Roman"/>
          <w:noProof/>
          <w:sz w:val="24"/>
          <w:szCs w:val="24"/>
        </w:rPr>
        <w:t xml:space="preserve"> M., Ahmad, T., &amp; Chowdhury, N.U.</w:t>
      </w:r>
      <w:r w:rsidR="002D63B8" w:rsidRPr="00C17683">
        <w:rPr>
          <w:rFonts w:ascii="Times New Roman" w:hAnsi="Times New Roman"/>
          <w:noProof/>
          <w:sz w:val="24"/>
          <w:szCs w:val="24"/>
        </w:rPr>
        <w:t>R.</w:t>
      </w:r>
      <w:r w:rsidRPr="00C17683">
        <w:rPr>
          <w:rFonts w:ascii="Times New Roman" w:hAnsi="Times New Roman"/>
          <w:noProof/>
          <w:sz w:val="24"/>
          <w:szCs w:val="24"/>
        </w:rPr>
        <w:t xml:space="preserve"> (2024). Impacts of digitalization on smart grids, renewable energy, and demand response: An updated review of current applications. </w:t>
      </w:r>
      <w:r w:rsidRPr="00C17683">
        <w:rPr>
          <w:rFonts w:ascii="Times New Roman" w:hAnsi="Times New Roman"/>
          <w:i/>
          <w:iCs/>
          <w:noProof/>
          <w:sz w:val="24"/>
          <w:szCs w:val="24"/>
        </w:rPr>
        <w:t>Energy Conversion and Management, 24</w:t>
      </w:r>
      <w:r w:rsidRPr="00C17683">
        <w:rPr>
          <w:rFonts w:ascii="Times New Roman" w:hAnsi="Times New Roman"/>
          <w:noProof/>
          <w:sz w:val="24"/>
          <w:szCs w:val="24"/>
        </w:rPr>
        <w:t>, 100790.</w:t>
      </w:r>
    </w:p>
    <w:p w14:paraId="07093EED" w14:textId="19185A05" w:rsidR="00E774D9" w:rsidRPr="002D49F8" w:rsidRDefault="003E16E3" w:rsidP="002D49F8">
      <w:pPr>
        <w:pStyle w:val="ListParagraph"/>
        <w:numPr>
          <w:ilvl w:val="0"/>
          <w:numId w:val="13"/>
        </w:numPr>
        <w:shd w:val="clear" w:color="auto" w:fill="FFFFFF"/>
        <w:spacing w:after="0" w:line="240" w:lineRule="auto"/>
        <w:jc w:val="both"/>
        <w:rPr>
          <w:rFonts w:ascii="Times New Roman" w:hAnsi="Times New Roman"/>
          <w:noProof/>
          <w:sz w:val="24"/>
          <w:szCs w:val="24"/>
        </w:rPr>
      </w:pPr>
      <w:r w:rsidRPr="002D49F8">
        <w:rPr>
          <w:rFonts w:ascii="Times New Roman" w:hAnsi="Times New Roman"/>
          <w:noProof/>
          <w:sz w:val="24"/>
          <w:szCs w:val="24"/>
        </w:rPr>
        <w:t>Olamide F.</w:t>
      </w:r>
      <w:r w:rsidR="00E774D9" w:rsidRPr="002D49F8">
        <w:rPr>
          <w:rFonts w:ascii="Times New Roman" w:hAnsi="Times New Roman"/>
          <w:noProof/>
          <w:sz w:val="24"/>
          <w:szCs w:val="24"/>
        </w:rPr>
        <w:t xml:space="preserve">B., </w:t>
      </w:r>
      <w:hyperlink r:id="rId9" w:history="1">
        <w:r w:rsidR="00E774D9" w:rsidRPr="002D49F8">
          <w:rPr>
            <w:rFonts w:ascii="Times New Roman" w:hAnsi="Times New Roman"/>
            <w:noProof/>
            <w:sz w:val="24"/>
            <w:szCs w:val="24"/>
          </w:rPr>
          <w:t>Adepeju N</w:t>
        </w:r>
        <w:r w:rsidR="005E0016" w:rsidRPr="002D49F8">
          <w:rPr>
            <w:rFonts w:ascii="Times New Roman" w:hAnsi="Times New Roman"/>
            <w:noProof/>
            <w:sz w:val="24"/>
            <w:szCs w:val="24"/>
          </w:rPr>
          <w:t>.</w:t>
        </w:r>
      </w:hyperlink>
      <w:r w:rsidRPr="002D49F8">
        <w:rPr>
          <w:rFonts w:ascii="Times New Roman" w:hAnsi="Times New Roman"/>
          <w:noProof/>
          <w:sz w:val="24"/>
          <w:szCs w:val="24"/>
        </w:rPr>
        <w:t xml:space="preserve"> &amp; </w:t>
      </w:r>
      <w:r w:rsidR="00E774D9" w:rsidRPr="002D49F8">
        <w:rPr>
          <w:rFonts w:ascii="Times New Roman" w:hAnsi="Times New Roman"/>
          <w:noProof/>
          <w:sz w:val="24"/>
          <w:szCs w:val="24"/>
        </w:rPr>
        <w:t>Zamathula Q</w:t>
      </w:r>
      <w:r w:rsidR="005E0016" w:rsidRPr="002D49F8">
        <w:rPr>
          <w:rFonts w:ascii="Times New Roman" w:hAnsi="Times New Roman"/>
          <w:noProof/>
          <w:sz w:val="24"/>
          <w:szCs w:val="24"/>
        </w:rPr>
        <w:t>.</w:t>
      </w:r>
      <w:r w:rsidR="00E774D9" w:rsidRPr="002D49F8">
        <w:rPr>
          <w:rFonts w:ascii="Times New Roman" w:hAnsi="Times New Roman"/>
          <w:noProof/>
          <w:sz w:val="24"/>
          <w:szCs w:val="24"/>
        </w:rPr>
        <w:t>S</w:t>
      </w:r>
      <w:r w:rsidR="005E0016" w:rsidRPr="002D49F8">
        <w:rPr>
          <w:rFonts w:ascii="Times New Roman" w:hAnsi="Times New Roman"/>
          <w:noProof/>
          <w:sz w:val="24"/>
          <w:szCs w:val="24"/>
        </w:rPr>
        <w:t>.</w:t>
      </w:r>
      <w:r w:rsidR="00E774D9" w:rsidRPr="002D49F8">
        <w:rPr>
          <w:rFonts w:ascii="Times New Roman" w:hAnsi="Times New Roman"/>
          <w:noProof/>
          <w:sz w:val="24"/>
          <w:szCs w:val="24"/>
        </w:rPr>
        <w:t>N</w:t>
      </w:r>
      <w:r w:rsidR="005E0016" w:rsidRPr="002D49F8">
        <w:rPr>
          <w:rFonts w:ascii="Times New Roman" w:hAnsi="Times New Roman"/>
          <w:noProof/>
          <w:sz w:val="24"/>
          <w:szCs w:val="24"/>
        </w:rPr>
        <w:t>.</w:t>
      </w:r>
      <w:r w:rsidR="00E774D9" w:rsidRPr="002D49F8">
        <w:rPr>
          <w:rFonts w:ascii="Times New Roman" w:hAnsi="Times New Roman"/>
          <w:noProof/>
          <w:sz w:val="24"/>
          <w:szCs w:val="24"/>
        </w:rPr>
        <w:t xml:space="preserve"> (2024).</w:t>
      </w:r>
      <w:r w:rsidRPr="002D49F8">
        <w:rPr>
          <w:rFonts w:ascii="Times New Roman" w:hAnsi="Times New Roman"/>
          <w:noProof/>
          <w:sz w:val="24"/>
          <w:szCs w:val="24"/>
        </w:rPr>
        <w:t xml:space="preserve"> </w:t>
      </w:r>
      <w:r w:rsidR="00E774D9" w:rsidRPr="002D49F8">
        <w:rPr>
          <w:rFonts w:ascii="Times New Roman" w:hAnsi="Times New Roman"/>
          <w:noProof/>
          <w:sz w:val="24"/>
          <w:szCs w:val="24"/>
        </w:rPr>
        <w:t>“Conceptual Framework for Cross-Disciplinary Approaches to Climate-Resilient Infrastructure Development,“International Journal of Scientific Research in Computer Science Engineering and Information Technology 10(4):1005-1022. DOI:</w:t>
      </w:r>
      <w:hyperlink r:id="rId10" w:tgtFrame="_blank" w:history="1">
        <w:r w:rsidR="00E774D9" w:rsidRPr="002D49F8">
          <w:rPr>
            <w:rFonts w:ascii="Times New Roman" w:hAnsi="Times New Roman"/>
            <w:noProof/>
            <w:sz w:val="24"/>
            <w:szCs w:val="24"/>
          </w:rPr>
          <w:t>10.32628/CSEIT251134104</w:t>
        </w:r>
      </w:hyperlink>
    </w:p>
    <w:p w14:paraId="486D23BD" w14:textId="18E0BE9B" w:rsidR="00B000AC" w:rsidRPr="00C17683" w:rsidRDefault="006C0541" w:rsidP="002D49F8">
      <w:pPr>
        <w:pStyle w:val="Bibliography"/>
        <w:numPr>
          <w:ilvl w:val="0"/>
          <w:numId w:val="13"/>
        </w:numPr>
        <w:jc w:val="both"/>
        <w:rPr>
          <w:rFonts w:ascii="Times New Roman" w:hAnsi="Times New Roman"/>
          <w:noProof/>
          <w:sz w:val="24"/>
          <w:szCs w:val="24"/>
          <w:lang w:val="nb-NO"/>
        </w:rPr>
      </w:pPr>
      <w:r>
        <w:rPr>
          <w:rFonts w:ascii="Times New Roman" w:hAnsi="Times New Roman"/>
          <w:noProof/>
          <w:sz w:val="24"/>
          <w:szCs w:val="24"/>
        </w:rPr>
        <w:t>Popay, J.E</w:t>
      </w:r>
      <w:r w:rsidR="00B000AC" w:rsidRPr="00C17683">
        <w:rPr>
          <w:rFonts w:ascii="Times New Roman" w:hAnsi="Times New Roman"/>
          <w:noProof/>
          <w:sz w:val="24"/>
          <w:szCs w:val="24"/>
        </w:rPr>
        <w:t>. (2006). (2006). Guidance on the Conduct of Narrative Sy</w:t>
      </w:r>
      <w:r>
        <w:rPr>
          <w:rFonts w:ascii="Times New Roman" w:hAnsi="Times New Roman"/>
          <w:noProof/>
          <w:sz w:val="24"/>
          <w:szCs w:val="24"/>
        </w:rPr>
        <w:t>nthesis in Systematic Reviews.</w:t>
      </w:r>
      <w:r w:rsidR="00B000AC" w:rsidRPr="00C17683">
        <w:rPr>
          <w:rFonts w:ascii="Times New Roman" w:hAnsi="Times New Roman"/>
          <w:noProof/>
          <w:sz w:val="24"/>
          <w:szCs w:val="24"/>
        </w:rPr>
        <w:t xml:space="preserve"> </w:t>
      </w:r>
      <w:r w:rsidR="00B000AC" w:rsidRPr="00C17683">
        <w:rPr>
          <w:rFonts w:ascii="Times New Roman" w:hAnsi="Times New Roman"/>
          <w:i/>
          <w:iCs/>
          <w:noProof/>
          <w:sz w:val="24"/>
          <w:szCs w:val="24"/>
        </w:rPr>
        <w:t>ESRC Methods Programme</w:t>
      </w:r>
      <w:r w:rsidR="00B000AC" w:rsidRPr="00C17683">
        <w:rPr>
          <w:rFonts w:ascii="Times New Roman" w:hAnsi="Times New Roman"/>
          <w:noProof/>
          <w:sz w:val="24"/>
          <w:szCs w:val="24"/>
        </w:rPr>
        <w:t xml:space="preserve">, (2006). Guidance on the Conduct of Narrative </w:t>
      </w:r>
      <w:r w:rsidR="00B000AC" w:rsidRPr="00C17683">
        <w:rPr>
          <w:rFonts w:ascii="Times New Roman" w:hAnsi="Times New Roman"/>
          <w:noProof/>
          <w:sz w:val="24"/>
          <w:szCs w:val="24"/>
        </w:rPr>
        <w:lastRenderedPageBreak/>
        <w:t xml:space="preserve">Synthesis in Systematic Reviews. </w:t>
      </w:r>
      <w:r w:rsidR="00B000AC" w:rsidRPr="00C17683">
        <w:rPr>
          <w:rFonts w:ascii="Times New Roman" w:hAnsi="Times New Roman"/>
          <w:noProof/>
          <w:sz w:val="24"/>
          <w:szCs w:val="24"/>
          <w:lang w:val="nb-NO"/>
        </w:rPr>
        <w:t>E https://www.lancaster.ac.uk/media/lancaster-university/content-assets/documents/fhm/dhr/chir/NSsynthesisguidanceVersion1-April2006.pdf.</w:t>
      </w:r>
    </w:p>
    <w:p w14:paraId="1E00DFD5" w14:textId="0343FC53" w:rsidR="00B000AC" w:rsidRPr="00C17683" w:rsidRDefault="006C0541"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Rathore, N.</w:t>
      </w:r>
      <w:r w:rsidR="00B000AC" w:rsidRPr="00C17683">
        <w:rPr>
          <w:rFonts w:ascii="Times New Roman" w:hAnsi="Times New Roman"/>
          <w:noProof/>
          <w:sz w:val="24"/>
          <w:szCs w:val="24"/>
        </w:rPr>
        <w:t>N. (2021). Reliability assessment and cost estimation of a hybrid renewable micro</w:t>
      </w:r>
      <w:r w:rsidR="00B000AC" w:rsidRPr="00C17683">
        <w:rPr>
          <w:rFonts w:ascii="Times New Roman" w:hAnsi="Times New Roman"/>
          <w:noProof/>
          <w:sz w:val="24"/>
          <w:szCs w:val="24"/>
        </w:rPr>
        <w:noBreakHyphen/>
        <w:t xml:space="preserve">grid system.In: Green Technology for Smart City and Society. Lecture Notes in Networks and Systems,. </w:t>
      </w:r>
      <w:r w:rsidR="00B000AC" w:rsidRPr="00C17683">
        <w:rPr>
          <w:rFonts w:ascii="Times New Roman" w:hAnsi="Times New Roman"/>
          <w:i/>
          <w:iCs/>
          <w:noProof/>
          <w:sz w:val="24"/>
          <w:szCs w:val="24"/>
        </w:rPr>
        <w:t>vol. 151. Spring, 151</w:t>
      </w:r>
      <w:r w:rsidR="00B000AC" w:rsidRPr="00C17683">
        <w:rPr>
          <w:rFonts w:ascii="Times New Roman" w:hAnsi="Times New Roman"/>
          <w:noProof/>
          <w:sz w:val="24"/>
          <w:szCs w:val="24"/>
        </w:rPr>
        <w:t>.</w:t>
      </w:r>
    </w:p>
    <w:p w14:paraId="22979D83" w14:textId="36C8B9C8" w:rsidR="00B000AC" w:rsidRPr="00C17683" w:rsidRDefault="008E0F17"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Richard Schmitz,</w:t>
      </w:r>
      <w:r w:rsidRPr="00C17683">
        <w:rPr>
          <w:rFonts w:ascii="Times New Roman" w:hAnsi="Times New Roman"/>
          <w:color w:val="1F1F1F"/>
          <w:sz w:val="24"/>
          <w:szCs w:val="24"/>
        </w:rPr>
        <w:t> </w:t>
      </w:r>
      <w:r w:rsidRPr="00C17683">
        <w:rPr>
          <w:rStyle w:val="given-name"/>
          <w:rFonts w:ascii="Times New Roman" w:hAnsi="Times New Roman"/>
          <w:sz w:val="24"/>
          <w:szCs w:val="24"/>
        </w:rPr>
        <w:t>Franziska</w:t>
      </w:r>
      <w:r w:rsidRPr="00C17683">
        <w:rPr>
          <w:rFonts w:ascii="Times New Roman" w:hAnsi="Times New Roman"/>
          <w:noProof/>
          <w:sz w:val="24"/>
          <w:szCs w:val="24"/>
        </w:rPr>
        <w:t xml:space="preserve"> </w:t>
      </w:r>
      <w:proofErr w:type="gramStart"/>
      <w:r w:rsidRPr="00C17683">
        <w:rPr>
          <w:rFonts w:ascii="Times New Roman" w:hAnsi="Times New Roman"/>
          <w:noProof/>
          <w:sz w:val="24"/>
          <w:szCs w:val="24"/>
        </w:rPr>
        <w:t>F,</w:t>
      </w:r>
      <w:r w:rsidRPr="00C17683">
        <w:rPr>
          <w:rFonts w:ascii="Times New Roman" w:hAnsi="Times New Roman"/>
          <w:color w:val="1F1F1F"/>
          <w:sz w:val="24"/>
          <w:szCs w:val="24"/>
        </w:rPr>
        <w:t xml:space="preserve">  </w:t>
      </w:r>
      <w:r w:rsidRPr="00C17683">
        <w:rPr>
          <w:rStyle w:val="given-name"/>
          <w:rFonts w:ascii="Times New Roman" w:hAnsi="Times New Roman"/>
          <w:sz w:val="24"/>
          <w:szCs w:val="24"/>
        </w:rPr>
        <w:t>Leonie</w:t>
      </w:r>
      <w:proofErr w:type="gramEnd"/>
      <w:r w:rsidRPr="00C17683">
        <w:rPr>
          <w:rStyle w:val="given-name"/>
          <w:rFonts w:ascii="Times New Roman" w:hAnsi="Times New Roman"/>
          <w:sz w:val="24"/>
          <w:szCs w:val="24"/>
        </w:rPr>
        <w:t xml:space="preserve"> S.</w:t>
      </w:r>
      <w:r w:rsidRPr="00C17683">
        <w:rPr>
          <w:rStyle w:val="text"/>
          <w:rFonts w:ascii="Times New Roman" w:hAnsi="Times New Roman"/>
          <w:sz w:val="24"/>
          <w:szCs w:val="24"/>
        </w:rPr>
        <w:t>P,</w:t>
      </w:r>
      <w:r w:rsidR="00B000AC" w:rsidRPr="00C17683">
        <w:rPr>
          <w:rFonts w:ascii="Times New Roman" w:hAnsi="Times New Roman"/>
          <w:noProof/>
          <w:sz w:val="24"/>
          <w:szCs w:val="24"/>
        </w:rPr>
        <w:t xml:space="preserve"> </w:t>
      </w:r>
      <w:bookmarkStart w:id="1" w:name="bau0020-profile"/>
      <w:r w:rsidRPr="00C17683">
        <w:rPr>
          <w:rFonts w:ascii="Times New Roman" w:hAnsi="Times New Roman"/>
          <w:sz w:val="24"/>
          <w:szCs w:val="24"/>
        </w:rPr>
        <w:fldChar w:fldCharType="begin"/>
      </w:r>
      <w:r w:rsidRPr="00C17683">
        <w:rPr>
          <w:rFonts w:ascii="Times New Roman" w:hAnsi="Times New Roman"/>
          <w:sz w:val="24"/>
          <w:szCs w:val="24"/>
        </w:rPr>
        <w:instrText xml:space="preserve"> HYPERLINK "https://www.sciencedirect.com/author/55565624700/martin-braun" </w:instrText>
      </w:r>
      <w:r w:rsidRPr="00C17683">
        <w:rPr>
          <w:rFonts w:ascii="Times New Roman" w:hAnsi="Times New Roman"/>
          <w:sz w:val="24"/>
          <w:szCs w:val="24"/>
        </w:rPr>
        <w:fldChar w:fldCharType="separate"/>
      </w:r>
      <w:r w:rsidRPr="00C17683">
        <w:rPr>
          <w:rStyle w:val="given-name"/>
          <w:rFonts w:ascii="Times New Roman" w:hAnsi="Times New Roman"/>
          <w:color w:val="1F1F1F"/>
          <w:sz w:val="24"/>
          <w:szCs w:val="24"/>
        </w:rPr>
        <w:t>Martin</w:t>
      </w:r>
      <w:r w:rsidRPr="00C17683">
        <w:rPr>
          <w:rStyle w:val="react-xocs-alternative-link"/>
          <w:rFonts w:ascii="Times New Roman" w:hAnsi="Times New Roman"/>
          <w:color w:val="1F1F1F"/>
          <w:sz w:val="24"/>
          <w:szCs w:val="24"/>
        </w:rPr>
        <w:t> </w:t>
      </w:r>
      <w:r w:rsidRPr="00C17683">
        <w:rPr>
          <w:rStyle w:val="text"/>
          <w:rFonts w:ascii="Times New Roman" w:hAnsi="Times New Roman"/>
          <w:color w:val="1F1F1F"/>
          <w:sz w:val="24"/>
          <w:szCs w:val="24"/>
        </w:rPr>
        <w:t>B</w:t>
      </w:r>
      <w:r w:rsidRPr="00C17683">
        <w:rPr>
          <w:rFonts w:ascii="Times New Roman" w:hAnsi="Times New Roman"/>
          <w:sz w:val="24"/>
          <w:szCs w:val="24"/>
        </w:rPr>
        <w:fldChar w:fldCharType="end"/>
      </w:r>
      <w:bookmarkEnd w:id="1"/>
      <w:r w:rsidRPr="00C17683">
        <w:rPr>
          <w:rFonts w:ascii="Times New Roman" w:hAnsi="Times New Roman"/>
          <w:noProof/>
          <w:sz w:val="24"/>
          <w:szCs w:val="24"/>
        </w:rPr>
        <w:t xml:space="preserve"> , </w:t>
      </w:r>
      <w:r w:rsidRPr="00C17683">
        <w:rPr>
          <w:rFonts w:ascii="Times New Roman" w:hAnsi="Times New Roman"/>
          <w:color w:val="1F1F1F"/>
          <w:sz w:val="24"/>
          <w:szCs w:val="24"/>
        </w:rPr>
        <w:t> </w:t>
      </w:r>
      <w:r w:rsidRPr="00C17683">
        <w:rPr>
          <w:rStyle w:val="given-name"/>
          <w:rFonts w:ascii="Times New Roman" w:hAnsi="Times New Roman"/>
          <w:sz w:val="24"/>
          <w:szCs w:val="24"/>
        </w:rPr>
        <w:t>Philipp</w:t>
      </w:r>
      <w:r w:rsidRPr="00C17683">
        <w:rPr>
          <w:rStyle w:val="react-xocs-alternative-link"/>
          <w:rFonts w:ascii="Times New Roman" w:hAnsi="Times New Roman"/>
          <w:sz w:val="24"/>
          <w:szCs w:val="24"/>
        </w:rPr>
        <w:t> </w:t>
      </w:r>
      <w:proofErr w:type="spellStart"/>
      <w:r w:rsidRPr="00C17683">
        <w:rPr>
          <w:rStyle w:val="text"/>
          <w:rFonts w:ascii="Times New Roman" w:hAnsi="Times New Roman"/>
          <w:sz w:val="24"/>
          <w:szCs w:val="24"/>
        </w:rPr>
        <w:t>Härtel</w:t>
      </w:r>
      <w:proofErr w:type="spellEnd"/>
      <w:r w:rsidRPr="00C17683">
        <w:rPr>
          <w:rStyle w:val="react-xocs-alternative-link"/>
          <w:rFonts w:ascii="Times New Roman" w:hAnsi="Times New Roman"/>
          <w:sz w:val="24"/>
          <w:szCs w:val="24"/>
        </w:rPr>
        <w:t xml:space="preserve">. </w:t>
      </w:r>
      <w:r w:rsidR="00B000AC" w:rsidRPr="00C17683">
        <w:rPr>
          <w:rFonts w:ascii="Times New Roman" w:hAnsi="Times New Roman"/>
          <w:noProof/>
          <w:sz w:val="24"/>
          <w:szCs w:val="24"/>
        </w:rPr>
        <w:t xml:space="preserve">(2025). Energy security and resilience: Revisiting concepts and advancing planning. </w:t>
      </w:r>
      <w:r w:rsidR="00B000AC" w:rsidRPr="00C17683">
        <w:rPr>
          <w:rFonts w:ascii="Times New Roman" w:hAnsi="Times New Roman"/>
          <w:i/>
          <w:iCs/>
          <w:noProof/>
          <w:sz w:val="24"/>
          <w:szCs w:val="24"/>
        </w:rPr>
        <w:t>energy policy, 207</w:t>
      </w:r>
      <w:r w:rsidR="00B000AC" w:rsidRPr="00C17683">
        <w:rPr>
          <w:rFonts w:ascii="Times New Roman" w:hAnsi="Times New Roman"/>
          <w:noProof/>
          <w:sz w:val="24"/>
          <w:szCs w:val="24"/>
        </w:rPr>
        <w:t>, 114796.</w:t>
      </w:r>
      <w:r w:rsidRPr="00C17683">
        <w:rPr>
          <w:rFonts w:ascii="Times New Roman" w:hAnsi="Times New Roman"/>
          <w:sz w:val="24"/>
          <w:szCs w:val="24"/>
        </w:rPr>
        <w:t xml:space="preserve"> </w:t>
      </w:r>
      <w:hyperlink r:id="rId11" w:tgtFrame="_blank" w:tooltip="Persistent link using digital object identifier" w:history="1">
        <w:r w:rsidRPr="00C17683">
          <w:rPr>
            <w:rFonts w:ascii="Times New Roman" w:hAnsi="Times New Roman"/>
            <w:noProof/>
            <w:sz w:val="24"/>
            <w:szCs w:val="24"/>
          </w:rPr>
          <w:t>https://doi.org/10.1016/j.enpol.2025.114796</w:t>
        </w:r>
      </w:hyperlink>
    </w:p>
    <w:p w14:paraId="2D8267BC" w14:textId="519B9726" w:rsidR="00B000AC" w:rsidRPr="00C17683" w:rsidRDefault="006C0541"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Sahu, N.</w:t>
      </w:r>
      <w:r w:rsidR="00B000AC" w:rsidRPr="00C17683">
        <w:rPr>
          <w:rFonts w:ascii="Times New Roman" w:hAnsi="Times New Roman"/>
          <w:noProof/>
          <w:sz w:val="24"/>
          <w:szCs w:val="24"/>
        </w:rPr>
        <w:t xml:space="preserve">C. (2021). Reliability assessments and cost estimation of a hybrid renewable micro-grid system. </w:t>
      </w:r>
      <w:r w:rsidR="00B000AC" w:rsidRPr="00C17683">
        <w:rPr>
          <w:rFonts w:ascii="Times New Roman" w:hAnsi="Times New Roman"/>
          <w:i/>
          <w:iCs/>
          <w:noProof/>
          <w:sz w:val="24"/>
          <w:szCs w:val="24"/>
        </w:rPr>
        <w:t>green technology for smart city and society, 151</w:t>
      </w:r>
      <w:r w:rsidR="00B000AC" w:rsidRPr="00C17683">
        <w:rPr>
          <w:rFonts w:ascii="Times New Roman" w:hAnsi="Times New Roman"/>
          <w:noProof/>
          <w:sz w:val="24"/>
          <w:szCs w:val="24"/>
        </w:rPr>
        <w:t>.</w:t>
      </w:r>
    </w:p>
    <w:p w14:paraId="65CD511D" w14:textId="59AF032C" w:rsidR="00B000AC" w:rsidRPr="00C17683" w:rsidRDefault="006C0541"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Shah, K.</w:t>
      </w:r>
      <w:r w:rsidR="00B000AC" w:rsidRPr="00C17683">
        <w:rPr>
          <w:rFonts w:ascii="Times New Roman" w:hAnsi="Times New Roman"/>
          <w:noProof/>
          <w:sz w:val="24"/>
          <w:szCs w:val="24"/>
        </w:rPr>
        <w:t xml:space="preserve">U. (2022). Designing Resilient Mini Grids for Climate Adaptation. . </w:t>
      </w:r>
      <w:r w:rsidR="00B000AC" w:rsidRPr="00C17683">
        <w:rPr>
          <w:rFonts w:ascii="Times New Roman" w:hAnsi="Times New Roman"/>
          <w:i/>
          <w:iCs/>
          <w:noProof/>
          <w:sz w:val="24"/>
          <w:szCs w:val="24"/>
        </w:rPr>
        <w:t xml:space="preserve">Energy Research &amp; Social Science, , 85, </w:t>
      </w:r>
      <w:r w:rsidR="00B000AC" w:rsidRPr="00C17683">
        <w:rPr>
          <w:rFonts w:ascii="Times New Roman" w:hAnsi="Times New Roman"/>
          <w:noProof/>
          <w:sz w:val="24"/>
          <w:szCs w:val="24"/>
        </w:rPr>
        <w:t>, 102408. https://doi.org/10.1016/j.erss.2021.102408.</w:t>
      </w:r>
    </w:p>
    <w:p w14:paraId="754E37EA" w14:textId="639A630C" w:rsidR="00B000AC" w:rsidRPr="002D49F8" w:rsidRDefault="006C0541" w:rsidP="002D49F8">
      <w:pPr>
        <w:pStyle w:val="ListParagraph"/>
        <w:numPr>
          <w:ilvl w:val="0"/>
          <w:numId w:val="13"/>
        </w:numPr>
        <w:spacing w:before="75" w:after="75" w:line="240" w:lineRule="auto"/>
        <w:jc w:val="both"/>
        <w:rPr>
          <w:rFonts w:ascii="Times New Roman" w:hAnsi="Times New Roman"/>
          <w:noProof/>
          <w:sz w:val="24"/>
          <w:szCs w:val="24"/>
        </w:rPr>
      </w:pPr>
      <w:r w:rsidRPr="002D49F8">
        <w:rPr>
          <w:rFonts w:ascii="Times New Roman" w:hAnsi="Times New Roman"/>
          <w:noProof/>
          <w:sz w:val="24"/>
          <w:szCs w:val="24"/>
        </w:rPr>
        <w:t>Stinder, A. Finke, S.</w:t>
      </w:r>
      <w:r w:rsidR="00A47358" w:rsidRPr="002D49F8">
        <w:rPr>
          <w:rFonts w:ascii="Times New Roman" w:hAnsi="Times New Roman"/>
          <w:noProof/>
          <w:sz w:val="24"/>
          <w:szCs w:val="24"/>
        </w:rPr>
        <w:t xml:space="preserve"> &amp; Severengiz, S.</w:t>
      </w:r>
      <w:r w:rsidR="00B000AC" w:rsidRPr="002D49F8">
        <w:rPr>
          <w:rFonts w:ascii="Times New Roman" w:hAnsi="Times New Roman"/>
          <w:noProof/>
          <w:sz w:val="24"/>
          <w:szCs w:val="24"/>
        </w:rPr>
        <w:t xml:space="preserve"> (2022). 2022. A generic GHG</w:t>
      </w:r>
      <w:r w:rsidR="00B000AC" w:rsidRPr="002D49F8">
        <w:rPr>
          <w:rFonts w:ascii="Times New Roman" w:hAnsi="Times New Roman"/>
          <w:noProof/>
          <w:sz w:val="24"/>
          <w:szCs w:val="24"/>
        </w:rPr>
        <w:noBreakHyphen/>
        <w:t xml:space="preserve">LCA model of a smart mini grid for decision making using the example of the Don Bosco mini grid in Tema, Ghana. . </w:t>
      </w:r>
      <w:r w:rsidR="00B000AC" w:rsidRPr="002D49F8">
        <w:rPr>
          <w:rFonts w:ascii="Times New Roman" w:hAnsi="Times New Roman"/>
          <w:i/>
          <w:iCs/>
          <w:noProof/>
          <w:sz w:val="24"/>
          <w:szCs w:val="24"/>
        </w:rPr>
        <w:t>Procedia CIRP, , 105</w:t>
      </w:r>
      <w:r w:rsidR="00B000AC" w:rsidRPr="002D49F8">
        <w:rPr>
          <w:rFonts w:ascii="Times New Roman" w:hAnsi="Times New Roman"/>
          <w:noProof/>
          <w:sz w:val="24"/>
          <w:szCs w:val="24"/>
        </w:rPr>
        <w:t xml:space="preserve">, pp.776–781. </w:t>
      </w:r>
      <w:r w:rsidR="00C037A6" w:rsidRPr="002D49F8">
        <w:rPr>
          <w:rFonts w:ascii="Times New Roman" w:eastAsia="Times New Roman" w:hAnsi="Times New Roman"/>
          <w:color w:val="000000" w:themeColor="text1"/>
          <w:kern w:val="0"/>
          <w:sz w:val="24"/>
          <w:szCs w:val="24"/>
        </w:rPr>
        <w:t xml:space="preserve">DOI: </w:t>
      </w:r>
      <w:hyperlink r:id="rId12" w:history="1">
        <w:r w:rsidR="00C037A6" w:rsidRPr="002D49F8">
          <w:rPr>
            <w:rFonts w:ascii="Times New Roman" w:eastAsia="Times New Roman" w:hAnsi="Times New Roman"/>
            <w:color w:val="000000" w:themeColor="text1"/>
            <w:kern w:val="0"/>
            <w:sz w:val="24"/>
            <w:szCs w:val="24"/>
          </w:rPr>
          <w:t>10.1016/j.procir.2022.02.129</w:t>
        </w:r>
      </w:hyperlink>
    </w:p>
    <w:p w14:paraId="00DE7C51" w14:textId="77777777" w:rsidR="00B000AC" w:rsidRPr="00C17683" w:rsidRDefault="00B000AC"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 xml:space="preserve">Thakkar, M. (2025). Strengthening Governance and Policy Frameworks for Sustainable Development: Addressing Corruption, Transparency, and Regulatory Challenges. </w:t>
      </w:r>
      <w:r w:rsidRPr="00C17683">
        <w:rPr>
          <w:rFonts w:ascii="Times New Roman" w:hAnsi="Times New Roman"/>
          <w:i/>
          <w:iCs/>
          <w:noProof/>
          <w:sz w:val="24"/>
          <w:szCs w:val="24"/>
        </w:rPr>
        <w:t>American Journal of Sustainable Cities and Society, 1</w:t>
      </w:r>
      <w:r w:rsidRPr="00C17683">
        <w:rPr>
          <w:rFonts w:ascii="Times New Roman" w:hAnsi="Times New Roman"/>
          <w:noProof/>
          <w:sz w:val="24"/>
          <w:szCs w:val="24"/>
        </w:rPr>
        <w:t>(15), 141-147.</w:t>
      </w:r>
    </w:p>
    <w:p w14:paraId="7253D57D" w14:textId="1BCF5122" w:rsidR="00B000AC" w:rsidRPr="00C17683" w:rsidRDefault="006C0541" w:rsidP="002D49F8">
      <w:pPr>
        <w:pStyle w:val="Bibliography"/>
        <w:numPr>
          <w:ilvl w:val="0"/>
          <w:numId w:val="13"/>
        </w:numPr>
        <w:jc w:val="both"/>
        <w:rPr>
          <w:rFonts w:ascii="Times New Roman" w:hAnsi="Times New Roman"/>
          <w:noProof/>
          <w:sz w:val="24"/>
          <w:szCs w:val="24"/>
        </w:rPr>
      </w:pPr>
      <w:r>
        <w:rPr>
          <w:rFonts w:ascii="Times New Roman" w:hAnsi="Times New Roman"/>
          <w:noProof/>
          <w:sz w:val="24"/>
          <w:szCs w:val="24"/>
        </w:rPr>
        <w:t>Weinand J.</w:t>
      </w:r>
      <w:r w:rsidR="002B0F17" w:rsidRPr="00C17683">
        <w:rPr>
          <w:rFonts w:ascii="Times New Roman" w:hAnsi="Times New Roman"/>
          <w:noProof/>
          <w:sz w:val="24"/>
          <w:szCs w:val="24"/>
        </w:rPr>
        <w:t>M., Ried, S</w:t>
      </w:r>
      <w:r>
        <w:rPr>
          <w:rFonts w:ascii="Times New Roman" w:hAnsi="Times New Roman"/>
          <w:noProof/>
          <w:sz w:val="24"/>
          <w:szCs w:val="24"/>
        </w:rPr>
        <w:t>., Kleinebrahm, M., McKenna, R.</w:t>
      </w:r>
      <w:r w:rsidR="002B0F17" w:rsidRPr="00C17683">
        <w:rPr>
          <w:rFonts w:ascii="Times New Roman" w:hAnsi="Times New Roman"/>
          <w:noProof/>
          <w:sz w:val="24"/>
          <w:szCs w:val="24"/>
        </w:rPr>
        <w:t xml:space="preserve"> &amp; Fichtner, W. </w:t>
      </w:r>
      <w:r w:rsidR="00B000AC" w:rsidRPr="00C17683">
        <w:rPr>
          <w:rFonts w:ascii="Times New Roman" w:hAnsi="Times New Roman"/>
          <w:noProof/>
          <w:sz w:val="24"/>
          <w:szCs w:val="24"/>
        </w:rPr>
        <w:t xml:space="preserve">(2020). "Identification of potential off-grid municipalities with 100% renewable energy supply for future design of power grids." . </w:t>
      </w:r>
      <w:r w:rsidR="00B000AC" w:rsidRPr="00C17683">
        <w:rPr>
          <w:rFonts w:ascii="Times New Roman" w:hAnsi="Times New Roman"/>
          <w:i/>
          <w:iCs/>
          <w:noProof/>
          <w:sz w:val="24"/>
          <w:szCs w:val="24"/>
        </w:rPr>
        <w:t>IEEE Transactions on Power Systems, 4</w:t>
      </w:r>
      <w:r w:rsidR="00B000AC" w:rsidRPr="00C17683">
        <w:rPr>
          <w:rFonts w:ascii="Times New Roman" w:hAnsi="Times New Roman"/>
          <w:noProof/>
          <w:sz w:val="24"/>
          <w:szCs w:val="24"/>
        </w:rPr>
        <w:t>(20), 37.</w:t>
      </w:r>
    </w:p>
    <w:p w14:paraId="3A53406E" w14:textId="631611EE" w:rsidR="00B000AC" w:rsidRPr="00C17683" w:rsidRDefault="00005155" w:rsidP="002D49F8">
      <w:pPr>
        <w:pStyle w:val="Bibliography"/>
        <w:numPr>
          <w:ilvl w:val="0"/>
          <w:numId w:val="13"/>
        </w:numPr>
        <w:jc w:val="both"/>
        <w:rPr>
          <w:rFonts w:ascii="Times New Roman" w:hAnsi="Times New Roman"/>
          <w:noProof/>
          <w:sz w:val="24"/>
          <w:szCs w:val="24"/>
        </w:rPr>
      </w:pPr>
      <w:r w:rsidRPr="00C17683">
        <w:rPr>
          <w:rFonts w:ascii="Times New Roman" w:hAnsi="Times New Roman"/>
          <w:noProof/>
          <w:sz w:val="24"/>
          <w:szCs w:val="24"/>
        </w:rPr>
        <w:t>Yuan, Jiahai; Zhang, Kai; Ding, Baodi; Huangfu, Wei; Zhang, Jian; Mou, Qilin; Peng, Kexin; Zhang, Haonan</w:t>
      </w:r>
      <w:r w:rsidR="00B000AC" w:rsidRPr="00C17683">
        <w:rPr>
          <w:rFonts w:ascii="Times New Roman" w:hAnsi="Times New Roman"/>
          <w:noProof/>
          <w:sz w:val="24"/>
          <w:szCs w:val="24"/>
        </w:rPr>
        <w:t xml:space="preserve">. (2026). Enhancement strategy of power system resilience for supply-demand imbalance at extreme weather conditions: a high-share renewable energy case from Qinghai Province in China. </w:t>
      </w:r>
      <w:r w:rsidR="00B000AC" w:rsidRPr="00C17683">
        <w:rPr>
          <w:rFonts w:ascii="Times New Roman" w:hAnsi="Times New Roman"/>
          <w:i/>
          <w:iCs/>
          <w:noProof/>
          <w:sz w:val="24"/>
          <w:szCs w:val="24"/>
        </w:rPr>
        <w:t>Renewable Energy, 256</w:t>
      </w:r>
      <w:r w:rsidR="00B000AC" w:rsidRPr="00C17683">
        <w:rPr>
          <w:rFonts w:ascii="Times New Roman" w:hAnsi="Times New Roman"/>
          <w:noProof/>
          <w:sz w:val="24"/>
          <w:szCs w:val="24"/>
        </w:rPr>
        <w:t>.</w:t>
      </w:r>
      <w:r w:rsidR="00CC075B" w:rsidRPr="00C17683">
        <w:rPr>
          <w:rFonts w:ascii="Times New Roman" w:eastAsia="Times New Roman" w:hAnsi="Times New Roman"/>
          <w:color w:val="000000" w:themeColor="text1"/>
          <w:kern w:val="0"/>
          <w:sz w:val="24"/>
          <w:szCs w:val="24"/>
        </w:rPr>
        <w:t xml:space="preserve"> DOI: </w:t>
      </w:r>
      <w:hyperlink r:id="rId13" w:history="1">
        <w:r w:rsidR="00CC075B" w:rsidRPr="00C17683">
          <w:rPr>
            <w:rFonts w:ascii="Times New Roman" w:eastAsia="Times New Roman" w:hAnsi="Times New Roman"/>
            <w:color w:val="000000" w:themeColor="text1"/>
            <w:kern w:val="0"/>
            <w:sz w:val="24"/>
            <w:szCs w:val="24"/>
          </w:rPr>
          <w:t>10.1016/j.renene.2025.124048</w:t>
        </w:r>
      </w:hyperlink>
    </w:p>
    <w:p w14:paraId="26DB99C6" w14:textId="2015701C" w:rsidR="001145C9" w:rsidRDefault="001145C9" w:rsidP="00B000AC">
      <w:pPr>
        <w:spacing w:line="276" w:lineRule="auto"/>
        <w:rPr>
          <w:rFonts w:ascii="Times New Roman" w:hAnsi="Times New Roman"/>
          <w:sz w:val="24"/>
          <w:szCs w:val="24"/>
        </w:rPr>
      </w:pPr>
    </w:p>
    <w:p w14:paraId="717AA707" w14:textId="37DBB7D5" w:rsidR="00000295" w:rsidRDefault="00000295" w:rsidP="00B000AC">
      <w:pPr>
        <w:spacing w:line="276" w:lineRule="auto"/>
        <w:rPr>
          <w:rFonts w:ascii="Times New Roman" w:hAnsi="Times New Roman"/>
          <w:sz w:val="24"/>
          <w:szCs w:val="24"/>
        </w:rPr>
      </w:pPr>
    </w:p>
    <w:p w14:paraId="03282C11" w14:textId="27686852" w:rsidR="00000295" w:rsidRDefault="00000295" w:rsidP="00B000AC">
      <w:pPr>
        <w:spacing w:line="276" w:lineRule="auto"/>
        <w:rPr>
          <w:rFonts w:ascii="Times New Roman" w:hAnsi="Times New Roman"/>
          <w:sz w:val="24"/>
          <w:szCs w:val="24"/>
        </w:rPr>
      </w:pPr>
    </w:p>
    <w:p w14:paraId="6B76EAEA" w14:textId="174FC74F" w:rsidR="00000295" w:rsidRDefault="00000295" w:rsidP="00B000AC">
      <w:pPr>
        <w:spacing w:line="276" w:lineRule="auto"/>
        <w:rPr>
          <w:rFonts w:ascii="Times New Roman" w:hAnsi="Times New Roman"/>
          <w:sz w:val="24"/>
          <w:szCs w:val="24"/>
        </w:rPr>
      </w:pPr>
    </w:p>
    <w:p w14:paraId="6A9DD0AD" w14:textId="39978132" w:rsidR="00000295" w:rsidRDefault="00000295" w:rsidP="00B000AC">
      <w:pPr>
        <w:spacing w:line="276" w:lineRule="auto"/>
        <w:rPr>
          <w:rFonts w:ascii="Times New Roman" w:hAnsi="Times New Roman"/>
          <w:sz w:val="24"/>
          <w:szCs w:val="24"/>
        </w:rPr>
      </w:pPr>
    </w:p>
    <w:p w14:paraId="044435C2" w14:textId="14C4DA76" w:rsidR="00000295" w:rsidRDefault="00000295" w:rsidP="00B000AC">
      <w:pPr>
        <w:spacing w:line="276" w:lineRule="auto"/>
        <w:rPr>
          <w:rFonts w:ascii="Times New Roman" w:hAnsi="Times New Roman"/>
          <w:sz w:val="24"/>
          <w:szCs w:val="24"/>
        </w:rPr>
      </w:pPr>
    </w:p>
    <w:p w14:paraId="5EFD965D" w14:textId="21FA947C" w:rsidR="00AC6EFD" w:rsidRDefault="00AC6EFD" w:rsidP="00B000AC">
      <w:pPr>
        <w:spacing w:line="276" w:lineRule="auto"/>
        <w:rPr>
          <w:rFonts w:ascii="Times New Roman" w:hAnsi="Times New Roman"/>
          <w:sz w:val="24"/>
          <w:szCs w:val="24"/>
        </w:rPr>
      </w:pPr>
    </w:p>
    <w:p w14:paraId="3E589299" w14:textId="3BDAC1E4" w:rsidR="00000295" w:rsidRDefault="00000295" w:rsidP="00B000AC">
      <w:pPr>
        <w:spacing w:line="276" w:lineRule="auto"/>
        <w:rPr>
          <w:rFonts w:ascii="Times New Roman" w:hAnsi="Times New Roman"/>
          <w:sz w:val="24"/>
          <w:szCs w:val="24"/>
        </w:rPr>
      </w:pPr>
    </w:p>
    <w:p w14:paraId="070596B3" w14:textId="77777777" w:rsidR="0057797C" w:rsidRDefault="0057797C" w:rsidP="00E70342">
      <w:pPr>
        <w:spacing w:before="100" w:beforeAutospacing="1" w:after="0" w:line="240" w:lineRule="auto"/>
        <w:jc w:val="both"/>
        <w:rPr>
          <w:rFonts w:ascii="Times New Roman" w:eastAsia="Times New Roman" w:hAnsi="Times New Roman"/>
          <w:b/>
          <w:bCs/>
          <w:kern w:val="0"/>
          <w:sz w:val="24"/>
          <w:szCs w:val="24"/>
          <w:lang w:val="en-GB" w:eastAsia="en-GB"/>
        </w:rPr>
      </w:pPr>
      <w:r>
        <w:rPr>
          <w:rFonts w:ascii="Times New Roman" w:eastAsia="Times New Roman" w:hAnsi="Times New Roman"/>
          <w:b/>
          <w:bCs/>
          <w:kern w:val="0"/>
          <w:sz w:val="24"/>
          <w:szCs w:val="24"/>
          <w:lang w:val="en-GB" w:eastAsia="en-GB"/>
        </w:rPr>
        <w:lastRenderedPageBreak/>
        <w:t>APPENDICES</w:t>
      </w:r>
    </w:p>
    <w:p w14:paraId="4CBB47B1" w14:textId="62313576" w:rsidR="001B73F0" w:rsidRPr="00C04145" w:rsidRDefault="0057797C" w:rsidP="00C04145">
      <w:pPr>
        <w:spacing w:before="100" w:beforeAutospacing="1" w:line="240" w:lineRule="auto"/>
        <w:rPr>
          <w:rFonts w:ascii="Times New Roman" w:eastAsia="Times New Roman" w:hAnsi="Times New Roman"/>
          <w:b/>
          <w:bCs/>
          <w:kern w:val="0"/>
          <w:sz w:val="24"/>
          <w:szCs w:val="24"/>
          <w:u w:val="single"/>
          <w:lang w:val="en-GB" w:eastAsia="en-GB"/>
        </w:rPr>
      </w:pPr>
      <w:r w:rsidRPr="001B73F0">
        <w:rPr>
          <w:rFonts w:ascii="Times New Roman" w:eastAsia="Times New Roman" w:hAnsi="Times New Roman"/>
          <w:b/>
          <w:bCs/>
          <w:kern w:val="0"/>
          <w:sz w:val="24"/>
          <w:szCs w:val="24"/>
          <w:u w:val="single"/>
          <w:lang w:val="en-GB" w:eastAsia="en-GB"/>
        </w:rPr>
        <w:t>Appendix A: Search Log</w:t>
      </w:r>
    </w:p>
    <w:tbl>
      <w:tblPr>
        <w:tblStyle w:val="GridTable42"/>
        <w:tblW w:w="0" w:type="auto"/>
        <w:tblLook w:val="04A0" w:firstRow="1" w:lastRow="0" w:firstColumn="1" w:lastColumn="0" w:noHBand="0" w:noVBand="1"/>
      </w:tblPr>
      <w:tblGrid>
        <w:gridCol w:w="2118"/>
        <w:gridCol w:w="1044"/>
        <w:gridCol w:w="2907"/>
        <w:gridCol w:w="1360"/>
        <w:gridCol w:w="1921"/>
      </w:tblGrid>
      <w:tr w:rsidR="001245B5" w:rsidRPr="0057797C" w14:paraId="52163FC1" w14:textId="77777777" w:rsidTr="000C5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BD6110" w14:textId="77777777" w:rsidR="0057797C" w:rsidRPr="0057797C" w:rsidRDefault="0057797C" w:rsidP="0057797C">
            <w:pPr>
              <w:spacing w:after="0" w:line="240" w:lineRule="auto"/>
              <w:jc w:val="center"/>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Database / Source</w:t>
            </w:r>
          </w:p>
        </w:tc>
        <w:tc>
          <w:tcPr>
            <w:tcW w:w="0" w:type="auto"/>
            <w:hideMark/>
          </w:tcPr>
          <w:p w14:paraId="6C4173E2"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Search Dates</w:t>
            </w:r>
          </w:p>
        </w:tc>
        <w:tc>
          <w:tcPr>
            <w:tcW w:w="0" w:type="auto"/>
            <w:hideMark/>
          </w:tcPr>
          <w:p w14:paraId="26079379"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Search Terms / Strategy</w:t>
            </w:r>
          </w:p>
        </w:tc>
        <w:tc>
          <w:tcPr>
            <w:tcW w:w="0" w:type="auto"/>
            <w:hideMark/>
          </w:tcPr>
          <w:p w14:paraId="0BB151DE"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Records Retrieved</w:t>
            </w:r>
          </w:p>
        </w:tc>
        <w:tc>
          <w:tcPr>
            <w:tcW w:w="0" w:type="auto"/>
            <w:hideMark/>
          </w:tcPr>
          <w:p w14:paraId="2C9E5B03"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Notes / Filters Applied</w:t>
            </w:r>
          </w:p>
        </w:tc>
      </w:tr>
      <w:tr w:rsidR="001245B5" w:rsidRPr="0057797C" w14:paraId="7EE20847" w14:textId="77777777" w:rsidTr="000C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98BBC3"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Scopus</w:t>
            </w:r>
          </w:p>
        </w:tc>
        <w:tc>
          <w:tcPr>
            <w:tcW w:w="0" w:type="auto"/>
            <w:hideMark/>
          </w:tcPr>
          <w:p w14:paraId="1067E9DB"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Aug–Dec 2025</w:t>
            </w:r>
          </w:p>
        </w:tc>
        <w:tc>
          <w:tcPr>
            <w:tcW w:w="0" w:type="auto"/>
            <w:hideMark/>
          </w:tcPr>
          <w:p w14:paraId="7D832B01"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"mini-grid" OR "micro grid" AND "climate resilience" OR "climate-proof" OR "climate adaptation"</w:t>
            </w:r>
          </w:p>
        </w:tc>
        <w:tc>
          <w:tcPr>
            <w:tcW w:w="0" w:type="auto"/>
            <w:hideMark/>
          </w:tcPr>
          <w:p w14:paraId="2C15CB43"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430</w:t>
            </w:r>
          </w:p>
        </w:tc>
        <w:tc>
          <w:tcPr>
            <w:tcW w:w="0" w:type="auto"/>
            <w:hideMark/>
          </w:tcPr>
          <w:p w14:paraId="5B239398"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Peer-reviewed articles, 2010+, English</w:t>
            </w:r>
          </w:p>
        </w:tc>
      </w:tr>
      <w:tr w:rsidR="001245B5" w:rsidRPr="0057797C" w14:paraId="521C198B" w14:textId="77777777" w:rsidTr="000C5973">
        <w:tc>
          <w:tcPr>
            <w:cnfStyle w:val="001000000000" w:firstRow="0" w:lastRow="0" w:firstColumn="1" w:lastColumn="0" w:oddVBand="0" w:evenVBand="0" w:oddHBand="0" w:evenHBand="0" w:firstRowFirstColumn="0" w:firstRowLastColumn="0" w:lastRowFirstColumn="0" w:lastRowLastColumn="0"/>
            <w:tcW w:w="0" w:type="auto"/>
            <w:hideMark/>
          </w:tcPr>
          <w:p w14:paraId="406498BC"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Web of Science</w:t>
            </w:r>
          </w:p>
        </w:tc>
        <w:tc>
          <w:tcPr>
            <w:tcW w:w="0" w:type="auto"/>
            <w:hideMark/>
          </w:tcPr>
          <w:p w14:paraId="6E443165"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Aug–Dec 2025</w:t>
            </w:r>
          </w:p>
        </w:tc>
        <w:tc>
          <w:tcPr>
            <w:tcW w:w="0" w:type="auto"/>
            <w:hideMark/>
          </w:tcPr>
          <w:p w14:paraId="4927EC5F"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TS= ("mini-grid" OR "micro grid") AND TS=("climate resilience" OR "climate-proof")</w:t>
            </w:r>
          </w:p>
        </w:tc>
        <w:tc>
          <w:tcPr>
            <w:tcW w:w="0" w:type="auto"/>
            <w:hideMark/>
          </w:tcPr>
          <w:p w14:paraId="1BA3DBF2"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310</w:t>
            </w:r>
          </w:p>
        </w:tc>
        <w:tc>
          <w:tcPr>
            <w:tcW w:w="0" w:type="auto"/>
            <w:hideMark/>
          </w:tcPr>
          <w:p w14:paraId="783987CF"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Peer-reviewed, 2010+, English</w:t>
            </w:r>
          </w:p>
        </w:tc>
      </w:tr>
      <w:tr w:rsidR="001245B5" w:rsidRPr="0057797C" w14:paraId="07B1280F" w14:textId="77777777" w:rsidTr="000C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0CC164"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IEEE Xplore</w:t>
            </w:r>
          </w:p>
        </w:tc>
        <w:tc>
          <w:tcPr>
            <w:tcW w:w="0" w:type="auto"/>
            <w:hideMark/>
          </w:tcPr>
          <w:p w14:paraId="5363CF47"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Aug–Dec 2025</w:t>
            </w:r>
          </w:p>
        </w:tc>
        <w:tc>
          <w:tcPr>
            <w:tcW w:w="0" w:type="auto"/>
            <w:hideMark/>
          </w:tcPr>
          <w:p w14:paraId="3713A83E"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"decentralised energy system" AND "climate adaptation"</w:t>
            </w:r>
          </w:p>
        </w:tc>
        <w:tc>
          <w:tcPr>
            <w:tcW w:w="0" w:type="auto"/>
            <w:hideMark/>
          </w:tcPr>
          <w:p w14:paraId="082A1703"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150</w:t>
            </w:r>
          </w:p>
        </w:tc>
        <w:tc>
          <w:tcPr>
            <w:tcW w:w="0" w:type="auto"/>
            <w:hideMark/>
          </w:tcPr>
          <w:p w14:paraId="51C18250"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Technical studies and conference papers</w:t>
            </w:r>
          </w:p>
        </w:tc>
      </w:tr>
      <w:tr w:rsidR="001245B5" w:rsidRPr="0057797C" w14:paraId="35E84E88" w14:textId="77777777" w:rsidTr="000C5973">
        <w:tc>
          <w:tcPr>
            <w:cnfStyle w:val="001000000000" w:firstRow="0" w:lastRow="0" w:firstColumn="1" w:lastColumn="0" w:oddVBand="0" w:evenVBand="0" w:oddHBand="0" w:evenHBand="0" w:firstRowFirstColumn="0" w:firstRowLastColumn="0" w:lastRowFirstColumn="0" w:lastRowLastColumn="0"/>
            <w:tcW w:w="0" w:type="auto"/>
            <w:hideMark/>
          </w:tcPr>
          <w:p w14:paraId="325A77A1"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ScienceDirect</w:t>
            </w:r>
          </w:p>
        </w:tc>
        <w:tc>
          <w:tcPr>
            <w:tcW w:w="0" w:type="auto"/>
            <w:hideMark/>
          </w:tcPr>
          <w:p w14:paraId="53AC2D75"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Aug–Dec 2025</w:t>
            </w:r>
          </w:p>
        </w:tc>
        <w:tc>
          <w:tcPr>
            <w:tcW w:w="0" w:type="auto"/>
            <w:hideMark/>
          </w:tcPr>
          <w:p w14:paraId="0F58D6C5"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"mini-grid" AND "climate adaptation"</w:t>
            </w:r>
          </w:p>
        </w:tc>
        <w:tc>
          <w:tcPr>
            <w:tcW w:w="0" w:type="auto"/>
            <w:hideMark/>
          </w:tcPr>
          <w:p w14:paraId="5E34014E"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200</w:t>
            </w:r>
          </w:p>
        </w:tc>
        <w:tc>
          <w:tcPr>
            <w:tcW w:w="0" w:type="auto"/>
            <w:hideMark/>
          </w:tcPr>
          <w:p w14:paraId="0C2300F4"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Journals only, 2010+, English</w:t>
            </w:r>
          </w:p>
        </w:tc>
      </w:tr>
      <w:tr w:rsidR="001245B5" w:rsidRPr="0057797C" w14:paraId="34FACE89" w14:textId="77777777" w:rsidTr="000C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199298"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Google Scholar</w:t>
            </w:r>
          </w:p>
        </w:tc>
        <w:tc>
          <w:tcPr>
            <w:tcW w:w="0" w:type="auto"/>
            <w:hideMark/>
          </w:tcPr>
          <w:p w14:paraId="6C19AD3A"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Aug–Dec 2025</w:t>
            </w:r>
          </w:p>
        </w:tc>
        <w:tc>
          <w:tcPr>
            <w:tcW w:w="0" w:type="auto"/>
            <w:hideMark/>
          </w:tcPr>
          <w:p w14:paraId="30178C5F"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"mini-grid" AND "climate resilience" site:gov OR site:org</w:t>
            </w:r>
          </w:p>
        </w:tc>
        <w:tc>
          <w:tcPr>
            <w:tcW w:w="0" w:type="auto"/>
            <w:hideMark/>
          </w:tcPr>
          <w:p w14:paraId="1270ED8F"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120</w:t>
            </w:r>
          </w:p>
        </w:tc>
        <w:tc>
          <w:tcPr>
            <w:tcW w:w="0" w:type="auto"/>
            <w:hideMark/>
          </w:tcPr>
          <w:p w14:paraId="115640A6"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Grey literature included</w:t>
            </w:r>
          </w:p>
        </w:tc>
      </w:tr>
      <w:tr w:rsidR="001245B5" w:rsidRPr="0057797C" w14:paraId="639FABF7" w14:textId="77777777" w:rsidTr="000C5973">
        <w:tc>
          <w:tcPr>
            <w:cnfStyle w:val="001000000000" w:firstRow="0" w:lastRow="0" w:firstColumn="1" w:lastColumn="0" w:oddVBand="0" w:evenVBand="0" w:oddHBand="0" w:evenHBand="0" w:firstRowFirstColumn="0" w:firstRowLastColumn="0" w:lastRowFirstColumn="0" w:lastRowLastColumn="0"/>
            <w:tcW w:w="0" w:type="auto"/>
            <w:hideMark/>
          </w:tcPr>
          <w:p w14:paraId="14D23A62"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IRENA / IEA / World Bank / IPCC websites</w:t>
            </w:r>
          </w:p>
        </w:tc>
        <w:tc>
          <w:tcPr>
            <w:tcW w:w="0" w:type="auto"/>
            <w:hideMark/>
          </w:tcPr>
          <w:p w14:paraId="6016888F"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Aug–Dec 2025</w:t>
            </w:r>
          </w:p>
        </w:tc>
        <w:tc>
          <w:tcPr>
            <w:tcW w:w="0" w:type="auto"/>
            <w:hideMark/>
          </w:tcPr>
          <w:p w14:paraId="5B81B050"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Manual search of reports</w:t>
            </w:r>
          </w:p>
        </w:tc>
        <w:tc>
          <w:tcPr>
            <w:tcW w:w="0" w:type="auto"/>
            <w:hideMark/>
          </w:tcPr>
          <w:p w14:paraId="1955C927"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80</w:t>
            </w:r>
          </w:p>
        </w:tc>
        <w:tc>
          <w:tcPr>
            <w:tcW w:w="0" w:type="auto"/>
            <w:hideMark/>
          </w:tcPr>
          <w:p w14:paraId="0B1299B7"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Authoritative non-peer-reviewed sources</w:t>
            </w:r>
          </w:p>
        </w:tc>
      </w:tr>
    </w:tbl>
    <w:p w14:paraId="7F94FC31" w14:textId="77777777" w:rsidR="0057797C" w:rsidRPr="0057797C" w:rsidRDefault="0057797C" w:rsidP="0057797C">
      <w:pPr>
        <w:spacing w:before="100" w:beforeAutospacing="1" w:after="100" w:afterAutospacing="1" w:line="240" w:lineRule="auto"/>
        <w:rPr>
          <w:rFonts w:ascii="Times New Roman" w:eastAsia="Times New Roman" w:hAnsi="Times New Roman"/>
          <w:b/>
          <w:bCs/>
          <w:kern w:val="0"/>
          <w:sz w:val="24"/>
          <w:szCs w:val="24"/>
          <w:lang w:val="en-GB" w:eastAsia="en-GB"/>
        </w:rPr>
      </w:pPr>
    </w:p>
    <w:p w14:paraId="119BDF5C" w14:textId="77777777" w:rsidR="0057797C" w:rsidRPr="0057797C" w:rsidRDefault="0057797C" w:rsidP="0057797C">
      <w:pPr>
        <w:spacing w:before="100" w:beforeAutospacing="1" w:after="100" w:afterAutospacing="1" w:line="240" w:lineRule="auto"/>
        <w:rPr>
          <w:rFonts w:ascii="Times New Roman" w:eastAsia="Times New Roman" w:hAnsi="Times New Roman"/>
          <w:b/>
          <w:bCs/>
          <w:kern w:val="0"/>
          <w:sz w:val="24"/>
          <w:szCs w:val="24"/>
          <w:lang w:val="en-GB" w:eastAsia="en-GB"/>
        </w:rPr>
      </w:pPr>
    </w:p>
    <w:p w14:paraId="23D49421" w14:textId="77777777" w:rsidR="0057797C" w:rsidRPr="0057797C" w:rsidRDefault="0057797C" w:rsidP="0057797C">
      <w:pPr>
        <w:spacing w:before="100" w:beforeAutospacing="1" w:after="100" w:afterAutospacing="1" w:line="240" w:lineRule="auto"/>
        <w:rPr>
          <w:rFonts w:ascii="Times New Roman" w:eastAsia="Times New Roman" w:hAnsi="Times New Roman"/>
          <w:b/>
          <w:bCs/>
          <w:kern w:val="0"/>
          <w:sz w:val="24"/>
          <w:szCs w:val="24"/>
          <w:lang w:val="en-GB" w:eastAsia="en-GB"/>
        </w:rPr>
      </w:pPr>
    </w:p>
    <w:p w14:paraId="2D43894F" w14:textId="77777777" w:rsidR="0057797C" w:rsidRPr="0057797C" w:rsidRDefault="0057797C" w:rsidP="0057797C">
      <w:pPr>
        <w:spacing w:before="100" w:beforeAutospacing="1" w:after="100" w:afterAutospacing="1" w:line="240" w:lineRule="auto"/>
        <w:rPr>
          <w:rFonts w:ascii="Times New Roman" w:eastAsia="Times New Roman" w:hAnsi="Times New Roman"/>
          <w:b/>
          <w:bCs/>
          <w:kern w:val="0"/>
          <w:sz w:val="24"/>
          <w:szCs w:val="24"/>
          <w:lang w:val="en-GB" w:eastAsia="en-GB"/>
        </w:rPr>
      </w:pPr>
    </w:p>
    <w:p w14:paraId="12F774F1" w14:textId="77777777" w:rsidR="0057797C" w:rsidRPr="0057797C" w:rsidRDefault="0057797C" w:rsidP="0057797C">
      <w:pPr>
        <w:spacing w:before="100" w:beforeAutospacing="1" w:after="100" w:afterAutospacing="1" w:line="240" w:lineRule="auto"/>
        <w:rPr>
          <w:rFonts w:ascii="Times New Roman" w:eastAsia="Times New Roman" w:hAnsi="Times New Roman"/>
          <w:b/>
          <w:bCs/>
          <w:kern w:val="0"/>
          <w:sz w:val="24"/>
          <w:szCs w:val="24"/>
          <w:lang w:val="en-GB" w:eastAsia="en-GB"/>
        </w:rPr>
      </w:pPr>
    </w:p>
    <w:p w14:paraId="3A4E01D7" w14:textId="77777777" w:rsidR="0057797C" w:rsidRPr="0057797C" w:rsidRDefault="0057797C" w:rsidP="0057797C">
      <w:pPr>
        <w:spacing w:before="100" w:beforeAutospacing="1" w:after="100" w:afterAutospacing="1" w:line="240" w:lineRule="auto"/>
        <w:rPr>
          <w:rFonts w:ascii="Times New Roman" w:eastAsia="Times New Roman" w:hAnsi="Times New Roman"/>
          <w:b/>
          <w:bCs/>
          <w:kern w:val="0"/>
          <w:sz w:val="24"/>
          <w:szCs w:val="24"/>
          <w:lang w:val="en-GB" w:eastAsia="en-GB"/>
        </w:rPr>
      </w:pPr>
    </w:p>
    <w:p w14:paraId="5DA96919" w14:textId="77777777" w:rsidR="0057797C" w:rsidRPr="0057797C" w:rsidRDefault="0057797C" w:rsidP="0057797C">
      <w:pPr>
        <w:spacing w:before="100" w:beforeAutospacing="1" w:after="100" w:afterAutospacing="1" w:line="240" w:lineRule="auto"/>
        <w:rPr>
          <w:rFonts w:ascii="Times New Roman" w:eastAsia="Times New Roman" w:hAnsi="Times New Roman"/>
          <w:b/>
          <w:bCs/>
          <w:kern w:val="0"/>
          <w:sz w:val="24"/>
          <w:szCs w:val="24"/>
          <w:lang w:val="en-GB" w:eastAsia="en-GB"/>
        </w:rPr>
      </w:pPr>
    </w:p>
    <w:p w14:paraId="077B4AF8" w14:textId="766F1713" w:rsidR="005A6665" w:rsidRPr="00C04145" w:rsidRDefault="0057797C" w:rsidP="00C04145">
      <w:pPr>
        <w:spacing w:before="100" w:beforeAutospacing="1" w:line="240" w:lineRule="auto"/>
        <w:rPr>
          <w:rFonts w:ascii="Times New Roman" w:eastAsia="Times New Roman" w:hAnsi="Times New Roman"/>
          <w:b/>
          <w:bCs/>
          <w:kern w:val="0"/>
          <w:sz w:val="24"/>
          <w:szCs w:val="24"/>
          <w:u w:val="single"/>
          <w:lang w:val="en-GB" w:eastAsia="en-GB"/>
        </w:rPr>
      </w:pPr>
      <w:r>
        <w:rPr>
          <w:rFonts w:ascii="Times New Roman" w:eastAsia="Times New Roman" w:hAnsi="Times New Roman"/>
          <w:b/>
          <w:bCs/>
          <w:kern w:val="0"/>
          <w:sz w:val="24"/>
          <w:szCs w:val="24"/>
          <w:lang w:val="en-GB" w:eastAsia="en-GB"/>
        </w:rPr>
        <w:br w:type="page"/>
      </w:r>
      <w:r w:rsidRPr="005A6665">
        <w:rPr>
          <w:rFonts w:ascii="Times New Roman" w:eastAsia="Times New Roman" w:hAnsi="Times New Roman"/>
          <w:b/>
          <w:bCs/>
          <w:kern w:val="0"/>
          <w:sz w:val="24"/>
          <w:szCs w:val="24"/>
          <w:u w:val="single"/>
          <w:lang w:val="en-GB" w:eastAsia="en-GB"/>
        </w:rPr>
        <w:lastRenderedPageBreak/>
        <w:t>Appendix B: Data Extraction Table</w:t>
      </w:r>
    </w:p>
    <w:tbl>
      <w:tblPr>
        <w:tblStyle w:val="GridTable41"/>
        <w:tblW w:w="9634" w:type="dxa"/>
        <w:tblLayout w:type="fixed"/>
        <w:tblLook w:val="04A0" w:firstRow="1" w:lastRow="0" w:firstColumn="1" w:lastColumn="0" w:noHBand="0" w:noVBand="1"/>
      </w:tblPr>
      <w:tblGrid>
        <w:gridCol w:w="1501"/>
        <w:gridCol w:w="762"/>
        <w:gridCol w:w="889"/>
        <w:gridCol w:w="1220"/>
        <w:gridCol w:w="1084"/>
        <w:gridCol w:w="1202"/>
        <w:gridCol w:w="1417"/>
        <w:gridCol w:w="1559"/>
      </w:tblGrid>
      <w:tr w:rsidR="001245B5" w:rsidRPr="0057797C" w14:paraId="2CDBD9DA" w14:textId="77777777" w:rsidTr="00000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hideMark/>
          </w:tcPr>
          <w:p w14:paraId="51EB3B5D" w14:textId="77777777" w:rsidR="0057797C" w:rsidRPr="0057797C" w:rsidRDefault="0057797C" w:rsidP="0057797C">
            <w:pPr>
              <w:spacing w:after="0" w:line="240" w:lineRule="auto"/>
              <w:jc w:val="center"/>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Study</w:t>
            </w:r>
          </w:p>
        </w:tc>
        <w:tc>
          <w:tcPr>
            <w:tcW w:w="762" w:type="dxa"/>
            <w:hideMark/>
          </w:tcPr>
          <w:p w14:paraId="48514643"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Year</w:t>
            </w:r>
          </w:p>
        </w:tc>
        <w:tc>
          <w:tcPr>
            <w:tcW w:w="889" w:type="dxa"/>
            <w:hideMark/>
          </w:tcPr>
          <w:p w14:paraId="71014C42"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Region / Location</w:t>
            </w:r>
          </w:p>
        </w:tc>
        <w:tc>
          <w:tcPr>
            <w:tcW w:w="1220" w:type="dxa"/>
            <w:hideMark/>
          </w:tcPr>
          <w:p w14:paraId="59D76A99"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Study Design</w:t>
            </w:r>
          </w:p>
        </w:tc>
        <w:tc>
          <w:tcPr>
            <w:tcW w:w="1084" w:type="dxa"/>
            <w:hideMark/>
          </w:tcPr>
          <w:p w14:paraId="38215BB4"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Sample Size / Scope</w:t>
            </w:r>
          </w:p>
        </w:tc>
        <w:tc>
          <w:tcPr>
            <w:tcW w:w="1202" w:type="dxa"/>
            <w:hideMark/>
          </w:tcPr>
          <w:p w14:paraId="72C7E659"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Mini-Grid Features</w:t>
            </w:r>
          </w:p>
        </w:tc>
        <w:tc>
          <w:tcPr>
            <w:tcW w:w="1417" w:type="dxa"/>
            <w:hideMark/>
          </w:tcPr>
          <w:p w14:paraId="79DCDBFD"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Climate Resilience Measures</w:t>
            </w:r>
          </w:p>
        </w:tc>
        <w:tc>
          <w:tcPr>
            <w:tcW w:w="1559" w:type="dxa"/>
            <w:hideMark/>
          </w:tcPr>
          <w:p w14:paraId="28F07C43"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Key Findings</w:t>
            </w:r>
          </w:p>
        </w:tc>
      </w:tr>
      <w:tr w:rsidR="001245B5" w:rsidRPr="0057797C" w14:paraId="20BBE58B" w14:textId="77777777" w:rsidTr="0000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hideMark/>
          </w:tcPr>
          <w:p w14:paraId="09414CED"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Kumar et al.</w:t>
            </w:r>
          </w:p>
        </w:tc>
        <w:tc>
          <w:tcPr>
            <w:tcW w:w="762" w:type="dxa"/>
            <w:hideMark/>
          </w:tcPr>
          <w:p w14:paraId="2930D393" w14:textId="69F0C103" w:rsidR="0057797C" w:rsidRPr="0057797C" w:rsidRDefault="00000295"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Pr>
                <w:rFonts w:ascii="Times New Roman" w:eastAsia="Times New Roman" w:hAnsi="Times New Roman"/>
                <w:kern w:val="0"/>
                <w:sz w:val="24"/>
                <w:szCs w:val="24"/>
                <w:lang w:val="en-GB" w:eastAsia="en-GB"/>
              </w:rPr>
              <w:t>2021</w:t>
            </w:r>
          </w:p>
        </w:tc>
        <w:tc>
          <w:tcPr>
            <w:tcW w:w="889" w:type="dxa"/>
            <w:hideMark/>
          </w:tcPr>
          <w:p w14:paraId="51318013"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India</w:t>
            </w:r>
          </w:p>
        </w:tc>
        <w:tc>
          <w:tcPr>
            <w:tcW w:w="1220" w:type="dxa"/>
            <w:hideMark/>
          </w:tcPr>
          <w:p w14:paraId="730B324A"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Case study</w:t>
            </w:r>
          </w:p>
        </w:tc>
        <w:tc>
          <w:tcPr>
            <w:tcW w:w="1084" w:type="dxa"/>
            <w:hideMark/>
          </w:tcPr>
          <w:p w14:paraId="0F953579"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120 mini-grids</w:t>
            </w:r>
          </w:p>
        </w:tc>
        <w:tc>
          <w:tcPr>
            <w:tcW w:w="1202" w:type="dxa"/>
            <w:hideMark/>
          </w:tcPr>
          <w:p w14:paraId="6A312EB5"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Hybrid solar-wind, battery storage</w:t>
            </w:r>
          </w:p>
        </w:tc>
        <w:tc>
          <w:tcPr>
            <w:tcW w:w="1417" w:type="dxa"/>
            <w:hideMark/>
          </w:tcPr>
          <w:p w14:paraId="7BD9C817"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Reduced downtime under extreme weather</w:t>
            </w:r>
          </w:p>
        </w:tc>
        <w:tc>
          <w:tcPr>
            <w:tcW w:w="1559" w:type="dxa"/>
            <w:hideMark/>
          </w:tcPr>
          <w:p w14:paraId="6CDE2199"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Hybrid systems reduced downtime by 18%</w:t>
            </w:r>
          </w:p>
        </w:tc>
      </w:tr>
      <w:tr w:rsidR="001245B5" w:rsidRPr="0057797C" w14:paraId="7F7E393C" w14:textId="77777777" w:rsidTr="00000295">
        <w:tc>
          <w:tcPr>
            <w:cnfStyle w:val="001000000000" w:firstRow="0" w:lastRow="0" w:firstColumn="1" w:lastColumn="0" w:oddVBand="0" w:evenVBand="0" w:oddHBand="0" w:evenHBand="0" w:firstRowFirstColumn="0" w:firstRowLastColumn="0" w:lastRowFirstColumn="0" w:lastRowLastColumn="0"/>
            <w:tcW w:w="1501" w:type="dxa"/>
            <w:hideMark/>
          </w:tcPr>
          <w:p w14:paraId="2BBCD853"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Beza et al.</w:t>
            </w:r>
          </w:p>
        </w:tc>
        <w:tc>
          <w:tcPr>
            <w:tcW w:w="762" w:type="dxa"/>
            <w:hideMark/>
          </w:tcPr>
          <w:p w14:paraId="06C3BA34"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2021</w:t>
            </w:r>
          </w:p>
        </w:tc>
        <w:tc>
          <w:tcPr>
            <w:tcW w:w="889" w:type="dxa"/>
            <w:hideMark/>
          </w:tcPr>
          <w:p w14:paraId="1DCB0C66"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Ethiopia</w:t>
            </w:r>
          </w:p>
        </w:tc>
        <w:tc>
          <w:tcPr>
            <w:tcW w:w="1220" w:type="dxa"/>
            <w:hideMark/>
          </w:tcPr>
          <w:p w14:paraId="11A75EAD"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Techno-economic analysis</w:t>
            </w:r>
          </w:p>
        </w:tc>
        <w:tc>
          <w:tcPr>
            <w:tcW w:w="1084" w:type="dxa"/>
            <w:hideMark/>
          </w:tcPr>
          <w:p w14:paraId="5CE7E079"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1 case study</w:t>
            </w:r>
          </w:p>
        </w:tc>
        <w:tc>
          <w:tcPr>
            <w:tcW w:w="1202" w:type="dxa"/>
            <w:hideMark/>
          </w:tcPr>
          <w:p w14:paraId="469B62B0"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Hybrid solar-wind mini-grid</w:t>
            </w:r>
          </w:p>
        </w:tc>
        <w:tc>
          <w:tcPr>
            <w:tcW w:w="1417" w:type="dxa"/>
            <w:hideMark/>
          </w:tcPr>
          <w:p w14:paraId="5225E6E2"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Climate risk integration</w:t>
            </w:r>
          </w:p>
        </w:tc>
        <w:tc>
          <w:tcPr>
            <w:tcW w:w="1559" w:type="dxa"/>
            <w:hideMark/>
          </w:tcPr>
          <w:p w14:paraId="131749FD"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Enhanced operational resilience</w:t>
            </w:r>
          </w:p>
        </w:tc>
      </w:tr>
      <w:tr w:rsidR="001245B5" w:rsidRPr="0057797C" w14:paraId="268F3104" w14:textId="77777777" w:rsidTr="0000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hideMark/>
          </w:tcPr>
          <w:p w14:paraId="2866BA32"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Bhattacharyya et al.</w:t>
            </w:r>
          </w:p>
        </w:tc>
        <w:tc>
          <w:tcPr>
            <w:tcW w:w="762" w:type="dxa"/>
            <w:hideMark/>
          </w:tcPr>
          <w:p w14:paraId="0801CC56"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2018</w:t>
            </w:r>
          </w:p>
        </w:tc>
        <w:tc>
          <w:tcPr>
            <w:tcW w:w="889" w:type="dxa"/>
            <w:hideMark/>
          </w:tcPr>
          <w:p w14:paraId="4808AD3F"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India</w:t>
            </w:r>
          </w:p>
        </w:tc>
        <w:tc>
          <w:tcPr>
            <w:tcW w:w="1220" w:type="dxa"/>
            <w:hideMark/>
          </w:tcPr>
          <w:p w14:paraId="0FEB37F6"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Survey</w:t>
            </w:r>
          </w:p>
        </w:tc>
        <w:tc>
          <w:tcPr>
            <w:tcW w:w="1084" w:type="dxa"/>
            <w:hideMark/>
          </w:tcPr>
          <w:p w14:paraId="4DCE8553"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24 mini-grids</w:t>
            </w:r>
          </w:p>
        </w:tc>
        <w:tc>
          <w:tcPr>
            <w:tcW w:w="1202" w:type="dxa"/>
            <w:hideMark/>
          </w:tcPr>
          <w:p w14:paraId="06DD9A65"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Community-owned systems</w:t>
            </w:r>
          </w:p>
        </w:tc>
        <w:tc>
          <w:tcPr>
            <w:tcW w:w="1417" w:type="dxa"/>
            <w:hideMark/>
          </w:tcPr>
          <w:p w14:paraId="7E78D4FA"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Governance, early community engagement</w:t>
            </w:r>
          </w:p>
        </w:tc>
        <w:tc>
          <w:tcPr>
            <w:tcW w:w="1559" w:type="dxa"/>
            <w:hideMark/>
          </w:tcPr>
          <w:p w14:paraId="7C8F752D"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Strong governance improved sustainability</w:t>
            </w:r>
          </w:p>
        </w:tc>
      </w:tr>
      <w:tr w:rsidR="001245B5" w:rsidRPr="0057797C" w14:paraId="146E205F" w14:textId="77777777" w:rsidTr="00000295">
        <w:tc>
          <w:tcPr>
            <w:cnfStyle w:val="001000000000" w:firstRow="0" w:lastRow="0" w:firstColumn="1" w:lastColumn="0" w:oddVBand="0" w:evenVBand="0" w:oddHBand="0" w:evenHBand="0" w:firstRowFirstColumn="0" w:firstRowLastColumn="0" w:lastRowFirstColumn="0" w:lastRowLastColumn="0"/>
            <w:tcW w:w="1501" w:type="dxa"/>
            <w:hideMark/>
          </w:tcPr>
          <w:p w14:paraId="5E582F0F"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Kinhonhi</w:t>
            </w:r>
          </w:p>
        </w:tc>
        <w:tc>
          <w:tcPr>
            <w:tcW w:w="762" w:type="dxa"/>
            <w:hideMark/>
          </w:tcPr>
          <w:p w14:paraId="78122CA9"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2019</w:t>
            </w:r>
          </w:p>
        </w:tc>
        <w:tc>
          <w:tcPr>
            <w:tcW w:w="889" w:type="dxa"/>
            <w:hideMark/>
          </w:tcPr>
          <w:p w14:paraId="6C4843E8"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Uganda</w:t>
            </w:r>
          </w:p>
        </w:tc>
        <w:tc>
          <w:tcPr>
            <w:tcW w:w="1220" w:type="dxa"/>
            <w:hideMark/>
          </w:tcPr>
          <w:p w14:paraId="2B620681"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Company survey</w:t>
            </w:r>
          </w:p>
        </w:tc>
        <w:tc>
          <w:tcPr>
            <w:tcW w:w="1084" w:type="dxa"/>
            <w:hideMark/>
          </w:tcPr>
          <w:p w14:paraId="6AA05A01"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4 mini-grid companies</w:t>
            </w:r>
          </w:p>
        </w:tc>
        <w:tc>
          <w:tcPr>
            <w:tcW w:w="1202" w:type="dxa"/>
            <w:hideMark/>
          </w:tcPr>
          <w:p w14:paraId="24A9BBB8"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Institutional review</w:t>
            </w:r>
          </w:p>
        </w:tc>
        <w:tc>
          <w:tcPr>
            <w:tcW w:w="1417" w:type="dxa"/>
            <w:hideMark/>
          </w:tcPr>
          <w:p w14:paraId="1E935624"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Regulatory environment</w:t>
            </w:r>
          </w:p>
        </w:tc>
        <w:tc>
          <w:tcPr>
            <w:tcW w:w="1559" w:type="dxa"/>
            <w:hideMark/>
          </w:tcPr>
          <w:p w14:paraId="155C63D2"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Regulatory gaps reduced financial performance</w:t>
            </w:r>
          </w:p>
        </w:tc>
      </w:tr>
      <w:tr w:rsidR="001245B5" w:rsidRPr="0057797C" w14:paraId="48352D58" w14:textId="77777777" w:rsidTr="0000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hideMark/>
          </w:tcPr>
          <w:p w14:paraId="5FDC8F03"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Greacen et al.</w:t>
            </w:r>
          </w:p>
        </w:tc>
        <w:tc>
          <w:tcPr>
            <w:tcW w:w="762" w:type="dxa"/>
            <w:hideMark/>
          </w:tcPr>
          <w:p w14:paraId="2B675044"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2020</w:t>
            </w:r>
          </w:p>
        </w:tc>
        <w:tc>
          <w:tcPr>
            <w:tcW w:w="889" w:type="dxa"/>
            <w:hideMark/>
          </w:tcPr>
          <w:p w14:paraId="357F02F1"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Myanmar</w:t>
            </w:r>
          </w:p>
        </w:tc>
        <w:tc>
          <w:tcPr>
            <w:tcW w:w="1220" w:type="dxa"/>
            <w:hideMark/>
          </w:tcPr>
          <w:p w14:paraId="64A0A0E7"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Policy analysis</w:t>
            </w:r>
          </w:p>
        </w:tc>
        <w:tc>
          <w:tcPr>
            <w:tcW w:w="1084" w:type="dxa"/>
            <w:hideMark/>
          </w:tcPr>
          <w:p w14:paraId="0149B775"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National review</w:t>
            </w:r>
          </w:p>
        </w:tc>
        <w:tc>
          <w:tcPr>
            <w:tcW w:w="1202" w:type="dxa"/>
            <w:hideMark/>
          </w:tcPr>
          <w:p w14:paraId="040FA873"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National policy review</w:t>
            </w:r>
          </w:p>
        </w:tc>
        <w:tc>
          <w:tcPr>
            <w:tcW w:w="1417" w:type="dxa"/>
            <w:hideMark/>
          </w:tcPr>
          <w:p w14:paraId="67BDE5F2"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Rural electrification policies</w:t>
            </w:r>
          </w:p>
        </w:tc>
        <w:tc>
          <w:tcPr>
            <w:tcW w:w="1559" w:type="dxa"/>
            <w:hideMark/>
          </w:tcPr>
          <w:p w14:paraId="7B2B53A7"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Inconsistent policies hinder scaling</w:t>
            </w:r>
          </w:p>
        </w:tc>
      </w:tr>
      <w:tr w:rsidR="001245B5" w:rsidRPr="0057797C" w14:paraId="0F248B3D" w14:textId="77777777" w:rsidTr="00000295">
        <w:tc>
          <w:tcPr>
            <w:cnfStyle w:val="001000000000" w:firstRow="0" w:lastRow="0" w:firstColumn="1" w:lastColumn="0" w:oddVBand="0" w:evenVBand="0" w:oddHBand="0" w:evenHBand="0" w:firstRowFirstColumn="0" w:firstRowLastColumn="0" w:lastRowFirstColumn="0" w:lastRowLastColumn="0"/>
            <w:tcW w:w="1501" w:type="dxa"/>
            <w:hideMark/>
          </w:tcPr>
          <w:p w14:paraId="3B197697"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Stinder et al.</w:t>
            </w:r>
          </w:p>
        </w:tc>
        <w:tc>
          <w:tcPr>
            <w:tcW w:w="762" w:type="dxa"/>
            <w:hideMark/>
          </w:tcPr>
          <w:p w14:paraId="5AE74EBA"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2022</w:t>
            </w:r>
          </w:p>
        </w:tc>
        <w:tc>
          <w:tcPr>
            <w:tcW w:w="889" w:type="dxa"/>
            <w:hideMark/>
          </w:tcPr>
          <w:p w14:paraId="76C42789"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Ghana</w:t>
            </w:r>
          </w:p>
        </w:tc>
        <w:tc>
          <w:tcPr>
            <w:tcW w:w="1220" w:type="dxa"/>
            <w:hideMark/>
          </w:tcPr>
          <w:p w14:paraId="5E2D972C"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Quantitative</w:t>
            </w:r>
          </w:p>
        </w:tc>
        <w:tc>
          <w:tcPr>
            <w:tcW w:w="1084" w:type="dxa"/>
            <w:hideMark/>
          </w:tcPr>
          <w:p w14:paraId="160D5C1D"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1 mini-grid</w:t>
            </w:r>
          </w:p>
        </w:tc>
        <w:tc>
          <w:tcPr>
            <w:tcW w:w="1202" w:type="dxa"/>
            <w:hideMark/>
          </w:tcPr>
          <w:p w14:paraId="199371F2"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Solar PV</w:t>
            </w:r>
          </w:p>
        </w:tc>
        <w:tc>
          <w:tcPr>
            <w:tcW w:w="1417" w:type="dxa"/>
            <w:hideMark/>
          </w:tcPr>
          <w:p w14:paraId="4887073D"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CO₂ emissions reduction</w:t>
            </w:r>
          </w:p>
        </w:tc>
        <w:tc>
          <w:tcPr>
            <w:tcW w:w="1559" w:type="dxa"/>
            <w:hideMark/>
          </w:tcPr>
          <w:p w14:paraId="7F2D7D15"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Emissions ≈0.055 kg CO₂/kWh</w:t>
            </w:r>
          </w:p>
        </w:tc>
      </w:tr>
      <w:tr w:rsidR="001245B5" w:rsidRPr="0057797C" w14:paraId="56D6F987" w14:textId="77777777" w:rsidTr="0000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hideMark/>
          </w:tcPr>
          <w:p w14:paraId="07FE5956"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Frontiers Energy Research</w:t>
            </w:r>
          </w:p>
        </w:tc>
        <w:tc>
          <w:tcPr>
            <w:tcW w:w="762" w:type="dxa"/>
            <w:hideMark/>
          </w:tcPr>
          <w:p w14:paraId="43B5F83B"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2024</w:t>
            </w:r>
          </w:p>
        </w:tc>
        <w:tc>
          <w:tcPr>
            <w:tcW w:w="889" w:type="dxa"/>
            <w:hideMark/>
          </w:tcPr>
          <w:p w14:paraId="3700CDEB"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Nigeria</w:t>
            </w:r>
          </w:p>
        </w:tc>
        <w:tc>
          <w:tcPr>
            <w:tcW w:w="1220" w:type="dxa"/>
            <w:hideMark/>
          </w:tcPr>
          <w:p w14:paraId="34E88C16"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National review</w:t>
            </w:r>
          </w:p>
        </w:tc>
        <w:tc>
          <w:tcPr>
            <w:tcW w:w="1084" w:type="dxa"/>
            <w:hideMark/>
          </w:tcPr>
          <w:p w14:paraId="5852E80E"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Multiple projects</w:t>
            </w:r>
          </w:p>
        </w:tc>
        <w:tc>
          <w:tcPr>
            <w:tcW w:w="1202" w:type="dxa"/>
            <w:hideMark/>
          </w:tcPr>
          <w:p w14:paraId="7F9D4689"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Hybrid mini-grids</w:t>
            </w:r>
          </w:p>
        </w:tc>
        <w:tc>
          <w:tcPr>
            <w:tcW w:w="1417" w:type="dxa"/>
            <w:hideMark/>
          </w:tcPr>
          <w:p w14:paraId="4FA7F3B9"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Financing mechanisms</w:t>
            </w:r>
          </w:p>
        </w:tc>
        <w:tc>
          <w:tcPr>
            <w:tcW w:w="1559" w:type="dxa"/>
            <w:hideMark/>
          </w:tcPr>
          <w:p w14:paraId="793DE715"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Limited access to concessional finance and risk capital</w:t>
            </w:r>
          </w:p>
        </w:tc>
      </w:tr>
    </w:tbl>
    <w:p w14:paraId="0A5DA1E8" w14:textId="77777777" w:rsidR="00000295" w:rsidRDefault="00000295" w:rsidP="001B73F0">
      <w:pPr>
        <w:spacing w:before="100" w:beforeAutospacing="1" w:after="0" w:line="240" w:lineRule="auto"/>
        <w:jc w:val="center"/>
        <w:rPr>
          <w:rFonts w:ascii="Times New Roman" w:eastAsia="Times New Roman" w:hAnsi="Times New Roman"/>
          <w:b/>
          <w:bCs/>
          <w:kern w:val="0"/>
          <w:sz w:val="24"/>
          <w:szCs w:val="24"/>
          <w:u w:val="single"/>
          <w:lang w:val="en-GB" w:eastAsia="en-GB"/>
        </w:rPr>
      </w:pPr>
    </w:p>
    <w:p w14:paraId="204C5F5B" w14:textId="58505F28" w:rsidR="00000295" w:rsidRDefault="00000295" w:rsidP="001B73F0">
      <w:pPr>
        <w:spacing w:before="100" w:beforeAutospacing="1" w:after="0" w:line="240" w:lineRule="auto"/>
        <w:jc w:val="center"/>
        <w:rPr>
          <w:rFonts w:ascii="Times New Roman" w:eastAsia="Times New Roman" w:hAnsi="Times New Roman"/>
          <w:b/>
          <w:bCs/>
          <w:kern w:val="0"/>
          <w:sz w:val="24"/>
          <w:szCs w:val="24"/>
          <w:u w:val="single"/>
          <w:lang w:val="en-GB" w:eastAsia="en-GB"/>
        </w:rPr>
      </w:pPr>
    </w:p>
    <w:p w14:paraId="1E5F73E0" w14:textId="1F46984D" w:rsidR="00AC6EFD" w:rsidRDefault="00AC6EFD" w:rsidP="001B73F0">
      <w:pPr>
        <w:spacing w:before="100" w:beforeAutospacing="1" w:after="0" w:line="240" w:lineRule="auto"/>
        <w:jc w:val="center"/>
        <w:rPr>
          <w:rFonts w:ascii="Times New Roman" w:eastAsia="Times New Roman" w:hAnsi="Times New Roman"/>
          <w:b/>
          <w:bCs/>
          <w:kern w:val="0"/>
          <w:sz w:val="24"/>
          <w:szCs w:val="24"/>
          <w:u w:val="single"/>
          <w:lang w:val="en-GB" w:eastAsia="en-GB"/>
        </w:rPr>
      </w:pPr>
    </w:p>
    <w:p w14:paraId="724D79CB" w14:textId="1BA60A37" w:rsidR="00AC6EFD" w:rsidRDefault="00AC6EFD" w:rsidP="001B73F0">
      <w:pPr>
        <w:spacing w:before="100" w:beforeAutospacing="1" w:after="0" w:line="240" w:lineRule="auto"/>
        <w:jc w:val="center"/>
        <w:rPr>
          <w:rFonts w:ascii="Times New Roman" w:eastAsia="Times New Roman" w:hAnsi="Times New Roman"/>
          <w:b/>
          <w:bCs/>
          <w:kern w:val="0"/>
          <w:sz w:val="24"/>
          <w:szCs w:val="24"/>
          <w:u w:val="single"/>
          <w:lang w:val="en-GB" w:eastAsia="en-GB"/>
        </w:rPr>
      </w:pPr>
    </w:p>
    <w:p w14:paraId="4BE29FBE" w14:textId="77777777" w:rsidR="00C04145" w:rsidRDefault="00C04145" w:rsidP="001B73F0">
      <w:pPr>
        <w:spacing w:before="100" w:beforeAutospacing="1" w:after="0" w:line="240" w:lineRule="auto"/>
        <w:jc w:val="center"/>
        <w:rPr>
          <w:rFonts w:ascii="Times New Roman" w:eastAsia="Times New Roman" w:hAnsi="Times New Roman"/>
          <w:b/>
          <w:bCs/>
          <w:kern w:val="0"/>
          <w:sz w:val="24"/>
          <w:szCs w:val="24"/>
          <w:u w:val="single"/>
          <w:lang w:val="en-GB" w:eastAsia="en-GB"/>
        </w:rPr>
      </w:pPr>
    </w:p>
    <w:p w14:paraId="4BF74B5B" w14:textId="279548D9" w:rsidR="001B73F0" w:rsidRPr="00C04145" w:rsidRDefault="0057797C" w:rsidP="00C04145">
      <w:pPr>
        <w:spacing w:before="100" w:beforeAutospacing="1" w:line="240" w:lineRule="auto"/>
        <w:rPr>
          <w:rFonts w:ascii="Times New Roman" w:eastAsia="Times New Roman" w:hAnsi="Times New Roman"/>
          <w:b/>
          <w:bCs/>
          <w:kern w:val="0"/>
          <w:sz w:val="24"/>
          <w:szCs w:val="24"/>
          <w:u w:val="single"/>
          <w:lang w:val="en-GB" w:eastAsia="en-GB"/>
        </w:rPr>
      </w:pPr>
      <w:r w:rsidRPr="001B73F0">
        <w:rPr>
          <w:rFonts w:ascii="Times New Roman" w:eastAsia="Times New Roman" w:hAnsi="Times New Roman"/>
          <w:b/>
          <w:bCs/>
          <w:kern w:val="0"/>
          <w:sz w:val="24"/>
          <w:szCs w:val="24"/>
          <w:u w:val="single"/>
          <w:lang w:val="en-GB" w:eastAsia="en-GB"/>
        </w:rPr>
        <w:lastRenderedPageBreak/>
        <w:t>Appendix C: Quality Assessment Summary</w:t>
      </w:r>
    </w:p>
    <w:tbl>
      <w:tblPr>
        <w:tblStyle w:val="GridTable41"/>
        <w:tblW w:w="0" w:type="auto"/>
        <w:tblLook w:val="04A0" w:firstRow="1" w:lastRow="0" w:firstColumn="1" w:lastColumn="0" w:noHBand="0" w:noVBand="1"/>
      </w:tblPr>
      <w:tblGrid>
        <w:gridCol w:w="2186"/>
        <w:gridCol w:w="1515"/>
        <w:gridCol w:w="1219"/>
        <w:gridCol w:w="1243"/>
        <w:gridCol w:w="3187"/>
      </w:tblGrid>
      <w:tr w:rsidR="001245B5" w:rsidRPr="0057797C" w14:paraId="004DED09" w14:textId="77777777" w:rsidTr="000C5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691BD5" w14:textId="77777777" w:rsidR="0057797C" w:rsidRPr="0057797C" w:rsidRDefault="0057797C" w:rsidP="0057797C">
            <w:pPr>
              <w:spacing w:after="0" w:line="240" w:lineRule="auto"/>
              <w:jc w:val="center"/>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Study</w:t>
            </w:r>
          </w:p>
        </w:tc>
        <w:tc>
          <w:tcPr>
            <w:tcW w:w="0" w:type="auto"/>
            <w:hideMark/>
          </w:tcPr>
          <w:p w14:paraId="445DAE4B"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Design</w:t>
            </w:r>
          </w:p>
        </w:tc>
        <w:tc>
          <w:tcPr>
            <w:tcW w:w="0" w:type="auto"/>
            <w:hideMark/>
          </w:tcPr>
          <w:p w14:paraId="58F44D15"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Tool Applied</w:t>
            </w:r>
          </w:p>
        </w:tc>
        <w:tc>
          <w:tcPr>
            <w:tcW w:w="0" w:type="auto"/>
            <w:hideMark/>
          </w:tcPr>
          <w:p w14:paraId="2F3E16AA"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Quality Score</w:t>
            </w:r>
          </w:p>
        </w:tc>
        <w:tc>
          <w:tcPr>
            <w:tcW w:w="0" w:type="auto"/>
            <w:hideMark/>
          </w:tcPr>
          <w:p w14:paraId="7BF85125" w14:textId="77777777" w:rsidR="0057797C" w:rsidRPr="0057797C" w:rsidRDefault="0057797C" w:rsidP="005779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Key Notes</w:t>
            </w:r>
          </w:p>
        </w:tc>
      </w:tr>
      <w:tr w:rsidR="001245B5" w:rsidRPr="0057797C" w14:paraId="2ADB2F5A" w14:textId="77777777" w:rsidTr="000C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8B17A9"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Kumar et al.</w:t>
            </w:r>
          </w:p>
        </w:tc>
        <w:tc>
          <w:tcPr>
            <w:tcW w:w="0" w:type="auto"/>
            <w:hideMark/>
          </w:tcPr>
          <w:p w14:paraId="1B177A60"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Quantitative</w:t>
            </w:r>
          </w:p>
        </w:tc>
        <w:tc>
          <w:tcPr>
            <w:tcW w:w="0" w:type="auto"/>
            <w:hideMark/>
          </w:tcPr>
          <w:p w14:paraId="6EBE7DC7"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JBI</w:t>
            </w:r>
          </w:p>
        </w:tc>
        <w:tc>
          <w:tcPr>
            <w:tcW w:w="0" w:type="auto"/>
            <w:hideMark/>
          </w:tcPr>
          <w:p w14:paraId="1CEC3162"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High</w:t>
            </w:r>
          </w:p>
        </w:tc>
        <w:tc>
          <w:tcPr>
            <w:tcW w:w="0" w:type="auto"/>
            <w:hideMark/>
          </w:tcPr>
          <w:p w14:paraId="2C2F3A45"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Strong sampling, robust data collection</w:t>
            </w:r>
          </w:p>
        </w:tc>
      </w:tr>
      <w:tr w:rsidR="001245B5" w:rsidRPr="0057797C" w14:paraId="7BD22C42" w14:textId="77777777" w:rsidTr="000C5973">
        <w:tc>
          <w:tcPr>
            <w:cnfStyle w:val="001000000000" w:firstRow="0" w:lastRow="0" w:firstColumn="1" w:lastColumn="0" w:oddVBand="0" w:evenVBand="0" w:oddHBand="0" w:evenHBand="0" w:firstRowFirstColumn="0" w:firstRowLastColumn="0" w:lastRowFirstColumn="0" w:lastRowLastColumn="0"/>
            <w:tcW w:w="0" w:type="auto"/>
            <w:hideMark/>
          </w:tcPr>
          <w:p w14:paraId="1C96F582"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Beza et al.</w:t>
            </w:r>
          </w:p>
        </w:tc>
        <w:tc>
          <w:tcPr>
            <w:tcW w:w="0" w:type="auto"/>
            <w:hideMark/>
          </w:tcPr>
          <w:p w14:paraId="66554F18"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Mixed methods</w:t>
            </w:r>
          </w:p>
        </w:tc>
        <w:tc>
          <w:tcPr>
            <w:tcW w:w="0" w:type="auto"/>
            <w:hideMark/>
          </w:tcPr>
          <w:p w14:paraId="71C847DF"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MMAT</w:t>
            </w:r>
          </w:p>
        </w:tc>
        <w:tc>
          <w:tcPr>
            <w:tcW w:w="0" w:type="auto"/>
            <w:hideMark/>
          </w:tcPr>
          <w:p w14:paraId="2B7A3564"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High</w:t>
            </w:r>
          </w:p>
        </w:tc>
        <w:tc>
          <w:tcPr>
            <w:tcW w:w="0" w:type="auto"/>
            <w:hideMark/>
          </w:tcPr>
          <w:p w14:paraId="0A5F0F14"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Comprehensive techno-economic + qualitative integration</w:t>
            </w:r>
          </w:p>
        </w:tc>
      </w:tr>
      <w:tr w:rsidR="001245B5" w:rsidRPr="0057797C" w14:paraId="60673C9B" w14:textId="77777777" w:rsidTr="000C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F8D072"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Bhattacharyya et al.</w:t>
            </w:r>
          </w:p>
        </w:tc>
        <w:tc>
          <w:tcPr>
            <w:tcW w:w="0" w:type="auto"/>
            <w:hideMark/>
          </w:tcPr>
          <w:p w14:paraId="0C61719F"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Quantitative</w:t>
            </w:r>
          </w:p>
        </w:tc>
        <w:tc>
          <w:tcPr>
            <w:tcW w:w="0" w:type="auto"/>
            <w:hideMark/>
          </w:tcPr>
          <w:p w14:paraId="115089D3"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JBI</w:t>
            </w:r>
          </w:p>
        </w:tc>
        <w:tc>
          <w:tcPr>
            <w:tcW w:w="0" w:type="auto"/>
            <w:hideMark/>
          </w:tcPr>
          <w:p w14:paraId="59C42BCF"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Medium</w:t>
            </w:r>
          </w:p>
        </w:tc>
        <w:tc>
          <w:tcPr>
            <w:tcW w:w="0" w:type="auto"/>
            <w:hideMark/>
          </w:tcPr>
          <w:p w14:paraId="55D17AF7"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Limited follow-up, but clear methodology</w:t>
            </w:r>
          </w:p>
        </w:tc>
      </w:tr>
      <w:tr w:rsidR="001245B5" w:rsidRPr="0057797C" w14:paraId="288774C5" w14:textId="77777777" w:rsidTr="000C5973">
        <w:tc>
          <w:tcPr>
            <w:cnfStyle w:val="001000000000" w:firstRow="0" w:lastRow="0" w:firstColumn="1" w:lastColumn="0" w:oddVBand="0" w:evenVBand="0" w:oddHBand="0" w:evenHBand="0" w:firstRowFirstColumn="0" w:firstRowLastColumn="0" w:lastRowFirstColumn="0" w:lastRowLastColumn="0"/>
            <w:tcW w:w="0" w:type="auto"/>
            <w:hideMark/>
          </w:tcPr>
          <w:p w14:paraId="738CEF35"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Kinhonhi</w:t>
            </w:r>
          </w:p>
        </w:tc>
        <w:tc>
          <w:tcPr>
            <w:tcW w:w="0" w:type="auto"/>
            <w:hideMark/>
          </w:tcPr>
          <w:p w14:paraId="00C1A97C"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Qualitative</w:t>
            </w:r>
          </w:p>
        </w:tc>
        <w:tc>
          <w:tcPr>
            <w:tcW w:w="0" w:type="auto"/>
            <w:hideMark/>
          </w:tcPr>
          <w:p w14:paraId="208FBCCF"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CASP</w:t>
            </w:r>
          </w:p>
        </w:tc>
        <w:tc>
          <w:tcPr>
            <w:tcW w:w="0" w:type="auto"/>
            <w:hideMark/>
          </w:tcPr>
          <w:p w14:paraId="454B24F8"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Medium</w:t>
            </w:r>
          </w:p>
        </w:tc>
        <w:tc>
          <w:tcPr>
            <w:tcW w:w="0" w:type="auto"/>
            <w:hideMark/>
          </w:tcPr>
          <w:p w14:paraId="6ED62647"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Strong context description, limited triangulation</w:t>
            </w:r>
          </w:p>
        </w:tc>
      </w:tr>
      <w:tr w:rsidR="001245B5" w:rsidRPr="0057797C" w14:paraId="6BBFC044" w14:textId="77777777" w:rsidTr="000C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977085"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Greacen et al.</w:t>
            </w:r>
          </w:p>
        </w:tc>
        <w:tc>
          <w:tcPr>
            <w:tcW w:w="0" w:type="auto"/>
            <w:hideMark/>
          </w:tcPr>
          <w:p w14:paraId="1FC49F0C"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Qualitative</w:t>
            </w:r>
          </w:p>
        </w:tc>
        <w:tc>
          <w:tcPr>
            <w:tcW w:w="0" w:type="auto"/>
            <w:hideMark/>
          </w:tcPr>
          <w:p w14:paraId="5516453B"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CASP</w:t>
            </w:r>
          </w:p>
        </w:tc>
        <w:tc>
          <w:tcPr>
            <w:tcW w:w="0" w:type="auto"/>
            <w:hideMark/>
          </w:tcPr>
          <w:p w14:paraId="526AD946"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High</w:t>
            </w:r>
          </w:p>
        </w:tc>
        <w:tc>
          <w:tcPr>
            <w:tcW w:w="0" w:type="auto"/>
            <w:hideMark/>
          </w:tcPr>
          <w:p w14:paraId="681E4165"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Rigorous policy review, well-documented methods</w:t>
            </w:r>
          </w:p>
        </w:tc>
      </w:tr>
      <w:tr w:rsidR="001245B5" w:rsidRPr="0057797C" w14:paraId="19786DC1" w14:textId="77777777" w:rsidTr="000C5973">
        <w:tc>
          <w:tcPr>
            <w:cnfStyle w:val="001000000000" w:firstRow="0" w:lastRow="0" w:firstColumn="1" w:lastColumn="0" w:oddVBand="0" w:evenVBand="0" w:oddHBand="0" w:evenHBand="0" w:firstRowFirstColumn="0" w:firstRowLastColumn="0" w:lastRowFirstColumn="0" w:lastRowLastColumn="0"/>
            <w:tcW w:w="0" w:type="auto"/>
            <w:hideMark/>
          </w:tcPr>
          <w:p w14:paraId="363FE538"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Stinder et al.</w:t>
            </w:r>
          </w:p>
        </w:tc>
        <w:tc>
          <w:tcPr>
            <w:tcW w:w="0" w:type="auto"/>
            <w:hideMark/>
          </w:tcPr>
          <w:p w14:paraId="4C495A34"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Quantitative</w:t>
            </w:r>
          </w:p>
        </w:tc>
        <w:tc>
          <w:tcPr>
            <w:tcW w:w="0" w:type="auto"/>
            <w:hideMark/>
          </w:tcPr>
          <w:p w14:paraId="351653F5"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JBI</w:t>
            </w:r>
          </w:p>
        </w:tc>
        <w:tc>
          <w:tcPr>
            <w:tcW w:w="0" w:type="auto"/>
            <w:hideMark/>
          </w:tcPr>
          <w:p w14:paraId="349FBA64"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High</w:t>
            </w:r>
          </w:p>
        </w:tc>
        <w:tc>
          <w:tcPr>
            <w:tcW w:w="0" w:type="auto"/>
            <w:hideMark/>
          </w:tcPr>
          <w:p w14:paraId="6EBE66BE" w14:textId="77777777" w:rsidR="0057797C" w:rsidRPr="0057797C" w:rsidRDefault="0057797C" w:rsidP="005779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Accurate CO₂ measurements, robust reporting</w:t>
            </w:r>
          </w:p>
        </w:tc>
      </w:tr>
      <w:tr w:rsidR="001245B5" w:rsidRPr="0057797C" w14:paraId="60706B4D" w14:textId="77777777" w:rsidTr="000C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1739CA" w14:textId="77777777" w:rsidR="0057797C" w:rsidRPr="0057797C" w:rsidRDefault="0057797C" w:rsidP="0057797C">
            <w:pPr>
              <w:spacing w:after="0" w:line="240" w:lineRule="auto"/>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Frontiers Energy Research</w:t>
            </w:r>
          </w:p>
        </w:tc>
        <w:tc>
          <w:tcPr>
            <w:tcW w:w="0" w:type="auto"/>
            <w:hideMark/>
          </w:tcPr>
          <w:p w14:paraId="6210C875"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Mixed methods</w:t>
            </w:r>
          </w:p>
        </w:tc>
        <w:tc>
          <w:tcPr>
            <w:tcW w:w="0" w:type="auto"/>
            <w:hideMark/>
          </w:tcPr>
          <w:p w14:paraId="38E714AF"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MMAT</w:t>
            </w:r>
          </w:p>
        </w:tc>
        <w:tc>
          <w:tcPr>
            <w:tcW w:w="0" w:type="auto"/>
            <w:hideMark/>
          </w:tcPr>
          <w:p w14:paraId="141151CC"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Medium</w:t>
            </w:r>
          </w:p>
        </w:tc>
        <w:tc>
          <w:tcPr>
            <w:tcW w:w="0" w:type="auto"/>
            <w:hideMark/>
          </w:tcPr>
          <w:p w14:paraId="777BB8E0" w14:textId="77777777" w:rsidR="0057797C" w:rsidRPr="0057797C" w:rsidRDefault="0057797C" w:rsidP="0057797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24"/>
                <w:szCs w:val="24"/>
                <w:lang w:val="en-GB" w:eastAsia="en-GB"/>
              </w:rPr>
            </w:pPr>
            <w:r w:rsidRPr="0057797C">
              <w:rPr>
                <w:rFonts w:ascii="Times New Roman" w:eastAsia="Times New Roman" w:hAnsi="Times New Roman"/>
                <w:kern w:val="0"/>
                <w:sz w:val="24"/>
                <w:szCs w:val="24"/>
                <w:lang w:val="en-GB" w:eastAsia="en-GB"/>
              </w:rPr>
              <w:t>National review, variability in data completeness</w:t>
            </w:r>
          </w:p>
        </w:tc>
      </w:tr>
    </w:tbl>
    <w:p w14:paraId="53D1419D" w14:textId="77777777" w:rsidR="0057797C" w:rsidRPr="0057797C" w:rsidRDefault="0057797C" w:rsidP="0057797C">
      <w:pPr>
        <w:spacing w:line="278" w:lineRule="auto"/>
        <w:rPr>
          <w:sz w:val="24"/>
          <w:szCs w:val="24"/>
          <w:lang w:val="en-GB"/>
        </w:rPr>
      </w:pPr>
    </w:p>
    <w:p w14:paraId="619DB486" w14:textId="77777777" w:rsidR="0057797C" w:rsidRDefault="0057797C" w:rsidP="00B000AC">
      <w:pPr>
        <w:spacing w:line="276" w:lineRule="auto"/>
        <w:rPr>
          <w:rFonts w:ascii="Times New Roman" w:hAnsi="Times New Roman"/>
          <w:sz w:val="24"/>
          <w:szCs w:val="24"/>
        </w:rPr>
      </w:pPr>
    </w:p>
    <w:p w14:paraId="38DF4174" w14:textId="77777777" w:rsidR="0057797C" w:rsidRPr="00D434EE" w:rsidRDefault="0057797C" w:rsidP="00B000AC">
      <w:pPr>
        <w:spacing w:line="276" w:lineRule="auto"/>
        <w:rPr>
          <w:rFonts w:ascii="Times New Roman" w:hAnsi="Times New Roman"/>
          <w:sz w:val="24"/>
          <w:szCs w:val="24"/>
        </w:rPr>
      </w:pPr>
    </w:p>
    <w:sectPr w:rsidR="0057797C" w:rsidRPr="00D434EE">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675C6" w14:textId="77777777" w:rsidR="00CE4FE3" w:rsidRDefault="00CE4FE3">
      <w:pPr>
        <w:spacing w:line="240" w:lineRule="auto"/>
      </w:pPr>
      <w:r>
        <w:separator/>
      </w:r>
    </w:p>
  </w:endnote>
  <w:endnote w:type="continuationSeparator" w:id="0">
    <w:p w14:paraId="52B6CCBD" w14:textId="77777777" w:rsidR="00CE4FE3" w:rsidRDefault="00CE4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C524" w14:textId="75B8C92F" w:rsidR="000C5973" w:rsidRDefault="000C5973">
    <w:pPr>
      <w:pStyle w:val="Footer"/>
      <w:jc w:val="right"/>
    </w:pPr>
    <w:r>
      <w:fldChar w:fldCharType="begin"/>
    </w:r>
    <w:r>
      <w:instrText xml:space="preserve"> PAGE   \* MERGEFORMAT </w:instrText>
    </w:r>
    <w:r>
      <w:fldChar w:fldCharType="separate"/>
    </w:r>
    <w:r w:rsidR="00DF09BE">
      <w:rPr>
        <w:noProof/>
      </w:rPr>
      <w:t>21</w:t>
    </w:r>
    <w:r>
      <w:rPr>
        <w:noProof/>
      </w:rPr>
      <w:fldChar w:fldCharType="end"/>
    </w:r>
  </w:p>
  <w:p w14:paraId="1489E9FF" w14:textId="77777777" w:rsidR="000C5973" w:rsidRDefault="000C5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B6CBF" w14:textId="77777777" w:rsidR="00CE4FE3" w:rsidRDefault="00CE4FE3">
      <w:pPr>
        <w:spacing w:after="0"/>
      </w:pPr>
      <w:r>
        <w:separator/>
      </w:r>
    </w:p>
  </w:footnote>
  <w:footnote w:type="continuationSeparator" w:id="0">
    <w:p w14:paraId="1B8C290D" w14:textId="77777777" w:rsidR="00CE4FE3" w:rsidRDefault="00CE4FE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760A6" w14:textId="77777777" w:rsidR="000C5973" w:rsidRDefault="00CE4FE3">
    <w:pPr>
      <w:pStyle w:val="Header"/>
    </w:pPr>
    <w:r>
      <w:rPr>
        <w:noProof/>
      </w:rPr>
      <w:pict w14:anchorId="7D5EF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50533" o:spid="_x0000_s2050" type="#_x0000_t136" style="position:absolute;margin-left:0;margin-top:0;width:592.85pt;height:66.9pt;rotation:315;z-index:-25165875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23B75" w14:textId="77777777" w:rsidR="000C5973" w:rsidRDefault="00CE4FE3">
    <w:pPr>
      <w:pStyle w:val="Header"/>
    </w:pPr>
    <w:r>
      <w:rPr>
        <w:noProof/>
      </w:rPr>
      <w:pict w14:anchorId="3F837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50534" o:spid="_x0000_s2051" type="#_x0000_t136" style="position:absolute;margin-left:0;margin-top:0;width:592.85pt;height:66.9pt;rotation:315;z-index:-25165772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63D56" w14:textId="77777777" w:rsidR="000C5973" w:rsidRDefault="00CE4FE3">
    <w:pPr>
      <w:pStyle w:val="Header"/>
    </w:pPr>
    <w:r>
      <w:rPr>
        <w:noProof/>
      </w:rPr>
      <w:pict w14:anchorId="3236D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50532" o:spid="_x0000_s2049" type="#_x0000_t136" style="position:absolute;margin-left:0;margin-top:0;width:592.85pt;height:66.9pt;rotation:315;z-index:-2516597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B37A246"/>
    <w:multiLevelType w:val="singleLevel"/>
    <w:tmpl w:val="DB37A246"/>
    <w:lvl w:ilvl="0">
      <w:start w:val="5"/>
      <w:numFmt w:val="upperLetter"/>
      <w:suff w:val="nothing"/>
      <w:lvlText w:val="%1-"/>
      <w:lvlJc w:val="left"/>
    </w:lvl>
  </w:abstractNum>
  <w:abstractNum w:abstractNumId="1" w15:restartNumberingAfterBreak="0">
    <w:nsid w:val="DD8AED1C"/>
    <w:multiLevelType w:val="singleLevel"/>
    <w:tmpl w:val="DD8AED1C"/>
    <w:lvl w:ilvl="0">
      <w:start w:val="1"/>
      <w:numFmt w:val="lowerLetter"/>
      <w:suff w:val="nothing"/>
      <w:lvlText w:val="%1-"/>
      <w:lvlJc w:val="left"/>
    </w:lvl>
  </w:abstractNum>
  <w:abstractNum w:abstractNumId="2" w15:restartNumberingAfterBreak="0">
    <w:nsid w:val="07294E6B"/>
    <w:multiLevelType w:val="multilevel"/>
    <w:tmpl w:val="1660B106"/>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 w15:restartNumberingAfterBreak="0">
    <w:nsid w:val="14762A92"/>
    <w:multiLevelType w:val="hybridMultilevel"/>
    <w:tmpl w:val="D4E62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5278E0"/>
    <w:multiLevelType w:val="multilevel"/>
    <w:tmpl w:val="557E2E84"/>
    <w:lvl w:ilvl="0">
      <w:start w:val="2"/>
      <w:numFmt w:val="decimal"/>
      <w:lvlText w:val="%1.0"/>
      <w:lvlJc w:val="left"/>
      <w:pPr>
        <w:ind w:left="1854" w:hanging="360"/>
      </w:pPr>
      <w:rPr>
        <w:rFonts w:hint="default"/>
      </w:rPr>
    </w:lvl>
    <w:lvl w:ilvl="1">
      <w:start w:val="1"/>
      <w:numFmt w:val="decimal"/>
      <w:lvlText w:val="%1.%2"/>
      <w:lvlJc w:val="left"/>
      <w:pPr>
        <w:ind w:left="2770" w:hanging="360"/>
      </w:pPr>
      <w:rPr>
        <w:rFonts w:hint="default"/>
        <w:b/>
      </w:rPr>
    </w:lvl>
    <w:lvl w:ilvl="2">
      <w:start w:val="1"/>
      <w:numFmt w:val="decimal"/>
      <w:lvlText w:val="%1.%2.%3"/>
      <w:lvlJc w:val="left"/>
      <w:pPr>
        <w:ind w:left="3654" w:hanging="720"/>
      </w:pPr>
      <w:rPr>
        <w:rFonts w:hint="default"/>
      </w:rPr>
    </w:lvl>
    <w:lvl w:ilvl="3">
      <w:start w:val="1"/>
      <w:numFmt w:val="decimal"/>
      <w:lvlText w:val="%1.%2.%3.%4"/>
      <w:lvlJc w:val="left"/>
      <w:pPr>
        <w:ind w:left="4734" w:hanging="1080"/>
      </w:pPr>
      <w:rPr>
        <w:rFonts w:hint="default"/>
      </w:rPr>
    </w:lvl>
    <w:lvl w:ilvl="4">
      <w:start w:val="1"/>
      <w:numFmt w:val="decimal"/>
      <w:lvlText w:val="%1.%2.%3.%4.%5"/>
      <w:lvlJc w:val="left"/>
      <w:pPr>
        <w:ind w:left="5454" w:hanging="1080"/>
      </w:pPr>
      <w:rPr>
        <w:rFonts w:hint="default"/>
      </w:rPr>
    </w:lvl>
    <w:lvl w:ilvl="5">
      <w:start w:val="1"/>
      <w:numFmt w:val="decimal"/>
      <w:lvlText w:val="%1.%2.%3.%4.%5.%6"/>
      <w:lvlJc w:val="left"/>
      <w:pPr>
        <w:ind w:left="6534" w:hanging="1440"/>
      </w:pPr>
      <w:rPr>
        <w:rFonts w:hint="default"/>
      </w:rPr>
    </w:lvl>
    <w:lvl w:ilvl="6">
      <w:start w:val="1"/>
      <w:numFmt w:val="decimal"/>
      <w:lvlText w:val="%1.%2.%3.%4.%5.%6.%7"/>
      <w:lvlJc w:val="left"/>
      <w:pPr>
        <w:ind w:left="7254" w:hanging="1440"/>
      </w:pPr>
      <w:rPr>
        <w:rFonts w:hint="default"/>
      </w:rPr>
    </w:lvl>
    <w:lvl w:ilvl="7">
      <w:start w:val="1"/>
      <w:numFmt w:val="decimal"/>
      <w:lvlText w:val="%1.%2.%3.%4.%5.%6.%7.%8"/>
      <w:lvlJc w:val="left"/>
      <w:pPr>
        <w:ind w:left="8334" w:hanging="1800"/>
      </w:pPr>
      <w:rPr>
        <w:rFonts w:hint="default"/>
      </w:rPr>
    </w:lvl>
    <w:lvl w:ilvl="8">
      <w:start w:val="1"/>
      <w:numFmt w:val="decimal"/>
      <w:lvlText w:val="%1.%2.%3.%4.%5.%6.%7.%8.%9"/>
      <w:lvlJc w:val="left"/>
      <w:pPr>
        <w:ind w:left="9054" w:hanging="1800"/>
      </w:pPr>
      <w:rPr>
        <w:rFonts w:hint="default"/>
      </w:rPr>
    </w:lvl>
  </w:abstractNum>
  <w:abstractNum w:abstractNumId="5" w15:restartNumberingAfterBreak="0">
    <w:nsid w:val="2AC62F30"/>
    <w:multiLevelType w:val="multilevel"/>
    <w:tmpl w:val="8174B8F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989" w:hanging="720"/>
      </w:pPr>
      <w:rPr>
        <w:rFonts w:hint="default"/>
        <w:b/>
        <w:sz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5DD1FC7"/>
    <w:multiLevelType w:val="multilevel"/>
    <w:tmpl w:val="35DD1F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7EB6FA1"/>
    <w:multiLevelType w:val="multilevel"/>
    <w:tmpl w:val="37EB6FA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8E31C07"/>
    <w:multiLevelType w:val="multilevel"/>
    <w:tmpl w:val="B1883CC2"/>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ACE3545"/>
    <w:multiLevelType w:val="hybridMultilevel"/>
    <w:tmpl w:val="9F6455E8"/>
    <w:lvl w:ilvl="0" w:tplc="3FF05612">
      <w:numFmt w:val="bullet"/>
      <w:lvlText w:val=""/>
      <w:lvlJc w:val="left"/>
      <w:pPr>
        <w:ind w:left="860" w:hanging="330"/>
      </w:pPr>
      <w:rPr>
        <w:rFonts w:ascii="Symbol" w:eastAsia="Symbol" w:hAnsi="Symbol" w:cs="Symbol" w:hint="default"/>
        <w:b w:val="0"/>
        <w:bCs w:val="0"/>
        <w:i w:val="0"/>
        <w:iCs w:val="0"/>
        <w:spacing w:val="0"/>
        <w:w w:val="99"/>
        <w:sz w:val="20"/>
        <w:szCs w:val="20"/>
        <w:lang w:val="en-US" w:eastAsia="en-US" w:bidi="ar-SA"/>
      </w:rPr>
    </w:lvl>
    <w:lvl w:ilvl="1" w:tplc="60BCA940">
      <w:numFmt w:val="bullet"/>
      <w:lvlText w:val="•"/>
      <w:lvlJc w:val="left"/>
      <w:pPr>
        <w:ind w:left="1708" w:hanging="330"/>
      </w:pPr>
      <w:rPr>
        <w:rFonts w:hint="default"/>
        <w:lang w:val="en-US" w:eastAsia="en-US" w:bidi="ar-SA"/>
      </w:rPr>
    </w:lvl>
    <w:lvl w:ilvl="2" w:tplc="A918ADAA">
      <w:numFmt w:val="bullet"/>
      <w:lvlText w:val="•"/>
      <w:lvlJc w:val="left"/>
      <w:pPr>
        <w:ind w:left="2557" w:hanging="330"/>
      </w:pPr>
      <w:rPr>
        <w:rFonts w:hint="default"/>
        <w:lang w:val="en-US" w:eastAsia="en-US" w:bidi="ar-SA"/>
      </w:rPr>
    </w:lvl>
    <w:lvl w:ilvl="3" w:tplc="D332C9EE">
      <w:numFmt w:val="bullet"/>
      <w:lvlText w:val="•"/>
      <w:lvlJc w:val="left"/>
      <w:pPr>
        <w:ind w:left="3405" w:hanging="330"/>
      </w:pPr>
      <w:rPr>
        <w:rFonts w:hint="default"/>
        <w:lang w:val="en-US" w:eastAsia="en-US" w:bidi="ar-SA"/>
      </w:rPr>
    </w:lvl>
    <w:lvl w:ilvl="4" w:tplc="5AC6EA84">
      <w:numFmt w:val="bullet"/>
      <w:lvlText w:val="•"/>
      <w:lvlJc w:val="left"/>
      <w:pPr>
        <w:ind w:left="4254" w:hanging="330"/>
      </w:pPr>
      <w:rPr>
        <w:rFonts w:hint="default"/>
        <w:lang w:val="en-US" w:eastAsia="en-US" w:bidi="ar-SA"/>
      </w:rPr>
    </w:lvl>
    <w:lvl w:ilvl="5" w:tplc="77B25978">
      <w:numFmt w:val="bullet"/>
      <w:lvlText w:val="•"/>
      <w:lvlJc w:val="left"/>
      <w:pPr>
        <w:ind w:left="5103" w:hanging="330"/>
      </w:pPr>
      <w:rPr>
        <w:rFonts w:hint="default"/>
        <w:lang w:val="en-US" w:eastAsia="en-US" w:bidi="ar-SA"/>
      </w:rPr>
    </w:lvl>
    <w:lvl w:ilvl="6" w:tplc="DD34D8B8">
      <w:numFmt w:val="bullet"/>
      <w:lvlText w:val="•"/>
      <w:lvlJc w:val="left"/>
      <w:pPr>
        <w:ind w:left="5951" w:hanging="330"/>
      </w:pPr>
      <w:rPr>
        <w:rFonts w:hint="default"/>
        <w:lang w:val="en-US" w:eastAsia="en-US" w:bidi="ar-SA"/>
      </w:rPr>
    </w:lvl>
    <w:lvl w:ilvl="7" w:tplc="A70C0274">
      <w:numFmt w:val="bullet"/>
      <w:lvlText w:val="•"/>
      <w:lvlJc w:val="left"/>
      <w:pPr>
        <w:ind w:left="6800" w:hanging="330"/>
      </w:pPr>
      <w:rPr>
        <w:rFonts w:hint="default"/>
        <w:lang w:val="en-US" w:eastAsia="en-US" w:bidi="ar-SA"/>
      </w:rPr>
    </w:lvl>
    <w:lvl w:ilvl="8" w:tplc="5F28152A">
      <w:numFmt w:val="bullet"/>
      <w:lvlText w:val="•"/>
      <w:lvlJc w:val="left"/>
      <w:pPr>
        <w:ind w:left="7648" w:hanging="330"/>
      </w:pPr>
      <w:rPr>
        <w:rFonts w:hint="default"/>
        <w:lang w:val="en-US" w:eastAsia="en-US" w:bidi="ar-SA"/>
      </w:rPr>
    </w:lvl>
  </w:abstractNum>
  <w:abstractNum w:abstractNumId="10" w15:restartNumberingAfterBreak="0">
    <w:nsid w:val="48827A26"/>
    <w:multiLevelType w:val="multilevel"/>
    <w:tmpl w:val="557E2E8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1" w15:restartNumberingAfterBreak="0">
    <w:nsid w:val="4D724EBB"/>
    <w:multiLevelType w:val="multilevel"/>
    <w:tmpl w:val="3E3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0A19FF"/>
    <w:multiLevelType w:val="multilevel"/>
    <w:tmpl w:val="B1883CC2"/>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6"/>
  </w:num>
  <w:num w:numId="4">
    <w:abstractNumId w:val="7"/>
  </w:num>
  <w:num w:numId="5">
    <w:abstractNumId w:val="8"/>
  </w:num>
  <w:num w:numId="6">
    <w:abstractNumId w:val="12"/>
  </w:num>
  <w:num w:numId="7">
    <w:abstractNumId w:val="4"/>
  </w:num>
  <w:num w:numId="8">
    <w:abstractNumId w:val="2"/>
  </w:num>
  <w:num w:numId="9">
    <w:abstractNumId w:val="10"/>
  </w:num>
  <w:num w:numId="10">
    <w:abstractNumId w:val="9"/>
  </w:num>
  <w:num w:numId="11">
    <w:abstractNumId w:val="11"/>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A00"/>
    <w:rsid w:val="00000295"/>
    <w:rsid w:val="00005155"/>
    <w:rsid w:val="000062B9"/>
    <w:rsid w:val="00006E98"/>
    <w:rsid w:val="00007FEA"/>
    <w:rsid w:val="00017426"/>
    <w:rsid w:val="00031DA0"/>
    <w:rsid w:val="00032D8B"/>
    <w:rsid w:val="00041E53"/>
    <w:rsid w:val="000442E0"/>
    <w:rsid w:val="00045306"/>
    <w:rsid w:val="00056472"/>
    <w:rsid w:val="000604E1"/>
    <w:rsid w:val="0006788E"/>
    <w:rsid w:val="00073DF2"/>
    <w:rsid w:val="000752C1"/>
    <w:rsid w:val="0008559E"/>
    <w:rsid w:val="00086284"/>
    <w:rsid w:val="00092EE3"/>
    <w:rsid w:val="00093D9F"/>
    <w:rsid w:val="000941C9"/>
    <w:rsid w:val="00096A8D"/>
    <w:rsid w:val="000A0A4B"/>
    <w:rsid w:val="000B08FE"/>
    <w:rsid w:val="000C22C8"/>
    <w:rsid w:val="000C5973"/>
    <w:rsid w:val="000D0F00"/>
    <w:rsid w:val="000D3CCC"/>
    <w:rsid w:val="000D46E0"/>
    <w:rsid w:val="000D6D00"/>
    <w:rsid w:val="000D79E4"/>
    <w:rsid w:val="000E1F43"/>
    <w:rsid w:val="000E7D29"/>
    <w:rsid w:val="000F07DD"/>
    <w:rsid w:val="000F0C12"/>
    <w:rsid w:val="000F451B"/>
    <w:rsid w:val="001035AD"/>
    <w:rsid w:val="0010783B"/>
    <w:rsid w:val="00111C56"/>
    <w:rsid w:val="001138FF"/>
    <w:rsid w:val="00113EBC"/>
    <w:rsid w:val="001145C9"/>
    <w:rsid w:val="00115471"/>
    <w:rsid w:val="00123C87"/>
    <w:rsid w:val="00123CD1"/>
    <w:rsid w:val="001245B5"/>
    <w:rsid w:val="001258D1"/>
    <w:rsid w:val="00125D96"/>
    <w:rsid w:val="00127749"/>
    <w:rsid w:val="0013014F"/>
    <w:rsid w:val="00133DC8"/>
    <w:rsid w:val="00136688"/>
    <w:rsid w:val="00141837"/>
    <w:rsid w:val="0014696A"/>
    <w:rsid w:val="001504AC"/>
    <w:rsid w:val="0015087B"/>
    <w:rsid w:val="00150A05"/>
    <w:rsid w:val="00153F2D"/>
    <w:rsid w:val="00156875"/>
    <w:rsid w:val="00156CE6"/>
    <w:rsid w:val="001620C6"/>
    <w:rsid w:val="00162571"/>
    <w:rsid w:val="00172234"/>
    <w:rsid w:val="00175A8C"/>
    <w:rsid w:val="0017618E"/>
    <w:rsid w:val="0018300B"/>
    <w:rsid w:val="00186097"/>
    <w:rsid w:val="001868AE"/>
    <w:rsid w:val="0019046C"/>
    <w:rsid w:val="001927BF"/>
    <w:rsid w:val="00197587"/>
    <w:rsid w:val="001978B5"/>
    <w:rsid w:val="001A0277"/>
    <w:rsid w:val="001A5AAE"/>
    <w:rsid w:val="001B02E8"/>
    <w:rsid w:val="001B2129"/>
    <w:rsid w:val="001B73F0"/>
    <w:rsid w:val="001C0BAB"/>
    <w:rsid w:val="001C1771"/>
    <w:rsid w:val="001C2317"/>
    <w:rsid w:val="001C79B4"/>
    <w:rsid w:val="001D126B"/>
    <w:rsid w:val="001D4A9F"/>
    <w:rsid w:val="001F2563"/>
    <w:rsid w:val="001F36BC"/>
    <w:rsid w:val="001F6829"/>
    <w:rsid w:val="002003BF"/>
    <w:rsid w:val="00204279"/>
    <w:rsid w:val="002069D3"/>
    <w:rsid w:val="00207AEF"/>
    <w:rsid w:val="0021770C"/>
    <w:rsid w:val="00233643"/>
    <w:rsid w:val="00235CE6"/>
    <w:rsid w:val="00247730"/>
    <w:rsid w:val="00247C6C"/>
    <w:rsid w:val="002511FF"/>
    <w:rsid w:val="00252810"/>
    <w:rsid w:val="00260F94"/>
    <w:rsid w:val="002634D0"/>
    <w:rsid w:val="00266EEE"/>
    <w:rsid w:val="00267A03"/>
    <w:rsid w:val="0027377D"/>
    <w:rsid w:val="0027555B"/>
    <w:rsid w:val="002757B0"/>
    <w:rsid w:val="00280FEE"/>
    <w:rsid w:val="00283052"/>
    <w:rsid w:val="00283DC6"/>
    <w:rsid w:val="00286CF8"/>
    <w:rsid w:val="002917E1"/>
    <w:rsid w:val="0029639B"/>
    <w:rsid w:val="002965EF"/>
    <w:rsid w:val="002A112B"/>
    <w:rsid w:val="002B0F17"/>
    <w:rsid w:val="002B49F3"/>
    <w:rsid w:val="002B6CAC"/>
    <w:rsid w:val="002C262F"/>
    <w:rsid w:val="002C28B2"/>
    <w:rsid w:val="002D060F"/>
    <w:rsid w:val="002D49F8"/>
    <w:rsid w:val="002D4C1C"/>
    <w:rsid w:val="002D5A40"/>
    <w:rsid w:val="002D63B8"/>
    <w:rsid w:val="002E11BF"/>
    <w:rsid w:val="002E4F42"/>
    <w:rsid w:val="002E4F4A"/>
    <w:rsid w:val="002F0D92"/>
    <w:rsid w:val="002F22B5"/>
    <w:rsid w:val="002F248C"/>
    <w:rsid w:val="00301BB6"/>
    <w:rsid w:val="003034D6"/>
    <w:rsid w:val="003040AB"/>
    <w:rsid w:val="003254D5"/>
    <w:rsid w:val="00326021"/>
    <w:rsid w:val="00332D71"/>
    <w:rsid w:val="00333AB5"/>
    <w:rsid w:val="00350E5C"/>
    <w:rsid w:val="00355161"/>
    <w:rsid w:val="003622B9"/>
    <w:rsid w:val="0036470D"/>
    <w:rsid w:val="003674EB"/>
    <w:rsid w:val="00374ECE"/>
    <w:rsid w:val="00391D68"/>
    <w:rsid w:val="003A0114"/>
    <w:rsid w:val="003A6F7B"/>
    <w:rsid w:val="003A7DD4"/>
    <w:rsid w:val="003B2E61"/>
    <w:rsid w:val="003B4CCD"/>
    <w:rsid w:val="003B761F"/>
    <w:rsid w:val="003B7B33"/>
    <w:rsid w:val="003C2BA2"/>
    <w:rsid w:val="003C634B"/>
    <w:rsid w:val="003D7B6F"/>
    <w:rsid w:val="003E0051"/>
    <w:rsid w:val="003E16E3"/>
    <w:rsid w:val="003E2B73"/>
    <w:rsid w:val="003E38A7"/>
    <w:rsid w:val="003F4744"/>
    <w:rsid w:val="003F61D3"/>
    <w:rsid w:val="00403182"/>
    <w:rsid w:val="004070FA"/>
    <w:rsid w:val="0042038E"/>
    <w:rsid w:val="004255DA"/>
    <w:rsid w:val="004265AC"/>
    <w:rsid w:val="00426E51"/>
    <w:rsid w:val="004303C5"/>
    <w:rsid w:val="00445180"/>
    <w:rsid w:val="0045001C"/>
    <w:rsid w:val="00470C9D"/>
    <w:rsid w:val="00471933"/>
    <w:rsid w:val="00473A0A"/>
    <w:rsid w:val="00483D73"/>
    <w:rsid w:val="0049331F"/>
    <w:rsid w:val="004A37A9"/>
    <w:rsid w:val="004B3AAA"/>
    <w:rsid w:val="004B7F66"/>
    <w:rsid w:val="004C0CFC"/>
    <w:rsid w:val="004C481D"/>
    <w:rsid w:val="004D3413"/>
    <w:rsid w:val="004D6438"/>
    <w:rsid w:val="004E1C31"/>
    <w:rsid w:val="004F1155"/>
    <w:rsid w:val="00502E68"/>
    <w:rsid w:val="00510E61"/>
    <w:rsid w:val="00514F7B"/>
    <w:rsid w:val="005161E3"/>
    <w:rsid w:val="00527E99"/>
    <w:rsid w:val="00530859"/>
    <w:rsid w:val="005338AC"/>
    <w:rsid w:val="005341A0"/>
    <w:rsid w:val="00534996"/>
    <w:rsid w:val="00542231"/>
    <w:rsid w:val="00542FA2"/>
    <w:rsid w:val="00544B60"/>
    <w:rsid w:val="00544C11"/>
    <w:rsid w:val="005461C1"/>
    <w:rsid w:val="00553021"/>
    <w:rsid w:val="005574A8"/>
    <w:rsid w:val="00557BB4"/>
    <w:rsid w:val="00561D6E"/>
    <w:rsid w:val="005622BF"/>
    <w:rsid w:val="00577040"/>
    <w:rsid w:val="0057797C"/>
    <w:rsid w:val="00577A49"/>
    <w:rsid w:val="00580F4F"/>
    <w:rsid w:val="00590AF7"/>
    <w:rsid w:val="00591DB0"/>
    <w:rsid w:val="005925C2"/>
    <w:rsid w:val="0059341C"/>
    <w:rsid w:val="00593B56"/>
    <w:rsid w:val="00596A8C"/>
    <w:rsid w:val="005A1EB6"/>
    <w:rsid w:val="005A43D2"/>
    <w:rsid w:val="005A584E"/>
    <w:rsid w:val="005A6665"/>
    <w:rsid w:val="005A7AA3"/>
    <w:rsid w:val="005B1AC8"/>
    <w:rsid w:val="005B1FF3"/>
    <w:rsid w:val="005B4164"/>
    <w:rsid w:val="005B5E17"/>
    <w:rsid w:val="005C4A19"/>
    <w:rsid w:val="005C50ED"/>
    <w:rsid w:val="005D4984"/>
    <w:rsid w:val="005D7870"/>
    <w:rsid w:val="005E0016"/>
    <w:rsid w:val="005F103B"/>
    <w:rsid w:val="005F5A5E"/>
    <w:rsid w:val="005F6956"/>
    <w:rsid w:val="005F78F5"/>
    <w:rsid w:val="00603CC8"/>
    <w:rsid w:val="00615139"/>
    <w:rsid w:val="00616F7F"/>
    <w:rsid w:val="00617A2F"/>
    <w:rsid w:val="00622A6B"/>
    <w:rsid w:val="006276D9"/>
    <w:rsid w:val="006352B1"/>
    <w:rsid w:val="00641CEF"/>
    <w:rsid w:val="00644395"/>
    <w:rsid w:val="0064585A"/>
    <w:rsid w:val="006509AD"/>
    <w:rsid w:val="00654072"/>
    <w:rsid w:val="00655765"/>
    <w:rsid w:val="006606CE"/>
    <w:rsid w:val="00661237"/>
    <w:rsid w:val="00662AF1"/>
    <w:rsid w:val="0066392E"/>
    <w:rsid w:val="00664633"/>
    <w:rsid w:val="00664DDB"/>
    <w:rsid w:val="006708ED"/>
    <w:rsid w:val="006744EC"/>
    <w:rsid w:val="00682598"/>
    <w:rsid w:val="00695D12"/>
    <w:rsid w:val="006A1F6C"/>
    <w:rsid w:val="006B05B9"/>
    <w:rsid w:val="006B0F45"/>
    <w:rsid w:val="006B1A52"/>
    <w:rsid w:val="006B1B20"/>
    <w:rsid w:val="006B203B"/>
    <w:rsid w:val="006C04EB"/>
    <w:rsid w:val="006C0541"/>
    <w:rsid w:val="006C29E5"/>
    <w:rsid w:val="006C4D1A"/>
    <w:rsid w:val="006C6A73"/>
    <w:rsid w:val="006E27C9"/>
    <w:rsid w:val="006E4299"/>
    <w:rsid w:val="006E4F58"/>
    <w:rsid w:val="006F1790"/>
    <w:rsid w:val="006F27FF"/>
    <w:rsid w:val="006F34F5"/>
    <w:rsid w:val="007056C6"/>
    <w:rsid w:val="00705C04"/>
    <w:rsid w:val="00724EA1"/>
    <w:rsid w:val="00725B1E"/>
    <w:rsid w:val="00730163"/>
    <w:rsid w:val="00735432"/>
    <w:rsid w:val="00735466"/>
    <w:rsid w:val="00747FFD"/>
    <w:rsid w:val="00752A10"/>
    <w:rsid w:val="00752DF5"/>
    <w:rsid w:val="00763C40"/>
    <w:rsid w:val="00766366"/>
    <w:rsid w:val="00770149"/>
    <w:rsid w:val="00770D24"/>
    <w:rsid w:val="00770D69"/>
    <w:rsid w:val="00772424"/>
    <w:rsid w:val="00775C48"/>
    <w:rsid w:val="00777094"/>
    <w:rsid w:val="0078094E"/>
    <w:rsid w:val="00781AA4"/>
    <w:rsid w:val="00796628"/>
    <w:rsid w:val="00796C8F"/>
    <w:rsid w:val="007B12E0"/>
    <w:rsid w:val="007B1E71"/>
    <w:rsid w:val="007B3DE7"/>
    <w:rsid w:val="007B7253"/>
    <w:rsid w:val="007C303E"/>
    <w:rsid w:val="007C5DD3"/>
    <w:rsid w:val="007D0CEA"/>
    <w:rsid w:val="007E0171"/>
    <w:rsid w:val="007E1806"/>
    <w:rsid w:val="007E2811"/>
    <w:rsid w:val="007E2D5D"/>
    <w:rsid w:val="007E6857"/>
    <w:rsid w:val="007F1513"/>
    <w:rsid w:val="007F2398"/>
    <w:rsid w:val="007F2E74"/>
    <w:rsid w:val="00806ECC"/>
    <w:rsid w:val="0080775E"/>
    <w:rsid w:val="0083325A"/>
    <w:rsid w:val="00834260"/>
    <w:rsid w:val="0083463E"/>
    <w:rsid w:val="008518DA"/>
    <w:rsid w:val="0085356F"/>
    <w:rsid w:val="00862038"/>
    <w:rsid w:val="00865A8C"/>
    <w:rsid w:val="0087078B"/>
    <w:rsid w:val="008708F1"/>
    <w:rsid w:val="00873AE8"/>
    <w:rsid w:val="00875976"/>
    <w:rsid w:val="008766E7"/>
    <w:rsid w:val="00877522"/>
    <w:rsid w:val="00881342"/>
    <w:rsid w:val="0088195C"/>
    <w:rsid w:val="0088295E"/>
    <w:rsid w:val="008831C4"/>
    <w:rsid w:val="00883785"/>
    <w:rsid w:val="008852F8"/>
    <w:rsid w:val="008917B1"/>
    <w:rsid w:val="00892670"/>
    <w:rsid w:val="008928E2"/>
    <w:rsid w:val="0089397F"/>
    <w:rsid w:val="008953CE"/>
    <w:rsid w:val="008A005A"/>
    <w:rsid w:val="008A24BD"/>
    <w:rsid w:val="008A2D85"/>
    <w:rsid w:val="008A3060"/>
    <w:rsid w:val="008A373B"/>
    <w:rsid w:val="008A42FE"/>
    <w:rsid w:val="008A642C"/>
    <w:rsid w:val="008A6D0A"/>
    <w:rsid w:val="008A751A"/>
    <w:rsid w:val="008B4895"/>
    <w:rsid w:val="008B4DB3"/>
    <w:rsid w:val="008B73E1"/>
    <w:rsid w:val="008C0B5D"/>
    <w:rsid w:val="008C0B90"/>
    <w:rsid w:val="008C2718"/>
    <w:rsid w:val="008C3EA2"/>
    <w:rsid w:val="008C4FB5"/>
    <w:rsid w:val="008C7D12"/>
    <w:rsid w:val="008D1002"/>
    <w:rsid w:val="008D1943"/>
    <w:rsid w:val="008D6CE2"/>
    <w:rsid w:val="008E0F17"/>
    <w:rsid w:val="008E274A"/>
    <w:rsid w:val="008E404D"/>
    <w:rsid w:val="008F134B"/>
    <w:rsid w:val="008F2031"/>
    <w:rsid w:val="00900961"/>
    <w:rsid w:val="0090648A"/>
    <w:rsid w:val="00906C3F"/>
    <w:rsid w:val="00907F74"/>
    <w:rsid w:val="00911609"/>
    <w:rsid w:val="00915817"/>
    <w:rsid w:val="009175F9"/>
    <w:rsid w:val="0092324C"/>
    <w:rsid w:val="00924D83"/>
    <w:rsid w:val="009271ED"/>
    <w:rsid w:val="00927602"/>
    <w:rsid w:val="009320BC"/>
    <w:rsid w:val="00932F00"/>
    <w:rsid w:val="0093721D"/>
    <w:rsid w:val="00940AEE"/>
    <w:rsid w:val="00946ABC"/>
    <w:rsid w:val="009505C5"/>
    <w:rsid w:val="00951A76"/>
    <w:rsid w:val="00953174"/>
    <w:rsid w:val="00953485"/>
    <w:rsid w:val="00956843"/>
    <w:rsid w:val="00960975"/>
    <w:rsid w:val="009665B4"/>
    <w:rsid w:val="00967A9E"/>
    <w:rsid w:val="0098204E"/>
    <w:rsid w:val="009836DB"/>
    <w:rsid w:val="009A60B6"/>
    <w:rsid w:val="009C32AA"/>
    <w:rsid w:val="009C37BF"/>
    <w:rsid w:val="009C65EF"/>
    <w:rsid w:val="009C7D40"/>
    <w:rsid w:val="009D57C4"/>
    <w:rsid w:val="009E0554"/>
    <w:rsid w:val="009F7F7E"/>
    <w:rsid w:val="00A034E0"/>
    <w:rsid w:val="00A042E9"/>
    <w:rsid w:val="00A07183"/>
    <w:rsid w:val="00A07E5B"/>
    <w:rsid w:val="00A15689"/>
    <w:rsid w:val="00A21788"/>
    <w:rsid w:val="00A21ED6"/>
    <w:rsid w:val="00A227EC"/>
    <w:rsid w:val="00A24DC7"/>
    <w:rsid w:val="00A279E8"/>
    <w:rsid w:val="00A36989"/>
    <w:rsid w:val="00A46673"/>
    <w:rsid w:val="00A47358"/>
    <w:rsid w:val="00A552E2"/>
    <w:rsid w:val="00A56673"/>
    <w:rsid w:val="00A56909"/>
    <w:rsid w:val="00A578E9"/>
    <w:rsid w:val="00A62698"/>
    <w:rsid w:val="00A639C0"/>
    <w:rsid w:val="00A71D9D"/>
    <w:rsid w:val="00A71FC2"/>
    <w:rsid w:val="00A745F7"/>
    <w:rsid w:val="00A7469C"/>
    <w:rsid w:val="00A8595A"/>
    <w:rsid w:val="00A9441D"/>
    <w:rsid w:val="00A94EDC"/>
    <w:rsid w:val="00A9578B"/>
    <w:rsid w:val="00AA2383"/>
    <w:rsid w:val="00AA6256"/>
    <w:rsid w:val="00AB4B4F"/>
    <w:rsid w:val="00AC06C7"/>
    <w:rsid w:val="00AC6C60"/>
    <w:rsid w:val="00AC6CC4"/>
    <w:rsid w:val="00AC6EFD"/>
    <w:rsid w:val="00AD2D5D"/>
    <w:rsid w:val="00AE7999"/>
    <w:rsid w:val="00AF1A67"/>
    <w:rsid w:val="00AF252D"/>
    <w:rsid w:val="00AF6C35"/>
    <w:rsid w:val="00AF6EC4"/>
    <w:rsid w:val="00B000AC"/>
    <w:rsid w:val="00B00878"/>
    <w:rsid w:val="00B018AF"/>
    <w:rsid w:val="00B02F6A"/>
    <w:rsid w:val="00B04F49"/>
    <w:rsid w:val="00B05ABA"/>
    <w:rsid w:val="00B05E71"/>
    <w:rsid w:val="00B114FD"/>
    <w:rsid w:val="00B17027"/>
    <w:rsid w:val="00B21BD8"/>
    <w:rsid w:val="00B24737"/>
    <w:rsid w:val="00B24D95"/>
    <w:rsid w:val="00B256EB"/>
    <w:rsid w:val="00B2771B"/>
    <w:rsid w:val="00B3078F"/>
    <w:rsid w:val="00B30FDC"/>
    <w:rsid w:val="00B3504B"/>
    <w:rsid w:val="00B43E10"/>
    <w:rsid w:val="00B455DD"/>
    <w:rsid w:val="00B51BA1"/>
    <w:rsid w:val="00B61F4A"/>
    <w:rsid w:val="00B75239"/>
    <w:rsid w:val="00B83FD8"/>
    <w:rsid w:val="00B84DBF"/>
    <w:rsid w:val="00B95726"/>
    <w:rsid w:val="00B974B8"/>
    <w:rsid w:val="00BA5E7D"/>
    <w:rsid w:val="00BA78A7"/>
    <w:rsid w:val="00BD2DE9"/>
    <w:rsid w:val="00BE3E06"/>
    <w:rsid w:val="00BE445D"/>
    <w:rsid w:val="00BE5C6A"/>
    <w:rsid w:val="00BF1C96"/>
    <w:rsid w:val="00BF4AA4"/>
    <w:rsid w:val="00C037A6"/>
    <w:rsid w:val="00C04145"/>
    <w:rsid w:val="00C0449A"/>
    <w:rsid w:val="00C06186"/>
    <w:rsid w:val="00C11859"/>
    <w:rsid w:val="00C15F45"/>
    <w:rsid w:val="00C16B39"/>
    <w:rsid w:val="00C17683"/>
    <w:rsid w:val="00C25E9C"/>
    <w:rsid w:val="00C306AF"/>
    <w:rsid w:val="00C42E90"/>
    <w:rsid w:val="00C43316"/>
    <w:rsid w:val="00C6094B"/>
    <w:rsid w:val="00C63248"/>
    <w:rsid w:val="00C6446B"/>
    <w:rsid w:val="00C65571"/>
    <w:rsid w:val="00C65FEB"/>
    <w:rsid w:val="00C66E93"/>
    <w:rsid w:val="00C679C7"/>
    <w:rsid w:val="00C67EF1"/>
    <w:rsid w:val="00C70811"/>
    <w:rsid w:val="00C73910"/>
    <w:rsid w:val="00C73EBD"/>
    <w:rsid w:val="00C84364"/>
    <w:rsid w:val="00C92F67"/>
    <w:rsid w:val="00CA640E"/>
    <w:rsid w:val="00CA6DBE"/>
    <w:rsid w:val="00CB060D"/>
    <w:rsid w:val="00CB10B7"/>
    <w:rsid w:val="00CC075B"/>
    <w:rsid w:val="00CC39E9"/>
    <w:rsid w:val="00CC7FC8"/>
    <w:rsid w:val="00CD5C42"/>
    <w:rsid w:val="00CE4FE3"/>
    <w:rsid w:val="00CE7AC9"/>
    <w:rsid w:val="00CF1A8C"/>
    <w:rsid w:val="00CF7939"/>
    <w:rsid w:val="00D03507"/>
    <w:rsid w:val="00D10CED"/>
    <w:rsid w:val="00D1251A"/>
    <w:rsid w:val="00D14757"/>
    <w:rsid w:val="00D2681F"/>
    <w:rsid w:val="00D26D10"/>
    <w:rsid w:val="00D33486"/>
    <w:rsid w:val="00D434EE"/>
    <w:rsid w:val="00D43796"/>
    <w:rsid w:val="00D44B10"/>
    <w:rsid w:val="00D44EC1"/>
    <w:rsid w:val="00D465D8"/>
    <w:rsid w:val="00D54BF8"/>
    <w:rsid w:val="00D602F0"/>
    <w:rsid w:val="00D606B8"/>
    <w:rsid w:val="00D606F4"/>
    <w:rsid w:val="00D670DD"/>
    <w:rsid w:val="00D67E05"/>
    <w:rsid w:val="00D778AD"/>
    <w:rsid w:val="00D85E0F"/>
    <w:rsid w:val="00D85F29"/>
    <w:rsid w:val="00D9502B"/>
    <w:rsid w:val="00D9582A"/>
    <w:rsid w:val="00D95AFB"/>
    <w:rsid w:val="00D97A00"/>
    <w:rsid w:val="00DA408C"/>
    <w:rsid w:val="00DA41E4"/>
    <w:rsid w:val="00DA4C56"/>
    <w:rsid w:val="00DB1001"/>
    <w:rsid w:val="00DB195A"/>
    <w:rsid w:val="00DC7D09"/>
    <w:rsid w:val="00DD3D25"/>
    <w:rsid w:val="00DD3D7B"/>
    <w:rsid w:val="00DD5F5D"/>
    <w:rsid w:val="00DD6A99"/>
    <w:rsid w:val="00DE05DF"/>
    <w:rsid w:val="00DE230C"/>
    <w:rsid w:val="00DE2EE7"/>
    <w:rsid w:val="00DE5816"/>
    <w:rsid w:val="00DF09BE"/>
    <w:rsid w:val="00DF61E1"/>
    <w:rsid w:val="00DF78E9"/>
    <w:rsid w:val="00E10F03"/>
    <w:rsid w:val="00E14323"/>
    <w:rsid w:val="00E14C54"/>
    <w:rsid w:val="00E22A67"/>
    <w:rsid w:val="00E3055C"/>
    <w:rsid w:val="00E4666C"/>
    <w:rsid w:val="00E5104A"/>
    <w:rsid w:val="00E65409"/>
    <w:rsid w:val="00E65AB8"/>
    <w:rsid w:val="00E70342"/>
    <w:rsid w:val="00E77426"/>
    <w:rsid w:val="00E774D9"/>
    <w:rsid w:val="00E80CB3"/>
    <w:rsid w:val="00EA0E5E"/>
    <w:rsid w:val="00EA57EF"/>
    <w:rsid w:val="00EB0C92"/>
    <w:rsid w:val="00EB401E"/>
    <w:rsid w:val="00EB4EA9"/>
    <w:rsid w:val="00EC5C24"/>
    <w:rsid w:val="00EC70E6"/>
    <w:rsid w:val="00ED1D56"/>
    <w:rsid w:val="00ED68E0"/>
    <w:rsid w:val="00ED6CA5"/>
    <w:rsid w:val="00EE0EA3"/>
    <w:rsid w:val="00EE1531"/>
    <w:rsid w:val="00EE63A9"/>
    <w:rsid w:val="00EE7005"/>
    <w:rsid w:val="00EF0C5E"/>
    <w:rsid w:val="00F05CD6"/>
    <w:rsid w:val="00F06335"/>
    <w:rsid w:val="00F113A1"/>
    <w:rsid w:val="00F116B0"/>
    <w:rsid w:val="00F16403"/>
    <w:rsid w:val="00F25D45"/>
    <w:rsid w:val="00F31D31"/>
    <w:rsid w:val="00F336F0"/>
    <w:rsid w:val="00F3743C"/>
    <w:rsid w:val="00F4050F"/>
    <w:rsid w:val="00F43F22"/>
    <w:rsid w:val="00F634FB"/>
    <w:rsid w:val="00F645FD"/>
    <w:rsid w:val="00F74E3D"/>
    <w:rsid w:val="00F8168D"/>
    <w:rsid w:val="00F81711"/>
    <w:rsid w:val="00F83301"/>
    <w:rsid w:val="00F86400"/>
    <w:rsid w:val="00F92C2F"/>
    <w:rsid w:val="00FA25A9"/>
    <w:rsid w:val="00FA643D"/>
    <w:rsid w:val="00FB38F9"/>
    <w:rsid w:val="00FC249E"/>
    <w:rsid w:val="00FC2AF5"/>
    <w:rsid w:val="00FC4CF1"/>
    <w:rsid w:val="00FC69F8"/>
    <w:rsid w:val="00FD0204"/>
    <w:rsid w:val="00FD0B73"/>
    <w:rsid w:val="00FD453B"/>
    <w:rsid w:val="00FD723A"/>
    <w:rsid w:val="00FE0588"/>
    <w:rsid w:val="00FF3E73"/>
    <w:rsid w:val="00FF6197"/>
    <w:rsid w:val="07060343"/>
    <w:rsid w:val="09DB3BBB"/>
    <w:rsid w:val="0E3D093D"/>
    <w:rsid w:val="10964DE4"/>
    <w:rsid w:val="14AA7ECD"/>
    <w:rsid w:val="15073667"/>
    <w:rsid w:val="1D6A20D8"/>
    <w:rsid w:val="2FEA0715"/>
    <w:rsid w:val="37DA5F5D"/>
    <w:rsid w:val="3B3B188B"/>
    <w:rsid w:val="3BCB54BD"/>
    <w:rsid w:val="55C55674"/>
    <w:rsid w:val="711D1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45C1C1"/>
  <w15:docId w15:val="{94A8D9F0-34BC-4C50-BBE7-7E6DF5CE5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Aptos" w:eastAsia="Aptos" w:hAnsi="Aptos"/>
      <w:kern w:val="2"/>
      <w:sz w:val="22"/>
      <w:szCs w:val="22"/>
      <w:lang w:val="en-US" w:eastAsia="en-US"/>
    </w:rPr>
  </w:style>
  <w:style w:type="paragraph" w:styleId="Heading1">
    <w:name w:val="heading 1"/>
    <w:basedOn w:val="Normal"/>
    <w:next w:val="Normal"/>
    <w:link w:val="Heading1Char"/>
    <w:uiPriority w:val="9"/>
    <w:qFormat/>
    <w:pPr>
      <w:keepNext/>
      <w:keepLines/>
      <w:spacing w:before="360" w:after="80"/>
      <w:outlineLvl w:val="0"/>
    </w:pPr>
    <w:rPr>
      <w:rFonts w:ascii="Aptos Display" w:eastAsia="DengXian Light" w:hAnsi="Aptos Di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DengXian Light" w:hAnsi="Aptos Di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DengXian Light"/>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DengXian Light"/>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DengXian Light"/>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DengXian Light"/>
      <w:i/>
      <w:iCs/>
      <w:color w:val="595959"/>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DengXian Light"/>
      <w:color w:val="595959"/>
    </w:rPr>
  </w:style>
  <w:style w:type="paragraph" w:styleId="Heading8">
    <w:name w:val="heading 8"/>
    <w:basedOn w:val="Normal"/>
    <w:next w:val="Normal"/>
    <w:link w:val="Heading8Char"/>
    <w:uiPriority w:val="9"/>
    <w:semiHidden/>
    <w:unhideWhenUsed/>
    <w:qFormat/>
    <w:pPr>
      <w:keepNext/>
      <w:keepLines/>
      <w:spacing w:after="0"/>
      <w:outlineLvl w:val="7"/>
    </w:pPr>
    <w:rPr>
      <w:rFonts w:eastAsia="DengXian Light"/>
      <w:i/>
      <w:iCs/>
      <w:color w:val="262626"/>
    </w:rPr>
  </w:style>
  <w:style w:type="paragraph" w:styleId="Heading9">
    <w:name w:val="heading 9"/>
    <w:basedOn w:val="Normal"/>
    <w:next w:val="Normal"/>
    <w:link w:val="Heading9Char"/>
    <w:uiPriority w:val="9"/>
    <w:semiHidden/>
    <w:unhideWhenUsed/>
    <w:qFormat/>
    <w:pPr>
      <w:keepNext/>
      <w:keepLines/>
      <w:spacing w:after="0"/>
      <w:outlineLvl w:val="8"/>
    </w:pPr>
    <w:rPr>
      <w:rFonts w:eastAsia="DengXian Light"/>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uiPriority w:val="22"/>
    <w:qFormat/>
    <w:rPr>
      <w:b/>
      <w:bCs/>
    </w:rPr>
  </w:style>
  <w:style w:type="paragraph" w:styleId="Subtitle">
    <w:name w:val="Subtitle"/>
    <w:basedOn w:val="Normal"/>
    <w:next w:val="Normal"/>
    <w:link w:val="SubtitleChar"/>
    <w:uiPriority w:val="11"/>
    <w:qFormat/>
    <w:rPr>
      <w:rFonts w:eastAsia="DengXian Light"/>
      <w:color w:val="595959"/>
      <w:spacing w:val="15"/>
      <w:sz w:val="28"/>
      <w:szCs w:val="28"/>
    </w:rPr>
  </w:style>
  <w:style w:type="paragraph" w:styleId="Title">
    <w:name w:val="Title"/>
    <w:basedOn w:val="Normal"/>
    <w:next w:val="Normal"/>
    <w:link w:val="TitleChar"/>
    <w:uiPriority w:val="10"/>
    <w:qFormat/>
    <w:pPr>
      <w:spacing w:after="80" w:line="240" w:lineRule="auto"/>
      <w:contextualSpacing/>
    </w:pPr>
    <w:rPr>
      <w:rFonts w:ascii="Aptos Display" w:eastAsia="DengXian Light" w:hAnsi="Aptos Display"/>
      <w:spacing w:val="-10"/>
      <w:kern w:val="28"/>
      <w:sz w:val="56"/>
      <w:szCs w:val="56"/>
    </w:rPr>
  </w:style>
  <w:style w:type="character" w:customStyle="1" w:styleId="Heading1Char">
    <w:name w:val="Heading 1 Char"/>
    <w:link w:val="Heading1"/>
    <w:uiPriority w:val="9"/>
    <w:rPr>
      <w:rFonts w:ascii="Aptos Display" w:eastAsia="DengXian Light" w:hAnsi="Aptos Display" w:cs="Times New Roman"/>
      <w:color w:val="0F4761"/>
      <w:sz w:val="40"/>
      <w:szCs w:val="40"/>
    </w:rPr>
  </w:style>
  <w:style w:type="character" w:customStyle="1" w:styleId="Heading2Char">
    <w:name w:val="Heading 2 Char"/>
    <w:link w:val="Heading2"/>
    <w:uiPriority w:val="9"/>
    <w:semiHidden/>
    <w:qFormat/>
    <w:rPr>
      <w:rFonts w:ascii="Aptos Display" w:eastAsia="DengXian Light" w:hAnsi="Aptos Display" w:cs="Times New Roman"/>
      <w:color w:val="0F4761"/>
      <w:sz w:val="32"/>
      <w:szCs w:val="32"/>
    </w:rPr>
  </w:style>
  <w:style w:type="character" w:customStyle="1" w:styleId="Heading3Char">
    <w:name w:val="Heading 3 Char"/>
    <w:link w:val="Heading3"/>
    <w:uiPriority w:val="9"/>
    <w:semiHidden/>
    <w:rPr>
      <w:rFonts w:eastAsia="DengXian Light" w:cs="Times New Roman"/>
      <w:color w:val="0F4761"/>
      <w:sz w:val="28"/>
      <w:szCs w:val="28"/>
    </w:rPr>
  </w:style>
  <w:style w:type="character" w:customStyle="1" w:styleId="Heading4Char">
    <w:name w:val="Heading 4 Char"/>
    <w:link w:val="Heading4"/>
    <w:uiPriority w:val="9"/>
    <w:semiHidden/>
    <w:rPr>
      <w:rFonts w:eastAsia="DengXian Light" w:cs="Times New Roman"/>
      <w:i/>
      <w:iCs/>
      <w:color w:val="0F4761"/>
    </w:rPr>
  </w:style>
  <w:style w:type="character" w:customStyle="1" w:styleId="Heading5Char">
    <w:name w:val="Heading 5 Char"/>
    <w:link w:val="Heading5"/>
    <w:uiPriority w:val="9"/>
    <w:semiHidden/>
    <w:qFormat/>
    <w:rPr>
      <w:rFonts w:eastAsia="DengXian Light" w:cs="Times New Roman"/>
      <w:color w:val="0F4761"/>
    </w:rPr>
  </w:style>
  <w:style w:type="character" w:customStyle="1" w:styleId="Heading6Char">
    <w:name w:val="Heading 6 Char"/>
    <w:link w:val="Heading6"/>
    <w:uiPriority w:val="9"/>
    <w:semiHidden/>
    <w:qFormat/>
    <w:rPr>
      <w:rFonts w:eastAsia="DengXian Light" w:cs="Times New Roman"/>
      <w:i/>
      <w:iCs/>
      <w:color w:val="595959"/>
    </w:rPr>
  </w:style>
  <w:style w:type="character" w:customStyle="1" w:styleId="Heading7Char">
    <w:name w:val="Heading 7 Char"/>
    <w:link w:val="Heading7"/>
    <w:uiPriority w:val="9"/>
    <w:semiHidden/>
    <w:qFormat/>
    <w:rPr>
      <w:rFonts w:eastAsia="DengXian Light" w:cs="Times New Roman"/>
      <w:color w:val="595959"/>
    </w:rPr>
  </w:style>
  <w:style w:type="character" w:customStyle="1" w:styleId="Heading8Char">
    <w:name w:val="Heading 8 Char"/>
    <w:link w:val="Heading8"/>
    <w:uiPriority w:val="9"/>
    <w:semiHidden/>
    <w:qFormat/>
    <w:rPr>
      <w:rFonts w:eastAsia="DengXian Light" w:cs="Times New Roman"/>
      <w:i/>
      <w:iCs/>
      <w:color w:val="262626"/>
    </w:rPr>
  </w:style>
  <w:style w:type="character" w:customStyle="1" w:styleId="Heading9Char">
    <w:name w:val="Heading 9 Char"/>
    <w:link w:val="Heading9"/>
    <w:uiPriority w:val="9"/>
    <w:semiHidden/>
    <w:qFormat/>
    <w:rPr>
      <w:rFonts w:eastAsia="DengXian Light" w:cs="Times New Roman"/>
      <w:color w:val="262626"/>
    </w:rPr>
  </w:style>
  <w:style w:type="character" w:customStyle="1" w:styleId="TitleChar">
    <w:name w:val="Title Char"/>
    <w:link w:val="Title"/>
    <w:uiPriority w:val="10"/>
    <w:qFormat/>
    <w:rPr>
      <w:rFonts w:ascii="Aptos Display" w:eastAsia="DengXian Light" w:hAnsi="Aptos Display" w:cs="Times New Roman"/>
      <w:spacing w:val="-10"/>
      <w:kern w:val="28"/>
      <w:sz w:val="56"/>
      <w:szCs w:val="56"/>
    </w:rPr>
  </w:style>
  <w:style w:type="character" w:customStyle="1" w:styleId="SubtitleChar">
    <w:name w:val="Subtitle Char"/>
    <w:link w:val="Subtitle"/>
    <w:uiPriority w:val="11"/>
    <w:qFormat/>
    <w:rPr>
      <w:rFonts w:eastAsia="DengXian Light"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link w:val="Quote"/>
    <w:uiPriority w:val="29"/>
    <w:qFormat/>
    <w:rPr>
      <w:i/>
      <w:iCs/>
      <w:color w:val="404040"/>
    </w:rPr>
  </w:style>
  <w:style w:type="paragraph" w:styleId="ListParagraph">
    <w:name w:val="List Paragraph"/>
    <w:basedOn w:val="Normal"/>
    <w:uiPriority w:val="34"/>
    <w:qFormat/>
    <w:pPr>
      <w:ind w:left="720"/>
      <w:contextualSpacing/>
    </w:pPr>
  </w:style>
  <w:style w:type="character" w:customStyle="1" w:styleId="IntenseEmphasis1">
    <w:name w:val="Intense Emphasis1"/>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qFormat/>
    <w:rPr>
      <w:i/>
      <w:iCs/>
      <w:color w:val="0F4761"/>
    </w:rPr>
  </w:style>
  <w:style w:type="character" w:customStyle="1" w:styleId="IntenseReference1">
    <w:name w:val="Intense Reference1"/>
    <w:uiPriority w:val="32"/>
    <w:qFormat/>
    <w:rPr>
      <w:b/>
      <w:bCs/>
      <w:smallCaps/>
      <w:color w:val="0F4761"/>
      <w:spacing w:val="5"/>
    </w:rPr>
  </w:style>
  <w:style w:type="paragraph" w:customStyle="1" w:styleId="Bibliography1">
    <w:name w:val="Bibliography1"/>
    <w:basedOn w:val="Normal"/>
    <w:next w:val="Normal"/>
    <w:uiPriority w:val="37"/>
    <w:unhideWhenUsed/>
  </w:style>
  <w:style w:type="character" w:styleId="PlaceholderText">
    <w:name w:val="Placeholder Text"/>
    <w:uiPriority w:val="99"/>
    <w:semiHidden/>
    <w:qFormat/>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anchor-text">
    <w:name w:val="anchor-text"/>
    <w:basedOn w:val="DefaultParagraphFont"/>
    <w:qFormat/>
  </w:style>
  <w:style w:type="character" w:customStyle="1" w:styleId="UnresolvedMention1">
    <w:name w:val="Unresolved Mention1"/>
    <w:uiPriority w:val="99"/>
    <w:semiHidden/>
    <w:unhideWhenUsed/>
    <w:rsid w:val="00AF1A67"/>
    <w:rPr>
      <w:color w:val="605E5C"/>
      <w:shd w:val="clear" w:color="auto" w:fill="E1DFDD"/>
    </w:rPr>
  </w:style>
  <w:style w:type="paragraph" w:customStyle="1" w:styleId="TableParagraph">
    <w:name w:val="Table Paragraph"/>
    <w:basedOn w:val="Normal"/>
    <w:uiPriority w:val="1"/>
    <w:qFormat/>
    <w:rsid w:val="00615139"/>
    <w:pPr>
      <w:widowControl w:val="0"/>
      <w:autoSpaceDE w:val="0"/>
      <w:autoSpaceDN w:val="0"/>
      <w:spacing w:after="0" w:line="240" w:lineRule="auto"/>
      <w:ind w:left="108"/>
    </w:pPr>
    <w:rPr>
      <w:rFonts w:ascii="Times New Roman" w:eastAsia="Times New Roman" w:hAnsi="Times New Roman"/>
      <w:kern w:val="0"/>
    </w:rPr>
  </w:style>
  <w:style w:type="paragraph" w:styleId="Bibliography">
    <w:name w:val="Bibliography"/>
    <w:basedOn w:val="Normal"/>
    <w:next w:val="Normal"/>
    <w:uiPriority w:val="37"/>
    <w:unhideWhenUsed/>
    <w:rsid w:val="00596A8C"/>
  </w:style>
  <w:style w:type="table" w:customStyle="1" w:styleId="GridTable41">
    <w:name w:val="Grid Table 41"/>
    <w:basedOn w:val="TableNormal"/>
    <w:next w:val="GridTable4"/>
    <w:uiPriority w:val="49"/>
    <w:rsid w:val="0057797C"/>
    <w:rPr>
      <w:rFonts w:ascii="Aptos" w:eastAsia="Aptos" w:hAnsi="Aptos"/>
      <w:kern w:val="2"/>
      <w:sz w:val="24"/>
      <w:szCs w:val="24"/>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57797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next w:val="GridTable4"/>
    <w:uiPriority w:val="49"/>
    <w:rsid w:val="0057797C"/>
    <w:rPr>
      <w:rFonts w:ascii="Aptos" w:eastAsia="Aptos" w:hAnsi="Aptos"/>
      <w:kern w:val="2"/>
      <w:sz w:val="24"/>
      <w:szCs w:val="24"/>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given-name">
    <w:name w:val="given-name"/>
    <w:basedOn w:val="DefaultParagraphFont"/>
    <w:rsid w:val="008E0F17"/>
  </w:style>
  <w:style w:type="character" w:customStyle="1" w:styleId="react-xocs-alternative-link">
    <w:name w:val="react-xocs-alternative-link"/>
    <w:basedOn w:val="DefaultParagraphFont"/>
    <w:rsid w:val="008E0F17"/>
  </w:style>
  <w:style w:type="character" w:customStyle="1" w:styleId="text">
    <w:name w:val="text"/>
    <w:basedOn w:val="DefaultParagraphFont"/>
    <w:rsid w:val="008E0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414">
      <w:bodyDiv w:val="1"/>
      <w:marLeft w:val="0"/>
      <w:marRight w:val="0"/>
      <w:marTop w:val="0"/>
      <w:marBottom w:val="0"/>
      <w:divBdr>
        <w:top w:val="none" w:sz="0" w:space="0" w:color="auto"/>
        <w:left w:val="none" w:sz="0" w:space="0" w:color="auto"/>
        <w:bottom w:val="none" w:sz="0" w:space="0" w:color="auto"/>
        <w:right w:val="none" w:sz="0" w:space="0" w:color="auto"/>
      </w:divBdr>
    </w:div>
    <w:div w:id="20205540">
      <w:bodyDiv w:val="1"/>
      <w:marLeft w:val="0"/>
      <w:marRight w:val="0"/>
      <w:marTop w:val="0"/>
      <w:marBottom w:val="0"/>
      <w:divBdr>
        <w:top w:val="none" w:sz="0" w:space="0" w:color="auto"/>
        <w:left w:val="none" w:sz="0" w:space="0" w:color="auto"/>
        <w:bottom w:val="none" w:sz="0" w:space="0" w:color="auto"/>
        <w:right w:val="none" w:sz="0" w:space="0" w:color="auto"/>
      </w:divBdr>
    </w:div>
    <w:div w:id="20520678">
      <w:bodyDiv w:val="1"/>
      <w:marLeft w:val="0"/>
      <w:marRight w:val="0"/>
      <w:marTop w:val="0"/>
      <w:marBottom w:val="0"/>
      <w:divBdr>
        <w:top w:val="none" w:sz="0" w:space="0" w:color="auto"/>
        <w:left w:val="none" w:sz="0" w:space="0" w:color="auto"/>
        <w:bottom w:val="none" w:sz="0" w:space="0" w:color="auto"/>
        <w:right w:val="none" w:sz="0" w:space="0" w:color="auto"/>
      </w:divBdr>
    </w:div>
    <w:div w:id="42296504">
      <w:bodyDiv w:val="1"/>
      <w:marLeft w:val="0"/>
      <w:marRight w:val="0"/>
      <w:marTop w:val="0"/>
      <w:marBottom w:val="0"/>
      <w:divBdr>
        <w:top w:val="none" w:sz="0" w:space="0" w:color="auto"/>
        <w:left w:val="none" w:sz="0" w:space="0" w:color="auto"/>
        <w:bottom w:val="none" w:sz="0" w:space="0" w:color="auto"/>
        <w:right w:val="none" w:sz="0" w:space="0" w:color="auto"/>
      </w:divBdr>
    </w:div>
    <w:div w:id="53546466">
      <w:bodyDiv w:val="1"/>
      <w:marLeft w:val="0"/>
      <w:marRight w:val="0"/>
      <w:marTop w:val="0"/>
      <w:marBottom w:val="0"/>
      <w:divBdr>
        <w:top w:val="none" w:sz="0" w:space="0" w:color="auto"/>
        <w:left w:val="none" w:sz="0" w:space="0" w:color="auto"/>
        <w:bottom w:val="none" w:sz="0" w:space="0" w:color="auto"/>
        <w:right w:val="none" w:sz="0" w:space="0" w:color="auto"/>
      </w:divBdr>
    </w:div>
    <w:div w:id="112554160">
      <w:bodyDiv w:val="1"/>
      <w:marLeft w:val="0"/>
      <w:marRight w:val="0"/>
      <w:marTop w:val="0"/>
      <w:marBottom w:val="0"/>
      <w:divBdr>
        <w:top w:val="none" w:sz="0" w:space="0" w:color="auto"/>
        <w:left w:val="none" w:sz="0" w:space="0" w:color="auto"/>
        <w:bottom w:val="none" w:sz="0" w:space="0" w:color="auto"/>
        <w:right w:val="none" w:sz="0" w:space="0" w:color="auto"/>
      </w:divBdr>
    </w:div>
    <w:div w:id="127166327">
      <w:bodyDiv w:val="1"/>
      <w:marLeft w:val="0"/>
      <w:marRight w:val="0"/>
      <w:marTop w:val="0"/>
      <w:marBottom w:val="0"/>
      <w:divBdr>
        <w:top w:val="none" w:sz="0" w:space="0" w:color="auto"/>
        <w:left w:val="none" w:sz="0" w:space="0" w:color="auto"/>
        <w:bottom w:val="none" w:sz="0" w:space="0" w:color="auto"/>
        <w:right w:val="none" w:sz="0" w:space="0" w:color="auto"/>
      </w:divBdr>
    </w:div>
    <w:div w:id="154758832">
      <w:bodyDiv w:val="1"/>
      <w:marLeft w:val="0"/>
      <w:marRight w:val="0"/>
      <w:marTop w:val="0"/>
      <w:marBottom w:val="0"/>
      <w:divBdr>
        <w:top w:val="none" w:sz="0" w:space="0" w:color="auto"/>
        <w:left w:val="none" w:sz="0" w:space="0" w:color="auto"/>
        <w:bottom w:val="none" w:sz="0" w:space="0" w:color="auto"/>
        <w:right w:val="none" w:sz="0" w:space="0" w:color="auto"/>
      </w:divBdr>
    </w:div>
    <w:div w:id="161242535">
      <w:bodyDiv w:val="1"/>
      <w:marLeft w:val="0"/>
      <w:marRight w:val="0"/>
      <w:marTop w:val="0"/>
      <w:marBottom w:val="0"/>
      <w:divBdr>
        <w:top w:val="none" w:sz="0" w:space="0" w:color="auto"/>
        <w:left w:val="none" w:sz="0" w:space="0" w:color="auto"/>
        <w:bottom w:val="none" w:sz="0" w:space="0" w:color="auto"/>
        <w:right w:val="none" w:sz="0" w:space="0" w:color="auto"/>
      </w:divBdr>
    </w:div>
    <w:div w:id="252131203">
      <w:bodyDiv w:val="1"/>
      <w:marLeft w:val="0"/>
      <w:marRight w:val="0"/>
      <w:marTop w:val="0"/>
      <w:marBottom w:val="0"/>
      <w:divBdr>
        <w:top w:val="none" w:sz="0" w:space="0" w:color="auto"/>
        <w:left w:val="none" w:sz="0" w:space="0" w:color="auto"/>
        <w:bottom w:val="none" w:sz="0" w:space="0" w:color="auto"/>
        <w:right w:val="none" w:sz="0" w:space="0" w:color="auto"/>
      </w:divBdr>
    </w:div>
    <w:div w:id="290674537">
      <w:bodyDiv w:val="1"/>
      <w:marLeft w:val="0"/>
      <w:marRight w:val="0"/>
      <w:marTop w:val="0"/>
      <w:marBottom w:val="0"/>
      <w:divBdr>
        <w:top w:val="none" w:sz="0" w:space="0" w:color="auto"/>
        <w:left w:val="none" w:sz="0" w:space="0" w:color="auto"/>
        <w:bottom w:val="none" w:sz="0" w:space="0" w:color="auto"/>
        <w:right w:val="none" w:sz="0" w:space="0" w:color="auto"/>
      </w:divBdr>
    </w:div>
    <w:div w:id="305549195">
      <w:bodyDiv w:val="1"/>
      <w:marLeft w:val="0"/>
      <w:marRight w:val="0"/>
      <w:marTop w:val="0"/>
      <w:marBottom w:val="0"/>
      <w:divBdr>
        <w:top w:val="none" w:sz="0" w:space="0" w:color="auto"/>
        <w:left w:val="none" w:sz="0" w:space="0" w:color="auto"/>
        <w:bottom w:val="none" w:sz="0" w:space="0" w:color="auto"/>
        <w:right w:val="none" w:sz="0" w:space="0" w:color="auto"/>
      </w:divBdr>
    </w:div>
    <w:div w:id="375160719">
      <w:bodyDiv w:val="1"/>
      <w:marLeft w:val="0"/>
      <w:marRight w:val="0"/>
      <w:marTop w:val="0"/>
      <w:marBottom w:val="0"/>
      <w:divBdr>
        <w:top w:val="none" w:sz="0" w:space="0" w:color="auto"/>
        <w:left w:val="none" w:sz="0" w:space="0" w:color="auto"/>
        <w:bottom w:val="none" w:sz="0" w:space="0" w:color="auto"/>
        <w:right w:val="none" w:sz="0" w:space="0" w:color="auto"/>
      </w:divBdr>
    </w:div>
    <w:div w:id="393821339">
      <w:bodyDiv w:val="1"/>
      <w:marLeft w:val="0"/>
      <w:marRight w:val="0"/>
      <w:marTop w:val="0"/>
      <w:marBottom w:val="0"/>
      <w:divBdr>
        <w:top w:val="none" w:sz="0" w:space="0" w:color="auto"/>
        <w:left w:val="none" w:sz="0" w:space="0" w:color="auto"/>
        <w:bottom w:val="none" w:sz="0" w:space="0" w:color="auto"/>
        <w:right w:val="none" w:sz="0" w:space="0" w:color="auto"/>
      </w:divBdr>
    </w:div>
    <w:div w:id="407920375">
      <w:bodyDiv w:val="1"/>
      <w:marLeft w:val="0"/>
      <w:marRight w:val="0"/>
      <w:marTop w:val="0"/>
      <w:marBottom w:val="0"/>
      <w:divBdr>
        <w:top w:val="none" w:sz="0" w:space="0" w:color="auto"/>
        <w:left w:val="none" w:sz="0" w:space="0" w:color="auto"/>
        <w:bottom w:val="none" w:sz="0" w:space="0" w:color="auto"/>
        <w:right w:val="none" w:sz="0" w:space="0" w:color="auto"/>
      </w:divBdr>
    </w:div>
    <w:div w:id="440493278">
      <w:bodyDiv w:val="1"/>
      <w:marLeft w:val="0"/>
      <w:marRight w:val="0"/>
      <w:marTop w:val="0"/>
      <w:marBottom w:val="0"/>
      <w:divBdr>
        <w:top w:val="none" w:sz="0" w:space="0" w:color="auto"/>
        <w:left w:val="none" w:sz="0" w:space="0" w:color="auto"/>
        <w:bottom w:val="none" w:sz="0" w:space="0" w:color="auto"/>
        <w:right w:val="none" w:sz="0" w:space="0" w:color="auto"/>
      </w:divBdr>
    </w:div>
    <w:div w:id="492260939">
      <w:bodyDiv w:val="1"/>
      <w:marLeft w:val="0"/>
      <w:marRight w:val="0"/>
      <w:marTop w:val="0"/>
      <w:marBottom w:val="0"/>
      <w:divBdr>
        <w:top w:val="none" w:sz="0" w:space="0" w:color="auto"/>
        <w:left w:val="none" w:sz="0" w:space="0" w:color="auto"/>
        <w:bottom w:val="none" w:sz="0" w:space="0" w:color="auto"/>
        <w:right w:val="none" w:sz="0" w:space="0" w:color="auto"/>
      </w:divBdr>
    </w:div>
    <w:div w:id="569656396">
      <w:bodyDiv w:val="1"/>
      <w:marLeft w:val="0"/>
      <w:marRight w:val="0"/>
      <w:marTop w:val="0"/>
      <w:marBottom w:val="0"/>
      <w:divBdr>
        <w:top w:val="none" w:sz="0" w:space="0" w:color="auto"/>
        <w:left w:val="none" w:sz="0" w:space="0" w:color="auto"/>
        <w:bottom w:val="none" w:sz="0" w:space="0" w:color="auto"/>
        <w:right w:val="none" w:sz="0" w:space="0" w:color="auto"/>
      </w:divBdr>
    </w:div>
    <w:div w:id="576983672">
      <w:bodyDiv w:val="1"/>
      <w:marLeft w:val="0"/>
      <w:marRight w:val="0"/>
      <w:marTop w:val="0"/>
      <w:marBottom w:val="0"/>
      <w:divBdr>
        <w:top w:val="none" w:sz="0" w:space="0" w:color="auto"/>
        <w:left w:val="none" w:sz="0" w:space="0" w:color="auto"/>
        <w:bottom w:val="none" w:sz="0" w:space="0" w:color="auto"/>
        <w:right w:val="none" w:sz="0" w:space="0" w:color="auto"/>
      </w:divBdr>
    </w:div>
    <w:div w:id="628322012">
      <w:bodyDiv w:val="1"/>
      <w:marLeft w:val="0"/>
      <w:marRight w:val="0"/>
      <w:marTop w:val="0"/>
      <w:marBottom w:val="0"/>
      <w:divBdr>
        <w:top w:val="none" w:sz="0" w:space="0" w:color="auto"/>
        <w:left w:val="none" w:sz="0" w:space="0" w:color="auto"/>
        <w:bottom w:val="none" w:sz="0" w:space="0" w:color="auto"/>
        <w:right w:val="none" w:sz="0" w:space="0" w:color="auto"/>
      </w:divBdr>
    </w:div>
    <w:div w:id="658532856">
      <w:bodyDiv w:val="1"/>
      <w:marLeft w:val="0"/>
      <w:marRight w:val="0"/>
      <w:marTop w:val="0"/>
      <w:marBottom w:val="0"/>
      <w:divBdr>
        <w:top w:val="none" w:sz="0" w:space="0" w:color="auto"/>
        <w:left w:val="none" w:sz="0" w:space="0" w:color="auto"/>
        <w:bottom w:val="none" w:sz="0" w:space="0" w:color="auto"/>
        <w:right w:val="none" w:sz="0" w:space="0" w:color="auto"/>
      </w:divBdr>
    </w:div>
    <w:div w:id="664821291">
      <w:bodyDiv w:val="1"/>
      <w:marLeft w:val="0"/>
      <w:marRight w:val="0"/>
      <w:marTop w:val="0"/>
      <w:marBottom w:val="0"/>
      <w:divBdr>
        <w:top w:val="none" w:sz="0" w:space="0" w:color="auto"/>
        <w:left w:val="none" w:sz="0" w:space="0" w:color="auto"/>
        <w:bottom w:val="none" w:sz="0" w:space="0" w:color="auto"/>
        <w:right w:val="none" w:sz="0" w:space="0" w:color="auto"/>
      </w:divBdr>
    </w:div>
    <w:div w:id="729380655">
      <w:bodyDiv w:val="1"/>
      <w:marLeft w:val="0"/>
      <w:marRight w:val="0"/>
      <w:marTop w:val="0"/>
      <w:marBottom w:val="0"/>
      <w:divBdr>
        <w:top w:val="none" w:sz="0" w:space="0" w:color="auto"/>
        <w:left w:val="none" w:sz="0" w:space="0" w:color="auto"/>
        <w:bottom w:val="none" w:sz="0" w:space="0" w:color="auto"/>
        <w:right w:val="none" w:sz="0" w:space="0" w:color="auto"/>
      </w:divBdr>
    </w:div>
    <w:div w:id="781656467">
      <w:bodyDiv w:val="1"/>
      <w:marLeft w:val="0"/>
      <w:marRight w:val="0"/>
      <w:marTop w:val="0"/>
      <w:marBottom w:val="0"/>
      <w:divBdr>
        <w:top w:val="none" w:sz="0" w:space="0" w:color="auto"/>
        <w:left w:val="none" w:sz="0" w:space="0" w:color="auto"/>
        <w:bottom w:val="none" w:sz="0" w:space="0" w:color="auto"/>
        <w:right w:val="none" w:sz="0" w:space="0" w:color="auto"/>
      </w:divBdr>
    </w:div>
    <w:div w:id="841895553">
      <w:bodyDiv w:val="1"/>
      <w:marLeft w:val="0"/>
      <w:marRight w:val="0"/>
      <w:marTop w:val="0"/>
      <w:marBottom w:val="0"/>
      <w:divBdr>
        <w:top w:val="none" w:sz="0" w:space="0" w:color="auto"/>
        <w:left w:val="none" w:sz="0" w:space="0" w:color="auto"/>
        <w:bottom w:val="none" w:sz="0" w:space="0" w:color="auto"/>
        <w:right w:val="none" w:sz="0" w:space="0" w:color="auto"/>
      </w:divBdr>
      <w:divsChild>
        <w:div w:id="1169448167">
          <w:marLeft w:val="0"/>
          <w:marRight w:val="0"/>
          <w:marTop w:val="0"/>
          <w:marBottom w:val="0"/>
          <w:divBdr>
            <w:top w:val="none" w:sz="0" w:space="0" w:color="auto"/>
            <w:left w:val="none" w:sz="0" w:space="0" w:color="auto"/>
            <w:bottom w:val="none" w:sz="0" w:space="0" w:color="auto"/>
            <w:right w:val="none" w:sz="0" w:space="0" w:color="auto"/>
          </w:divBdr>
          <w:divsChild>
            <w:div w:id="215121827">
              <w:marLeft w:val="-150"/>
              <w:marRight w:val="0"/>
              <w:marTop w:val="0"/>
              <w:marBottom w:val="0"/>
              <w:divBdr>
                <w:top w:val="none" w:sz="0" w:space="0" w:color="auto"/>
                <w:left w:val="none" w:sz="0" w:space="0" w:color="auto"/>
                <w:bottom w:val="none" w:sz="0" w:space="0" w:color="auto"/>
                <w:right w:val="none" w:sz="0" w:space="0" w:color="auto"/>
              </w:divBdr>
              <w:divsChild>
                <w:div w:id="1379160320">
                  <w:marLeft w:val="0"/>
                  <w:marRight w:val="0"/>
                  <w:marTop w:val="0"/>
                  <w:marBottom w:val="0"/>
                  <w:divBdr>
                    <w:top w:val="none" w:sz="0" w:space="0" w:color="auto"/>
                    <w:left w:val="none" w:sz="0" w:space="0" w:color="auto"/>
                    <w:bottom w:val="none" w:sz="0" w:space="0" w:color="auto"/>
                    <w:right w:val="none" w:sz="0" w:space="0" w:color="auto"/>
                  </w:divBdr>
                  <w:divsChild>
                    <w:div w:id="1990091034">
                      <w:marLeft w:val="0"/>
                      <w:marRight w:val="0"/>
                      <w:marTop w:val="0"/>
                      <w:marBottom w:val="0"/>
                      <w:divBdr>
                        <w:top w:val="none" w:sz="0" w:space="0" w:color="auto"/>
                        <w:left w:val="none" w:sz="0" w:space="0" w:color="auto"/>
                        <w:bottom w:val="none" w:sz="0" w:space="0" w:color="auto"/>
                        <w:right w:val="none" w:sz="0" w:space="0" w:color="auto"/>
                      </w:divBdr>
                      <w:divsChild>
                        <w:div w:id="1574854038">
                          <w:marLeft w:val="0"/>
                          <w:marRight w:val="0"/>
                          <w:marTop w:val="0"/>
                          <w:marBottom w:val="0"/>
                          <w:divBdr>
                            <w:top w:val="none" w:sz="0" w:space="0" w:color="auto"/>
                            <w:left w:val="none" w:sz="0" w:space="0" w:color="auto"/>
                            <w:bottom w:val="none" w:sz="0" w:space="0" w:color="auto"/>
                            <w:right w:val="none" w:sz="0" w:space="0" w:color="auto"/>
                          </w:divBdr>
                          <w:divsChild>
                            <w:div w:id="1102844218">
                              <w:marLeft w:val="0"/>
                              <w:marRight w:val="0"/>
                              <w:marTop w:val="0"/>
                              <w:marBottom w:val="0"/>
                              <w:divBdr>
                                <w:top w:val="none" w:sz="0" w:space="0" w:color="auto"/>
                                <w:left w:val="none" w:sz="0" w:space="0" w:color="auto"/>
                                <w:bottom w:val="none" w:sz="0" w:space="0" w:color="auto"/>
                                <w:right w:val="none" w:sz="0" w:space="0" w:color="auto"/>
                              </w:divBdr>
                              <w:divsChild>
                                <w:div w:id="1065955116">
                                  <w:marLeft w:val="0"/>
                                  <w:marRight w:val="0"/>
                                  <w:marTop w:val="0"/>
                                  <w:marBottom w:val="0"/>
                                  <w:divBdr>
                                    <w:top w:val="none" w:sz="0" w:space="0" w:color="auto"/>
                                    <w:left w:val="none" w:sz="0" w:space="0" w:color="auto"/>
                                    <w:bottom w:val="none" w:sz="0" w:space="0" w:color="auto"/>
                                    <w:right w:val="none" w:sz="0" w:space="0" w:color="auto"/>
                                  </w:divBdr>
                                  <w:divsChild>
                                    <w:div w:id="127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756214">
      <w:bodyDiv w:val="1"/>
      <w:marLeft w:val="0"/>
      <w:marRight w:val="0"/>
      <w:marTop w:val="0"/>
      <w:marBottom w:val="0"/>
      <w:divBdr>
        <w:top w:val="none" w:sz="0" w:space="0" w:color="auto"/>
        <w:left w:val="none" w:sz="0" w:space="0" w:color="auto"/>
        <w:bottom w:val="none" w:sz="0" w:space="0" w:color="auto"/>
        <w:right w:val="none" w:sz="0" w:space="0" w:color="auto"/>
      </w:divBdr>
    </w:div>
    <w:div w:id="946500096">
      <w:bodyDiv w:val="1"/>
      <w:marLeft w:val="0"/>
      <w:marRight w:val="0"/>
      <w:marTop w:val="0"/>
      <w:marBottom w:val="0"/>
      <w:divBdr>
        <w:top w:val="none" w:sz="0" w:space="0" w:color="auto"/>
        <w:left w:val="none" w:sz="0" w:space="0" w:color="auto"/>
        <w:bottom w:val="none" w:sz="0" w:space="0" w:color="auto"/>
        <w:right w:val="none" w:sz="0" w:space="0" w:color="auto"/>
      </w:divBdr>
    </w:div>
    <w:div w:id="948858466">
      <w:bodyDiv w:val="1"/>
      <w:marLeft w:val="0"/>
      <w:marRight w:val="0"/>
      <w:marTop w:val="0"/>
      <w:marBottom w:val="0"/>
      <w:divBdr>
        <w:top w:val="none" w:sz="0" w:space="0" w:color="auto"/>
        <w:left w:val="none" w:sz="0" w:space="0" w:color="auto"/>
        <w:bottom w:val="none" w:sz="0" w:space="0" w:color="auto"/>
        <w:right w:val="none" w:sz="0" w:space="0" w:color="auto"/>
      </w:divBdr>
    </w:div>
    <w:div w:id="1003320398">
      <w:bodyDiv w:val="1"/>
      <w:marLeft w:val="0"/>
      <w:marRight w:val="0"/>
      <w:marTop w:val="0"/>
      <w:marBottom w:val="0"/>
      <w:divBdr>
        <w:top w:val="none" w:sz="0" w:space="0" w:color="auto"/>
        <w:left w:val="none" w:sz="0" w:space="0" w:color="auto"/>
        <w:bottom w:val="none" w:sz="0" w:space="0" w:color="auto"/>
        <w:right w:val="none" w:sz="0" w:space="0" w:color="auto"/>
      </w:divBdr>
    </w:div>
    <w:div w:id="1081216327">
      <w:bodyDiv w:val="1"/>
      <w:marLeft w:val="0"/>
      <w:marRight w:val="0"/>
      <w:marTop w:val="0"/>
      <w:marBottom w:val="0"/>
      <w:divBdr>
        <w:top w:val="none" w:sz="0" w:space="0" w:color="auto"/>
        <w:left w:val="none" w:sz="0" w:space="0" w:color="auto"/>
        <w:bottom w:val="none" w:sz="0" w:space="0" w:color="auto"/>
        <w:right w:val="none" w:sz="0" w:space="0" w:color="auto"/>
      </w:divBdr>
    </w:div>
    <w:div w:id="1084843933">
      <w:bodyDiv w:val="1"/>
      <w:marLeft w:val="0"/>
      <w:marRight w:val="0"/>
      <w:marTop w:val="0"/>
      <w:marBottom w:val="0"/>
      <w:divBdr>
        <w:top w:val="none" w:sz="0" w:space="0" w:color="auto"/>
        <w:left w:val="none" w:sz="0" w:space="0" w:color="auto"/>
        <w:bottom w:val="none" w:sz="0" w:space="0" w:color="auto"/>
        <w:right w:val="none" w:sz="0" w:space="0" w:color="auto"/>
      </w:divBdr>
    </w:div>
    <w:div w:id="1108744077">
      <w:bodyDiv w:val="1"/>
      <w:marLeft w:val="0"/>
      <w:marRight w:val="0"/>
      <w:marTop w:val="0"/>
      <w:marBottom w:val="0"/>
      <w:divBdr>
        <w:top w:val="none" w:sz="0" w:space="0" w:color="auto"/>
        <w:left w:val="none" w:sz="0" w:space="0" w:color="auto"/>
        <w:bottom w:val="none" w:sz="0" w:space="0" w:color="auto"/>
        <w:right w:val="none" w:sz="0" w:space="0" w:color="auto"/>
      </w:divBdr>
    </w:div>
    <w:div w:id="1132015402">
      <w:bodyDiv w:val="1"/>
      <w:marLeft w:val="0"/>
      <w:marRight w:val="0"/>
      <w:marTop w:val="0"/>
      <w:marBottom w:val="0"/>
      <w:divBdr>
        <w:top w:val="none" w:sz="0" w:space="0" w:color="auto"/>
        <w:left w:val="none" w:sz="0" w:space="0" w:color="auto"/>
        <w:bottom w:val="none" w:sz="0" w:space="0" w:color="auto"/>
        <w:right w:val="none" w:sz="0" w:space="0" w:color="auto"/>
      </w:divBdr>
    </w:div>
    <w:div w:id="1146822014">
      <w:bodyDiv w:val="1"/>
      <w:marLeft w:val="0"/>
      <w:marRight w:val="0"/>
      <w:marTop w:val="0"/>
      <w:marBottom w:val="0"/>
      <w:divBdr>
        <w:top w:val="none" w:sz="0" w:space="0" w:color="auto"/>
        <w:left w:val="none" w:sz="0" w:space="0" w:color="auto"/>
        <w:bottom w:val="none" w:sz="0" w:space="0" w:color="auto"/>
        <w:right w:val="none" w:sz="0" w:space="0" w:color="auto"/>
      </w:divBdr>
    </w:div>
    <w:div w:id="1155992070">
      <w:bodyDiv w:val="1"/>
      <w:marLeft w:val="0"/>
      <w:marRight w:val="0"/>
      <w:marTop w:val="0"/>
      <w:marBottom w:val="0"/>
      <w:divBdr>
        <w:top w:val="none" w:sz="0" w:space="0" w:color="auto"/>
        <w:left w:val="none" w:sz="0" w:space="0" w:color="auto"/>
        <w:bottom w:val="none" w:sz="0" w:space="0" w:color="auto"/>
        <w:right w:val="none" w:sz="0" w:space="0" w:color="auto"/>
      </w:divBdr>
    </w:div>
    <w:div w:id="1177186563">
      <w:bodyDiv w:val="1"/>
      <w:marLeft w:val="0"/>
      <w:marRight w:val="0"/>
      <w:marTop w:val="0"/>
      <w:marBottom w:val="0"/>
      <w:divBdr>
        <w:top w:val="none" w:sz="0" w:space="0" w:color="auto"/>
        <w:left w:val="none" w:sz="0" w:space="0" w:color="auto"/>
        <w:bottom w:val="none" w:sz="0" w:space="0" w:color="auto"/>
        <w:right w:val="none" w:sz="0" w:space="0" w:color="auto"/>
      </w:divBdr>
    </w:div>
    <w:div w:id="1188911111">
      <w:bodyDiv w:val="1"/>
      <w:marLeft w:val="0"/>
      <w:marRight w:val="0"/>
      <w:marTop w:val="0"/>
      <w:marBottom w:val="0"/>
      <w:divBdr>
        <w:top w:val="none" w:sz="0" w:space="0" w:color="auto"/>
        <w:left w:val="none" w:sz="0" w:space="0" w:color="auto"/>
        <w:bottom w:val="none" w:sz="0" w:space="0" w:color="auto"/>
        <w:right w:val="none" w:sz="0" w:space="0" w:color="auto"/>
      </w:divBdr>
    </w:div>
    <w:div w:id="1222208394">
      <w:bodyDiv w:val="1"/>
      <w:marLeft w:val="0"/>
      <w:marRight w:val="0"/>
      <w:marTop w:val="0"/>
      <w:marBottom w:val="0"/>
      <w:divBdr>
        <w:top w:val="none" w:sz="0" w:space="0" w:color="auto"/>
        <w:left w:val="none" w:sz="0" w:space="0" w:color="auto"/>
        <w:bottom w:val="none" w:sz="0" w:space="0" w:color="auto"/>
        <w:right w:val="none" w:sz="0" w:space="0" w:color="auto"/>
      </w:divBdr>
    </w:div>
    <w:div w:id="1250772345">
      <w:bodyDiv w:val="1"/>
      <w:marLeft w:val="0"/>
      <w:marRight w:val="0"/>
      <w:marTop w:val="0"/>
      <w:marBottom w:val="0"/>
      <w:divBdr>
        <w:top w:val="none" w:sz="0" w:space="0" w:color="auto"/>
        <w:left w:val="none" w:sz="0" w:space="0" w:color="auto"/>
        <w:bottom w:val="none" w:sz="0" w:space="0" w:color="auto"/>
        <w:right w:val="none" w:sz="0" w:space="0" w:color="auto"/>
      </w:divBdr>
    </w:div>
    <w:div w:id="1275211878">
      <w:bodyDiv w:val="1"/>
      <w:marLeft w:val="0"/>
      <w:marRight w:val="0"/>
      <w:marTop w:val="0"/>
      <w:marBottom w:val="0"/>
      <w:divBdr>
        <w:top w:val="none" w:sz="0" w:space="0" w:color="auto"/>
        <w:left w:val="none" w:sz="0" w:space="0" w:color="auto"/>
        <w:bottom w:val="none" w:sz="0" w:space="0" w:color="auto"/>
        <w:right w:val="none" w:sz="0" w:space="0" w:color="auto"/>
      </w:divBdr>
    </w:div>
    <w:div w:id="1283725592">
      <w:bodyDiv w:val="1"/>
      <w:marLeft w:val="0"/>
      <w:marRight w:val="0"/>
      <w:marTop w:val="0"/>
      <w:marBottom w:val="0"/>
      <w:divBdr>
        <w:top w:val="none" w:sz="0" w:space="0" w:color="auto"/>
        <w:left w:val="none" w:sz="0" w:space="0" w:color="auto"/>
        <w:bottom w:val="none" w:sz="0" w:space="0" w:color="auto"/>
        <w:right w:val="none" w:sz="0" w:space="0" w:color="auto"/>
      </w:divBdr>
    </w:div>
    <w:div w:id="1302687476">
      <w:bodyDiv w:val="1"/>
      <w:marLeft w:val="0"/>
      <w:marRight w:val="0"/>
      <w:marTop w:val="0"/>
      <w:marBottom w:val="0"/>
      <w:divBdr>
        <w:top w:val="none" w:sz="0" w:space="0" w:color="auto"/>
        <w:left w:val="none" w:sz="0" w:space="0" w:color="auto"/>
        <w:bottom w:val="none" w:sz="0" w:space="0" w:color="auto"/>
        <w:right w:val="none" w:sz="0" w:space="0" w:color="auto"/>
      </w:divBdr>
    </w:div>
    <w:div w:id="1343505158">
      <w:bodyDiv w:val="1"/>
      <w:marLeft w:val="0"/>
      <w:marRight w:val="0"/>
      <w:marTop w:val="0"/>
      <w:marBottom w:val="0"/>
      <w:divBdr>
        <w:top w:val="none" w:sz="0" w:space="0" w:color="auto"/>
        <w:left w:val="none" w:sz="0" w:space="0" w:color="auto"/>
        <w:bottom w:val="none" w:sz="0" w:space="0" w:color="auto"/>
        <w:right w:val="none" w:sz="0" w:space="0" w:color="auto"/>
      </w:divBdr>
    </w:div>
    <w:div w:id="1348211638">
      <w:bodyDiv w:val="1"/>
      <w:marLeft w:val="0"/>
      <w:marRight w:val="0"/>
      <w:marTop w:val="0"/>
      <w:marBottom w:val="0"/>
      <w:divBdr>
        <w:top w:val="none" w:sz="0" w:space="0" w:color="auto"/>
        <w:left w:val="none" w:sz="0" w:space="0" w:color="auto"/>
        <w:bottom w:val="none" w:sz="0" w:space="0" w:color="auto"/>
        <w:right w:val="none" w:sz="0" w:space="0" w:color="auto"/>
      </w:divBdr>
    </w:div>
    <w:div w:id="1350523224">
      <w:bodyDiv w:val="1"/>
      <w:marLeft w:val="0"/>
      <w:marRight w:val="0"/>
      <w:marTop w:val="0"/>
      <w:marBottom w:val="0"/>
      <w:divBdr>
        <w:top w:val="none" w:sz="0" w:space="0" w:color="auto"/>
        <w:left w:val="none" w:sz="0" w:space="0" w:color="auto"/>
        <w:bottom w:val="none" w:sz="0" w:space="0" w:color="auto"/>
        <w:right w:val="none" w:sz="0" w:space="0" w:color="auto"/>
      </w:divBdr>
    </w:div>
    <w:div w:id="1405955833">
      <w:bodyDiv w:val="1"/>
      <w:marLeft w:val="0"/>
      <w:marRight w:val="0"/>
      <w:marTop w:val="0"/>
      <w:marBottom w:val="0"/>
      <w:divBdr>
        <w:top w:val="none" w:sz="0" w:space="0" w:color="auto"/>
        <w:left w:val="none" w:sz="0" w:space="0" w:color="auto"/>
        <w:bottom w:val="none" w:sz="0" w:space="0" w:color="auto"/>
        <w:right w:val="none" w:sz="0" w:space="0" w:color="auto"/>
      </w:divBdr>
    </w:div>
    <w:div w:id="1409617745">
      <w:bodyDiv w:val="1"/>
      <w:marLeft w:val="0"/>
      <w:marRight w:val="0"/>
      <w:marTop w:val="0"/>
      <w:marBottom w:val="0"/>
      <w:divBdr>
        <w:top w:val="none" w:sz="0" w:space="0" w:color="auto"/>
        <w:left w:val="none" w:sz="0" w:space="0" w:color="auto"/>
        <w:bottom w:val="none" w:sz="0" w:space="0" w:color="auto"/>
        <w:right w:val="none" w:sz="0" w:space="0" w:color="auto"/>
      </w:divBdr>
    </w:div>
    <w:div w:id="1433083838">
      <w:bodyDiv w:val="1"/>
      <w:marLeft w:val="0"/>
      <w:marRight w:val="0"/>
      <w:marTop w:val="0"/>
      <w:marBottom w:val="0"/>
      <w:divBdr>
        <w:top w:val="none" w:sz="0" w:space="0" w:color="auto"/>
        <w:left w:val="none" w:sz="0" w:space="0" w:color="auto"/>
        <w:bottom w:val="none" w:sz="0" w:space="0" w:color="auto"/>
        <w:right w:val="none" w:sz="0" w:space="0" w:color="auto"/>
      </w:divBdr>
    </w:div>
    <w:div w:id="1450007422">
      <w:bodyDiv w:val="1"/>
      <w:marLeft w:val="0"/>
      <w:marRight w:val="0"/>
      <w:marTop w:val="0"/>
      <w:marBottom w:val="0"/>
      <w:divBdr>
        <w:top w:val="none" w:sz="0" w:space="0" w:color="auto"/>
        <w:left w:val="none" w:sz="0" w:space="0" w:color="auto"/>
        <w:bottom w:val="none" w:sz="0" w:space="0" w:color="auto"/>
        <w:right w:val="none" w:sz="0" w:space="0" w:color="auto"/>
      </w:divBdr>
    </w:div>
    <w:div w:id="1460031273">
      <w:bodyDiv w:val="1"/>
      <w:marLeft w:val="0"/>
      <w:marRight w:val="0"/>
      <w:marTop w:val="0"/>
      <w:marBottom w:val="0"/>
      <w:divBdr>
        <w:top w:val="none" w:sz="0" w:space="0" w:color="auto"/>
        <w:left w:val="none" w:sz="0" w:space="0" w:color="auto"/>
        <w:bottom w:val="none" w:sz="0" w:space="0" w:color="auto"/>
        <w:right w:val="none" w:sz="0" w:space="0" w:color="auto"/>
      </w:divBdr>
    </w:div>
    <w:div w:id="1468469622">
      <w:bodyDiv w:val="1"/>
      <w:marLeft w:val="0"/>
      <w:marRight w:val="0"/>
      <w:marTop w:val="0"/>
      <w:marBottom w:val="0"/>
      <w:divBdr>
        <w:top w:val="none" w:sz="0" w:space="0" w:color="auto"/>
        <w:left w:val="none" w:sz="0" w:space="0" w:color="auto"/>
        <w:bottom w:val="none" w:sz="0" w:space="0" w:color="auto"/>
        <w:right w:val="none" w:sz="0" w:space="0" w:color="auto"/>
      </w:divBdr>
    </w:div>
    <w:div w:id="1471822313">
      <w:bodyDiv w:val="1"/>
      <w:marLeft w:val="0"/>
      <w:marRight w:val="0"/>
      <w:marTop w:val="0"/>
      <w:marBottom w:val="0"/>
      <w:divBdr>
        <w:top w:val="none" w:sz="0" w:space="0" w:color="auto"/>
        <w:left w:val="none" w:sz="0" w:space="0" w:color="auto"/>
        <w:bottom w:val="none" w:sz="0" w:space="0" w:color="auto"/>
        <w:right w:val="none" w:sz="0" w:space="0" w:color="auto"/>
      </w:divBdr>
    </w:div>
    <w:div w:id="1520852222">
      <w:bodyDiv w:val="1"/>
      <w:marLeft w:val="0"/>
      <w:marRight w:val="0"/>
      <w:marTop w:val="0"/>
      <w:marBottom w:val="0"/>
      <w:divBdr>
        <w:top w:val="none" w:sz="0" w:space="0" w:color="auto"/>
        <w:left w:val="none" w:sz="0" w:space="0" w:color="auto"/>
        <w:bottom w:val="none" w:sz="0" w:space="0" w:color="auto"/>
        <w:right w:val="none" w:sz="0" w:space="0" w:color="auto"/>
      </w:divBdr>
      <w:divsChild>
        <w:div w:id="1877693330">
          <w:marLeft w:val="0"/>
          <w:marRight w:val="0"/>
          <w:marTop w:val="0"/>
          <w:marBottom w:val="75"/>
          <w:divBdr>
            <w:top w:val="none" w:sz="0" w:space="0" w:color="auto"/>
            <w:left w:val="none" w:sz="0" w:space="0" w:color="auto"/>
            <w:bottom w:val="none" w:sz="0" w:space="0" w:color="auto"/>
            <w:right w:val="none" w:sz="0" w:space="0" w:color="auto"/>
          </w:divBdr>
        </w:div>
        <w:div w:id="619992960">
          <w:marLeft w:val="0"/>
          <w:marRight w:val="0"/>
          <w:marTop w:val="0"/>
          <w:marBottom w:val="75"/>
          <w:divBdr>
            <w:top w:val="none" w:sz="0" w:space="0" w:color="auto"/>
            <w:left w:val="none" w:sz="0" w:space="0" w:color="auto"/>
            <w:bottom w:val="none" w:sz="0" w:space="0" w:color="auto"/>
            <w:right w:val="none" w:sz="0" w:space="0" w:color="auto"/>
          </w:divBdr>
        </w:div>
      </w:divsChild>
    </w:div>
    <w:div w:id="1532844141">
      <w:bodyDiv w:val="1"/>
      <w:marLeft w:val="0"/>
      <w:marRight w:val="0"/>
      <w:marTop w:val="0"/>
      <w:marBottom w:val="0"/>
      <w:divBdr>
        <w:top w:val="none" w:sz="0" w:space="0" w:color="auto"/>
        <w:left w:val="none" w:sz="0" w:space="0" w:color="auto"/>
        <w:bottom w:val="none" w:sz="0" w:space="0" w:color="auto"/>
        <w:right w:val="none" w:sz="0" w:space="0" w:color="auto"/>
      </w:divBdr>
    </w:div>
    <w:div w:id="1550531716">
      <w:bodyDiv w:val="1"/>
      <w:marLeft w:val="0"/>
      <w:marRight w:val="0"/>
      <w:marTop w:val="0"/>
      <w:marBottom w:val="0"/>
      <w:divBdr>
        <w:top w:val="none" w:sz="0" w:space="0" w:color="auto"/>
        <w:left w:val="none" w:sz="0" w:space="0" w:color="auto"/>
        <w:bottom w:val="none" w:sz="0" w:space="0" w:color="auto"/>
        <w:right w:val="none" w:sz="0" w:space="0" w:color="auto"/>
      </w:divBdr>
    </w:div>
    <w:div w:id="1573807203">
      <w:bodyDiv w:val="1"/>
      <w:marLeft w:val="0"/>
      <w:marRight w:val="0"/>
      <w:marTop w:val="0"/>
      <w:marBottom w:val="0"/>
      <w:divBdr>
        <w:top w:val="none" w:sz="0" w:space="0" w:color="auto"/>
        <w:left w:val="none" w:sz="0" w:space="0" w:color="auto"/>
        <w:bottom w:val="none" w:sz="0" w:space="0" w:color="auto"/>
        <w:right w:val="none" w:sz="0" w:space="0" w:color="auto"/>
      </w:divBdr>
    </w:div>
    <w:div w:id="1592813801">
      <w:bodyDiv w:val="1"/>
      <w:marLeft w:val="0"/>
      <w:marRight w:val="0"/>
      <w:marTop w:val="0"/>
      <w:marBottom w:val="0"/>
      <w:divBdr>
        <w:top w:val="none" w:sz="0" w:space="0" w:color="auto"/>
        <w:left w:val="none" w:sz="0" w:space="0" w:color="auto"/>
        <w:bottom w:val="none" w:sz="0" w:space="0" w:color="auto"/>
        <w:right w:val="none" w:sz="0" w:space="0" w:color="auto"/>
      </w:divBdr>
    </w:div>
    <w:div w:id="1593200379">
      <w:bodyDiv w:val="1"/>
      <w:marLeft w:val="0"/>
      <w:marRight w:val="0"/>
      <w:marTop w:val="0"/>
      <w:marBottom w:val="0"/>
      <w:divBdr>
        <w:top w:val="none" w:sz="0" w:space="0" w:color="auto"/>
        <w:left w:val="none" w:sz="0" w:space="0" w:color="auto"/>
        <w:bottom w:val="none" w:sz="0" w:space="0" w:color="auto"/>
        <w:right w:val="none" w:sz="0" w:space="0" w:color="auto"/>
      </w:divBdr>
    </w:div>
    <w:div w:id="1625690845">
      <w:bodyDiv w:val="1"/>
      <w:marLeft w:val="0"/>
      <w:marRight w:val="0"/>
      <w:marTop w:val="0"/>
      <w:marBottom w:val="0"/>
      <w:divBdr>
        <w:top w:val="none" w:sz="0" w:space="0" w:color="auto"/>
        <w:left w:val="none" w:sz="0" w:space="0" w:color="auto"/>
        <w:bottom w:val="none" w:sz="0" w:space="0" w:color="auto"/>
        <w:right w:val="none" w:sz="0" w:space="0" w:color="auto"/>
      </w:divBdr>
    </w:div>
    <w:div w:id="1643383778">
      <w:bodyDiv w:val="1"/>
      <w:marLeft w:val="0"/>
      <w:marRight w:val="0"/>
      <w:marTop w:val="0"/>
      <w:marBottom w:val="0"/>
      <w:divBdr>
        <w:top w:val="none" w:sz="0" w:space="0" w:color="auto"/>
        <w:left w:val="none" w:sz="0" w:space="0" w:color="auto"/>
        <w:bottom w:val="none" w:sz="0" w:space="0" w:color="auto"/>
        <w:right w:val="none" w:sz="0" w:space="0" w:color="auto"/>
      </w:divBdr>
    </w:div>
    <w:div w:id="1771316946">
      <w:bodyDiv w:val="1"/>
      <w:marLeft w:val="0"/>
      <w:marRight w:val="0"/>
      <w:marTop w:val="0"/>
      <w:marBottom w:val="0"/>
      <w:divBdr>
        <w:top w:val="none" w:sz="0" w:space="0" w:color="auto"/>
        <w:left w:val="none" w:sz="0" w:space="0" w:color="auto"/>
        <w:bottom w:val="none" w:sz="0" w:space="0" w:color="auto"/>
        <w:right w:val="none" w:sz="0" w:space="0" w:color="auto"/>
      </w:divBdr>
    </w:div>
    <w:div w:id="1791045112">
      <w:bodyDiv w:val="1"/>
      <w:marLeft w:val="0"/>
      <w:marRight w:val="0"/>
      <w:marTop w:val="0"/>
      <w:marBottom w:val="0"/>
      <w:divBdr>
        <w:top w:val="none" w:sz="0" w:space="0" w:color="auto"/>
        <w:left w:val="none" w:sz="0" w:space="0" w:color="auto"/>
        <w:bottom w:val="none" w:sz="0" w:space="0" w:color="auto"/>
        <w:right w:val="none" w:sz="0" w:space="0" w:color="auto"/>
      </w:divBdr>
    </w:div>
    <w:div w:id="1814568027">
      <w:bodyDiv w:val="1"/>
      <w:marLeft w:val="0"/>
      <w:marRight w:val="0"/>
      <w:marTop w:val="0"/>
      <w:marBottom w:val="0"/>
      <w:divBdr>
        <w:top w:val="none" w:sz="0" w:space="0" w:color="auto"/>
        <w:left w:val="none" w:sz="0" w:space="0" w:color="auto"/>
        <w:bottom w:val="none" w:sz="0" w:space="0" w:color="auto"/>
        <w:right w:val="none" w:sz="0" w:space="0" w:color="auto"/>
      </w:divBdr>
    </w:div>
    <w:div w:id="1850024345">
      <w:bodyDiv w:val="1"/>
      <w:marLeft w:val="0"/>
      <w:marRight w:val="0"/>
      <w:marTop w:val="0"/>
      <w:marBottom w:val="0"/>
      <w:divBdr>
        <w:top w:val="none" w:sz="0" w:space="0" w:color="auto"/>
        <w:left w:val="none" w:sz="0" w:space="0" w:color="auto"/>
        <w:bottom w:val="none" w:sz="0" w:space="0" w:color="auto"/>
        <w:right w:val="none" w:sz="0" w:space="0" w:color="auto"/>
      </w:divBdr>
    </w:div>
    <w:div w:id="1872064086">
      <w:bodyDiv w:val="1"/>
      <w:marLeft w:val="0"/>
      <w:marRight w:val="0"/>
      <w:marTop w:val="0"/>
      <w:marBottom w:val="0"/>
      <w:divBdr>
        <w:top w:val="none" w:sz="0" w:space="0" w:color="auto"/>
        <w:left w:val="none" w:sz="0" w:space="0" w:color="auto"/>
        <w:bottom w:val="none" w:sz="0" w:space="0" w:color="auto"/>
        <w:right w:val="none" w:sz="0" w:space="0" w:color="auto"/>
      </w:divBdr>
    </w:div>
    <w:div w:id="1893616852">
      <w:bodyDiv w:val="1"/>
      <w:marLeft w:val="0"/>
      <w:marRight w:val="0"/>
      <w:marTop w:val="0"/>
      <w:marBottom w:val="0"/>
      <w:divBdr>
        <w:top w:val="none" w:sz="0" w:space="0" w:color="auto"/>
        <w:left w:val="none" w:sz="0" w:space="0" w:color="auto"/>
        <w:bottom w:val="none" w:sz="0" w:space="0" w:color="auto"/>
        <w:right w:val="none" w:sz="0" w:space="0" w:color="auto"/>
      </w:divBdr>
    </w:div>
    <w:div w:id="1919052253">
      <w:bodyDiv w:val="1"/>
      <w:marLeft w:val="0"/>
      <w:marRight w:val="0"/>
      <w:marTop w:val="0"/>
      <w:marBottom w:val="0"/>
      <w:divBdr>
        <w:top w:val="none" w:sz="0" w:space="0" w:color="auto"/>
        <w:left w:val="none" w:sz="0" w:space="0" w:color="auto"/>
        <w:bottom w:val="none" w:sz="0" w:space="0" w:color="auto"/>
        <w:right w:val="none" w:sz="0" w:space="0" w:color="auto"/>
      </w:divBdr>
    </w:div>
    <w:div w:id="2000041871">
      <w:bodyDiv w:val="1"/>
      <w:marLeft w:val="0"/>
      <w:marRight w:val="0"/>
      <w:marTop w:val="0"/>
      <w:marBottom w:val="0"/>
      <w:divBdr>
        <w:top w:val="none" w:sz="0" w:space="0" w:color="auto"/>
        <w:left w:val="none" w:sz="0" w:space="0" w:color="auto"/>
        <w:bottom w:val="none" w:sz="0" w:space="0" w:color="auto"/>
        <w:right w:val="none" w:sz="0" w:space="0" w:color="auto"/>
      </w:divBdr>
    </w:div>
    <w:div w:id="2005162594">
      <w:bodyDiv w:val="1"/>
      <w:marLeft w:val="0"/>
      <w:marRight w:val="0"/>
      <w:marTop w:val="0"/>
      <w:marBottom w:val="0"/>
      <w:divBdr>
        <w:top w:val="none" w:sz="0" w:space="0" w:color="auto"/>
        <w:left w:val="none" w:sz="0" w:space="0" w:color="auto"/>
        <w:bottom w:val="none" w:sz="0" w:space="0" w:color="auto"/>
        <w:right w:val="none" w:sz="0" w:space="0" w:color="auto"/>
      </w:divBdr>
    </w:div>
    <w:div w:id="2019773751">
      <w:bodyDiv w:val="1"/>
      <w:marLeft w:val="0"/>
      <w:marRight w:val="0"/>
      <w:marTop w:val="0"/>
      <w:marBottom w:val="0"/>
      <w:divBdr>
        <w:top w:val="none" w:sz="0" w:space="0" w:color="auto"/>
        <w:left w:val="none" w:sz="0" w:space="0" w:color="auto"/>
        <w:bottom w:val="none" w:sz="0" w:space="0" w:color="auto"/>
        <w:right w:val="none" w:sz="0" w:space="0" w:color="auto"/>
      </w:divBdr>
    </w:div>
    <w:div w:id="2026130661">
      <w:bodyDiv w:val="1"/>
      <w:marLeft w:val="0"/>
      <w:marRight w:val="0"/>
      <w:marTop w:val="0"/>
      <w:marBottom w:val="0"/>
      <w:divBdr>
        <w:top w:val="none" w:sz="0" w:space="0" w:color="auto"/>
        <w:left w:val="none" w:sz="0" w:space="0" w:color="auto"/>
        <w:bottom w:val="none" w:sz="0" w:space="0" w:color="auto"/>
        <w:right w:val="none" w:sz="0" w:space="0" w:color="auto"/>
      </w:divBdr>
    </w:div>
    <w:div w:id="2026517888">
      <w:bodyDiv w:val="1"/>
      <w:marLeft w:val="0"/>
      <w:marRight w:val="0"/>
      <w:marTop w:val="0"/>
      <w:marBottom w:val="0"/>
      <w:divBdr>
        <w:top w:val="none" w:sz="0" w:space="0" w:color="auto"/>
        <w:left w:val="none" w:sz="0" w:space="0" w:color="auto"/>
        <w:bottom w:val="none" w:sz="0" w:space="0" w:color="auto"/>
        <w:right w:val="none" w:sz="0" w:space="0" w:color="auto"/>
      </w:divBdr>
    </w:div>
    <w:div w:id="2066099318">
      <w:bodyDiv w:val="1"/>
      <w:marLeft w:val="0"/>
      <w:marRight w:val="0"/>
      <w:marTop w:val="0"/>
      <w:marBottom w:val="0"/>
      <w:divBdr>
        <w:top w:val="none" w:sz="0" w:space="0" w:color="auto"/>
        <w:left w:val="none" w:sz="0" w:space="0" w:color="auto"/>
        <w:bottom w:val="none" w:sz="0" w:space="0" w:color="auto"/>
        <w:right w:val="none" w:sz="0" w:space="0" w:color="auto"/>
      </w:divBdr>
    </w:div>
    <w:div w:id="2106261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renene.2025.12404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procir.2022.02.129"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enpol.2025.11479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i.org/10.32628/CSEIT25113410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searchgate.net/profile/Adepeju-Sanusi?_tp=eyJjb250ZXh0Ijp7ImZpcnN0UGFnZSI6InB1YmxpY2F0aW9uIiwicGFnZSI6InB1YmxpY2F0aW9uIn19"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IPC22</b:Tag>
    <b:SourceType>Report</b:SourceType>
    <b:Guid>{AD6B9936-85BB-46AE-A99D-01B013753BBF}</b:Guid>
    <b:Author>
      <b:Author>
        <b:NameList>
          <b:Person>
            <b:Last>IPCC.</b:Last>
          </b:Person>
        </b:NameList>
      </b:Author>
    </b:Author>
    <b:Title> (Climate Change 2022: Impacts, Adaptation and Vulnerability. Contribution of Working Group II to the Sixth Assessment Report of the Intergovernmental Panel on Climate Change.</b:Title>
    <b:Year>2022</b:Year>
    <b:Publisher> Cambridge University Press. https://www.ipcc.ch/report/ar6/wg2/</b:Publisher>
    <b:City>Cambridge</b:City>
    <b:RefOrder>2</b:RefOrder>
  </b:Source>
  <b:Source>
    <b:Tag>IRE20</b:Tag>
    <b:SourceType>Report</b:SourceType>
    <b:Guid>{03FD6F86-4143-4BB4-B748-4B4FA15F7686}</b:Guid>
    <b:Author>
      <b:Author>
        <b:Corporate>IRENA (International Renewable Energy Agency).  </b:Corporate>
      </b:Author>
    </b:Author>
    <b:Title>Renewable Mini-Grids: Innovation Landscape Brief. </b:Title>
    <b:Year>2020</b:Year>
    <b:Publisher>RENA.</b:Publisher>
    <b:City>Abu Dhabi: I</b:City>
    <b:RefOrder>3</b:RefOrder>
  </b:Source>
  <b:Source>
    <b:Tag>Sha221</b:Tag>
    <b:SourceType>JournalArticle</b:SourceType>
    <b:Guid>{34DEF932-58D5-4679-9B66-774C29CEF7E0}</b:Guid>
    <b:Author>
      <b:Author>
        <b:NameList>
          <b:Person>
            <b:Last>Shah</b:Last>
            <b:First>K.</b:First>
            <b:Middle>U., Bisaga, I., &amp; Jimenez, A.</b:Middle>
          </b:Person>
        </b:NameList>
      </b:Author>
    </b:Author>
    <b:Title>Designing Resilient Mini Grids for Climate Adaptation. </b:Title>
    <b:Year>2022</b:Year>
    <b:JournalName>Energy Research &amp; Social Science, </b:JournalName>
    <b:Pages>102408. https://doi.org/10.1016/j.erss.2021.102408</b:Pages>
    <b:Volume>85, </b:Volume>
    <b:RefOrder>4</b:RefOrder>
  </b:Source>
  <b:Source>
    <b:Tag>Has20</b:Tag>
    <b:SourceType>JournalArticle</b:SourceType>
    <b:Guid>{8C3E0FF1-46D1-4BB0-BF66-9BBDA73B3772}</b:Guid>
    <b:Author>
      <b:Author>
        <b:NameList>
          <b:Person>
            <b:Last>Hassan</b:Last>
            <b:First>M.</b:First>
            <b:Middle>A., Hassan, M. A., &amp; Rehman, S. (2020).</b:Middle>
          </b:Person>
        </b:NameList>
      </b:Author>
    </b:Author>
    <b:Title>Hybrid mini grid systems for rural electrification: A review. </b:Title>
    <b:JournalName>Renewable and Sustainable Energy Reviews, </b:JournalName>
    <b:Year>2020</b:Year>
    <b:Pages>110256.</b:Pages>
    <b:Volume>33</b:Volume>
    <b:RefOrder>5</b:RefOrder>
  </b:Source>
  <b:Source>
    <b:Tag>Wor201</b:Tag>
    <b:SourceType>Report</b:SourceType>
    <b:Guid>{85625059-F8BF-4807-9B8C-64231A65A292}</b:Guid>
    <b:Title>Mini Grids for Half a Billion People: Market Outlook and Handbook for Decision Makers. </b:Title>
    <b:Year>2020</b:Year>
    <b:Author>
      <b:Author>
        <b:NameList>
          <b:Person>
            <b:Last>Bank.</b:Last>
            <b:First>World</b:First>
          </b:Person>
        </b:NameList>
      </b:Author>
    </b:Author>
    <b:Publisher>World Bank Group. https://openknowledge.worldbank.org/handle/10986/32384</b:Publisher>
    <b:City>Washington, DC: </b:City>
    <b:RefOrder>6</b:RefOrder>
  </b:Source>
  <b:Source>
    <b:Tag>Wor214</b:Tag>
    <b:SourceType>Report</b:SourceType>
    <b:Guid>{F0D144A7-2FD0-4F73-A5A2-38FA2D5AD112}</b:Guid>
    <b:Author>
      <b:Author>
        <b:NameList>
          <b:Person>
            <b:Last>Bank.</b:Last>
            <b:First>World</b:First>
          </b:Person>
        </b:NameList>
      </b:Author>
    </b:Author>
    <b:Title> Enhancing the Climate Resilience of Energy Systems. </b:Title>
    <b:Year>2021</b:Year>
    <b:Publisher>World Bank Group. https://documents.worldbank.org/en/publication/documents-reports/documentdetail/227491619005360433/enhancing-the-climate-resilience-of-energy-systems</b:Publisher>
    <b:City>Washington DC</b:City>
    <b:RefOrder>7</b:RefOrder>
  </b:Source>
  <b:Source>
    <b:Tag>Ade21</b:Tag>
    <b:SourceType>JournalArticle</b:SourceType>
    <b:Guid>{DC20932F-F574-4388-804A-79AAF77912FB}</b:Guid>
    <b:Title> Governance and sustainability of renewable energy mini grids in sub-Saharan Africa. </b:Title>
    <b:Year>(2021).</b:Year>
    <b:Author>
      <b:Author>
        <b:NameList>
          <b:Person>
            <b:Last>Adeoti</b:Last>
            <b:First>O.,</b:First>
            <b:Middle>Eze, E., &amp; Adeniran, J.</b:Middle>
          </b:Person>
        </b:NameList>
      </b:Author>
    </b:Author>
    <b:JournalName>Renewable Energy, </b:JournalName>
    <b:Pages>1234–1246.</b:Pages>
    <b:Volume>171,</b:Volume>
    <b:RefOrder>8</b:RefOrder>
  </b:Source>
  <b:Source>
    <b:Tag>Int20</b:Tag>
    <b:SourceType>Report</b:SourceType>
    <b:Guid>{4687F46C-0818-49F4-865E-BF5ABFDC9D27}</b:Guid>
    <b:Title>Renewable Energy and Jobs – Annual Review 2020.</b:Title>
    <b:Year>2020</b:Year>
    <b:Author>
      <b:Author>
        <b:NameList>
          <b:Person>
            <b:Last>(IRENA).</b:Last>
            <b:First>International</b:First>
            <b:Middle>Renewable Energy Agency</b:Middle>
          </b:Person>
        </b:NameList>
      </b:Author>
    </b:Author>
    <b:Publisher> IRENA. https://www.irena.org/publications/2020/Sep/Renewable-Energy-and-Jobs-Annual-Review-2020</b:Publisher>
    <b:City> Abu Dhabi:</b:City>
    <b:RefOrder>9</b:RefOrder>
  </b:Source>
  <b:Source>
    <b:Tag>Pag21</b:Tag>
    <b:SourceType>JournalArticle</b:SourceType>
    <b:Guid>{B90A8250-047D-4484-AF5E-D33A4304847E}</b:Guid>
    <b:Author>
      <b:Author>
        <b:NameList>
          <b:Person>
            <b:Last>Page</b:Last>
            <b:First>M.</b:First>
            <b:Middle>J. et al.</b:Middle>
          </b:Person>
        </b:NameList>
      </b:Author>
    </b:Author>
    <b:Title>The PRISMA 2020 statement: an updated guideline for reporting systematic reviews.</b:Title>
    <b:Year>2021</b:Year>
    <b:City> BMJ, 372:n71. https://doi.org/10.1136/bmj.n71</b:City>
    <b:JournalName> BMJ, </b:JournalName>
    <b:Pages> https://doi.org/10.1136/bmj.n71</b:Pages>
    <b:Volume>372</b:Volume>
    <b:Issue>71</b:Issue>
    <b:RefOrder>10</b:RefOrder>
  </b:Source>
  <b:Source>
    <b:Tag>Moh09</b:Tag>
    <b:SourceType>JournalArticle</b:SourceType>
    <b:Guid>{679997EA-697C-4B29-9C51-98FDB4658BB7}</b:Guid>
    <b:Author>
      <b:Author>
        <b:Corporate>Moher, D., Liberati, A., Tetzlaff, J., Altman, D.G., &amp; PRISMA Group. </b:Corporate>
      </b:Author>
    </b:Author>
    <b:Title>Preferred reporting items for systematic reviews and meta-analyses: The PRISMA statement. </b:Title>
    <b:JournalName>PLoS Medicine,</b:JournalName>
    <b:Year>2009</b:Year>
    <b:Pages>e1000097. https://doi.org/10.1371/journal.pmed.1000097</b:Pages>
    <b:Volume>6</b:Volume>
    <b:Issue>7</b:Issue>
    <b:RefOrder>11</b:RefOrder>
  </b:Source>
  <b:Source>
    <b:Tag>Moo20</b:Tag>
    <b:SourceType>BookSection</b:SourceType>
    <b:Guid>{A6A87960-E34D-4811-8BE4-13CF8D539630}</b:Guid>
    <b:Author>
      <b:Author>
        <b:NameList>
          <b:Person>
            <b:Last>Moola</b:Last>
            <b:First>S.</b:First>
            <b:Middle>et al..</b:Middle>
          </b:Person>
        </b:NameList>
      </b:Author>
    </b:Author>
    <b:Title>Chapter 7: Systematic reviews of etiology and risk.</b:Title>
    <b:BookTitle> (2020). Chapter 7: SystIn E. Aromataris &amp; Z. Munn (Eds.), JBI Manual for Evidence Synthesis</b:BookTitle>
    <b:Year>2020</b:Year>
    <b:Pages>
		</b:Pages>
    <b:Publisher> Joanna Briggs Institute</b:Publisher>
    <b:RefOrder>12</b:RefOrder>
  </b:Source>
  <b:Source>
    <b:Tag>CAS18</b:Tag>
    <b:SourceType>Report</b:SourceType>
    <b:Guid>{16BE33A2-AD04-4B1B-97BA-F40C47970FB8}</b:Guid>
    <b:Author>
      <b:Author>
        <b:Corporate>CASP.</b:Corporate>
      </b:Author>
    </b:Author>
    <b:Title>CASP Qualitative Checklist. Critical Appraisal Skills Programme. </b:Title>
    <b:Year>2018</b:Year>
    <b:Publisher>https://casp-uk.net/casp-tools-checklists/</b:Publisher>
    <b:RefOrder>13</b:RefOrder>
  </b:Source>
  <b:Source>
    <b:Tag>Hon18</b:Tag>
    <b:SourceType>Book</b:SourceType>
    <b:Guid>{37B592EE-47A0-4F75-A6CC-A0C484601432}</b:Guid>
    <b:Title>Mixed Methods Appraisal Tool (MMAT), Version 2018. </b:Title>
    <b:Year>2018</b:Year>
    <b:Publisher>http://mixedmethodsappraisaltoolpublic.pbworks.com/</b:Publisher>
    <b:Author>
      <b:Author>
        <b:NameList>
          <b:Person>
            <b:Last>Hong</b:Last>
            <b:First>Q.N.</b:First>
            <b:Middle>et al.</b:Middle>
          </b:Person>
        </b:NameList>
      </b:Author>
    </b:Author>
    <b:RefOrder>14</b:RefOrder>
  </b:Source>
  <b:Source>
    <b:Tag>Pop06</b:Tag>
    <b:SourceType>JournalArticle</b:SourceType>
    <b:Guid>{DB87AEF3-CFB7-4015-96B0-A780C745C24A}</b:Guid>
    <b:Title>(2006). Guidance on the Conduct of Narrative Synthesis in Systematic Reviews. </b:Title>
    <b:Year>2006</b:Year>
    <b:Author>
      <b:Author>
        <b:NameList>
          <b:Person>
            <b:Last>Popay</b:Last>
            <b:First>J.</b:First>
            <b:Middle>et al.</b:Middle>
          </b:Person>
        </b:NameList>
      </b:Author>
    </b:Author>
    <b:JournalName>ESRC Methods Programme</b:JournalName>
    <b:Pages>(2006). Guidance on the Conduct of Narrative Synthesis in Systematic Reviews. E https://www.lancaster.ac.uk/media/lancaster-university/content-assets/documents/fhm/dhr/chir/NSsynthesisguidanceVersion1-April2006.pdf</b:Pages>
    <b:RefOrder>15</b:RefOrder>
  </b:Source>
  <b:Source>
    <b:Tag>Kum20</b:Tag>
    <b:SourceType>JournalArticle</b:SourceType>
    <b:Guid>{5CCA578D-3ACE-426A-AC9C-240D7CD4C4C6}</b:Guid>
    <b:Author>
      <b:Author>
        <b:NameList>
          <b:Person>
            <b:Last>Kumar</b:Last>
            <b:First>R.,</b:First>
            <b:Middle>Singh, N., &amp; Sharma, A.</b:Middle>
          </b:Person>
        </b:NameList>
      </b:Author>
    </b:Author>
    <b:Title>Maintenance challenges in renewable energy mini grids. </b:Title>
    <b:JournalName>Energy Procedia, </b:JournalName>
    <b:Year>2020</b:Year>
    <b:Pages> 234–241.</b:Pages>
    <b:Volume>160</b:Volume>
    <b:RefOrder>16</b:RefOrder>
  </b:Source>
  <b:Source>
    <b:Tag>Mwa19</b:Tag>
    <b:SourceType>JournalArticle</b:SourceType>
    <b:Guid>{39F20AD1-2B8D-4551-966B-0D0AE1893E17}</b:Guid>
    <b:Author>
      <b:Author>
        <b:NameList>
          <b:Person>
            <b:Last>Mwangi</b:Last>
            <b:First>J.,</b:First>
            <b:Middle>&amp; Oduor, P.</b:Middle>
          </b:Person>
        </b:NameList>
      </b:Author>
    </b:Author>
    <b:Title> Supply chain constraints in renewable mini grids. </b:Title>
    <b:JournalName>Renewable Energy, </b:JournalName>
    <b:Year>2019</b:Year>
    <b:Pages>1029-1036</b:Pages>
    <b:Volume>134</b:Volume>
    <b:RefOrder>17</b:RefOrder>
  </b:Source>
  <b:Source>
    <b:Tag>Sil21</b:Tag>
    <b:SourceType>JournalArticle</b:SourceType>
    <b:Guid>{3D608C1A-F9CC-46D7-9565-99508D913A45}</b:Guid>
    <b:Author>
      <b:Author>
        <b:NameList>
          <b:Person>
            <b:Last>Silva</b:Last>
            <b:First>B.</b:First>
            <b:Middle>T., Pindado, S., &amp; Castro, R. .</b:Middle>
          </b:Person>
        </b:NameList>
      </b:Author>
    </b:Author>
    <b:Title>Battery-integrated mini grids in Africa: Performance and sustainability. </b:Title>
    <b:JournalName>Energy,</b:JournalName>
    <b:Year>2021</b:Year>
    <b:Volume>235</b:Volume>
    <b:Issue> 121314</b:Issue>
    <b:RefOrder>18</b:RefOrder>
  </b:Source>
  <b:Source>
    <b:Tag>Bez21</b:Tag>
    <b:SourceType>JournalArticle</b:SourceType>
    <b:Guid>{6414C246-DB67-4658-BD82-F992E511ED57}</b:Guid>
    <b:Author>
      <b:Author>
        <b:NameList>
          <b:Person>
            <b:Last>Beza</b:Last>
            <b:First>T.M.,</b:First>
            <b:Middle>Wu, C.-H., &amp; Kuo, C.-C.,</b:Middle>
          </b:Person>
        </b:NameList>
      </b:Author>
    </b:Author>
    <b:Title>Optimal Sizing and Techno-Economic Analysis of Minigrid Hybrid Renewable Energy System for Tourist Destination Islands of Lake Tana, Ethiopia. </b:Title>
    <b:JournalName>2021. Optimal Sizing and Techno-Economic Analysis of Minigrid Hybrid Renewable Energy System for Applied Sciences, </b:JournalName>
    <b:Year>2021</b:Year>
    <b:Pages>7085. https://doi.org/10.3390/app11157085</b:Pages>
    <b:Volume>11</b:Volume>
    <b:Issue>15</b:Issue>
    <b:RefOrder>19</b:RefOrder>
  </b:Source>
  <b:Source>
    <b:Tag>Bha18</b:Tag>
    <b:SourceType>JournalArticle</b:SourceType>
    <b:Guid>{296DBC5C-317E-495E-BC17-1B146D70691A}</b:Guid>
    <b:Author>
      <b:Author>
        <b:NameList>
          <b:Person>
            <b:Last>Bhattacharyya</b:Last>
            <b:First>S.C.,</b:First>
            <b:Middle>Palit, D., &amp; Sarangi, G.K.,</b:Middle>
          </b:Person>
        </b:NameList>
      </b:Author>
    </b:Author>
    <b:Title>Bhattacharyya, S.C., PaliA bottom-up approach to community mini-grids in India: Models, performance, and policy implications.</b:Title>
    <b:JournalName>Bhattacharyya, S.C., Palit, D., &amp; Sarangi, G.K., 2018. A bottom-up approach to community mini-grids in India: ModelEnergy, Sustainability and Society, </b:JournalName>
    <b:Year>2018</b:Year>
    <b:Pages>Bhattacharyya, S.C., Palit, D., &amp; Sarangi, G.K., 2018. A bottom-up approach to community mini-grids in India: Models, pp.1–12. https://doi.org/10.1186/s13705-018-0185-9</b:Pages>
    <b:Volume>8</b:Volume>
    <b:Issue>1</b:Issue>
    <b:RefOrder>20</b:RefOrder>
  </b:Source>
  <b:Source>
    <b:Tag>Kin19</b:Tag>
    <b:SourceType>Report</b:SourceType>
    <b:Guid>{218E9237-4EBF-41AA-8388-C17EBA1950B5}</b:Guid>
    <b:Title> Business Model Innovation and Sustainability in the East African Mini-grid Sector. Master’s Thesis,</b:Title>
    <b:Year>2019</b:Year>
    <b:Author>
      <b:Author>
        <b:NameList>
          <b:Person>
            <b:Last>Kinhonhi</b:Last>
            <b:First>M.,</b:First>
          </b:Person>
        </b:NameList>
      </b:Author>
    </b:Author>
    <b:Publisher>Kinhonhi, M., 2019. Business Model Innovation and Sustainability in the East Afr University of Cape Town. Available at: https://open.uct.ac.za/handle/11427/31282</b:Publisher>
    <b:City>Cape town</b:City>
    <b:RefOrder>21</b:RefOrder>
  </b:Source>
  <b:Source>
    <b:Tag>Gre20</b:Tag>
    <b:SourceType>JournalArticle</b:SourceType>
    <b:Guid>{8101ADE7-BB27-4735-B9AC-8F2278D48283}</b:Guid>
    <b:Author>
      <b:Author>
        <b:NameList>
          <b:Person>
            <b:Last>Greacen</b:Last>
            <b:First>C.,</b:First>
            <b:Middle>Engel, R., &amp; Quetchenbach, T.</b:Middle>
          </b:Person>
        </b:NameList>
      </b:Author>
    </b:Author>
    <b:Title>Myanmar’s Mini-Grid Program: An Analysis of Policy and Regulatory Barriers. </b:Title>
    <b:Year>2020</b:Year>
    <b:Pages>111414. https://doi.org/10.1016/j.enpol.2020.111414</b:Pages>
    <b:JournalName>Energy Policy,</b:JournalName>
    <b:Volume>140</b:Volume>
    <b:RefOrder>22</b:RefOrder>
  </b:Source>
  <b:Source>
    <b:Tag>Kir09</b:Tag>
    <b:SourceType>JournalArticle</b:SourceType>
    <b:Guid>{12AE5344-FDBE-4F3C-9119-BD46F2288F4F}</b:Guid>
    <b:Author>
      <b:Author>
        <b:NameList>
          <b:Person>
            <b:Last>Kirubi</b:Last>
            <b:First>C.,</b:First>
            <b:Middle>Jacobson, A., Kammen, D.M. &amp; Mills, A.,</b:Middle>
          </b:Person>
        </b:NameList>
      </b:Author>
    </b:Author>
    <b:Title>Community-Based Electric Micro-Grids Can Contribute to Rural Development: Evidence from Kenya. </b:Title>
    <b:JournalName>World Development, </b:JournalName>
    <b:Year>2009</b:Year>
    <b:Pages>1208–1221. https://doi.org/10.1016/j.worlddev.2008.11.005</b:Pages>
    <b:Volume>37</b:Volume>
    <b:Issue>7</b:Issue>
    <b:RefOrder>23</b:RefOrder>
  </b:Source>
  <b:Source>
    <b:Tag>Rat21</b:Tag>
    <b:SourceType>JournalArticle</b:SourceType>
    <b:Guid>{907A0238-4B19-464C-A4C3-741B3C9336FB}</b:Guid>
    <b:Author>
      <b:Author>
        <b:NameList>
          <b:Person>
            <b:Last>Rathore</b:Last>
            <b:First>N.C.,</b:First>
            <b:Middle>Nanda, A.B., Bhol, S., Jena, A.K. &amp; Rout, P.,</b:Middle>
          </b:Person>
        </b:NameList>
      </b:Author>
    </b:Author>
    <b:Title>Reliability assessment and cost estimation of a hybrid renewable micro‑grid system.In: Green Technology for Smart City and Society. Lecture Notes in Networks and Systems,</b:Title>
    <b:JournalName> vol. 151. Spring</b:JournalName>
    <b:Year>2021</b:Year>
    <b:Volume>151</b:Volume>
    <b:RefOrder>24</b:RefOrder>
  </b:Source>
  <b:Source>
    <b:Tag>Bas23</b:Tag>
    <b:SourceType>JournalArticle</b:SourceType>
    <b:Guid>{3C67D49F-49C5-4429-A347-24E02118D994}</b:Guid>
    <b:Author>
      <b:Author>
        <b:NameList>
          <b:Person>
            <b:Last>Basnet</b:Last>
            <b:First>B.,</b:First>
            <b:Middle>Bhandari, J., &amp; Jibran, J.A., 2</b:Middle>
          </b:Person>
        </b:NameList>
      </b:Author>
    </b:Author>
    <b:Title>Techno‑Economic Feasibility Analysis of 143 kW Solar Mini Grid for Rural Electrification in Gokule Village,</b:Title>
    <b:JournalName> Nepal. American Journal of Modern Energy, 9(3), </b:JournalName>
    <b:Year>2023</b:Year>
    <b:Pages>pp.65–76. doi:10.11648/j.ajme.20230903.12</b:Pages>
    <b:Volume>9</b:Volume>
    <b:Issue>3</b:Issue>
    <b:RefOrder>25</b:RefOrder>
  </b:Source>
  <b:Source>
    <b:Tag>Fro24</b:Tag>
    <b:SourceType>JournalArticle</b:SourceType>
    <b:Guid>{0F896EEC-1C78-41B7-BF21-483D23D14B32}</b:Guid>
    <b:Author>
      <b:Author>
        <b:Corporate>Frontiers in Energy Research,  </b:Corporate>
      </b:Author>
    </b:Author>
    <b:Title>Technical, economic, and environmental feasibility assessment of solar‑battery‑generator hybrid energy systems: a case study in Nigeria. </b:Title>
    <b:JournalName>Front. Energy Res.</b:JournalName>
    <b:Year>2024</b:Year>
    <b:Volume>12</b:Volume>
    <b:RefOrder>26</b:RefOrder>
  </b:Source>
  <b:Source>
    <b:Tag>Sti22</b:Tag>
    <b:SourceType>JournalArticle</b:SourceType>
    <b:Guid>{2E6EAFA5-F602-44AA-A978-8CABE944A775}</b:Guid>
    <b:Author>
      <b:Author>
        <b:NameList>
          <b:Person>
            <b:Last>Stinder</b:Last>
            <b:First>A.K.</b:First>
            <b:Middle>et al.,</b:Middle>
          </b:Person>
        </b:NameList>
      </b:Author>
    </b:Author>
    <b:Title> 2022. A generic GHG‑LCA model of a smart mini grid for decision making using the example of the Don Bosco mini grid in Tema, Ghana. </b:Title>
    <b:JournalName>Procedia CIRP, </b:JournalName>
    <b:Year>2022</b:Year>
    <b:Pages>pp.776–781. ~0.055 kg CO₂/kWh life‑cycle emissions</b:Pages>
    <b:Volume>105</b:Volume>
    <b:RefOrder>27</b:RefOrder>
  </b:Source>
  <b:Source>
    <b:Tag>Jeu23</b:Tag>
    <b:SourceType>JournalArticle</b:SourceType>
    <b:Guid>{1ACD48BE-EA4E-4DB2-AEB2-553D37E8B118}</b:Guid>
    <b:Author>
      <b:Author>
        <b:NameList>
          <b:Person>
            <b:Last>Jeuland</b:Last>
            <b:First>M.,</b:First>
            <b:Middle>Taneja, J., &amp; Parikh, P.</b:Middle>
          </b:Person>
        </b:NameList>
      </b:Author>
    </b:Author>
    <b:Title> Sustainable Energy Transitions in East Africa: Barriers and Opportunities for Mini‑Grid Providers. </b:Title>
    <b:JournalName>Oxford Energy Review, </b:JournalName>
    <b:Year>2023</b:Year>
    <b:Pages>22–34. [Available at: https://www.oxfordenergy.org/publications/oxford-energy-rev</b:Pages>
    <b:Volume>45</b:Volume>
    <b:Issue>3</b:Issue>
    <b:RefOrder>28</b:RefOrder>
  </b:Source>
  <b:Source>
    <b:Tag>Jum20</b:Tag>
    <b:SourceType>JournalArticle</b:SourceType>
    <b:Guid>{F07D05CB-8E17-4B38-ABC5-A870CDC45BB7}</b:Guid>
    <b:Author>
      <b:Author>
        <b:NameList>
          <b:Person>
            <b:Last>Juma</b:Last>
            <b:First>C.,</b:First>
            <b:Middle>&amp; Karanja, L.</b:Middle>
          </b:Person>
        </b:NameList>
      </b:Author>
    </b:Author>
    <b:Title>Institutional barriers in mini grid deployment in East Africa. </b:Title>
    <b:JournalName>Energy Reports, </b:JournalName>
    <b:Year>2020</b:Year>
    <b:Pages>43-50</b:Pages>
    <b:Volume>6</b:Volume>
    <b:RefOrder>29</b:RefOrder>
  </b:Source>
  <b:Source>
    <b:Tag>Men22</b:Tag>
    <b:SourceType>JournalArticle</b:SourceType>
    <b:Guid>{B82A1308-4A9A-4EF9-B32A-2B02D34F90D6}</b:Guid>
    <b:Author>
      <b:Author>
        <b:NameList>
          <b:Person>
            <b:Last>Mensah</b:Last>
            <b:First>J.,</b:First>
            <b:Middle>&amp; Osei, R. (</b:Middle>
          </b:Person>
        </b:NameList>
      </b:Author>
    </b:Author>
    <b:Title>Gender dynamics in renewable energy mini grid projects in Africa. </b:Title>
    <b:JournalName>Energy Research &amp; Social Science, 83, </b:JournalName>
    <b:Year>2022</b:Year>
    <b:Pages>102329.</b:Pages>
    <b:Volume>83</b:Volume>
    <b:RefOrder>30</b:RefOrder>
  </b:Source>
  <b:Source>
    <b:Tag>Mül19</b:Tag>
    <b:SourceType>JournalArticle</b:SourceType>
    <b:Guid>{3BF38968-2F85-41EB-ADF5-5B48EEE45308}</b:Guid>
    <b:Author>
      <b:Author>
        <b:NameList>
          <b:Person>
            <b:Last>Müller</b:Last>
            <b:First>A.,</b:First>
            <b:Middle>Breyer, C., &amp; Bogdanov, D.</b:Middle>
          </b:Person>
        </b:NameList>
      </b:Author>
    </b:Author>
    <b:Title> Hybrid renewable mini grids: Cost and performance analysis.</b:Title>
    <b:JournalName> Applied Energy, 255, .</b:JournalName>
    <b:Year>2019</b:Year>
    <b:Pages>113869</b:Pages>
    <b:Volume>255</b:Volume>
    <b:RefOrder>31</b:RefOrder>
  </b:Source>
  <b:Source>
    <b:Tag>Kum21</b:Tag>
    <b:SourceType>JournalArticle</b:SourceType>
    <b:Guid>{B5A77079-E421-43D6-9E25-25CAB937246E}</b:Guid>
    <b:Author>
      <b:Author>
        <b:NameList>
          <b:Person>
            <b:Last>Kumar</b:Last>
            <b:First>A.,</b:First>
            <b:Middle>&amp; Gupta, S. .</b:Middle>
          </b:Person>
        </b:NameList>
      </b:Author>
    </b:Author>
    <b:Title>Financial and technical challenges in mini grid projects: A systematic review.</b:Title>
    <b:JournalName> Sustainable Energy Technologies and Assessments,</b:JournalName>
    <b:Year>2021</b:Year>
    <b:Pages>101593</b:Pages>
    <b:Volume>48</b:Volume>
    <b:RefOrder>32</b:RefOrder>
  </b:Source>
  <b:Source>
    <b:Tag>Njo19</b:Tag>
    <b:SourceType>JournalArticle</b:SourceType>
    <b:Guid>{AEC26DC5-52B8-4300-9ADA-DA760E6A7908}</b:Guid>
    <b:Author>
      <b:Author>
        <b:NameList>
          <b:Person>
            <b:Last>Njoroge</b:Last>
            <b:First>G.,</b:First>
            <b:Middle>Mburu, P., &amp; Kariuki, D. .</b:Middle>
          </b:Person>
        </b:NameList>
      </b:Author>
    </b:Author>
    <b:Title>Financing renewable energy mini grids in Kenya.</b:Title>
    <b:JournalName> Energy Policy,</b:JournalName>
    <b:Year>2019</b:Year>
    <b:Pages>110887</b:Pages>
    <b:Volume>133</b:Volume>
    <b:RefOrder>33</b:RefOrder>
  </b:Source>
  <b:Source>
    <b:Tag>Eke25</b:Tag>
    <b:SourceType>ConferenceProceedings</b:SourceType>
    <b:Guid>{D93BD664-EA58-4256-8611-ED84966DD34D}</b:Guid>
    <b:Author>
      <b:Author>
        <b:NameList>
          <b:Person>
            <b:Last>Ekeinde</b:Last>
            <b:First>Evelyn</b:First>
            <b:Middle>Bose, Diepiriye Chenaboso Okujagu, and Adewale Dosunmu.</b:Middle>
          </b:Person>
        </b:NameList>
      </b:Author>
    </b:Author>
    <b:Title>"Sustainable Energy and Climate Change Adaption: A Review of Synergies and Trade-Off."</b:Title>
    <b:Year>2025</b:Year>
    <b:ConferenceName> In SPE Nigeria Annual International Conference and Exhibition, p. D032S029R002. SPE, </b:ConferenceName>
    <b:RefOrder>34</b:RefOrder>
  </b:Source>
  <b:Source>
    <b:Tag>Wei201</b:Tag>
    <b:SourceType>JournalArticle</b:SourceType>
    <b:Guid>{71CABBA8-2C25-459A-8B38-BCC4B563053C}</b:Guid>
    <b:Title> "Identification of potential off-grid municipalities with 100% renewable energy supply for future design of power grids."  </b:Title>
    <b:Year>2020</b:Year>
    <b:Author>
      <b:Author>
        <b:NameList>
          <b:Person>
            <b:Last>Weinand</b:Last>
            <b:First>Jann</b:First>
            <b:Middle>M., Sabrina Ried, Max Kleinebrahm, Russell McKenna, and Wolf Fichtner.</b:Middle>
          </b:Person>
        </b:NameList>
      </b:Author>
    </b:Author>
    <b:JournalName>IEEE Transactions on Power Systems</b:JournalName>
    <b:Pages>37</b:Pages>
    <b:Volume>4</b:Volume>
    <b:Issue>20</b:Issue>
    <b:RefOrder>35</b:RefOrder>
  </b:Source>
  <b:Source>
    <b:Tag>Gua25</b:Tag>
    <b:SourceType>JournalArticle</b:SourceType>
    <b:Guid>{DEE68341-BB70-4B3A-8B9E-D136B163BB72}</b:Guid>
    <b:Author>
      <b:Author>
        <b:NameList>
          <b:Person>
            <b:Last>Guarascio</b:Last>
            <b:First>Dario,</b:First>
            <b:Middle>Jelena Reljic, and Francesco Zezza.</b:Middle>
          </b:Person>
        </b:NameList>
      </b:Author>
    </b:Author>
    <b:Title>"Energy vulnerability and resilience in the EU: concepts, empirics and policy." </b:Title>
    <b:JournalName>Journal of Industrial and Business Economics.</b:JournalName>
    <b:Year>2025</b:Year>
    <b:Pages>1-44</b:Pages>
    <b:RefOrder>36</b:RefOrder>
  </b:Source>
  <b:Source>
    <b:Tag>LuY25</b:Tag>
    <b:SourceType>JournalArticle</b:SourceType>
    <b:Guid>{B669EADE-D172-4994-991D-1613FE85FDC6}</b:Guid>
    <b:Title>Integrating Building Performance Simulation in Agent-based Models to Support Demand-side Management Strategies.</b:Title>
    <b:JournalName>In Journal of Physics: Conference Series</b:JournalName>
    <b:Year>2025</b:Year>
    <b:Pages>062010). IOP Publishing.</b:Pages>
    <b:Volume> 3140,</b:Volume>
    <b:Issue>No. 6</b:Issue>
    <b:Author>
      <b:Author>
        <b:NameList>
          <b:Person>
            <b:Last>Lu</b:Last>
            <b:First>Y.,</b:First>
            <b:Middle>O’Brien, W., &amp; Azar, E.</b:Middle>
          </b:Person>
        </b:NameList>
      </b:Author>
    </b:Author>
    <b:RefOrder>37</b:RefOrder>
  </b:Source>
  <b:Source>
    <b:Tag>Cor25</b:Tag>
    <b:SourceType>JournalArticle</b:SourceType>
    <b:Guid>{0591C216-C742-44A7-BFCA-492A0C61E6A6}</b:Guid>
    <b:Author>
      <b:Author>
        <b:NameList>
          <b:Person>
            <b:Last>Corasaniti</b:Last>
            <b:First>S.,</b:First>
            <b:Middle>Coppa, P., Atzori, D., &amp; Rehman, A. U..</b:Middle>
          </b:Person>
        </b:NameList>
      </b:Author>
    </b:Author>
    <b:Title> Renewable Energy Communities (RECs): European and worldwide distribution, different technologies, management, and modeling</b:Title>
    <b:JournalName>Energies, </b:JournalName>
    <b:Year>2025</b:Year>
    <b:Pages>3961.</b:Pages>
    <b:Volume>18</b:Volume>
    <b:Issue>15</b:Issue>
    <b:RefOrder>38</b:RefOrder>
  </b:Source>
  <b:Source>
    <b:Tag>Ara24</b:Tag>
    <b:SourceType>JournalArticle</b:SourceType>
    <b:Guid>{2C9483E9-9B07-49F6-BE6B-D4C89C5286E7}</b:Guid>
    <b:Author>
      <b:Author>
        <b:NameList>
          <b:Person>
            <b:Last>Arabnya</b:Last>
            <b:First>A.,</b:First>
            <b:Middle>Wogrin, S., Fotuhi-Firuzabad, M., Khodaei, A., Huang, Z., Wu, C., ... &amp; Terzija, V.</b:Middle>
          </b:Person>
        </b:NameList>
      </b:Author>
    </b:Author>
    <b:Title>Climate change mitigation and adaptation in power and energy systems. </b:Title>
    <b:JournalName> International Journal of Electrical Power &amp; Energy Systems,</b:JournalName>
    <b:Year>2024</b:Year>
    <b:Pages>110152.</b:Pages>
    <b:Volume>161</b:Volume>
    <b:RefOrder>39</b:RefOrder>
  </b:Source>
  <b:Source>
    <b:Tag>Moc24</b:Tag>
    <b:SourceType>JournalArticle</b:SourceType>
    <b:Guid>{1B84EA7E-D583-41CF-A6F8-D6AB686F5E76}</b:Guid>
    <b:Author>
      <b:Author>
        <b:NameList>
          <b:Person>
            <b:Last>Mocci</b:Last>
            <b:First>Susanna,</b:First>
            <b:Middle>Simona Ruggeri, and Fabrizio Pilo.</b:Middle>
          </b:Person>
        </b:NameList>
      </b:Author>
    </b:Author>
    <b:Title> "Low-voltage renewable energy communities’ impact on the distribution networks."</b:Title>
    <b:JournalName> Energies </b:JournalName>
    <b:Year>2024</b:Year>
    <b:Pages>126</b:Pages>
    <b:Volume>18</b:Volume>
    <b:Issue>1</b:Issue>
    <b:RefOrder>40</b:RefOrder>
  </b:Source>
  <b:Source>
    <b:Tag>Dim23</b:Tag>
    <b:SourceType>JournalArticle</b:SourceType>
    <b:Guid>{C1EEA44C-3A9A-4B5E-8479-3768F4C8FCCF}</b:Guid>
    <b:Author>
      <b:Author>
        <b:NameList>
          <b:Person>
            <b:Last>Dimovski</b:Last>
            <b:First>A.,</b:First>
            <b:Middle>Moncecchi, M., &amp; Merlo, M.</b:Middle>
          </b:Person>
        </b:NameList>
      </b:Author>
    </b:Author>
    <b:Title>Impact of energy communities on the distribution network: An Italian case study.</b:Title>
    <b:JournalName> Sustainable Energy, Grids and Networks,</b:JournalName>
    <b:Year>2023</b:Year>
    <b:Pages>101148.</b:Pages>
    <b:Volume> 35, </b:Volume>
    <b:RefOrder>41</b:RefOrder>
  </b:Source>
  <b:Source>
    <b:Tag>Dvo20</b:Tag>
    <b:SourceType>Report</b:SourceType>
    <b:Guid>{01B6DA53-1404-4DF4-8026-6145A37ED4C7}</b:Guid>
    <b:Title>"Community energy resilience and electricity systems: workshops report."</b:Title>
    <b:Year>2020</b:Year>
    <b:Author>
      <b:Author>
        <b:NameList>
          <b:Person>
            <b:Last>Dvorakova</b:Last>
            <b:First>V.,</b:First>
            <b:Middle>C. M. Hara, A. Perrett, L. Reardon, Long Seng To, S. Trace, and X. Wang.</b:Middle>
          </b:Person>
        </b:NameList>
      </b:Author>
    </b:Author>
    <b:RefOrder>42</b:RefOrder>
  </b:Source>
  <b:Source>
    <b:Tag>Afz20</b:Tag>
    <b:SourceType>JournalArticle</b:SourceType>
    <b:Guid>{4731E49E-94E4-46E6-850D-F2B8F42D07BF}</b:Guid>
    <b:Author>
      <b:Author>
        <b:NameList>
          <b:Person>
            <b:Last>Afzal</b:Last>
            <b:First>S.,</b:First>
            <b:Middle>Mokhlis, H., Azil Lllias, H., Nadzirah Mansor, N., &amp; Shareef, H</b:Middle>
          </b:Person>
        </b:NameList>
      </b:Author>
    </b:Author>
    <b:Title>State-of-the-art review on power system resilience and assessment techniques</b:Title>
    <b:JournalName> IET Generation, Transmission and Distribution</b:JournalName>
    <b:Year>2020</b:Year>
    <b:Pages> 6107–6121.</b:Pages>
    <b:Volume>14</b:Volume>
    <b:Issue>25</b:Issue>
    <b:RefOrder>43</b:RefOrder>
  </b:Source>
  <b:Source>
    <b:Tag>Ric25</b:Tag>
    <b:SourceType>JournalArticle</b:SourceType>
    <b:Guid>{4E788C48-0300-4371-9341-75B1DFE9C706}</b:Guid>
    <b:Author>
      <b:Author>
        <b:NameList>
          <b:Person>
            <b:Last>Richard Schmitz</b:Last>
            <b:First>Franziska</b:First>
            <b:Middle>Flachsbarth, Leonie Sara Plagad, Martin Brauna,</b:Middle>
          </b:Person>
        </b:NameList>
      </b:Author>
    </b:Author>
    <b:Title>Energy security and resilience: Revisiting concepts and advancing planning</b:Title>
    <b:JournalName>energy policy</b:JournalName>
    <b:Year>2025</b:Year>
    <b:Pages>114796</b:Pages>
    <b:Volume>207</b:Volume>
    <b:RefOrder>44</b:RefOrder>
  </b:Source>
  <b:Source>
    <b:Tag>Yua26</b:Tag>
    <b:SourceType>JournalArticle</b:SourceType>
    <b:Guid>{D8B8C6EA-A7FE-4984-9ED1-A55C8C35792C}</b:Guid>
    <b:Author>
      <b:Author>
        <b:NameList>
          <b:Person>
            <b:Last>Yuan</b:Last>
            <b:First>Jiahai,Zhang,</b:First>
            <b:Middle>Kai,Ding, Baodi,Huangfu, Wei,Zhang, Jian,Mou, Qilin,Peng, Kexin,Zhang, Haonan</b:Middle>
          </b:Person>
        </b:NameList>
      </b:Author>
    </b:Author>
    <b:Title>Enhancement strategy of power system resilience for supply-demand imbalance at extreme weather conditions: a high-share renewable energy case from Qinghai Province in China</b:Title>
    <b:JournalName>Renewable Energy</b:JournalName>
    <b:Year>2026</b:Year>
    <b:Volume>256</b:Volume>
    <b:RefOrder>45</b:RefOrder>
  </b:Source>
  <b:Source>
    <b:Tag>Fau19</b:Tag>
    <b:SourceType>JournalArticle</b:SourceType>
    <b:Guid>{F132BB7A-0B0A-4A50-AFB8-7FF9522D6D83}</b:Guid>
    <b:Author>
      <b:Author>
        <b:NameList>
          <b:Person>
            <b:Last>Fauzan Hanif Jufri</b:Last>
            <b:First>Victor</b:First>
            <b:Middle>Widiputra,jaesung jung</b:Middle>
          </b:Person>
        </b:NameList>
      </b:Author>
    </b:Author>
    <b:Title>State-of-the-art review on power grid resilience to extreme weather events: Definitions, frameworks, quantitative assessment methodologies, and enhancement strategies</b:Title>
    <b:JournalName>Applied Energy</b:JournalName>
    <b:Year>2019</b:Year>
    <b:Pages>Pages 1049-1065</b:Pages>
    <b:Volume>239</b:Volume>
    <b:Issue>1</b:Issue>
    <b:RefOrder>46</b:RefOrder>
  </b:Source>
  <b:Source>
    <b:Tag>Dil21</b:Tag>
    <b:SourceType>JournalArticle</b:SourceType>
    <b:Guid>{E0345C78-950D-4798-8B8F-2B31C22E45D6}</b:Guid>
    <b:Author>
      <b:Author>
        <b:NameList>
          <b:Person>
            <b:Last>Dillip Kumar Mishra</b:Last>
            <b:First>Mojtaba</b:First>
            <b:Middle>Jabbari Ghadi, Ali Azizivahed ,Li Li, Jiangfeng Zhang</b:Middle>
          </b:Person>
        </b:NameList>
      </b:Author>
    </b:Author>
    <b:Title>A review on resilience studies in active distribution systems</b:Title>
    <b:JournalName>Renewable and Sustainable Energy Reviews</b:JournalName>
    <b:Year>2021</b:Year>
    <b:Pages> 110201</b:Pages>
    <b:Volume>135</b:Volume>
    <b:RefOrder>47</b:RefOrder>
  </b:Source>
  <b:Source>
    <b:Tag>Sus21</b:Tag>
    <b:SourceType>JournalArticle</b:SourceType>
    <b:Guid>{A4688C3A-63CF-4D47-9912-69368AD0218F}</b:Guid>
    <b:Author>
      <b:Author>
        <b:NameList>
          <b:Person>
            <b:Last>Susann Stritzke</b:Last>
            <b:First>Prem</b:First>
            <b:Middle>Jain</b:Middle>
          </b:Person>
        </b:NameList>
      </b:Author>
    </b:Author>
    <b:Title>The Sustainability of Decentralised Renewable Energy Projects</b:Title>
    <b:JournalName>energies </b:JournalName>
    <b:Year>2021</b:Year>
    <b:Pages>3757</b:Pages>
    <b:Volume>14</b:Volume>
    <b:RefOrder>48</b:RefOrder>
  </b:Source>
  <b:Source>
    <b:Tag>Mou24</b:Tag>
    <b:SourceType>JournalArticle</b:SourceType>
    <b:Guid>{F44B1FF3-854C-419B-9A25-869D62301CCA}</b:Guid>
    <b:Author>
      <b:Author>
        <b:NameList>
          <b:Person>
            <b:Last>Mou Mahmood</b:Last>
            <b:First>Prangon</b:First>
            <b:Middle>Chowdhury,Rahbaar Yeassin ,Mahmudul Hasan,Tanvir Ahmad,Nahid-Ur-Rahman Chowdhury</b:Middle>
          </b:Person>
        </b:NameList>
      </b:Author>
    </b:Author>
    <b:Title>Impacts of digitalization on smart grids, renewable energy, and demand response: An updated review of current applications</b:Title>
    <b:JournalName>Energy Conversion and Management</b:JournalName>
    <b:Year>2024</b:Year>
    <b:Pages>100790</b:Pages>
    <b:Volume>24</b:Volume>
    <b:RefOrder>49</b:RefOrder>
  </b:Source>
  <b:Source>
    <b:Tag>AFa25</b:Tag>
    <b:SourceType>JournalArticle</b:SourceType>
    <b:Guid>{C4233EE2-413F-4511-8F35-5E646F5655BD}</b:Guid>
    <b:Author>
      <b:Author>
        <b:NameList>
          <b:Person>
            <b:Last>A. Fajardo</b:Last>
            <b:First>L.H.</b:First>
            <b:Middle>Baker, S. Bhattacharyya,D. Kerr,M. Katyega ,A. Barnett , T.sesan, D.Kerr</b:Middle>
          </b:Person>
        </b:NameList>
      </b:Author>
    </b:Author>
    <b:Title>Business models and access to finance for mini grid development in sub-Saharan Africa</b:Title>
    <b:JournalName>Energy for Sustainable Development</b:JournalName>
    <b:Year>2025</b:Year>
    <b:Pages> 101666</b:Pages>
    <b:Volume>85</b:Volume>
    <b:RefOrder>50</b:RefOrder>
  </b:Source>
  <b:Source>
    <b:Tag>Man25</b:Tag>
    <b:SourceType>JournalArticle</b:SourceType>
    <b:Guid>{401C9DC9-0813-4DAA-B2F7-B52712E918C5}</b:Guid>
    <b:Author>
      <b:Author>
        <b:NameList>
          <b:Person>
            <b:Last>Thakkar</b:Last>
            <b:First>Maneesh</b:First>
          </b:Person>
        </b:NameList>
      </b:Author>
    </b:Author>
    <b:Title>Strengthening Governance and Policy Frameworks for Sustainable Development: Addressing Corruption, Transparency, and Regulatory Challenges</b:Title>
    <b:JournalName>American Journal of Sustainable Cities and Society</b:JournalName>
    <b:Year>2025</b:Year>
    <b:Pages>141-147</b:Pages>
    <b:Volume>1</b:Volume>
    <b:Issue>15</b:Issue>
    <b:RefOrder>51</b:RefOrder>
  </b:Source>
  <b:Source>
    <b:Tag>Wei20</b:Tag>
    <b:SourceType>JournalArticle</b:SourceType>
    <b:Guid>{A797A696-7FD9-40C9-9EA6-10BC7A91ED29}</b:Guid>
    <b:Author>
      <b:Author>
        <b:NameList>
          <b:Person>
            <b:Last>Weinand</b:Last>
            <b:First>J.</b:First>
            <b:Middle>M., Ried, S., Kleinebrahm, M., McKenna, R., &amp; Fichtner, W</b:Middle>
          </b:Person>
        </b:NameList>
      </b:Author>
    </b:Author>
    <b:Title>Identification of potential off-grid municipalities with 100% renewable energy supply for future design of power grids</b:Title>
    <b:JournalName>IEEE Transactions on power systems</b:JournalName>
    <b:Year>2020</b:Year>
    <b:Pages>37</b:Pages>
    <b:Volume>4</b:Volume>
    <b:Issue>20</b:Issue>
    <b:RefOrder>52</b:RefOrder>
  </b:Source>
  <b:Source>
    <b:Tag>Sch25</b:Tag>
    <b:SourceType>JournalArticle</b:SourceType>
    <b:Guid>{54CA5A92-149D-41E5-99A4-7FC8F6CE518D}</b:Guid>
    <b:Author>
      <b:Author>
        <b:NameList>
          <b:Person>
            <b:Last>Schmitz</b:Last>
            <b:First>R.,</b:First>
            <b:Middle>Flachsbarth, F., Plaga, L. S., Braun, M., &amp; Härtel, P.</b:Middle>
          </b:Person>
        </b:NameList>
      </b:Author>
    </b:Author>
    <b:Title>Energy security and redsilience:Revising concepts and advancing planning perspectives for transforming intergrated energy systems</b:Title>
    <b:JournalName>Energy policy</b:JournalName>
    <b:Year>2025</b:Year>
    <b:Pages>114796</b:Pages>
    <b:Volume>27</b:Volume>
    <b:RefOrder>53</b:RefOrder>
  </b:Source>
  <b:Source>
    <b:Tag>Sah21</b:Tag>
    <b:SourceType>JournalArticle</b:SourceType>
    <b:Guid>{804F5C30-201D-4553-917A-0134AF60A60E}</b:Guid>
    <b:Author>
      <b:Author>
        <b:NameList>
          <b:Person>
            <b:Last>Sahu</b:Last>
            <b:First>N.</b:First>
            <b:Middle>C., Nanda, A. B., Bhol, S., Jena, A. K., &amp; Rout, P</b:Middle>
          </b:Person>
        </b:NameList>
      </b:Author>
    </b:Author>
    <b:Title>Reliability assessments and cost estimation of a hybrid renewable micro-grid system</b:Title>
    <b:JournalName>green technology for smart city and society</b:JournalName>
    <b:Year>2021</b:Year>
    <b:Volume>151</b:Volume>
    <b:RefOrder>54</b:RefOrder>
  </b:Source>
  <b:Source>
    <b:Tag>Jai21</b:Tag>
    <b:SourceType>JournalArticle</b:SourceType>
    <b:Guid>{C3B656A0-6BCC-4D4C-AC5A-163F19D8122D}</b:Guid>
    <b:Author>
      <b:Author>
        <b:NameList>
          <b:Person>
            <b:Last>Jain P</b:Last>
            <b:First>Stritzke</b:First>
            <b:Middle>S</b:Middle>
          </b:Person>
        </b:NameList>
      </b:Author>
    </b:Author>
    <b:Title>The sustainability of decentrilised of renewable energy projects in developing countries: Learning lessons from Zambia</b:Title>
    <b:JournalName>energies</b:JournalName>
    <b:Year>2021</b:Year>
    <b:Pages>3757</b:Pages>
    <b:Volume>14</b:Volume>
    <b:RefOrder>55</b:RefOrder>
  </b:Source>
  <b:Source>
    <b:Tag>Mah24</b:Tag>
    <b:SourceType>JournalArticle</b:SourceType>
    <b:Guid>{303DF10B-0D0A-4AFD-919A-87C5D55FCE39}</b:Guid>
    <b:Author>
      <b:Author>
        <b:NameList>
          <b:Person>
            <b:Last>Mahmood</b:Last>
            <b:First>M.,</b:First>
            <b:Middle>Chowdhury, P., Yeassin, R., Hasan, M., Ahmad, T., &amp; Chowdhury, N.-U.-R.</b:Middle>
          </b:Person>
        </b:NameList>
      </b:Author>
    </b:Author>
    <b:Title>Impacts of dogitalisation on smart grids, renewable energy, and demand responce:an updated review of current applications</b:Title>
    <b:JournalName>Energy conversion and management</b:JournalName>
    <b:Year>2024</b:Year>
    <b:Pages>100790</b:Pages>
    <b:Volume>24</b:Volume>
    <b:RefOrder>56</b:RefOrder>
  </b:Source>
  <b:Source>
    <b:Tag>Ola24</b:Tag>
    <b:SourceType>JournalArticle</b:SourceType>
    <b:Guid>{AB186640-C08B-4082-B87B-69E6E8F4E487}</b:Guid>
    <b:Author>
      <b:Author>
        <b:NameList>
          <b:Person>
            <b:Last>Olamide Folahanmi Bayeroju</b:Last>
            <b:First>Adepeju</b:First>
            <b:Middle>Nafisat Sanusi,Zamathula Queen Sikhakhane Nwokediegwu</b:Middle>
          </b:Person>
        </b:NameList>
      </b:Author>
    </b:Author>
    <b:Title>Conceptual Framework for Cross-Disciplinary Approaches to Climate-Resilient Infrastructure Development</b:Title>
    <b:JournalName>International Journal of Scientific Research in Computer Science Engineering and Information Technology</b:JournalName>
    <b:Year>2024</b:Year>
    <b:Pages>1005-1022</b:Pages>
    <b:RefOrder>1</b:RefOrder>
  </b:Source>
</b:Sources>
</file>

<file path=customXml/itemProps1.xml><?xml version="1.0" encoding="utf-8"?>
<ds:datastoreItem xmlns:ds="http://schemas.openxmlformats.org/officeDocument/2006/customXml" ds:itemID="{1E64BE94-01C1-4225-B734-913FDD11E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24</Pages>
  <Words>7469</Words>
  <Characters>42579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Samukonga G</dc:creator>
  <cp:keywords/>
  <cp:lastModifiedBy>SDI 1158</cp:lastModifiedBy>
  <cp:revision>89</cp:revision>
  <cp:lastPrinted>2026-02-24T14:29:00Z</cp:lastPrinted>
  <dcterms:created xsi:type="dcterms:W3CDTF">2026-03-05T09:54:00Z</dcterms:created>
  <dcterms:modified xsi:type="dcterms:W3CDTF">2026-03-09T11:29:00Z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fdebc2c5-73f3-4323-b1be-814f2332e4bc</vt:lpwstr>
  </property>
  <property fmtid="{D5CDD505-2E9C-101B-9397-08002B2CF9AE}" pid="3" name="KSOProductBuildVer">
    <vt:lpwstr>2057-12.2.0.23196</vt:lpwstr>
  </property>
  <property fmtid="{D5CDD505-2E9C-101B-9397-08002B2CF9AE}" pid="4" name="ICV">
    <vt:lpwstr>1526BB64E6BD4712B1B02BC63DA2F241_13</vt:lpwstr>
  </property>
</Properties>
</file>