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B428" w14:textId="77777777" w:rsidR="00754C9A" w:rsidRDefault="00754C9A" w:rsidP="00441B6F">
      <w:pPr>
        <w:pStyle w:val="Title"/>
        <w:spacing w:after="0"/>
        <w:jc w:val="both"/>
        <w:rPr>
          <w:rFonts w:ascii="Arial" w:hAnsi="Arial" w:cs="Arial"/>
        </w:rPr>
      </w:pPr>
    </w:p>
    <w:p w14:paraId="2D95C035" w14:textId="55E5B72C" w:rsidR="00A258C3" w:rsidRDefault="00666068" w:rsidP="00666068">
      <w:pPr>
        <w:pStyle w:val="Author"/>
        <w:spacing w:line="240" w:lineRule="auto"/>
        <w:rPr>
          <w:rFonts w:ascii="Arial" w:hAnsi="Arial" w:cs="Arial"/>
          <w:bCs/>
          <w:iCs/>
          <w:kern w:val="28"/>
          <w:sz w:val="36"/>
        </w:rPr>
      </w:pPr>
      <w:r w:rsidRPr="00666068">
        <w:rPr>
          <w:rFonts w:ascii="Arial" w:hAnsi="Arial" w:cs="Arial"/>
          <w:bCs/>
          <w:iCs/>
          <w:kern w:val="28"/>
          <w:sz w:val="36"/>
        </w:rPr>
        <w:t xml:space="preserve">The Effect </w:t>
      </w:r>
      <w:r>
        <w:rPr>
          <w:rFonts w:ascii="Arial" w:hAnsi="Arial" w:cs="Arial"/>
          <w:bCs/>
          <w:iCs/>
          <w:kern w:val="28"/>
          <w:sz w:val="36"/>
        </w:rPr>
        <w:t>o</w:t>
      </w:r>
      <w:r w:rsidRPr="00666068">
        <w:rPr>
          <w:rFonts w:ascii="Arial" w:hAnsi="Arial" w:cs="Arial"/>
          <w:bCs/>
          <w:iCs/>
          <w:kern w:val="28"/>
          <w:sz w:val="36"/>
        </w:rPr>
        <w:t xml:space="preserve">f Digitalization </w:t>
      </w:r>
      <w:r>
        <w:rPr>
          <w:rFonts w:ascii="Arial" w:hAnsi="Arial" w:cs="Arial"/>
          <w:bCs/>
          <w:iCs/>
          <w:kern w:val="28"/>
          <w:sz w:val="36"/>
        </w:rPr>
        <w:t>a</w:t>
      </w:r>
      <w:r w:rsidRPr="00666068">
        <w:rPr>
          <w:rFonts w:ascii="Arial" w:hAnsi="Arial" w:cs="Arial"/>
          <w:bCs/>
          <w:iCs/>
          <w:kern w:val="28"/>
          <w:sz w:val="36"/>
        </w:rPr>
        <w:t xml:space="preserve">nd Ownership Structure </w:t>
      </w:r>
      <w:r>
        <w:rPr>
          <w:rFonts w:ascii="Arial" w:hAnsi="Arial" w:cs="Arial"/>
          <w:bCs/>
          <w:iCs/>
          <w:kern w:val="28"/>
          <w:sz w:val="36"/>
        </w:rPr>
        <w:t>o</w:t>
      </w:r>
      <w:r w:rsidRPr="00666068">
        <w:rPr>
          <w:rFonts w:ascii="Arial" w:hAnsi="Arial" w:cs="Arial"/>
          <w:bCs/>
          <w:iCs/>
          <w:kern w:val="28"/>
          <w:sz w:val="36"/>
        </w:rPr>
        <w:t xml:space="preserve">n The Financial Constraints </w:t>
      </w:r>
      <w:r>
        <w:rPr>
          <w:rFonts w:ascii="Arial" w:hAnsi="Arial" w:cs="Arial"/>
          <w:bCs/>
          <w:iCs/>
          <w:kern w:val="28"/>
          <w:sz w:val="36"/>
        </w:rPr>
        <w:t>o</w:t>
      </w:r>
      <w:r w:rsidRPr="00666068">
        <w:rPr>
          <w:rFonts w:ascii="Arial" w:hAnsi="Arial" w:cs="Arial"/>
          <w:bCs/>
          <w:iCs/>
          <w:kern w:val="28"/>
          <w:sz w:val="36"/>
        </w:rPr>
        <w:t>f Indonesian Non-Financial Companies</w:t>
      </w:r>
    </w:p>
    <w:p w14:paraId="6222E42D" w14:textId="77777777" w:rsidR="00A544EC" w:rsidRPr="00790ADA" w:rsidRDefault="00A544EC" w:rsidP="00666068">
      <w:pPr>
        <w:pStyle w:val="Author"/>
        <w:spacing w:line="240" w:lineRule="auto"/>
        <w:rPr>
          <w:rFonts w:ascii="Arial" w:hAnsi="Arial" w:cs="Arial"/>
          <w:sz w:val="36"/>
        </w:rPr>
      </w:pPr>
    </w:p>
    <w:p w14:paraId="76C048BD" w14:textId="1D359C58" w:rsidR="00B10654" w:rsidRDefault="00B10654" w:rsidP="003B7A03">
      <w:pPr>
        <w:pStyle w:val="Affiliation"/>
        <w:spacing w:after="0" w:line="240" w:lineRule="auto"/>
        <w:rPr>
          <w:rFonts w:ascii="Arial" w:hAnsi="Arial" w:cs="Arial"/>
          <w:i/>
        </w:rPr>
      </w:pPr>
      <w:r>
        <w:rPr>
          <w:rFonts w:ascii="Arial" w:hAnsi="Arial" w:cs="Arial"/>
          <w:i/>
        </w:rPr>
        <w:t xml:space="preserve"> </w:t>
      </w:r>
    </w:p>
    <w:p w14:paraId="7ECFDACE" w14:textId="77777777" w:rsidR="00790ADA" w:rsidRDefault="00790ADA" w:rsidP="00441B6F">
      <w:pPr>
        <w:pStyle w:val="Affiliation"/>
        <w:spacing w:after="0" w:line="240" w:lineRule="auto"/>
        <w:jc w:val="both"/>
        <w:rPr>
          <w:rFonts w:ascii="Arial" w:hAnsi="Arial" w:cs="Arial"/>
        </w:rPr>
      </w:pPr>
    </w:p>
    <w:p w14:paraId="0709FB9D" w14:textId="77777777" w:rsidR="002C57D2" w:rsidRPr="00FB3A86" w:rsidRDefault="002C57D2" w:rsidP="00441B6F">
      <w:pPr>
        <w:pStyle w:val="Affiliation"/>
        <w:spacing w:after="0" w:line="240" w:lineRule="auto"/>
        <w:jc w:val="both"/>
        <w:rPr>
          <w:rFonts w:ascii="Arial" w:hAnsi="Arial" w:cs="Arial"/>
        </w:rPr>
      </w:pPr>
    </w:p>
    <w:p w14:paraId="2506635E" w14:textId="77777777" w:rsidR="00B01FCD" w:rsidRPr="00FB3A86" w:rsidRDefault="00000000" w:rsidP="00441B6F">
      <w:pPr>
        <w:pStyle w:val="Copyright"/>
        <w:spacing w:after="0" w:line="240" w:lineRule="auto"/>
        <w:jc w:val="both"/>
        <w:rPr>
          <w:rFonts w:ascii="Arial" w:hAnsi="Arial" w:cs="Arial"/>
        </w:rPr>
        <w:sectPr w:rsidR="00B01FCD" w:rsidRPr="00FB3A86" w:rsidSect="008E74AF">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A30AA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1EE2DF" w14:textId="257E676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F230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109A6A" w14:textId="77777777" w:rsidTr="001E44FE">
        <w:tc>
          <w:tcPr>
            <w:tcW w:w="9576" w:type="dxa"/>
            <w:shd w:val="clear" w:color="auto" w:fill="F2F2F2"/>
          </w:tcPr>
          <w:p w14:paraId="374D5ACF" w14:textId="2C6D502D" w:rsidR="00B12350" w:rsidRPr="00B12350" w:rsidRDefault="00B12350" w:rsidP="00B12350">
            <w:pPr>
              <w:pStyle w:val="Body"/>
              <w:spacing w:after="0"/>
              <w:rPr>
                <w:rFonts w:ascii="Arial" w:eastAsia="Calibri" w:hAnsi="Arial" w:cs="Arial"/>
                <w:bCs/>
                <w:szCs w:val="22"/>
                <w:highlight w:val="yellow"/>
              </w:rPr>
            </w:pPr>
            <w:r w:rsidRPr="00B12350">
              <w:rPr>
                <w:rFonts w:ascii="Arial" w:eastAsia="Calibri" w:hAnsi="Arial" w:cs="Arial"/>
                <w:b/>
                <w:bCs/>
                <w:szCs w:val="22"/>
                <w:highlight w:val="yellow"/>
              </w:rPr>
              <w:t>Aims:</w:t>
            </w:r>
            <w:r w:rsidRPr="00B12350">
              <w:rPr>
                <w:rFonts w:ascii="Arial" w:eastAsia="Calibri" w:hAnsi="Arial" w:cs="Arial"/>
                <w:bCs/>
                <w:szCs w:val="22"/>
                <w:highlight w:val="yellow"/>
              </w:rPr>
              <w:t xml:space="preserve"> This study aims to examine the influence of digitalization, managerial ownership, and family ownership on the financial constraints of non-financial companies in Indonesia, while contributing to the literature on digital transformation and corporate governance in emerging markets.</w:t>
            </w:r>
          </w:p>
          <w:p w14:paraId="2DA192C3" w14:textId="77777777" w:rsidR="00B12350" w:rsidRPr="00B12350" w:rsidRDefault="00B12350" w:rsidP="00B12350">
            <w:pPr>
              <w:pStyle w:val="Body"/>
              <w:spacing w:after="0"/>
              <w:rPr>
                <w:rFonts w:ascii="Arial" w:eastAsia="Calibri" w:hAnsi="Arial" w:cs="Arial"/>
                <w:bCs/>
                <w:szCs w:val="22"/>
                <w:highlight w:val="yellow"/>
              </w:rPr>
            </w:pPr>
            <w:r w:rsidRPr="00B12350">
              <w:rPr>
                <w:rFonts w:ascii="Arial" w:eastAsia="Calibri" w:hAnsi="Arial" w:cs="Arial"/>
                <w:b/>
                <w:bCs/>
                <w:szCs w:val="22"/>
                <w:highlight w:val="yellow"/>
              </w:rPr>
              <w:t>Study design:</w:t>
            </w:r>
            <w:r w:rsidRPr="00B12350">
              <w:rPr>
                <w:rFonts w:ascii="Arial" w:eastAsia="Calibri" w:hAnsi="Arial" w:cs="Arial"/>
                <w:bCs/>
                <w:szCs w:val="22"/>
                <w:highlight w:val="yellow"/>
              </w:rPr>
              <w:t xml:space="preserve"> This study adopts a quantitative research design using panel data regression analysis.</w:t>
            </w:r>
          </w:p>
          <w:p w14:paraId="2A881B55" w14:textId="77777777" w:rsidR="00B12350" w:rsidRPr="00B12350" w:rsidRDefault="00B12350" w:rsidP="00B12350">
            <w:pPr>
              <w:pStyle w:val="Body"/>
              <w:spacing w:after="0"/>
              <w:rPr>
                <w:rFonts w:ascii="Arial" w:eastAsia="Calibri" w:hAnsi="Arial" w:cs="Arial"/>
                <w:bCs/>
                <w:szCs w:val="22"/>
                <w:highlight w:val="yellow"/>
              </w:rPr>
            </w:pPr>
            <w:r w:rsidRPr="00B12350">
              <w:rPr>
                <w:rFonts w:ascii="Arial" w:eastAsia="Calibri" w:hAnsi="Arial" w:cs="Arial"/>
                <w:b/>
                <w:bCs/>
                <w:szCs w:val="22"/>
                <w:highlight w:val="yellow"/>
              </w:rPr>
              <w:t>Place and Duration of Study:</w:t>
            </w:r>
            <w:r w:rsidRPr="00B12350">
              <w:rPr>
                <w:rFonts w:ascii="Arial" w:eastAsia="Calibri" w:hAnsi="Arial" w:cs="Arial"/>
                <w:bCs/>
                <w:szCs w:val="22"/>
                <w:highlight w:val="yellow"/>
              </w:rPr>
              <w:t xml:space="preserve"> This study uses secondary data from non-financial companies listed on the Indonesia Stock Exchange (IDX) during the period 2020–2024.</w:t>
            </w:r>
          </w:p>
          <w:p w14:paraId="428D5336" w14:textId="77777777" w:rsidR="00B12350" w:rsidRPr="00B12350" w:rsidRDefault="00B12350" w:rsidP="00B12350">
            <w:pPr>
              <w:pStyle w:val="Body"/>
              <w:spacing w:after="0"/>
              <w:rPr>
                <w:rFonts w:ascii="Arial" w:eastAsia="Calibri" w:hAnsi="Arial" w:cs="Arial"/>
                <w:bCs/>
                <w:szCs w:val="22"/>
                <w:highlight w:val="yellow"/>
              </w:rPr>
            </w:pPr>
            <w:r w:rsidRPr="00B12350">
              <w:rPr>
                <w:rFonts w:ascii="Arial" w:eastAsia="Calibri" w:hAnsi="Arial" w:cs="Arial"/>
                <w:b/>
                <w:bCs/>
                <w:szCs w:val="22"/>
                <w:highlight w:val="yellow"/>
              </w:rPr>
              <w:t>Methodology:</w:t>
            </w:r>
            <w:r w:rsidRPr="00B12350">
              <w:rPr>
                <w:rFonts w:ascii="Arial" w:eastAsia="Calibri" w:hAnsi="Arial" w:cs="Arial"/>
                <w:bCs/>
                <w:szCs w:val="22"/>
                <w:highlight w:val="yellow"/>
              </w:rPr>
              <w:t xml:space="preserve"> A total of 41 companies were selected as research samples using purposive sampling, resulting in 205 firm-year observations. The analysis was conducted using panel data regression with the Fixed Effects Model (FEM), selected based on model suitability tests. Digitalization, managerial ownership, and family ownership are used as independent variables, while financial constraints are used as the dependent variable.</w:t>
            </w:r>
          </w:p>
          <w:p w14:paraId="42BE1576" w14:textId="77777777" w:rsidR="00B12350" w:rsidRPr="00B12350" w:rsidRDefault="00B12350" w:rsidP="00B12350">
            <w:pPr>
              <w:pStyle w:val="Body"/>
              <w:spacing w:after="0"/>
              <w:rPr>
                <w:rFonts w:ascii="Arial" w:eastAsia="Calibri" w:hAnsi="Arial" w:cs="Arial"/>
                <w:bCs/>
                <w:szCs w:val="22"/>
                <w:highlight w:val="yellow"/>
              </w:rPr>
            </w:pPr>
            <w:r w:rsidRPr="00B12350">
              <w:rPr>
                <w:rFonts w:ascii="Arial" w:eastAsia="Calibri" w:hAnsi="Arial" w:cs="Arial"/>
                <w:b/>
                <w:bCs/>
                <w:szCs w:val="22"/>
                <w:highlight w:val="yellow"/>
              </w:rPr>
              <w:t>Results:</w:t>
            </w:r>
            <w:r w:rsidRPr="00B12350">
              <w:rPr>
                <w:rFonts w:ascii="Arial" w:eastAsia="Calibri" w:hAnsi="Arial" w:cs="Arial"/>
                <w:bCs/>
                <w:szCs w:val="22"/>
                <w:highlight w:val="yellow"/>
              </w:rPr>
              <w:t xml:space="preserve"> The results show that digitalization has a positive and significant effect on financial constraints. Managerial ownership also has a positive and significant effect on financial constraints, while family ownership has a positive effect on financial constraints. The independent variables explain approximately 97.15% of the variation in financial constraints.</w:t>
            </w:r>
          </w:p>
          <w:p w14:paraId="114A175A" w14:textId="77777777" w:rsidR="00B12350" w:rsidRPr="00B12350" w:rsidRDefault="00B12350" w:rsidP="00B12350">
            <w:pPr>
              <w:pStyle w:val="Body"/>
              <w:spacing w:after="0"/>
              <w:rPr>
                <w:rFonts w:ascii="Arial" w:eastAsia="Calibri" w:hAnsi="Arial" w:cs="Arial"/>
                <w:bCs/>
                <w:szCs w:val="22"/>
              </w:rPr>
            </w:pPr>
            <w:r w:rsidRPr="00B12350">
              <w:rPr>
                <w:rFonts w:ascii="Arial" w:eastAsia="Calibri" w:hAnsi="Arial" w:cs="Arial"/>
                <w:b/>
                <w:bCs/>
                <w:szCs w:val="22"/>
                <w:highlight w:val="yellow"/>
              </w:rPr>
              <w:t>Conclusion:</w:t>
            </w:r>
            <w:r w:rsidRPr="00B12350">
              <w:rPr>
                <w:rFonts w:ascii="Arial" w:eastAsia="Calibri" w:hAnsi="Arial" w:cs="Arial"/>
                <w:bCs/>
                <w:szCs w:val="22"/>
                <w:highlight w:val="yellow"/>
              </w:rPr>
              <w:t xml:space="preserve"> The findings indicate that digitalization, managerial ownership, and family ownership tend to increase financial constraints. This study provides important managerial implications, suggesting that firms need to carefully manage digital investment decisions alongside sound cash flow and financing strategies. Furthermore, higher managerial and family ownership should be balanced with improved transparency and disclosure quality to reduce concerns from creditors and investors.</w:t>
            </w:r>
          </w:p>
          <w:p w14:paraId="6BE4C96F" w14:textId="0A9DCA6F" w:rsidR="00505F06" w:rsidRPr="00BA1B01" w:rsidRDefault="00505F06" w:rsidP="00441B6F">
            <w:pPr>
              <w:pStyle w:val="Body"/>
              <w:spacing w:after="0"/>
              <w:rPr>
                <w:rFonts w:ascii="Arial" w:eastAsia="Calibri" w:hAnsi="Arial" w:cs="Arial"/>
                <w:szCs w:val="22"/>
              </w:rPr>
            </w:pPr>
          </w:p>
        </w:tc>
      </w:tr>
    </w:tbl>
    <w:p w14:paraId="6F00AE58" w14:textId="77777777" w:rsidR="00636EB2" w:rsidRDefault="00636EB2" w:rsidP="00441B6F">
      <w:pPr>
        <w:pStyle w:val="Body"/>
        <w:spacing w:after="0"/>
        <w:rPr>
          <w:rFonts w:ascii="Arial" w:hAnsi="Arial" w:cs="Arial"/>
          <w:i/>
        </w:rPr>
      </w:pPr>
    </w:p>
    <w:p w14:paraId="082D5E02" w14:textId="42BE9E8F" w:rsidR="00A24E7E" w:rsidRDefault="00A24E7E" w:rsidP="00441B6F">
      <w:pPr>
        <w:pStyle w:val="Body"/>
        <w:spacing w:after="0"/>
        <w:rPr>
          <w:rFonts w:ascii="Arial" w:hAnsi="Arial" w:cs="Arial"/>
          <w:i/>
        </w:rPr>
      </w:pPr>
      <w:r>
        <w:rPr>
          <w:rFonts w:ascii="Arial" w:hAnsi="Arial" w:cs="Arial"/>
          <w:i/>
        </w:rPr>
        <w:t xml:space="preserve">Keywords: </w:t>
      </w:r>
      <w:r w:rsidR="0018585E" w:rsidRPr="0018585E">
        <w:rPr>
          <w:rFonts w:ascii="Arial" w:hAnsi="Arial" w:cs="Arial"/>
          <w:i/>
        </w:rPr>
        <w:t>Digitalization, Managerial Ownership, Family Ownership, Financial Constraints</w:t>
      </w:r>
      <w:r w:rsidR="00EA75DC">
        <w:rPr>
          <w:rFonts w:ascii="Arial" w:hAnsi="Arial" w:cs="Arial"/>
          <w:i/>
        </w:rPr>
        <w:t xml:space="preserve"> </w:t>
      </w:r>
    </w:p>
    <w:p w14:paraId="4F7C25E7" w14:textId="77777777" w:rsidR="00790ADA" w:rsidRDefault="00790ADA" w:rsidP="00441B6F">
      <w:pPr>
        <w:pStyle w:val="Body"/>
        <w:spacing w:after="0"/>
        <w:rPr>
          <w:rFonts w:ascii="Arial" w:hAnsi="Arial" w:cs="Arial"/>
          <w:i/>
        </w:rPr>
      </w:pPr>
    </w:p>
    <w:p w14:paraId="1E0B0DAD" w14:textId="77777777" w:rsidR="0024282C" w:rsidRDefault="0024282C" w:rsidP="00441B6F">
      <w:pPr>
        <w:pStyle w:val="Body"/>
        <w:spacing w:after="0"/>
        <w:rPr>
          <w:rFonts w:ascii="Arial" w:hAnsi="Arial" w:cs="Arial"/>
          <w:i/>
          <w:sz w:val="18"/>
        </w:rPr>
      </w:pPr>
    </w:p>
    <w:p w14:paraId="29187785" w14:textId="77777777" w:rsidR="00505F06" w:rsidRPr="00A24E7E" w:rsidRDefault="00505F06" w:rsidP="00441B6F">
      <w:pPr>
        <w:pStyle w:val="Body"/>
        <w:spacing w:after="0"/>
        <w:rPr>
          <w:rFonts w:ascii="Arial" w:hAnsi="Arial" w:cs="Arial"/>
          <w:i/>
        </w:rPr>
      </w:pPr>
    </w:p>
    <w:p w14:paraId="2AAE02B5" w14:textId="3C083383" w:rsidR="007F7B32" w:rsidRPr="00B308A7" w:rsidRDefault="00902823" w:rsidP="00441B6F">
      <w:pPr>
        <w:pStyle w:val="AbstHead"/>
        <w:spacing w:after="0"/>
        <w:jc w:val="both"/>
        <w:rPr>
          <w:rFonts w:ascii="Arial" w:hAnsi="Arial" w:cs="Arial"/>
          <w:highlight w:val="yellow"/>
        </w:rPr>
      </w:pPr>
      <w:r>
        <w:rPr>
          <w:rFonts w:ascii="Arial" w:hAnsi="Arial" w:cs="Arial"/>
        </w:rPr>
        <w:t xml:space="preserve">1. </w:t>
      </w:r>
      <w:r w:rsidR="00B01FCD" w:rsidRPr="00B308A7">
        <w:rPr>
          <w:rFonts w:ascii="Arial" w:hAnsi="Arial" w:cs="Arial"/>
          <w:highlight w:val="yellow"/>
        </w:rPr>
        <w:t>INTRODUCTION</w:t>
      </w:r>
      <w:r w:rsidR="007F7B32" w:rsidRPr="00B308A7">
        <w:rPr>
          <w:rFonts w:ascii="Arial" w:hAnsi="Arial" w:cs="Arial"/>
          <w:highlight w:val="yellow"/>
        </w:rPr>
        <w:t xml:space="preserve"> </w:t>
      </w:r>
    </w:p>
    <w:p w14:paraId="64E1B4F7" w14:textId="77777777" w:rsidR="00017F74" w:rsidRPr="00017F74" w:rsidRDefault="00017F74" w:rsidP="00017F74">
      <w:pPr>
        <w:ind w:firstLine="567"/>
        <w:jc w:val="both"/>
        <w:rPr>
          <w:rFonts w:ascii="Arial" w:hAnsi="Arial" w:cs="Arial"/>
          <w:highlight w:val="yellow"/>
        </w:rPr>
      </w:pPr>
      <w:r w:rsidRPr="00017F74">
        <w:rPr>
          <w:rFonts w:ascii="Arial" w:hAnsi="Arial" w:cs="Arial"/>
          <w:highlight w:val="yellow"/>
        </w:rPr>
        <w:t xml:space="preserve">The non-financial sector in Indonesia plays a crucial role in supporting national economic growth, as it encompasses various productive industries such as manufacturing, trade, construction, agriculture, and other service sectors. According to data from the Central Statistics Agency (BPS), by 2024, the non-financial sector contributes more than 75% of Indonesia’s Gross Domestic Product (GDP), highlighting its dominant role in the economy. The growth of this sector has been driven by increasing domestic and foreign investment, expansion of business activities, and the acceleration of digitalization. For instance, the manufacturing sector grew by 4.43%, supported by both domestic and export demand, </w:t>
      </w:r>
      <w:r w:rsidRPr="00017F74">
        <w:rPr>
          <w:rFonts w:ascii="Arial" w:hAnsi="Arial" w:cs="Arial"/>
          <w:highlight w:val="yellow"/>
        </w:rPr>
        <w:lastRenderedPageBreak/>
        <w:t>particularly in base metals, electronics, and food and beverage industries. The trade sector increased by approximately 4.86%, driven by rising production activities and household consumption, which grew by 4.94%. Meanwhile, the transportation and warehousing sector recorded a significant growth of 8.69%, and the accommodation and food service sector grew by 8.56%, supported by increased public mobility, national events, and a 19.05% rise in foreign tourist arrivals (BPS, 2024; Ministry of Finance of the Republic of Indonesia, 2024).</w:t>
      </w:r>
    </w:p>
    <w:p w14:paraId="41E86097" w14:textId="77777777" w:rsidR="00017F74" w:rsidRPr="00017F74" w:rsidRDefault="00017F74" w:rsidP="00017F74">
      <w:pPr>
        <w:ind w:firstLine="567"/>
        <w:jc w:val="both"/>
        <w:rPr>
          <w:rFonts w:ascii="Arial" w:hAnsi="Arial" w:cs="Arial"/>
          <w:highlight w:val="yellow"/>
        </w:rPr>
      </w:pPr>
      <w:r w:rsidRPr="00017F74">
        <w:rPr>
          <w:rFonts w:ascii="Arial" w:hAnsi="Arial" w:cs="Arial"/>
          <w:highlight w:val="yellow"/>
        </w:rPr>
        <w:t>Despite this strong growth, companies in the non-financial sector often face difficulties in obtaining external financing to support their investment and operational activities. This condition is commonly referred to as financial constraints, defined as situations in which firms experience difficulties in accessing external funds at reasonable costs due to information asymmetry between firms and investors or creditors (Farooq &amp; Noor, 2023). Financial constraints can limit firms’ investment capacity and hinder long-term growth, making it essential to identify the factors influencing these constraints (Wang et al., 2022).</w:t>
      </w:r>
    </w:p>
    <w:p w14:paraId="0ACE5A2C" w14:textId="77777777" w:rsidR="00017F74" w:rsidRPr="00017F74" w:rsidRDefault="00017F74" w:rsidP="00017F74">
      <w:pPr>
        <w:ind w:firstLine="567"/>
        <w:jc w:val="both"/>
        <w:rPr>
          <w:rFonts w:ascii="Arial" w:hAnsi="Arial" w:cs="Arial"/>
          <w:highlight w:val="yellow"/>
        </w:rPr>
      </w:pPr>
      <w:r w:rsidRPr="00017F74">
        <w:rPr>
          <w:rFonts w:ascii="Arial" w:hAnsi="Arial" w:cs="Arial"/>
          <w:highlight w:val="yellow"/>
        </w:rPr>
        <w:t>Empirical evidence suggests that financial constraints remain a significant issue in Indonesia. Previous studies indicate that financially constrained firms tend to hold higher levels of cash as a precautionary measure due to limited access to external financing (</w:t>
      </w:r>
      <w:proofErr w:type="spellStart"/>
      <w:r w:rsidRPr="00017F74">
        <w:rPr>
          <w:rFonts w:ascii="Arial" w:hAnsi="Arial" w:cs="Arial"/>
          <w:highlight w:val="yellow"/>
        </w:rPr>
        <w:t>Permananingrum</w:t>
      </w:r>
      <w:proofErr w:type="spellEnd"/>
      <w:r w:rsidRPr="00017F74">
        <w:rPr>
          <w:rFonts w:ascii="Arial" w:hAnsi="Arial" w:cs="Arial"/>
          <w:highlight w:val="yellow"/>
        </w:rPr>
        <w:t>, 2024). Several factors contribute to this condition, including limited access to credit, high cost of capital, weak transparency and corporate governance practices, and inefficiencies in financial markets. In addition, firm-specific characteristics such as younger age, smaller size, and lower profitability further exacerbate the difficulty in obtaining external funding (Pham et al., 2024).</w:t>
      </w:r>
    </w:p>
    <w:p w14:paraId="2966113E" w14:textId="77777777" w:rsidR="00017F74" w:rsidRPr="00017F74" w:rsidRDefault="00017F74" w:rsidP="00017F74">
      <w:pPr>
        <w:ind w:firstLine="567"/>
        <w:jc w:val="both"/>
        <w:rPr>
          <w:rFonts w:ascii="Arial" w:hAnsi="Arial" w:cs="Arial"/>
          <w:highlight w:val="yellow"/>
        </w:rPr>
      </w:pPr>
      <w:r w:rsidRPr="00017F74">
        <w:rPr>
          <w:rFonts w:ascii="Arial" w:hAnsi="Arial" w:cs="Arial"/>
          <w:highlight w:val="yellow"/>
        </w:rPr>
        <w:t>Recent studies have highlighted the importance of digitalization and ownership structure as key determinants of financial constraints. Digitalization can enhance operational efficiency and competitiveness; however, it often requires substantial investment, which may increase short-term financial pressure (Yu, 2025; Gu et al., 2021). During the digital transformation process, firms frequently experience cash flow pressures due to increased capital expenditures that are not immediately matched by corresponding cash inflows, thereby increasing reliance on internal financing (Chen et al., 2024).</w:t>
      </w:r>
    </w:p>
    <w:p w14:paraId="4BB04766" w14:textId="5994F07A" w:rsidR="00017F74" w:rsidRPr="00017F74" w:rsidRDefault="00017F74" w:rsidP="00017F74">
      <w:pPr>
        <w:ind w:firstLine="567"/>
        <w:jc w:val="both"/>
        <w:rPr>
          <w:rFonts w:ascii="Arial" w:hAnsi="Arial" w:cs="Arial"/>
          <w:highlight w:val="yellow"/>
        </w:rPr>
      </w:pPr>
      <w:r w:rsidRPr="00017F74">
        <w:rPr>
          <w:rFonts w:ascii="Arial" w:hAnsi="Arial" w:cs="Arial"/>
          <w:highlight w:val="yellow"/>
        </w:rPr>
        <w:t>In addition to digitalization, ownership structure</w:t>
      </w:r>
      <w:r w:rsidRPr="00B308A7">
        <w:rPr>
          <w:rFonts w:ascii="Arial" w:hAnsi="Arial" w:cs="Arial"/>
          <w:highlight w:val="yellow"/>
        </w:rPr>
        <w:t xml:space="preserve"> </w:t>
      </w:r>
      <w:r w:rsidRPr="00017F74">
        <w:rPr>
          <w:rFonts w:ascii="Arial" w:hAnsi="Arial" w:cs="Arial"/>
          <w:highlight w:val="yellow"/>
        </w:rPr>
        <w:t>particularly managerial ownership and family ownership</w:t>
      </w:r>
      <w:r w:rsidRPr="00B308A7">
        <w:rPr>
          <w:rFonts w:ascii="Arial" w:hAnsi="Arial" w:cs="Arial"/>
          <w:highlight w:val="yellow"/>
        </w:rPr>
        <w:t xml:space="preserve"> </w:t>
      </w:r>
      <w:r w:rsidRPr="00017F74">
        <w:rPr>
          <w:rFonts w:ascii="Arial" w:hAnsi="Arial" w:cs="Arial"/>
          <w:highlight w:val="yellow"/>
        </w:rPr>
        <w:t>also plays an important role in shaping firms’ financing conditions. Prior studies show that higher managerial ownership is associated with increased financial constraints, as managers tend to avoid issuing new equity, thereby limiting external financing options (</w:t>
      </w:r>
      <w:proofErr w:type="spellStart"/>
      <w:r w:rsidRPr="00017F74">
        <w:rPr>
          <w:rFonts w:ascii="Arial" w:hAnsi="Arial" w:cs="Arial"/>
          <w:highlight w:val="yellow"/>
        </w:rPr>
        <w:t>Benteng</w:t>
      </w:r>
      <w:proofErr w:type="spellEnd"/>
      <w:r w:rsidRPr="00017F74">
        <w:rPr>
          <w:rFonts w:ascii="Arial" w:hAnsi="Arial" w:cs="Arial"/>
          <w:highlight w:val="yellow"/>
        </w:rPr>
        <w:t xml:space="preserve"> &amp; Moin, 2021). Similarly, family ownership has been found to positively influence financial constraints, as family-controlled firms often prioritize control preservation over external financing, leading to more conservative funding decisions (Farooq et al., 2022; Chu et al., 2024).</w:t>
      </w:r>
    </w:p>
    <w:p w14:paraId="44AFDFA8" w14:textId="77777777" w:rsidR="00017F74" w:rsidRPr="00017F74" w:rsidRDefault="00017F74" w:rsidP="00017F74">
      <w:pPr>
        <w:ind w:firstLine="567"/>
        <w:jc w:val="both"/>
        <w:rPr>
          <w:rFonts w:ascii="Arial" w:hAnsi="Arial" w:cs="Arial"/>
        </w:rPr>
      </w:pPr>
      <w:r w:rsidRPr="00017F74">
        <w:rPr>
          <w:rFonts w:ascii="Arial" w:hAnsi="Arial" w:cs="Arial"/>
          <w:highlight w:val="yellow"/>
        </w:rPr>
        <w:t>Although prior research has examined the effects of digitalization and ownership structure separately, limited studies have integrated these factors in explaining financial constraints, particularly in the context of emerging markets such as Indonesia. Moreover, the post-pandemic period (2020–2024), characterized by accelerated digital transformation, provides a unique context to re-examine these relationships. Therefore, this study aims to analyze the influence of digitalization, managerial ownership, and family ownership on financial constraints in non-financial companies in Indonesia, thereby contributing to the literature on corporate finance, digital transformation, and corporate governance.</w:t>
      </w:r>
    </w:p>
    <w:p w14:paraId="33B310E4" w14:textId="77777777" w:rsidR="0018585E" w:rsidRPr="0018585E" w:rsidRDefault="0018585E" w:rsidP="0018585E">
      <w:pPr>
        <w:pStyle w:val="ListParagraph"/>
        <w:spacing w:after="0" w:line="240" w:lineRule="auto"/>
        <w:ind w:left="0"/>
        <w:jc w:val="both"/>
        <w:rPr>
          <w:rFonts w:ascii="Arial" w:hAnsi="Arial" w:cs="Arial"/>
          <w:b/>
          <w:sz w:val="20"/>
          <w:szCs w:val="20"/>
        </w:rPr>
      </w:pPr>
    </w:p>
    <w:p w14:paraId="3085326F" w14:textId="4992251A" w:rsidR="0018585E" w:rsidRPr="00E16AAC" w:rsidRDefault="0018585E" w:rsidP="004D0AE7">
      <w:pPr>
        <w:pStyle w:val="ListParagraph"/>
        <w:numPr>
          <w:ilvl w:val="1"/>
          <w:numId w:val="31"/>
        </w:numPr>
        <w:spacing w:after="0" w:line="240" w:lineRule="auto"/>
        <w:jc w:val="both"/>
        <w:rPr>
          <w:rFonts w:ascii="Arial" w:hAnsi="Arial" w:cs="Arial"/>
          <w:b/>
          <w:iCs/>
        </w:rPr>
      </w:pPr>
      <w:r w:rsidRPr="00E16AAC">
        <w:rPr>
          <w:rFonts w:ascii="Arial" w:hAnsi="Arial" w:cs="Arial"/>
          <w:b/>
          <w:iCs/>
        </w:rPr>
        <w:t>Financial Constraint</w:t>
      </w:r>
    </w:p>
    <w:p w14:paraId="0D0F2037" w14:textId="28A78008" w:rsidR="0018585E" w:rsidRPr="0018585E" w:rsidRDefault="0018585E" w:rsidP="0018585E">
      <w:pPr>
        <w:pStyle w:val="ListParagraph"/>
        <w:spacing w:after="0" w:line="240" w:lineRule="auto"/>
        <w:ind w:left="0" w:firstLine="567"/>
        <w:jc w:val="both"/>
        <w:rPr>
          <w:rFonts w:ascii="Arial" w:eastAsia="Times New Roman" w:hAnsi="Arial" w:cs="Arial"/>
          <w:sz w:val="20"/>
          <w:szCs w:val="20"/>
        </w:rPr>
      </w:pPr>
      <w:r w:rsidRPr="0018585E">
        <w:rPr>
          <w:rFonts w:ascii="Arial" w:eastAsia="Times New Roman" w:hAnsi="Arial" w:cs="Arial"/>
          <w:i/>
          <w:iCs/>
          <w:sz w:val="20"/>
          <w:szCs w:val="20"/>
        </w:rPr>
        <w:t>Financial constraints</w:t>
      </w:r>
      <w:r w:rsidRPr="0018585E">
        <w:rPr>
          <w:rFonts w:ascii="Arial" w:eastAsia="Times New Roman" w:hAnsi="Arial" w:cs="Arial"/>
          <w:sz w:val="20"/>
          <w:szCs w:val="20"/>
        </w:rPr>
        <w:t xml:space="preserve"> are conditions when companies have difficulties in obtaining external funding to finance investment activities and company operations. This condition usually occurs due to the </w:t>
      </w:r>
      <w:r w:rsidRPr="0018585E">
        <w:rPr>
          <w:rFonts w:ascii="Arial" w:eastAsia="Times New Roman" w:hAnsi="Arial" w:cs="Arial"/>
          <w:bCs/>
          <w:sz w:val="20"/>
          <w:szCs w:val="20"/>
        </w:rPr>
        <w:t>asymmetry of information between the company and external parties</w:t>
      </w:r>
      <w:r w:rsidRPr="0018585E">
        <w:rPr>
          <w:rFonts w:ascii="Arial" w:eastAsia="Times New Roman" w:hAnsi="Arial" w:cs="Arial"/>
          <w:sz w:val="20"/>
          <w:szCs w:val="20"/>
        </w:rPr>
        <w:t xml:space="preserve">, such as investors and creditors, which causes external parties to assess the company as having a higher level of risk thereby increasing the cost of capital or limiting the company's access to sources of financing (Myers &amp; Majluf, 1981; Kaplan &amp; Zingales, 1997). Empirical research shows that companies that experience financial constraints have a higher </w:t>
      </w:r>
      <w:r w:rsidRPr="0018585E">
        <w:rPr>
          <w:rFonts w:ascii="Arial" w:eastAsia="Times New Roman" w:hAnsi="Arial" w:cs="Arial"/>
          <w:sz w:val="20"/>
          <w:szCs w:val="20"/>
        </w:rPr>
        <w:lastRenderedPageBreak/>
        <w:t>dependence on internal cash flow in financing investment activities. This causes investment sensitivity to cash flow to be higher due to limited access to external financing (Sari &amp; Leon, 2020). In addition, limited funding can cause companies to be unable to take advantage of profitable investment opportunities, thereby reducing investment efficiency and company performance (Amalia &amp; Fuad, 2023).</w:t>
      </w:r>
    </w:p>
    <w:p w14:paraId="18539AE7" w14:textId="77777777" w:rsidR="0018585E" w:rsidRPr="0018585E" w:rsidRDefault="0018585E" w:rsidP="0018585E">
      <w:pPr>
        <w:pStyle w:val="ListParagraph"/>
        <w:spacing w:after="0" w:line="240" w:lineRule="auto"/>
        <w:ind w:left="0" w:firstLine="567"/>
        <w:jc w:val="both"/>
        <w:rPr>
          <w:rFonts w:ascii="Arial" w:hAnsi="Arial" w:cs="Arial"/>
          <w:sz w:val="20"/>
          <w:szCs w:val="20"/>
        </w:rPr>
      </w:pPr>
      <w:r w:rsidRPr="0018585E">
        <w:rPr>
          <w:rFonts w:ascii="Arial" w:eastAsia="Times New Roman" w:hAnsi="Arial" w:cs="Arial"/>
          <w:sz w:val="20"/>
          <w:szCs w:val="20"/>
        </w:rPr>
        <w:t xml:space="preserve">Recent research also shows that </w:t>
      </w:r>
      <w:r w:rsidRPr="0018585E">
        <w:rPr>
          <w:rFonts w:ascii="Arial" w:eastAsia="Times New Roman" w:hAnsi="Arial" w:cs="Arial"/>
          <w:i/>
          <w:iCs/>
          <w:sz w:val="20"/>
          <w:szCs w:val="20"/>
        </w:rPr>
        <w:t>financial constraints</w:t>
      </w:r>
      <w:r w:rsidRPr="0018585E">
        <w:rPr>
          <w:rFonts w:ascii="Arial" w:eastAsia="Times New Roman" w:hAnsi="Arial" w:cs="Arial"/>
          <w:sz w:val="20"/>
          <w:szCs w:val="20"/>
        </w:rPr>
        <w:t xml:space="preserve"> are still an important issue in modern corporate finance. </w:t>
      </w:r>
      <w:r w:rsidRPr="0018585E">
        <w:rPr>
          <w:rFonts w:ascii="Arial" w:eastAsia="Times New Roman" w:hAnsi="Arial" w:cs="Arial"/>
          <w:bCs/>
          <w:sz w:val="20"/>
          <w:szCs w:val="20"/>
        </w:rPr>
        <w:t>Bani Ismail and Ismaeel (2025)</w:t>
      </w:r>
      <w:r w:rsidRPr="0018585E">
        <w:rPr>
          <w:rFonts w:ascii="Arial" w:eastAsia="Times New Roman" w:hAnsi="Arial" w:cs="Arial"/>
          <w:sz w:val="20"/>
          <w:szCs w:val="20"/>
        </w:rPr>
        <w:t xml:space="preserve"> found that limited internal cash flow and high external funding costs can increase the likelihood of companies experiencing financial constraints. In addition, </w:t>
      </w:r>
      <w:r w:rsidRPr="0018585E">
        <w:rPr>
          <w:rFonts w:ascii="Arial" w:eastAsia="Times New Roman" w:hAnsi="Arial" w:cs="Arial"/>
          <w:bCs/>
          <w:sz w:val="20"/>
          <w:szCs w:val="20"/>
        </w:rPr>
        <w:t>Hofmann et al. (2022)</w:t>
      </w:r>
      <w:r w:rsidRPr="0018585E">
        <w:rPr>
          <w:rFonts w:ascii="Arial" w:eastAsia="Times New Roman" w:hAnsi="Arial" w:cs="Arial"/>
          <w:sz w:val="20"/>
          <w:szCs w:val="20"/>
        </w:rPr>
        <w:t xml:space="preserve"> show that companies facing financial difficulties tend to lower the level of fixed investment and research and development (R&amp;D) activities, which can ultimately affect the company's growth in the long run. Thus, financial constraints are an important factor that influences investment decisions and a company's funding strategy. Limited access to external financing can hinder companies from expanding and taking advantage of lucrative investment opportunities (Lamont et al., 2001; Osano &amp; </w:t>
      </w:r>
      <w:proofErr w:type="spellStart"/>
      <w:r w:rsidRPr="0018585E">
        <w:rPr>
          <w:rFonts w:ascii="Arial" w:eastAsia="Times New Roman" w:hAnsi="Arial" w:cs="Arial"/>
          <w:sz w:val="20"/>
          <w:szCs w:val="20"/>
        </w:rPr>
        <w:t>Languitone</w:t>
      </w:r>
      <w:proofErr w:type="spellEnd"/>
      <w:r w:rsidRPr="0018585E">
        <w:rPr>
          <w:rFonts w:ascii="Arial" w:eastAsia="Times New Roman" w:hAnsi="Arial" w:cs="Arial"/>
          <w:sz w:val="20"/>
          <w:szCs w:val="20"/>
        </w:rPr>
        <w:t>, 2015).</w:t>
      </w:r>
    </w:p>
    <w:p w14:paraId="5A6A4262" w14:textId="77777777" w:rsidR="0018585E" w:rsidRPr="0018585E" w:rsidRDefault="0018585E" w:rsidP="0018585E">
      <w:pPr>
        <w:jc w:val="both"/>
        <w:rPr>
          <w:rFonts w:ascii="Arial" w:hAnsi="Arial" w:cs="Arial"/>
          <w:b/>
        </w:rPr>
      </w:pPr>
    </w:p>
    <w:p w14:paraId="37A972B0" w14:textId="5142FA20" w:rsidR="0018585E" w:rsidRPr="00E16AAC" w:rsidRDefault="0018585E" w:rsidP="0018585E">
      <w:pPr>
        <w:pStyle w:val="ListParagraph"/>
        <w:numPr>
          <w:ilvl w:val="1"/>
          <w:numId w:val="31"/>
        </w:numPr>
        <w:spacing w:after="0" w:line="240" w:lineRule="auto"/>
        <w:jc w:val="both"/>
        <w:rPr>
          <w:rFonts w:ascii="Arial" w:hAnsi="Arial" w:cs="Arial"/>
          <w:b/>
        </w:rPr>
      </w:pPr>
      <w:r w:rsidRPr="00E16AAC">
        <w:rPr>
          <w:rFonts w:ascii="Arial" w:hAnsi="Arial" w:cs="Arial"/>
          <w:b/>
        </w:rPr>
        <w:t>Digitalization</w:t>
      </w:r>
    </w:p>
    <w:p w14:paraId="26FAD09F" w14:textId="7F079FBF" w:rsidR="0018585E" w:rsidRPr="0018585E" w:rsidRDefault="0018585E" w:rsidP="0018585E">
      <w:pPr>
        <w:ind w:firstLine="567"/>
        <w:jc w:val="both"/>
        <w:rPr>
          <w:rFonts w:ascii="Arial" w:hAnsi="Arial" w:cs="Arial"/>
        </w:rPr>
      </w:pPr>
      <w:r w:rsidRPr="0018585E">
        <w:rPr>
          <w:rFonts w:ascii="Arial" w:hAnsi="Arial" w:cs="Arial"/>
        </w:rPr>
        <w:t xml:space="preserve">Digitalization is the process of integrating digital technology into various business activities of companies with the aim of improving operational efficiency, productivity, and the quality of managerial decision-making (Mahmood et al., 2019). Digital transformation includes the use of technologies such as </w:t>
      </w:r>
      <w:r w:rsidRPr="0018585E">
        <w:rPr>
          <w:rStyle w:val="Strong"/>
          <w:rFonts w:ascii="Arial" w:hAnsi="Arial" w:cs="Arial"/>
          <w:b w:val="0"/>
          <w:bCs w:val="0"/>
        </w:rPr>
        <w:t>big data, artificial intelligence, cloud computing, and the Internet of Things (IoT)</w:t>
      </w:r>
      <w:r w:rsidRPr="0018585E">
        <w:rPr>
          <w:rFonts w:ascii="Arial" w:hAnsi="Arial" w:cs="Arial"/>
        </w:rPr>
        <w:t xml:space="preserve"> that can change business models as well as the way companies create value for customers (Verhoef et al., 2021).</w:t>
      </w:r>
    </w:p>
    <w:p w14:paraId="7F222685" w14:textId="77777777" w:rsidR="0018585E" w:rsidRPr="0018585E" w:rsidRDefault="0018585E" w:rsidP="0018585E">
      <w:pPr>
        <w:ind w:firstLine="567"/>
        <w:jc w:val="both"/>
        <w:rPr>
          <w:rFonts w:ascii="Arial" w:hAnsi="Arial" w:cs="Arial"/>
        </w:rPr>
      </w:pPr>
      <w:r w:rsidRPr="0018585E">
        <w:rPr>
          <w:rFonts w:ascii="Arial" w:hAnsi="Arial" w:cs="Arial"/>
        </w:rPr>
        <w:t xml:space="preserve">In empirical research, a company's level of digitalization is often measured through the </w:t>
      </w:r>
      <w:r w:rsidRPr="0018585E">
        <w:rPr>
          <w:rStyle w:val="Strong"/>
          <w:rFonts w:ascii="Arial" w:hAnsi="Arial" w:cs="Arial"/>
          <w:b w:val="0"/>
          <w:bCs w:val="0"/>
        </w:rPr>
        <w:t>proportion of intangible assets related to digital technology</w:t>
      </w:r>
      <w:r w:rsidRPr="0018585E">
        <w:rPr>
          <w:rFonts w:ascii="Arial" w:hAnsi="Arial" w:cs="Arial"/>
        </w:rPr>
        <w:t>, such as software, digital platforms, and corporate information systems (Zhou, 2024). The greater the proportion of digital assets, the higher the level of digitalization of the company. Although digitalization can improve operational efficiency and competitiveness of companies, the implementation process often requires a large initial investment and contains a high level of uncertainty. Therefore, in the short term, digitalization can increase the financial pressure of companies due to the large funding needs for technology investments (Yu et al., 2025)</w:t>
      </w:r>
    </w:p>
    <w:p w14:paraId="5C2CB673" w14:textId="77777777" w:rsidR="0018585E" w:rsidRPr="0018585E" w:rsidRDefault="0018585E" w:rsidP="0018585E">
      <w:pPr>
        <w:jc w:val="both"/>
        <w:rPr>
          <w:rFonts w:ascii="Arial" w:hAnsi="Arial" w:cs="Arial"/>
          <w:b/>
        </w:rPr>
      </w:pPr>
    </w:p>
    <w:p w14:paraId="181C00E6" w14:textId="3C0BE1A4" w:rsidR="0018585E" w:rsidRPr="00E16AAC" w:rsidRDefault="004D0AE7" w:rsidP="0018585E">
      <w:pPr>
        <w:pStyle w:val="ListParagraph"/>
        <w:numPr>
          <w:ilvl w:val="1"/>
          <w:numId w:val="31"/>
        </w:numPr>
        <w:spacing w:after="0" w:line="240" w:lineRule="auto"/>
        <w:jc w:val="both"/>
        <w:rPr>
          <w:rFonts w:ascii="Arial" w:hAnsi="Arial" w:cs="Arial"/>
          <w:b/>
        </w:rPr>
      </w:pPr>
      <w:r w:rsidRPr="00E16AAC">
        <w:rPr>
          <w:rFonts w:ascii="Arial" w:hAnsi="Arial" w:cs="Arial"/>
          <w:b/>
        </w:rPr>
        <w:t>The Effect of Digitalization on Financial Constraints</w:t>
      </w:r>
    </w:p>
    <w:p w14:paraId="198835CD" w14:textId="3F524447" w:rsidR="0018585E" w:rsidRPr="0018585E" w:rsidRDefault="0018585E" w:rsidP="004D0AE7">
      <w:pPr>
        <w:ind w:firstLine="567"/>
        <w:jc w:val="both"/>
        <w:rPr>
          <w:rFonts w:ascii="Arial" w:hAnsi="Arial" w:cs="Arial"/>
        </w:rPr>
      </w:pPr>
      <w:r w:rsidRPr="0018585E">
        <w:rPr>
          <w:rFonts w:ascii="Arial" w:hAnsi="Arial" w:cs="Arial"/>
        </w:rPr>
        <w:t>Digitalization is the process of integrating digital technology in various business activities that aims to improve operational efficiency, decision-making quality, and company competitiveness. Digital transformation allows companies to increase productivity and efficiency through the use of technologies such as artificial intelligence, big data, and the Internet of Things (IoT). However, in practice, the implementation of digitalization often requires large initial investments, which can put pressure on the company's financial condition, especially in the early stages of digital transformation. Tajuddin (2025) found that digitalization can increase companies' financial constraints because companies must allocate considerable funds for the procurement of technological infrastructure, development of digital systems, and training of human resources. This condition can limit the company's financial flexibility in the short term.</w:t>
      </w:r>
    </w:p>
    <w:p w14:paraId="1984AB74" w14:textId="77777777" w:rsidR="0018585E" w:rsidRPr="0018585E" w:rsidRDefault="0018585E" w:rsidP="004D0AE7">
      <w:pPr>
        <w:ind w:firstLine="567"/>
        <w:jc w:val="both"/>
        <w:rPr>
          <w:rFonts w:ascii="Arial" w:hAnsi="Arial" w:cs="Arial"/>
          <w:b/>
        </w:rPr>
      </w:pPr>
      <w:r w:rsidRPr="0018585E">
        <w:rPr>
          <w:rFonts w:ascii="Arial" w:hAnsi="Arial" w:cs="Arial"/>
        </w:rPr>
        <w:t xml:space="preserve">Another study by Yu (2025) shows that digital transformation can increase financial constraints, especially in the early phases of implementation because the high need for technology investment leads to increased cash flow pressures for companies. In addition, Qiu (2025) also found that digital transformation in non-technology companies can increase financial constraints due to the high cost of implementation and difficulties in the technology adaptation process. Hu (2024) also shows that digital transformation can exacerbate funding maturity mismatch, which ultimately increases the company's liquidity pressure and increases the level of financial constraints. Therefore, although digitalization has the potential to improve company efficiency and performance in the long term, in the early </w:t>
      </w:r>
      <w:r w:rsidRPr="0018585E">
        <w:rPr>
          <w:rFonts w:ascii="Arial" w:hAnsi="Arial" w:cs="Arial"/>
        </w:rPr>
        <w:lastRenderedPageBreak/>
        <w:t>stages of digitalization implementation, it can actually increase the company's funding limitations.</w:t>
      </w:r>
    </w:p>
    <w:p w14:paraId="11B23A8A" w14:textId="77777777" w:rsidR="0018585E" w:rsidRPr="0018585E" w:rsidRDefault="0018585E" w:rsidP="004D0AE7">
      <w:pPr>
        <w:jc w:val="both"/>
        <w:rPr>
          <w:rFonts w:ascii="Arial" w:hAnsi="Arial" w:cs="Arial"/>
        </w:rPr>
      </w:pPr>
      <w:r w:rsidRPr="0018585E">
        <w:rPr>
          <w:rFonts w:ascii="Arial" w:hAnsi="Arial" w:cs="Arial"/>
          <w:b/>
        </w:rPr>
        <w:t xml:space="preserve">H1. </w:t>
      </w:r>
      <w:r w:rsidRPr="0018585E">
        <w:rPr>
          <w:rFonts w:ascii="Arial" w:hAnsi="Arial" w:cs="Arial"/>
        </w:rPr>
        <w:t xml:space="preserve">Digitalization has a positive effect on </w:t>
      </w:r>
      <w:r w:rsidRPr="0018585E">
        <w:rPr>
          <w:rFonts w:ascii="Arial" w:hAnsi="Arial" w:cs="Arial"/>
          <w:i/>
        </w:rPr>
        <w:t>financial constraints</w:t>
      </w:r>
      <w:r w:rsidRPr="0018585E">
        <w:rPr>
          <w:rFonts w:ascii="Arial" w:hAnsi="Arial" w:cs="Arial"/>
        </w:rPr>
        <w:t>.</w:t>
      </w:r>
    </w:p>
    <w:p w14:paraId="7D7C78DA" w14:textId="77777777" w:rsidR="0018585E" w:rsidRPr="0018585E" w:rsidRDefault="0018585E" w:rsidP="0018585E">
      <w:pPr>
        <w:jc w:val="both"/>
        <w:rPr>
          <w:rFonts w:ascii="Arial" w:hAnsi="Arial" w:cs="Arial"/>
          <w:b/>
        </w:rPr>
      </w:pPr>
    </w:p>
    <w:p w14:paraId="328A72B5" w14:textId="22CA8956" w:rsidR="0018585E" w:rsidRPr="00A965CD" w:rsidRDefault="00A965CD" w:rsidP="0018585E">
      <w:pPr>
        <w:pStyle w:val="ListParagraph"/>
        <w:numPr>
          <w:ilvl w:val="1"/>
          <w:numId w:val="31"/>
        </w:numPr>
        <w:spacing w:after="0" w:line="240" w:lineRule="auto"/>
        <w:jc w:val="both"/>
        <w:rPr>
          <w:rFonts w:ascii="Arial" w:hAnsi="Arial" w:cs="Arial"/>
          <w:b/>
          <w:sz w:val="20"/>
          <w:szCs w:val="20"/>
        </w:rPr>
      </w:pPr>
      <w:r w:rsidRPr="00E16AAC">
        <w:rPr>
          <w:rFonts w:ascii="Arial" w:hAnsi="Arial" w:cs="Arial"/>
          <w:b/>
        </w:rPr>
        <w:t>Ownership Structure</w:t>
      </w:r>
    </w:p>
    <w:p w14:paraId="56ED58E3" w14:textId="0523025B" w:rsidR="0018585E" w:rsidRPr="0018585E" w:rsidRDefault="0018585E" w:rsidP="00A965CD">
      <w:pPr>
        <w:ind w:firstLine="567"/>
        <w:jc w:val="both"/>
        <w:rPr>
          <w:rFonts w:ascii="Arial" w:hAnsi="Arial" w:cs="Arial"/>
        </w:rPr>
      </w:pPr>
      <w:r w:rsidRPr="0018585E">
        <w:rPr>
          <w:rFonts w:ascii="Arial" w:hAnsi="Arial" w:cs="Arial"/>
        </w:rPr>
        <w:t>Ownership structure is one of the important aspects of corporate governance that can affect financial policies, management supervision mechanisms, and the company's ability to obtain external funding. In this study, the ownership structure consists of managerial ownership and family ownership, each of which has different characteristics and implications for the company's financial condition.</w:t>
      </w:r>
    </w:p>
    <w:p w14:paraId="12A19D4C" w14:textId="32076961" w:rsidR="0018585E" w:rsidRPr="0018585E" w:rsidRDefault="0018585E" w:rsidP="00A965CD">
      <w:pPr>
        <w:ind w:firstLine="567"/>
        <w:jc w:val="both"/>
        <w:rPr>
          <w:rFonts w:ascii="Arial" w:hAnsi="Arial" w:cs="Arial"/>
        </w:rPr>
      </w:pPr>
      <w:r w:rsidRPr="0018585E">
        <w:rPr>
          <w:rFonts w:ascii="Arial" w:hAnsi="Arial" w:cs="Arial"/>
        </w:rPr>
        <w:t>Managerial ownership is the proportion of company shares owned by the management who are directly involved in the company's decision-making. Based on agency theory, managerial ownership can align interests between managers and shareholders because managers have incentives to improve the company's performance (Jensen &amp; Meckling, 1976). However, at a certain level of ownership, the dominance of managers in the ownership structure can cause managerial entrenchment problems that increase information asymmetry and agency risk, thereby potentially increasing the company's financial constraints (Farooq et al., 2022; Zheng &amp; Shen, 2024).</w:t>
      </w:r>
    </w:p>
    <w:p w14:paraId="5D1C15D2" w14:textId="77777777" w:rsidR="0018585E" w:rsidRPr="0018585E" w:rsidRDefault="0018585E" w:rsidP="00A965CD">
      <w:pPr>
        <w:ind w:firstLine="567"/>
        <w:jc w:val="both"/>
        <w:rPr>
          <w:rFonts w:ascii="Arial" w:hAnsi="Arial" w:cs="Arial"/>
        </w:rPr>
      </w:pPr>
      <w:r w:rsidRPr="0018585E">
        <w:rPr>
          <w:rFonts w:ascii="Arial" w:hAnsi="Arial" w:cs="Arial"/>
        </w:rPr>
        <w:t>Family ownership refers to a condition when a majority of a company's shares are owned and controlled by family members who are also involved in the management of the company. While family ownership can reduce agency conflicts between owners and managers, family businesses often tend to rely on internal funding and are more cautious about using external funding. This condition can limit companies' access to external sources of financing and increase the level of financial constraints (Muñoz-</w:t>
      </w:r>
      <w:proofErr w:type="spellStart"/>
      <w:r w:rsidRPr="0018585E">
        <w:rPr>
          <w:rFonts w:ascii="Arial" w:hAnsi="Arial" w:cs="Arial"/>
        </w:rPr>
        <w:t>Bullón</w:t>
      </w:r>
      <w:proofErr w:type="spellEnd"/>
      <w:r w:rsidRPr="0018585E">
        <w:rPr>
          <w:rFonts w:ascii="Arial" w:hAnsi="Arial" w:cs="Arial"/>
        </w:rPr>
        <w:t xml:space="preserve"> et al., 2024; Farooq et al., 2022).</w:t>
      </w:r>
    </w:p>
    <w:p w14:paraId="197DEF62" w14:textId="77777777" w:rsidR="0018585E" w:rsidRPr="00A965CD" w:rsidRDefault="0018585E" w:rsidP="0018585E">
      <w:pPr>
        <w:jc w:val="both"/>
        <w:rPr>
          <w:rFonts w:ascii="Arial" w:hAnsi="Arial" w:cs="Arial"/>
          <w:b/>
        </w:rPr>
      </w:pPr>
    </w:p>
    <w:p w14:paraId="57162040" w14:textId="2E3172E9" w:rsidR="0018585E" w:rsidRPr="00E16AAC" w:rsidRDefault="00A965CD" w:rsidP="00A965CD">
      <w:pPr>
        <w:pStyle w:val="ListParagraph"/>
        <w:numPr>
          <w:ilvl w:val="1"/>
          <w:numId w:val="31"/>
        </w:numPr>
        <w:spacing w:after="0" w:line="240" w:lineRule="auto"/>
        <w:jc w:val="both"/>
        <w:rPr>
          <w:rFonts w:ascii="Arial" w:hAnsi="Arial" w:cs="Arial"/>
          <w:b/>
        </w:rPr>
      </w:pPr>
      <w:r w:rsidRPr="00E16AAC">
        <w:rPr>
          <w:rFonts w:ascii="Arial" w:hAnsi="Arial" w:cs="Arial"/>
          <w:b/>
        </w:rPr>
        <w:t>The Effect of Ownership Structure on Financial Constraints</w:t>
      </w:r>
    </w:p>
    <w:p w14:paraId="5E300330" w14:textId="05B1D4E6" w:rsidR="0018585E" w:rsidRPr="00A965CD" w:rsidRDefault="0018585E" w:rsidP="00A965CD">
      <w:pPr>
        <w:pStyle w:val="ListParagraph"/>
        <w:spacing w:after="0" w:line="240" w:lineRule="auto"/>
        <w:ind w:left="0" w:firstLine="567"/>
        <w:jc w:val="both"/>
        <w:rPr>
          <w:rFonts w:ascii="Arial" w:hAnsi="Arial" w:cs="Arial"/>
          <w:sz w:val="20"/>
          <w:szCs w:val="20"/>
        </w:rPr>
      </w:pPr>
      <w:r w:rsidRPr="0018585E">
        <w:rPr>
          <w:rFonts w:ascii="Arial" w:hAnsi="Arial" w:cs="Arial"/>
          <w:sz w:val="20"/>
          <w:szCs w:val="20"/>
        </w:rPr>
        <w:t xml:space="preserve">The ownership structure of a company can </w:t>
      </w:r>
      <w:proofErr w:type="gramStart"/>
      <w:r w:rsidRPr="0018585E">
        <w:rPr>
          <w:rFonts w:ascii="Arial" w:hAnsi="Arial" w:cs="Arial"/>
          <w:sz w:val="20"/>
          <w:szCs w:val="20"/>
        </w:rPr>
        <w:t>affect</w:t>
      </w:r>
      <w:proofErr w:type="gramEnd"/>
      <w:r w:rsidRPr="0018585E">
        <w:rPr>
          <w:rFonts w:ascii="Arial" w:hAnsi="Arial" w:cs="Arial"/>
          <w:sz w:val="20"/>
          <w:szCs w:val="20"/>
        </w:rPr>
        <w:t xml:space="preserve"> the level of financial constraints through its role in determining the quality of corporate governance as well as the level of transparency of information available to investors and creditors. Differences in the composition of the company's shareholding can affect how the company's financial policies are taken as well as how the company gains access to external funding sources. An effective ownership structure can improve the supervisory mechanism for management so as to reduce information asymmetry between companies and investors.</w:t>
      </w:r>
    </w:p>
    <w:p w14:paraId="10C20EC0" w14:textId="69443D4F" w:rsidR="0018585E" w:rsidRPr="0018585E" w:rsidRDefault="0018585E" w:rsidP="00A965CD">
      <w:pPr>
        <w:pStyle w:val="ListParagraph"/>
        <w:spacing w:after="0" w:line="240" w:lineRule="auto"/>
        <w:ind w:left="0" w:firstLine="567"/>
        <w:jc w:val="both"/>
        <w:rPr>
          <w:rFonts w:ascii="Arial" w:eastAsia="Times New Roman" w:hAnsi="Arial" w:cs="Arial"/>
          <w:sz w:val="20"/>
          <w:szCs w:val="20"/>
        </w:rPr>
      </w:pPr>
      <w:r w:rsidRPr="0018585E">
        <w:rPr>
          <w:rFonts w:ascii="Arial" w:eastAsia="Times New Roman" w:hAnsi="Arial" w:cs="Arial"/>
          <w:sz w:val="20"/>
          <w:szCs w:val="20"/>
        </w:rPr>
        <w:t>Managerial ownership, namely the ownership of shares by the company's management, can affect the company's financial condition through a managerial decision-making mechanism. Zheng and Shen (2024) show that managerial ownership can increase financial constraints through increased debt costs caused by declining transparency of company information. The results of Lugo's (2019) research also found that high insider ownership increases bank loan interest rates because creditors value agency risk higher. In addition, Shan et al. (2023) found that a certain level of managerial ownership can worsen a company's financial condition and increase the likelihood of financial distress which ultimately strengthens the company's financial constraints.</w:t>
      </w:r>
    </w:p>
    <w:p w14:paraId="7EBB8227" w14:textId="4B8DC38A" w:rsidR="0018585E" w:rsidRPr="00A965CD" w:rsidRDefault="0018585E" w:rsidP="00A965CD">
      <w:pPr>
        <w:pStyle w:val="ListParagraph"/>
        <w:spacing w:after="0" w:line="240" w:lineRule="auto"/>
        <w:ind w:left="0" w:firstLine="567"/>
        <w:jc w:val="both"/>
        <w:rPr>
          <w:rFonts w:ascii="Arial" w:eastAsia="Times New Roman" w:hAnsi="Arial" w:cs="Arial"/>
          <w:sz w:val="20"/>
          <w:szCs w:val="20"/>
        </w:rPr>
      </w:pPr>
      <w:r w:rsidRPr="0018585E">
        <w:rPr>
          <w:rFonts w:ascii="Arial" w:eastAsia="Times New Roman" w:hAnsi="Arial" w:cs="Arial"/>
          <w:sz w:val="20"/>
          <w:szCs w:val="20"/>
        </w:rPr>
        <w:t>In addition to managerial ownership, family ownership can also affect the level of financial constraints faced by the company. Family-controlled companies tend to have more conservative management characteristics in funding decision-making. Muñoz-</w:t>
      </w:r>
      <w:proofErr w:type="spellStart"/>
      <w:r w:rsidRPr="0018585E">
        <w:rPr>
          <w:rFonts w:ascii="Arial" w:eastAsia="Times New Roman" w:hAnsi="Arial" w:cs="Arial"/>
          <w:sz w:val="20"/>
          <w:szCs w:val="20"/>
        </w:rPr>
        <w:t>Bullón</w:t>
      </w:r>
      <w:proofErr w:type="spellEnd"/>
      <w:r w:rsidRPr="0018585E">
        <w:rPr>
          <w:rFonts w:ascii="Arial" w:eastAsia="Times New Roman" w:hAnsi="Arial" w:cs="Arial"/>
          <w:sz w:val="20"/>
          <w:szCs w:val="20"/>
        </w:rPr>
        <w:t xml:space="preserve"> et al. (2024) show that family companies tend to avoid using high leverage and rely more on internal funding, which can increase the likelihood of financial constraints. Research by Farooq et al. (2022) also found that family involvement in company ownership has a positive relationship with financial constraints because family companies tend to limit access to external investors. In addition, Chu et al. (2016) show that family-controlled companies tend to face higher financial constraints due to dependence on internal financing sources.</w:t>
      </w:r>
    </w:p>
    <w:p w14:paraId="7A7D1E0E" w14:textId="77777777" w:rsidR="0018585E" w:rsidRPr="0018585E" w:rsidRDefault="0018585E" w:rsidP="0018585E">
      <w:pPr>
        <w:pStyle w:val="ListParagraph"/>
        <w:spacing w:after="0" w:line="240" w:lineRule="auto"/>
        <w:ind w:left="0"/>
        <w:rPr>
          <w:rFonts w:ascii="Arial" w:hAnsi="Arial" w:cs="Arial"/>
          <w:i/>
          <w:sz w:val="20"/>
          <w:szCs w:val="20"/>
        </w:rPr>
      </w:pPr>
      <w:r w:rsidRPr="0018585E">
        <w:rPr>
          <w:rFonts w:ascii="Arial" w:hAnsi="Arial" w:cs="Arial"/>
          <w:b/>
          <w:sz w:val="20"/>
          <w:szCs w:val="20"/>
        </w:rPr>
        <w:t xml:space="preserve">H2. </w:t>
      </w:r>
      <w:r w:rsidRPr="0018585E">
        <w:rPr>
          <w:rFonts w:ascii="Arial" w:hAnsi="Arial" w:cs="Arial"/>
          <w:sz w:val="20"/>
          <w:szCs w:val="20"/>
        </w:rPr>
        <w:t xml:space="preserve">Managerial ownership has a positive effect on </w:t>
      </w:r>
      <w:r w:rsidRPr="0018585E">
        <w:rPr>
          <w:rFonts w:ascii="Arial" w:hAnsi="Arial" w:cs="Arial"/>
          <w:i/>
          <w:sz w:val="20"/>
          <w:szCs w:val="20"/>
        </w:rPr>
        <w:t>financial constraints</w:t>
      </w:r>
    </w:p>
    <w:p w14:paraId="2CF70416" w14:textId="77777777" w:rsidR="0018585E" w:rsidRPr="0018585E" w:rsidRDefault="0018585E" w:rsidP="0018585E">
      <w:pPr>
        <w:pStyle w:val="ListParagraph"/>
        <w:spacing w:after="0" w:line="240" w:lineRule="auto"/>
        <w:ind w:left="0"/>
        <w:rPr>
          <w:rFonts w:ascii="Arial" w:hAnsi="Arial" w:cs="Arial"/>
          <w:i/>
          <w:sz w:val="20"/>
          <w:szCs w:val="20"/>
        </w:rPr>
      </w:pPr>
      <w:r w:rsidRPr="0018585E">
        <w:rPr>
          <w:rFonts w:ascii="Arial" w:hAnsi="Arial" w:cs="Arial"/>
          <w:b/>
          <w:sz w:val="20"/>
          <w:szCs w:val="20"/>
        </w:rPr>
        <w:lastRenderedPageBreak/>
        <w:t xml:space="preserve">H3. </w:t>
      </w:r>
      <w:r w:rsidRPr="0018585E">
        <w:rPr>
          <w:rFonts w:ascii="Arial" w:hAnsi="Arial" w:cs="Arial"/>
          <w:sz w:val="20"/>
          <w:szCs w:val="20"/>
        </w:rPr>
        <w:t xml:space="preserve">Family Ownership has a Positive Effect on </w:t>
      </w:r>
      <w:r w:rsidRPr="0018585E">
        <w:rPr>
          <w:rFonts w:ascii="Arial" w:hAnsi="Arial" w:cs="Arial"/>
          <w:i/>
          <w:sz w:val="20"/>
          <w:szCs w:val="20"/>
        </w:rPr>
        <w:t>Financial Constraints</w:t>
      </w:r>
    </w:p>
    <w:p w14:paraId="7A0FF8D8" w14:textId="77777777" w:rsidR="0018585E" w:rsidRPr="0018585E" w:rsidRDefault="0018585E" w:rsidP="0018585E">
      <w:pPr>
        <w:jc w:val="both"/>
        <w:rPr>
          <w:rFonts w:ascii="Arial" w:hAnsi="Arial" w:cs="Arial"/>
          <w:b/>
        </w:rPr>
      </w:pPr>
    </w:p>
    <w:p w14:paraId="51CA7EEA" w14:textId="77777777" w:rsidR="0018585E" w:rsidRPr="0018585E" w:rsidRDefault="0018585E" w:rsidP="0018585E">
      <w:pPr>
        <w:jc w:val="center"/>
        <w:rPr>
          <w:rFonts w:ascii="Arial" w:hAnsi="Arial" w:cs="Arial"/>
          <w:b/>
        </w:rPr>
      </w:pPr>
      <w:r w:rsidRPr="0018585E">
        <w:rPr>
          <w:rFonts w:ascii="Arial" w:hAnsi="Arial" w:cs="Arial"/>
          <w:b/>
          <w:noProof/>
        </w:rPr>
        <w:drawing>
          <wp:inline distT="0" distB="0" distL="0" distR="0" wp14:anchorId="500115C3" wp14:editId="613B2DF5">
            <wp:extent cx="3905250" cy="1769447"/>
            <wp:effectExtent l="0" t="0" r="0" b="0"/>
            <wp:docPr id="1679463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63788" name=""/>
                    <pic:cNvPicPr/>
                  </pic:nvPicPr>
                  <pic:blipFill>
                    <a:blip r:embed="rId12"/>
                    <a:stretch>
                      <a:fillRect/>
                    </a:stretch>
                  </pic:blipFill>
                  <pic:spPr>
                    <a:xfrm>
                      <a:off x="0" y="0"/>
                      <a:ext cx="3911828" cy="1772428"/>
                    </a:xfrm>
                    <a:prstGeom prst="rect">
                      <a:avLst/>
                    </a:prstGeom>
                  </pic:spPr>
                </pic:pic>
              </a:graphicData>
            </a:graphic>
          </wp:inline>
        </w:drawing>
      </w:r>
    </w:p>
    <w:p w14:paraId="58B0C703" w14:textId="670D0B74" w:rsidR="0084763C" w:rsidRDefault="0018585E" w:rsidP="00EA0661">
      <w:pPr>
        <w:jc w:val="center"/>
        <w:rPr>
          <w:rFonts w:ascii="Arial" w:hAnsi="Arial" w:cs="Arial"/>
          <w:b/>
        </w:rPr>
      </w:pPr>
      <w:r w:rsidRPr="0018585E">
        <w:rPr>
          <w:rFonts w:ascii="Arial" w:hAnsi="Arial" w:cs="Arial"/>
          <w:b/>
        </w:rPr>
        <w:t>Figure 1 Conceptual Framework</w:t>
      </w:r>
    </w:p>
    <w:p w14:paraId="31E1FA22" w14:textId="77777777" w:rsidR="00EA0661" w:rsidRPr="0018585E" w:rsidRDefault="00EA0661" w:rsidP="00EA0661">
      <w:pPr>
        <w:jc w:val="center"/>
        <w:rPr>
          <w:rFonts w:ascii="Arial" w:hAnsi="Arial" w:cs="Arial"/>
          <w:b/>
        </w:rPr>
      </w:pPr>
    </w:p>
    <w:p w14:paraId="33D7197D" w14:textId="77777777" w:rsidR="00790ADA" w:rsidRPr="00FB3A86" w:rsidRDefault="00790ADA" w:rsidP="00441B6F">
      <w:pPr>
        <w:pStyle w:val="Body"/>
        <w:spacing w:after="0"/>
        <w:rPr>
          <w:rFonts w:ascii="Arial" w:hAnsi="Arial" w:cs="Arial"/>
        </w:rPr>
      </w:pPr>
    </w:p>
    <w:p w14:paraId="5DF9A66D" w14:textId="4E7A1FD7" w:rsidR="007F7B32" w:rsidRPr="003332F7" w:rsidRDefault="00902823" w:rsidP="00925CE0">
      <w:pPr>
        <w:pStyle w:val="AbstHead"/>
        <w:spacing w:after="0"/>
        <w:jc w:val="both"/>
        <w:rPr>
          <w:rFonts w:ascii="Arial" w:hAnsi="Arial" w:cs="Arial"/>
          <w:szCs w:val="22"/>
        </w:rPr>
      </w:pPr>
      <w:r w:rsidRPr="003332F7">
        <w:rPr>
          <w:rFonts w:ascii="Arial" w:hAnsi="Arial" w:cs="Arial"/>
          <w:szCs w:val="22"/>
        </w:rPr>
        <w:t>2. material and method</w:t>
      </w:r>
      <w:r w:rsidR="00000F8F" w:rsidRPr="003332F7">
        <w:rPr>
          <w:rFonts w:ascii="Arial" w:hAnsi="Arial" w:cs="Arial"/>
          <w:szCs w:val="22"/>
        </w:rPr>
        <w:t xml:space="preserve">s </w:t>
      </w:r>
    </w:p>
    <w:p w14:paraId="61E90C52" w14:textId="77777777" w:rsidR="00AB4CEA" w:rsidRPr="003C6C43" w:rsidRDefault="00AB4CEA" w:rsidP="00AB4CEA">
      <w:pPr>
        <w:ind w:firstLine="567"/>
        <w:jc w:val="both"/>
        <w:rPr>
          <w:rFonts w:ascii="Arial" w:hAnsi="Arial" w:cs="Arial"/>
          <w:bCs/>
          <w:highlight w:val="yellow"/>
        </w:rPr>
      </w:pPr>
      <w:r w:rsidRPr="00AB4CEA">
        <w:rPr>
          <w:rFonts w:ascii="Arial" w:hAnsi="Arial" w:cs="Arial"/>
          <w:bCs/>
          <w:highlight w:val="yellow"/>
        </w:rPr>
        <w:t>This study employs a quantitative research approach to examine the relationship between digitalization, ownership structure, and financial constraints. The quantitative approach is appropriate as it enables the empirical testing of hypotheses using numerical data. The data used in this study are secondary data obtained from the financial statements and annual reports of companies listed on the Indonesia Stock Exchange (IDX) for the period 2020–2024.</w:t>
      </w:r>
    </w:p>
    <w:p w14:paraId="056CBC01" w14:textId="77777777" w:rsidR="00AB4CEA" w:rsidRPr="00AB4CEA" w:rsidRDefault="00AB4CEA" w:rsidP="00AB4CEA">
      <w:pPr>
        <w:ind w:firstLine="567"/>
        <w:jc w:val="both"/>
        <w:rPr>
          <w:rFonts w:ascii="Arial" w:hAnsi="Arial" w:cs="Arial"/>
          <w:bCs/>
          <w:highlight w:val="yellow"/>
        </w:rPr>
      </w:pPr>
    </w:p>
    <w:p w14:paraId="448A9429" w14:textId="77777777" w:rsidR="00AB4CEA" w:rsidRPr="00AB4CEA" w:rsidRDefault="00AB4CEA" w:rsidP="00AB4CEA">
      <w:pPr>
        <w:jc w:val="both"/>
        <w:rPr>
          <w:rFonts w:ascii="Arial" w:hAnsi="Arial" w:cs="Arial"/>
          <w:b/>
          <w:bCs/>
          <w:highlight w:val="yellow"/>
        </w:rPr>
      </w:pPr>
      <w:r w:rsidRPr="00AB4CEA">
        <w:rPr>
          <w:rFonts w:ascii="Arial" w:hAnsi="Arial" w:cs="Arial"/>
          <w:b/>
          <w:bCs/>
          <w:highlight w:val="yellow"/>
        </w:rPr>
        <w:t>2.1 Sample Selection</w:t>
      </w:r>
    </w:p>
    <w:p w14:paraId="37C42323" w14:textId="50C12465" w:rsidR="00AB4CEA" w:rsidRDefault="00AB4CEA" w:rsidP="00AB4CEA">
      <w:pPr>
        <w:ind w:firstLine="567"/>
        <w:jc w:val="both"/>
        <w:rPr>
          <w:rFonts w:ascii="Arial" w:hAnsi="Arial" w:cs="Arial"/>
          <w:bCs/>
        </w:rPr>
      </w:pPr>
      <w:r w:rsidRPr="00AB4CEA">
        <w:rPr>
          <w:rFonts w:ascii="Arial" w:hAnsi="Arial" w:cs="Arial"/>
          <w:bCs/>
          <w:highlight w:val="yellow"/>
        </w:rPr>
        <w:t>The population of this study consists of all non-financial companies listed on the Indonesia Stock Exchange (IDX). The sample was selected using purposive sampling based on specific criteria to ensure data availability and consistency. The sampling criteria are presented in Table 1.</w:t>
      </w:r>
    </w:p>
    <w:p w14:paraId="75B3B12C" w14:textId="77777777" w:rsidR="00AB4CEA" w:rsidRDefault="00AB4CEA" w:rsidP="00AB4CEA">
      <w:pPr>
        <w:jc w:val="both"/>
        <w:rPr>
          <w:rFonts w:ascii="Arial" w:hAnsi="Arial" w:cs="Arial"/>
          <w:bCs/>
        </w:rPr>
      </w:pPr>
    </w:p>
    <w:p w14:paraId="588AD282" w14:textId="77777777" w:rsidR="00AB4CEA" w:rsidRPr="00925CE0" w:rsidRDefault="00AB4CEA" w:rsidP="00AB4CEA">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1 Sampling Criteria</w:t>
      </w:r>
    </w:p>
    <w:tbl>
      <w:tblPr>
        <w:tblW w:w="0" w:type="auto"/>
        <w:jc w:val="center"/>
        <w:tblCellMar>
          <w:left w:w="0" w:type="dxa"/>
          <w:right w:w="0" w:type="dxa"/>
        </w:tblCellMar>
        <w:tblLook w:val="01E0" w:firstRow="1" w:lastRow="1" w:firstColumn="1" w:lastColumn="1" w:noHBand="0" w:noVBand="0"/>
      </w:tblPr>
      <w:tblGrid>
        <w:gridCol w:w="367"/>
        <w:gridCol w:w="7032"/>
        <w:gridCol w:w="809"/>
      </w:tblGrid>
      <w:tr w:rsidR="00AB4CEA" w:rsidRPr="00925CE0" w14:paraId="29B8B279" w14:textId="77777777" w:rsidTr="00241F26">
        <w:trPr>
          <w:trHeight w:val="225"/>
          <w:jc w:val="center"/>
        </w:trPr>
        <w:tc>
          <w:tcPr>
            <w:tcW w:w="0" w:type="auto"/>
            <w:tcBorders>
              <w:top w:val="single" w:sz="4" w:space="0" w:color="auto"/>
              <w:bottom w:val="single" w:sz="4" w:space="0" w:color="auto"/>
            </w:tcBorders>
          </w:tcPr>
          <w:p w14:paraId="60BAA642" w14:textId="77777777" w:rsidR="00AB4CEA" w:rsidRPr="00925CE0" w:rsidRDefault="00AB4CEA" w:rsidP="00241F26">
            <w:pPr>
              <w:pStyle w:val="TableParagraph"/>
              <w:ind w:left="11"/>
              <w:jc w:val="center"/>
              <w:rPr>
                <w:rFonts w:ascii="Arial" w:hAnsi="Arial" w:cs="Arial"/>
                <w:b/>
                <w:sz w:val="20"/>
                <w:szCs w:val="20"/>
              </w:rPr>
            </w:pPr>
            <w:r w:rsidRPr="00925CE0">
              <w:rPr>
                <w:rFonts w:ascii="Arial" w:hAnsi="Arial" w:cs="Arial"/>
                <w:b/>
                <w:sz w:val="20"/>
                <w:szCs w:val="20"/>
              </w:rPr>
              <w:t>Yes</w:t>
            </w:r>
          </w:p>
        </w:tc>
        <w:tc>
          <w:tcPr>
            <w:tcW w:w="0" w:type="auto"/>
            <w:tcBorders>
              <w:top w:val="single" w:sz="4" w:space="0" w:color="auto"/>
              <w:bottom w:val="single" w:sz="4" w:space="0" w:color="auto"/>
            </w:tcBorders>
          </w:tcPr>
          <w:p w14:paraId="7389146E" w14:textId="77777777" w:rsidR="00AB4CEA" w:rsidRPr="00925CE0" w:rsidRDefault="00AB4CEA" w:rsidP="00241F26">
            <w:pPr>
              <w:pStyle w:val="TableParagraph"/>
              <w:ind w:left="13"/>
              <w:jc w:val="center"/>
              <w:rPr>
                <w:rFonts w:ascii="Arial" w:hAnsi="Arial" w:cs="Arial"/>
                <w:b/>
                <w:spacing w:val="-2"/>
                <w:sz w:val="20"/>
                <w:szCs w:val="20"/>
              </w:rPr>
            </w:pPr>
            <w:r w:rsidRPr="00925CE0">
              <w:rPr>
                <w:rFonts w:ascii="Arial" w:hAnsi="Arial" w:cs="Arial"/>
                <w:b/>
                <w:spacing w:val="-2"/>
                <w:sz w:val="20"/>
                <w:szCs w:val="20"/>
              </w:rPr>
              <w:t>Remarks</w:t>
            </w:r>
          </w:p>
        </w:tc>
        <w:tc>
          <w:tcPr>
            <w:tcW w:w="0" w:type="auto"/>
            <w:tcBorders>
              <w:top w:val="single" w:sz="4" w:space="0" w:color="auto"/>
              <w:bottom w:val="single" w:sz="4" w:space="0" w:color="auto"/>
            </w:tcBorders>
          </w:tcPr>
          <w:p w14:paraId="6CE1B3B9" w14:textId="77777777" w:rsidR="00AB4CEA" w:rsidRPr="00925CE0" w:rsidRDefault="00AB4CEA" w:rsidP="00241F26">
            <w:pPr>
              <w:pStyle w:val="TableParagraph"/>
              <w:ind w:left="13"/>
              <w:jc w:val="center"/>
              <w:rPr>
                <w:rFonts w:ascii="Arial" w:hAnsi="Arial" w:cs="Arial"/>
                <w:b/>
                <w:sz w:val="20"/>
                <w:szCs w:val="20"/>
              </w:rPr>
            </w:pPr>
            <w:r w:rsidRPr="00925CE0">
              <w:rPr>
                <w:rFonts w:ascii="Arial" w:hAnsi="Arial" w:cs="Arial"/>
                <w:b/>
                <w:spacing w:val="-2"/>
                <w:sz w:val="20"/>
                <w:szCs w:val="20"/>
              </w:rPr>
              <w:t>Quantity</w:t>
            </w:r>
          </w:p>
        </w:tc>
      </w:tr>
      <w:tr w:rsidR="00AB4CEA" w:rsidRPr="00925CE0" w14:paraId="51A37910" w14:textId="77777777" w:rsidTr="00241F26">
        <w:trPr>
          <w:trHeight w:val="440"/>
          <w:jc w:val="center"/>
        </w:trPr>
        <w:tc>
          <w:tcPr>
            <w:tcW w:w="0" w:type="auto"/>
          </w:tcPr>
          <w:p w14:paraId="2DA3A5F3"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1</w:t>
            </w:r>
          </w:p>
        </w:tc>
        <w:tc>
          <w:tcPr>
            <w:tcW w:w="0" w:type="auto"/>
          </w:tcPr>
          <w:p w14:paraId="7A221485"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Non-financial companies listed on the Indonesia Stock Exchange for the period 2020-2024</w:t>
            </w:r>
          </w:p>
        </w:tc>
        <w:tc>
          <w:tcPr>
            <w:tcW w:w="0" w:type="auto"/>
          </w:tcPr>
          <w:p w14:paraId="087A29D5" w14:textId="77777777" w:rsidR="00AB4CEA" w:rsidRPr="00925CE0" w:rsidRDefault="00AB4CEA" w:rsidP="00241F26">
            <w:pPr>
              <w:pStyle w:val="TableParagraph"/>
              <w:ind w:left="13"/>
              <w:jc w:val="center"/>
              <w:rPr>
                <w:rFonts w:ascii="Arial" w:hAnsi="Arial" w:cs="Arial"/>
                <w:sz w:val="20"/>
                <w:szCs w:val="20"/>
              </w:rPr>
            </w:pPr>
            <w:r w:rsidRPr="00925CE0">
              <w:rPr>
                <w:rFonts w:ascii="Arial" w:hAnsi="Arial" w:cs="Arial"/>
                <w:spacing w:val="-5"/>
                <w:sz w:val="20"/>
                <w:szCs w:val="20"/>
              </w:rPr>
              <w:t>640</w:t>
            </w:r>
          </w:p>
        </w:tc>
      </w:tr>
      <w:tr w:rsidR="00AB4CEA" w:rsidRPr="00925CE0" w14:paraId="4746EC5B" w14:textId="77777777" w:rsidTr="00241F26">
        <w:trPr>
          <w:trHeight w:val="242"/>
          <w:jc w:val="center"/>
        </w:trPr>
        <w:tc>
          <w:tcPr>
            <w:tcW w:w="0" w:type="auto"/>
          </w:tcPr>
          <w:p w14:paraId="07684CDB"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2</w:t>
            </w:r>
          </w:p>
        </w:tc>
        <w:tc>
          <w:tcPr>
            <w:tcW w:w="0" w:type="auto"/>
          </w:tcPr>
          <w:p w14:paraId="47593291"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Non-financial companies that use foreign currency</w:t>
            </w:r>
          </w:p>
        </w:tc>
        <w:tc>
          <w:tcPr>
            <w:tcW w:w="0" w:type="auto"/>
          </w:tcPr>
          <w:p w14:paraId="43F5C9AE" w14:textId="77777777" w:rsidR="00AB4CEA" w:rsidRPr="00925CE0" w:rsidRDefault="00AB4CEA" w:rsidP="00241F26">
            <w:pPr>
              <w:pStyle w:val="TableParagraph"/>
              <w:ind w:left="13"/>
              <w:jc w:val="center"/>
              <w:rPr>
                <w:rFonts w:ascii="Arial" w:hAnsi="Arial" w:cs="Arial"/>
                <w:sz w:val="20"/>
                <w:szCs w:val="20"/>
              </w:rPr>
            </w:pPr>
            <w:r w:rsidRPr="00925CE0">
              <w:rPr>
                <w:rFonts w:ascii="Arial" w:hAnsi="Arial" w:cs="Arial"/>
                <w:spacing w:val="-4"/>
                <w:sz w:val="20"/>
                <w:szCs w:val="20"/>
              </w:rPr>
              <w:t>(20)</w:t>
            </w:r>
          </w:p>
        </w:tc>
      </w:tr>
      <w:tr w:rsidR="00AB4CEA" w:rsidRPr="00925CE0" w14:paraId="65033644" w14:textId="77777777" w:rsidTr="00241F26">
        <w:trPr>
          <w:trHeight w:val="170"/>
          <w:jc w:val="center"/>
        </w:trPr>
        <w:tc>
          <w:tcPr>
            <w:tcW w:w="0" w:type="auto"/>
          </w:tcPr>
          <w:p w14:paraId="06E6383A"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3</w:t>
            </w:r>
          </w:p>
        </w:tc>
        <w:tc>
          <w:tcPr>
            <w:tcW w:w="0" w:type="auto"/>
          </w:tcPr>
          <w:p w14:paraId="4907C264"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Companies that don't provide complete data</w:t>
            </w:r>
          </w:p>
        </w:tc>
        <w:tc>
          <w:tcPr>
            <w:tcW w:w="0" w:type="auto"/>
          </w:tcPr>
          <w:p w14:paraId="49B94E72" w14:textId="77777777" w:rsidR="00AB4CEA" w:rsidRPr="00925CE0" w:rsidRDefault="00AB4CEA" w:rsidP="00241F26">
            <w:pPr>
              <w:pStyle w:val="TableParagraph"/>
              <w:ind w:left="13"/>
              <w:jc w:val="center"/>
              <w:rPr>
                <w:rFonts w:ascii="Arial" w:hAnsi="Arial" w:cs="Arial"/>
                <w:sz w:val="20"/>
                <w:szCs w:val="20"/>
              </w:rPr>
            </w:pPr>
            <w:r w:rsidRPr="00925CE0">
              <w:rPr>
                <w:rFonts w:ascii="Arial" w:hAnsi="Arial" w:cs="Arial"/>
                <w:spacing w:val="-2"/>
                <w:sz w:val="20"/>
                <w:szCs w:val="20"/>
              </w:rPr>
              <w:t>(579)</w:t>
            </w:r>
          </w:p>
        </w:tc>
      </w:tr>
      <w:tr w:rsidR="00AB4CEA" w:rsidRPr="00925CE0" w14:paraId="1BD4BDF8" w14:textId="77777777" w:rsidTr="00241F26">
        <w:trPr>
          <w:trHeight w:val="467"/>
          <w:jc w:val="center"/>
        </w:trPr>
        <w:tc>
          <w:tcPr>
            <w:tcW w:w="0" w:type="auto"/>
          </w:tcPr>
          <w:p w14:paraId="4745BA26" w14:textId="77777777" w:rsidR="00AB4CEA" w:rsidRPr="00925CE0" w:rsidRDefault="00AB4CEA" w:rsidP="00241F26">
            <w:pPr>
              <w:pStyle w:val="TableParagraph"/>
              <w:ind w:left="111" w:right="113"/>
              <w:rPr>
                <w:rFonts w:ascii="Arial" w:hAnsi="Arial" w:cs="Arial"/>
                <w:sz w:val="20"/>
                <w:szCs w:val="20"/>
              </w:rPr>
            </w:pPr>
            <w:r w:rsidRPr="00925CE0">
              <w:rPr>
                <w:rFonts w:ascii="Arial" w:hAnsi="Arial" w:cs="Arial"/>
                <w:sz w:val="20"/>
                <w:szCs w:val="20"/>
              </w:rPr>
              <w:t>4</w:t>
            </w:r>
          </w:p>
        </w:tc>
        <w:tc>
          <w:tcPr>
            <w:tcW w:w="0" w:type="auto"/>
          </w:tcPr>
          <w:p w14:paraId="59032FC6" w14:textId="77777777" w:rsidR="00AB4CEA" w:rsidRPr="00925CE0" w:rsidRDefault="00AB4CEA" w:rsidP="00241F26">
            <w:pPr>
              <w:pStyle w:val="TableParagraph"/>
              <w:ind w:left="111" w:right="113"/>
              <w:rPr>
                <w:rFonts w:ascii="Arial" w:hAnsi="Arial" w:cs="Arial"/>
                <w:sz w:val="20"/>
                <w:szCs w:val="20"/>
              </w:rPr>
            </w:pPr>
            <w:r w:rsidRPr="00925CE0">
              <w:rPr>
                <w:rFonts w:ascii="Arial" w:hAnsi="Arial" w:cs="Arial"/>
                <w:sz w:val="20"/>
                <w:szCs w:val="20"/>
              </w:rPr>
              <w:t>Number of non-financial companies used as research samples</w:t>
            </w:r>
          </w:p>
        </w:tc>
        <w:tc>
          <w:tcPr>
            <w:tcW w:w="0" w:type="auto"/>
          </w:tcPr>
          <w:p w14:paraId="6A4CB550" w14:textId="77777777" w:rsidR="00AB4CEA" w:rsidRPr="00925CE0" w:rsidRDefault="00AB4CEA" w:rsidP="00241F26">
            <w:pPr>
              <w:pStyle w:val="TableParagraph"/>
              <w:ind w:left="13"/>
              <w:jc w:val="center"/>
              <w:rPr>
                <w:rFonts w:ascii="Arial" w:hAnsi="Arial" w:cs="Arial"/>
                <w:sz w:val="20"/>
                <w:szCs w:val="20"/>
              </w:rPr>
            </w:pPr>
            <w:r w:rsidRPr="00925CE0">
              <w:rPr>
                <w:rFonts w:ascii="Arial" w:hAnsi="Arial" w:cs="Arial"/>
                <w:spacing w:val="-5"/>
                <w:sz w:val="20"/>
                <w:szCs w:val="20"/>
              </w:rPr>
              <w:t>41</w:t>
            </w:r>
          </w:p>
        </w:tc>
      </w:tr>
      <w:tr w:rsidR="00AB4CEA" w:rsidRPr="00925CE0" w14:paraId="218DA2BD" w14:textId="77777777" w:rsidTr="00241F26">
        <w:trPr>
          <w:trHeight w:val="260"/>
          <w:jc w:val="center"/>
        </w:trPr>
        <w:tc>
          <w:tcPr>
            <w:tcW w:w="0" w:type="auto"/>
            <w:tcBorders>
              <w:bottom w:val="single" w:sz="4" w:space="0" w:color="auto"/>
            </w:tcBorders>
          </w:tcPr>
          <w:p w14:paraId="4B8888E4"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5</w:t>
            </w:r>
          </w:p>
        </w:tc>
        <w:tc>
          <w:tcPr>
            <w:tcW w:w="0" w:type="auto"/>
            <w:tcBorders>
              <w:bottom w:val="single" w:sz="4" w:space="0" w:color="auto"/>
            </w:tcBorders>
          </w:tcPr>
          <w:p w14:paraId="4FF87CB3" w14:textId="77777777" w:rsidR="00AB4CEA" w:rsidRPr="00925CE0" w:rsidRDefault="00AB4CEA" w:rsidP="00241F26">
            <w:pPr>
              <w:pStyle w:val="TableParagraph"/>
              <w:ind w:left="111"/>
              <w:rPr>
                <w:rFonts w:ascii="Arial" w:hAnsi="Arial" w:cs="Arial"/>
                <w:sz w:val="20"/>
                <w:szCs w:val="20"/>
              </w:rPr>
            </w:pPr>
            <w:r w:rsidRPr="00925CE0">
              <w:rPr>
                <w:rFonts w:ascii="Arial" w:hAnsi="Arial" w:cs="Arial"/>
                <w:sz w:val="20"/>
                <w:szCs w:val="20"/>
              </w:rPr>
              <w:t>The amount of data observed is 41 companies x 5 years (2020-2024)</w:t>
            </w:r>
          </w:p>
        </w:tc>
        <w:tc>
          <w:tcPr>
            <w:tcW w:w="0" w:type="auto"/>
            <w:tcBorders>
              <w:bottom w:val="single" w:sz="4" w:space="0" w:color="auto"/>
            </w:tcBorders>
          </w:tcPr>
          <w:p w14:paraId="0AD4D21F" w14:textId="77777777" w:rsidR="00AB4CEA" w:rsidRPr="00925CE0" w:rsidRDefault="00AB4CEA" w:rsidP="00241F26">
            <w:pPr>
              <w:pStyle w:val="TableParagraph"/>
              <w:ind w:left="13"/>
              <w:jc w:val="center"/>
              <w:rPr>
                <w:rFonts w:ascii="Arial" w:hAnsi="Arial" w:cs="Arial"/>
                <w:sz w:val="20"/>
                <w:szCs w:val="20"/>
              </w:rPr>
            </w:pPr>
            <w:r w:rsidRPr="00925CE0">
              <w:rPr>
                <w:rFonts w:ascii="Arial" w:hAnsi="Arial" w:cs="Arial"/>
                <w:spacing w:val="-5"/>
                <w:sz w:val="20"/>
                <w:szCs w:val="20"/>
              </w:rPr>
              <w:t>205</w:t>
            </w:r>
          </w:p>
        </w:tc>
      </w:tr>
    </w:tbl>
    <w:p w14:paraId="1AB5EFE7" w14:textId="77777777" w:rsidR="00AB4CEA" w:rsidRDefault="00AB4CEA" w:rsidP="00AB4CEA">
      <w:pPr>
        <w:jc w:val="both"/>
        <w:rPr>
          <w:rFonts w:ascii="Arial" w:hAnsi="Arial" w:cs="Arial"/>
          <w:bCs/>
        </w:rPr>
      </w:pPr>
    </w:p>
    <w:p w14:paraId="3F4EDF4F" w14:textId="5DE7A51B" w:rsidR="00AB4CEA" w:rsidRPr="00AB4CEA" w:rsidRDefault="00AB4CEA" w:rsidP="00CD4682">
      <w:pPr>
        <w:ind w:firstLine="567"/>
        <w:jc w:val="both"/>
        <w:rPr>
          <w:rFonts w:ascii="Arial" w:hAnsi="Arial" w:cs="Arial"/>
          <w:bCs/>
        </w:rPr>
      </w:pPr>
      <w:r w:rsidRPr="00AB4CEA">
        <w:rPr>
          <w:rFonts w:ascii="Arial" w:hAnsi="Arial" w:cs="Arial"/>
          <w:bCs/>
        </w:rPr>
        <w:t>Based on these criteria, a total of 41 companies were selected, resulting in 205 firm-year observations.</w:t>
      </w:r>
    </w:p>
    <w:p w14:paraId="4FD9B8EF" w14:textId="0042E588" w:rsidR="00AB4CEA" w:rsidRPr="00AB4CEA" w:rsidRDefault="00AB4CEA" w:rsidP="00AB4CEA">
      <w:pPr>
        <w:jc w:val="both"/>
        <w:rPr>
          <w:rFonts w:ascii="Arial" w:hAnsi="Arial" w:cs="Arial"/>
          <w:bCs/>
        </w:rPr>
      </w:pPr>
    </w:p>
    <w:p w14:paraId="6E987D7E" w14:textId="77777777" w:rsidR="00AB4CEA" w:rsidRPr="00AB4CEA" w:rsidRDefault="00AB4CEA" w:rsidP="00AB4CEA">
      <w:pPr>
        <w:jc w:val="both"/>
        <w:rPr>
          <w:rFonts w:ascii="Arial" w:hAnsi="Arial" w:cs="Arial"/>
          <w:b/>
          <w:bCs/>
        </w:rPr>
      </w:pPr>
      <w:r w:rsidRPr="00AB4CEA">
        <w:rPr>
          <w:rFonts w:ascii="Arial" w:hAnsi="Arial" w:cs="Arial"/>
          <w:b/>
          <w:bCs/>
        </w:rPr>
        <w:t>2.2 Model Specification</w:t>
      </w:r>
    </w:p>
    <w:p w14:paraId="39F95A77" w14:textId="11B43572" w:rsidR="00AB4CEA" w:rsidRPr="00AB4CEA" w:rsidRDefault="00AB4CEA" w:rsidP="00CD4682">
      <w:pPr>
        <w:ind w:firstLine="567"/>
        <w:jc w:val="both"/>
        <w:rPr>
          <w:rFonts w:ascii="Arial" w:hAnsi="Arial" w:cs="Arial"/>
          <w:bCs/>
        </w:rPr>
      </w:pPr>
      <w:r w:rsidRPr="00AB4CEA">
        <w:rPr>
          <w:rFonts w:ascii="Arial" w:hAnsi="Arial" w:cs="Arial"/>
          <w:bCs/>
        </w:rPr>
        <w:t>To test the research hypotheses, this study employs panel data regression analysis. Panel data analysis is chosen because it allows for controlling both cross-sectional and time-series variations, thereby improving estimation accuracy. The regression model is specified as follows:</w:t>
      </w:r>
      <w:r>
        <w:rPr>
          <w:rFonts w:ascii="Arial" w:hAnsi="Arial" w:cs="Arial"/>
          <w:bCs/>
        </w:rPr>
        <w:t xml:space="preserve"> </w:t>
      </w:r>
      <w:proofErr w:type="spellStart"/>
      <w:r w:rsidRPr="00AB4CEA">
        <w:rPr>
          <w:rFonts w:ascii="Arial" w:hAnsi="Arial" w:cs="Arial"/>
          <w:position w:val="2"/>
          <w:sz w:val="18"/>
          <w:szCs w:val="18"/>
        </w:rPr>
        <w:t>FCit</w:t>
      </w:r>
      <w:proofErr w:type="spellEnd"/>
      <w:r w:rsidRPr="00AB4CEA">
        <w:rPr>
          <w:rFonts w:ascii="Arial" w:hAnsi="Arial" w:cs="Arial"/>
          <w:position w:val="2"/>
          <w:sz w:val="18"/>
          <w:szCs w:val="18"/>
        </w:rPr>
        <w:t xml:space="preserve"> = </w:t>
      </w:r>
      <w:r w:rsidRPr="00AB4CEA">
        <w:rPr>
          <w:rFonts w:ascii="Arial" w:eastAsia="Cambria Math" w:hAnsi="Arial" w:cs="Arial"/>
          <w:position w:val="2"/>
          <w:sz w:val="18"/>
          <w:szCs w:val="18"/>
        </w:rPr>
        <w:t xml:space="preserve">α0 </w:t>
      </w:r>
      <w:r w:rsidRPr="00AB4CEA">
        <w:rPr>
          <w:rFonts w:ascii="Arial" w:hAnsi="Arial" w:cs="Arial"/>
          <w:position w:val="2"/>
          <w:sz w:val="18"/>
          <w:szCs w:val="18"/>
        </w:rPr>
        <w:t xml:space="preserve">+ β2DF </w:t>
      </w:r>
      <w:r w:rsidRPr="00AB4CEA">
        <w:rPr>
          <w:rFonts w:ascii="Arial" w:hAnsi="Arial" w:cs="Arial"/>
          <w:sz w:val="18"/>
          <w:szCs w:val="18"/>
        </w:rPr>
        <w:t xml:space="preserve">it </w:t>
      </w:r>
      <w:r w:rsidRPr="00AB4CEA">
        <w:rPr>
          <w:rFonts w:ascii="Arial" w:hAnsi="Arial" w:cs="Arial"/>
          <w:position w:val="2"/>
          <w:sz w:val="18"/>
          <w:szCs w:val="18"/>
        </w:rPr>
        <w:t xml:space="preserve">+ β3MOit + β4FOit + </w:t>
      </w:r>
      <w:proofErr w:type="spellStart"/>
      <w:r w:rsidRPr="00AB4CEA">
        <w:rPr>
          <w:rFonts w:ascii="Arial" w:hAnsi="Arial" w:cs="Arial"/>
          <w:position w:val="2"/>
          <w:sz w:val="18"/>
          <w:szCs w:val="18"/>
        </w:rPr>
        <w:t>εit</w:t>
      </w:r>
      <w:proofErr w:type="spellEnd"/>
    </w:p>
    <w:p w14:paraId="2E106AD0" w14:textId="77777777" w:rsidR="00AB4CEA" w:rsidRPr="006473F2" w:rsidRDefault="00AB4CEA" w:rsidP="00AB4CEA">
      <w:pPr>
        <w:pStyle w:val="BodyText"/>
        <w:spacing w:after="0"/>
        <w:rPr>
          <w:rFonts w:ascii="Arial" w:hAnsi="Arial" w:cs="Arial"/>
          <w:sz w:val="18"/>
          <w:szCs w:val="18"/>
        </w:rPr>
      </w:pPr>
      <w:r w:rsidRPr="006473F2">
        <w:rPr>
          <w:rFonts w:ascii="Arial" w:hAnsi="Arial" w:cs="Arial"/>
          <w:spacing w:val="-2"/>
          <w:sz w:val="18"/>
          <w:szCs w:val="18"/>
        </w:rPr>
        <w:t>Where:</w:t>
      </w:r>
    </w:p>
    <w:p w14:paraId="46DE7066" w14:textId="77777777" w:rsidR="00AB4CEA" w:rsidRPr="006473F2" w:rsidRDefault="00AB4CEA" w:rsidP="00AB4CEA">
      <w:pPr>
        <w:tabs>
          <w:tab w:val="left" w:pos="990"/>
        </w:tabs>
        <w:rPr>
          <w:rFonts w:ascii="Arial" w:hAnsi="Arial" w:cs="Arial"/>
          <w:i/>
          <w:sz w:val="18"/>
          <w:szCs w:val="18"/>
        </w:rPr>
      </w:pPr>
      <w:r w:rsidRPr="006473F2">
        <w:rPr>
          <w:rFonts w:ascii="Arial" w:hAnsi="Arial" w:cs="Arial"/>
          <w:spacing w:val="-5"/>
          <w:sz w:val="18"/>
          <w:szCs w:val="18"/>
        </w:rPr>
        <w:t>FC</w:t>
      </w:r>
      <w:r w:rsidRPr="006473F2">
        <w:rPr>
          <w:rFonts w:ascii="Arial" w:hAnsi="Arial" w:cs="Arial"/>
          <w:sz w:val="18"/>
          <w:szCs w:val="18"/>
        </w:rPr>
        <w:tab/>
        <w:t xml:space="preserve">: </w:t>
      </w:r>
      <w:r w:rsidRPr="006473F2">
        <w:rPr>
          <w:rFonts w:ascii="Arial" w:hAnsi="Arial" w:cs="Arial"/>
          <w:i/>
          <w:sz w:val="18"/>
          <w:szCs w:val="18"/>
        </w:rPr>
        <w:t>Financial Constraint</w:t>
      </w:r>
    </w:p>
    <w:p w14:paraId="5E8AD3CB" w14:textId="77777777" w:rsidR="00AB4CEA" w:rsidRPr="006473F2" w:rsidRDefault="00AB4CEA" w:rsidP="00AB4CEA">
      <w:pPr>
        <w:pStyle w:val="BodyText"/>
        <w:tabs>
          <w:tab w:val="left" w:pos="990"/>
        </w:tabs>
        <w:spacing w:after="0"/>
        <w:rPr>
          <w:rFonts w:ascii="Arial" w:hAnsi="Arial" w:cs="Arial"/>
          <w:sz w:val="18"/>
          <w:szCs w:val="18"/>
        </w:rPr>
      </w:pPr>
      <w:r w:rsidRPr="006473F2">
        <w:rPr>
          <w:rFonts w:ascii="Cambria Math" w:eastAsia="Cambria Math" w:hAnsi="Cambria Math" w:cs="Cambria Math"/>
          <w:spacing w:val="-10"/>
          <w:sz w:val="18"/>
          <w:szCs w:val="18"/>
        </w:rPr>
        <w:t>𝛼</w:t>
      </w:r>
      <w:r w:rsidRPr="006473F2">
        <w:rPr>
          <w:rFonts w:ascii="Arial" w:eastAsia="Cambria Math" w:hAnsi="Arial" w:cs="Arial"/>
          <w:sz w:val="18"/>
          <w:szCs w:val="18"/>
        </w:rPr>
        <w:tab/>
      </w:r>
      <w:r w:rsidRPr="006473F2">
        <w:rPr>
          <w:rFonts w:ascii="Arial" w:hAnsi="Arial" w:cs="Arial"/>
          <w:sz w:val="18"/>
          <w:szCs w:val="18"/>
        </w:rPr>
        <w:t xml:space="preserve">: </w:t>
      </w:r>
      <w:proofErr w:type="spellStart"/>
      <w:r w:rsidRPr="006473F2">
        <w:rPr>
          <w:rFonts w:ascii="Arial" w:hAnsi="Arial" w:cs="Arial"/>
          <w:sz w:val="18"/>
          <w:szCs w:val="18"/>
        </w:rPr>
        <w:t>Konstanta</w:t>
      </w:r>
      <w:proofErr w:type="spellEnd"/>
    </w:p>
    <w:p w14:paraId="0EEBEB51" w14:textId="77777777" w:rsidR="00AB4CEA" w:rsidRPr="006473F2" w:rsidRDefault="00AB4CEA" w:rsidP="00AB4CEA">
      <w:pPr>
        <w:pStyle w:val="BodyText"/>
        <w:tabs>
          <w:tab w:val="left" w:pos="990"/>
        </w:tabs>
        <w:spacing w:after="0"/>
        <w:rPr>
          <w:rFonts w:ascii="Arial" w:hAnsi="Arial" w:cs="Arial"/>
          <w:position w:val="2"/>
          <w:sz w:val="18"/>
          <w:szCs w:val="18"/>
        </w:rPr>
      </w:pPr>
      <w:r w:rsidRPr="006473F2">
        <w:rPr>
          <w:rFonts w:ascii="Arial" w:hAnsi="Arial" w:cs="Arial"/>
          <w:position w:val="2"/>
          <w:sz w:val="18"/>
          <w:szCs w:val="18"/>
        </w:rPr>
        <w:t>B1 – B</w:t>
      </w:r>
      <w:r w:rsidRPr="006473F2">
        <w:rPr>
          <w:rFonts w:ascii="Arial" w:hAnsi="Arial" w:cs="Arial"/>
          <w:spacing w:val="-5"/>
          <w:sz w:val="18"/>
          <w:szCs w:val="18"/>
        </w:rPr>
        <w:t>13</w:t>
      </w:r>
      <w:r w:rsidRPr="006473F2">
        <w:rPr>
          <w:rFonts w:ascii="Arial" w:hAnsi="Arial" w:cs="Arial"/>
          <w:sz w:val="18"/>
          <w:szCs w:val="18"/>
        </w:rPr>
        <w:tab/>
      </w:r>
      <w:r w:rsidRPr="006473F2">
        <w:rPr>
          <w:rFonts w:ascii="Arial" w:hAnsi="Arial" w:cs="Arial"/>
          <w:position w:val="2"/>
          <w:sz w:val="18"/>
          <w:szCs w:val="18"/>
        </w:rPr>
        <w:t>: Regression coefficient</w:t>
      </w:r>
    </w:p>
    <w:p w14:paraId="0BAF2A5E" w14:textId="77777777" w:rsidR="00AB4CEA" w:rsidRPr="006473F2" w:rsidRDefault="00AB4CEA" w:rsidP="00AB4CEA">
      <w:pPr>
        <w:pStyle w:val="BodyText"/>
        <w:tabs>
          <w:tab w:val="left" w:pos="990"/>
        </w:tabs>
        <w:spacing w:after="0"/>
        <w:rPr>
          <w:rFonts w:ascii="Arial" w:hAnsi="Arial" w:cs="Arial"/>
          <w:sz w:val="18"/>
          <w:szCs w:val="18"/>
        </w:rPr>
      </w:pPr>
      <w:r w:rsidRPr="006473F2">
        <w:rPr>
          <w:rFonts w:ascii="Arial" w:hAnsi="Arial" w:cs="Arial"/>
          <w:spacing w:val="-5"/>
          <w:sz w:val="18"/>
          <w:szCs w:val="18"/>
        </w:rPr>
        <w:lastRenderedPageBreak/>
        <w:t>DF</w:t>
      </w:r>
      <w:r w:rsidRPr="006473F2">
        <w:rPr>
          <w:rFonts w:ascii="Arial" w:hAnsi="Arial" w:cs="Arial"/>
          <w:sz w:val="18"/>
          <w:szCs w:val="18"/>
        </w:rPr>
        <w:tab/>
        <w:t>: Digitization</w:t>
      </w:r>
    </w:p>
    <w:p w14:paraId="59F90481" w14:textId="77777777" w:rsidR="00AB4CEA" w:rsidRPr="006473F2" w:rsidRDefault="00AB4CEA" w:rsidP="00AB4CEA">
      <w:pPr>
        <w:pStyle w:val="BodyText"/>
        <w:tabs>
          <w:tab w:val="left" w:pos="990"/>
        </w:tabs>
        <w:spacing w:after="0"/>
        <w:rPr>
          <w:rFonts w:ascii="Arial" w:hAnsi="Arial" w:cs="Arial"/>
          <w:sz w:val="18"/>
          <w:szCs w:val="18"/>
        </w:rPr>
      </w:pPr>
      <w:r w:rsidRPr="006473F2">
        <w:rPr>
          <w:rFonts w:ascii="Arial" w:hAnsi="Arial" w:cs="Arial"/>
          <w:spacing w:val="-5"/>
          <w:sz w:val="18"/>
          <w:szCs w:val="18"/>
        </w:rPr>
        <w:t>MO</w:t>
      </w:r>
      <w:r w:rsidRPr="006473F2">
        <w:rPr>
          <w:rFonts w:ascii="Arial" w:hAnsi="Arial" w:cs="Arial"/>
          <w:sz w:val="18"/>
          <w:szCs w:val="18"/>
        </w:rPr>
        <w:tab/>
        <w:t>: Managerial Ownership</w:t>
      </w:r>
    </w:p>
    <w:p w14:paraId="412EB715" w14:textId="77777777" w:rsidR="00AB4CEA" w:rsidRPr="006473F2" w:rsidRDefault="00AB4CEA" w:rsidP="00AB4CEA">
      <w:pPr>
        <w:pStyle w:val="BodyText"/>
        <w:tabs>
          <w:tab w:val="left" w:pos="990"/>
        </w:tabs>
        <w:spacing w:after="0"/>
        <w:rPr>
          <w:rFonts w:ascii="Arial" w:hAnsi="Arial" w:cs="Arial"/>
          <w:sz w:val="18"/>
          <w:szCs w:val="18"/>
        </w:rPr>
      </w:pPr>
      <w:r w:rsidRPr="006473F2">
        <w:rPr>
          <w:rFonts w:ascii="Arial" w:hAnsi="Arial" w:cs="Arial"/>
          <w:spacing w:val="-5"/>
          <w:sz w:val="18"/>
          <w:szCs w:val="18"/>
        </w:rPr>
        <w:t>FO</w:t>
      </w:r>
      <w:r w:rsidRPr="006473F2">
        <w:rPr>
          <w:rFonts w:ascii="Arial" w:hAnsi="Arial" w:cs="Arial"/>
          <w:sz w:val="18"/>
          <w:szCs w:val="18"/>
        </w:rPr>
        <w:tab/>
        <w:t>: Family Ownership</w:t>
      </w:r>
    </w:p>
    <w:p w14:paraId="383281E3" w14:textId="77777777" w:rsidR="00AB4CEA" w:rsidRPr="006473F2" w:rsidRDefault="00AB4CEA" w:rsidP="00AB4CEA">
      <w:pPr>
        <w:pStyle w:val="BodyText"/>
        <w:tabs>
          <w:tab w:val="left" w:pos="990"/>
        </w:tabs>
        <w:spacing w:after="0"/>
        <w:rPr>
          <w:rFonts w:ascii="Arial" w:hAnsi="Arial" w:cs="Arial"/>
          <w:sz w:val="18"/>
          <w:szCs w:val="18"/>
        </w:rPr>
      </w:pPr>
      <w:proofErr w:type="spellStart"/>
      <w:r w:rsidRPr="006473F2">
        <w:rPr>
          <w:rFonts w:ascii="Arial" w:hAnsi="Arial" w:cs="Arial"/>
          <w:spacing w:val="-10"/>
          <w:sz w:val="18"/>
          <w:szCs w:val="18"/>
        </w:rPr>
        <w:t>i</w:t>
      </w:r>
      <w:proofErr w:type="spellEnd"/>
      <w:r w:rsidRPr="006473F2">
        <w:rPr>
          <w:rFonts w:ascii="Arial" w:hAnsi="Arial" w:cs="Arial"/>
          <w:sz w:val="18"/>
          <w:szCs w:val="18"/>
        </w:rPr>
        <w:tab/>
        <w:t>: Company</w:t>
      </w:r>
    </w:p>
    <w:p w14:paraId="04ADB277" w14:textId="77777777" w:rsidR="00AB4CEA" w:rsidRPr="006473F2" w:rsidRDefault="00AB4CEA" w:rsidP="00AB4CEA">
      <w:pPr>
        <w:pStyle w:val="BodyText"/>
        <w:tabs>
          <w:tab w:val="left" w:pos="990"/>
        </w:tabs>
        <w:spacing w:after="0"/>
        <w:rPr>
          <w:rFonts w:ascii="Arial" w:hAnsi="Arial" w:cs="Arial"/>
          <w:sz w:val="18"/>
          <w:szCs w:val="18"/>
        </w:rPr>
      </w:pPr>
      <w:r w:rsidRPr="006473F2">
        <w:rPr>
          <w:rFonts w:ascii="Arial" w:hAnsi="Arial" w:cs="Arial"/>
          <w:spacing w:val="-10"/>
          <w:sz w:val="18"/>
          <w:szCs w:val="18"/>
        </w:rPr>
        <w:t>t</w:t>
      </w:r>
      <w:r w:rsidRPr="006473F2">
        <w:rPr>
          <w:rFonts w:ascii="Arial" w:hAnsi="Arial" w:cs="Arial"/>
          <w:sz w:val="18"/>
          <w:szCs w:val="18"/>
        </w:rPr>
        <w:tab/>
        <w:t>: year</w:t>
      </w:r>
    </w:p>
    <w:p w14:paraId="3467BC9E" w14:textId="57BF6452" w:rsidR="00AB4CEA" w:rsidRPr="00AB4CEA" w:rsidRDefault="00AB4CEA" w:rsidP="00AB4CEA">
      <w:pPr>
        <w:pStyle w:val="ListParagraph"/>
        <w:spacing w:after="0" w:line="240" w:lineRule="auto"/>
        <w:ind w:left="0"/>
        <w:jc w:val="both"/>
        <w:rPr>
          <w:rFonts w:ascii="Arial" w:hAnsi="Arial" w:cs="Arial"/>
          <w:b/>
          <w:sz w:val="18"/>
          <w:szCs w:val="18"/>
        </w:rPr>
      </w:pPr>
      <w:r w:rsidRPr="006473F2">
        <w:rPr>
          <w:rFonts w:ascii="Arial" w:hAnsi="Arial" w:cs="Arial"/>
          <w:spacing w:val="-10"/>
          <w:sz w:val="18"/>
          <w:szCs w:val="18"/>
        </w:rPr>
        <w:t>E</w:t>
      </w:r>
      <w:r w:rsidRPr="006473F2">
        <w:rPr>
          <w:rFonts w:ascii="Arial" w:hAnsi="Arial" w:cs="Arial"/>
          <w:sz w:val="18"/>
          <w:szCs w:val="18"/>
        </w:rPr>
        <w:tab/>
        <w:t xml:space="preserve">   </w:t>
      </w:r>
      <w:proofErr w:type="gramStart"/>
      <w:r w:rsidRPr="006473F2">
        <w:rPr>
          <w:rFonts w:ascii="Arial" w:hAnsi="Arial" w:cs="Arial"/>
          <w:sz w:val="18"/>
          <w:szCs w:val="18"/>
        </w:rPr>
        <w:t xml:space="preserve">  :</w:t>
      </w:r>
      <w:proofErr w:type="gramEnd"/>
      <w:r w:rsidRPr="006473F2">
        <w:rPr>
          <w:rFonts w:ascii="Arial" w:hAnsi="Arial" w:cs="Arial"/>
          <w:sz w:val="18"/>
          <w:szCs w:val="18"/>
        </w:rPr>
        <w:t xml:space="preserve"> </w:t>
      </w:r>
      <w:r w:rsidRPr="006473F2">
        <w:rPr>
          <w:rFonts w:ascii="Arial" w:hAnsi="Arial" w:cs="Arial"/>
          <w:i/>
          <w:spacing w:val="-2"/>
          <w:sz w:val="18"/>
          <w:szCs w:val="18"/>
        </w:rPr>
        <w:t>error</w:t>
      </w:r>
    </w:p>
    <w:p w14:paraId="61FFC434" w14:textId="77777777" w:rsidR="00AB4CEA" w:rsidRPr="00AB4CEA" w:rsidRDefault="00AB4CEA" w:rsidP="00AB4CEA">
      <w:pPr>
        <w:jc w:val="both"/>
        <w:rPr>
          <w:rFonts w:ascii="Arial" w:hAnsi="Arial" w:cs="Arial"/>
          <w:bCs/>
        </w:rPr>
      </w:pPr>
    </w:p>
    <w:p w14:paraId="5EA08683" w14:textId="77777777" w:rsidR="00AB4CEA" w:rsidRPr="00AB4CEA" w:rsidRDefault="00AB4CEA" w:rsidP="00AB4CEA">
      <w:pPr>
        <w:jc w:val="both"/>
        <w:rPr>
          <w:rFonts w:ascii="Arial" w:hAnsi="Arial" w:cs="Arial"/>
          <w:bCs/>
        </w:rPr>
      </w:pPr>
      <w:r w:rsidRPr="00AB4CEA">
        <w:rPr>
          <w:rFonts w:ascii="Arial" w:hAnsi="Arial" w:cs="Arial"/>
          <w:bCs/>
          <w:highlight w:val="yellow"/>
        </w:rPr>
        <w:t>The Fixed Effects Model (FEM) is selected as the most appropriate model based on model selection tests, as it accounts for unobserved heterogeneity across firms.</w:t>
      </w:r>
    </w:p>
    <w:p w14:paraId="4F554886" w14:textId="373ED374" w:rsidR="00AB4CEA" w:rsidRPr="00AB4CEA" w:rsidRDefault="00AB4CEA" w:rsidP="00AB4CEA">
      <w:pPr>
        <w:jc w:val="both"/>
        <w:rPr>
          <w:rFonts w:ascii="Arial" w:hAnsi="Arial" w:cs="Arial"/>
          <w:bCs/>
        </w:rPr>
      </w:pPr>
    </w:p>
    <w:p w14:paraId="15CC1CF7" w14:textId="77777777" w:rsidR="00AB4CEA" w:rsidRPr="00AB4CEA" w:rsidRDefault="00AB4CEA" w:rsidP="00AB4CEA">
      <w:pPr>
        <w:jc w:val="both"/>
        <w:rPr>
          <w:rFonts w:ascii="Arial" w:hAnsi="Arial" w:cs="Arial"/>
          <w:b/>
          <w:bCs/>
        </w:rPr>
      </w:pPr>
      <w:r w:rsidRPr="00AB4CEA">
        <w:rPr>
          <w:rFonts w:ascii="Arial" w:hAnsi="Arial" w:cs="Arial"/>
          <w:b/>
          <w:bCs/>
        </w:rPr>
        <w:t>2.3 Variable Measurement</w:t>
      </w:r>
    </w:p>
    <w:p w14:paraId="527FF2DE" w14:textId="77777777" w:rsidR="00AB4CEA" w:rsidRPr="00AB4CEA" w:rsidRDefault="00AB4CEA" w:rsidP="00CD4682">
      <w:pPr>
        <w:ind w:firstLine="567"/>
        <w:jc w:val="both"/>
        <w:rPr>
          <w:rFonts w:ascii="Arial" w:hAnsi="Arial" w:cs="Arial"/>
          <w:bCs/>
        </w:rPr>
      </w:pPr>
      <w:r w:rsidRPr="00AB4CEA">
        <w:rPr>
          <w:rFonts w:ascii="Arial" w:hAnsi="Arial" w:cs="Arial"/>
          <w:bCs/>
        </w:rPr>
        <w:t>The operational definitions and measurements of the variables used in this study are presented in Table 2.</w:t>
      </w:r>
    </w:p>
    <w:p w14:paraId="0A3407F9" w14:textId="77777777" w:rsidR="00AB4CEA" w:rsidRPr="00925CE0" w:rsidRDefault="00AB4CEA" w:rsidP="00AB4CEA">
      <w:pPr>
        <w:jc w:val="center"/>
        <w:rPr>
          <w:rFonts w:ascii="Arial" w:hAnsi="Arial" w:cs="Arial"/>
          <w:b/>
        </w:rPr>
      </w:pPr>
      <w:r w:rsidRPr="00925CE0">
        <w:rPr>
          <w:rFonts w:ascii="Arial" w:hAnsi="Arial" w:cs="Arial"/>
          <w:b/>
        </w:rPr>
        <w:t>Table 2 Identification and Measurement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gridCol w:w="727"/>
        <w:gridCol w:w="4784"/>
        <w:gridCol w:w="1376"/>
      </w:tblGrid>
      <w:tr w:rsidR="00AB4CEA" w:rsidRPr="00925CE0" w14:paraId="3699F739" w14:textId="77777777" w:rsidTr="00241F26">
        <w:trPr>
          <w:tblHeader/>
          <w:tblCellSpacing w:w="15" w:type="dxa"/>
        </w:trPr>
        <w:tc>
          <w:tcPr>
            <w:tcW w:w="0" w:type="auto"/>
            <w:tcBorders>
              <w:top w:val="single" w:sz="4" w:space="0" w:color="auto"/>
            </w:tcBorders>
            <w:vAlign w:val="center"/>
            <w:hideMark/>
          </w:tcPr>
          <w:p w14:paraId="09227EFA" w14:textId="77777777" w:rsidR="00AB4CEA" w:rsidRPr="00925CE0" w:rsidRDefault="00AB4CEA" w:rsidP="00241F26">
            <w:pPr>
              <w:jc w:val="center"/>
              <w:rPr>
                <w:rFonts w:ascii="Arial" w:hAnsi="Arial" w:cs="Arial"/>
                <w:b/>
                <w:bCs/>
              </w:rPr>
            </w:pPr>
            <w:proofErr w:type="spellStart"/>
            <w:r w:rsidRPr="00925CE0">
              <w:rPr>
                <w:rFonts w:ascii="Arial" w:hAnsi="Arial" w:cs="Arial"/>
                <w:b/>
                <w:bCs/>
              </w:rPr>
              <w:t>Variabel</w:t>
            </w:r>
            <w:proofErr w:type="spellEnd"/>
          </w:p>
        </w:tc>
        <w:tc>
          <w:tcPr>
            <w:tcW w:w="0" w:type="auto"/>
            <w:tcBorders>
              <w:top w:val="single" w:sz="4" w:space="0" w:color="auto"/>
            </w:tcBorders>
            <w:vAlign w:val="center"/>
            <w:hideMark/>
          </w:tcPr>
          <w:p w14:paraId="0B6DF40C" w14:textId="77777777" w:rsidR="00AB4CEA" w:rsidRPr="00925CE0" w:rsidRDefault="00AB4CEA" w:rsidP="00241F26">
            <w:pPr>
              <w:jc w:val="center"/>
              <w:rPr>
                <w:rFonts w:ascii="Arial" w:hAnsi="Arial" w:cs="Arial"/>
                <w:b/>
                <w:bCs/>
              </w:rPr>
            </w:pPr>
            <w:proofErr w:type="spellStart"/>
            <w:r w:rsidRPr="00925CE0">
              <w:rPr>
                <w:rFonts w:ascii="Arial" w:hAnsi="Arial" w:cs="Arial"/>
                <w:b/>
                <w:bCs/>
              </w:rPr>
              <w:t>Simbol</w:t>
            </w:r>
            <w:proofErr w:type="spellEnd"/>
          </w:p>
        </w:tc>
        <w:tc>
          <w:tcPr>
            <w:tcW w:w="0" w:type="auto"/>
            <w:tcBorders>
              <w:top w:val="single" w:sz="4" w:space="0" w:color="auto"/>
            </w:tcBorders>
            <w:vAlign w:val="center"/>
            <w:hideMark/>
          </w:tcPr>
          <w:p w14:paraId="14381ED1" w14:textId="77777777" w:rsidR="00AB4CEA" w:rsidRPr="00925CE0" w:rsidRDefault="00AB4CEA" w:rsidP="00241F26">
            <w:pPr>
              <w:jc w:val="center"/>
              <w:rPr>
                <w:rFonts w:ascii="Arial" w:hAnsi="Arial" w:cs="Arial"/>
                <w:b/>
                <w:bCs/>
              </w:rPr>
            </w:pPr>
            <w:r w:rsidRPr="00925CE0">
              <w:rPr>
                <w:rFonts w:ascii="Arial" w:hAnsi="Arial" w:cs="Arial"/>
                <w:b/>
                <w:bCs/>
              </w:rPr>
              <w:t>Measurement</w:t>
            </w:r>
          </w:p>
        </w:tc>
        <w:tc>
          <w:tcPr>
            <w:tcW w:w="0" w:type="auto"/>
            <w:tcBorders>
              <w:top w:val="single" w:sz="4" w:space="0" w:color="auto"/>
            </w:tcBorders>
            <w:vAlign w:val="center"/>
            <w:hideMark/>
          </w:tcPr>
          <w:p w14:paraId="48030314" w14:textId="77777777" w:rsidR="00AB4CEA" w:rsidRPr="00925CE0" w:rsidRDefault="00AB4CEA" w:rsidP="00241F26">
            <w:pPr>
              <w:jc w:val="center"/>
              <w:rPr>
                <w:rFonts w:ascii="Arial" w:hAnsi="Arial" w:cs="Arial"/>
                <w:b/>
                <w:bCs/>
              </w:rPr>
            </w:pPr>
            <w:r w:rsidRPr="00925CE0">
              <w:rPr>
                <w:rFonts w:ascii="Arial" w:hAnsi="Arial" w:cs="Arial"/>
                <w:b/>
                <w:bCs/>
              </w:rPr>
              <w:t>References</w:t>
            </w:r>
          </w:p>
        </w:tc>
      </w:tr>
      <w:tr w:rsidR="00AB4CEA" w:rsidRPr="00925CE0" w14:paraId="6182C5FB" w14:textId="77777777" w:rsidTr="00241F26">
        <w:trPr>
          <w:tblCellSpacing w:w="15" w:type="dxa"/>
        </w:trPr>
        <w:tc>
          <w:tcPr>
            <w:tcW w:w="0" w:type="auto"/>
            <w:tcBorders>
              <w:top w:val="single" w:sz="4" w:space="0" w:color="auto"/>
            </w:tcBorders>
            <w:vAlign w:val="center"/>
            <w:hideMark/>
          </w:tcPr>
          <w:p w14:paraId="4BAE2132" w14:textId="77777777" w:rsidR="00AB4CEA" w:rsidRPr="00925CE0" w:rsidRDefault="00AB4CEA" w:rsidP="00241F26">
            <w:pPr>
              <w:rPr>
                <w:rFonts w:ascii="Arial" w:hAnsi="Arial" w:cs="Arial"/>
                <w:i/>
              </w:rPr>
            </w:pPr>
            <w:r w:rsidRPr="00925CE0">
              <w:rPr>
                <w:rFonts w:ascii="Arial" w:hAnsi="Arial" w:cs="Arial"/>
                <w:i/>
              </w:rPr>
              <w:t>Financial Constraints</w:t>
            </w:r>
          </w:p>
        </w:tc>
        <w:tc>
          <w:tcPr>
            <w:tcW w:w="0" w:type="auto"/>
            <w:tcBorders>
              <w:top w:val="single" w:sz="4" w:space="0" w:color="auto"/>
            </w:tcBorders>
            <w:vAlign w:val="center"/>
            <w:hideMark/>
          </w:tcPr>
          <w:p w14:paraId="723C4CAF" w14:textId="77777777" w:rsidR="00AB4CEA" w:rsidRPr="00925CE0" w:rsidRDefault="00AB4CEA" w:rsidP="00241F26">
            <w:pPr>
              <w:rPr>
                <w:rFonts w:ascii="Arial" w:hAnsi="Arial" w:cs="Arial"/>
              </w:rPr>
            </w:pPr>
            <w:r w:rsidRPr="00925CE0">
              <w:rPr>
                <w:rFonts w:ascii="Arial" w:hAnsi="Arial" w:cs="Arial"/>
              </w:rPr>
              <w:t>FC</w:t>
            </w:r>
          </w:p>
        </w:tc>
        <w:tc>
          <w:tcPr>
            <w:tcW w:w="0" w:type="auto"/>
            <w:tcBorders>
              <w:top w:val="single" w:sz="4" w:space="0" w:color="auto"/>
            </w:tcBorders>
            <w:vAlign w:val="center"/>
            <w:hideMark/>
          </w:tcPr>
          <w:p w14:paraId="0E56C765" w14:textId="77777777" w:rsidR="00AB4CEA" w:rsidRPr="00925CE0" w:rsidRDefault="00AB4CEA" w:rsidP="00241F26">
            <w:pPr>
              <w:rPr>
                <w:rFonts w:ascii="Arial" w:hAnsi="Arial" w:cs="Arial"/>
              </w:rPr>
            </w:pPr>
            <w:r w:rsidRPr="00925CE0">
              <w:rPr>
                <w:rFonts w:ascii="Arial" w:hAnsi="Arial" w:cs="Arial"/>
              </w:rPr>
              <w:t>KZ Index = −1.001909 Cashflow/Asset + 3.139193 LTD/Asset − 39.3678 DIV/Asset − 1.314759 Cash/Asset + 0.2826359 Tobin’s Q</w:t>
            </w:r>
          </w:p>
        </w:tc>
        <w:tc>
          <w:tcPr>
            <w:tcW w:w="0" w:type="auto"/>
            <w:tcBorders>
              <w:top w:val="single" w:sz="4" w:space="0" w:color="auto"/>
            </w:tcBorders>
            <w:vAlign w:val="center"/>
            <w:hideMark/>
          </w:tcPr>
          <w:p w14:paraId="322C1DDF" w14:textId="77777777" w:rsidR="00AB4CEA" w:rsidRPr="00925CE0" w:rsidRDefault="00AB4CEA" w:rsidP="00241F26">
            <w:pPr>
              <w:rPr>
                <w:rFonts w:ascii="Arial" w:hAnsi="Arial" w:cs="Arial"/>
              </w:rPr>
            </w:pPr>
            <w:r w:rsidRPr="00925CE0">
              <w:rPr>
                <w:rFonts w:ascii="Arial" w:hAnsi="Arial" w:cs="Arial"/>
              </w:rPr>
              <w:t>Li et al. (2023)</w:t>
            </w:r>
          </w:p>
        </w:tc>
      </w:tr>
      <w:tr w:rsidR="00AB4CEA" w:rsidRPr="00925CE0" w14:paraId="44DB2ECC" w14:textId="77777777" w:rsidTr="00241F26">
        <w:trPr>
          <w:tblCellSpacing w:w="15" w:type="dxa"/>
        </w:trPr>
        <w:tc>
          <w:tcPr>
            <w:tcW w:w="0" w:type="auto"/>
            <w:vAlign w:val="center"/>
            <w:hideMark/>
          </w:tcPr>
          <w:p w14:paraId="70F22372" w14:textId="77777777" w:rsidR="00AB4CEA" w:rsidRPr="00925CE0" w:rsidRDefault="00AB4CEA" w:rsidP="00241F26">
            <w:pPr>
              <w:rPr>
                <w:rFonts w:ascii="Arial" w:hAnsi="Arial" w:cs="Arial"/>
              </w:rPr>
            </w:pPr>
            <w:r w:rsidRPr="00925CE0">
              <w:rPr>
                <w:rFonts w:ascii="Arial" w:hAnsi="Arial" w:cs="Arial"/>
              </w:rPr>
              <w:t>Digitization</w:t>
            </w:r>
          </w:p>
        </w:tc>
        <w:tc>
          <w:tcPr>
            <w:tcW w:w="0" w:type="auto"/>
            <w:vAlign w:val="center"/>
            <w:hideMark/>
          </w:tcPr>
          <w:p w14:paraId="1446B085" w14:textId="77777777" w:rsidR="00AB4CEA" w:rsidRPr="00925CE0" w:rsidRDefault="00AB4CEA" w:rsidP="00241F26">
            <w:pPr>
              <w:rPr>
                <w:rFonts w:ascii="Arial" w:hAnsi="Arial" w:cs="Arial"/>
              </w:rPr>
            </w:pPr>
            <w:r w:rsidRPr="00925CE0">
              <w:rPr>
                <w:rFonts w:ascii="Arial" w:hAnsi="Arial" w:cs="Arial"/>
              </w:rPr>
              <w:t>DF</w:t>
            </w:r>
          </w:p>
        </w:tc>
        <w:tc>
          <w:tcPr>
            <w:tcW w:w="0" w:type="auto"/>
            <w:vAlign w:val="center"/>
            <w:hideMark/>
          </w:tcPr>
          <w:p w14:paraId="76EEAB90" w14:textId="77777777" w:rsidR="00AB4CEA" w:rsidRPr="00925CE0" w:rsidRDefault="00AB4CEA" w:rsidP="00241F26">
            <w:pPr>
              <w:rPr>
                <w:rFonts w:ascii="Arial" w:hAnsi="Arial" w:cs="Arial"/>
              </w:rPr>
            </w:pPr>
            <w:r w:rsidRPr="00925CE0">
              <w:rPr>
                <w:rFonts w:ascii="Arial" w:hAnsi="Arial" w:cs="Arial"/>
              </w:rPr>
              <w:t>Total intangible assets related to technology / Total assets</w:t>
            </w:r>
          </w:p>
        </w:tc>
        <w:tc>
          <w:tcPr>
            <w:tcW w:w="0" w:type="auto"/>
            <w:vAlign w:val="center"/>
            <w:hideMark/>
          </w:tcPr>
          <w:p w14:paraId="3D38BDEE" w14:textId="77777777" w:rsidR="00AB4CEA" w:rsidRPr="00925CE0" w:rsidRDefault="00AB4CEA" w:rsidP="00241F26">
            <w:pPr>
              <w:rPr>
                <w:rFonts w:ascii="Arial" w:hAnsi="Arial" w:cs="Arial"/>
              </w:rPr>
            </w:pPr>
            <w:r w:rsidRPr="00925CE0">
              <w:rPr>
                <w:rFonts w:ascii="Arial" w:hAnsi="Arial" w:cs="Arial"/>
              </w:rPr>
              <w:t>Zou et al. (2024)</w:t>
            </w:r>
          </w:p>
        </w:tc>
      </w:tr>
      <w:tr w:rsidR="00AB4CEA" w:rsidRPr="00925CE0" w14:paraId="10DCAB6C" w14:textId="77777777" w:rsidTr="00241F26">
        <w:trPr>
          <w:tblCellSpacing w:w="15" w:type="dxa"/>
        </w:trPr>
        <w:tc>
          <w:tcPr>
            <w:tcW w:w="0" w:type="auto"/>
            <w:vAlign w:val="center"/>
            <w:hideMark/>
          </w:tcPr>
          <w:p w14:paraId="279F320F" w14:textId="77777777" w:rsidR="00AB4CEA" w:rsidRPr="00925CE0" w:rsidRDefault="00AB4CEA" w:rsidP="00241F26">
            <w:pPr>
              <w:rPr>
                <w:rFonts w:ascii="Arial" w:hAnsi="Arial" w:cs="Arial"/>
              </w:rPr>
            </w:pPr>
            <w:r w:rsidRPr="00925CE0">
              <w:rPr>
                <w:rFonts w:ascii="Arial" w:hAnsi="Arial" w:cs="Arial"/>
              </w:rPr>
              <w:t>Managerial Ownership</w:t>
            </w:r>
          </w:p>
        </w:tc>
        <w:tc>
          <w:tcPr>
            <w:tcW w:w="0" w:type="auto"/>
            <w:vAlign w:val="center"/>
            <w:hideMark/>
          </w:tcPr>
          <w:p w14:paraId="21503D25" w14:textId="77777777" w:rsidR="00AB4CEA" w:rsidRPr="00925CE0" w:rsidRDefault="00AB4CEA" w:rsidP="00241F26">
            <w:pPr>
              <w:rPr>
                <w:rFonts w:ascii="Arial" w:hAnsi="Arial" w:cs="Arial"/>
              </w:rPr>
            </w:pPr>
            <w:r w:rsidRPr="00925CE0">
              <w:rPr>
                <w:rFonts w:ascii="Arial" w:hAnsi="Arial" w:cs="Arial"/>
              </w:rPr>
              <w:t>MO</w:t>
            </w:r>
          </w:p>
        </w:tc>
        <w:tc>
          <w:tcPr>
            <w:tcW w:w="0" w:type="auto"/>
            <w:vAlign w:val="center"/>
            <w:hideMark/>
          </w:tcPr>
          <w:p w14:paraId="1E468A29" w14:textId="77777777" w:rsidR="00AB4CEA" w:rsidRPr="00925CE0" w:rsidRDefault="00AB4CEA" w:rsidP="00241F26">
            <w:pPr>
              <w:rPr>
                <w:rFonts w:ascii="Arial" w:hAnsi="Arial" w:cs="Arial"/>
              </w:rPr>
            </w:pPr>
            <w:r w:rsidRPr="00925CE0">
              <w:rPr>
                <w:rFonts w:ascii="Arial" w:hAnsi="Arial" w:cs="Arial"/>
              </w:rPr>
              <w:t>Number of shares owned by the manager / Total outstanding shares</w:t>
            </w:r>
          </w:p>
        </w:tc>
        <w:tc>
          <w:tcPr>
            <w:tcW w:w="0" w:type="auto"/>
            <w:vAlign w:val="center"/>
            <w:hideMark/>
          </w:tcPr>
          <w:p w14:paraId="132F18F2" w14:textId="77777777" w:rsidR="00AB4CEA" w:rsidRPr="00925CE0" w:rsidRDefault="00AB4CEA" w:rsidP="00241F26">
            <w:pPr>
              <w:rPr>
                <w:rFonts w:ascii="Arial" w:hAnsi="Arial" w:cs="Arial"/>
              </w:rPr>
            </w:pPr>
            <w:r w:rsidRPr="00925CE0">
              <w:rPr>
                <w:rFonts w:ascii="Arial" w:hAnsi="Arial" w:cs="Arial"/>
              </w:rPr>
              <w:t>Farooq et al. (2022)</w:t>
            </w:r>
          </w:p>
        </w:tc>
      </w:tr>
      <w:tr w:rsidR="00AB4CEA" w:rsidRPr="00925CE0" w14:paraId="2746CA6A" w14:textId="77777777" w:rsidTr="00241F26">
        <w:trPr>
          <w:tblCellSpacing w:w="15" w:type="dxa"/>
        </w:trPr>
        <w:tc>
          <w:tcPr>
            <w:tcW w:w="0" w:type="auto"/>
            <w:tcBorders>
              <w:bottom w:val="single" w:sz="4" w:space="0" w:color="auto"/>
            </w:tcBorders>
            <w:vAlign w:val="center"/>
            <w:hideMark/>
          </w:tcPr>
          <w:p w14:paraId="7CA907DA" w14:textId="77777777" w:rsidR="00AB4CEA" w:rsidRPr="00925CE0" w:rsidRDefault="00AB4CEA" w:rsidP="00241F26">
            <w:pPr>
              <w:rPr>
                <w:rFonts w:ascii="Arial" w:hAnsi="Arial" w:cs="Arial"/>
              </w:rPr>
            </w:pPr>
            <w:r w:rsidRPr="00925CE0">
              <w:rPr>
                <w:rFonts w:ascii="Arial" w:hAnsi="Arial" w:cs="Arial"/>
              </w:rPr>
              <w:t>Family Ownership</w:t>
            </w:r>
          </w:p>
        </w:tc>
        <w:tc>
          <w:tcPr>
            <w:tcW w:w="0" w:type="auto"/>
            <w:tcBorders>
              <w:bottom w:val="single" w:sz="4" w:space="0" w:color="auto"/>
            </w:tcBorders>
            <w:vAlign w:val="center"/>
            <w:hideMark/>
          </w:tcPr>
          <w:p w14:paraId="7B9F2A2E" w14:textId="77777777" w:rsidR="00AB4CEA" w:rsidRPr="00925CE0" w:rsidRDefault="00AB4CEA" w:rsidP="00241F26">
            <w:pPr>
              <w:rPr>
                <w:rFonts w:ascii="Arial" w:hAnsi="Arial" w:cs="Arial"/>
              </w:rPr>
            </w:pPr>
            <w:r w:rsidRPr="00925CE0">
              <w:rPr>
                <w:rFonts w:ascii="Arial" w:hAnsi="Arial" w:cs="Arial"/>
              </w:rPr>
              <w:t>FO</w:t>
            </w:r>
          </w:p>
        </w:tc>
        <w:tc>
          <w:tcPr>
            <w:tcW w:w="0" w:type="auto"/>
            <w:tcBorders>
              <w:bottom w:val="single" w:sz="4" w:space="0" w:color="auto"/>
            </w:tcBorders>
            <w:vAlign w:val="center"/>
            <w:hideMark/>
          </w:tcPr>
          <w:p w14:paraId="24222DCF" w14:textId="77777777" w:rsidR="00AB4CEA" w:rsidRPr="00925CE0" w:rsidRDefault="00AB4CEA" w:rsidP="00241F26">
            <w:pPr>
              <w:rPr>
                <w:rFonts w:ascii="Arial" w:hAnsi="Arial" w:cs="Arial"/>
              </w:rPr>
            </w:pPr>
            <w:r w:rsidRPr="00925CE0">
              <w:rPr>
                <w:rFonts w:ascii="Arial" w:hAnsi="Arial" w:cs="Arial"/>
              </w:rPr>
              <w:t>Number of shares owned by the family / Total shares outstanding</w:t>
            </w:r>
          </w:p>
        </w:tc>
        <w:tc>
          <w:tcPr>
            <w:tcW w:w="0" w:type="auto"/>
            <w:tcBorders>
              <w:bottom w:val="single" w:sz="4" w:space="0" w:color="auto"/>
            </w:tcBorders>
            <w:vAlign w:val="center"/>
            <w:hideMark/>
          </w:tcPr>
          <w:p w14:paraId="4E4424DB" w14:textId="77777777" w:rsidR="00AB4CEA" w:rsidRPr="00925CE0" w:rsidRDefault="00AB4CEA" w:rsidP="00241F26">
            <w:pPr>
              <w:rPr>
                <w:rFonts w:ascii="Arial" w:hAnsi="Arial" w:cs="Arial"/>
              </w:rPr>
            </w:pPr>
            <w:r w:rsidRPr="00925CE0">
              <w:rPr>
                <w:rFonts w:ascii="Arial" w:hAnsi="Arial" w:cs="Arial"/>
              </w:rPr>
              <w:t>Farooq et al. (2022)</w:t>
            </w:r>
          </w:p>
        </w:tc>
      </w:tr>
    </w:tbl>
    <w:p w14:paraId="6B9110CF" w14:textId="77777777" w:rsidR="00AB4CEA" w:rsidRDefault="00AB4CEA" w:rsidP="00AB4CEA">
      <w:pPr>
        <w:jc w:val="both"/>
        <w:rPr>
          <w:rFonts w:ascii="Arial" w:hAnsi="Arial" w:cs="Arial"/>
          <w:bCs/>
        </w:rPr>
      </w:pPr>
    </w:p>
    <w:p w14:paraId="5579DCC4" w14:textId="7B12A44E" w:rsidR="00017F74" w:rsidRPr="008D7DC1" w:rsidRDefault="00AB4CEA" w:rsidP="008D7DC1">
      <w:pPr>
        <w:ind w:firstLine="567"/>
        <w:jc w:val="both"/>
        <w:rPr>
          <w:rFonts w:ascii="Arial" w:hAnsi="Arial" w:cs="Arial"/>
          <w:bCs/>
        </w:rPr>
      </w:pPr>
      <w:r w:rsidRPr="00AB4CEA">
        <w:rPr>
          <w:rFonts w:ascii="Arial" w:hAnsi="Arial" w:cs="Arial"/>
          <w:bCs/>
          <w:highlight w:val="yellow"/>
        </w:rPr>
        <w:t>Digitalization in this study is proxied by the proportion of intangible assets, as it reflects firms’ investment in digital technologies such as software, platforms, and information systems. However, it is acknowledged that this proxy may not fully capture the overall level of digital transformation.</w:t>
      </w:r>
    </w:p>
    <w:p w14:paraId="774DD925" w14:textId="77777777" w:rsidR="00017F74" w:rsidRDefault="00017F74" w:rsidP="00925CE0">
      <w:pPr>
        <w:jc w:val="both"/>
        <w:rPr>
          <w:rFonts w:ascii="Arial" w:hAnsi="Arial" w:cs="Arial"/>
          <w:b/>
        </w:rPr>
      </w:pPr>
    </w:p>
    <w:p w14:paraId="5A893AFD" w14:textId="77777777" w:rsidR="008D7DC1" w:rsidRPr="00925CE0" w:rsidRDefault="008D7DC1" w:rsidP="00925CE0">
      <w:pPr>
        <w:jc w:val="both"/>
        <w:rPr>
          <w:rFonts w:ascii="Arial" w:hAnsi="Arial" w:cs="Arial"/>
          <w:b/>
        </w:rPr>
      </w:pPr>
    </w:p>
    <w:p w14:paraId="1B126CDD" w14:textId="77777777" w:rsidR="00925CE0" w:rsidRPr="003332F7" w:rsidRDefault="00925CE0" w:rsidP="00E57637">
      <w:pPr>
        <w:pStyle w:val="ListParagraph"/>
        <w:numPr>
          <w:ilvl w:val="0"/>
          <w:numId w:val="32"/>
        </w:numPr>
        <w:spacing w:after="0" w:line="240" w:lineRule="auto"/>
        <w:ind w:left="270" w:hanging="270"/>
        <w:jc w:val="both"/>
        <w:rPr>
          <w:rFonts w:ascii="Arial" w:hAnsi="Arial" w:cs="Arial"/>
          <w:b/>
        </w:rPr>
      </w:pPr>
      <w:r w:rsidRPr="003332F7">
        <w:rPr>
          <w:rFonts w:ascii="Arial" w:hAnsi="Arial" w:cs="Arial"/>
          <w:b/>
        </w:rPr>
        <w:t>RESULTS AND DISCUSSION</w:t>
      </w:r>
    </w:p>
    <w:p w14:paraId="2CE71CBF" w14:textId="77777777" w:rsidR="00925CE0" w:rsidRPr="00925CE0" w:rsidRDefault="00925CE0" w:rsidP="00925CE0">
      <w:pPr>
        <w:pStyle w:val="ListParagraph"/>
        <w:spacing w:after="0" w:line="240" w:lineRule="auto"/>
        <w:ind w:left="270"/>
        <w:jc w:val="both"/>
        <w:rPr>
          <w:rFonts w:ascii="Arial" w:hAnsi="Arial" w:cs="Arial"/>
          <w:b/>
          <w:sz w:val="20"/>
          <w:szCs w:val="20"/>
        </w:rPr>
      </w:pPr>
    </w:p>
    <w:p w14:paraId="3946A9A6" w14:textId="6638B7C4" w:rsidR="00925CE0" w:rsidRPr="00925CE0" w:rsidRDefault="00E57637" w:rsidP="00E57637">
      <w:pPr>
        <w:pStyle w:val="ListParagraph"/>
        <w:numPr>
          <w:ilvl w:val="1"/>
          <w:numId w:val="32"/>
        </w:numPr>
        <w:spacing w:after="0" w:line="240" w:lineRule="auto"/>
        <w:jc w:val="both"/>
        <w:rPr>
          <w:rFonts w:ascii="Arial" w:hAnsi="Arial" w:cs="Arial"/>
          <w:b/>
          <w:sz w:val="20"/>
          <w:szCs w:val="20"/>
        </w:rPr>
      </w:pPr>
      <w:r w:rsidRPr="00E16AAC">
        <w:rPr>
          <w:rFonts w:ascii="Arial" w:hAnsi="Arial" w:cs="Arial"/>
          <w:b/>
        </w:rPr>
        <w:t>Results</w:t>
      </w:r>
    </w:p>
    <w:p w14:paraId="66E70C1C" w14:textId="77777777" w:rsidR="00925CE0" w:rsidRPr="00925CE0" w:rsidRDefault="00925CE0" w:rsidP="00925CE0">
      <w:pPr>
        <w:jc w:val="both"/>
        <w:rPr>
          <w:rFonts w:ascii="Arial" w:hAnsi="Arial" w:cs="Arial"/>
        </w:rPr>
      </w:pPr>
    </w:p>
    <w:p w14:paraId="48C880F6" w14:textId="77777777" w:rsidR="00925CE0" w:rsidRPr="00A4559A" w:rsidRDefault="00925CE0" w:rsidP="00A4559A">
      <w:pPr>
        <w:ind w:firstLine="567"/>
        <w:jc w:val="both"/>
        <w:rPr>
          <w:rStyle w:val="Strong"/>
          <w:rFonts w:ascii="Arial" w:hAnsi="Arial" w:cs="Arial"/>
        </w:rPr>
      </w:pPr>
      <w:r w:rsidRPr="00A4559A">
        <w:rPr>
          <w:rFonts w:ascii="Arial" w:hAnsi="Arial" w:cs="Arial"/>
        </w:rPr>
        <w:t xml:space="preserve">This study uses panel data regression analysis to examine the influence of digitalization, as well as ownership structure on the financial constraints of non-financial companies in Indonesia. Data processing is carried out using </w:t>
      </w:r>
      <w:r w:rsidRPr="00A4559A">
        <w:rPr>
          <w:rStyle w:val="Strong"/>
          <w:rFonts w:ascii="Arial" w:hAnsi="Arial" w:cs="Arial"/>
          <w:b w:val="0"/>
          <w:bCs w:val="0"/>
        </w:rPr>
        <w:t>EViews software</w:t>
      </w:r>
      <w:r w:rsidRPr="00A4559A">
        <w:rPr>
          <w:rFonts w:ascii="Arial" w:hAnsi="Arial" w:cs="Arial"/>
        </w:rPr>
        <w:t xml:space="preserve">. Before conducting the regression analysis, a panel data regression model was selected to determine the most suitable model between </w:t>
      </w:r>
      <w:r w:rsidRPr="00A4559A">
        <w:rPr>
          <w:rStyle w:val="Strong"/>
          <w:rFonts w:ascii="Arial" w:hAnsi="Arial" w:cs="Arial"/>
          <w:b w:val="0"/>
          <w:bCs w:val="0"/>
        </w:rPr>
        <w:t>the Common Effect Model (CEM), Fixed Effect Model (FEM), and Random Effect Model (REM).</w:t>
      </w:r>
      <w:r w:rsidRPr="00A4559A">
        <w:rPr>
          <w:rStyle w:val="Strong"/>
          <w:rFonts w:ascii="Arial" w:hAnsi="Arial" w:cs="Arial"/>
        </w:rPr>
        <w:t xml:space="preserve"> </w:t>
      </w:r>
      <w:r w:rsidRPr="00A4559A">
        <w:rPr>
          <w:rFonts w:ascii="Arial" w:hAnsi="Arial" w:cs="Arial"/>
        </w:rPr>
        <w:t xml:space="preserve">The selection of regression models was carried out through </w:t>
      </w:r>
      <w:r w:rsidRPr="00A4559A">
        <w:rPr>
          <w:rStyle w:val="Strong"/>
          <w:rFonts w:ascii="Arial" w:hAnsi="Arial" w:cs="Arial"/>
          <w:b w:val="0"/>
          <w:bCs w:val="0"/>
        </w:rPr>
        <w:t>the Chow test</w:t>
      </w:r>
      <w:r w:rsidRPr="00A4559A">
        <w:rPr>
          <w:rFonts w:ascii="Arial" w:hAnsi="Arial" w:cs="Arial"/>
          <w:b/>
          <w:bCs/>
        </w:rPr>
        <w:t xml:space="preserve"> </w:t>
      </w:r>
      <w:r w:rsidRPr="00A4559A">
        <w:rPr>
          <w:rFonts w:ascii="Arial" w:hAnsi="Arial" w:cs="Arial"/>
        </w:rPr>
        <w:t>and</w:t>
      </w:r>
      <w:r w:rsidRPr="00A4559A">
        <w:rPr>
          <w:rFonts w:ascii="Arial" w:hAnsi="Arial" w:cs="Arial"/>
          <w:b/>
          <w:bCs/>
        </w:rPr>
        <w:t xml:space="preserve"> </w:t>
      </w:r>
      <w:r w:rsidRPr="00A4559A">
        <w:rPr>
          <w:rStyle w:val="Strong"/>
          <w:rFonts w:ascii="Arial" w:hAnsi="Arial" w:cs="Arial"/>
          <w:b w:val="0"/>
          <w:bCs w:val="0"/>
        </w:rPr>
        <w:t>the Hausman test, where</w:t>
      </w:r>
      <w:r w:rsidRPr="00A4559A">
        <w:rPr>
          <w:rStyle w:val="Strong"/>
          <w:rFonts w:ascii="Arial" w:hAnsi="Arial" w:cs="Arial"/>
        </w:rPr>
        <w:t xml:space="preserve"> </w:t>
      </w:r>
      <w:r w:rsidRPr="00A4559A">
        <w:rPr>
          <w:rFonts w:ascii="Arial" w:hAnsi="Arial" w:cs="Arial"/>
        </w:rPr>
        <w:t xml:space="preserve">the model chosen in this study was </w:t>
      </w:r>
      <w:r w:rsidRPr="00A4559A">
        <w:rPr>
          <w:rStyle w:val="Strong"/>
          <w:rFonts w:ascii="Arial" w:hAnsi="Arial" w:cs="Arial"/>
          <w:b w:val="0"/>
          <w:bCs w:val="0"/>
        </w:rPr>
        <w:t>the Fixed Effect Model (FEM) with the following information:</w:t>
      </w:r>
    </w:p>
    <w:p w14:paraId="4F0841B2" w14:textId="77777777" w:rsidR="00925CE0" w:rsidRPr="00925CE0" w:rsidRDefault="00925CE0" w:rsidP="00925CE0">
      <w:pPr>
        <w:jc w:val="both"/>
        <w:rPr>
          <w:rFonts w:ascii="Arial" w:hAnsi="Arial" w:cs="Arial"/>
          <w:b/>
        </w:rPr>
      </w:pPr>
    </w:p>
    <w:p w14:paraId="0ACD2BD3" w14:textId="77777777"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3 Test Selection Model</w:t>
      </w:r>
    </w:p>
    <w:tbl>
      <w:tblPr>
        <w:tblW w:w="0" w:type="auto"/>
        <w:tblInd w:w="720" w:type="dxa"/>
        <w:tblLayout w:type="fixed"/>
        <w:tblCellMar>
          <w:left w:w="0" w:type="dxa"/>
          <w:right w:w="0" w:type="dxa"/>
        </w:tblCellMar>
        <w:tblLook w:val="01E0" w:firstRow="1" w:lastRow="1" w:firstColumn="1" w:lastColumn="1" w:noHBand="0" w:noVBand="0"/>
      </w:tblPr>
      <w:tblGrid>
        <w:gridCol w:w="900"/>
        <w:gridCol w:w="1175"/>
        <w:gridCol w:w="810"/>
        <w:gridCol w:w="1260"/>
        <w:gridCol w:w="2425"/>
      </w:tblGrid>
      <w:tr w:rsidR="00925CE0" w:rsidRPr="00925CE0" w14:paraId="02B8A0FE" w14:textId="77777777" w:rsidTr="009B65D0">
        <w:trPr>
          <w:trHeight w:val="277"/>
        </w:trPr>
        <w:tc>
          <w:tcPr>
            <w:tcW w:w="900" w:type="dxa"/>
            <w:tcBorders>
              <w:top w:val="single" w:sz="4" w:space="0" w:color="auto"/>
              <w:bottom w:val="single" w:sz="4" w:space="0" w:color="auto"/>
            </w:tcBorders>
            <w:shd w:val="clear" w:color="auto" w:fill="D9D9D9" w:themeFill="background1" w:themeFillShade="D9"/>
          </w:tcPr>
          <w:p w14:paraId="7C16EF2D" w14:textId="77777777" w:rsidR="00925CE0" w:rsidRPr="00925CE0" w:rsidRDefault="00925CE0" w:rsidP="00925CE0">
            <w:pPr>
              <w:pStyle w:val="TableParagraph"/>
              <w:ind w:left="14"/>
              <w:jc w:val="center"/>
              <w:rPr>
                <w:rFonts w:ascii="Arial" w:hAnsi="Arial" w:cs="Arial"/>
                <w:b/>
                <w:sz w:val="20"/>
                <w:szCs w:val="20"/>
              </w:rPr>
            </w:pPr>
            <w:r w:rsidRPr="00925CE0">
              <w:rPr>
                <w:rFonts w:ascii="Arial" w:hAnsi="Arial" w:cs="Arial"/>
                <w:b/>
                <w:spacing w:val="-2"/>
                <w:sz w:val="20"/>
                <w:szCs w:val="20"/>
              </w:rPr>
              <w:t>Model</w:t>
            </w:r>
          </w:p>
        </w:tc>
        <w:tc>
          <w:tcPr>
            <w:tcW w:w="1175" w:type="dxa"/>
            <w:tcBorders>
              <w:top w:val="single" w:sz="4" w:space="0" w:color="auto"/>
              <w:bottom w:val="single" w:sz="4" w:space="0" w:color="auto"/>
            </w:tcBorders>
            <w:shd w:val="clear" w:color="auto" w:fill="D9D9D9" w:themeFill="background1" w:themeFillShade="D9"/>
          </w:tcPr>
          <w:p w14:paraId="16E29407"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pacing w:val="-2"/>
                <w:sz w:val="20"/>
                <w:szCs w:val="20"/>
              </w:rPr>
              <w:t>Chi-Square</w:t>
            </w:r>
          </w:p>
        </w:tc>
        <w:tc>
          <w:tcPr>
            <w:tcW w:w="810" w:type="dxa"/>
            <w:tcBorders>
              <w:top w:val="single" w:sz="4" w:space="0" w:color="auto"/>
              <w:bottom w:val="single" w:sz="4" w:space="0" w:color="auto"/>
            </w:tcBorders>
            <w:shd w:val="clear" w:color="auto" w:fill="D9D9D9" w:themeFill="background1" w:themeFillShade="D9"/>
          </w:tcPr>
          <w:p w14:paraId="0D557BA1"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1260" w:type="dxa"/>
            <w:tcBorders>
              <w:top w:val="single" w:sz="4" w:space="0" w:color="auto"/>
              <w:bottom w:val="single" w:sz="4" w:space="0" w:color="auto"/>
            </w:tcBorders>
            <w:shd w:val="clear" w:color="auto" w:fill="D9D9D9" w:themeFill="background1" w:themeFillShade="D9"/>
          </w:tcPr>
          <w:p w14:paraId="237493FA"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c>
          <w:tcPr>
            <w:tcW w:w="2425" w:type="dxa"/>
            <w:tcBorders>
              <w:top w:val="single" w:sz="4" w:space="0" w:color="auto"/>
              <w:bottom w:val="single" w:sz="4" w:space="0" w:color="auto"/>
            </w:tcBorders>
            <w:shd w:val="clear" w:color="auto" w:fill="D9D9D9" w:themeFill="background1" w:themeFillShade="D9"/>
            <w:vAlign w:val="center"/>
          </w:tcPr>
          <w:p w14:paraId="4A5D920C" w14:textId="77777777" w:rsidR="00925CE0" w:rsidRPr="00925CE0" w:rsidRDefault="00925CE0" w:rsidP="00925CE0">
            <w:pPr>
              <w:pStyle w:val="TableParagraph"/>
              <w:jc w:val="center"/>
              <w:rPr>
                <w:rFonts w:ascii="Arial" w:hAnsi="Arial" w:cs="Arial"/>
                <w:b/>
                <w:sz w:val="20"/>
                <w:szCs w:val="20"/>
              </w:rPr>
            </w:pPr>
            <w:r w:rsidRPr="00925CE0">
              <w:rPr>
                <w:rFonts w:ascii="Arial" w:hAnsi="Arial" w:cs="Arial"/>
                <w:b/>
                <w:spacing w:val="-2"/>
                <w:sz w:val="20"/>
                <w:szCs w:val="20"/>
              </w:rPr>
              <w:t>Remarks</w:t>
            </w:r>
          </w:p>
        </w:tc>
      </w:tr>
      <w:tr w:rsidR="00925CE0" w:rsidRPr="00925CE0" w14:paraId="2A5714D9" w14:textId="77777777" w:rsidTr="009B65D0">
        <w:trPr>
          <w:trHeight w:val="638"/>
        </w:trPr>
        <w:tc>
          <w:tcPr>
            <w:tcW w:w="900" w:type="dxa"/>
            <w:tcBorders>
              <w:top w:val="single" w:sz="4" w:space="0" w:color="auto"/>
              <w:bottom w:val="single" w:sz="4" w:space="0" w:color="auto"/>
            </w:tcBorders>
          </w:tcPr>
          <w:p w14:paraId="0004E075"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z w:val="20"/>
                <w:szCs w:val="20"/>
              </w:rPr>
              <w:t>Chow</w:t>
            </w:r>
          </w:p>
          <w:p w14:paraId="5623941D"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Hausman</w:t>
            </w:r>
          </w:p>
        </w:tc>
        <w:tc>
          <w:tcPr>
            <w:tcW w:w="1175" w:type="dxa"/>
            <w:tcBorders>
              <w:top w:val="single" w:sz="4" w:space="0" w:color="auto"/>
              <w:bottom w:val="single" w:sz="4" w:space="0" w:color="auto"/>
            </w:tcBorders>
          </w:tcPr>
          <w:p w14:paraId="2DF6026F" w14:textId="77777777" w:rsidR="00925CE0" w:rsidRPr="00925CE0" w:rsidRDefault="00925CE0" w:rsidP="00925CE0">
            <w:pPr>
              <w:pStyle w:val="TableParagraph"/>
              <w:ind w:left="13"/>
              <w:jc w:val="center"/>
              <w:rPr>
                <w:rFonts w:ascii="Arial" w:hAnsi="Arial" w:cs="Arial"/>
                <w:color w:val="000000"/>
                <w:sz w:val="20"/>
                <w:szCs w:val="20"/>
              </w:rPr>
            </w:pPr>
            <w:r w:rsidRPr="00925CE0">
              <w:rPr>
                <w:rFonts w:ascii="Arial" w:hAnsi="Arial" w:cs="Arial"/>
                <w:color w:val="000000"/>
                <w:sz w:val="20"/>
                <w:szCs w:val="20"/>
              </w:rPr>
              <w:t>377.583580</w:t>
            </w:r>
          </w:p>
          <w:p w14:paraId="51C82694"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color w:val="000000"/>
                <w:sz w:val="20"/>
                <w:szCs w:val="20"/>
              </w:rPr>
              <w:t>9.141718</w:t>
            </w:r>
          </w:p>
        </w:tc>
        <w:tc>
          <w:tcPr>
            <w:tcW w:w="810" w:type="dxa"/>
            <w:tcBorders>
              <w:top w:val="single" w:sz="4" w:space="0" w:color="auto"/>
              <w:bottom w:val="single" w:sz="4" w:space="0" w:color="auto"/>
            </w:tcBorders>
          </w:tcPr>
          <w:p w14:paraId="067CD5D5"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0,0000</w:t>
            </w:r>
          </w:p>
          <w:p w14:paraId="7E240C97"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color w:val="000000"/>
                <w:sz w:val="20"/>
                <w:szCs w:val="20"/>
              </w:rPr>
              <w:t>0.0275</w:t>
            </w:r>
          </w:p>
        </w:tc>
        <w:tc>
          <w:tcPr>
            <w:tcW w:w="1260" w:type="dxa"/>
            <w:tcBorders>
              <w:top w:val="single" w:sz="4" w:space="0" w:color="auto"/>
              <w:bottom w:val="single" w:sz="4" w:space="0" w:color="auto"/>
            </w:tcBorders>
          </w:tcPr>
          <w:p w14:paraId="4803F03F" w14:textId="77777777" w:rsidR="00925CE0" w:rsidRPr="00925CE0" w:rsidRDefault="00925CE0" w:rsidP="00925CE0">
            <w:pPr>
              <w:pStyle w:val="TableParagraph"/>
              <w:ind w:left="9"/>
              <w:jc w:val="center"/>
              <w:rPr>
                <w:rFonts w:ascii="Arial" w:hAnsi="Arial" w:cs="Arial"/>
                <w:position w:val="2"/>
                <w:sz w:val="20"/>
                <w:szCs w:val="20"/>
              </w:rPr>
            </w:pPr>
            <w:r w:rsidRPr="00925CE0">
              <w:rPr>
                <w:rFonts w:ascii="Arial" w:hAnsi="Arial" w:cs="Arial"/>
                <w:position w:val="2"/>
                <w:sz w:val="20"/>
                <w:szCs w:val="20"/>
              </w:rPr>
              <w:t>H0 rejected</w:t>
            </w:r>
          </w:p>
          <w:p w14:paraId="5A24703C" w14:textId="77777777" w:rsidR="00925CE0" w:rsidRPr="00925CE0" w:rsidRDefault="00925CE0" w:rsidP="00925CE0">
            <w:pPr>
              <w:pStyle w:val="TableParagraph"/>
              <w:ind w:left="9"/>
              <w:jc w:val="center"/>
              <w:rPr>
                <w:rFonts w:ascii="Arial" w:hAnsi="Arial" w:cs="Arial"/>
                <w:position w:val="2"/>
                <w:sz w:val="20"/>
                <w:szCs w:val="20"/>
              </w:rPr>
            </w:pPr>
            <w:r w:rsidRPr="00925CE0">
              <w:rPr>
                <w:rFonts w:ascii="Arial" w:hAnsi="Arial" w:cs="Arial"/>
                <w:position w:val="2"/>
                <w:sz w:val="20"/>
                <w:szCs w:val="20"/>
              </w:rPr>
              <w:t>H0 rejected</w:t>
            </w:r>
          </w:p>
        </w:tc>
        <w:tc>
          <w:tcPr>
            <w:tcW w:w="2425" w:type="dxa"/>
            <w:tcBorders>
              <w:top w:val="single" w:sz="4" w:space="0" w:color="auto"/>
              <w:bottom w:val="single" w:sz="4" w:space="0" w:color="auto"/>
            </w:tcBorders>
          </w:tcPr>
          <w:p w14:paraId="42F29559" w14:textId="77777777" w:rsidR="00925CE0" w:rsidRPr="00925CE0" w:rsidRDefault="00925CE0" w:rsidP="00925CE0">
            <w:pPr>
              <w:pStyle w:val="TableParagraph"/>
              <w:jc w:val="center"/>
              <w:rPr>
                <w:rFonts w:ascii="Arial" w:hAnsi="Arial" w:cs="Arial"/>
                <w:sz w:val="20"/>
                <w:szCs w:val="20"/>
              </w:rPr>
            </w:pPr>
            <w:r w:rsidRPr="00925CE0">
              <w:rPr>
                <w:rFonts w:ascii="Arial" w:hAnsi="Arial" w:cs="Arial"/>
                <w:i/>
                <w:sz w:val="20"/>
                <w:szCs w:val="20"/>
              </w:rPr>
              <w:t xml:space="preserve">Fixed Effect Model </w:t>
            </w:r>
            <w:r w:rsidRPr="00925CE0">
              <w:rPr>
                <w:rFonts w:ascii="Arial" w:hAnsi="Arial" w:cs="Arial"/>
                <w:spacing w:val="-2"/>
                <w:sz w:val="20"/>
                <w:szCs w:val="20"/>
              </w:rPr>
              <w:t>(FEM)</w:t>
            </w:r>
          </w:p>
          <w:p w14:paraId="6F585238" w14:textId="77777777" w:rsidR="00925CE0" w:rsidRPr="00925CE0" w:rsidRDefault="00925CE0" w:rsidP="00925CE0">
            <w:pPr>
              <w:pStyle w:val="TableParagraph"/>
              <w:tabs>
                <w:tab w:val="left" w:pos="1345"/>
              </w:tabs>
              <w:ind w:left="-5" w:right="5" w:firstLine="4"/>
              <w:jc w:val="center"/>
              <w:rPr>
                <w:rFonts w:ascii="Arial" w:hAnsi="Arial" w:cs="Arial"/>
                <w:sz w:val="20"/>
                <w:szCs w:val="20"/>
              </w:rPr>
            </w:pPr>
            <w:r w:rsidRPr="00925CE0">
              <w:rPr>
                <w:rFonts w:ascii="Arial" w:hAnsi="Arial" w:cs="Arial"/>
                <w:i/>
                <w:sz w:val="20"/>
                <w:szCs w:val="20"/>
              </w:rPr>
              <w:t xml:space="preserve">Fixed Effect Model </w:t>
            </w:r>
            <w:r w:rsidRPr="00925CE0">
              <w:rPr>
                <w:rFonts w:ascii="Arial" w:hAnsi="Arial" w:cs="Arial"/>
                <w:spacing w:val="-2"/>
                <w:sz w:val="20"/>
                <w:szCs w:val="20"/>
              </w:rPr>
              <w:t>(FEM)</w:t>
            </w:r>
          </w:p>
        </w:tc>
      </w:tr>
    </w:tbl>
    <w:p w14:paraId="69C78EE3" w14:textId="77777777" w:rsidR="00925CE0" w:rsidRPr="006473F2" w:rsidRDefault="00925CE0" w:rsidP="00925CE0">
      <w:pPr>
        <w:pStyle w:val="ListParagraph"/>
        <w:spacing w:after="0" w:line="240" w:lineRule="auto"/>
        <w:jc w:val="both"/>
        <w:rPr>
          <w:rFonts w:ascii="Arial" w:hAnsi="Arial" w:cs="Arial"/>
          <w:b/>
          <w:sz w:val="18"/>
          <w:szCs w:val="18"/>
        </w:rPr>
      </w:pPr>
      <w:r w:rsidRPr="006473F2">
        <w:rPr>
          <w:rFonts w:ascii="Arial" w:hAnsi="Arial" w:cs="Arial"/>
          <w:sz w:val="18"/>
          <w:szCs w:val="18"/>
        </w:rPr>
        <w:t xml:space="preserve">Source: </w:t>
      </w:r>
      <w:r w:rsidRPr="006473F2">
        <w:rPr>
          <w:rFonts w:ascii="Arial" w:hAnsi="Arial" w:cs="Arial"/>
          <w:i/>
          <w:sz w:val="18"/>
          <w:szCs w:val="18"/>
        </w:rPr>
        <w:t xml:space="preserve"> </w:t>
      </w:r>
      <w:r w:rsidRPr="006473F2">
        <w:rPr>
          <w:rFonts w:ascii="Arial" w:hAnsi="Arial" w:cs="Arial"/>
          <w:sz w:val="18"/>
          <w:szCs w:val="18"/>
        </w:rPr>
        <w:t xml:space="preserve">E-views </w:t>
      </w:r>
      <w:r w:rsidRPr="006473F2">
        <w:rPr>
          <w:rFonts w:ascii="Arial" w:hAnsi="Arial" w:cs="Arial"/>
          <w:i/>
          <w:sz w:val="18"/>
          <w:szCs w:val="18"/>
        </w:rPr>
        <w:t xml:space="preserve">panel data regression </w:t>
      </w:r>
      <w:r w:rsidRPr="006473F2">
        <w:rPr>
          <w:rFonts w:ascii="Arial" w:hAnsi="Arial" w:cs="Arial"/>
          <w:sz w:val="18"/>
          <w:szCs w:val="18"/>
        </w:rPr>
        <w:t>output 13 (2025)</w:t>
      </w:r>
    </w:p>
    <w:p w14:paraId="27C1944D" w14:textId="77777777" w:rsidR="00925CE0" w:rsidRPr="00925CE0" w:rsidRDefault="00925CE0" w:rsidP="00925CE0">
      <w:pPr>
        <w:pStyle w:val="ListParagraph"/>
        <w:spacing w:after="0" w:line="240" w:lineRule="auto"/>
        <w:ind w:left="0"/>
        <w:jc w:val="both"/>
        <w:rPr>
          <w:rFonts w:ascii="Arial" w:hAnsi="Arial" w:cs="Arial"/>
          <w:sz w:val="20"/>
          <w:szCs w:val="20"/>
        </w:rPr>
      </w:pPr>
    </w:p>
    <w:p w14:paraId="1B3B136F" w14:textId="5E75E720" w:rsidR="00925CE0" w:rsidRPr="0014249F" w:rsidRDefault="00925CE0" w:rsidP="0014249F">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lastRenderedPageBreak/>
        <w:t xml:space="preserve">The goodness of fit test was carried out to determine the ability of independent variables to explain dependent variables in the research model. The test results showed </w:t>
      </w:r>
      <w:proofErr w:type="gramStart"/>
      <w:r w:rsidRPr="00925CE0">
        <w:rPr>
          <w:rFonts w:ascii="Arial" w:hAnsi="Arial" w:cs="Arial"/>
          <w:sz w:val="20"/>
          <w:szCs w:val="20"/>
        </w:rPr>
        <w:t>that  the</w:t>
      </w:r>
      <w:proofErr w:type="gramEnd"/>
      <w:r w:rsidRPr="00925CE0">
        <w:rPr>
          <w:rFonts w:ascii="Arial" w:hAnsi="Arial" w:cs="Arial"/>
          <w:sz w:val="20"/>
          <w:szCs w:val="20"/>
        </w:rPr>
        <w:t xml:space="preserve"> </w:t>
      </w:r>
      <w:r w:rsidRPr="00E12271">
        <w:rPr>
          <w:rStyle w:val="Strong"/>
          <w:rFonts w:ascii="Arial" w:hAnsi="Arial" w:cs="Arial"/>
          <w:b w:val="0"/>
          <w:bCs w:val="0"/>
          <w:sz w:val="20"/>
          <w:szCs w:val="20"/>
        </w:rPr>
        <w:t>Adjusted R² value was</w:t>
      </w:r>
      <w:r w:rsidRPr="00925CE0">
        <w:rPr>
          <w:rStyle w:val="Strong"/>
          <w:rFonts w:ascii="Arial" w:hAnsi="Arial" w:cs="Arial"/>
          <w:sz w:val="20"/>
          <w:szCs w:val="20"/>
        </w:rPr>
        <w:t xml:space="preserve"> </w:t>
      </w:r>
      <w:r w:rsidRPr="00925CE0">
        <w:rPr>
          <w:rFonts w:ascii="Arial" w:hAnsi="Arial" w:cs="Arial"/>
          <w:color w:val="000000"/>
          <w:sz w:val="20"/>
          <w:szCs w:val="20"/>
        </w:rPr>
        <w:t>0.971502</w:t>
      </w:r>
      <w:r w:rsidRPr="00925CE0">
        <w:rPr>
          <w:rFonts w:ascii="Arial" w:hAnsi="Arial" w:cs="Arial"/>
          <w:sz w:val="20"/>
          <w:szCs w:val="20"/>
        </w:rPr>
        <w:t xml:space="preserve">, which means that the independent variables in this study, namely digitalization and ownership structure, were able to explain the variation in financial constraints by </w:t>
      </w:r>
      <w:r w:rsidRPr="00E12271">
        <w:rPr>
          <w:rStyle w:val="Strong"/>
          <w:rFonts w:ascii="Arial" w:hAnsi="Arial" w:cs="Arial"/>
          <w:b w:val="0"/>
          <w:bCs w:val="0"/>
          <w:sz w:val="20"/>
          <w:szCs w:val="20"/>
        </w:rPr>
        <w:t>97.15%,</w:t>
      </w:r>
      <w:r w:rsidRPr="00925CE0">
        <w:rPr>
          <w:rFonts w:ascii="Arial" w:hAnsi="Arial" w:cs="Arial"/>
          <w:b/>
          <w:sz w:val="20"/>
          <w:szCs w:val="20"/>
        </w:rPr>
        <w:t xml:space="preserve"> </w:t>
      </w:r>
      <w:r w:rsidRPr="00925CE0">
        <w:rPr>
          <w:rFonts w:ascii="Arial" w:hAnsi="Arial" w:cs="Arial"/>
          <w:sz w:val="20"/>
          <w:szCs w:val="20"/>
        </w:rPr>
        <w:t xml:space="preserve">while the remaining </w:t>
      </w:r>
      <w:r w:rsidRPr="00E12271">
        <w:rPr>
          <w:rStyle w:val="Strong"/>
          <w:rFonts w:ascii="Arial" w:hAnsi="Arial" w:cs="Arial"/>
          <w:b w:val="0"/>
          <w:bCs w:val="0"/>
          <w:sz w:val="20"/>
          <w:szCs w:val="20"/>
        </w:rPr>
        <w:t>2.85%</w:t>
      </w:r>
      <w:r w:rsidRPr="00925CE0">
        <w:rPr>
          <w:rStyle w:val="Strong"/>
          <w:rFonts w:ascii="Arial" w:hAnsi="Arial" w:cs="Arial"/>
          <w:sz w:val="20"/>
          <w:szCs w:val="20"/>
        </w:rPr>
        <w:t xml:space="preserve"> </w:t>
      </w:r>
      <w:r w:rsidRPr="00925CE0">
        <w:rPr>
          <w:rFonts w:ascii="Arial" w:hAnsi="Arial" w:cs="Arial"/>
          <w:sz w:val="20"/>
          <w:szCs w:val="20"/>
        </w:rPr>
        <w:t>was explained by other variables outside the research model.</w:t>
      </w:r>
    </w:p>
    <w:p w14:paraId="446537B4" w14:textId="33B4D9B6"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w:t>
      </w:r>
      <w:r w:rsidR="00487E41">
        <w:rPr>
          <w:rFonts w:ascii="Arial" w:hAnsi="Arial" w:cs="Arial"/>
          <w:b/>
          <w:sz w:val="20"/>
          <w:szCs w:val="20"/>
        </w:rPr>
        <w:t>e</w:t>
      </w:r>
      <w:r w:rsidRPr="00925CE0">
        <w:rPr>
          <w:rFonts w:ascii="Arial" w:hAnsi="Arial" w:cs="Arial"/>
          <w:b/>
          <w:sz w:val="20"/>
          <w:szCs w:val="20"/>
        </w:rPr>
        <w:t xml:space="preserve"> 4 Goodness of Fit</w:t>
      </w:r>
    </w:p>
    <w:tbl>
      <w:tblPr>
        <w:tblW w:w="0" w:type="auto"/>
        <w:jc w:val="center"/>
        <w:tblCellMar>
          <w:left w:w="0" w:type="dxa"/>
          <w:right w:w="0" w:type="dxa"/>
        </w:tblCellMar>
        <w:tblLook w:val="01E0" w:firstRow="1" w:lastRow="1" w:firstColumn="1" w:lastColumn="1" w:noHBand="0" w:noVBand="0"/>
      </w:tblPr>
      <w:tblGrid>
        <w:gridCol w:w="2927"/>
        <w:gridCol w:w="848"/>
        <w:gridCol w:w="1173"/>
      </w:tblGrid>
      <w:tr w:rsidR="00925CE0" w:rsidRPr="00925CE0" w14:paraId="27DB17D8" w14:textId="77777777" w:rsidTr="0014249F">
        <w:trPr>
          <w:trHeight w:val="273"/>
          <w:jc w:val="center"/>
        </w:trPr>
        <w:tc>
          <w:tcPr>
            <w:tcW w:w="0" w:type="auto"/>
            <w:tcBorders>
              <w:top w:val="single" w:sz="4" w:space="0" w:color="auto"/>
              <w:bottom w:val="single" w:sz="4" w:space="0" w:color="auto"/>
            </w:tcBorders>
            <w:shd w:val="clear" w:color="auto" w:fill="D9D9D9" w:themeFill="background1" w:themeFillShade="D9"/>
            <w:vAlign w:val="center"/>
          </w:tcPr>
          <w:p w14:paraId="7A16DEEF" w14:textId="77777777" w:rsidR="00925CE0" w:rsidRPr="00925CE0" w:rsidRDefault="00925CE0" w:rsidP="00E12271">
            <w:pPr>
              <w:pStyle w:val="TableParagraph"/>
              <w:ind w:left="14"/>
              <w:jc w:val="center"/>
              <w:rPr>
                <w:rFonts w:ascii="Arial" w:hAnsi="Arial" w:cs="Arial"/>
                <w:b/>
                <w:sz w:val="20"/>
                <w:szCs w:val="20"/>
              </w:rPr>
            </w:pPr>
          </w:p>
        </w:tc>
        <w:tc>
          <w:tcPr>
            <w:tcW w:w="0" w:type="auto"/>
            <w:tcBorders>
              <w:top w:val="single" w:sz="4" w:space="0" w:color="auto"/>
              <w:bottom w:val="single" w:sz="4" w:space="0" w:color="auto"/>
            </w:tcBorders>
            <w:shd w:val="clear" w:color="auto" w:fill="D9D9D9" w:themeFill="background1" w:themeFillShade="D9"/>
            <w:vAlign w:val="center"/>
          </w:tcPr>
          <w:p w14:paraId="5A738244" w14:textId="77777777" w:rsidR="00925CE0" w:rsidRPr="00925CE0" w:rsidRDefault="00925CE0" w:rsidP="00E12271">
            <w:pPr>
              <w:pStyle w:val="TableParagraph"/>
              <w:ind w:left="13"/>
              <w:jc w:val="center"/>
              <w:rPr>
                <w:rFonts w:ascii="Arial" w:hAnsi="Arial" w:cs="Arial"/>
                <w:b/>
                <w:i/>
                <w:sz w:val="20"/>
                <w:szCs w:val="20"/>
              </w:rPr>
            </w:pPr>
            <w:r w:rsidRPr="00925CE0">
              <w:rPr>
                <w:rFonts w:ascii="Arial" w:hAnsi="Arial" w:cs="Arial"/>
                <w:b/>
                <w:i/>
                <w:spacing w:val="-5"/>
                <w:position w:val="-7"/>
                <w:sz w:val="20"/>
                <w:szCs w:val="20"/>
              </w:rPr>
              <w:t>R2</w:t>
            </w:r>
          </w:p>
        </w:tc>
        <w:tc>
          <w:tcPr>
            <w:tcW w:w="0" w:type="auto"/>
            <w:tcBorders>
              <w:top w:val="single" w:sz="4" w:space="0" w:color="auto"/>
              <w:bottom w:val="single" w:sz="4" w:space="0" w:color="auto"/>
            </w:tcBorders>
            <w:shd w:val="clear" w:color="auto" w:fill="D9D9D9" w:themeFill="background1" w:themeFillShade="D9"/>
            <w:vAlign w:val="center"/>
          </w:tcPr>
          <w:p w14:paraId="1C5945E5" w14:textId="77777777" w:rsidR="00925CE0" w:rsidRPr="00925CE0" w:rsidRDefault="00925CE0" w:rsidP="00E12271">
            <w:pPr>
              <w:pStyle w:val="TableParagraph"/>
              <w:ind w:left="5" w:right="1"/>
              <w:jc w:val="center"/>
              <w:rPr>
                <w:rFonts w:ascii="Arial" w:hAnsi="Arial" w:cs="Arial"/>
                <w:b/>
                <w:i/>
                <w:sz w:val="20"/>
                <w:szCs w:val="20"/>
              </w:rPr>
            </w:pPr>
            <w:r w:rsidRPr="00925CE0">
              <w:rPr>
                <w:rFonts w:ascii="Arial" w:hAnsi="Arial" w:cs="Arial"/>
                <w:b/>
                <w:i/>
                <w:sz w:val="20"/>
                <w:szCs w:val="20"/>
              </w:rPr>
              <w:t>Adjusted R2</w:t>
            </w:r>
          </w:p>
        </w:tc>
      </w:tr>
      <w:tr w:rsidR="00925CE0" w:rsidRPr="00925CE0" w14:paraId="23013202" w14:textId="77777777" w:rsidTr="0014249F">
        <w:trPr>
          <w:trHeight w:val="233"/>
          <w:jc w:val="center"/>
        </w:trPr>
        <w:tc>
          <w:tcPr>
            <w:tcW w:w="0" w:type="auto"/>
            <w:tcBorders>
              <w:top w:val="single" w:sz="4" w:space="0" w:color="auto"/>
              <w:bottom w:val="single" w:sz="4" w:space="0" w:color="auto"/>
            </w:tcBorders>
            <w:vAlign w:val="center"/>
          </w:tcPr>
          <w:p w14:paraId="1B2E6F0C" w14:textId="77777777" w:rsidR="00925CE0" w:rsidRPr="00925CE0" w:rsidRDefault="00925CE0" w:rsidP="00E12271">
            <w:pPr>
              <w:pStyle w:val="TableParagraph"/>
              <w:ind w:left="14"/>
              <w:jc w:val="center"/>
              <w:rPr>
                <w:rFonts w:ascii="Arial" w:hAnsi="Arial" w:cs="Arial"/>
                <w:sz w:val="20"/>
                <w:szCs w:val="20"/>
              </w:rPr>
            </w:pPr>
            <w:r w:rsidRPr="00925CE0">
              <w:rPr>
                <w:rFonts w:ascii="Arial" w:hAnsi="Arial" w:cs="Arial"/>
                <w:bCs/>
                <w:sz w:val="20"/>
                <w:szCs w:val="20"/>
              </w:rPr>
              <w:t>Coefficient of Determination (R2)</w:t>
            </w:r>
          </w:p>
        </w:tc>
        <w:tc>
          <w:tcPr>
            <w:tcW w:w="0" w:type="auto"/>
            <w:tcBorders>
              <w:top w:val="single" w:sz="4" w:space="0" w:color="auto"/>
              <w:bottom w:val="single" w:sz="4" w:space="0" w:color="auto"/>
            </w:tcBorders>
            <w:vAlign w:val="center"/>
          </w:tcPr>
          <w:p w14:paraId="5F66CDF7" w14:textId="77777777" w:rsidR="00925CE0" w:rsidRPr="00925CE0" w:rsidRDefault="00925CE0" w:rsidP="00E12271">
            <w:pPr>
              <w:pStyle w:val="TableParagraph"/>
              <w:ind w:left="13"/>
              <w:jc w:val="center"/>
              <w:rPr>
                <w:rFonts w:ascii="Arial" w:hAnsi="Arial" w:cs="Arial"/>
                <w:sz w:val="20"/>
                <w:szCs w:val="20"/>
              </w:rPr>
            </w:pPr>
            <w:r w:rsidRPr="00925CE0">
              <w:rPr>
                <w:rFonts w:ascii="Arial" w:hAnsi="Arial" w:cs="Arial"/>
                <w:color w:val="000000"/>
                <w:sz w:val="20"/>
                <w:szCs w:val="20"/>
              </w:rPr>
              <w:t>0.977509</w:t>
            </w:r>
          </w:p>
        </w:tc>
        <w:tc>
          <w:tcPr>
            <w:tcW w:w="0" w:type="auto"/>
            <w:tcBorders>
              <w:top w:val="single" w:sz="4" w:space="0" w:color="auto"/>
              <w:bottom w:val="single" w:sz="4" w:space="0" w:color="auto"/>
            </w:tcBorders>
            <w:vAlign w:val="center"/>
          </w:tcPr>
          <w:p w14:paraId="05F855D3" w14:textId="77777777" w:rsidR="00925CE0" w:rsidRPr="00925CE0" w:rsidRDefault="00925CE0" w:rsidP="00E12271">
            <w:pPr>
              <w:pStyle w:val="TableParagraph"/>
              <w:ind w:left="5"/>
              <w:jc w:val="center"/>
              <w:rPr>
                <w:rFonts w:ascii="Arial" w:hAnsi="Arial" w:cs="Arial"/>
                <w:sz w:val="20"/>
                <w:szCs w:val="20"/>
              </w:rPr>
            </w:pPr>
            <w:r w:rsidRPr="00925CE0">
              <w:rPr>
                <w:rFonts w:ascii="Arial" w:hAnsi="Arial" w:cs="Arial"/>
                <w:color w:val="000000"/>
                <w:sz w:val="20"/>
                <w:szCs w:val="20"/>
              </w:rPr>
              <w:t>0.971502</w:t>
            </w:r>
          </w:p>
        </w:tc>
      </w:tr>
    </w:tbl>
    <w:p w14:paraId="7FE82C99" w14:textId="77777777" w:rsidR="00925CE0" w:rsidRPr="0014249F" w:rsidRDefault="00925CE0" w:rsidP="00E16AAC">
      <w:pPr>
        <w:pStyle w:val="ListParagraph"/>
        <w:spacing w:after="0" w:line="240" w:lineRule="auto"/>
        <w:ind w:left="810"/>
        <w:jc w:val="center"/>
        <w:rPr>
          <w:rFonts w:ascii="Arial" w:hAnsi="Arial" w:cs="Arial"/>
          <w:b/>
          <w:sz w:val="18"/>
          <w:szCs w:val="18"/>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903DA6D"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3DF505A" w14:textId="77777777" w:rsidR="00925CE0" w:rsidRPr="00925CE0" w:rsidRDefault="00925CE0" w:rsidP="0089708E">
      <w:pPr>
        <w:pStyle w:val="ListParagraph"/>
        <w:spacing w:after="0" w:line="240" w:lineRule="auto"/>
        <w:ind w:left="0" w:firstLine="567"/>
        <w:jc w:val="both"/>
        <w:rPr>
          <w:rFonts w:ascii="Arial" w:hAnsi="Arial" w:cs="Arial"/>
          <w:b/>
          <w:sz w:val="20"/>
          <w:szCs w:val="20"/>
        </w:rPr>
      </w:pPr>
      <w:r w:rsidRPr="00925CE0">
        <w:rPr>
          <w:rFonts w:ascii="Arial" w:hAnsi="Arial" w:cs="Arial"/>
          <w:sz w:val="20"/>
          <w:szCs w:val="20"/>
        </w:rPr>
        <w:t xml:space="preserve">The F test is used to find out whether independent variables simultaneously affect dependent variables. The test results show </w:t>
      </w:r>
      <w:proofErr w:type="gramStart"/>
      <w:r w:rsidRPr="00925CE0">
        <w:rPr>
          <w:rFonts w:ascii="Arial" w:hAnsi="Arial" w:cs="Arial"/>
          <w:sz w:val="20"/>
          <w:szCs w:val="20"/>
        </w:rPr>
        <w:t>that  the</w:t>
      </w:r>
      <w:proofErr w:type="gramEnd"/>
      <w:r w:rsidRPr="00925CE0">
        <w:rPr>
          <w:rFonts w:ascii="Arial" w:hAnsi="Arial" w:cs="Arial"/>
          <w:sz w:val="20"/>
          <w:szCs w:val="20"/>
        </w:rPr>
        <w:t xml:space="preserve"> </w:t>
      </w:r>
      <w:r w:rsidRPr="00E12271">
        <w:rPr>
          <w:rStyle w:val="Strong"/>
          <w:rFonts w:ascii="Arial" w:hAnsi="Arial" w:cs="Arial"/>
          <w:b w:val="0"/>
          <w:bCs w:val="0"/>
          <w:sz w:val="20"/>
          <w:szCs w:val="20"/>
        </w:rPr>
        <w:t>F-statistical probability value is 0.0000 &lt; 0.05</w:t>
      </w:r>
      <w:r w:rsidRPr="00925CE0">
        <w:rPr>
          <w:rFonts w:ascii="Arial" w:hAnsi="Arial" w:cs="Arial"/>
          <w:sz w:val="20"/>
          <w:szCs w:val="20"/>
        </w:rPr>
        <w:t xml:space="preserve">, so it can be concluded that the independent variables in this study together have a significant effect on financial constraints. Thus, the regression model used in this study is declared </w:t>
      </w:r>
      <w:r w:rsidRPr="00E12271">
        <w:rPr>
          <w:rStyle w:val="Strong"/>
          <w:rFonts w:ascii="Arial" w:hAnsi="Arial" w:cs="Arial"/>
          <w:b w:val="0"/>
          <w:bCs w:val="0"/>
          <w:sz w:val="20"/>
          <w:szCs w:val="20"/>
        </w:rPr>
        <w:t>feasible for use in the research analysis.</w:t>
      </w:r>
    </w:p>
    <w:p w14:paraId="591A74D8"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67016EE3" w14:textId="3164F3EE" w:rsidR="00925CE0" w:rsidRPr="00925CE0" w:rsidRDefault="00487E41" w:rsidP="00716165">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w:t>
      </w:r>
      <w:r>
        <w:rPr>
          <w:rFonts w:ascii="Arial" w:hAnsi="Arial" w:cs="Arial"/>
          <w:b/>
          <w:sz w:val="20"/>
          <w:szCs w:val="20"/>
        </w:rPr>
        <w:t>e</w:t>
      </w:r>
      <w:r w:rsidRPr="00925CE0">
        <w:rPr>
          <w:rFonts w:ascii="Arial" w:hAnsi="Arial" w:cs="Arial"/>
          <w:b/>
          <w:sz w:val="20"/>
          <w:szCs w:val="20"/>
        </w:rPr>
        <w:t xml:space="preserve"> </w:t>
      </w:r>
      <w:r w:rsidR="00925CE0" w:rsidRPr="00925CE0">
        <w:rPr>
          <w:rFonts w:ascii="Arial" w:hAnsi="Arial" w:cs="Arial"/>
          <w:b/>
          <w:sz w:val="20"/>
          <w:szCs w:val="20"/>
        </w:rPr>
        <w:t>5 F-Statistic Test</w:t>
      </w:r>
    </w:p>
    <w:tbl>
      <w:tblPr>
        <w:tblW w:w="0" w:type="auto"/>
        <w:jc w:val="center"/>
        <w:tblCellMar>
          <w:left w:w="0" w:type="dxa"/>
          <w:right w:w="0" w:type="dxa"/>
        </w:tblCellMar>
        <w:tblLook w:val="01E0" w:firstRow="1" w:lastRow="1" w:firstColumn="1" w:lastColumn="1" w:noHBand="0" w:noVBand="0"/>
      </w:tblPr>
      <w:tblGrid>
        <w:gridCol w:w="881"/>
        <w:gridCol w:w="958"/>
        <w:gridCol w:w="613"/>
        <w:gridCol w:w="1032"/>
      </w:tblGrid>
      <w:tr w:rsidR="00925CE0" w:rsidRPr="00925CE0" w14:paraId="292B3EF1" w14:textId="77777777" w:rsidTr="0089708E">
        <w:trPr>
          <w:trHeight w:val="240"/>
          <w:jc w:val="center"/>
        </w:trPr>
        <w:tc>
          <w:tcPr>
            <w:tcW w:w="0" w:type="auto"/>
            <w:tcBorders>
              <w:top w:val="single" w:sz="4" w:space="0" w:color="auto"/>
              <w:bottom w:val="single" w:sz="4" w:space="0" w:color="auto"/>
            </w:tcBorders>
            <w:shd w:val="clear" w:color="auto" w:fill="D9D9D9" w:themeFill="background1" w:themeFillShade="D9"/>
          </w:tcPr>
          <w:p w14:paraId="3D07F44C" w14:textId="77777777" w:rsidR="00925CE0" w:rsidRPr="00925CE0" w:rsidRDefault="00925CE0" w:rsidP="00925CE0">
            <w:pPr>
              <w:pStyle w:val="TableParagraph"/>
              <w:ind w:left="14"/>
              <w:jc w:val="center"/>
              <w:rPr>
                <w:rFonts w:ascii="Arial" w:hAnsi="Arial" w:cs="Arial"/>
                <w:b/>
                <w:sz w:val="20"/>
                <w:szCs w:val="20"/>
              </w:rPr>
            </w:pPr>
          </w:p>
        </w:tc>
        <w:tc>
          <w:tcPr>
            <w:tcW w:w="0" w:type="auto"/>
            <w:tcBorders>
              <w:top w:val="single" w:sz="4" w:space="0" w:color="auto"/>
              <w:bottom w:val="single" w:sz="4" w:space="0" w:color="auto"/>
            </w:tcBorders>
            <w:shd w:val="clear" w:color="auto" w:fill="D9D9D9" w:themeFill="background1" w:themeFillShade="D9"/>
          </w:tcPr>
          <w:p w14:paraId="7533EEC8"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z w:val="20"/>
                <w:szCs w:val="20"/>
              </w:rPr>
              <w:t>F-statistic</w:t>
            </w:r>
          </w:p>
        </w:tc>
        <w:tc>
          <w:tcPr>
            <w:tcW w:w="0" w:type="auto"/>
            <w:tcBorders>
              <w:top w:val="single" w:sz="4" w:space="0" w:color="auto"/>
              <w:bottom w:val="single" w:sz="4" w:space="0" w:color="auto"/>
            </w:tcBorders>
            <w:shd w:val="clear" w:color="auto" w:fill="D9D9D9" w:themeFill="background1" w:themeFillShade="D9"/>
          </w:tcPr>
          <w:p w14:paraId="645C736D"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0" w:type="auto"/>
            <w:tcBorders>
              <w:top w:val="single" w:sz="4" w:space="0" w:color="auto"/>
              <w:bottom w:val="single" w:sz="4" w:space="0" w:color="auto"/>
            </w:tcBorders>
            <w:shd w:val="clear" w:color="auto" w:fill="D9D9D9" w:themeFill="background1" w:themeFillShade="D9"/>
          </w:tcPr>
          <w:p w14:paraId="49C517B4"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r>
      <w:tr w:rsidR="00925CE0" w:rsidRPr="00925CE0" w14:paraId="28775DC4" w14:textId="77777777" w:rsidTr="0089708E">
        <w:trPr>
          <w:trHeight w:val="278"/>
          <w:jc w:val="center"/>
        </w:trPr>
        <w:tc>
          <w:tcPr>
            <w:tcW w:w="0" w:type="auto"/>
            <w:tcBorders>
              <w:bottom w:val="single" w:sz="4" w:space="0" w:color="auto"/>
            </w:tcBorders>
          </w:tcPr>
          <w:p w14:paraId="7B1A6243"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F-Statistic</w:t>
            </w:r>
          </w:p>
        </w:tc>
        <w:tc>
          <w:tcPr>
            <w:tcW w:w="0" w:type="auto"/>
            <w:tcBorders>
              <w:bottom w:val="single" w:sz="4" w:space="0" w:color="auto"/>
            </w:tcBorders>
          </w:tcPr>
          <w:p w14:paraId="3E38A5D1"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color w:val="000000"/>
                <w:sz w:val="20"/>
                <w:szCs w:val="20"/>
              </w:rPr>
              <w:t>162.7276</w:t>
            </w:r>
          </w:p>
        </w:tc>
        <w:tc>
          <w:tcPr>
            <w:tcW w:w="0" w:type="auto"/>
            <w:tcBorders>
              <w:bottom w:val="single" w:sz="4" w:space="0" w:color="auto"/>
            </w:tcBorders>
          </w:tcPr>
          <w:p w14:paraId="1E3E17F9"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0,0000</w:t>
            </w:r>
          </w:p>
        </w:tc>
        <w:tc>
          <w:tcPr>
            <w:tcW w:w="0" w:type="auto"/>
            <w:tcBorders>
              <w:bottom w:val="single" w:sz="4" w:space="0" w:color="auto"/>
            </w:tcBorders>
          </w:tcPr>
          <w:p w14:paraId="4F2A6527" w14:textId="77777777" w:rsidR="00925CE0" w:rsidRPr="00925CE0" w:rsidRDefault="00925CE0" w:rsidP="00925CE0">
            <w:pPr>
              <w:pStyle w:val="TableParagraph"/>
              <w:ind w:left="9"/>
              <w:jc w:val="center"/>
              <w:rPr>
                <w:rFonts w:ascii="Arial" w:hAnsi="Arial" w:cs="Arial"/>
                <w:sz w:val="20"/>
                <w:szCs w:val="20"/>
              </w:rPr>
            </w:pPr>
            <w:r w:rsidRPr="00925CE0">
              <w:rPr>
                <w:rFonts w:ascii="Arial" w:hAnsi="Arial" w:cs="Arial"/>
                <w:sz w:val="20"/>
                <w:szCs w:val="20"/>
              </w:rPr>
              <w:t>H0 rejected</w:t>
            </w:r>
          </w:p>
        </w:tc>
      </w:tr>
    </w:tbl>
    <w:p w14:paraId="0654DE74" w14:textId="77777777" w:rsidR="00925CE0" w:rsidRPr="00925CE0" w:rsidRDefault="00925CE0" w:rsidP="0089708E">
      <w:pPr>
        <w:pStyle w:val="ListParagraph"/>
        <w:spacing w:after="0" w:line="240" w:lineRule="auto"/>
        <w:ind w:left="810"/>
        <w:jc w:val="center"/>
        <w:rPr>
          <w:rFonts w:ascii="Arial" w:hAnsi="Arial" w:cs="Arial"/>
          <w:b/>
          <w:sz w:val="20"/>
          <w:szCs w:val="20"/>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0E6CF1A"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31A3CC72" w14:textId="77777777" w:rsidR="00925CE0" w:rsidRPr="00925CE0" w:rsidRDefault="00925CE0" w:rsidP="0089708E">
      <w:pPr>
        <w:pStyle w:val="ListParagraph"/>
        <w:spacing w:after="0" w:line="240" w:lineRule="auto"/>
        <w:ind w:left="0" w:firstLine="567"/>
        <w:jc w:val="both"/>
        <w:rPr>
          <w:rFonts w:ascii="Arial" w:hAnsi="Arial" w:cs="Arial"/>
          <w:b/>
          <w:sz w:val="20"/>
          <w:szCs w:val="20"/>
        </w:rPr>
      </w:pPr>
      <w:r w:rsidRPr="00925CE0">
        <w:rPr>
          <w:rFonts w:ascii="Arial" w:hAnsi="Arial" w:cs="Arial"/>
          <w:sz w:val="20"/>
          <w:szCs w:val="20"/>
        </w:rPr>
        <w:t xml:space="preserve">Descriptive statistics are used to provide an overview of the characteristics of the research data. Based on the results of descriptive statistical analysis, the average value of </w:t>
      </w:r>
      <w:r w:rsidRPr="00925CE0">
        <w:rPr>
          <w:rFonts w:ascii="Arial" w:hAnsi="Arial" w:cs="Arial"/>
          <w:i/>
          <w:iCs/>
          <w:sz w:val="20"/>
          <w:szCs w:val="20"/>
        </w:rPr>
        <w:t xml:space="preserve">financial constraints </w:t>
      </w:r>
      <w:r w:rsidRPr="00925CE0">
        <w:rPr>
          <w:rFonts w:ascii="Arial" w:hAnsi="Arial" w:cs="Arial"/>
          <w:sz w:val="20"/>
          <w:szCs w:val="20"/>
        </w:rPr>
        <w:t>showed considerable variation between companies during the study period. This shows that the level of funding limitations of non-financial companies in Indonesia varies quite widely. In addition, independent variables such as digitalization and ownership structures show different variations between companies, reflecting differences in corporate policies in managing resources, corporate governance, and business strategies during the study period.</w:t>
      </w:r>
    </w:p>
    <w:p w14:paraId="73E70D80" w14:textId="77777777" w:rsidR="00925CE0" w:rsidRPr="00925CE0" w:rsidRDefault="00925CE0" w:rsidP="00925CE0">
      <w:pPr>
        <w:rPr>
          <w:rFonts w:ascii="Arial" w:hAnsi="Arial" w:cs="Arial"/>
          <w:b/>
        </w:rPr>
      </w:pPr>
    </w:p>
    <w:p w14:paraId="01FDD5E9" w14:textId="77777777" w:rsidR="00925CE0" w:rsidRPr="00925CE0" w:rsidRDefault="00925CE0" w:rsidP="0089708E">
      <w:pPr>
        <w:jc w:val="center"/>
        <w:rPr>
          <w:rFonts w:ascii="Arial" w:hAnsi="Arial" w:cs="Arial"/>
          <w:b/>
        </w:rPr>
      </w:pPr>
      <w:r w:rsidRPr="00925CE0">
        <w:rPr>
          <w:rFonts w:ascii="Arial" w:hAnsi="Arial" w:cs="Arial"/>
          <w:b/>
        </w:rPr>
        <w:t>Table 6 Descriptive Statistics</w:t>
      </w:r>
    </w:p>
    <w:tbl>
      <w:tblPr>
        <w:tblW w:w="6300" w:type="dxa"/>
        <w:jc w:val="center"/>
        <w:tblLayout w:type="fixed"/>
        <w:tblCellMar>
          <w:left w:w="0" w:type="dxa"/>
          <w:right w:w="0" w:type="dxa"/>
        </w:tblCellMar>
        <w:tblLook w:val="01E0" w:firstRow="1" w:lastRow="1" w:firstColumn="1" w:lastColumn="1" w:noHBand="0" w:noVBand="0"/>
      </w:tblPr>
      <w:tblGrid>
        <w:gridCol w:w="990"/>
        <w:gridCol w:w="540"/>
        <w:gridCol w:w="1080"/>
        <w:gridCol w:w="1080"/>
        <w:gridCol w:w="1170"/>
        <w:gridCol w:w="1440"/>
      </w:tblGrid>
      <w:tr w:rsidR="00925CE0" w:rsidRPr="00925CE0" w14:paraId="7736B846" w14:textId="77777777" w:rsidTr="0089708E">
        <w:trPr>
          <w:trHeight w:val="273"/>
          <w:jc w:val="center"/>
        </w:trPr>
        <w:tc>
          <w:tcPr>
            <w:tcW w:w="990" w:type="dxa"/>
            <w:tcBorders>
              <w:top w:val="single" w:sz="4" w:space="0" w:color="auto"/>
              <w:bottom w:val="single" w:sz="4" w:space="0" w:color="auto"/>
            </w:tcBorders>
            <w:shd w:val="clear" w:color="auto" w:fill="D9D9D9" w:themeFill="background1" w:themeFillShade="D9"/>
          </w:tcPr>
          <w:p w14:paraId="020404D2" w14:textId="77777777" w:rsidR="00925CE0" w:rsidRPr="00925CE0" w:rsidRDefault="00925CE0" w:rsidP="00925CE0">
            <w:pPr>
              <w:pStyle w:val="TableParagraph"/>
              <w:ind w:left="15"/>
              <w:jc w:val="center"/>
              <w:rPr>
                <w:rFonts w:ascii="Arial" w:hAnsi="Arial" w:cs="Arial"/>
                <w:b/>
                <w:sz w:val="20"/>
                <w:szCs w:val="20"/>
              </w:rPr>
            </w:pPr>
            <w:r w:rsidRPr="00925CE0">
              <w:rPr>
                <w:rFonts w:ascii="Arial" w:hAnsi="Arial" w:cs="Arial"/>
                <w:b/>
                <w:spacing w:val="-2"/>
                <w:sz w:val="20"/>
                <w:szCs w:val="20"/>
              </w:rPr>
              <w:t>Variabel</w:t>
            </w:r>
          </w:p>
        </w:tc>
        <w:tc>
          <w:tcPr>
            <w:tcW w:w="540" w:type="dxa"/>
            <w:tcBorders>
              <w:top w:val="single" w:sz="4" w:space="0" w:color="auto"/>
              <w:bottom w:val="single" w:sz="4" w:space="0" w:color="auto"/>
            </w:tcBorders>
            <w:shd w:val="clear" w:color="auto" w:fill="D9D9D9" w:themeFill="background1" w:themeFillShade="D9"/>
          </w:tcPr>
          <w:p w14:paraId="6F39901B"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10"/>
                <w:sz w:val="20"/>
                <w:szCs w:val="20"/>
              </w:rPr>
              <w:t>N</w:t>
            </w:r>
          </w:p>
        </w:tc>
        <w:tc>
          <w:tcPr>
            <w:tcW w:w="1080" w:type="dxa"/>
            <w:tcBorders>
              <w:top w:val="single" w:sz="4" w:space="0" w:color="auto"/>
              <w:bottom w:val="single" w:sz="4" w:space="0" w:color="auto"/>
            </w:tcBorders>
            <w:shd w:val="clear" w:color="auto" w:fill="D9D9D9" w:themeFill="background1" w:themeFillShade="D9"/>
          </w:tcPr>
          <w:p w14:paraId="0E5A45E8" w14:textId="77777777" w:rsidR="00925CE0" w:rsidRPr="00925CE0" w:rsidRDefault="00925CE0" w:rsidP="00925CE0">
            <w:pPr>
              <w:pStyle w:val="TableParagraph"/>
              <w:ind w:left="15" w:right="2"/>
              <w:jc w:val="center"/>
              <w:rPr>
                <w:rFonts w:ascii="Arial" w:hAnsi="Arial" w:cs="Arial"/>
                <w:b/>
                <w:sz w:val="20"/>
                <w:szCs w:val="20"/>
              </w:rPr>
            </w:pPr>
            <w:r w:rsidRPr="00925CE0">
              <w:rPr>
                <w:rFonts w:ascii="Arial" w:hAnsi="Arial" w:cs="Arial"/>
                <w:b/>
                <w:spacing w:val="-4"/>
                <w:sz w:val="20"/>
                <w:szCs w:val="20"/>
              </w:rPr>
              <w:t>Mean</w:t>
            </w:r>
          </w:p>
        </w:tc>
        <w:tc>
          <w:tcPr>
            <w:tcW w:w="1080" w:type="dxa"/>
            <w:tcBorders>
              <w:top w:val="single" w:sz="4" w:space="0" w:color="auto"/>
              <w:bottom w:val="single" w:sz="4" w:space="0" w:color="auto"/>
            </w:tcBorders>
            <w:shd w:val="clear" w:color="auto" w:fill="D9D9D9" w:themeFill="background1" w:themeFillShade="D9"/>
          </w:tcPr>
          <w:p w14:paraId="3838890F" w14:textId="77777777" w:rsidR="00925CE0" w:rsidRPr="00925CE0" w:rsidRDefault="00925CE0" w:rsidP="00925CE0">
            <w:pPr>
              <w:pStyle w:val="TableParagraph"/>
              <w:ind w:left="71" w:right="55"/>
              <w:jc w:val="center"/>
              <w:rPr>
                <w:rFonts w:ascii="Arial" w:hAnsi="Arial" w:cs="Arial"/>
                <w:b/>
                <w:sz w:val="20"/>
                <w:szCs w:val="20"/>
              </w:rPr>
            </w:pPr>
            <w:r w:rsidRPr="00925CE0">
              <w:rPr>
                <w:rFonts w:ascii="Arial" w:hAnsi="Arial" w:cs="Arial"/>
                <w:b/>
                <w:spacing w:val="-2"/>
                <w:sz w:val="20"/>
                <w:szCs w:val="20"/>
              </w:rPr>
              <w:t>Maximum</w:t>
            </w:r>
          </w:p>
        </w:tc>
        <w:tc>
          <w:tcPr>
            <w:tcW w:w="1170" w:type="dxa"/>
            <w:tcBorders>
              <w:top w:val="single" w:sz="4" w:space="0" w:color="auto"/>
              <w:bottom w:val="single" w:sz="4" w:space="0" w:color="auto"/>
            </w:tcBorders>
            <w:shd w:val="clear" w:color="auto" w:fill="D9D9D9" w:themeFill="background1" w:themeFillShade="D9"/>
          </w:tcPr>
          <w:p w14:paraId="6BEECBA1" w14:textId="77777777" w:rsidR="00925CE0" w:rsidRPr="00925CE0" w:rsidRDefault="00925CE0" w:rsidP="00925CE0">
            <w:pPr>
              <w:pStyle w:val="TableParagraph"/>
              <w:ind w:left="67" w:right="55"/>
              <w:jc w:val="center"/>
              <w:rPr>
                <w:rFonts w:ascii="Arial" w:hAnsi="Arial" w:cs="Arial"/>
                <w:b/>
                <w:sz w:val="20"/>
                <w:szCs w:val="20"/>
              </w:rPr>
            </w:pPr>
            <w:r w:rsidRPr="00925CE0">
              <w:rPr>
                <w:rFonts w:ascii="Arial" w:hAnsi="Arial" w:cs="Arial"/>
                <w:b/>
                <w:spacing w:val="-2"/>
                <w:sz w:val="20"/>
                <w:szCs w:val="20"/>
              </w:rPr>
              <w:t>Minimum</w:t>
            </w:r>
          </w:p>
        </w:tc>
        <w:tc>
          <w:tcPr>
            <w:tcW w:w="1440" w:type="dxa"/>
            <w:tcBorders>
              <w:top w:val="single" w:sz="4" w:space="0" w:color="auto"/>
              <w:bottom w:val="single" w:sz="4" w:space="0" w:color="auto"/>
            </w:tcBorders>
            <w:shd w:val="clear" w:color="auto" w:fill="D9D9D9" w:themeFill="background1" w:themeFillShade="D9"/>
          </w:tcPr>
          <w:p w14:paraId="4306CEC2" w14:textId="77777777" w:rsidR="00925CE0" w:rsidRPr="00925CE0" w:rsidRDefault="00925CE0" w:rsidP="00925CE0">
            <w:pPr>
              <w:pStyle w:val="TableParagraph"/>
              <w:ind w:left="70" w:right="55"/>
              <w:jc w:val="center"/>
              <w:rPr>
                <w:rFonts w:ascii="Arial" w:hAnsi="Arial" w:cs="Arial"/>
                <w:b/>
                <w:sz w:val="20"/>
                <w:szCs w:val="20"/>
              </w:rPr>
            </w:pPr>
            <w:r w:rsidRPr="00925CE0">
              <w:rPr>
                <w:rFonts w:ascii="Arial" w:hAnsi="Arial" w:cs="Arial"/>
                <w:b/>
                <w:spacing w:val="-2"/>
                <w:sz w:val="20"/>
                <w:szCs w:val="20"/>
              </w:rPr>
              <w:t>Std.Deviation</w:t>
            </w:r>
          </w:p>
        </w:tc>
      </w:tr>
      <w:tr w:rsidR="00925CE0" w:rsidRPr="00925CE0" w14:paraId="5EB0995A" w14:textId="77777777" w:rsidTr="0089708E">
        <w:trPr>
          <w:trHeight w:val="277"/>
          <w:jc w:val="center"/>
        </w:trPr>
        <w:tc>
          <w:tcPr>
            <w:tcW w:w="990" w:type="dxa"/>
            <w:tcBorders>
              <w:top w:val="single" w:sz="4" w:space="0" w:color="auto"/>
            </w:tcBorders>
          </w:tcPr>
          <w:p w14:paraId="0948406E"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FC</w:t>
            </w:r>
          </w:p>
        </w:tc>
        <w:tc>
          <w:tcPr>
            <w:tcW w:w="540" w:type="dxa"/>
            <w:tcBorders>
              <w:top w:val="single" w:sz="4" w:space="0" w:color="auto"/>
            </w:tcBorders>
          </w:tcPr>
          <w:p w14:paraId="33DC7E20"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Borders>
              <w:top w:val="single" w:sz="4" w:space="0" w:color="auto"/>
            </w:tcBorders>
          </w:tcPr>
          <w:p w14:paraId="2CDF5403" w14:textId="77777777" w:rsidR="00925CE0" w:rsidRPr="00925CE0" w:rsidRDefault="00925CE0" w:rsidP="00925CE0">
            <w:pPr>
              <w:pStyle w:val="TableParagraph"/>
              <w:ind w:left="13" w:right="15"/>
              <w:jc w:val="center"/>
              <w:rPr>
                <w:rFonts w:ascii="Arial" w:hAnsi="Arial" w:cs="Arial"/>
                <w:sz w:val="20"/>
                <w:szCs w:val="20"/>
              </w:rPr>
            </w:pPr>
            <w:r w:rsidRPr="00925CE0">
              <w:rPr>
                <w:rFonts w:ascii="Arial" w:hAnsi="Arial" w:cs="Arial"/>
                <w:spacing w:val="-2"/>
                <w:sz w:val="20"/>
                <w:szCs w:val="20"/>
              </w:rPr>
              <w:t>-0.986349</w:t>
            </w:r>
          </w:p>
        </w:tc>
        <w:tc>
          <w:tcPr>
            <w:tcW w:w="1080" w:type="dxa"/>
            <w:tcBorders>
              <w:top w:val="single" w:sz="4" w:space="0" w:color="auto"/>
            </w:tcBorders>
          </w:tcPr>
          <w:p w14:paraId="0EA6CE62" w14:textId="77777777" w:rsidR="00925CE0" w:rsidRPr="00925CE0" w:rsidRDefault="00925CE0" w:rsidP="00925CE0">
            <w:pPr>
              <w:pStyle w:val="TableParagraph"/>
              <w:ind w:left="131"/>
              <w:jc w:val="center"/>
              <w:rPr>
                <w:rFonts w:ascii="Arial" w:hAnsi="Arial" w:cs="Arial"/>
                <w:sz w:val="20"/>
                <w:szCs w:val="20"/>
              </w:rPr>
            </w:pPr>
            <w:r w:rsidRPr="00925CE0">
              <w:rPr>
                <w:rFonts w:ascii="Arial" w:hAnsi="Arial" w:cs="Arial"/>
                <w:spacing w:val="-2"/>
                <w:sz w:val="20"/>
                <w:szCs w:val="20"/>
              </w:rPr>
              <w:t>1.616800</w:t>
            </w:r>
          </w:p>
        </w:tc>
        <w:tc>
          <w:tcPr>
            <w:tcW w:w="1170" w:type="dxa"/>
            <w:tcBorders>
              <w:top w:val="single" w:sz="4" w:space="0" w:color="auto"/>
            </w:tcBorders>
          </w:tcPr>
          <w:p w14:paraId="30485088" w14:textId="77777777" w:rsidR="00925CE0" w:rsidRPr="00925CE0" w:rsidRDefault="00925CE0" w:rsidP="00925CE0">
            <w:pPr>
              <w:pStyle w:val="TableParagraph"/>
              <w:ind w:left="67" w:right="55"/>
              <w:jc w:val="center"/>
              <w:rPr>
                <w:rFonts w:ascii="Arial" w:hAnsi="Arial" w:cs="Arial"/>
                <w:sz w:val="20"/>
                <w:szCs w:val="20"/>
              </w:rPr>
            </w:pPr>
            <w:r w:rsidRPr="00925CE0">
              <w:rPr>
                <w:rFonts w:ascii="Arial" w:hAnsi="Arial" w:cs="Arial"/>
                <w:spacing w:val="-2"/>
                <w:sz w:val="20"/>
                <w:szCs w:val="20"/>
              </w:rPr>
              <w:t>-10.14340</w:t>
            </w:r>
          </w:p>
        </w:tc>
        <w:tc>
          <w:tcPr>
            <w:tcW w:w="1440" w:type="dxa"/>
            <w:tcBorders>
              <w:top w:val="single" w:sz="4" w:space="0" w:color="auto"/>
            </w:tcBorders>
          </w:tcPr>
          <w:p w14:paraId="61463D75" w14:textId="77777777" w:rsidR="00925CE0" w:rsidRPr="00925CE0" w:rsidRDefault="00925CE0" w:rsidP="00925CE0">
            <w:pPr>
              <w:pStyle w:val="TableParagraph"/>
              <w:ind w:left="70"/>
              <w:jc w:val="center"/>
              <w:rPr>
                <w:rFonts w:ascii="Arial" w:hAnsi="Arial" w:cs="Arial"/>
                <w:sz w:val="20"/>
                <w:szCs w:val="20"/>
              </w:rPr>
            </w:pPr>
            <w:r w:rsidRPr="00925CE0">
              <w:rPr>
                <w:rFonts w:ascii="Arial" w:hAnsi="Arial" w:cs="Arial"/>
                <w:spacing w:val="-2"/>
                <w:sz w:val="20"/>
                <w:szCs w:val="20"/>
              </w:rPr>
              <w:t>2.169150</w:t>
            </w:r>
          </w:p>
        </w:tc>
      </w:tr>
      <w:tr w:rsidR="00925CE0" w:rsidRPr="00925CE0" w14:paraId="0E6BE808" w14:textId="77777777" w:rsidTr="0089708E">
        <w:trPr>
          <w:trHeight w:val="277"/>
          <w:jc w:val="center"/>
        </w:trPr>
        <w:tc>
          <w:tcPr>
            <w:tcW w:w="990" w:type="dxa"/>
          </w:tcPr>
          <w:p w14:paraId="37F80875"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DF</w:t>
            </w:r>
          </w:p>
        </w:tc>
        <w:tc>
          <w:tcPr>
            <w:tcW w:w="540" w:type="dxa"/>
          </w:tcPr>
          <w:p w14:paraId="41694686"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Pr>
          <w:p w14:paraId="7EC34A3C" w14:textId="77777777" w:rsidR="00925CE0" w:rsidRPr="00925CE0" w:rsidRDefault="00925CE0" w:rsidP="00925CE0">
            <w:pPr>
              <w:pStyle w:val="TableParagraph"/>
              <w:ind w:left="15" w:right="2"/>
              <w:jc w:val="center"/>
              <w:rPr>
                <w:rFonts w:ascii="Arial" w:hAnsi="Arial" w:cs="Arial"/>
                <w:sz w:val="20"/>
                <w:szCs w:val="20"/>
              </w:rPr>
            </w:pPr>
            <w:r w:rsidRPr="00925CE0">
              <w:rPr>
                <w:rFonts w:ascii="Arial" w:hAnsi="Arial" w:cs="Arial"/>
                <w:spacing w:val="-2"/>
                <w:sz w:val="20"/>
                <w:szCs w:val="20"/>
              </w:rPr>
              <w:t>0.022240</w:t>
            </w:r>
          </w:p>
        </w:tc>
        <w:tc>
          <w:tcPr>
            <w:tcW w:w="1080" w:type="dxa"/>
          </w:tcPr>
          <w:p w14:paraId="2503CB8C" w14:textId="77777777" w:rsidR="00925CE0" w:rsidRPr="00925CE0" w:rsidRDefault="00925CE0" w:rsidP="00925CE0">
            <w:pPr>
              <w:pStyle w:val="TableParagraph"/>
              <w:ind w:left="71"/>
              <w:jc w:val="center"/>
              <w:rPr>
                <w:rFonts w:ascii="Arial" w:hAnsi="Arial" w:cs="Arial"/>
                <w:sz w:val="20"/>
                <w:szCs w:val="20"/>
              </w:rPr>
            </w:pPr>
            <w:r w:rsidRPr="00925CE0">
              <w:rPr>
                <w:rFonts w:ascii="Arial" w:hAnsi="Arial" w:cs="Arial"/>
                <w:spacing w:val="-2"/>
                <w:sz w:val="20"/>
                <w:szCs w:val="20"/>
              </w:rPr>
              <w:t>0.382544</w:t>
            </w:r>
          </w:p>
        </w:tc>
        <w:tc>
          <w:tcPr>
            <w:tcW w:w="1170" w:type="dxa"/>
          </w:tcPr>
          <w:p w14:paraId="1DA47521" w14:textId="77777777" w:rsidR="00925CE0" w:rsidRPr="00925CE0" w:rsidRDefault="00925CE0" w:rsidP="00925CE0">
            <w:pPr>
              <w:pStyle w:val="TableParagraph"/>
              <w:ind w:left="67"/>
              <w:jc w:val="center"/>
              <w:rPr>
                <w:rFonts w:ascii="Arial" w:hAnsi="Arial" w:cs="Arial"/>
                <w:sz w:val="20"/>
                <w:szCs w:val="20"/>
              </w:rPr>
            </w:pPr>
            <w:r w:rsidRPr="00925CE0">
              <w:rPr>
                <w:rFonts w:ascii="Arial" w:hAnsi="Arial" w:cs="Arial"/>
                <w:spacing w:val="-2"/>
                <w:sz w:val="20"/>
                <w:szCs w:val="20"/>
              </w:rPr>
              <w:t>1.00E-05</w:t>
            </w:r>
          </w:p>
        </w:tc>
        <w:tc>
          <w:tcPr>
            <w:tcW w:w="1440" w:type="dxa"/>
          </w:tcPr>
          <w:p w14:paraId="492E4077" w14:textId="77777777" w:rsidR="00925CE0" w:rsidRPr="00925CE0" w:rsidRDefault="00925CE0" w:rsidP="00925CE0">
            <w:pPr>
              <w:pStyle w:val="TableParagraph"/>
              <w:ind w:left="70"/>
              <w:jc w:val="center"/>
              <w:rPr>
                <w:rFonts w:ascii="Arial" w:hAnsi="Arial" w:cs="Arial"/>
                <w:sz w:val="20"/>
                <w:szCs w:val="20"/>
              </w:rPr>
            </w:pPr>
            <w:r w:rsidRPr="00925CE0">
              <w:rPr>
                <w:rFonts w:ascii="Arial" w:hAnsi="Arial" w:cs="Arial"/>
                <w:spacing w:val="-2"/>
                <w:sz w:val="20"/>
                <w:szCs w:val="20"/>
              </w:rPr>
              <w:t>0.058319</w:t>
            </w:r>
          </w:p>
        </w:tc>
      </w:tr>
      <w:tr w:rsidR="00925CE0" w:rsidRPr="00925CE0" w14:paraId="32CFD930" w14:textId="77777777" w:rsidTr="0089708E">
        <w:trPr>
          <w:trHeight w:val="278"/>
          <w:jc w:val="center"/>
        </w:trPr>
        <w:tc>
          <w:tcPr>
            <w:tcW w:w="990" w:type="dxa"/>
          </w:tcPr>
          <w:p w14:paraId="5CB1235E"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MO</w:t>
            </w:r>
          </w:p>
        </w:tc>
        <w:tc>
          <w:tcPr>
            <w:tcW w:w="540" w:type="dxa"/>
          </w:tcPr>
          <w:p w14:paraId="12A6AA4A"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Pr>
          <w:p w14:paraId="1EDF83E5" w14:textId="77777777" w:rsidR="00925CE0" w:rsidRPr="00925CE0" w:rsidRDefault="00925CE0" w:rsidP="00925CE0">
            <w:pPr>
              <w:pStyle w:val="TableParagraph"/>
              <w:ind w:left="15" w:right="2"/>
              <w:jc w:val="center"/>
              <w:rPr>
                <w:rFonts w:ascii="Arial" w:hAnsi="Arial" w:cs="Arial"/>
                <w:sz w:val="20"/>
                <w:szCs w:val="20"/>
              </w:rPr>
            </w:pPr>
            <w:r w:rsidRPr="00925CE0">
              <w:rPr>
                <w:rFonts w:ascii="Arial" w:hAnsi="Arial" w:cs="Arial"/>
                <w:spacing w:val="-2"/>
                <w:sz w:val="20"/>
                <w:szCs w:val="20"/>
              </w:rPr>
              <w:t>0.056938</w:t>
            </w:r>
          </w:p>
        </w:tc>
        <w:tc>
          <w:tcPr>
            <w:tcW w:w="1080" w:type="dxa"/>
          </w:tcPr>
          <w:p w14:paraId="7FD3A5B4" w14:textId="77777777" w:rsidR="00925CE0" w:rsidRPr="00925CE0" w:rsidRDefault="00925CE0" w:rsidP="00925CE0">
            <w:pPr>
              <w:pStyle w:val="TableParagraph"/>
              <w:ind w:left="71"/>
              <w:jc w:val="center"/>
              <w:rPr>
                <w:rFonts w:ascii="Arial" w:hAnsi="Arial" w:cs="Arial"/>
                <w:sz w:val="20"/>
                <w:szCs w:val="20"/>
              </w:rPr>
            </w:pPr>
            <w:r w:rsidRPr="00925CE0">
              <w:rPr>
                <w:rFonts w:ascii="Arial" w:hAnsi="Arial" w:cs="Arial"/>
                <w:spacing w:val="-2"/>
                <w:sz w:val="20"/>
                <w:szCs w:val="20"/>
              </w:rPr>
              <w:t>0.550000</w:t>
            </w:r>
          </w:p>
        </w:tc>
        <w:tc>
          <w:tcPr>
            <w:tcW w:w="1170" w:type="dxa"/>
          </w:tcPr>
          <w:p w14:paraId="7588EF76" w14:textId="77777777" w:rsidR="00925CE0" w:rsidRPr="00925CE0" w:rsidRDefault="00925CE0" w:rsidP="00925CE0">
            <w:pPr>
              <w:pStyle w:val="TableParagraph"/>
              <w:ind w:left="67" w:right="55"/>
              <w:jc w:val="center"/>
              <w:rPr>
                <w:rFonts w:ascii="Arial" w:hAnsi="Arial" w:cs="Arial"/>
                <w:sz w:val="20"/>
                <w:szCs w:val="20"/>
              </w:rPr>
            </w:pPr>
            <w:r w:rsidRPr="00925CE0">
              <w:rPr>
                <w:rFonts w:ascii="Arial" w:hAnsi="Arial" w:cs="Arial"/>
                <w:spacing w:val="-2"/>
                <w:sz w:val="20"/>
                <w:szCs w:val="20"/>
              </w:rPr>
              <w:t>6.00E-06</w:t>
            </w:r>
          </w:p>
        </w:tc>
        <w:tc>
          <w:tcPr>
            <w:tcW w:w="1440" w:type="dxa"/>
          </w:tcPr>
          <w:p w14:paraId="2157727D" w14:textId="77777777" w:rsidR="00925CE0" w:rsidRPr="00925CE0" w:rsidRDefault="00925CE0" w:rsidP="00925CE0">
            <w:pPr>
              <w:pStyle w:val="TableParagraph"/>
              <w:ind w:left="70" w:right="55"/>
              <w:jc w:val="center"/>
              <w:rPr>
                <w:rFonts w:ascii="Arial" w:hAnsi="Arial" w:cs="Arial"/>
                <w:sz w:val="20"/>
                <w:szCs w:val="20"/>
              </w:rPr>
            </w:pPr>
            <w:r w:rsidRPr="00925CE0">
              <w:rPr>
                <w:rFonts w:ascii="Arial" w:hAnsi="Arial" w:cs="Arial"/>
                <w:spacing w:val="-2"/>
                <w:sz w:val="20"/>
                <w:szCs w:val="20"/>
              </w:rPr>
              <w:t>0.110897</w:t>
            </w:r>
          </w:p>
        </w:tc>
      </w:tr>
      <w:tr w:rsidR="00925CE0" w:rsidRPr="00925CE0" w14:paraId="284A9017" w14:textId="77777777" w:rsidTr="0089708E">
        <w:trPr>
          <w:trHeight w:val="273"/>
          <w:jc w:val="center"/>
        </w:trPr>
        <w:tc>
          <w:tcPr>
            <w:tcW w:w="990" w:type="dxa"/>
            <w:tcBorders>
              <w:bottom w:val="single" w:sz="4" w:space="0" w:color="auto"/>
            </w:tcBorders>
          </w:tcPr>
          <w:p w14:paraId="6ACBCD9E"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FO</w:t>
            </w:r>
          </w:p>
        </w:tc>
        <w:tc>
          <w:tcPr>
            <w:tcW w:w="540" w:type="dxa"/>
            <w:tcBorders>
              <w:bottom w:val="single" w:sz="4" w:space="0" w:color="auto"/>
            </w:tcBorders>
          </w:tcPr>
          <w:p w14:paraId="279C15AB"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Borders>
              <w:bottom w:val="single" w:sz="4" w:space="0" w:color="auto"/>
            </w:tcBorders>
          </w:tcPr>
          <w:p w14:paraId="29F810EC" w14:textId="77777777" w:rsidR="00925CE0" w:rsidRPr="00925CE0" w:rsidRDefault="00925CE0" w:rsidP="00925CE0">
            <w:pPr>
              <w:pStyle w:val="TableParagraph"/>
              <w:ind w:left="15" w:right="2"/>
              <w:jc w:val="center"/>
              <w:rPr>
                <w:rFonts w:ascii="Arial" w:hAnsi="Arial" w:cs="Arial"/>
                <w:sz w:val="20"/>
                <w:szCs w:val="20"/>
              </w:rPr>
            </w:pPr>
            <w:r w:rsidRPr="00925CE0">
              <w:rPr>
                <w:rFonts w:ascii="Arial" w:hAnsi="Arial" w:cs="Arial"/>
                <w:spacing w:val="-2"/>
                <w:sz w:val="20"/>
                <w:szCs w:val="20"/>
              </w:rPr>
              <w:t>0.326254</w:t>
            </w:r>
          </w:p>
        </w:tc>
        <w:tc>
          <w:tcPr>
            <w:tcW w:w="1080" w:type="dxa"/>
            <w:tcBorders>
              <w:bottom w:val="single" w:sz="4" w:space="0" w:color="auto"/>
            </w:tcBorders>
          </w:tcPr>
          <w:p w14:paraId="2CADF25F" w14:textId="77777777" w:rsidR="00925CE0" w:rsidRPr="00925CE0" w:rsidRDefault="00925CE0" w:rsidP="00925CE0">
            <w:pPr>
              <w:pStyle w:val="TableParagraph"/>
              <w:ind w:left="71" w:right="55"/>
              <w:jc w:val="center"/>
              <w:rPr>
                <w:rFonts w:ascii="Arial" w:hAnsi="Arial" w:cs="Arial"/>
                <w:sz w:val="20"/>
                <w:szCs w:val="20"/>
              </w:rPr>
            </w:pPr>
            <w:r w:rsidRPr="00925CE0">
              <w:rPr>
                <w:rFonts w:ascii="Arial" w:hAnsi="Arial" w:cs="Arial"/>
                <w:spacing w:val="-2"/>
                <w:sz w:val="20"/>
                <w:szCs w:val="20"/>
              </w:rPr>
              <w:t>0.924984</w:t>
            </w:r>
          </w:p>
        </w:tc>
        <w:tc>
          <w:tcPr>
            <w:tcW w:w="1170" w:type="dxa"/>
            <w:tcBorders>
              <w:bottom w:val="single" w:sz="4" w:space="0" w:color="auto"/>
            </w:tcBorders>
          </w:tcPr>
          <w:p w14:paraId="2837E8AD" w14:textId="77777777" w:rsidR="00925CE0" w:rsidRPr="00925CE0" w:rsidRDefault="00925CE0" w:rsidP="00925CE0">
            <w:pPr>
              <w:pStyle w:val="TableParagraph"/>
              <w:ind w:left="67" w:right="55"/>
              <w:jc w:val="center"/>
              <w:rPr>
                <w:rFonts w:ascii="Arial" w:hAnsi="Arial" w:cs="Arial"/>
                <w:sz w:val="20"/>
                <w:szCs w:val="20"/>
              </w:rPr>
            </w:pPr>
            <w:r w:rsidRPr="00925CE0">
              <w:rPr>
                <w:rFonts w:ascii="Arial" w:hAnsi="Arial" w:cs="Arial"/>
                <w:spacing w:val="-2"/>
                <w:sz w:val="20"/>
                <w:szCs w:val="20"/>
              </w:rPr>
              <w:t>2.00E-05</w:t>
            </w:r>
          </w:p>
        </w:tc>
        <w:tc>
          <w:tcPr>
            <w:tcW w:w="1440" w:type="dxa"/>
            <w:tcBorders>
              <w:bottom w:val="single" w:sz="4" w:space="0" w:color="auto"/>
            </w:tcBorders>
          </w:tcPr>
          <w:p w14:paraId="03E5F73D" w14:textId="77777777" w:rsidR="00925CE0" w:rsidRPr="00925CE0" w:rsidRDefault="00925CE0" w:rsidP="00925CE0">
            <w:pPr>
              <w:pStyle w:val="TableParagraph"/>
              <w:ind w:left="70" w:right="55"/>
              <w:jc w:val="center"/>
              <w:rPr>
                <w:rFonts w:ascii="Arial" w:hAnsi="Arial" w:cs="Arial"/>
                <w:sz w:val="20"/>
                <w:szCs w:val="20"/>
              </w:rPr>
            </w:pPr>
            <w:r w:rsidRPr="00925CE0">
              <w:rPr>
                <w:rFonts w:ascii="Arial" w:hAnsi="Arial" w:cs="Arial"/>
                <w:spacing w:val="-2"/>
                <w:sz w:val="20"/>
                <w:szCs w:val="20"/>
              </w:rPr>
              <w:t>0.305139</w:t>
            </w:r>
          </w:p>
        </w:tc>
      </w:tr>
    </w:tbl>
    <w:p w14:paraId="4F868D48" w14:textId="77777777" w:rsidR="00925CE0" w:rsidRPr="00925CE0" w:rsidRDefault="00925CE0" w:rsidP="0089708E">
      <w:pPr>
        <w:pStyle w:val="ListParagraph"/>
        <w:spacing w:after="0" w:line="240" w:lineRule="auto"/>
        <w:ind w:left="810"/>
        <w:jc w:val="center"/>
        <w:rPr>
          <w:rFonts w:ascii="Arial" w:hAnsi="Arial" w:cs="Arial"/>
          <w:b/>
          <w:sz w:val="20"/>
          <w:szCs w:val="20"/>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77E6F592"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267C9E3" w14:textId="77777777" w:rsidR="00925CE0" w:rsidRPr="00925CE0" w:rsidRDefault="00925CE0" w:rsidP="0089708E">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t xml:space="preserve">Based on the results of the hypothesis test, it shows that the three variables have a significant positive influence on </w:t>
      </w:r>
      <w:r w:rsidRPr="00925CE0">
        <w:rPr>
          <w:rFonts w:ascii="Arial" w:hAnsi="Arial" w:cs="Arial"/>
          <w:i/>
          <w:iCs/>
          <w:sz w:val="20"/>
          <w:szCs w:val="20"/>
        </w:rPr>
        <w:t>financial constraints</w:t>
      </w:r>
      <w:r w:rsidRPr="00925CE0">
        <w:rPr>
          <w:rFonts w:ascii="Arial" w:hAnsi="Arial" w:cs="Arial"/>
          <w:sz w:val="20"/>
          <w:szCs w:val="20"/>
        </w:rPr>
        <w:t xml:space="preserve"> with a p-value of &lt; 0.05 and a positive coefficient, namely the Independent Variable: Digitalization which shows that the higher the level of digitalization of the company, the higher the level </w:t>
      </w:r>
      <w:r w:rsidRPr="00925CE0">
        <w:rPr>
          <w:rFonts w:ascii="Arial" w:hAnsi="Arial" w:cs="Arial"/>
          <w:i/>
          <w:iCs/>
          <w:sz w:val="20"/>
          <w:szCs w:val="20"/>
        </w:rPr>
        <w:t>of financial constraints</w:t>
      </w:r>
      <w:r w:rsidRPr="00925CE0">
        <w:rPr>
          <w:rFonts w:ascii="Arial" w:hAnsi="Arial" w:cs="Arial"/>
          <w:sz w:val="20"/>
          <w:szCs w:val="20"/>
        </w:rPr>
        <w:t xml:space="preserve"> that the company is facing. Managerial ownership which shows that the greater the share ownership by management, the greater the level of </w:t>
      </w:r>
      <w:r w:rsidRPr="00925CE0">
        <w:rPr>
          <w:rFonts w:ascii="Arial" w:hAnsi="Arial" w:cs="Arial"/>
          <w:i/>
          <w:iCs/>
          <w:sz w:val="20"/>
          <w:szCs w:val="20"/>
        </w:rPr>
        <w:t>financial constraints</w:t>
      </w:r>
      <w:r w:rsidRPr="00925CE0">
        <w:rPr>
          <w:rFonts w:ascii="Arial" w:hAnsi="Arial" w:cs="Arial"/>
          <w:sz w:val="20"/>
          <w:szCs w:val="20"/>
        </w:rPr>
        <w:t xml:space="preserve"> faced by </w:t>
      </w:r>
      <w:proofErr w:type="gramStart"/>
      <w:r w:rsidRPr="00925CE0">
        <w:rPr>
          <w:rFonts w:ascii="Arial" w:hAnsi="Arial" w:cs="Arial"/>
          <w:sz w:val="20"/>
          <w:szCs w:val="20"/>
        </w:rPr>
        <w:t>the  company</w:t>
      </w:r>
      <w:proofErr w:type="gramEnd"/>
      <w:r w:rsidRPr="00925CE0">
        <w:rPr>
          <w:rFonts w:ascii="Arial" w:hAnsi="Arial" w:cs="Arial"/>
          <w:sz w:val="20"/>
          <w:szCs w:val="20"/>
        </w:rPr>
        <w:t xml:space="preserve">. As well as </w:t>
      </w:r>
      <w:r w:rsidRPr="0089708E">
        <w:rPr>
          <w:rStyle w:val="Strong"/>
          <w:rFonts w:ascii="Arial" w:hAnsi="Arial" w:cs="Arial"/>
          <w:b w:val="0"/>
          <w:bCs w:val="0"/>
          <w:sz w:val="20"/>
          <w:szCs w:val="20"/>
        </w:rPr>
        <w:t>family ownership</w:t>
      </w:r>
      <w:r w:rsidRPr="00925CE0">
        <w:rPr>
          <w:rFonts w:ascii="Arial" w:hAnsi="Arial" w:cs="Arial"/>
          <w:sz w:val="20"/>
          <w:szCs w:val="20"/>
        </w:rPr>
        <w:t xml:space="preserve"> which shows that the larger the share ownership by the family, the greater the level of financial constraints faced by the company.</w:t>
      </w:r>
    </w:p>
    <w:p w14:paraId="12B90061" w14:textId="77777777" w:rsidR="00925CE0" w:rsidRPr="00925CE0" w:rsidRDefault="00925CE0" w:rsidP="00925CE0">
      <w:pPr>
        <w:pStyle w:val="ListParagraph"/>
        <w:spacing w:after="0" w:line="240" w:lineRule="auto"/>
        <w:ind w:left="0"/>
        <w:jc w:val="both"/>
        <w:rPr>
          <w:rFonts w:ascii="Arial" w:hAnsi="Arial" w:cs="Arial"/>
          <w:sz w:val="20"/>
          <w:szCs w:val="20"/>
        </w:rPr>
      </w:pPr>
    </w:p>
    <w:p w14:paraId="5E5046E7" w14:textId="77777777" w:rsidR="00925CE0" w:rsidRPr="00925CE0" w:rsidRDefault="00925CE0" w:rsidP="0089708E">
      <w:pPr>
        <w:jc w:val="center"/>
        <w:rPr>
          <w:rFonts w:ascii="Arial" w:hAnsi="Arial" w:cs="Arial"/>
          <w:b/>
        </w:rPr>
      </w:pPr>
      <w:r w:rsidRPr="00925CE0">
        <w:rPr>
          <w:rFonts w:ascii="Arial" w:hAnsi="Arial" w:cs="Arial"/>
          <w:b/>
        </w:rPr>
        <w:t>Table 7 Output Data Regression Panel</w:t>
      </w:r>
    </w:p>
    <w:tbl>
      <w:tblPr>
        <w:tblW w:w="8370" w:type="dxa"/>
        <w:jc w:val="center"/>
        <w:tblCellSpacing w:w="15" w:type="dxa"/>
        <w:tblCellMar>
          <w:top w:w="15" w:type="dxa"/>
          <w:left w:w="15" w:type="dxa"/>
          <w:bottom w:w="15" w:type="dxa"/>
          <w:right w:w="15" w:type="dxa"/>
        </w:tblCellMar>
        <w:tblLook w:val="04A0" w:firstRow="1" w:lastRow="0" w:firstColumn="1" w:lastColumn="0" w:noHBand="0" w:noVBand="1"/>
      </w:tblPr>
      <w:tblGrid>
        <w:gridCol w:w="584"/>
        <w:gridCol w:w="3824"/>
        <w:gridCol w:w="1172"/>
        <w:gridCol w:w="990"/>
        <w:gridCol w:w="1800"/>
      </w:tblGrid>
      <w:tr w:rsidR="00925CE0" w:rsidRPr="00925CE0" w14:paraId="5516BB1F" w14:textId="77777777" w:rsidTr="0089708E">
        <w:trPr>
          <w:trHeight w:val="225"/>
          <w:tblHeader/>
          <w:tblCellSpacing w:w="15" w:type="dxa"/>
          <w:jc w:val="center"/>
        </w:trPr>
        <w:tc>
          <w:tcPr>
            <w:tcW w:w="539" w:type="dxa"/>
            <w:tcBorders>
              <w:top w:val="single" w:sz="4" w:space="0" w:color="auto"/>
              <w:bottom w:val="single" w:sz="4" w:space="0" w:color="auto"/>
            </w:tcBorders>
            <w:shd w:val="clear" w:color="auto" w:fill="D9D9D9" w:themeFill="background1" w:themeFillShade="D9"/>
            <w:vAlign w:val="center"/>
            <w:hideMark/>
          </w:tcPr>
          <w:p w14:paraId="48BCF890" w14:textId="77777777" w:rsidR="00925CE0" w:rsidRPr="00925CE0" w:rsidRDefault="00925CE0" w:rsidP="0089708E">
            <w:pPr>
              <w:jc w:val="center"/>
              <w:rPr>
                <w:rFonts w:ascii="Arial" w:hAnsi="Arial" w:cs="Arial"/>
                <w:b/>
                <w:bCs/>
              </w:rPr>
            </w:pPr>
          </w:p>
        </w:tc>
        <w:tc>
          <w:tcPr>
            <w:tcW w:w="3794" w:type="dxa"/>
            <w:tcBorders>
              <w:top w:val="single" w:sz="4" w:space="0" w:color="auto"/>
              <w:bottom w:val="single" w:sz="4" w:space="0" w:color="auto"/>
            </w:tcBorders>
            <w:shd w:val="clear" w:color="auto" w:fill="D9D9D9" w:themeFill="background1" w:themeFillShade="D9"/>
            <w:vAlign w:val="center"/>
            <w:hideMark/>
          </w:tcPr>
          <w:p w14:paraId="149894B1" w14:textId="77777777" w:rsidR="00925CE0" w:rsidRPr="00925CE0" w:rsidRDefault="00925CE0" w:rsidP="0089708E">
            <w:pPr>
              <w:jc w:val="center"/>
              <w:rPr>
                <w:rFonts w:ascii="Arial" w:hAnsi="Arial" w:cs="Arial"/>
                <w:b/>
                <w:bCs/>
              </w:rPr>
            </w:pPr>
            <w:proofErr w:type="spellStart"/>
            <w:r w:rsidRPr="00925CE0">
              <w:rPr>
                <w:rFonts w:ascii="Arial" w:hAnsi="Arial" w:cs="Arial"/>
                <w:b/>
                <w:bCs/>
              </w:rPr>
              <w:t>Hipotesis</w:t>
            </w:r>
            <w:proofErr w:type="spellEnd"/>
          </w:p>
        </w:tc>
        <w:tc>
          <w:tcPr>
            <w:tcW w:w="1142" w:type="dxa"/>
            <w:tcBorders>
              <w:top w:val="single" w:sz="4" w:space="0" w:color="auto"/>
              <w:bottom w:val="single" w:sz="4" w:space="0" w:color="auto"/>
            </w:tcBorders>
            <w:shd w:val="clear" w:color="auto" w:fill="D9D9D9" w:themeFill="background1" w:themeFillShade="D9"/>
            <w:vAlign w:val="center"/>
            <w:hideMark/>
          </w:tcPr>
          <w:p w14:paraId="3C8CFEC0" w14:textId="77777777" w:rsidR="00925CE0" w:rsidRPr="00925CE0" w:rsidRDefault="00925CE0" w:rsidP="0089708E">
            <w:pPr>
              <w:jc w:val="center"/>
              <w:rPr>
                <w:rFonts w:ascii="Arial" w:hAnsi="Arial" w:cs="Arial"/>
                <w:b/>
                <w:bCs/>
              </w:rPr>
            </w:pPr>
            <w:proofErr w:type="spellStart"/>
            <w:r w:rsidRPr="00925CE0">
              <w:rPr>
                <w:rFonts w:ascii="Arial" w:hAnsi="Arial" w:cs="Arial"/>
                <w:b/>
                <w:bCs/>
              </w:rPr>
              <w:t>Coeficin</w:t>
            </w:r>
            <w:proofErr w:type="spellEnd"/>
          </w:p>
        </w:tc>
        <w:tc>
          <w:tcPr>
            <w:tcW w:w="960" w:type="dxa"/>
            <w:tcBorders>
              <w:top w:val="single" w:sz="4" w:space="0" w:color="auto"/>
              <w:bottom w:val="single" w:sz="4" w:space="0" w:color="auto"/>
            </w:tcBorders>
            <w:shd w:val="clear" w:color="auto" w:fill="D9D9D9" w:themeFill="background1" w:themeFillShade="D9"/>
            <w:vAlign w:val="center"/>
            <w:hideMark/>
          </w:tcPr>
          <w:p w14:paraId="0815EB4A" w14:textId="77777777" w:rsidR="00925CE0" w:rsidRPr="00925CE0" w:rsidRDefault="00925CE0" w:rsidP="0089708E">
            <w:pPr>
              <w:jc w:val="center"/>
              <w:rPr>
                <w:rFonts w:ascii="Arial" w:hAnsi="Arial" w:cs="Arial"/>
                <w:b/>
                <w:bCs/>
              </w:rPr>
            </w:pPr>
            <w:r w:rsidRPr="00925CE0">
              <w:rPr>
                <w:rFonts w:ascii="Arial" w:hAnsi="Arial" w:cs="Arial"/>
                <w:b/>
                <w:bCs/>
              </w:rPr>
              <w:t>P-value</w:t>
            </w:r>
          </w:p>
        </w:tc>
        <w:tc>
          <w:tcPr>
            <w:tcW w:w="1755" w:type="dxa"/>
            <w:tcBorders>
              <w:top w:val="single" w:sz="4" w:space="0" w:color="auto"/>
              <w:bottom w:val="single" w:sz="4" w:space="0" w:color="auto"/>
            </w:tcBorders>
            <w:shd w:val="clear" w:color="auto" w:fill="D9D9D9" w:themeFill="background1" w:themeFillShade="D9"/>
            <w:vAlign w:val="center"/>
            <w:hideMark/>
          </w:tcPr>
          <w:p w14:paraId="4BF019B3" w14:textId="77777777" w:rsidR="00925CE0" w:rsidRPr="00925CE0" w:rsidRDefault="00925CE0" w:rsidP="0089708E">
            <w:pPr>
              <w:jc w:val="center"/>
              <w:rPr>
                <w:rFonts w:ascii="Arial" w:hAnsi="Arial" w:cs="Arial"/>
                <w:b/>
                <w:bCs/>
              </w:rPr>
            </w:pPr>
            <w:r w:rsidRPr="00925CE0">
              <w:rPr>
                <w:rFonts w:ascii="Arial" w:hAnsi="Arial" w:cs="Arial"/>
                <w:b/>
                <w:bCs/>
              </w:rPr>
              <w:t>Conclusion</w:t>
            </w:r>
          </w:p>
        </w:tc>
      </w:tr>
      <w:tr w:rsidR="00925CE0" w:rsidRPr="00925CE0" w14:paraId="539AC906" w14:textId="77777777" w:rsidTr="0089708E">
        <w:trPr>
          <w:trHeight w:val="438"/>
          <w:tblCellSpacing w:w="15" w:type="dxa"/>
          <w:jc w:val="center"/>
        </w:trPr>
        <w:tc>
          <w:tcPr>
            <w:tcW w:w="539" w:type="dxa"/>
            <w:vAlign w:val="center"/>
            <w:hideMark/>
          </w:tcPr>
          <w:p w14:paraId="64157EF5" w14:textId="77777777" w:rsidR="00925CE0" w:rsidRPr="00925CE0" w:rsidRDefault="00925CE0" w:rsidP="0089708E">
            <w:pPr>
              <w:jc w:val="center"/>
              <w:rPr>
                <w:rFonts w:ascii="Arial" w:hAnsi="Arial" w:cs="Arial"/>
              </w:rPr>
            </w:pPr>
            <w:r w:rsidRPr="00925CE0">
              <w:rPr>
                <w:rFonts w:ascii="Arial" w:hAnsi="Arial" w:cs="Arial"/>
              </w:rPr>
              <w:lastRenderedPageBreak/>
              <w:t>H1</w:t>
            </w:r>
          </w:p>
        </w:tc>
        <w:tc>
          <w:tcPr>
            <w:tcW w:w="3794" w:type="dxa"/>
            <w:vAlign w:val="center"/>
            <w:hideMark/>
          </w:tcPr>
          <w:p w14:paraId="27B47005" w14:textId="77777777" w:rsidR="00925CE0" w:rsidRPr="00925CE0" w:rsidRDefault="00925CE0" w:rsidP="0089708E">
            <w:pPr>
              <w:jc w:val="center"/>
              <w:rPr>
                <w:rFonts w:ascii="Arial" w:hAnsi="Arial" w:cs="Arial"/>
              </w:rPr>
            </w:pPr>
            <w:r w:rsidRPr="00925CE0">
              <w:rPr>
                <w:rFonts w:ascii="Arial" w:hAnsi="Arial" w:cs="Arial"/>
              </w:rPr>
              <w:t>Digitalization has a positive effect on financial constraints</w:t>
            </w:r>
          </w:p>
        </w:tc>
        <w:tc>
          <w:tcPr>
            <w:tcW w:w="1142" w:type="dxa"/>
            <w:vAlign w:val="center"/>
            <w:hideMark/>
          </w:tcPr>
          <w:p w14:paraId="503A42B0" w14:textId="77777777" w:rsidR="00925CE0" w:rsidRPr="00925CE0" w:rsidRDefault="00925CE0" w:rsidP="0089708E">
            <w:pPr>
              <w:jc w:val="center"/>
              <w:rPr>
                <w:rFonts w:ascii="Arial" w:hAnsi="Arial" w:cs="Arial"/>
              </w:rPr>
            </w:pPr>
            <w:r w:rsidRPr="00925CE0">
              <w:rPr>
                <w:rFonts w:ascii="Arial" w:hAnsi="Arial" w:cs="Arial"/>
                <w:color w:val="000000"/>
              </w:rPr>
              <w:t>10.22994</w:t>
            </w:r>
          </w:p>
        </w:tc>
        <w:tc>
          <w:tcPr>
            <w:tcW w:w="960" w:type="dxa"/>
            <w:vAlign w:val="center"/>
            <w:hideMark/>
          </w:tcPr>
          <w:p w14:paraId="661D2FBA" w14:textId="77777777" w:rsidR="00925CE0" w:rsidRPr="00925CE0" w:rsidRDefault="00925CE0" w:rsidP="0089708E">
            <w:pPr>
              <w:jc w:val="center"/>
              <w:rPr>
                <w:rFonts w:ascii="Arial" w:hAnsi="Arial" w:cs="Arial"/>
              </w:rPr>
            </w:pPr>
            <w:r w:rsidRPr="00925CE0">
              <w:rPr>
                <w:rFonts w:ascii="Arial" w:hAnsi="Arial" w:cs="Arial"/>
                <w:color w:val="000000"/>
              </w:rPr>
              <w:t>0.0019</w:t>
            </w:r>
          </w:p>
        </w:tc>
        <w:tc>
          <w:tcPr>
            <w:tcW w:w="1755" w:type="dxa"/>
            <w:vAlign w:val="center"/>
            <w:hideMark/>
          </w:tcPr>
          <w:p w14:paraId="08BCF1F4" w14:textId="77777777" w:rsidR="00925CE0" w:rsidRPr="00925CE0" w:rsidRDefault="00925CE0" w:rsidP="0089708E">
            <w:pPr>
              <w:jc w:val="center"/>
              <w:rPr>
                <w:rFonts w:ascii="Arial" w:hAnsi="Arial" w:cs="Arial"/>
              </w:rPr>
            </w:pPr>
            <w:r w:rsidRPr="00925CE0">
              <w:rPr>
                <w:rFonts w:ascii="Arial" w:hAnsi="Arial" w:cs="Arial"/>
              </w:rPr>
              <w:t>Hypotheses supported</w:t>
            </w:r>
          </w:p>
        </w:tc>
      </w:tr>
      <w:tr w:rsidR="00925CE0" w:rsidRPr="00925CE0" w14:paraId="42FB13B2" w14:textId="77777777" w:rsidTr="0089708E">
        <w:trPr>
          <w:tblCellSpacing w:w="15" w:type="dxa"/>
          <w:jc w:val="center"/>
        </w:trPr>
        <w:tc>
          <w:tcPr>
            <w:tcW w:w="539" w:type="dxa"/>
            <w:vAlign w:val="center"/>
            <w:hideMark/>
          </w:tcPr>
          <w:p w14:paraId="741ECB89" w14:textId="77777777" w:rsidR="00925CE0" w:rsidRPr="00925CE0" w:rsidRDefault="00925CE0" w:rsidP="0089708E">
            <w:pPr>
              <w:jc w:val="center"/>
              <w:rPr>
                <w:rFonts w:ascii="Arial" w:hAnsi="Arial" w:cs="Arial"/>
              </w:rPr>
            </w:pPr>
            <w:r w:rsidRPr="00925CE0">
              <w:rPr>
                <w:rFonts w:ascii="Arial" w:hAnsi="Arial" w:cs="Arial"/>
              </w:rPr>
              <w:t>H2</w:t>
            </w:r>
          </w:p>
        </w:tc>
        <w:tc>
          <w:tcPr>
            <w:tcW w:w="3794" w:type="dxa"/>
            <w:vAlign w:val="center"/>
            <w:hideMark/>
          </w:tcPr>
          <w:p w14:paraId="5C73373C" w14:textId="77777777" w:rsidR="00925CE0" w:rsidRPr="00925CE0" w:rsidRDefault="00925CE0" w:rsidP="0089708E">
            <w:pPr>
              <w:jc w:val="center"/>
              <w:rPr>
                <w:rFonts w:ascii="Arial" w:hAnsi="Arial" w:cs="Arial"/>
              </w:rPr>
            </w:pPr>
            <w:r w:rsidRPr="00925CE0">
              <w:rPr>
                <w:rFonts w:ascii="Arial" w:hAnsi="Arial" w:cs="Arial"/>
              </w:rPr>
              <w:t>Managerial ownership has a positive effect on financial constraints</w:t>
            </w:r>
          </w:p>
        </w:tc>
        <w:tc>
          <w:tcPr>
            <w:tcW w:w="1142" w:type="dxa"/>
            <w:vAlign w:val="center"/>
            <w:hideMark/>
          </w:tcPr>
          <w:p w14:paraId="4B1AEB5D" w14:textId="77777777" w:rsidR="00925CE0" w:rsidRPr="00925CE0" w:rsidRDefault="00925CE0" w:rsidP="0089708E">
            <w:pPr>
              <w:jc w:val="center"/>
              <w:rPr>
                <w:rFonts w:ascii="Arial" w:hAnsi="Arial" w:cs="Arial"/>
              </w:rPr>
            </w:pPr>
            <w:r w:rsidRPr="00925CE0">
              <w:rPr>
                <w:rFonts w:ascii="Arial" w:hAnsi="Arial" w:cs="Arial"/>
                <w:color w:val="000000"/>
              </w:rPr>
              <w:t>3.382703</w:t>
            </w:r>
          </w:p>
        </w:tc>
        <w:tc>
          <w:tcPr>
            <w:tcW w:w="960" w:type="dxa"/>
            <w:vAlign w:val="center"/>
            <w:hideMark/>
          </w:tcPr>
          <w:p w14:paraId="62C41E35" w14:textId="77777777" w:rsidR="00925CE0" w:rsidRPr="00925CE0" w:rsidRDefault="00925CE0" w:rsidP="0089708E">
            <w:pPr>
              <w:jc w:val="center"/>
              <w:rPr>
                <w:rFonts w:ascii="Arial" w:hAnsi="Arial" w:cs="Arial"/>
              </w:rPr>
            </w:pPr>
            <w:r w:rsidRPr="00925CE0">
              <w:rPr>
                <w:rFonts w:ascii="Arial" w:hAnsi="Arial" w:cs="Arial"/>
                <w:color w:val="000000"/>
              </w:rPr>
              <w:t>0.0015</w:t>
            </w:r>
          </w:p>
        </w:tc>
        <w:tc>
          <w:tcPr>
            <w:tcW w:w="1755" w:type="dxa"/>
            <w:vAlign w:val="center"/>
            <w:hideMark/>
          </w:tcPr>
          <w:p w14:paraId="18C7C5C7" w14:textId="77777777" w:rsidR="00925CE0" w:rsidRPr="00925CE0" w:rsidRDefault="00925CE0" w:rsidP="0089708E">
            <w:pPr>
              <w:jc w:val="center"/>
              <w:rPr>
                <w:rFonts w:ascii="Arial" w:hAnsi="Arial" w:cs="Arial"/>
              </w:rPr>
            </w:pPr>
            <w:r w:rsidRPr="00925CE0">
              <w:rPr>
                <w:rFonts w:ascii="Arial" w:hAnsi="Arial" w:cs="Arial"/>
              </w:rPr>
              <w:t>Hypotheses supported</w:t>
            </w:r>
          </w:p>
        </w:tc>
      </w:tr>
      <w:tr w:rsidR="00925CE0" w:rsidRPr="00925CE0" w14:paraId="4124F531" w14:textId="77777777" w:rsidTr="0089708E">
        <w:trPr>
          <w:tblCellSpacing w:w="15" w:type="dxa"/>
          <w:jc w:val="center"/>
        </w:trPr>
        <w:tc>
          <w:tcPr>
            <w:tcW w:w="539" w:type="dxa"/>
            <w:tcBorders>
              <w:bottom w:val="single" w:sz="4" w:space="0" w:color="auto"/>
            </w:tcBorders>
            <w:vAlign w:val="center"/>
            <w:hideMark/>
          </w:tcPr>
          <w:p w14:paraId="352F7A8B" w14:textId="77777777" w:rsidR="00925CE0" w:rsidRPr="00925CE0" w:rsidRDefault="00925CE0" w:rsidP="0089708E">
            <w:pPr>
              <w:jc w:val="center"/>
              <w:rPr>
                <w:rFonts w:ascii="Arial" w:hAnsi="Arial" w:cs="Arial"/>
              </w:rPr>
            </w:pPr>
            <w:r w:rsidRPr="00925CE0">
              <w:rPr>
                <w:rFonts w:ascii="Arial" w:hAnsi="Arial" w:cs="Arial"/>
              </w:rPr>
              <w:t>H3</w:t>
            </w:r>
          </w:p>
        </w:tc>
        <w:tc>
          <w:tcPr>
            <w:tcW w:w="3794" w:type="dxa"/>
            <w:tcBorders>
              <w:bottom w:val="single" w:sz="4" w:space="0" w:color="auto"/>
            </w:tcBorders>
            <w:vAlign w:val="center"/>
            <w:hideMark/>
          </w:tcPr>
          <w:p w14:paraId="797CE907" w14:textId="77777777" w:rsidR="00925CE0" w:rsidRPr="00925CE0" w:rsidRDefault="00925CE0" w:rsidP="0089708E">
            <w:pPr>
              <w:jc w:val="center"/>
              <w:rPr>
                <w:rFonts w:ascii="Arial" w:hAnsi="Arial" w:cs="Arial"/>
              </w:rPr>
            </w:pPr>
            <w:r w:rsidRPr="00925CE0">
              <w:rPr>
                <w:rFonts w:ascii="Arial" w:hAnsi="Arial" w:cs="Arial"/>
              </w:rPr>
              <w:t>Family ownership affects financial constraints</w:t>
            </w:r>
          </w:p>
        </w:tc>
        <w:tc>
          <w:tcPr>
            <w:tcW w:w="1142" w:type="dxa"/>
            <w:tcBorders>
              <w:bottom w:val="single" w:sz="4" w:space="0" w:color="auto"/>
            </w:tcBorders>
            <w:vAlign w:val="center"/>
            <w:hideMark/>
          </w:tcPr>
          <w:p w14:paraId="4804BD22" w14:textId="77777777" w:rsidR="00925CE0" w:rsidRPr="00925CE0" w:rsidRDefault="00925CE0" w:rsidP="0089708E">
            <w:pPr>
              <w:jc w:val="center"/>
              <w:rPr>
                <w:rFonts w:ascii="Arial" w:hAnsi="Arial" w:cs="Arial"/>
              </w:rPr>
            </w:pPr>
            <w:r w:rsidRPr="00925CE0">
              <w:rPr>
                <w:rFonts w:ascii="Arial" w:hAnsi="Arial" w:cs="Arial"/>
                <w:color w:val="000000"/>
              </w:rPr>
              <w:t>2.741225</w:t>
            </w:r>
          </w:p>
        </w:tc>
        <w:tc>
          <w:tcPr>
            <w:tcW w:w="960" w:type="dxa"/>
            <w:tcBorders>
              <w:bottom w:val="single" w:sz="4" w:space="0" w:color="auto"/>
            </w:tcBorders>
            <w:vAlign w:val="center"/>
            <w:hideMark/>
          </w:tcPr>
          <w:p w14:paraId="78D8AA79" w14:textId="77777777" w:rsidR="00925CE0" w:rsidRPr="00925CE0" w:rsidRDefault="00925CE0" w:rsidP="0089708E">
            <w:pPr>
              <w:jc w:val="center"/>
              <w:rPr>
                <w:rFonts w:ascii="Arial" w:hAnsi="Arial" w:cs="Arial"/>
              </w:rPr>
            </w:pPr>
            <w:r w:rsidRPr="00925CE0">
              <w:rPr>
                <w:rFonts w:ascii="Arial" w:hAnsi="Arial" w:cs="Arial"/>
                <w:color w:val="000000"/>
              </w:rPr>
              <w:t>0.0114</w:t>
            </w:r>
          </w:p>
        </w:tc>
        <w:tc>
          <w:tcPr>
            <w:tcW w:w="1755" w:type="dxa"/>
            <w:tcBorders>
              <w:bottom w:val="single" w:sz="4" w:space="0" w:color="auto"/>
            </w:tcBorders>
            <w:vAlign w:val="center"/>
            <w:hideMark/>
          </w:tcPr>
          <w:p w14:paraId="2B10DE17" w14:textId="77777777" w:rsidR="00925CE0" w:rsidRPr="00925CE0" w:rsidRDefault="00925CE0" w:rsidP="0089708E">
            <w:pPr>
              <w:jc w:val="center"/>
              <w:rPr>
                <w:rFonts w:ascii="Arial" w:hAnsi="Arial" w:cs="Arial"/>
              </w:rPr>
            </w:pPr>
            <w:r w:rsidRPr="00925CE0">
              <w:rPr>
                <w:rFonts w:ascii="Arial" w:hAnsi="Arial" w:cs="Arial"/>
              </w:rPr>
              <w:t>Hypotheses supported</w:t>
            </w:r>
          </w:p>
        </w:tc>
      </w:tr>
    </w:tbl>
    <w:p w14:paraId="41DF34AA" w14:textId="77777777" w:rsidR="00925CE0" w:rsidRPr="0014249F" w:rsidRDefault="00925CE0" w:rsidP="0089708E">
      <w:pPr>
        <w:pStyle w:val="ListParagraph"/>
        <w:spacing w:after="0" w:line="240" w:lineRule="auto"/>
        <w:ind w:left="0"/>
        <w:jc w:val="center"/>
        <w:rPr>
          <w:rFonts w:ascii="Arial" w:hAnsi="Arial" w:cs="Arial"/>
          <w:b/>
          <w:sz w:val="18"/>
          <w:szCs w:val="18"/>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EF846E4" w14:textId="77777777" w:rsidR="00F767D1" w:rsidRDefault="00F767D1" w:rsidP="0089708E">
      <w:pPr>
        <w:pStyle w:val="ListParagraph"/>
        <w:spacing w:after="0" w:line="240" w:lineRule="auto"/>
        <w:ind w:left="0"/>
        <w:jc w:val="center"/>
        <w:rPr>
          <w:rFonts w:ascii="Arial" w:hAnsi="Arial" w:cs="Arial"/>
          <w:b/>
          <w:sz w:val="20"/>
          <w:szCs w:val="20"/>
        </w:rPr>
      </w:pPr>
    </w:p>
    <w:p w14:paraId="530334A5" w14:textId="77777777" w:rsidR="00F767D1" w:rsidRPr="00925CE0" w:rsidRDefault="00F767D1" w:rsidP="0089708E">
      <w:pPr>
        <w:pStyle w:val="ListParagraph"/>
        <w:spacing w:after="0" w:line="240" w:lineRule="auto"/>
        <w:ind w:left="0"/>
        <w:jc w:val="center"/>
        <w:rPr>
          <w:rFonts w:ascii="Arial" w:hAnsi="Arial" w:cs="Arial"/>
          <w:b/>
          <w:sz w:val="20"/>
          <w:szCs w:val="20"/>
        </w:rPr>
      </w:pPr>
    </w:p>
    <w:p w14:paraId="743F8EAF" w14:textId="5D416285" w:rsidR="00925CE0" w:rsidRPr="00925CE0" w:rsidRDefault="0089708E" w:rsidP="00E57637">
      <w:pPr>
        <w:pStyle w:val="ListParagraph"/>
        <w:numPr>
          <w:ilvl w:val="1"/>
          <w:numId w:val="32"/>
        </w:numPr>
        <w:spacing w:after="0" w:line="240" w:lineRule="auto"/>
        <w:jc w:val="both"/>
        <w:rPr>
          <w:rFonts w:ascii="Arial" w:hAnsi="Arial" w:cs="Arial"/>
          <w:b/>
          <w:sz w:val="20"/>
          <w:szCs w:val="20"/>
        </w:rPr>
      </w:pPr>
      <w:r w:rsidRPr="00E16AAC">
        <w:rPr>
          <w:rFonts w:ascii="Arial" w:hAnsi="Arial" w:cs="Arial"/>
          <w:b/>
        </w:rPr>
        <w:t>Discussion</w:t>
      </w:r>
    </w:p>
    <w:p w14:paraId="4551CE47" w14:textId="77777777" w:rsidR="00925CE0" w:rsidRPr="00925CE0" w:rsidRDefault="00925CE0" w:rsidP="00925CE0">
      <w:pPr>
        <w:jc w:val="both"/>
        <w:rPr>
          <w:rFonts w:ascii="Arial" w:hAnsi="Arial" w:cs="Arial"/>
          <w:b/>
        </w:rPr>
      </w:pPr>
    </w:p>
    <w:p w14:paraId="6E6359A0" w14:textId="77777777" w:rsidR="00925CE0" w:rsidRPr="0089708E" w:rsidRDefault="00925CE0" w:rsidP="00E57637">
      <w:pPr>
        <w:pStyle w:val="ListParagraph"/>
        <w:numPr>
          <w:ilvl w:val="2"/>
          <w:numId w:val="32"/>
        </w:numPr>
        <w:spacing w:after="0" w:line="240" w:lineRule="auto"/>
        <w:ind w:left="630" w:hanging="630"/>
        <w:jc w:val="both"/>
        <w:rPr>
          <w:rFonts w:ascii="Arial" w:hAnsi="Arial" w:cs="Arial"/>
          <w:b/>
          <w:sz w:val="18"/>
          <w:szCs w:val="18"/>
        </w:rPr>
      </w:pPr>
      <w:r w:rsidRPr="000C2B0D">
        <w:rPr>
          <w:rFonts w:ascii="Arial" w:hAnsi="Arial" w:cs="Arial"/>
          <w:b/>
          <w:sz w:val="20"/>
          <w:szCs w:val="20"/>
        </w:rPr>
        <w:t xml:space="preserve">The Influence of Digitalization on </w:t>
      </w:r>
      <w:r w:rsidRPr="000C2B0D">
        <w:rPr>
          <w:rFonts w:ascii="Arial" w:hAnsi="Arial" w:cs="Arial"/>
          <w:b/>
          <w:i/>
          <w:sz w:val="20"/>
          <w:szCs w:val="20"/>
        </w:rPr>
        <w:t>Financial Constraints</w:t>
      </w:r>
    </w:p>
    <w:p w14:paraId="7472352D"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5C6EE878" w14:textId="77777777" w:rsidR="00925CE0" w:rsidRPr="00925CE0" w:rsidRDefault="00925CE0" w:rsidP="0089708E">
      <w:pPr>
        <w:pStyle w:val="ListParagraph"/>
        <w:spacing w:after="0" w:line="240" w:lineRule="auto"/>
        <w:ind w:left="0" w:firstLine="567"/>
        <w:jc w:val="both"/>
        <w:rPr>
          <w:rFonts w:ascii="Arial" w:hAnsi="Arial" w:cs="Arial"/>
          <w:b/>
          <w:sz w:val="20"/>
          <w:szCs w:val="20"/>
        </w:rPr>
      </w:pPr>
      <w:r w:rsidRPr="00925CE0">
        <w:rPr>
          <w:rFonts w:ascii="Arial" w:hAnsi="Arial" w:cs="Arial"/>
          <w:sz w:val="20"/>
          <w:szCs w:val="20"/>
        </w:rPr>
        <w:t xml:space="preserve">The results of the study show that digitalization has a positive effect on financial constraints. This shows that the higher the level of digitalization of the company, the greater the financial constraints faced by the company. Digitalization investment generally requires considerable initial costs for the development of technology, information systems, and improving the competence of human resources. This condition can increase the company's funding needs in the short term. These findings are in line with </w:t>
      </w:r>
      <w:proofErr w:type="gramStart"/>
      <w:r w:rsidRPr="00925CE0">
        <w:rPr>
          <w:rFonts w:ascii="Arial" w:hAnsi="Arial" w:cs="Arial"/>
          <w:sz w:val="20"/>
          <w:szCs w:val="20"/>
        </w:rPr>
        <w:t>research  by</w:t>
      </w:r>
      <w:proofErr w:type="gramEnd"/>
      <w:r w:rsidRPr="00925CE0">
        <w:rPr>
          <w:rFonts w:ascii="Arial" w:hAnsi="Arial" w:cs="Arial"/>
          <w:sz w:val="20"/>
          <w:szCs w:val="20"/>
        </w:rPr>
        <w:t xml:space="preserve"> </w:t>
      </w:r>
      <w:r w:rsidRPr="000C2B0D">
        <w:rPr>
          <w:rStyle w:val="Strong"/>
          <w:rFonts w:ascii="Arial" w:hAnsi="Arial" w:cs="Arial"/>
          <w:b w:val="0"/>
          <w:bCs w:val="0"/>
          <w:sz w:val="20"/>
          <w:szCs w:val="20"/>
        </w:rPr>
        <w:t>Zou et al. (2024)</w:t>
      </w:r>
      <w:r w:rsidRPr="00925CE0">
        <w:rPr>
          <w:rFonts w:ascii="Arial" w:hAnsi="Arial" w:cs="Arial"/>
          <w:sz w:val="20"/>
          <w:szCs w:val="20"/>
        </w:rPr>
        <w:t xml:space="preserve"> who stated that digital transformation in the early stages can increase the financial pressure of companies. In addition, the research </w:t>
      </w:r>
      <w:r w:rsidRPr="000C2B0D">
        <w:rPr>
          <w:rStyle w:val="Strong"/>
          <w:rFonts w:ascii="Arial" w:hAnsi="Arial" w:cs="Arial"/>
          <w:b w:val="0"/>
          <w:bCs w:val="0"/>
          <w:sz w:val="20"/>
          <w:szCs w:val="20"/>
        </w:rPr>
        <w:t>of Yu (2025)</w:t>
      </w:r>
      <w:r w:rsidRPr="00925CE0">
        <w:rPr>
          <w:rFonts w:ascii="Arial" w:hAnsi="Arial" w:cs="Arial"/>
          <w:sz w:val="20"/>
          <w:szCs w:val="20"/>
        </w:rPr>
        <w:t xml:space="preserve"> and </w:t>
      </w:r>
      <w:r w:rsidRPr="000C2B0D">
        <w:rPr>
          <w:rStyle w:val="Strong"/>
          <w:rFonts w:ascii="Arial" w:hAnsi="Arial" w:cs="Arial"/>
          <w:b w:val="0"/>
          <w:bCs w:val="0"/>
          <w:sz w:val="20"/>
          <w:szCs w:val="20"/>
        </w:rPr>
        <w:t>Qiu (2025)</w:t>
      </w:r>
      <w:r w:rsidRPr="00925CE0">
        <w:rPr>
          <w:rFonts w:ascii="Arial" w:hAnsi="Arial" w:cs="Arial"/>
          <w:sz w:val="20"/>
          <w:szCs w:val="20"/>
        </w:rPr>
        <w:t xml:space="preserve"> also shows that digitalization investment in non-technology companies can increase financial constraints in the short term before the economic benefits of digitalization begin to be felt.</w:t>
      </w:r>
    </w:p>
    <w:p w14:paraId="25D93DCE" w14:textId="77777777" w:rsidR="00925CE0" w:rsidRPr="00925CE0" w:rsidRDefault="00925CE0" w:rsidP="00925CE0">
      <w:pPr>
        <w:pStyle w:val="ListParagraph"/>
        <w:spacing w:after="0" w:line="240" w:lineRule="auto"/>
        <w:ind w:left="630"/>
        <w:jc w:val="both"/>
        <w:rPr>
          <w:rFonts w:ascii="Arial" w:hAnsi="Arial" w:cs="Arial"/>
          <w:b/>
          <w:sz w:val="20"/>
          <w:szCs w:val="20"/>
        </w:rPr>
      </w:pPr>
    </w:p>
    <w:p w14:paraId="0FAB4CCC" w14:textId="7354763E" w:rsidR="00925CE0" w:rsidRPr="009677CB" w:rsidRDefault="00925CE0" w:rsidP="00925CE0">
      <w:pPr>
        <w:pStyle w:val="ListParagraph"/>
        <w:numPr>
          <w:ilvl w:val="2"/>
          <w:numId w:val="32"/>
        </w:numPr>
        <w:spacing w:after="0" w:line="240" w:lineRule="auto"/>
        <w:ind w:left="630" w:hanging="630"/>
        <w:jc w:val="both"/>
        <w:rPr>
          <w:rFonts w:ascii="Arial" w:hAnsi="Arial" w:cs="Arial"/>
          <w:b/>
          <w:sz w:val="20"/>
          <w:szCs w:val="20"/>
        </w:rPr>
      </w:pPr>
      <w:r w:rsidRPr="000C2B0D">
        <w:rPr>
          <w:rFonts w:ascii="Arial" w:hAnsi="Arial" w:cs="Arial"/>
          <w:b/>
          <w:sz w:val="20"/>
          <w:szCs w:val="20"/>
        </w:rPr>
        <w:t xml:space="preserve">The Influence of Ownership Structure on </w:t>
      </w:r>
      <w:r w:rsidRPr="000C2B0D">
        <w:rPr>
          <w:rFonts w:ascii="Arial" w:hAnsi="Arial" w:cs="Arial"/>
          <w:b/>
          <w:i/>
          <w:sz w:val="20"/>
          <w:szCs w:val="20"/>
        </w:rPr>
        <w:t>Financial Constraints</w:t>
      </w:r>
    </w:p>
    <w:p w14:paraId="5E386EB9" w14:textId="14438865" w:rsidR="00925CE0" w:rsidRPr="00925CE0" w:rsidRDefault="00925CE0" w:rsidP="000C2B0D">
      <w:pPr>
        <w:ind w:firstLine="567"/>
        <w:jc w:val="both"/>
        <w:rPr>
          <w:rFonts w:ascii="Arial" w:hAnsi="Arial" w:cs="Arial"/>
        </w:rPr>
      </w:pPr>
      <w:r w:rsidRPr="00925CE0">
        <w:rPr>
          <w:rFonts w:ascii="Arial" w:hAnsi="Arial" w:cs="Arial"/>
        </w:rPr>
        <w:t xml:space="preserve">The results of the study show that managerial ownership has a positive effect on financial constraints. This shows that the greater the share ownership by the management, the greater the level of financial constraints faced by the company. This condition can be explained </w:t>
      </w:r>
      <w:proofErr w:type="gramStart"/>
      <w:r w:rsidRPr="00925CE0">
        <w:rPr>
          <w:rFonts w:ascii="Arial" w:hAnsi="Arial" w:cs="Arial"/>
        </w:rPr>
        <w:t>through  the</w:t>
      </w:r>
      <w:proofErr w:type="gramEnd"/>
      <w:r w:rsidRPr="00925CE0">
        <w:rPr>
          <w:rFonts w:ascii="Arial" w:hAnsi="Arial" w:cs="Arial"/>
        </w:rPr>
        <w:t xml:space="preserve"> </w:t>
      </w:r>
      <w:r w:rsidRPr="00F50E6A">
        <w:rPr>
          <w:rStyle w:val="Strong"/>
          <w:rFonts w:ascii="Arial" w:hAnsi="Arial" w:cs="Arial"/>
          <w:b w:val="0"/>
          <w:bCs w:val="0"/>
        </w:rPr>
        <w:t>entrenchment effect</w:t>
      </w:r>
      <w:r w:rsidRPr="00F50E6A">
        <w:rPr>
          <w:rFonts w:ascii="Arial" w:hAnsi="Arial" w:cs="Arial"/>
          <w:b/>
          <w:bCs/>
        </w:rPr>
        <w:t>,</w:t>
      </w:r>
      <w:r w:rsidRPr="00925CE0">
        <w:rPr>
          <w:rFonts w:ascii="Arial" w:hAnsi="Arial" w:cs="Arial"/>
        </w:rPr>
        <w:t xml:space="preserve"> where managers who have high share ownership tend to be more dominant in the company's decision-making, thereby increasing risk perception for investors and creditors. These findings are in line with research </w:t>
      </w:r>
      <w:r w:rsidRPr="00F50E6A">
        <w:rPr>
          <w:rStyle w:val="Strong"/>
          <w:rFonts w:ascii="Arial" w:hAnsi="Arial" w:cs="Arial"/>
          <w:b w:val="0"/>
          <w:bCs w:val="0"/>
        </w:rPr>
        <w:t>by Fort &amp; Moin (2021),</w:t>
      </w:r>
      <w:r w:rsidRPr="00F50E6A">
        <w:rPr>
          <w:rFonts w:ascii="Arial" w:hAnsi="Arial" w:cs="Arial"/>
          <w:b/>
          <w:bCs/>
        </w:rPr>
        <w:t xml:space="preserve"> </w:t>
      </w:r>
      <w:r w:rsidRPr="00F50E6A">
        <w:rPr>
          <w:rStyle w:val="Strong"/>
          <w:rFonts w:ascii="Arial" w:hAnsi="Arial" w:cs="Arial"/>
          <w:b w:val="0"/>
          <w:bCs w:val="0"/>
        </w:rPr>
        <w:t>Shan et al. (2023),</w:t>
      </w:r>
      <w:r w:rsidRPr="00925CE0">
        <w:rPr>
          <w:rFonts w:ascii="Arial" w:hAnsi="Arial" w:cs="Arial"/>
        </w:rPr>
        <w:t xml:space="preserve"> and </w:t>
      </w:r>
      <w:r w:rsidRPr="00F50E6A">
        <w:rPr>
          <w:rStyle w:val="Strong"/>
          <w:rFonts w:ascii="Arial" w:hAnsi="Arial" w:cs="Arial"/>
          <w:b w:val="0"/>
          <w:bCs w:val="0"/>
        </w:rPr>
        <w:t>Zheng &amp; Shen (2024)</w:t>
      </w:r>
      <w:r w:rsidRPr="00925CE0">
        <w:rPr>
          <w:rFonts w:ascii="Arial" w:hAnsi="Arial" w:cs="Arial"/>
        </w:rPr>
        <w:t xml:space="preserve"> which states that high managerial ownership can increase agency risk as well as narrow a firm's access to external funding sources.</w:t>
      </w:r>
    </w:p>
    <w:p w14:paraId="35FCA05A" w14:textId="77777777" w:rsidR="00925CE0" w:rsidRPr="00925CE0" w:rsidRDefault="00925CE0" w:rsidP="000C2B0D">
      <w:pPr>
        <w:ind w:firstLine="567"/>
        <w:jc w:val="both"/>
        <w:rPr>
          <w:rFonts w:ascii="Arial" w:hAnsi="Arial" w:cs="Arial"/>
        </w:rPr>
      </w:pPr>
      <w:r w:rsidRPr="00925CE0">
        <w:rPr>
          <w:rFonts w:ascii="Arial" w:hAnsi="Arial" w:cs="Arial"/>
        </w:rPr>
        <w:t xml:space="preserve">The results of the family ownership research show that family ownership has a positive effect on financial constraints. This shows that the larger the share ownership by the family, the greater the level of financial constraints faced by the company. This finding is in line with </w:t>
      </w:r>
      <w:r w:rsidRPr="00F50E6A">
        <w:rPr>
          <w:rStyle w:val="Strong"/>
          <w:rFonts w:ascii="Arial" w:hAnsi="Arial" w:cs="Arial"/>
          <w:b w:val="0"/>
          <w:bCs w:val="0"/>
        </w:rPr>
        <w:t>Farooq's (2022)</w:t>
      </w:r>
      <w:r w:rsidRPr="00F50E6A">
        <w:rPr>
          <w:rFonts w:ascii="Arial" w:hAnsi="Arial" w:cs="Arial"/>
          <w:b/>
          <w:bCs/>
        </w:rPr>
        <w:t xml:space="preserve"> </w:t>
      </w:r>
      <w:r w:rsidRPr="00F50E6A">
        <w:rPr>
          <w:rFonts w:ascii="Arial" w:hAnsi="Arial" w:cs="Arial"/>
        </w:rPr>
        <w:t>research,</w:t>
      </w:r>
      <w:r w:rsidRPr="00925CE0">
        <w:rPr>
          <w:rFonts w:ascii="Arial" w:hAnsi="Arial" w:cs="Arial"/>
          <w:b/>
        </w:rPr>
        <w:t xml:space="preserve"> </w:t>
      </w:r>
      <w:sdt>
        <w:sdtPr>
          <w:rPr>
            <w:rFonts w:ascii="Arial" w:hAnsi="Arial" w:cs="Arial"/>
            <w:color w:val="000000"/>
          </w:rPr>
          <w:tag w:val="MENDELEY_CITATION_v3_eyJjaXRhdGlvbklEIjoiTUVOREVMRVlfQ0lUQVRJT05fODdiMmM0ZTAtMTFiOS00ZTU0LTgwZjEtOWVhNDUzOWFjNWNiIiwicHJvcGVydGllcyI6eyJub3RlSW5kZXgiOjB9LCJpc0VkaXRlZCI6ZmFsc2UsIm1hbnVhbE92ZXJyaWRlIjp7ImlzTWFudWFsbHlPdmVycmlkZGVuIjp0cnVlLCJjaXRlcHJvY1RleHQiOiIoTXXDsW96LUJ1bGzDs24gZXQgYWwuLCAyMDI0YikiLCJtYW51YWxPdmVycmlkZVRleHQiOiJNdcOxb3otQnVsbMOzbiBldCBhbC4sICgyMDI0KSJ9LCJjaXRhdGlvbkl0ZW1zIjpbeyJpZCI6IjMwODhiZjRmLTBjNmUtM2NhMC1hMDZiLTVmNGEzYTYwNGUxYSIsIml0ZW1EYXRhIjp7InR5cGUiOiJhcnRpY2xlLWpvdXJuYWwiLCJpZCI6IjMwODhiZjRmLTBjNmUtM2NhMC1hMDZiLTVmNGEzYTYwNGUxYSIsInRpdGxlIjoiRXhwbG9yaW5nIHRoZSBsaW5rIGJldHdlZW4gZmFtaWx5IG93bmVyc2hpcCBhbmQgbGV2ZXJhZ2U6IGEgbWVkaWF0aW5nIHBhdGh3YXkgdGhyb3VnaCBzb2Npb2Vtb3Rpb25hbCB3ZWFsdGggb2JqZWN0aXZlcyIsImF1dGhvciI6W3siZmFtaWx5IjoiTXXDsW96LUJ1bGzDs24iLCJnaXZlbiI6IkZlcm5hbmRvIiwicGFyc2UtbmFtZXMiOmZhbHNlLCJkcm9wcGluZy1wYXJ0aWNsZSI6IiIsIm5vbi1kcm9wcGluZy1wYXJ0aWNsZSI6IiJ9LHsiZmFtaWx5IjoiU2FuY2hlei1CdWVubyIsImdpdmVuIjoiTWFyaWEgSi4iLCJwYXJzZS1uYW1lcyI6ZmFsc2UsImRyb3BwaW5nLXBhcnRpY2xlIjoiIiwibm9uLWRyb3BwaW5nLXBhcnRpY2xlIjoiIn0seyJmYW1pbHkiOiJWZWxhc2NvIiwiZ2l2ZW4iOiJQaWxhciIsInBhcnNlLW5hbWVzIjpmYWxzZSwiZHJvcHBpbmctcGFydGljbGUiOiIiLCJub24tZHJvcHBpbmctcGFydGljbGUiOiIifV0sImNvbnRhaW5lci10aXRsZSI6IlJldmlldyBvZiBNYW5hZ2VyaWFsIFNjaWVuY2UiLCJET0kiOiIxMC4xMDA3L3MxMTg0Ni0wMjMtMDA3MTMtMSIsIklTU04iOiIxODYzNjY5MSIsImlzc3VlZCI6eyJkYXRlLXBhcnRzIjpbWzIwMjQsMTEsMV1dfSwicGFnZSI6IjMyMDMtMzI1MiIsImFic3RyYWN0IjoiVGhpcyBwYXBlciBleHBsb3JlcyB0aGUgcmVsYXRpb25zaGlwIGJldHdlZW4gZmFtaWx5IG93bmVyc2hpcCBhbmQgYSBmaXJt4oCZcyBsZXZlcmFnZSBmcm9tIHRoZSBzb2Npb2Vtb3Rpb25hbCB3ZWFsdGggKFNFVykgdGhlb3J5LiBXZSBwcm9wb3NlIHRoYXQgU0VXIG9iamVjdGl2ZXMgKGkuZS4sIGZhbWlseSBjb250cm9sLCBsb25nLXRlcm0gaG9yaXpvbiwgYW5kIGZhbWlseSBmaXJtIHJlcHV0YXRpb24pIG1pZ2h0IGhhdmUgYSBtZWRpYXRpbmcgZWZmZWN0IG9uIHRoZSBmYW1pbHkgb3duZXJzaGlwLWxldmVyYWdlIGxpbmsuIEluIGFkZGl0aW9uLCB3ZSBhcmd1ZSB0aGF0IGFuIGludGVybmFsIGNvbnRpbmdlbmN54oCUc3VjaCBhcyBiZWxvdyBhc3BpcmF0aW9uIHBlcmZvcm1hbmNl4oCUbWF5IG1vZGVyYXRlIFNFV+KAmXMgaW5mbHVlbmNlIG9uIHRoZSBmYW1pbHkgb3duZXJzaGlwLWxldmVyYWdlIHJlbGF0aW9uc2hpcCBhcyBhIHJlc3VsdCBvZiBhIHNoaWZ0IGluIGZvY3VzIGZyb20gbm9uLWVjb25vbWljIHRvIGVjb25vbWljIGdvYWxzLiBVc2luZyBhIHNhbXBsZSBvZiBFdXJvcGVhbiBsaXN0ZWQgZmlybXMgZnJvbSAyMDExIHRvIDIwMTgsIHdlIGZpbmQgdGhhdCB0aGUgbmVnYXRpdmUgaW1wYWN0IG9mIGZhbWlseSBvd25lcnNoaXAgb24gYSBmaXJt4oCZcyBsZXZlcmFnZSBpcyBtZWRpYXRlZCB0aHJvdWdoIFNFVyBvYmplY3RpdmVzLiBNb3Jlb3Zlciwgb3VyIGV2aWRlbmNlIHN1Z2dlc3RzIHRoYXQgYSBuZWdhdGl2ZSBwZXJmb3JtYW5jZS1hc3BpcmF0aW9uIGdhcCB3ZWFrZW5zIHRoZSBtZWRpYXRpbmcgaW5mbHVlbmNlIG9mIHRoZXNlIFNFVyBvYmplY3RpdmVzIG9uIGxldmVyYWdlLiBPdmVyIGFsbCwgb3VyIHN0dWR5IHJldmVhbHMgdGhhdCBTRVcgaXMgYSBrZXkgY2hhbm5lbCB3aGljaCBkcml2ZXMgZmFtaWx5IGZpcm1z4oCZIHJlbHVjdGFuY2UgdG8gbGV2ZXJhZ2UuIiwicHVibGlzaGVyIjoiU3ByaW5nZXIgU2NpZW5jZSBhbmQgQnVzaW5lc3MgTWVkaWEgRGV1dHNjaGxhbmQgR21iSCIsImlzc3VlIjoiMTEiLCJ2b2x1bWUiOiIxOCIsImNvbnRhaW5lci10aXRsZS1zaG9ydCI6IiJ9LCJpc1RlbXBvcmFyeSI6ZmFsc2UsInN1cHByZXNzLWF1dGhvciI6ZmFsc2UsImNvbXBvc2l0ZSI6ZmFsc2UsImF1dGhvci1vbmx5IjpmYWxzZX1dfQ=="/>
          <w:id w:val="2022888088"/>
          <w:placeholder>
            <w:docPart w:val="135C4508BB524B9AB7BC9BE3E3E08E43"/>
          </w:placeholder>
        </w:sdtPr>
        <w:sdtContent>
          <w:r w:rsidRPr="00925CE0">
            <w:rPr>
              <w:rFonts w:ascii="Arial" w:hAnsi="Arial" w:cs="Arial"/>
              <w:color w:val="000000"/>
            </w:rPr>
            <w:t xml:space="preserve">   Muñoz-</w:t>
          </w:r>
          <w:proofErr w:type="spellStart"/>
          <w:r w:rsidRPr="00925CE0">
            <w:rPr>
              <w:rFonts w:ascii="Arial" w:hAnsi="Arial" w:cs="Arial"/>
              <w:color w:val="000000"/>
            </w:rPr>
            <w:t>Bullón</w:t>
          </w:r>
          <w:proofErr w:type="spellEnd"/>
          <w:r w:rsidRPr="00925CE0">
            <w:rPr>
              <w:rFonts w:ascii="Arial" w:hAnsi="Arial" w:cs="Arial"/>
              <w:color w:val="000000"/>
            </w:rPr>
            <w:t xml:space="preserve"> et al., (2024) </w:t>
          </w:r>
        </w:sdtContent>
      </w:sdt>
      <w:r w:rsidRPr="00925CE0">
        <w:rPr>
          <w:rFonts w:ascii="Arial" w:hAnsi="Arial" w:cs="Arial"/>
        </w:rPr>
        <w:t>which states that family companies tend to adjust investment decisions to internal funding capabilities so that financial constraints do not become the dominant factor in the financial structure of family companies.</w:t>
      </w:r>
    </w:p>
    <w:p w14:paraId="37A05AD0" w14:textId="77777777" w:rsidR="00925CE0" w:rsidRPr="00925CE0" w:rsidRDefault="00925CE0" w:rsidP="00925CE0">
      <w:pPr>
        <w:jc w:val="both"/>
        <w:rPr>
          <w:rFonts w:ascii="Arial" w:hAnsi="Arial" w:cs="Arial"/>
          <w:b/>
        </w:rPr>
      </w:pPr>
    </w:p>
    <w:p w14:paraId="1DC8A74B" w14:textId="77777777" w:rsidR="00925CE0" w:rsidRPr="003C6C43" w:rsidRDefault="00925CE0" w:rsidP="00E57637">
      <w:pPr>
        <w:pStyle w:val="ListParagraph"/>
        <w:numPr>
          <w:ilvl w:val="0"/>
          <w:numId w:val="32"/>
        </w:numPr>
        <w:spacing w:after="0" w:line="240" w:lineRule="auto"/>
        <w:ind w:left="270" w:hanging="270"/>
        <w:jc w:val="both"/>
        <w:rPr>
          <w:rFonts w:ascii="Arial" w:hAnsi="Arial" w:cs="Arial"/>
          <w:b/>
          <w:sz w:val="20"/>
          <w:szCs w:val="20"/>
          <w:highlight w:val="yellow"/>
        </w:rPr>
      </w:pPr>
      <w:r w:rsidRPr="003C6C43">
        <w:rPr>
          <w:rFonts w:ascii="Arial" w:hAnsi="Arial" w:cs="Arial"/>
          <w:b/>
          <w:highlight w:val="yellow"/>
        </w:rPr>
        <w:t>CONCLUSION</w:t>
      </w:r>
    </w:p>
    <w:p w14:paraId="2248DA2A" w14:textId="77777777" w:rsidR="00D34235" w:rsidRPr="00D34235" w:rsidRDefault="00D34235" w:rsidP="00D34235">
      <w:pPr>
        <w:ind w:firstLine="567"/>
        <w:jc w:val="both"/>
        <w:rPr>
          <w:rFonts w:ascii="Arial" w:hAnsi="Arial" w:cs="Arial"/>
          <w:highlight w:val="yellow"/>
        </w:rPr>
      </w:pPr>
      <w:r w:rsidRPr="00D34235">
        <w:rPr>
          <w:rFonts w:ascii="Arial" w:hAnsi="Arial" w:cs="Arial"/>
          <w:highlight w:val="yellow"/>
        </w:rPr>
        <w:t>This study aims to examine the effect of digitalization and ownership structure on financial constraints in non-financial companies in Indonesia. The empirical results indicate that digitalization has a positive and significant effect on financial constraints. Furthermore, both managerial ownership and family ownership are found to have a positive and significant influence on financial constraints. These findings suggest that internal firm characteristics, particularly digital transformation and ownership structure, play an important role in shaping firms’ financing limitations.</w:t>
      </w:r>
    </w:p>
    <w:p w14:paraId="5FE631EE" w14:textId="77777777" w:rsidR="00D34235" w:rsidRPr="00D34235" w:rsidRDefault="00D34235" w:rsidP="00D34235">
      <w:pPr>
        <w:ind w:firstLine="567"/>
        <w:jc w:val="both"/>
        <w:rPr>
          <w:rFonts w:ascii="Arial" w:hAnsi="Arial" w:cs="Arial"/>
          <w:highlight w:val="yellow"/>
        </w:rPr>
      </w:pPr>
      <w:r w:rsidRPr="00D34235">
        <w:rPr>
          <w:rFonts w:ascii="Arial" w:hAnsi="Arial" w:cs="Arial"/>
          <w:highlight w:val="yellow"/>
        </w:rPr>
        <w:lastRenderedPageBreak/>
        <w:t>This study contributes to the corporate finance literature by integrating digitalization and ownership structure in explaining financial constraints, particularly in the context of an emerging market. The findings highlight that while digitalization enhances long-term competitiveness, it may increase short-term financial pressure due to substantial investment requirements. Similarly, concentrated ownership structures may limit access to external financing due to lower transparency and more conservative financial policies.</w:t>
      </w:r>
    </w:p>
    <w:p w14:paraId="1D166BE7" w14:textId="77777777" w:rsidR="00D34235" w:rsidRPr="00D34235" w:rsidRDefault="00D34235" w:rsidP="00D34235">
      <w:pPr>
        <w:ind w:firstLine="567"/>
        <w:jc w:val="both"/>
        <w:rPr>
          <w:rFonts w:ascii="Arial" w:hAnsi="Arial" w:cs="Arial"/>
          <w:highlight w:val="yellow"/>
        </w:rPr>
      </w:pPr>
      <w:r w:rsidRPr="00D34235">
        <w:rPr>
          <w:rFonts w:ascii="Arial" w:hAnsi="Arial" w:cs="Arial"/>
          <w:highlight w:val="yellow"/>
        </w:rPr>
        <w:t>From a practical perspective, this study provides important implications for managers and stakeholders. Firms are encouraged to carefully plan digital investment strategies and align them with sound cash flow and financing management to avoid excessive short-term financial pressure. In addition, higher levels of managerial and family ownership should be accompanied by improved transparency and disclosure quality to reduce information asymmetry and enhance investor and creditor confidence.</w:t>
      </w:r>
    </w:p>
    <w:p w14:paraId="00363ABD" w14:textId="77777777" w:rsidR="00D34235" w:rsidRPr="00D34235" w:rsidRDefault="00D34235" w:rsidP="00D34235">
      <w:pPr>
        <w:ind w:firstLine="567"/>
        <w:jc w:val="both"/>
        <w:rPr>
          <w:rFonts w:ascii="Arial" w:hAnsi="Arial" w:cs="Arial"/>
          <w:highlight w:val="yellow"/>
        </w:rPr>
      </w:pPr>
      <w:r w:rsidRPr="00D34235">
        <w:rPr>
          <w:rFonts w:ascii="Arial" w:hAnsi="Arial" w:cs="Arial"/>
          <w:highlight w:val="yellow"/>
        </w:rPr>
        <w:t>Despite its contributions, this study has several limitations. First, the observation period is limited to five years (2020–2024), which may not fully capture long-term dynamics. Second, the use of secondary data poses challenges, as information related to digitalization is often incomplete and not consistently disclosed in financial statements. Third, digitalization is measured using intangible assets as a proxy, which may not fully reflect the actual level of firms’ digital transformation.</w:t>
      </w:r>
    </w:p>
    <w:p w14:paraId="3B781284" w14:textId="77777777" w:rsidR="00D34235" w:rsidRPr="00D34235" w:rsidRDefault="00D34235" w:rsidP="00D34235">
      <w:pPr>
        <w:ind w:firstLine="567"/>
        <w:jc w:val="both"/>
        <w:rPr>
          <w:rFonts w:ascii="Arial" w:hAnsi="Arial" w:cs="Arial"/>
        </w:rPr>
      </w:pPr>
      <w:r w:rsidRPr="00D34235">
        <w:rPr>
          <w:rFonts w:ascii="Arial" w:hAnsi="Arial" w:cs="Arial"/>
          <w:highlight w:val="yellow"/>
        </w:rPr>
        <w:t>Therefore, future research is recommended to extend the observation period, incorporate additional variables such as firm size, innovation, or macroeconomic factors, and employ alternative measures of digitalization to provide a more comprehensive understanding of financial constraints.</w:t>
      </w:r>
    </w:p>
    <w:p w14:paraId="086B3217" w14:textId="5D7B2B2E" w:rsidR="00D34235" w:rsidRPr="00D34235" w:rsidRDefault="00D34235" w:rsidP="00D34235">
      <w:pPr>
        <w:ind w:firstLine="567"/>
        <w:jc w:val="both"/>
        <w:rPr>
          <w:rFonts w:ascii="Arial" w:hAnsi="Arial" w:cs="Arial"/>
        </w:rPr>
      </w:pPr>
    </w:p>
    <w:p w14:paraId="38217A50" w14:textId="77777777" w:rsidR="007B706C" w:rsidRDefault="007B706C" w:rsidP="007B706C">
      <w:pPr>
        <w:jc w:val="both"/>
        <w:rPr>
          <w:rFonts w:ascii="Arial" w:hAnsi="Arial" w:cs="Arial"/>
        </w:rPr>
      </w:pPr>
    </w:p>
    <w:p w14:paraId="1C68AD40" w14:textId="736CBAD4" w:rsidR="007B706C" w:rsidRPr="007B706C" w:rsidRDefault="007B706C" w:rsidP="007B706C">
      <w:pPr>
        <w:pStyle w:val="Body"/>
        <w:spacing w:after="0"/>
        <w:rPr>
          <w:rFonts w:ascii="Arial" w:hAnsi="Arial" w:cs="Arial"/>
          <w:b/>
          <w:sz w:val="22"/>
          <w:szCs w:val="22"/>
        </w:rPr>
      </w:pPr>
      <w:r w:rsidRPr="007B706C">
        <w:rPr>
          <w:rFonts w:ascii="Arial" w:hAnsi="Arial" w:cs="Arial"/>
          <w:b/>
          <w:sz w:val="22"/>
          <w:szCs w:val="22"/>
        </w:rPr>
        <w:t>COMPETING INTERESTS</w:t>
      </w:r>
    </w:p>
    <w:p w14:paraId="59330B7E" w14:textId="77777777" w:rsidR="007B706C" w:rsidRPr="007B706C" w:rsidRDefault="007B706C" w:rsidP="007B706C">
      <w:pPr>
        <w:jc w:val="both"/>
        <w:rPr>
          <w:rFonts w:ascii="Arial" w:hAnsi="Arial" w:cs="Arial"/>
        </w:rPr>
      </w:pPr>
      <w:r w:rsidRPr="007B706C">
        <w:rPr>
          <w:rFonts w:ascii="Arial" w:hAnsi="Arial" w:cs="Arial"/>
        </w:rPr>
        <w:t xml:space="preserve">The authors declare that there is no conflict of interest related to the publication of this article. </w:t>
      </w:r>
    </w:p>
    <w:p w14:paraId="5CABAB9D" w14:textId="77777777" w:rsidR="007B706C" w:rsidRPr="007B706C" w:rsidRDefault="007B706C" w:rsidP="007B706C">
      <w:pPr>
        <w:jc w:val="both"/>
        <w:rPr>
          <w:rFonts w:ascii="Arial" w:hAnsi="Arial" w:cs="Arial"/>
        </w:rPr>
      </w:pPr>
    </w:p>
    <w:p w14:paraId="0428467D" w14:textId="77777777" w:rsidR="00621B22" w:rsidRPr="007B706C" w:rsidRDefault="00621B22" w:rsidP="007B706C">
      <w:pPr>
        <w:jc w:val="both"/>
        <w:rPr>
          <w:rFonts w:ascii="Arial" w:hAnsi="Arial" w:cs="Arial"/>
        </w:rPr>
      </w:pPr>
    </w:p>
    <w:p w14:paraId="6B988805" w14:textId="77777777" w:rsidR="001D3105" w:rsidRDefault="001D3105" w:rsidP="001D3105">
      <w:pPr>
        <w:rPr>
          <w:rFonts w:ascii="Calibri" w:eastAsia="Calibri" w:hAnsi="Calibri"/>
          <w:kern w:val="2"/>
          <w:highlight w:val="yellow"/>
        </w:rPr>
      </w:pPr>
      <w:bookmarkStart w:id="0" w:name="_Hlk221270586"/>
      <w:bookmarkStart w:id="1" w:name="_Hlk219110679"/>
      <w:bookmarkStart w:id="2" w:name="_Hlk219127930"/>
    </w:p>
    <w:p w14:paraId="55A720F9" w14:textId="77777777" w:rsidR="001D3105" w:rsidRPr="00005ED1" w:rsidRDefault="001D3105" w:rsidP="001D3105">
      <w:pPr>
        <w:pStyle w:val="NoSpacing"/>
        <w:rPr>
          <w:rFonts w:ascii="Arial" w:hAnsi="Arial" w:cs="Arial"/>
          <w:highlight w:val="yellow"/>
        </w:rPr>
      </w:pPr>
      <w:bookmarkStart w:id="3" w:name="_Hlk219284361"/>
      <w:bookmarkStart w:id="4" w:name="_Hlk198031404"/>
      <w:bookmarkStart w:id="5" w:name="_Hlk219128673"/>
      <w:bookmarkStart w:id="6" w:name="_Hlk221094604"/>
      <w:r w:rsidRPr="00005ED1">
        <w:rPr>
          <w:rFonts w:ascii="Arial" w:hAnsi="Arial" w:cs="Arial"/>
          <w:highlight w:val="yellow"/>
        </w:rPr>
        <w:t>Disclaimer (Artificial intelligence)</w:t>
      </w:r>
    </w:p>
    <w:p w14:paraId="07A8E5B9" w14:textId="77777777" w:rsidR="001D3105" w:rsidRPr="00005ED1" w:rsidRDefault="001D3105" w:rsidP="001D3105">
      <w:pPr>
        <w:pStyle w:val="NoSpacing"/>
        <w:rPr>
          <w:rFonts w:ascii="Arial" w:hAnsi="Arial" w:cs="Arial"/>
          <w:highlight w:val="yellow"/>
        </w:rPr>
      </w:pPr>
    </w:p>
    <w:p w14:paraId="7581A7F2" w14:textId="77777777" w:rsidR="001D3105" w:rsidRPr="00005ED1" w:rsidRDefault="001D3105" w:rsidP="001D3105">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0"/>
    <w:bookmarkEnd w:id="4"/>
    <w:p w14:paraId="0A14E288" w14:textId="77777777" w:rsidR="001D3105" w:rsidRDefault="001D3105" w:rsidP="001D3105">
      <w:pPr>
        <w:pStyle w:val="NoSpacing"/>
        <w:rPr>
          <w:rFonts w:ascii="Arial" w:hAnsi="Arial" w:cs="Arial"/>
        </w:rPr>
      </w:pPr>
    </w:p>
    <w:bookmarkEnd w:id="1"/>
    <w:bookmarkEnd w:id="2"/>
    <w:bookmarkEnd w:id="5"/>
    <w:bookmarkEnd w:id="6"/>
    <w:p w14:paraId="445CD4BB" w14:textId="77777777" w:rsidR="001D3105" w:rsidRDefault="001D3105" w:rsidP="00441B6F">
      <w:pPr>
        <w:pStyle w:val="ReferHead"/>
        <w:spacing w:after="0"/>
        <w:jc w:val="both"/>
        <w:rPr>
          <w:rFonts w:ascii="Arial" w:hAnsi="Arial" w:cs="Arial"/>
        </w:rPr>
      </w:pPr>
    </w:p>
    <w:p w14:paraId="76313284" w14:textId="6BA6730C" w:rsidR="00B01FCD" w:rsidRDefault="00B01FCD" w:rsidP="00441B6F">
      <w:pPr>
        <w:pStyle w:val="ReferHead"/>
        <w:spacing w:after="0"/>
        <w:jc w:val="both"/>
        <w:rPr>
          <w:rFonts w:ascii="Arial" w:hAnsi="Arial" w:cs="Arial"/>
        </w:rPr>
      </w:pPr>
      <w:r w:rsidRPr="00FB3A86">
        <w:rPr>
          <w:rFonts w:ascii="Arial" w:hAnsi="Arial" w:cs="Arial"/>
        </w:rPr>
        <w:t>References</w:t>
      </w:r>
    </w:p>
    <w:p w14:paraId="586BDC93" w14:textId="77777777" w:rsidR="00790ADA" w:rsidRPr="00FB3A86" w:rsidRDefault="00790ADA" w:rsidP="00441B6F">
      <w:pPr>
        <w:pStyle w:val="ReferHead"/>
        <w:spacing w:after="0"/>
        <w:jc w:val="both"/>
        <w:rPr>
          <w:rFonts w:ascii="Arial" w:hAnsi="Arial" w:cs="Arial"/>
        </w:rPr>
      </w:pPr>
    </w:p>
    <w:p w14:paraId="35927E1C" w14:textId="2B613444"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Amalia, I. A., &amp; Fuad. (2023).</w:t>
      </w:r>
      <w:r w:rsidRPr="007D1698">
        <w:rPr>
          <w:rFonts w:ascii="Arial" w:hAnsi="Arial" w:cs="Arial"/>
          <w:color w:val="000000" w:themeColor="text1"/>
          <w:spacing w:val="-2"/>
        </w:rPr>
        <w:t xml:space="preserve"> </w:t>
      </w:r>
      <w:proofErr w:type="spellStart"/>
      <w:r w:rsidRPr="007D1698">
        <w:rPr>
          <w:rFonts w:ascii="Arial" w:hAnsi="Arial" w:cs="Arial"/>
          <w:color w:val="000000" w:themeColor="text1"/>
        </w:rPr>
        <w:t>Pengaruh</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struktur</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kepemilikan</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terhadap</w:t>
      </w:r>
      <w:proofErr w:type="spellEnd"/>
      <w:r w:rsidRPr="007D1698">
        <w:rPr>
          <w:rFonts w:ascii="Arial" w:hAnsi="Arial" w:cs="Arial"/>
          <w:color w:val="000000" w:themeColor="text1"/>
        </w:rPr>
        <w:t xml:space="preserve"> financial constraints.</w:t>
      </w:r>
      <w:r w:rsidRPr="007D1698">
        <w:rPr>
          <w:rFonts w:ascii="Arial" w:hAnsi="Arial" w:cs="Arial"/>
          <w:color w:val="000000" w:themeColor="text1"/>
          <w:spacing w:val="-2"/>
        </w:rPr>
        <w:t xml:space="preserve"> </w:t>
      </w:r>
      <w:proofErr w:type="spellStart"/>
      <w:r w:rsidRPr="007D1698">
        <w:rPr>
          <w:rFonts w:ascii="Arial" w:hAnsi="Arial" w:cs="Arial"/>
          <w:i/>
          <w:color w:val="000000" w:themeColor="text1"/>
        </w:rPr>
        <w:t>Diponegoro</w:t>
      </w:r>
      <w:proofErr w:type="spellEnd"/>
      <w:r w:rsidRPr="007D1698">
        <w:rPr>
          <w:rFonts w:ascii="Arial" w:hAnsi="Arial" w:cs="Arial"/>
          <w:i/>
          <w:color w:val="000000" w:themeColor="text1"/>
        </w:rPr>
        <w:t xml:space="preserve"> Journal of Accounting, 12</w:t>
      </w:r>
      <w:r w:rsidRPr="007D1698">
        <w:rPr>
          <w:rFonts w:ascii="Arial" w:hAnsi="Arial" w:cs="Arial"/>
          <w:color w:val="000000" w:themeColor="text1"/>
        </w:rPr>
        <w:t>(3), 1–15.</w:t>
      </w:r>
      <w:r w:rsidRPr="007D1698">
        <w:rPr>
          <w:rFonts w:ascii="Arial" w:hAnsi="Arial" w:cs="Arial"/>
          <w:color w:val="000000" w:themeColor="text1"/>
          <w:spacing w:val="-2"/>
        </w:rPr>
        <w:t xml:space="preserve"> </w:t>
      </w:r>
      <w:hyperlink r:id="rId13">
        <w:r w:rsidRPr="007D1698">
          <w:rPr>
            <w:rFonts w:ascii="Arial" w:hAnsi="Arial" w:cs="Arial"/>
            <w:color w:val="000000" w:themeColor="text1"/>
          </w:rPr>
          <w:t>http://ejournal-</w:t>
        </w:r>
      </w:hyperlink>
      <w:r w:rsidRPr="007D1698">
        <w:rPr>
          <w:rFonts w:ascii="Arial" w:hAnsi="Arial" w:cs="Arial"/>
          <w:color w:val="000000" w:themeColor="text1"/>
        </w:rPr>
        <w:t xml:space="preserve"> </w:t>
      </w:r>
      <w:r w:rsidRPr="007D1698">
        <w:rPr>
          <w:rFonts w:ascii="Arial" w:hAnsi="Arial" w:cs="Arial"/>
          <w:color w:val="000000" w:themeColor="text1"/>
          <w:spacing w:val="-2"/>
        </w:rPr>
        <w:t>s1.undip.ac.id/</w:t>
      </w:r>
      <w:proofErr w:type="spellStart"/>
      <w:r w:rsidRPr="007D1698">
        <w:rPr>
          <w:rFonts w:ascii="Arial" w:hAnsi="Arial" w:cs="Arial"/>
          <w:color w:val="000000" w:themeColor="text1"/>
          <w:spacing w:val="-2"/>
        </w:rPr>
        <w:t>index.php</w:t>
      </w:r>
      <w:proofErr w:type="spellEnd"/>
      <w:r w:rsidRPr="007D1698">
        <w:rPr>
          <w:rFonts w:ascii="Arial" w:hAnsi="Arial" w:cs="Arial"/>
          <w:color w:val="000000" w:themeColor="text1"/>
          <w:spacing w:val="-2"/>
        </w:rPr>
        <w:t>/accounting</w:t>
      </w:r>
    </w:p>
    <w:p w14:paraId="2EDB483E" w14:textId="1A7C9303" w:rsidR="0084763C" w:rsidRPr="007D1698" w:rsidRDefault="0084763C" w:rsidP="0084763C">
      <w:pPr>
        <w:pStyle w:val="BodyText"/>
        <w:tabs>
          <w:tab w:val="left" w:pos="2359"/>
          <w:tab w:val="left" w:pos="4513"/>
          <w:tab w:val="left" w:pos="5973"/>
          <w:tab w:val="left" w:pos="7920"/>
        </w:tabs>
        <w:spacing w:after="0"/>
        <w:ind w:left="565" w:right="18" w:hanging="565"/>
        <w:jc w:val="both"/>
        <w:rPr>
          <w:rFonts w:ascii="Arial" w:hAnsi="Arial" w:cs="Arial"/>
          <w:color w:val="000000" w:themeColor="text1"/>
        </w:rPr>
      </w:pPr>
      <w:r w:rsidRPr="007D1698">
        <w:rPr>
          <w:rFonts w:ascii="Arial" w:hAnsi="Arial" w:cs="Arial"/>
          <w:color w:val="000000" w:themeColor="text1"/>
        </w:rPr>
        <w:t>Badan</w:t>
      </w:r>
      <w:r w:rsidRPr="007D1698">
        <w:rPr>
          <w:rFonts w:ascii="Arial" w:hAnsi="Arial" w:cs="Arial"/>
          <w:color w:val="000000" w:themeColor="text1"/>
          <w:spacing w:val="49"/>
        </w:rPr>
        <w:t xml:space="preserve"> </w:t>
      </w:r>
      <w:r w:rsidRPr="007D1698">
        <w:rPr>
          <w:rFonts w:ascii="Arial" w:hAnsi="Arial" w:cs="Arial"/>
          <w:color w:val="000000" w:themeColor="text1"/>
        </w:rPr>
        <w:t>Pusat</w:t>
      </w:r>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Statistik</w:t>
      </w:r>
      <w:proofErr w:type="spellEnd"/>
      <w:r w:rsidRPr="007D1698">
        <w:rPr>
          <w:rFonts w:ascii="Arial" w:hAnsi="Arial" w:cs="Arial"/>
          <w:color w:val="000000" w:themeColor="text1"/>
        </w:rPr>
        <w:t>.</w:t>
      </w:r>
      <w:r w:rsidRPr="007D1698">
        <w:rPr>
          <w:rFonts w:ascii="Arial" w:hAnsi="Arial" w:cs="Arial"/>
          <w:color w:val="000000" w:themeColor="text1"/>
          <w:spacing w:val="49"/>
        </w:rPr>
        <w:t xml:space="preserve"> </w:t>
      </w:r>
      <w:r w:rsidRPr="007D1698">
        <w:rPr>
          <w:rFonts w:ascii="Arial" w:hAnsi="Arial" w:cs="Arial"/>
          <w:color w:val="000000" w:themeColor="text1"/>
        </w:rPr>
        <w:t>(2024).</w:t>
      </w:r>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Pertumbuhan</w:t>
      </w:r>
      <w:proofErr w:type="spellEnd"/>
      <w:r w:rsidRPr="007D1698">
        <w:rPr>
          <w:rFonts w:ascii="Arial" w:hAnsi="Arial" w:cs="Arial"/>
          <w:color w:val="000000" w:themeColor="text1"/>
          <w:spacing w:val="50"/>
        </w:rPr>
        <w:t xml:space="preserve"> </w:t>
      </w:r>
      <w:r w:rsidRPr="007D1698">
        <w:rPr>
          <w:rFonts w:ascii="Arial" w:hAnsi="Arial" w:cs="Arial"/>
          <w:color w:val="000000" w:themeColor="text1"/>
        </w:rPr>
        <w:t>Ekonomi</w:t>
      </w:r>
      <w:r w:rsidRPr="007D1698">
        <w:rPr>
          <w:rFonts w:ascii="Arial" w:hAnsi="Arial" w:cs="Arial"/>
          <w:color w:val="000000" w:themeColor="text1"/>
          <w:spacing w:val="49"/>
        </w:rPr>
        <w:t xml:space="preserve"> </w:t>
      </w:r>
      <w:r w:rsidRPr="007D1698">
        <w:rPr>
          <w:rFonts w:ascii="Arial" w:hAnsi="Arial" w:cs="Arial"/>
          <w:color w:val="000000" w:themeColor="text1"/>
        </w:rPr>
        <w:t>Indonesia</w:t>
      </w:r>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Triwulan</w:t>
      </w:r>
      <w:proofErr w:type="spellEnd"/>
      <w:r w:rsidRPr="007D1698">
        <w:rPr>
          <w:rFonts w:ascii="Arial" w:hAnsi="Arial" w:cs="Arial"/>
          <w:color w:val="000000" w:themeColor="text1"/>
          <w:spacing w:val="50"/>
        </w:rPr>
        <w:t xml:space="preserve"> </w:t>
      </w:r>
      <w:r w:rsidRPr="007D1698">
        <w:rPr>
          <w:rFonts w:ascii="Arial" w:hAnsi="Arial" w:cs="Arial"/>
          <w:color w:val="000000" w:themeColor="text1"/>
        </w:rPr>
        <w:t>IV-</w:t>
      </w:r>
      <w:r w:rsidRPr="007D1698">
        <w:rPr>
          <w:rFonts w:ascii="Arial" w:hAnsi="Arial" w:cs="Arial"/>
          <w:color w:val="000000" w:themeColor="text1"/>
          <w:spacing w:val="-2"/>
        </w:rPr>
        <w:t>2024.</w:t>
      </w:r>
      <w:r w:rsidRPr="007D1698">
        <w:rPr>
          <w:rFonts w:ascii="Arial" w:hAnsi="Arial" w:cs="Arial"/>
          <w:color w:val="000000" w:themeColor="text1"/>
        </w:rPr>
        <w:t xml:space="preserve"> </w:t>
      </w:r>
      <w:proofErr w:type="spellStart"/>
      <w:r w:rsidRPr="007D1698">
        <w:rPr>
          <w:rFonts w:ascii="Arial" w:hAnsi="Arial" w:cs="Arial"/>
          <w:color w:val="000000" w:themeColor="text1"/>
        </w:rPr>
        <w:t>Diakses</w:t>
      </w:r>
      <w:proofErr w:type="spellEnd"/>
      <w:r w:rsidRPr="007D1698">
        <w:rPr>
          <w:rFonts w:ascii="Arial" w:hAnsi="Arial" w:cs="Arial"/>
          <w:color w:val="000000" w:themeColor="text1"/>
          <w:spacing w:val="-1"/>
        </w:rPr>
        <w:t xml:space="preserve"> </w:t>
      </w:r>
      <w:r w:rsidRPr="007D1698">
        <w:rPr>
          <w:rFonts w:ascii="Arial" w:hAnsi="Arial" w:cs="Arial"/>
          <w:color w:val="000000" w:themeColor="text1"/>
        </w:rPr>
        <w:t>25</w:t>
      </w:r>
      <w:r w:rsidRPr="007D1698">
        <w:rPr>
          <w:rFonts w:ascii="Arial" w:hAnsi="Arial" w:cs="Arial"/>
          <w:color w:val="000000" w:themeColor="text1"/>
          <w:spacing w:val="-2"/>
        </w:rPr>
        <w:t xml:space="preserve"> </w:t>
      </w:r>
      <w:r w:rsidRPr="007D1698">
        <w:rPr>
          <w:rFonts w:ascii="Arial" w:hAnsi="Arial" w:cs="Arial"/>
          <w:color w:val="000000" w:themeColor="text1"/>
        </w:rPr>
        <w:t>Juni</w:t>
      </w:r>
      <w:r w:rsidRPr="007D1698">
        <w:rPr>
          <w:rFonts w:ascii="Arial" w:hAnsi="Arial" w:cs="Arial"/>
          <w:color w:val="000000" w:themeColor="text1"/>
          <w:spacing w:val="-1"/>
        </w:rPr>
        <w:t xml:space="preserve"> </w:t>
      </w:r>
      <w:r w:rsidRPr="007D1698">
        <w:rPr>
          <w:rFonts w:ascii="Arial" w:hAnsi="Arial" w:cs="Arial"/>
          <w:color w:val="000000" w:themeColor="text1"/>
          <w:spacing w:val="-2"/>
        </w:rPr>
        <w:t>https://</w:t>
      </w:r>
      <w:hyperlink r:id="rId14">
        <w:r w:rsidRPr="007D1698">
          <w:rPr>
            <w:rFonts w:ascii="Arial" w:hAnsi="Arial" w:cs="Arial"/>
            <w:color w:val="000000" w:themeColor="text1"/>
            <w:spacing w:val="-2"/>
          </w:rPr>
          <w:t>www.bps.go.id/id/infographic</w:t>
        </w:r>
      </w:hyperlink>
    </w:p>
    <w:p w14:paraId="1CEEF5B7" w14:textId="5F2DEEBA" w:rsidR="0084763C" w:rsidRPr="007D1698" w:rsidRDefault="0084763C" w:rsidP="0084763C">
      <w:pPr>
        <w:ind w:left="565" w:right="18" w:hanging="565"/>
        <w:jc w:val="both"/>
        <w:rPr>
          <w:rFonts w:ascii="Arial" w:hAnsi="Arial" w:cs="Arial"/>
          <w:i/>
          <w:color w:val="000000" w:themeColor="text1"/>
        </w:rPr>
      </w:pPr>
      <w:r w:rsidRPr="007D1698">
        <w:rPr>
          <w:rStyle w:val="Strong"/>
          <w:rFonts w:ascii="Arial" w:eastAsiaTheme="majorEastAsia" w:hAnsi="Arial" w:cs="Arial"/>
          <w:b w:val="0"/>
          <w:bCs w:val="0"/>
          <w:color w:val="000000" w:themeColor="text1"/>
        </w:rPr>
        <w:t>Bani Ismail, M., &amp; Ismaeel, B. (2025).</w:t>
      </w:r>
      <w:r w:rsidRPr="007D1698">
        <w:rPr>
          <w:rStyle w:val="apple-converted-space"/>
          <w:rFonts w:ascii="Arial" w:eastAsiaTheme="majorEastAsia" w:hAnsi="Arial" w:cs="Arial"/>
          <w:b/>
          <w:bCs/>
          <w:color w:val="000000" w:themeColor="text1"/>
        </w:rPr>
        <w:t> </w:t>
      </w:r>
      <w:r w:rsidRPr="007D1698">
        <w:rPr>
          <w:rFonts w:ascii="Arial" w:hAnsi="Arial" w:cs="Arial"/>
          <w:color w:val="000000" w:themeColor="text1"/>
        </w:rPr>
        <w:t>The cost of equity capital and investment sensitivity to the cash flows: Evidence from Jordanian industrial companies.</w:t>
      </w:r>
      <w:r w:rsidRPr="007D1698">
        <w:rPr>
          <w:rStyle w:val="apple-converted-space"/>
          <w:rFonts w:ascii="Arial" w:eastAsiaTheme="majorEastAsia" w:hAnsi="Arial" w:cs="Arial"/>
          <w:color w:val="000000" w:themeColor="text1"/>
        </w:rPr>
        <w:t> </w:t>
      </w:r>
      <w:r w:rsidRPr="007D1698">
        <w:rPr>
          <w:rStyle w:val="Emphasis"/>
          <w:rFonts w:ascii="Arial" w:hAnsi="Arial" w:cs="Arial"/>
          <w:color w:val="000000" w:themeColor="text1"/>
        </w:rPr>
        <w:t>Future Business Journal, 11</w:t>
      </w:r>
      <w:r w:rsidRPr="007D1698">
        <w:rPr>
          <w:rFonts w:ascii="Arial" w:hAnsi="Arial" w:cs="Arial"/>
          <w:color w:val="000000" w:themeColor="text1"/>
        </w:rPr>
        <w:t>, 215.</w:t>
      </w:r>
      <w:r w:rsidRPr="007D1698">
        <w:rPr>
          <w:rStyle w:val="apple-converted-space"/>
          <w:rFonts w:ascii="Arial" w:eastAsiaTheme="majorEastAsia" w:hAnsi="Arial" w:cs="Arial"/>
          <w:color w:val="000000" w:themeColor="text1"/>
        </w:rPr>
        <w:t> </w:t>
      </w:r>
      <w:hyperlink r:id="rId15" w:tgtFrame="_new" w:history="1">
        <w:r w:rsidRPr="007D1698">
          <w:rPr>
            <w:rStyle w:val="Hyperlink"/>
            <w:rFonts w:ascii="Arial" w:eastAsia="Cambria" w:hAnsi="Arial" w:cs="Arial"/>
            <w:color w:val="000000" w:themeColor="text1"/>
            <w:u w:val="none"/>
          </w:rPr>
          <w:t>https://doi.org/10.1186/s43093-025-00637-0</w:t>
        </w:r>
      </w:hyperlink>
    </w:p>
    <w:p w14:paraId="5EFD1936" w14:textId="5198150B" w:rsidR="0084763C" w:rsidRPr="007D1698" w:rsidRDefault="0084763C" w:rsidP="0084763C">
      <w:pPr>
        <w:ind w:left="565" w:right="18" w:hanging="565"/>
        <w:jc w:val="both"/>
        <w:rPr>
          <w:rFonts w:ascii="Arial" w:hAnsi="Arial" w:cs="Arial"/>
          <w:color w:val="000000" w:themeColor="text1"/>
        </w:rPr>
      </w:pPr>
      <w:proofErr w:type="spellStart"/>
      <w:r w:rsidRPr="007D1698">
        <w:rPr>
          <w:rFonts w:ascii="Arial" w:hAnsi="Arial" w:cs="Arial"/>
          <w:color w:val="000000" w:themeColor="text1"/>
        </w:rPr>
        <w:t>Benteng</w:t>
      </w:r>
      <w:proofErr w:type="spellEnd"/>
      <w:r w:rsidRPr="007D1698">
        <w:rPr>
          <w:rFonts w:ascii="Arial" w:hAnsi="Arial" w:cs="Arial"/>
          <w:color w:val="000000" w:themeColor="text1"/>
        </w:rPr>
        <w:t>,</w:t>
      </w:r>
      <w:r w:rsidRPr="007D1698">
        <w:rPr>
          <w:rFonts w:ascii="Arial" w:hAnsi="Arial" w:cs="Arial"/>
          <w:color w:val="000000" w:themeColor="text1"/>
          <w:spacing w:val="-3"/>
        </w:rPr>
        <w:t xml:space="preserve"> </w:t>
      </w:r>
      <w:r w:rsidRPr="007D1698">
        <w:rPr>
          <w:rFonts w:ascii="Arial" w:hAnsi="Arial" w:cs="Arial"/>
          <w:color w:val="000000" w:themeColor="text1"/>
        </w:rPr>
        <w:t>B.</w:t>
      </w:r>
      <w:r w:rsidRPr="007D1698">
        <w:rPr>
          <w:rFonts w:ascii="Arial" w:hAnsi="Arial" w:cs="Arial"/>
          <w:color w:val="000000" w:themeColor="text1"/>
          <w:spacing w:val="-3"/>
        </w:rPr>
        <w:t xml:space="preserve"> </w:t>
      </w:r>
      <w:r w:rsidRPr="007D1698">
        <w:rPr>
          <w:rFonts w:ascii="Arial" w:hAnsi="Arial" w:cs="Arial"/>
          <w:color w:val="000000" w:themeColor="text1"/>
        </w:rPr>
        <w:t>L.,</w:t>
      </w:r>
      <w:r w:rsidRPr="007D1698">
        <w:rPr>
          <w:rFonts w:ascii="Arial" w:hAnsi="Arial" w:cs="Arial"/>
          <w:color w:val="000000" w:themeColor="text1"/>
          <w:spacing w:val="-3"/>
        </w:rPr>
        <w:t xml:space="preserve"> </w:t>
      </w:r>
      <w:r w:rsidRPr="007D1698">
        <w:rPr>
          <w:rFonts w:ascii="Arial" w:hAnsi="Arial" w:cs="Arial"/>
          <w:color w:val="000000" w:themeColor="text1"/>
        </w:rPr>
        <w:t>Muslim,</w:t>
      </w:r>
      <w:r w:rsidRPr="007D1698">
        <w:rPr>
          <w:rFonts w:ascii="Arial" w:hAnsi="Arial" w:cs="Arial"/>
          <w:color w:val="000000" w:themeColor="text1"/>
          <w:spacing w:val="-3"/>
        </w:rPr>
        <w:t xml:space="preserve"> </w:t>
      </w:r>
      <w:r w:rsidRPr="007D1698">
        <w:rPr>
          <w:rFonts w:ascii="Arial" w:hAnsi="Arial" w:cs="Arial"/>
          <w:color w:val="000000" w:themeColor="text1"/>
        </w:rPr>
        <w:t>B.,</w:t>
      </w:r>
      <w:r w:rsidRPr="007D1698">
        <w:rPr>
          <w:rFonts w:ascii="Arial" w:hAnsi="Arial" w:cs="Arial"/>
          <w:color w:val="000000" w:themeColor="text1"/>
          <w:spacing w:val="-3"/>
        </w:rPr>
        <w:t xml:space="preserve"> </w:t>
      </w:r>
      <w:r w:rsidRPr="007D1698">
        <w:rPr>
          <w:rFonts w:ascii="Arial" w:hAnsi="Arial" w:cs="Arial"/>
          <w:color w:val="000000" w:themeColor="text1"/>
        </w:rPr>
        <w:t>&amp;</w:t>
      </w:r>
      <w:r w:rsidRPr="007D1698">
        <w:rPr>
          <w:rFonts w:ascii="Arial" w:hAnsi="Arial" w:cs="Arial"/>
          <w:color w:val="000000" w:themeColor="text1"/>
          <w:spacing w:val="-3"/>
        </w:rPr>
        <w:t xml:space="preserve"> </w:t>
      </w:r>
      <w:r w:rsidRPr="007D1698">
        <w:rPr>
          <w:rFonts w:ascii="Arial" w:hAnsi="Arial" w:cs="Arial"/>
          <w:color w:val="000000" w:themeColor="text1"/>
        </w:rPr>
        <w:t>Moin,</w:t>
      </w:r>
      <w:r w:rsidRPr="007D1698">
        <w:rPr>
          <w:rFonts w:ascii="Arial" w:hAnsi="Arial" w:cs="Arial"/>
          <w:color w:val="000000" w:themeColor="text1"/>
          <w:spacing w:val="-3"/>
        </w:rPr>
        <w:t xml:space="preserve"> </w:t>
      </w:r>
      <w:r w:rsidRPr="007D1698">
        <w:rPr>
          <w:rFonts w:ascii="Arial" w:hAnsi="Arial" w:cs="Arial"/>
          <w:color w:val="000000" w:themeColor="text1"/>
        </w:rPr>
        <w:t>A.</w:t>
      </w:r>
      <w:r w:rsidRPr="007D1698">
        <w:rPr>
          <w:rFonts w:ascii="Arial" w:hAnsi="Arial" w:cs="Arial"/>
          <w:color w:val="000000" w:themeColor="text1"/>
          <w:spacing w:val="-3"/>
        </w:rPr>
        <w:t xml:space="preserve"> </w:t>
      </w:r>
      <w:r w:rsidRPr="007D1698">
        <w:rPr>
          <w:rFonts w:ascii="Arial" w:hAnsi="Arial" w:cs="Arial"/>
          <w:color w:val="000000" w:themeColor="text1"/>
        </w:rPr>
        <w:t>(2021).</w:t>
      </w:r>
      <w:r w:rsidRPr="007D1698">
        <w:rPr>
          <w:rFonts w:ascii="Arial" w:hAnsi="Arial" w:cs="Arial"/>
          <w:color w:val="000000" w:themeColor="text1"/>
          <w:spacing w:val="-3"/>
        </w:rPr>
        <w:t xml:space="preserve"> </w:t>
      </w:r>
      <w:r w:rsidRPr="007D1698">
        <w:rPr>
          <w:rFonts w:ascii="Arial" w:hAnsi="Arial" w:cs="Arial"/>
          <w:i/>
          <w:color w:val="000000" w:themeColor="text1"/>
        </w:rPr>
        <w:t>Ownership</w:t>
      </w:r>
      <w:r w:rsidRPr="007D1698">
        <w:rPr>
          <w:rFonts w:ascii="Arial" w:hAnsi="Arial" w:cs="Arial"/>
          <w:i/>
          <w:color w:val="000000" w:themeColor="text1"/>
          <w:spacing w:val="-3"/>
        </w:rPr>
        <w:t xml:space="preserve"> </w:t>
      </w:r>
      <w:r w:rsidRPr="007D1698">
        <w:rPr>
          <w:rFonts w:ascii="Arial" w:hAnsi="Arial" w:cs="Arial"/>
          <w:i/>
          <w:color w:val="000000" w:themeColor="text1"/>
        </w:rPr>
        <w:t>Structure,</w:t>
      </w:r>
      <w:r w:rsidRPr="007D1698">
        <w:rPr>
          <w:rFonts w:ascii="Arial" w:hAnsi="Arial" w:cs="Arial"/>
          <w:i/>
          <w:color w:val="000000" w:themeColor="text1"/>
          <w:spacing w:val="-3"/>
        </w:rPr>
        <w:t xml:space="preserve"> </w:t>
      </w:r>
      <w:r w:rsidRPr="007D1698">
        <w:rPr>
          <w:rFonts w:ascii="Arial" w:hAnsi="Arial" w:cs="Arial"/>
          <w:i/>
          <w:color w:val="000000" w:themeColor="text1"/>
        </w:rPr>
        <w:t>Debt</w:t>
      </w:r>
      <w:r w:rsidRPr="007D1698">
        <w:rPr>
          <w:rFonts w:ascii="Arial" w:hAnsi="Arial" w:cs="Arial"/>
          <w:i/>
          <w:color w:val="000000" w:themeColor="text1"/>
          <w:spacing w:val="-3"/>
        </w:rPr>
        <w:t xml:space="preserve"> </w:t>
      </w:r>
      <w:r w:rsidRPr="007D1698">
        <w:rPr>
          <w:rFonts w:ascii="Arial" w:hAnsi="Arial" w:cs="Arial"/>
          <w:i/>
          <w:color w:val="000000" w:themeColor="text1"/>
        </w:rPr>
        <w:t>Policy,</w:t>
      </w:r>
      <w:r w:rsidRPr="007D1698">
        <w:rPr>
          <w:rFonts w:ascii="Arial" w:hAnsi="Arial" w:cs="Arial"/>
          <w:i/>
          <w:color w:val="000000" w:themeColor="text1"/>
          <w:spacing w:val="-3"/>
        </w:rPr>
        <w:t xml:space="preserve"> </w:t>
      </w:r>
      <w:r w:rsidRPr="007D1698">
        <w:rPr>
          <w:rFonts w:ascii="Arial" w:hAnsi="Arial" w:cs="Arial"/>
          <w:i/>
          <w:color w:val="000000" w:themeColor="text1"/>
        </w:rPr>
        <w:t>and Financial Constraints</w:t>
      </w:r>
      <w:r w:rsidRPr="007D1698">
        <w:rPr>
          <w:rFonts w:ascii="Arial" w:hAnsi="Arial" w:cs="Arial"/>
          <w:color w:val="000000" w:themeColor="text1"/>
        </w:rPr>
        <w:t xml:space="preserve">. </w:t>
      </w:r>
      <w:r w:rsidRPr="007D1698">
        <w:rPr>
          <w:rFonts w:ascii="Arial" w:hAnsi="Arial" w:cs="Arial"/>
          <w:i/>
          <w:color w:val="000000" w:themeColor="text1"/>
        </w:rPr>
        <w:t>5</w:t>
      </w:r>
      <w:r w:rsidRPr="007D1698">
        <w:rPr>
          <w:rFonts w:ascii="Arial" w:hAnsi="Arial" w:cs="Arial"/>
          <w:color w:val="000000" w:themeColor="text1"/>
        </w:rPr>
        <w:t>(1), 63–90. https://doi.org/10.29259/sijdeb.v5i1.63-90</w:t>
      </w:r>
    </w:p>
    <w:p w14:paraId="27EC42CD" w14:textId="15E2824E"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Chen, Z., &amp; Jiang, K. (2024). Digitalization and corporate investment efficiency: Evidence from China.</w:t>
      </w:r>
      <w:r w:rsidRPr="007D1698">
        <w:rPr>
          <w:rFonts w:ascii="Arial" w:hAnsi="Arial" w:cs="Arial"/>
          <w:color w:val="000000" w:themeColor="text1"/>
          <w:spacing w:val="-4"/>
        </w:rPr>
        <w:t xml:space="preserve"> </w:t>
      </w:r>
      <w:r w:rsidRPr="007D1698">
        <w:rPr>
          <w:rFonts w:ascii="Arial" w:hAnsi="Arial" w:cs="Arial"/>
          <w:i/>
          <w:color w:val="000000" w:themeColor="text1"/>
        </w:rPr>
        <w:t>Journal of International Financial Markets, Institutions &amp; Money</w:t>
      </w:r>
      <w:r w:rsidRPr="007D1698">
        <w:rPr>
          <w:rFonts w:ascii="Arial" w:hAnsi="Arial" w:cs="Arial"/>
          <w:color w:val="000000" w:themeColor="text1"/>
        </w:rPr>
        <w:t xml:space="preserve">, </w:t>
      </w:r>
      <w:r w:rsidRPr="007D1698">
        <w:rPr>
          <w:rFonts w:ascii="Arial" w:hAnsi="Arial" w:cs="Arial"/>
          <w:i/>
          <w:color w:val="000000" w:themeColor="text1"/>
        </w:rPr>
        <w:t>91</w:t>
      </w:r>
      <w:r w:rsidRPr="007D1698">
        <w:rPr>
          <w:rFonts w:ascii="Arial" w:hAnsi="Arial" w:cs="Arial"/>
          <w:color w:val="000000" w:themeColor="text1"/>
        </w:rPr>
        <w:t>, 101915. https://doi.org/10.1016/j.intfin.2023.101915</w:t>
      </w:r>
    </w:p>
    <w:p w14:paraId="747F4E7B" w14:textId="0ECF004B" w:rsidR="0084763C" w:rsidRPr="007D1698" w:rsidRDefault="0084763C" w:rsidP="0084763C">
      <w:pPr>
        <w:pStyle w:val="BodyText"/>
        <w:spacing w:after="0"/>
        <w:ind w:left="565" w:right="18" w:hanging="565"/>
        <w:jc w:val="both"/>
        <w:rPr>
          <w:rFonts w:ascii="Arial" w:hAnsi="Arial" w:cs="Arial"/>
          <w:color w:val="000000" w:themeColor="text1"/>
          <w:spacing w:val="-2"/>
        </w:rPr>
      </w:pPr>
      <w:r w:rsidRPr="007D1698">
        <w:rPr>
          <w:rFonts w:ascii="Arial" w:hAnsi="Arial" w:cs="Arial"/>
          <w:color w:val="000000" w:themeColor="text1"/>
        </w:rPr>
        <w:lastRenderedPageBreak/>
        <w:t xml:space="preserve">Chu, E. Y., Lai, T. S., &amp; Song, S.-I. (2016). Financial Constraints and Corporate Governance in Family Controlled Firms in Malaysia. </w:t>
      </w:r>
      <w:r w:rsidRPr="007D1698">
        <w:rPr>
          <w:rFonts w:ascii="Arial" w:hAnsi="Arial" w:cs="Arial"/>
          <w:i/>
          <w:color w:val="000000" w:themeColor="text1"/>
        </w:rPr>
        <w:t>SSRN Electronic Journal</w:t>
      </w:r>
      <w:r w:rsidRPr="007D1698">
        <w:rPr>
          <w:rFonts w:ascii="Arial" w:hAnsi="Arial" w:cs="Arial"/>
          <w:color w:val="000000" w:themeColor="text1"/>
        </w:rPr>
        <w:t xml:space="preserve">. </w:t>
      </w:r>
      <w:hyperlink r:id="rId16" w:history="1">
        <w:r w:rsidRPr="007D1698">
          <w:rPr>
            <w:rStyle w:val="Hyperlink"/>
            <w:rFonts w:ascii="Arial" w:hAnsi="Arial" w:cs="Arial"/>
            <w:color w:val="000000" w:themeColor="text1"/>
            <w:spacing w:val="-2"/>
            <w:u w:val="none"/>
          </w:rPr>
          <w:t>https://doi.org/10.2139/ssrn.2584301</w:t>
        </w:r>
      </w:hyperlink>
    </w:p>
    <w:p w14:paraId="47106348" w14:textId="1BE20526"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Farooq, M., Humayon, A. A., Khan, M. I., &amp; Ali, S. (2022). Ownership structure and financial constraints – Evidence from an</w:t>
      </w:r>
      <w:r w:rsidRPr="007D1698">
        <w:rPr>
          <w:rFonts w:ascii="Arial" w:hAnsi="Arial" w:cs="Arial"/>
          <w:color w:val="000000" w:themeColor="text1"/>
          <w:spacing w:val="-3"/>
        </w:rPr>
        <w:t xml:space="preserve"> </w:t>
      </w:r>
      <w:r w:rsidRPr="007D1698">
        <w:rPr>
          <w:rFonts w:ascii="Arial" w:hAnsi="Arial" w:cs="Arial"/>
          <w:color w:val="000000" w:themeColor="text1"/>
        </w:rPr>
        <w:t xml:space="preserve">emerging market. </w:t>
      </w:r>
      <w:r w:rsidRPr="007D1698">
        <w:rPr>
          <w:rFonts w:ascii="Arial" w:hAnsi="Arial" w:cs="Arial"/>
          <w:i/>
          <w:color w:val="000000" w:themeColor="text1"/>
        </w:rPr>
        <w:t>Managerial Finance</w:t>
      </w:r>
      <w:r w:rsidRPr="007D1698">
        <w:rPr>
          <w:rFonts w:ascii="Arial" w:hAnsi="Arial" w:cs="Arial"/>
          <w:color w:val="000000" w:themeColor="text1"/>
        </w:rPr>
        <w:t xml:space="preserve">, </w:t>
      </w:r>
      <w:r w:rsidRPr="007D1698">
        <w:rPr>
          <w:rFonts w:ascii="Arial" w:hAnsi="Arial" w:cs="Arial"/>
          <w:i/>
          <w:color w:val="000000" w:themeColor="text1"/>
        </w:rPr>
        <w:t>48</w:t>
      </w:r>
      <w:r w:rsidRPr="007D1698">
        <w:rPr>
          <w:rFonts w:ascii="Arial" w:hAnsi="Arial" w:cs="Arial"/>
          <w:color w:val="000000" w:themeColor="text1"/>
        </w:rPr>
        <w:t>(7), 1007–1028. https://doi.org/10.1108/MF-12-2021-0620</w:t>
      </w:r>
    </w:p>
    <w:p w14:paraId="3AEAF794" w14:textId="4960F971" w:rsidR="0084763C" w:rsidRPr="007D1698" w:rsidRDefault="0084763C" w:rsidP="0084763C">
      <w:pPr>
        <w:pStyle w:val="BodyText"/>
        <w:spacing w:after="0"/>
        <w:ind w:left="565" w:right="18" w:hanging="565"/>
        <w:jc w:val="both"/>
        <w:rPr>
          <w:rFonts w:ascii="Arial" w:hAnsi="Arial" w:cs="Arial"/>
          <w:color w:val="000000" w:themeColor="text1"/>
          <w:spacing w:val="-2"/>
        </w:rPr>
      </w:pPr>
      <w:r w:rsidRPr="007D1698">
        <w:rPr>
          <w:rFonts w:ascii="Arial" w:hAnsi="Arial" w:cs="Arial"/>
          <w:color w:val="000000" w:themeColor="text1"/>
        </w:rPr>
        <w:t>Farooq,</w:t>
      </w:r>
      <w:r w:rsidRPr="007D1698">
        <w:rPr>
          <w:rFonts w:ascii="Arial" w:hAnsi="Arial" w:cs="Arial"/>
          <w:color w:val="000000" w:themeColor="text1"/>
          <w:spacing w:val="-3"/>
        </w:rPr>
        <w:t xml:space="preserve"> </w:t>
      </w:r>
      <w:r w:rsidRPr="007D1698">
        <w:rPr>
          <w:rFonts w:ascii="Arial" w:hAnsi="Arial" w:cs="Arial"/>
          <w:color w:val="000000" w:themeColor="text1"/>
        </w:rPr>
        <w:t>M.,</w:t>
      </w:r>
      <w:r w:rsidRPr="007D1698">
        <w:rPr>
          <w:rFonts w:ascii="Arial" w:hAnsi="Arial" w:cs="Arial"/>
          <w:color w:val="000000" w:themeColor="text1"/>
          <w:spacing w:val="-3"/>
        </w:rPr>
        <w:t xml:space="preserve"> </w:t>
      </w:r>
      <w:proofErr w:type="spellStart"/>
      <w:r w:rsidRPr="007D1698">
        <w:rPr>
          <w:rFonts w:ascii="Arial" w:hAnsi="Arial" w:cs="Arial"/>
          <w:color w:val="000000" w:themeColor="text1"/>
        </w:rPr>
        <w:t>Hunjra</w:t>
      </w:r>
      <w:proofErr w:type="spellEnd"/>
      <w:r w:rsidRPr="007D1698">
        <w:rPr>
          <w:rFonts w:ascii="Arial" w:hAnsi="Arial" w:cs="Arial"/>
          <w:color w:val="000000" w:themeColor="text1"/>
        </w:rPr>
        <w:t>,</w:t>
      </w:r>
      <w:r w:rsidRPr="007D1698">
        <w:rPr>
          <w:rFonts w:ascii="Arial" w:hAnsi="Arial" w:cs="Arial"/>
          <w:color w:val="000000" w:themeColor="text1"/>
          <w:spacing w:val="-3"/>
        </w:rPr>
        <w:t xml:space="preserve"> </w:t>
      </w:r>
      <w:r w:rsidRPr="007D1698">
        <w:rPr>
          <w:rFonts w:ascii="Arial" w:hAnsi="Arial" w:cs="Arial"/>
          <w:color w:val="000000" w:themeColor="text1"/>
        </w:rPr>
        <w:t>A.</w:t>
      </w:r>
      <w:r w:rsidRPr="007D1698">
        <w:rPr>
          <w:rFonts w:ascii="Arial" w:hAnsi="Arial" w:cs="Arial"/>
          <w:color w:val="000000" w:themeColor="text1"/>
          <w:spacing w:val="-3"/>
        </w:rPr>
        <w:t xml:space="preserve"> </w:t>
      </w:r>
      <w:r w:rsidRPr="007D1698">
        <w:rPr>
          <w:rFonts w:ascii="Arial" w:hAnsi="Arial" w:cs="Arial"/>
          <w:color w:val="000000" w:themeColor="text1"/>
        </w:rPr>
        <w:t>I.,</w:t>
      </w:r>
      <w:r w:rsidRPr="007D1698">
        <w:rPr>
          <w:rFonts w:ascii="Arial" w:hAnsi="Arial" w:cs="Arial"/>
          <w:color w:val="000000" w:themeColor="text1"/>
          <w:spacing w:val="-3"/>
        </w:rPr>
        <w:t xml:space="preserve"> </w:t>
      </w:r>
      <w:r w:rsidRPr="007D1698">
        <w:rPr>
          <w:rFonts w:ascii="Arial" w:hAnsi="Arial" w:cs="Arial"/>
          <w:color w:val="000000" w:themeColor="text1"/>
        </w:rPr>
        <w:t>Ullah,</w:t>
      </w:r>
      <w:r w:rsidRPr="007D1698">
        <w:rPr>
          <w:rFonts w:ascii="Arial" w:hAnsi="Arial" w:cs="Arial"/>
          <w:color w:val="000000" w:themeColor="text1"/>
          <w:spacing w:val="-3"/>
        </w:rPr>
        <w:t xml:space="preserve"> </w:t>
      </w:r>
      <w:r w:rsidRPr="007D1698">
        <w:rPr>
          <w:rFonts w:ascii="Arial" w:hAnsi="Arial" w:cs="Arial"/>
          <w:color w:val="000000" w:themeColor="text1"/>
        </w:rPr>
        <w:t>S.,</w:t>
      </w:r>
      <w:r w:rsidRPr="007D1698">
        <w:rPr>
          <w:rFonts w:ascii="Arial" w:hAnsi="Arial" w:cs="Arial"/>
          <w:color w:val="000000" w:themeColor="text1"/>
          <w:spacing w:val="-3"/>
        </w:rPr>
        <w:t xml:space="preserve"> </w:t>
      </w:r>
      <w:r w:rsidRPr="007D1698">
        <w:rPr>
          <w:rFonts w:ascii="Arial" w:hAnsi="Arial" w:cs="Arial"/>
          <w:color w:val="000000" w:themeColor="text1"/>
        </w:rPr>
        <w:t>&amp;</w:t>
      </w:r>
      <w:r w:rsidRPr="007D1698">
        <w:rPr>
          <w:rFonts w:ascii="Arial" w:hAnsi="Arial" w:cs="Arial"/>
          <w:color w:val="000000" w:themeColor="text1"/>
          <w:spacing w:val="-3"/>
        </w:rPr>
        <w:t xml:space="preserve"> </w:t>
      </w:r>
      <w:r w:rsidRPr="007D1698">
        <w:rPr>
          <w:rFonts w:ascii="Arial" w:hAnsi="Arial" w:cs="Arial"/>
          <w:color w:val="000000" w:themeColor="text1"/>
        </w:rPr>
        <w:t>Al-Faryan,</w:t>
      </w:r>
      <w:r w:rsidRPr="007D1698">
        <w:rPr>
          <w:rFonts w:ascii="Arial" w:hAnsi="Arial" w:cs="Arial"/>
          <w:color w:val="000000" w:themeColor="text1"/>
          <w:spacing w:val="-3"/>
        </w:rPr>
        <w:t xml:space="preserve"> </w:t>
      </w:r>
      <w:r w:rsidRPr="007D1698">
        <w:rPr>
          <w:rFonts w:ascii="Arial" w:hAnsi="Arial" w:cs="Arial"/>
          <w:color w:val="000000" w:themeColor="text1"/>
        </w:rPr>
        <w:t>M.</w:t>
      </w:r>
      <w:r w:rsidRPr="007D1698">
        <w:rPr>
          <w:rFonts w:ascii="Arial" w:hAnsi="Arial" w:cs="Arial"/>
          <w:color w:val="000000" w:themeColor="text1"/>
          <w:spacing w:val="-3"/>
        </w:rPr>
        <w:t xml:space="preserve"> </w:t>
      </w:r>
      <w:r w:rsidRPr="007D1698">
        <w:rPr>
          <w:rFonts w:ascii="Arial" w:hAnsi="Arial" w:cs="Arial"/>
          <w:color w:val="000000" w:themeColor="text1"/>
        </w:rPr>
        <w:t>A.</w:t>
      </w:r>
      <w:r w:rsidRPr="007D1698">
        <w:rPr>
          <w:rFonts w:ascii="Arial" w:hAnsi="Arial" w:cs="Arial"/>
          <w:color w:val="000000" w:themeColor="text1"/>
          <w:spacing w:val="-3"/>
        </w:rPr>
        <w:t xml:space="preserve"> </w:t>
      </w:r>
      <w:r w:rsidRPr="007D1698">
        <w:rPr>
          <w:rFonts w:ascii="Arial" w:hAnsi="Arial" w:cs="Arial"/>
          <w:color w:val="000000" w:themeColor="text1"/>
        </w:rPr>
        <w:t>S.</w:t>
      </w:r>
      <w:r w:rsidRPr="007D1698">
        <w:rPr>
          <w:rFonts w:ascii="Arial" w:hAnsi="Arial" w:cs="Arial"/>
          <w:color w:val="000000" w:themeColor="text1"/>
          <w:spacing w:val="-3"/>
        </w:rPr>
        <w:t xml:space="preserve"> </w:t>
      </w:r>
      <w:r w:rsidRPr="007D1698">
        <w:rPr>
          <w:rFonts w:ascii="Arial" w:hAnsi="Arial" w:cs="Arial"/>
          <w:color w:val="000000" w:themeColor="text1"/>
        </w:rPr>
        <w:t>(2023).</w:t>
      </w:r>
      <w:r w:rsidRPr="007D1698">
        <w:rPr>
          <w:rFonts w:ascii="Arial" w:hAnsi="Arial" w:cs="Arial"/>
          <w:color w:val="000000" w:themeColor="text1"/>
          <w:spacing w:val="-3"/>
        </w:rPr>
        <w:t xml:space="preserve"> </w:t>
      </w:r>
      <w:r w:rsidRPr="007D1698">
        <w:rPr>
          <w:rFonts w:ascii="Arial" w:hAnsi="Arial" w:cs="Arial"/>
          <w:color w:val="000000" w:themeColor="text1"/>
        </w:rPr>
        <w:t>The</w:t>
      </w:r>
      <w:r w:rsidRPr="007D1698">
        <w:rPr>
          <w:rFonts w:ascii="Arial" w:hAnsi="Arial" w:cs="Arial"/>
          <w:color w:val="000000" w:themeColor="text1"/>
          <w:spacing w:val="-3"/>
        </w:rPr>
        <w:t xml:space="preserve"> </w:t>
      </w:r>
      <w:r w:rsidRPr="007D1698">
        <w:rPr>
          <w:rFonts w:ascii="Arial" w:hAnsi="Arial" w:cs="Arial"/>
          <w:color w:val="000000" w:themeColor="text1"/>
        </w:rPr>
        <w:t>determinants</w:t>
      </w:r>
      <w:r w:rsidRPr="007D1698">
        <w:rPr>
          <w:rFonts w:ascii="Arial" w:hAnsi="Arial" w:cs="Arial"/>
          <w:color w:val="000000" w:themeColor="text1"/>
          <w:spacing w:val="-3"/>
        </w:rPr>
        <w:t xml:space="preserve"> </w:t>
      </w:r>
      <w:r w:rsidRPr="007D1698">
        <w:rPr>
          <w:rFonts w:ascii="Arial" w:hAnsi="Arial" w:cs="Arial"/>
          <w:color w:val="000000" w:themeColor="text1"/>
        </w:rPr>
        <w:t>of financial</w:t>
      </w:r>
      <w:r w:rsidRPr="007D1698">
        <w:rPr>
          <w:rFonts w:ascii="Arial" w:hAnsi="Arial" w:cs="Arial"/>
          <w:color w:val="000000" w:themeColor="text1"/>
          <w:spacing w:val="-12"/>
        </w:rPr>
        <w:t xml:space="preserve"> </w:t>
      </w:r>
      <w:r w:rsidRPr="007D1698">
        <w:rPr>
          <w:rFonts w:ascii="Arial" w:hAnsi="Arial" w:cs="Arial"/>
          <w:color w:val="000000" w:themeColor="text1"/>
        </w:rPr>
        <w:t>distress</w:t>
      </w:r>
      <w:r w:rsidRPr="007D1698">
        <w:rPr>
          <w:rFonts w:ascii="Arial" w:hAnsi="Arial" w:cs="Arial"/>
          <w:color w:val="000000" w:themeColor="text1"/>
          <w:spacing w:val="-12"/>
        </w:rPr>
        <w:t xml:space="preserve"> </w:t>
      </w:r>
      <w:r w:rsidRPr="007D1698">
        <w:rPr>
          <w:rFonts w:ascii="Arial" w:hAnsi="Arial" w:cs="Arial"/>
          <w:color w:val="000000" w:themeColor="text1"/>
        </w:rPr>
        <w:t>cost:</w:t>
      </w:r>
      <w:r w:rsidRPr="007D1698">
        <w:rPr>
          <w:rFonts w:ascii="Arial" w:hAnsi="Arial" w:cs="Arial"/>
          <w:color w:val="000000" w:themeColor="text1"/>
          <w:spacing w:val="-11"/>
        </w:rPr>
        <w:t xml:space="preserve"> </w:t>
      </w:r>
      <w:r w:rsidRPr="007D1698">
        <w:rPr>
          <w:rFonts w:ascii="Arial" w:hAnsi="Arial" w:cs="Arial"/>
          <w:color w:val="000000" w:themeColor="text1"/>
        </w:rPr>
        <w:t>A</w:t>
      </w:r>
      <w:r w:rsidRPr="007D1698">
        <w:rPr>
          <w:rFonts w:ascii="Arial" w:hAnsi="Arial" w:cs="Arial"/>
          <w:color w:val="000000" w:themeColor="text1"/>
          <w:spacing w:val="-12"/>
        </w:rPr>
        <w:t xml:space="preserve"> </w:t>
      </w:r>
      <w:r w:rsidRPr="007D1698">
        <w:rPr>
          <w:rFonts w:ascii="Arial" w:hAnsi="Arial" w:cs="Arial"/>
          <w:color w:val="000000" w:themeColor="text1"/>
        </w:rPr>
        <w:t>case</w:t>
      </w:r>
      <w:r w:rsidRPr="007D1698">
        <w:rPr>
          <w:rFonts w:ascii="Arial" w:hAnsi="Arial" w:cs="Arial"/>
          <w:color w:val="000000" w:themeColor="text1"/>
          <w:spacing w:val="-12"/>
        </w:rPr>
        <w:t xml:space="preserve"> </w:t>
      </w:r>
      <w:r w:rsidRPr="007D1698">
        <w:rPr>
          <w:rFonts w:ascii="Arial" w:hAnsi="Arial" w:cs="Arial"/>
          <w:color w:val="000000" w:themeColor="text1"/>
        </w:rPr>
        <w:t>of</w:t>
      </w:r>
      <w:r w:rsidRPr="007D1698">
        <w:rPr>
          <w:rFonts w:ascii="Arial" w:hAnsi="Arial" w:cs="Arial"/>
          <w:color w:val="000000" w:themeColor="text1"/>
          <w:spacing w:val="-11"/>
        </w:rPr>
        <w:t xml:space="preserve"> </w:t>
      </w:r>
      <w:r w:rsidRPr="007D1698">
        <w:rPr>
          <w:rFonts w:ascii="Arial" w:hAnsi="Arial" w:cs="Arial"/>
          <w:color w:val="000000" w:themeColor="text1"/>
        </w:rPr>
        <w:t>emerging</w:t>
      </w:r>
      <w:r w:rsidRPr="007D1698">
        <w:rPr>
          <w:rFonts w:ascii="Arial" w:hAnsi="Arial" w:cs="Arial"/>
          <w:color w:val="000000" w:themeColor="text1"/>
          <w:spacing w:val="-12"/>
        </w:rPr>
        <w:t xml:space="preserve"> </w:t>
      </w:r>
      <w:r w:rsidRPr="007D1698">
        <w:rPr>
          <w:rFonts w:ascii="Arial" w:hAnsi="Arial" w:cs="Arial"/>
          <w:color w:val="000000" w:themeColor="text1"/>
        </w:rPr>
        <w:t>market.</w:t>
      </w:r>
      <w:r w:rsidRPr="007D1698">
        <w:rPr>
          <w:rFonts w:ascii="Arial" w:hAnsi="Arial" w:cs="Arial"/>
          <w:color w:val="000000" w:themeColor="text1"/>
          <w:spacing w:val="-13"/>
        </w:rPr>
        <w:t xml:space="preserve"> </w:t>
      </w:r>
      <w:r w:rsidRPr="007D1698">
        <w:rPr>
          <w:rFonts w:ascii="Arial" w:hAnsi="Arial" w:cs="Arial"/>
          <w:i/>
          <w:color w:val="000000" w:themeColor="text1"/>
        </w:rPr>
        <w:t>Cogent</w:t>
      </w:r>
      <w:r w:rsidRPr="007D1698">
        <w:rPr>
          <w:rFonts w:ascii="Arial" w:hAnsi="Arial" w:cs="Arial"/>
          <w:i/>
          <w:color w:val="000000" w:themeColor="text1"/>
          <w:spacing w:val="-11"/>
        </w:rPr>
        <w:t xml:space="preserve"> </w:t>
      </w:r>
      <w:r w:rsidRPr="007D1698">
        <w:rPr>
          <w:rFonts w:ascii="Arial" w:hAnsi="Arial" w:cs="Arial"/>
          <w:i/>
          <w:color w:val="000000" w:themeColor="text1"/>
        </w:rPr>
        <w:t>Economics</w:t>
      </w:r>
      <w:r w:rsidRPr="007D1698">
        <w:rPr>
          <w:rFonts w:ascii="Arial" w:hAnsi="Arial" w:cs="Arial"/>
          <w:i/>
          <w:color w:val="000000" w:themeColor="text1"/>
          <w:spacing w:val="-12"/>
        </w:rPr>
        <w:t xml:space="preserve"> </w:t>
      </w:r>
      <w:r w:rsidRPr="007D1698">
        <w:rPr>
          <w:rFonts w:ascii="Arial" w:hAnsi="Arial" w:cs="Arial"/>
          <w:i/>
          <w:color w:val="000000" w:themeColor="text1"/>
        </w:rPr>
        <w:t>and</w:t>
      </w:r>
      <w:r w:rsidRPr="007D1698">
        <w:rPr>
          <w:rFonts w:ascii="Arial" w:hAnsi="Arial" w:cs="Arial"/>
          <w:i/>
          <w:color w:val="000000" w:themeColor="text1"/>
          <w:spacing w:val="-11"/>
        </w:rPr>
        <w:t xml:space="preserve"> </w:t>
      </w:r>
      <w:r w:rsidRPr="007D1698">
        <w:rPr>
          <w:rFonts w:ascii="Arial" w:hAnsi="Arial" w:cs="Arial"/>
          <w:i/>
          <w:color w:val="000000" w:themeColor="text1"/>
          <w:spacing w:val="-2"/>
        </w:rPr>
        <w:t>Finance</w:t>
      </w:r>
      <w:r w:rsidRPr="007D1698">
        <w:rPr>
          <w:rFonts w:ascii="Arial" w:hAnsi="Arial" w:cs="Arial"/>
          <w:color w:val="000000" w:themeColor="text1"/>
          <w:spacing w:val="-2"/>
        </w:rPr>
        <w:t>,</w:t>
      </w:r>
      <w:r w:rsidRPr="007D1698">
        <w:rPr>
          <w:rFonts w:ascii="Arial" w:hAnsi="Arial" w:cs="Arial"/>
          <w:i/>
          <w:color w:val="000000" w:themeColor="text1"/>
        </w:rPr>
        <w:t>11</w:t>
      </w:r>
      <w:r w:rsidRPr="007D1698">
        <w:rPr>
          <w:rFonts w:ascii="Arial" w:hAnsi="Arial" w:cs="Arial"/>
          <w:color w:val="000000" w:themeColor="text1"/>
        </w:rPr>
        <w:t xml:space="preserve">(1). </w:t>
      </w:r>
      <w:hyperlink r:id="rId17" w:history="1">
        <w:r w:rsidRPr="007D1698">
          <w:rPr>
            <w:rStyle w:val="Hyperlink"/>
            <w:rFonts w:ascii="Arial" w:hAnsi="Arial" w:cs="Arial"/>
            <w:color w:val="000000" w:themeColor="text1"/>
            <w:spacing w:val="-2"/>
            <w:u w:val="none"/>
          </w:rPr>
          <w:t>https://doi.org/10.1080/23322039.2023.2186038</w:t>
        </w:r>
      </w:hyperlink>
    </w:p>
    <w:p w14:paraId="2EBB7A9A" w14:textId="7156EC92" w:rsidR="0084763C" w:rsidRPr="007D1698" w:rsidRDefault="0084763C" w:rsidP="0084763C">
      <w:pPr>
        <w:tabs>
          <w:tab w:val="left" w:pos="2177"/>
          <w:tab w:val="left" w:pos="3416"/>
          <w:tab w:val="left" w:pos="5188"/>
          <w:tab w:val="left" w:pos="7780"/>
        </w:tabs>
        <w:ind w:left="565" w:right="18" w:hanging="565"/>
        <w:jc w:val="both"/>
        <w:rPr>
          <w:rFonts w:ascii="Arial" w:hAnsi="Arial" w:cs="Arial"/>
          <w:color w:val="000000" w:themeColor="text1"/>
        </w:rPr>
      </w:pPr>
      <w:r w:rsidRPr="007D1698">
        <w:rPr>
          <w:rFonts w:ascii="Arial" w:hAnsi="Arial" w:cs="Arial"/>
          <w:color w:val="000000" w:themeColor="text1"/>
        </w:rPr>
        <w:t>Gu, W., Zhu, W., &amp; Hu, X. (2021). Digital transformation and corporate financing constraints: Evidence from listed companies in China.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Sustainability, 13</w:t>
      </w:r>
      <w:r w:rsidRPr="007D1698">
        <w:rPr>
          <w:rFonts w:ascii="Arial" w:hAnsi="Arial" w:cs="Arial"/>
          <w:color w:val="000000" w:themeColor="text1"/>
        </w:rPr>
        <w:t>(18), 10455.</w:t>
      </w:r>
      <w:r w:rsidRPr="007D1698">
        <w:rPr>
          <w:rStyle w:val="apple-converted-space"/>
          <w:rFonts w:ascii="Arial" w:hAnsi="Arial" w:cs="Arial"/>
          <w:color w:val="000000" w:themeColor="text1"/>
        </w:rPr>
        <w:t> </w:t>
      </w:r>
      <w:hyperlink r:id="rId18" w:history="1">
        <w:r w:rsidRPr="007D1698">
          <w:rPr>
            <w:rStyle w:val="Hyperlink"/>
            <w:rFonts w:ascii="Arial" w:hAnsi="Arial" w:cs="Arial"/>
            <w:color w:val="000000" w:themeColor="text1"/>
            <w:u w:val="none"/>
          </w:rPr>
          <w:t>https://doi.org/10.3390/su131810455</w:t>
        </w:r>
      </w:hyperlink>
    </w:p>
    <w:p w14:paraId="69FEB278" w14:textId="63BD86B1"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Hofmann, E., </w:t>
      </w:r>
      <w:proofErr w:type="spellStart"/>
      <w:r w:rsidRPr="007D1698">
        <w:rPr>
          <w:rFonts w:ascii="Arial" w:hAnsi="Arial" w:cs="Arial"/>
          <w:color w:val="000000" w:themeColor="text1"/>
        </w:rPr>
        <w:t>Töyli</w:t>
      </w:r>
      <w:proofErr w:type="spellEnd"/>
      <w:r w:rsidRPr="007D1698">
        <w:rPr>
          <w:rFonts w:ascii="Arial" w:hAnsi="Arial" w:cs="Arial"/>
          <w:color w:val="000000" w:themeColor="text1"/>
        </w:rPr>
        <w:t xml:space="preserve">, J., &amp; </w:t>
      </w:r>
      <w:proofErr w:type="spellStart"/>
      <w:r w:rsidRPr="007D1698">
        <w:rPr>
          <w:rFonts w:ascii="Arial" w:hAnsi="Arial" w:cs="Arial"/>
          <w:color w:val="000000" w:themeColor="text1"/>
        </w:rPr>
        <w:t>Solakivi</w:t>
      </w:r>
      <w:proofErr w:type="spellEnd"/>
      <w:r w:rsidRPr="007D1698">
        <w:rPr>
          <w:rFonts w:ascii="Arial" w:hAnsi="Arial" w:cs="Arial"/>
          <w:color w:val="000000" w:themeColor="text1"/>
        </w:rPr>
        <w:t>, T. (2022). Working capital behavior of firms during an economic downturn: An analysis of the financial crisis era.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International Journal of Financial Studies</w:t>
      </w:r>
      <w:r w:rsidRPr="007D1698">
        <w:rPr>
          <w:rFonts w:ascii="Arial" w:hAnsi="Arial" w:cs="Arial"/>
          <w:color w:val="000000" w:themeColor="text1"/>
        </w:rPr>
        <w:t>, 10, 55</w:t>
      </w:r>
    </w:p>
    <w:p w14:paraId="1C82F245" w14:textId="2A4DE8FB"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Hu, B., Fan, S., &amp; Zhang, K. (2024). Does digital transformation exacerbate or mitigate maturity mismatch in hospitality and tourism firms?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International Journal of Hospitality Management, 123</w:t>
      </w:r>
      <w:r w:rsidRPr="007D1698">
        <w:rPr>
          <w:rFonts w:ascii="Arial" w:hAnsi="Arial" w:cs="Arial"/>
          <w:color w:val="000000" w:themeColor="text1"/>
        </w:rPr>
        <w:t>, 103915.</w:t>
      </w:r>
      <w:r w:rsidRPr="007D1698">
        <w:rPr>
          <w:rStyle w:val="apple-converted-space"/>
          <w:rFonts w:ascii="Arial" w:hAnsi="Arial" w:cs="Arial"/>
          <w:color w:val="000000" w:themeColor="text1"/>
        </w:rPr>
        <w:t> </w:t>
      </w:r>
      <w:hyperlink r:id="rId19" w:tgtFrame="_new" w:history="1">
        <w:r w:rsidRPr="007D1698">
          <w:rPr>
            <w:rStyle w:val="Hyperlink"/>
            <w:rFonts w:ascii="Arial" w:hAnsi="Arial" w:cs="Arial"/>
            <w:color w:val="000000" w:themeColor="text1"/>
            <w:u w:val="none"/>
          </w:rPr>
          <w:t>https://doi.org/10.1016/j.ijhm.2024.103915</w:t>
        </w:r>
      </w:hyperlink>
    </w:p>
    <w:p w14:paraId="7E3F2A17" w14:textId="3958D80B"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Jensen, M. C., &amp; Meckling, W. H. (1976). Theory of the firm: Managerial behavior, agency costs and ownership structure.</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Journal of Financial Economics, 3</w:t>
      </w:r>
      <w:r w:rsidRPr="007D1698">
        <w:rPr>
          <w:rFonts w:ascii="Arial" w:hAnsi="Arial" w:cs="Arial"/>
          <w:color w:val="000000" w:themeColor="text1"/>
        </w:rPr>
        <w:t>(4), 305–360</w:t>
      </w:r>
    </w:p>
    <w:p w14:paraId="19076490" w14:textId="5006DCC9" w:rsidR="0084763C" w:rsidRPr="007D1698" w:rsidRDefault="0084763C" w:rsidP="0084763C">
      <w:pPr>
        <w:ind w:left="565" w:right="18" w:hanging="565"/>
        <w:jc w:val="both"/>
        <w:rPr>
          <w:rFonts w:ascii="Arial" w:hAnsi="Arial" w:cs="Arial"/>
          <w:i/>
          <w:color w:val="000000" w:themeColor="text1"/>
        </w:rPr>
      </w:pPr>
      <w:r w:rsidRPr="007D1698">
        <w:rPr>
          <w:rFonts w:ascii="Arial" w:hAnsi="Arial" w:cs="Arial"/>
          <w:color w:val="000000" w:themeColor="text1"/>
        </w:rPr>
        <w:t>Kaplan, S. N., &amp; Zingales, L. (1997). Do investment–cash flow sensitivities provide useful measures of financing constraints?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The Quarterly Journal of Economics</w:t>
      </w:r>
      <w:r w:rsidRPr="007D1698">
        <w:rPr>
          <w:rFonts w:ascii="Arial" w:hAnsi="Arial" w:cs="Arial"/>
          <w:color w:val="000000" w:themeColor="text1"/>
        </w:rPr>
        <w:t>, 112(1), 169–215.</w:t>
      </w:r>
      <w:r w:rsidRPr="007D1698">
        <w:rPr>
          <w:rStyle w:val="apple-converted-space"/>
          <w:rFonts w:ascii="Arial" w:hAnsi="Arial" w:cs="Arial"/>
          <w:color w:val="000000" w:themeColor="text1"/>
        </w:rPr>
        <w:t> </w:t>
      </w:r>
      <w:hyperlink r:id="rId20" w:tgtFrame="_new" w:history="1">
        <w:r w:rsidRPr="007D1698">
          <w:rPr>
            <w:rStyle w:val="Hyperlink"/>
            <w:rFonts w:ascii="Arial" w:hAnsi="Arial" w:cs="Arial"/>
            <w:color w:val="000000" w:themeColor="text1"/>
            <w:u w:val="none"/>
          </w:rPr>
          <w:t>https://doi.org/10.1162/003355397555163</w:t>
        </w:r>
      </w:hyperlink>
    </w:p>
    <w:p w14:paraId="46AD5054" w14:textId="7712DAAE"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Kementerian </w:t>
      </w:r>
      <w:proofErr w:type="spellStart"/>
      <w:r w:rsidRPr="007D1698">
        <w:rPr>
          <w:rFonts w:ascii="Arial" w:hAnsi="Arial" w:cs="Arial"/>
          <w:color w:val="000000" w:themeColor="text1"/>
        </w:rPr>
        <w:t>Keuangan</w:t>
      </w:r>
      <w:proofErr w:type="spellEnd"/>
      <w:r w:rsidRPr="007D1698">
        <w:rPr>
          <w:rFonts w:ascii="Arial" w:hAnsi="Arial" w:cs="Arial"/>
          <w:color w:val="000000" w:themeColor="text1"/>
        </w:rPr>
        <w:t xml:space="preserve"> Republik Indonesia. (2025).</w:t>
      </w:r>
      <w:r w:rsidRPr="007D1698">
        <w:rPr>
          <w:rStyle w:val="apple-converted-space"/>
          <w:rFonts w:ascii="Arial" w:hAnsi="Arial" w:cs="Arial"/>
          <w:color w:val="000000" w:themeColor="text1"/>
        </w:rPr>
        <w:t> </w:t>
      </w:r>
      <w:proofErr w:type="spellStart"/>
      <w:r w:rsidRPr="007D1698">
        <w:rPr>
          <w:rStyle w:val="Emphasis"/>
          <w:rFonts w:ascii="Arial" w:hAnsi="Arial" w:cs="Arial"/>
          <w:color w:val="000000" w:themeColor="text1"/>
        </w:rPr>
        <w:t>Manufaktur</w:t>
      </w:r>
      <w:proofErr w:type="spellEnd"/>
      <w:r w:rsidRPr="007D1698">
        <w:rPr>
          <w:rStyle w:val="Emphasis"/>
          <w:rFonts w:ascii="Arial" w:hAnsi="Arial" w:cs="Arial"/>
          <w:color w:val="000000" w:themeColor="text1"/>
        </w:rPr>
        <w:t xml:space="preserve"> Indonesia </w:t>
      </w:r>
      <w:proofErr w:type="spellStart"/>
      <w:r w:rsidRPr="007D1698">
        <w:rPr>
          <w:rStyle w:val="Emphasis"/>
          <w:rFonts w:ascii="Arial" w:hAnsi="Arial" w:cs="Arial"/>
          <w:color w:val="000000" w:themeColor="text1"/>
        </w:rPr>
        <w:t>kembali</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tumbuh</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positif</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didorong</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peningkatan</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produksi</w:t>
      </w:r>
      <w:proofErr w:type="spellEnd"/>
      <w:r w:rsidRPr="007D1698">
        <w:rPr>
          <w:rStyle w:val="Emphasis"/>
          <w:rFonts w:ascii="Arial" w:hAnsi="Arial" w:cs="Arial"/>
          <w:color w:val="000000" w:themeColor="text1"/>
        </w:rPr>
        <w:t xml:space="preserve"> dan </w:t>
      </w:r>
      <w:proofErr w:type="spellStart"/>
      <w:r w:rsidRPr="007D1698">
        <w:rPr>
          <w:rStyle w:val="Emphasis"/>
          <w:rFonts w:ascii="Arial" w:hAnsi="Arial" w:cs="Arial"/>
          <w:color w:val="000000" w:themeColor="text1"/>
        </w:rPr>
        <w:t>inflasi</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tetap</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terkendali</w:t>
      </w:r>
      <w:proofErr w:type="spellEnd"/>
      <w:r w:rsidRPr="007D1698">
        <w:rPr>
          <w:rFonts w:ascii="Arial" w:hAnsi="Arial" w:cs="Arial"/>
          <w:color w:val="000000" w:themeColor="text1"/>
        </w:rPr>
        <w:t xml:space="preserve">. Badan </w:t>
      </w:r>
      <w:proofErr w:type="spellStart"/>
      <w:r w:rsidRPr="007D1698">
        <w:rPr>
          <w:rFonts w:ascii="Arial" w:hAnsi="Arial" w:cs="Arial"/>
          <w:color w:val="000000" w:themeColor="text1"/>
        </w:rPr>
        <w:t>Kebijakan</w:t>
      </w:r>
      <w:proofErr w:type="spellEnd"/>
      <w:r w:rsidRPr="007D1698">
        <w:rPr>
          <w:rFonts w:ascii="Arial" w:hAnsi="Arial" w:cs="Arial"/>
          <w:color w:val="000000" w:themeColor="text1"/>
        </w:rPr>
        <w:t xml:space="preserve"> Fiskal.</w:t>
      </w:r>
      <w:r w:rsidRPr="007D1698">
        <w:rPr>
          <w:rStyle w:val="apple-converted-space"/>
          <w:rFonts w:ascii="Arial" w:hAnsi="Arial" w:cs="Arial"/>
          <w:color w:val="000000" w:themeColor="text1"/>
        </w:rPr>
        <w:t> </w:t>
      </w:r>
      <w:hyperlink r:id="rId21" w:tgtFrame="_new" w:history="1">
        <w:r w:rsidRPr="007D1698">
          <w:rPr>
            <w:rStyle w:val="Hyperlink"/>
            <w:rFonts w:ascii="Arial" w:hAnsi="Arial" w:cs="Arial"/>
            <w:color w:val="000000" w:themeColor="text1"/>
            <w:u w:val="none"/>
          </w:rPr>
          <w:t>https://fiskal.kemenkeu.go.id/publikasi/siaran-pers-detil/602</w:t>
        </w:r>
      </w:hyperlink>
    </w:p>
    <w:p w14:paraId="5BC5B89C" w14:textId="17F9C49A"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Lamont, O., Polk, C., &amp; </w:t>
      </w:r>
      <w:proofErr w:type="spellStart"/>
      <w:r w:rsidRPr="007D1698">
        <w:rPr>
          <w:rFonts w:ascii="Arial" w:hAnsi="Arial" w:cs="Arial"/>
          <w:color w:val="000000" w:themeColor="text1"/>
        </w:rPr>
        <w:t>Saá</w:t>
      </w:r>
      <w:proofErr w:type="spellEnd"/>
      <w:r w:rsidRPr="007D1698">
        <w:rPr>
          <w:rFonts w:ascii="Arial" w:hAnsi="Arial" w:cs="Arial"/>
          <w:color w:val="000000" w:themeColor="text1"/>
        </w:rPr>
        <w:t>-Requejo, J. (2001). Financial constraints and stock returns.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The Review of Financial Studies</w:t>
      </w:r>
      <w:r w:rsidRPr="007D1698">
        <w:rPr>
          <w:rFonts w:ascii="Arial" w:hAnsi="Arial" w:cs="Arial"/>
          <w:color w:val="000000" w:themeColor="text1"/>
        </w:rPr>
        <w:t>, 14(2), 529–554.</w:t>
      </w:r>
    </w:p>
    <w:p w14:paraId="2831864D" w14:textId="33A699C3"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Li, C., Wang, Y., Zhou, Z., Wang, Z., &amp; Mardani, A. (2023). Digital finance innovation and enterprise financing constraints: Evidence from China.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Journal of Business Research, 165</w:t>
      </w:r>
      <w:r w:rsidRPr="007D1698">
        <w:rPr>
          <w:rFonts w:ascii="Arial" w:hAnsi="Arial" w:cs="Arial"/>
          <w:color w:val="000000" w:themeColor="text1"/>
        </w:rPr>
        <w:t>, 114074.</w:t>
      </w:r>
      <w:r w:rsidRPr="007D1698">
        <w:rPr>
          <w:rStyle w:val="apple-converted-space"/>
          <w:rFonts w:ascii="Arial" w:hAnsi="Arial" w:cs="Arial"/>
          <w:color w:val="000000" w:themeColor="text1"/>
        </w:rPr>
        <w:t> </w:t>
      </w:r>
      <w:hyperlink r:id="rId22" w:tgtFrame="_new" w:history="1">
        <w:r w:rsidRPr="007D1698">
          <w:rPr>
            <w:rStyle w:val="Hyperlink"/>
            <w:rFonts w:ascii="Arial" w:hAnsi="Arial" w:cs="Arial"/>
            <w:color w:val="000000" w:themeColor="text1"/>
            <w:u w:val="none"/>
          </w:rPr>
          <w:t>https://doi.org/10.1016/j.jbusres.2023.114074</w:t>
        </w:r>
      </w:hyperlink>
    </w:p>
    <w:p w14:paraId="25A7C27E" w14:textId="3FECC628"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Lugo, S. (2019). Insider ownership and the cost of debt capital: Evidence from bank loans.</w:t>
      </w:r>
      <w:r w:rsidRPr="007D1698">
        <w:rPr>
          <w:rFonts w:ascii="Arial" w:hAnsi="Arial" w:cs="Arial"/>
          <w:color w:val="000000" w:themeColor="text1"/>
          <w:spacing w:val="-1"/>
        </w:rPr>
        <w:t xml:space="preserve"> </w:t>
      </w:r>
      <w:r w:rsidRPr="007D1698">
        <w:rPr>
          <w:rFonts w:ascii="Arial" w:hAnsi="Arial" w:cs="Arial"/>
          <w:i/>
          <w:color w:val="000000" w:themeColor="text1"/>
        </w:rPr>
        <w:t>International</w:t>
      </w:r>
      <w:r w:rsidRPr="007D1698">
        <w:rPr>
          <w:rFonts w:ascii="Arial" w:hAnsi="Arial" w:cs="Arial"/>
          <w:i/>
          <w:color w:val="000000" w:themeColor="text1"/>
          <w:spacing w:val="77"/>
          <w:w w:val="150"/>
        </w:rPr>
        <w:t xml:space="preserve">   </w:t>
      </w:r>
      <w:r w:rsidRPr="007D1698">
        <w:rPr>
          <w:rFonts w:ascii="Arial" w:hAnsi="Arial" w:cs="Arial"/>
          <w:i/>
          <w:color w:val="000000" w:themeColor="text1"/>
        </w:rPr>
        <w:t>Review</w:t>
      </w:r>
      <w:r w:rsidRPr="007D1698">
        <w:rPr>
          <w:rFonts w:ascii="Arial" w:hAnsi="Arial" w:cs="Arial"/>
          <w:i/>
          <w:color w:val="000000" w:themeColor="text1"/>
          <w:spacing w:val="77"/>
          <w:w w:val="150"/>
        </w:rPr>
        <w:t xml:space="preserve">   </w:t>
      </w:r>
      <w:r w:rsidRPr="007D1698">
        <w:rPr>
          <w:rFonts w:ascii="Arial" w:hAnsi="Arial" w:cs="Arial"/>
          <w:i/>
          <w:color w:val="000000" w:themeColor="text1"/>
        </w:rPr>
        <w:t>of</w:t>
      </w:r>
      <w:r w:rsidRPr="007D1698">
        <w:rPr>
          <w:rFonts w:ascii="Arial" w:hAnsi="Arial" w:cs="Arial"/>
          <w:i/>
          <w:color w:val="000000" w:themeColor="text1"/>
          <w:spacing w:val="77"/>
          <w:w w:val="150"/>
        </w:rPr>
        <w:t xml:space="preserve">   </w:t>
      </w:r>
      <w:r w:rsidRPr="007D1698">
        <w:rPr>
          <w:rFonts w:ascii="Arial" w:hAnsi="Arial" w:cs="Arial"/>
          <w:i/>
          <w:color w:val="000000" w:themeColor="text1"/>
        </w:rPr>
        <w:t>Financial</w:t>
      </w:r>
      <w:r w:rsidRPr="007D1698">
        <w:rPr>
          <w:rFonts w:ascii="Arial" w:hAnsi="Arial" w:cs="Arial"/>
          <w:i/>
          <w:color w:val="000000" w:themeColor="text1"/>
          <w:spacing w:val="77"/>
          <w:w w:val="150"/>
        </w:rPr>
        <w:t xml:space="preserve">   </w:t>
      </w:r>
      <w:r w:rsidRPr="007D1698">
        <w:rPr>
          <w:rFonts w:ascii="Arial" w:hAnsi="Arial" w:cs="Arial"/>
          <w:i/>
          <w:color w:val="000000" w:themeColor="text1"/>
        </w:rPr>
        <w:t>Analysis</w:t>
      </w:r>
      <w:r w:rsidRPr="007D1698">
        <w:rPr>
          <w:rFonts w:ascii="Arial" w:hAnsi="Arial" w:cs="Arial"/>
          <w:color w:val="000000" w:themeColor="text1"/>
        </w:rPr>
        <w:t>,</w:t>
      </w:r>
      <w:r w:rsidRPr="007D1698">
        <w:rPr>
          <w:rFonts w:ascii="Arial" w:hAnsi="Arial" w:cs="Arial"/>
          <w:color w:val="000000" w:themeColor="text1"/>
          <w:spacing w:val="1"/>
        </w:rPr>
        <w:t xml:space="preserve"> </w:t>
      </w:r>
      <w:r w:rsidRPr="007D1698">
        <w:rPr>
          <w:rFonts w:ascii="Arial" w:hAnsi="Arial" w:cs="Arial"/>
          <w:i/>
          <w:color w:val="000000" w:themeColor="text1"/>
        </w:rPr>
        <w:t>50</w:t>
      </w:r>
      <w:r w:rsidRPr="007D1698">
        <w:rPr>
          <w:rFonts w:ascii="Arial" w:hAnsi="Arial" w:cs="Arial"/>
          <w:color w:val="000000" w:themeColor="text1"/>
        </w:rPr>
        <w:t>,</w:t>
      </w:r>
      <w:r w:rsidRPr="007D1698">
        <w:rPr>
          <w:rFonts w:ascii="Arial" w:hAnsi="Arial" w:cs="Arial"/>
          <w:color w:val="000000" w:themeColor="text1"/>
          <w:spacing w:val="77"/>
          <w:w w:val="150"/>
        </w:rPr>
        <w:t xml:space="preserve"> </w:t>
      </w:r>
      <w:r w:rsidRPr="007D1698">
        <w:rPr>
          <w:rFonts w:ascii="Arial" w:hAnsi="Arial" w:cs="Arial"/>
          <w:color w:val="000000" w:themeColor="text1"/>
          <w:spacing w:val="-4"/>
        </w:rPr>
        <w:t>119–</w:t>
      </w:r>
      <w:r w:rsidRPr="007D1698">
        <w:rPr>
          <w:rFonts w:ascii="Arial" w:hAnsi="Arial" w:cs="Arial"/>
          <w:color w:val="000000" w:themeColor="text1"/>
        </w:rPr>
        <w:t xml:space="preserve">130. </w:t>
      </w:r>
      <w:hyperlink r:id="rId23" w:history="1">
        <w:r w:rsidRPr="007D1698">
          <w:rPr>
            <w:rStyle w:val="Hyperlink"/>
            <w:rFonts w:ascii="Arial" w:hAnsi="Arial" w:cs="Arial"/>
            <w:color w:val="000000" w:themeColor="text1"/>
            <w:spacing w:val="-2"/>
            <w:u w:val="none"/>
          </w:rPr>
          <w:t>https://doi.org/10.1016/j.irfa.2016.12.007</w:t>
        </w:r>
      </w:hyperlink>
    </w:p>
    <w:p w14:paraId="52BDCC75" w14:textId="4726D0D6"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Mahmood, F., Qadeer, F., &amp; Ahmad, A. (2019). Corporate social responsibility and financial constraints: Evidence from emerging markets.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Sustainability, 11</w:t>
      </w:r>
      <w:r w:rsidRPr="007D1698">
        <w:rPr>
          <w:rFonts w:ascii="Arial" w:hAnsi="Arial" w:cs="Arial"/>
          <w:color w:val="000000" w:themeColor="text1"/>
        </w:rPr>
        <w:t>(13), 3431.</w:t>
      </w:r>
      <w:r w:rsidRPr="007D1698">
        <w:rPr>
          <w:rStyle w:val="apple-converted-space"/>
          <w:rFonts w:ascii="Arial" w:hAnsi="Arial" w:cs="Arial"/>
          <w:color w:val="000000" w:themeColor="text1"/>
        </w:rPr>
        <w:t> </w:t>
      </w:r>
      <w:hyperlink r:id="rId24" w:history="1">
        <w:r w:rsidRPr="007D1698">
          <w:rPr>
            <w:rStyle w:val="Hyperlink"/>
            <w:rFonts w:ascii="Arial" w:hAnsi="Arial" w:cs="Arial"/>
            <w:color w:val="000000" w:themeColor="text1"/>
            <w:u w:val="none"/>
          </w:rPr>
          <w:t>https://doi.org/10.3390/su11133431</w:t>
        </w:r>
      </w:hyperlink>
    </w:p>
    <w:p w14:paraId="458F8244" w14:textId="0583C998" w:rsidR="0084763C" w:rsidRPr="007D1698" w:rsidRDefault="0084763C" w:rsidP="0084763C">
      <w:pPr>
        <w:ind w:left="565" w:right="18" w:hanging="565"/>
        <w:jc w:val="both"/>
        <w:rPr>
          <w:rFonts w:ascii="Arial" w:hAnsi="Arial" w:cs="Arial"/>
          <w:color w:val="000000" w:themeColor="text1"/>
          <w:spacing w:val="-2"/>
        </w:rPr>
      </w:pPr>
      <w:r w:rsidRPr="007D1698">
        <w:rPr>
          <w:rFonts w:ascii="Arial" w:hAnsi="Arial" w:cs="Arial"/>
          <w:color w:val="000000" w:themeColor="text1"/>
        </w:rPr>
        <w:t>Muñoz-</w:t>
      </w:r>
      <w:proofErr w:type="spellStart"/>
      <w:r w:rsidRPr="007D1698">
        <w:rPr>
          <w:rFonts w:ascii="Arial" w:hAnsi="Arial" w:cs="Arial"/>
          <w:color w:val="000000" w:themeColor="text1"/>
        </w:rPr>
        <w:t>Bullón</w:t>
      </w:r>
      <w:proofErr w:type="spellEnd"/>
      <w:r w:rsidRPr="007D1698">
        <w:rPr>
          <w:rFonts w:ascii="Arial" w:hAnsi="Arial" w:cs="Arial"/>
          <w:color w:val="000000" w:themeColor="text1"/>
        </w:rPr>
        <w:t>, F., Sanchez-Bueno, M.J. &amp; Velasco, P. (2024). Exploring the link between family ownership and leverage: a mediating pathway through socioemotional wealth objectives.</w:t>
      </w:r>
      <w:r w:rsidRPr="007D1698">
        <w:rPr>
          <w:rFonts w:ascii="Arial" w:hAnsi="Arial" w:cs="Arial"/>
          <w:color w:val="000000" w:themeColor="text1"/>
          <w:spacing w:val="-2"/>
        </w:rPr>
        <w:t xml:space="preserve"> </w:t>
      </w:r>
      <w:r w:rsidRPr="007D1698">
        <w:rPr>
          <w:rFonts w:ascii="Arial" w:hAnsi="Arial" w:cs="Arial"/>
          <w:i/>
          <w:color w:val="000000" w:themeColor="text1"/>
        </w:rPr>
        <w:t>Rev Manag Sci</w:t>
      </w:r>
      <w:r w:rsidRPr="007D1698">
        <w:rPr>
          <w:rFonts w:ascii="Arial" w:hAnsi="Arial" w:cs="Arial"/>
          <w:i/>
          <w:color w:val="000000" w:themeColor="text1"/>
          <w:spacing w:val="-1"/>
        </w:rPr>
        <w:t xml:space="preserve"> </w:t>
      </w:r>
      <w:r w:rsidRPr="007D1698">
        <w:rPr>
          <w:rFonts w:ascii="Arial" w:hAnsi="Arial" w:cs="Arial"/>
          <w:b/>
          <w:color w:val="000000" w:themeColor="text1"/>
        </w:rPr>
        <w:t>18</w:t>
      </w:r>
      <w:r w:rsidRPr="007D1698">
        <w:rPr>
          <w:rFonts w:ascii="Arial" w:hAnsi="Arial" w:cs="Arial"/>
          <w:color w:val="000000" w:themeColor="text1"/>
        </w:rPr>
        <w:t xml:space="preserve">, 3203–3252 </w:t>
      </w:r>
      <w:r w:rsidRPr="007D1698">
        <w:rPr>
          <w:rFonts w:ascii="Arial" w:hAnsi="Arial" w:cs="Arial"/>
          <w:color w:val="000000" w:themeColor="text1"/>
          <w:spacing w:val="-2"/>
        </w:rPr>
        <w:t>https://doi.org/10.1007/s11846-023-00713-1</w:t>
      </w:r>
    </w:p>
    <w:p w14:paraId="6C4FFDEA" w14:textId="43205A6F" w:rsidR="0084763C" w:rsidRPr="007D1698" w:rsidRDefault="0084763C" w:rsidP="0084763C">
      <w:pPr>
        <w:ind w:left="565" w:right="18" w:hanging="565"/>
        <w:jc w:val="both"/>
        <w:rPr>
          <w:rFonts w:ascii="Arial" w:hAnsi="Arial" w:cs="Arial"/>
          <w:i/>
          <w:color w:val="000000" w:themeColor="text1"/>
        </w:rPr>
      </w:pPr>
      <w:r w:rsidRPr="007D1698">
        <w:rPr>
          <w:rFonts w:ascii="Arial" w:hAnsi="Arial" w:cs="Arial"/>
          <w:color w:val="000000" w:themeColor="text1"/>
        </w:rPr>
        <w:t xml:space="preserve">Myers, S. C., &amp; Majluf, N. S. (1981). Corporate Financing </w:t>
      </w:r>
      <w:proofErr w:type="gramStart"/>
      <w:r w:rsidRPr="007D1698">
        <w:rPr>
          <w:rFonts w:ascii="Arial" w:hAnsi="Arial" w:cs="Arial"/>
          <w:color w:val="000000" w:themeColor="text1"/>
        </w:rPr>
        <w:t>And</w:t>
      </w:r>
      <w:proofErr w:type="gramEnd"/>
      <w:r w:rsidRPr="007D1698">
        <w:rPr>
          <w:rFonts w:ascii="Arial" w:hAnsi="Arial" w:cs="Arial"/>
          <w:color w:val="000000" w:themeColor="text1"/>
        </w:rPr>
        <w:t xml:space="preserve"> Investment Decisions When Firms Have Information </w:t>
      </w:r>
      <w:proofErr w:type="gramStart"/>
      <w:r w:rsidRPr="007D1698">
        <w:rPr>
          <w:rFonts w:ascii="Arial" w:hAnsi="Arial" w:cs="Arial"/>
          <w:color w:val="000000" w:themeColor="text1"/>
        </w:rPr>
        <w:t>The</w:t>
      </w:r>
      <w:proofErr w:type="gramEnd"/>
      <w:r w:rsidRPr="007D1698">
        <w:rPr>
          <w:rFonts w:ascii="Arial" w:hAnsi="Arial" w:cs="Arial"/>
          <w:color w:val="000000" w:themeColor="text1"/>
        </w:rPr>
        <w:t xml:space="preserve"> Investors Do Not Have. </w:t>
      </w:r>
      <w:r w:rsidRPr="007D1698">
        <w:rPr>
          <w:rFonts w:ascii="Arial" w:hAnsi="Arial" w:cs="Arial"/>
          <w:i/>
          <w:color w:val="000000" w:themeColor="text1"/>
        </w:rPr>
        <w:t>National Bureau of Economic Research</w:t>
      </w:r>
    </w:p>
    <w:p w14:paraId="075CCB7B" w14:textId="59B6F1DB"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Osano,</w:t>
      </w:r>
      <w:r w:rsidRPr="007D1698">
        <w:rPr>
          <w:rFonts w:ascii="Arial" w:hAnsi="Arial" w:cs="Arial"/>
          <w:color w:val="000000" w:themeColor="text1"/>
          <w:spacing w:val="-4"/>
        </w:rPr>
        <w:t xml:space="preserve"> </w:t>
      </w:r>
      <w:r w:rsidRPr="007D1698">
        <w:rPr>
          <w:rFonts w:ascii="Arial" w:hAnsi="Arial" w:cs="Arial"/>
          <w:color w:val="000000" w:themeColor="text1"/>
        </w:rPr>
        <w:t>H.</w:t>
      </w:r>
      <w:r w:rsidRPr="007D1698">
        <w:rPr>
          <w:rFonts w:ascii="Arial" w:hAnsi="Arial" w:cs="Arial"/>
          <w:color w:val="000000" w:themeColor="text1"/>
          <w:spacing w:val="-4"/>
        </w:rPr>
        <w:t xml:space="preserve"> </w:t>
      </w:r>
      <w:r w:rsidRPr="007D1698">
        <w:rPr>
          <w:rFonts w:ascii="Arial" w:hAnsi="Arial" w:cs="Arial"/>
          <w:color w:val="000000" w:themeColor="text1"/>
        </w:rPr>
        <w:t>M.,</w:t>
      </w:r>
      <w:r w:rsidRPr="007D1698">
        <w:rPr>
          <w:rFonts w:ascii="Arial" w:hAnsi="Arial" w:cs="Arial"/>
          <w:color w:val="000000" w:themeColor="text1"/>
          <w:spacing w:val="-4"/>
        </w:rPr>
        <w:t xml:space="preserve"> </w:t>
      </w:r>
      <w:r w:rsidRPr="007D1698">
        <w:rPr>
          <w:rFonts w:ascii="Arial" w:hAnsi="Arial" w:cs="Arial"/>
          <w:color w:val="000000" w:themeColor="text1"/>
        </w:rPr>
        <w:t>&amp;</w:t>
      </w:r>
      <w:r w:rsidRPr="007D1698">
        <w:rPr>
          <w:rFonts w:ascii="Arial" w:hAnsi="Arial" w:cs="Arial"/>
          <w:color w:val="000000" w:themeColor="text1"/>
          <w:spacing w:val="-4"/>
        </w:rPr>
        <w:t xml:space="preserve"> </w:t>
      </w:r>
      <w:proofErr w:type="spellStart"/>
      <w:r w:rsidRPr="007D1698">
        <w:rPr>
          <w:rFonts w:ascii="Arial" w:hAnsi="Arial" w:cs="Arial"/>
          <w:color w:val="000000" w:themeColor="text1"/>
        </w:rPr>
        <w:t>Languitone</w:t>
      </w:r>
      <w:proofErr w:type="spellEnd"/>
      <w:r w:rsidRPr="007D1698">
        <w:rPr>
          <w:rFonts w:ascii="Arial" w:hAnsi="Arial" w:cs="Arial"/>
          <w:color w:val="000000" w:themeColor="text1"/>
        </w:rPr>
        <w:t>,</w:t>
      </w:r>
      <w:r w:rsidRPr="007D1698">
        <w:rPr>
          <w:rFonts w:ascii="Arial" w:hAnsi="Arial" w:cs="Arial"/>
          <w:color w:val="000000" w:themeColor="text1"/>
          <w:spacing w:val="-4"/>
        </w:rPr>
        <w:t xml:space="preserve"> </w:t>
      </w:r>
      <w:r w:rsidRPr="007D1698">
        <w:rPr>
          <w:rFonts w:ascii="Arial" w:hAnsi="Arial" w:cs="Arial"/>
          <w:color w:val="000000" w:themeColor="text1"/>
        </w:rPr>
        <w:t>H.</w:t>
      </w:r>
      <w:r w:rsidRPr="007D1698">
        <w:rPr>
          <w:rFonts w:ascii="Arial" w:hAnsi="Arial" w:cs="Arial"/>
          <w:color w:val="000000" w:themeColor="text1"/>
          <w:spacing w:val="-4"/>
        </w:rPr>
        <w:t xml:space="preserve"> </w:t>
      </w:r>
      <w:r w:rsidRPr="007D1698">
        <w:rPr>
          <w:rFonts w:ascii="Arial" w:hAnsi="Arial" w:cs="Arial"/>
          <w:color w:val="000000" w:themeColor="text1"/>
        </w:rPr>
        <w:t>(2015).</w:t>
      </w:r>
      <w:r w:rsidRPr="007D1698">
        <w:rPr>
          <w:rFonts w:ascii="Arial" w:hAnsi="Arial" w:cs="Arial"/>
          <w:color w:val="000000" w:themeColor="text1"/>
          <w:spacing w:val="-4"/>
        </w:rPr>
        <w:t xml:space="preserve"> </w:t>
      </w:r>
      <w:r w:rsidRPr="007D1698">
        <w:rPr>
          <w:rFonts w:ascii="Arial" w:hAnsi="Arial" w:cs="Arial"/>
          <w:color w:val="000000" w:themeColor="text1"/>
        </w:rPr>
        <w:t>Factors</w:t>
      </w:r>
      <w:r w:rsidRPr="007D1698">
        <w:rPr>
          <w:rFonts w:ascii="Arial" w:hAnsi="Arial" w:cs="Arial"/>
          <w:color w:val="000000" w:themeColor="text1"/>
          <w:spacing w:val="-4"/>
        </w:rPr>
        <w:t xml:space="preserve"> </w:t>
      </w:r>
      <w:r w:rsidRPr="007D1698">
        <w:rPr>
          <w:rFonts w:ascii="Arial" w:hAnsi="Arial" w:cs="Arial"/>
          <w:color w:val="000000" w:themeColor="text1"/>
        </w:rPr>
        <w:t>influencing</w:t>
      </w:r>
      <w:r w:rsidRPr="007D1698">
        <w:rPr>
          <w:rFonts w:ascii="Arial" w:hAnsi="Arial" w:cs="Arial"/>
          <w:color w:val="000000" w:themeColor="text1"/>
          <w:spacing w:val="-4"/>
        </w:rPr>
        <w:t xml:space="preserve"> </w:t>
      </w:r>
      <w:r w:rsidRPr="007D1698">
        <w:rPr>
          <w:rFonts w:ascii="Arial" w:hAnsi="Arial" w:cs="Arial"/>
          <w:color w:val="000000" w:themeColor="text1"/>
        </w:rPr>
        <w:t>access</w:t>
      </w:r>
      <w:r w:rsidRPr="007D1698">
        <w:rPr>
          <w:rFonts w:ascii="Arial" w:hAnsi="Arial" w:cs="Arial"/>
          <w:color w:val="000000" w:themeColor="text1"/>
          <w:spacing w:val="-4"/>
        </w:rPr>
        <w:t xml:space="preserve"> </w:t>
      </w:r>
      <w:r w:rsidRPr="007D1698">
        <w:rPr>
          <w:rFonts w:ascii="Arial" w:hAnsi="Arial" w:cs="Arial"/>
          <w:color w:val="000000" w:themeColor="text1"/>
        </w:rPr>
        <w:t>to</w:t>
      </w:r>
      <w:r w:rsidRPr="007D1698">
        <w:rPr>
          <w:rFonts w:ascii="Arial" w:hAnsi="Arial" w:cs="Arial"/>
          <w:color w:val="000000" w:themeColor="text1"/>
          <w:spacing w:val="-4"/>
        </w:rPr>
        <w:t xml:space="preserve"> </w:t>
      </w:r>
      <w:r w:rsidRPr="007D1698">
        <w:rPr>
          <w:rFonts w:ascii="Arial" w:hAnsi="Arial" w:cs="Arial"/>
          <w:color w:val="000000" w:themeColor="text1"/>
        </w:rPr>
        <w:t>finance</w:t>
      </w:r>
      <w:r w:rsidRPr="007D1698">
        <w:rPr>
          <w:rFonts w:ascii="Arial" w:hAnsi="Arial" w:cs="Arial"/>
          <w:color w:val="000000" w:themeColor="text1"/>
          <w:spacing w:val="-4"/>
        </w:rPr>
        <w:t xml:space="preserve"> </w:t>
      </w:r>
      <w:r w:rsidRPr="007D1698">
        <w:rPr>
          <w:rFonts w:ascii="Arial" w:hAnsi="Arial" w:cs="Arial"/>
          <w:color w:val="000000" w:themeColor="text1"/>
        </w:rPr>
        <w:t>by</w:t>
      </w:r>
      <w:r w:rsidRPr="007D1698">
        <w:rPr>
          <w:rFonts w:ascii="Arial" w:hAnsi="Arial" w:cs="Arial"/>
          <w:color w:val="000000" w:themeColor="text1"/>
          <w:spacing w:val="-4"/>
        </w:rPr>
        <w:t xml:space="preserve"> </w:t>
      </w:r>
      <w:r w:rsidRPr="007D1698">
        <w:rPr>
          <w:rFonts w:ascii="Arial" w:hAnsi="Arial" w:cs="Arial"/>
          <w:color w:val="000000" w:themeColor="text1"/>
        </w:rPr>
        <w:t xml:space="preserve">SMEs in Mozambique: case of SMEs in Maputo central business district. </w:t>
      </w:r>
      <w:r w:rsidRPr="007D1698">
        <w:rPr>
          <w:rFonts w:ascii="Arial" w:hAnsi="Arial" w:cs="Arial"/>
          <w:i/>
          <w:color w:val="000000" w:themeColor="text1"/>
        </w:rPr>
        <w:t>Journal of Innovation and Entrepreneurship</w:t>
      </w:r>
      <w:r w:rsidRPr="007D1698">
        <w:rPr>
          <w:rFonts w:ascii="Arial" w:hAnsi="Arial" w:cs="Arial"/>
          <w:color w:val="000000" w:themeColor="text1"/>
        </w:rPr>
        <w:t xml:space="preserve">, </w:t>
      </w:r>
      <w:r w:rsidRPr="007D1698">
        <w:rPr>
          <w:rFonts w:ascii="Arial" w:hAnsi="Arial" w:cs="Arial"/>
          <w:i/>
          <w:color w:val="000000" w:themeColor="text1"/>
        </w:rPr>
        <w:t>5</w:t>
      </w:r>
      <w:r w:rsidRPr="007D1698">
        <w:rPr>
          <w:rFonts w:ascii="Arial" w:hAnsi="Arial" w:cs="Arial"/>
          <w:color w:val="000000" w:themeColor="text1"/>
        </w:rPr>
        <w:t xml:space="preserve">(1). </w:t>
      </w:r>
      <w:hyperlink r:id="rId25" w:history="1">
        <w:r w:rsidRPr="007D1698">
          <w:rPr>
            <w:rStyle w:val="Hyperlink"/>
            <w:rFonts w:ascii="Arial" w:hAnsi="Arial" w:cs="Arial"/>
            <w:color w:val="000000" w:themeColor="text1"/>
            <w:u w:val="none"/>
          </w:rPr>
          <w:t xml:space="preserve">https://doi.org/10.1186/s13731-016-0041- </w:t>
        </w:r>
        <w:r w:rsidRPr="007D1698">
          <w:rPr>
            <w:rStyle w:val="Hyperlink"/>
            <w:rFonts w:ascii="Arial" w:hAnsi="Arial" w:cs="Arial"/>
            <w:color w:val="000000" w:themeColor="text1"/>
            <w:spacing w:val="-10"/>
            <w:u w:val="none"/>
          </w:rPr>
          <w:t>0</w:t>
        </w:r>
      </w:hyperlink>
    </w:p>
    <w:p w14:paraId="546AA515" w14:textId="5158842D" w:rsidR="0084763C" w:rsidRPr="007D1698" w:rsidRDefault="0084763C" w:rsidP="0084763C">
      <w:pPr>
        <w:ind w:left="565" w:right="18" w:hanging="565"/>
        <w:jc w:val="both"/>
        <w:rPr>
          <w:rFonts w:ascii="Arial" w:hAnsi="Arial" w:cs="Arial"/>
          <w:color w:val="000000" w:themeColor="text1"/>
          <w:spacing w:val="-2"/>
        </w:rPr>
      </w:pPr>
      <w:proofErr w:type="spellStart"/>
      <w:r w:rsidRPr="007D1698">
        <w:rPr>
          <w:rFonts w:ascii="Arial" w:hAnsi="Arial" w:cs="Arial"/>
          <w:color w:val="000000" w:themeColor="text1"/>
        </w:rPr>
        <w:t>Permananingrum</w:t>
      </w:r>
      <w:proofErr w:type="spellEnd"/>
      <w:r w:rsidRPr="007D1698">
        <w:rPr>
          <w:rFonts w:ascii="Arial" w:hAnsi="Arial" w:cs="Arial"/>
          <w:color w:val="000000" w:themeColor="text1"/>
        </w:rPr>
        <w:t>, A. (2024).</w:t>
      </w:r>
      <w:r w:rsidRPr="007D1698">
        <w:rPr>
          <w:rFonts w:ascii="Arial" w:hAnsi="Arial" w:cs="Arial"/>
          <w:color w:val="000000" w:themeColor="text1"/>
          <w:spacing w:val="-4"/>
        </w:rPr>
        <w:t xml:space="preserve"> </w:t>
      </w:r>
      <w:r w:rsidRPr="007D1698">
        <w:rPr>
          <w:rFonts w:ascii="Arial" w:hAnsi="Arial" w:cs="Arial"/>
          <w:i/>
          <w:color w:val="000000" w:themeColor="text1"/>
        </w:rPr>
        <w:t>Governance and financial constraints as moderating the relationship</w:t>
      </w:r>
      <w:r w:rsidRPr="007D1698">
        <w:rPr>
          <w:rFonts w:ascii="Arial" w:hAnsi="Arial" w:cs="Arial"/>
          <w:i/>
          <w:color w:val="000000" w:themeColor="text1"/>
          <w:spacing w:val="80"/>
        </w:rPr>
        <w:t xml:space="preserve"> </w:t>
      </w:r>
      <w:r w:rsidRPr="007D1698">
        <w:rPr>
          <w:rFonts w:ascii="Arial" w:hAnsi="Arial" w:cs="Arial"/>
          <w:i/>
          <w:color w:val="000000" w:themeColor="text1"/>
        </w:rPr>
        <w:t>between</w:t>
      </w:r>
      <w:r w:rsidRPr="007D1698">
        <w:rPr>
          <w:rFonts w:ascii="Arial" w:hAnsi="Arial" w:cs="Arial"/>
          <w:i/>
          <w:color w:val="000000" w:themeColor="text1"/>
          <w:spacing w:val="80"/>
        </w:rPr>
        <w:t xml:space="preserve"> </w:t>
      </w:r>
      <w:r w:rsidRPr="007D1698">
        <w:rPr>
          <w:rFonts w:ascii="Arial" w:hAnsi="Arial" w:cs="Arial"/>
          <w:i/>
          <w:color w:val="000000" w:themeColor="text1"/>
        </w:rPr>
        <w:t>cash</w:t>
      </w:r>
      <w:r w:rsidRPr="007D1698">
        <w:rPr>
          <w:rFonts w:ascii="Arial" w:hAnsi="Arial" w:cs="Arial"/>
          <w:i/>
          <w:color w:val="000000" w:themeColor="text1"/>
          <w:spacing w:val="80"/>
        </w:rPr>
        <w:t xml:space="preserve"> </w:t>
      </w:r>
      <w:r w:rsidRPr="007D1698">
        <w:rPr>
          <w:rFonts w:ascii="Arial" w:hAnsi="Arial" w:cs="Arial"/>
          <w:i/>
          <w:color w:val="000000" w:themeColor="text1"/>
        </w:rPr>
        <w:t>holdings</w:t>
      </w:r>
      <w:r w:rsidRPr="007D1698">
        <w:rPr>
          <w:rFonts w:ascii="Arial" w:hAnsi="Arial" w:cs="Arial"/>
          <w:i/>
          <w:color w:val="000000" w:themeColor="text1"/>
          <w:spacing w:val="80"/>
        </w:rPr>
        <w:t xml:space="preserve"> </w:t>
      </w:r>
      <w:r w:rsidRPr="007D1698">
        <w:rPr>
          <w:rFonts w:ascii="Arial" w:hAnsi="Arial" w:cs="Arial"/>
          <w:i/>
          <w:color w:val="000000" w:themeColor="text1"/>
        </w:rPr>
        <w:t>and</w:t>
      </w:r>
      <w:r w:rsidRPr="007D1698">
        <w:rPr>
          <w:rFonts w:ascii="Arial" w:hAnsi="Arial" w:cs="Arial"/>
          <w:i/>
          <w:color w:val="000000" w:themeColor="text1"/>
          <w:spacing w:val="80"/>
        </w:rPr>
        <w:t xml:space="preserve"> </w:t>
      </w:r>
      <w:r w:rsidRPr="007D1698">
        <w:rPr>
          <w:rFonts w:ascii="Arial" w:hAnsi="Arial" w:cs="Arial"/>
          <w:i/>
          <w:color w:val="000000" w:themeColor="text1"/>
        </w:rPr>
        <w:t>firm</w:t>
      </w:r>
      <w:r w:rsidRPr="007D1698">
        <w:rPr>
          <w:rFonts w:ascii="Arial" w:hAnsi="Arial" w:cs="Arial"/>
          <w:i/>
          <w:color w:val="000000" w:themeColor="text1"/>
          <w:spacing w:val="80"/>
        </w:rPr>
        <w:t xml:space="preserve"> </w:t>
      </w:r>
      <w:r w:rsidRPr="007D1698">
        <w:rPr>
          <w:rFonts w:ascii="Arial" w:hAnsi="Arial" w:cs="Arial"/>
          <w:i/>
          <w:color w:val="000000" w:themeColor="text1"/>
        </w:rPr>
        <w:t>value</w:t>
      </w:r>
      <w:r w:rsidRPr="007D1698">
        <w:rPr>
          <w:rFonts w:ascii="Arial" w:hAnsi="Arial" w:cs="Arial"/>
          <w:color w:val="000000" w:themeColor="text1"/>
        </w:rPr>
        <w:t>.</w:t>
      </w:r>
      <w:r w:rsidRPr="007D1698">
        <w:rPr>
          <w:rFonts w:ascii="Arial" w:hAnsi="Arial" w:cs="Arial"/>
          <w:color w:val="000000" w:themeColor="text1"/>
          <w:spacing w:val="80"/>
        </w:rPr>
        <w:t xml:space="preserve"> </w:t>
      </w:r>
      <w:r w:rsidRPr="007D1698">
        <w:rPr>
          <w:rFonts w:ascii="Arial" w:hAnsi="Arial" w:cs="Arial"/>
          <w:color w:val="000000" w:themeColor="text1"/>
        </w:rPr>
        <w:t>In</w:t>
      </w:r>
      <w:r w:rsidRPr="007D1698">
        <w:rPr>
          <w:rFonts w:ascii="Arial" w:hAnsi="Arial" w:cs="Arial"/>
          <w:color w:val="000000" w:themeColor="text1"/>
          <w:spacing w:val="80"/>
        </w:rPr>
        <w:t xml:space="preserve"> </w:t>
      </w:r>
      <w:r w:rsidRPr="007D1698">
        <w:rPr>
          <w:rFonts w:ascii="Arial" w:hAnsi="Arial" w:cs="Arial"/>
          <w:color w:val="000000" w:themeColor="text1"/>
        </w:rPr>
        <w:t>A.</w:t>
      </w:r>
      <w:r w:rsidRPr="007D1698">
        <w:rPr>
          <w:rFonts w:ascii="Arial" w:hAnsi="Arial" w:cs="Arial"/>
          <w:color w:val="000000" w:themeColor="text1"/>
          <w:spacing w:val="80"/>
        </w:rPr>
        <w:t xml:space="preserve"> </w:t>
      </w:r>
      <w:proofErr w:type="spellStart"/>
      <w:r w:rsidRPr="007D1698">
        <w:rPr>
          <w:rFonts w:ascii="Arial" w:hAnsi="Arial" w:cs="Arial"/>
          <w:color w:val="000000" w:themeColor="text1"/>
        </w:rPr>
        <w:t>Farabi</w:t>
      </w:r>
      <w:proofErr w:type="spellEnd"/>
      <w:r w:rsidRPr="007D1698">
        <w:rPr>
          <w:rFonts w:ascii="Arial" w:hAnsi="Arial" w:cs="Arial"/>
          <w:color w:val="000000" w:themeColor="text1"/>
          <w:spacing w:val="80"/>
        </w:rPr>
        <w:t xml:space="preserve"> </w:t>
      </w:r>
      <w:r w:rsidRPr="007D1698">
        <w:rPr>
          <w:rFonts w:ascii="Arial" w:hAnsi="Arial" w:cs="Arial"/>
          <w:color w:val="000000" w:themeColor="text1"/>
        </w:rPr>
        <w:t>et</w:t>
      </w:r>
      <w:r w:rsidRPr="007D1698">
        <w:rPr>
          <w:rFonts w:ascii="Arial" w:hAnsi="Arial" w:cs="Arial"/>
          <w:color w:val="000000" w:themeColor="text1"/>
          <w:spacing w:val="80"/>
        </w:rPr>
        <w:t xml:space="preserve"> </w:t>
      </w:r>
      <w:r w:rsidRPr="007D1698">
        <w:rPr>
          <w:rFonts w:ascii="Arial" w:hAnsi="Arial" w:cs="Arial"/>
          <w:color w:val="000000" w:themeColor="text1"/>
        </w:rPr>
        <w:t>al. (Eds.),</w:t>
      </w:r>
      <w:r w:rsidRPr="007D1698">
        <w:rPr>
          <w:rFonts w:ascii="Arial" w:hAnsi="Arial" w:cs="Arial"/>
          <w:color w:val="000000" w:themeColor="text1"/>
          <w:spacing w:val="-3"/>
        </w:rPr>
        <w:t xml:space="preserve"> </w:t>
      </w:r>
      <w:r w:rsidRPr="007D1698">
        <w:rPr>
          <w:rFonts w:ascii="Arial" w:hAnsi="Arial" w:cs="Arial"/>
          <w:color w:val="000000" w:themeColor="text1"/>
        </w:rPr>
        <w:t>Proceedings of the International Conference on Business, Management</w:t>
      </w:r>
      <w:r w:rsidRPr="007D1698">
        <w:rPr>
          <w:rFonts w:ascii="Arial" w:hAnsi="Arial" w:cs="Arial"/>
          <w:b/>
          <w:color w:val="000000" w:themeColor="text1"/>
        </w:rPr>
        <w:t xml:space="preserve">, </w:t>
      </w:r>
      <w:r w:rsidRPr="007D1698">
        <w:rPr>
          <w:rFonts w:ascii="Arial" w:hAnsi="Arial" w:cs="Arial"/>
          <w:color w:val="000000" w:themeColor="text1"/>
        </w:rPr>
        <w:t>Accounting</w:t>
      </w:r>
      <w:r w:rsidRPr="007D1698">
        <w:rPr>
          <w:rFonts w:ascii="Arial" w:hAnsi="Arial" w:cs="Arial"/>
          <w:color w:val="000000" w:themeColor="text1"/>
          <w:spacing w:val="-15"/>
        </w:rPr>
        <w:t xml:space="preserve"> </w:t>
      </w:r>
      <w:r w:rsidRPr="007D1698">
        <w:rPr>
          <w:rFonts w:ascii="Arial" w:hAnsi="Arial" w:cs="Arial"/>
          <w:color w:val="000000" w:themeColor="text1"/>
        </w:rPr>
        <w:t>and</w:t>
      </w:r>
      <w:r w:rsidRPr="007D1698">
        <w:rPr>
          <w:rFonts w:ascii="Arial" w:hAnsi="Arial" w:cs="Arial"/>
          <w:color w:val="000000" w:themeColor="text1"/>
          <w:spacing w:val="-15"/>
        </w:rPr>
        <w:t xml:space="preserve"> </w:t>
      </w:r>
      <w:r w:rsidRPr="007D1698">
        <w:rPr>
          <w:rFonts w:ascii="Arial" w:hAnsi="Arial" w:cs="Arial"/>
          <w:color w:val="000000" w:themeColor="text1"/>
        </w:rPr>
        <w:t>Sustainable</w:t>
      </w:r>
      <w:r w:rsidRPr="007D1698">
        <w:rPr>
          <w:rFonts w:ascii="Arial" w:hAnsi="Arial" w:cs="Arial"/>
          <w:color w:val="000000" w:themeColor="text1"/>
          <w:spacing w:val="-15"/>
        </w:rPr>
        <w:t xml:space="preserve"> </w:t>
      </w:r>
      <w:r w:rsidRPr="007D1698">
        <w:rPr>
          <w:rFonts w:ascii="Arial" w:hAnsi="Arial" w:cs="Arial"/>
          <w:color w:val="000000" w:themeColor="text1"/>
        </w:rPr>
        <w:t>Economy</w:t>
      </w:r>
      <w:r w:rsidRPr="007D1698">
        <w:rPr>
          <w:rFonts w:ascii="Arial" w:hAnsi="Arial" w:cs="Arial"/>
          <w:color w:val="000000" w:themeColor="text1"/>
          <w:spacing w:val="-15"/>
        </w:rPr>
        <w:t xml:space="preserve"> </w:t>
      </w:r>
      <w:r w:rsidRPr="007D1698">
        <w:rPr>
          <w:rFonts w:ascii="Arial" w:hAnsi="Arial" w:cs="Arial"/>
          <w:color w:val="000000" w:themeColor="text1"/>
        </w:rPr>
        <w:t>(ICBMASE</w:t>
      </w:r>
      <w:r w:rsidRPr="007D1698">
        <w:rPr>
          <w:rFonts w:ascii="Arial" w:hAnsi="Arial" w:cs="Arial"/>
          <w:color w:val="000000" w:themeColor="text1"/>
          <w:spacing w:val="-15"/>
        </w:rPr>
        <w:t xml:space="preserve"> </w:t>
      </w:r>
      <w:r w:rsidRPr="007D1698">
        <w:rPr>
          <w:rFonts w:ascii="Arial" w:hAnsi="Arial" w:cs="Arial"/>
          <w:color w:val="000000" w:themeColor="text1"/>
        </w:rPr>
        <w:t>2023)</w:t>
      </w:r>
      <w:r w:rsidRPr="007D1698">
        <w:rPr>
          <w:rFonts w:ascii="Arial" w:hAnsi="Arial" w:cs="Arial"/>
          <w:color w:val="000000" w:themeColor="text1"/>
          <w:spacing w:val="-10"/>
        </w:rPr>
        <w:t xml:space="preserve"> </w:t>
      </w:r>
      <w:r w:rsidRPr="007D1698">
        <w:rPr>
          <w:rFonts w:ascii="Arial" w:hAnsi="Arial" w:cs="Arial"/>
          <w:color w:val="000000" w:themeColor="text1"/>
        </w:rPr>
        <w:t>(Advances</w:t>
      </w:r>
      <w:r w:rsidRPr="007D1698">
        <w:rPr>
          <w:rFonts w:ascii="Arial" w:hAnsi="Arial" w:cs="Arial"/>
          <w:color w:val="000000" w:themeColor="text1"/>
          <w:spacing w:val="-15"/>
        </w:rPr>
        <w:t xml:space="preserve"> </w:t>
      </w:r>
      <w:r w:rsidRPr="007D1698">
        <w:rPr>
          <w:rFonts w:ascii="Arial" w:hAnsi="Arial" w:cs="Arial"/>
          <w:color w:val="000000" w:themeColor="text1"/>
        </w:rPr>
        <w:t>in</w:t>
      </w:r>
      <w:r w:rsidRPr="007D1698">
        <w:rPr>
          <w:rFonts w:ascii="Arial" w:hAnsi="Arial" w:cs="Arial"/>
          <w:color w:val="000000" w:themeColor="text1"/>
          <w:spacing w:val="-15"/>
        </w:rPr>
        <w:t xml:space="preserve"> </w:t>
      </w:r>
      <w:r w:rsidRPr="007D1698">
        <w:rPr>
          <w:rFonts w:ascii="Arial" w:hAnsi="Arial" w:cs="Arial"/>
          <w:color w:val="000000" w:themeColor="text1"/>
        </w:rPr>
        <w:t xml:space="preserve">Economics, Business and Management Research, Vol. 275, pp. 132–142). Atlantis </w:t>
      </w:r>
      <w:proofErr w:type="spellStart"/>
      <w:r w:rsidRPr="007D1698">
        <w:rPr>
          <w:rFonts w:ascii="Arial" w:hAnsi="Arial" w:cs="Arial"/>
          <w:color w:val="000000" w:themeColor="text1"/>
          <w:spacing w:val="-2"/>
        </w:rPr>
        <w:t>Press.https</w:t>
      </w:r>
      <w:proofErr w:type="spellEnd"/>
      <w:r w:rsidRPr="007D1698">
        <w:rPr>
          <w:rFonts w:ascii="Arial" w:hAnsi="Arial" w:cs="Arial"/>
          <w:color w:val="000000" w:themeColor="text1"/>
          <w:spacing w:val="-2"/>
        </w:rPr>
        <w:t>://doi.org/10.2991/978-94-6463-394-8_13</w:t>
      </w:r>
    </w:p>
    <w:p w14:paraId="6E15C01C" w14:textId="38B447C9"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lastRenderedPageBreak/>
        <w:t>Pham,</w:t>
      </w:r>
      <w:r w:rsidRPr="007D1698">
        <w:rPr>
          <w:rFonts w:ascii="Arial" w:hAnsi="Arial" w:cs="Arial"/>
          <w:color w:val="000000" w:themeColor="text1"/>
          <w:spacing w:val="-9"/>
        </w:rPr>
        <w:t xml:space="preserve"> </w:t>
      </w:r>
      <w:r w:rsidRPr="007D1698">
        <w:rPr>
          <w:rFonts w:ascii="Arial" w:hAnsi="Arial" w:cs="Arial"/>
          <w:color w:val="000000" w:themeColor="text1"/>
        </w:rPr>
        <w:t>M.</w:t>
      </w:r>
      <w:r w:rsidRPr="007D1698">
        <w:rPr>
          <w:rFonts w:ascii="Arial" w:hAnsi="Arial" w:cs="Arial"/>
          <w:color w:val="000000" w:themeColor="text1"/>
          <w:spacing w:val="-9"/>
        </w:rPr>
        <w:t xml:space="preserve"> </w:t>
      </w:r>
      <w:r w:rsidRPr="007D1698">
        <w:rPr>
          <w:rFonts w:ascii="Arial" w:hAnsi="Arial" w:cs="Arial"/>
          <w:color w:val="000000" w:themeColor="text1"/>
        </w:rPr>
        <w:t>T.,</w:t>
      </w:r>
      <w:r w:rsidRPr="007D1698">
        <w:rPr>
          <w:rFonts w:ascii="Arial" w:hAnsi="Arial" w:cs="Arial"/>
          <w:color w:val="000000" w:themeColor="text1"/>
          <w:spacing w:val="-9"/>
        </w:rPr>
        <w:t xml:space="preserve"> </w:t>
      </w:r>
      <w:r w:rsidRPr="007D1698">
        <w:rPr>
          <w:rFonts w:ascii="Arial" w:hAnsi="Arial" w:cs="Arial"/>
          <w:color w:val="000000" w:themeColor="text1"/>
        </w:rPr>
        <w:t>Nguyen,</w:t>
      </w:r>
      <w:r w:rsidRPr="007D1698">
        <w:rPr>
          <w:rFonts w:ascii="Arial" w:hAnsi="Arial" w:cs="Arial"/>
          <w:color w:val="000000" w:themeColor="text1"/>
          <w:spacing w:val="-9"/>
        </w:rPr>
        <w:t xml:space="preserve"> </w:t>
      </w:r>
      <w:r w:rsidRPr="007D1698">
        <w:rPr>
          <w:rFonts w:ascii="Arial" w:hAnsi="Arial" w:cs="Arial"/>
          <w:color w:val="000000" w:themeColor="text1"/>
        </w:rPr>
        <w:t>D.</w:t>
      </w:r>
      <w:r w:rsidRPr="007D1698">
        <w:rPr>
          <w:rFonts w:ascii="Arial" w:hAnsi="Arial" w:cs="Arial"/>
          <w:color w:val="000000" w:themeColor="text1"/>
          <w:spacing w:val="-9"/>
        </w:rPr>
        <w:t xml:space="preserve"> </w:t>
      </w:r>
      <w:r w:rsidRPr="007D1698">
        <w:rPr>
          <w:rFonts w:ascii="Arial" w:hAnsi="Arial" w:cs="Arial"/>
          <w:color w:val="000000" w:themeColor="text1"/>
        </w:rPr>
        <w:t>T.,</w:t>
      </w:r>
      <w:r w:rsidRPr="007D1698">
        <w:rPr>
          <w:rFonts w:ascii="Arial" w:hAnsi="Arial" w:cs="Arial"/>
          <w:color w:val="000000" w:themeColor="text1"/>
          <w:spacing w:val="-9"/>
        </w:rPr>
        <w:t xml:space="preserve"> </w:t>
      </w:r>
      <w:r w:rsidRPr="007D1698">
        <w:rPr>
          <w:rFonts w:ascii="Arial" w:hAnsi="Arial" w:cs="Arial"/>
          <w:color w:val="000000" w:themeColor="text1"/>
        </w:rPr>
        <w:t>&amp;</w:t>
      </w:r>
      <w:r w:rsidRPr="007D1698">
        <w:rPr>
          <w:rFonts w:ascii="Arial" w:hAnsi="Arial" w:cs="Arial"/>
          <w:color w:val="000000" w:themeColor="text1"/>
          <w:spacing w:val="-9"/>
        </w:rPr>
        <w:t xml:space="preserve"> </w:t>
      </w:r>
      <w:r w:rsidRPr="007D1698">
        <w:rPr>
          <w:rFonts w:ascii="Arial" w:hAnsi="Arial" w:cs="Arial"/>
          <w:color w:val="000000" w:themeColor="text1"/>
        </w:rPr>
        <w:t>Thanh,</w:t>
      </w:r>
      <w:r w:rsidRPr="007D1698">
        <w:rPr>
          <w:rFonts w:ascii="Arial" w:hAnsi="Arial" w:cs="Arial"/>
          <w:color w:val="000000" w:themeColor="text1"/>
          <w:spacing w:val="-9"/>
        </w:rPr>
        <w:t xml:space="preserve"> </w:t>
      </w:r>
      <w:r w:rsidRPr="007D1698">
        <w:rPr>
          <w:rFonts w:ascii="Arial" w:hAnsi="Arial" w:cs="Arial"/>
          <w:color w:val="000000" w:themeColor="text1"/>
        </w:rPr>
        <w:t>P.</w:t>
      </w:r>
      <w:r w:rsidRPr="007D1698">
        <w:rPr>
          <w:rFonts w:ascii="Arial" w:hAnsi="Arial" w:cs="Arial"/>
          <w:color w:val="000000" w:themeColor="text1"/>
          <w:spacing w:val="-9"/>
        </w:rPr>
        <w:t xml:space="preserve"> </w:t>
      </w:r>
      <w:r w:rsidRPr="007D1698">
        <w:rPr>
          <w:rFonts w:ascii="Arial" w:hAnsi="Arial" w:cs="Arial"/>
          <w:color w:val="000000" w:themeColor="text1"/>
        </w:rPr>
        <w:t>N.</w:t>
      </w:r>
      <w:r w:rsidRPr="007D1698">
        <w:rPr>
          <w:rFonts w:ascii="Arial" w:hAnsi="Arial" w:cs="Arial"/>
          <w:color w:val="000000" w:themeColor="text1"/>
          <w:spacing w:val="-9"/>
        </w:rPr>
        <w:t xml:space="preserve"> </w:t>
      </w:r>
      <w:r w:rsidRPr="007D1698">
        <w:rPr>
          <w:rFonts w:ascii="Arial" w:hAnsi="Arial" w:cs="Arial"/>
          <w:color w:val="000000" w:themeColor="text1"/>
        </w:rPr>
        <w:t>(2024).</w:t>
      </w:r>
      <w:r w:rsidRPr="007D1698">
        <w:rPr>
          <w:rFonts w:ascii="Arial" w:hAnsi="Arial" w:cs="Arial"/>
          <w:color w:val="000000" w:themeColor="text1"/>
          <w:spacing w:val="-9"/>
        </w:rPr>
        <w:t xml:space="preserve"> </w:t>
      </w:r>
      <w:r w:rsidRPr="007D1698">
        <w:rPr>
          <w:rFonts w:ascii="Arial" w:hAnsi="Arial" w:cs="Arial"/>
          <w:color w:val="000000" w:themeColor="text1"/>
        </w:rPr>
        <w:t>The</w:t>
      </w:r>
      <w:r w:rsidRPr="007D1698">
        <w:rPr>
          <w:rFonts w:ascii="Arial" w:hAnsi="Arial" w:cs="Arial"/>
          <w:color w:val="000000" w:themeColor="text1"/>
          <w:spacing w:val="-9"/>
        </w:rPr>
        <w:t xml:space="preserve"> </w:t>
      </w:r>
      <w:r w:rsidRPr="007D1698">
        <w:rPr>
          <w:rFonts w:ascii="Arial" w:hAnsi="Arial" w:cs="Arial"/>
          <w:color w:val="000000" w:themeColor="text1"/>
        </w:rPr>
        <w:t>relationship</w:t>
      </w:r>
      <w:r w:rsidRPr="007D1698">
        <w:rPr>
          <w:rFonts w:ascii="Arial" w:hAnsi="Arial" w:cs="Arial"/>
          <w:color w:val="000000" w:themeColor="text1"/>
          <w:spacing w:val="-9"/>
        </w:rPr>
        <w:t xml:space="preserve"> </w:t>
      </w:r>
      <w:r w:rsidRPr="007D1698">
        <w:rPr>
          <w:rFonts w:ascii="Arial" w:hAnsi="Arial" w:cs="Arial"/>
          <w:color w:val="000000" w:themeColor="text1"/>
        </w:rPr>
        <w:t>between</w:t>
      </w:r>
      <w:r w:rsidRPr="007D1698">
        <w:rPr>
          <w:rFonts w:ascii="Arial" w:hAnsi="Arial" w:cs="Arial"/>
          <w:color w:val="000000" w:themeColor="text1"/>
          <w:spacing w:val="-9"/>
        </w:rPr>
        <w:t xml:space="preserve"> </w:t>
      </w:r>
      <w:r w:rsidRPr="007D1698">
        <w:rPr>
          <w:rFonts w:ascii="Arial" w:hAnsi="Arial" w:cs="Arial"/>
          <w:color w:val="000000" w:themeColor="text1"/>
        </w:rPr>
        <w:t xml:space="preserve">corporate social responsibility and financial performance: Empirical evidence from an emerging country. </w:t>
      </w:r>
      <w:r w:rsidRPr="007D1698">
        <w:rPr>
          <w:rFonts w:ascii="Arial" w:hAnsi="Arial" w:cs="Arial"/>
          <w:i/>
          <w:color w:val="000000" w:themeColor="text1"/>
        </w:rPr>
        <w:t>Corporate Governance and Organizational Behavior Review</w:t>
      </w:r>
      <w:r w:rsidRPr="007D1698">
        <w:rPr>
          <w:rFonts w:ascii="Arial" w:hAnsi="Arial" w:cs="Arial"/>
          <w:color w:val="000000" w:themeColor="text1"/>
        </w:rPr>
        <w:t xml:space="preserve">, </w:t>
      </w:r>
      <w:r w:rsidRPr="007D1698">
        <w:rPr>
          <w:rFonts w:ascii="Arial" w:hAnsi="Arial" w:cs="Arial"/>
          <w:i/>
          <w:color w:val="000000" w:themeColor="text1"/>
        </w:rPr>
        <w:t>8</w:t>
      </w:r>
      <w:r w:rsidRPr="007D1698">
        <w:rPr>
          <w:rFonts w:ascii="Arial" w:hAnsi="Arial" w:cs="Arial"/>
          <w:color w:val="000000" w:themeColor="text1"/>
        </w:rPr>
        <w:t>(4), 28–42. https://doi.org/10.22495/cgobrv8i4p3</w:t>
      </w:r>
    </w:p>
    <w:p w14:paraId="37DFC98F" w14:textId="4C9792D6" w:rsidR="0084763C" w:rsidRPr="007D1698" w:rsidRDefault="0084763C" w:rsidP="0084763C">
      <w:pPr>
        <w:pStyle w:val="BodyText"/>
        <w:spacing w:after="0"/>
        <w:ind w:left="565" w:right="18" w:hanging="565"/>
        <w:jc w:val="both"/>
        <w:rPr>
          <w:rFonts w:ascii="Arial" w:hAnsi="Arial" w:cs="Arial"/>
          <w:color w:val="000000" w:themeColor="text1"/>
          <w:spacing w:val="-2"/>
        </w:rPr>
      </w:pPr>
      <w:r w:rsidRPr="007D1698">
        <w:rPr>
          <w:rFonts w:ascii="Arial" w:hAnsi="Arial" w:cs="Arial"/>
          <w:color w:val="000000" w:themeColor="text1"/>
        </w:rPr>
        <w:t>Qiu, D., Qiu, J. Unraveling how digital transformation affects innovation capability in China’s smart manufacturing enterprises.</w:t>
      </w:r>
      <w:r w:rsidRPr="007D1698">
        <w:rPr>
          <w:rFonts w:ascii="Arial" w:hAnsi="Arial" w:cs="Arial"/>
          <w:color w:val="000000" w:themeColor="text1"/>
          <w:spacing w:val="-2"/>
        </w:rPr>
        <w:t xml:space="preserve"> </w:t>
      </w:r>
      <w:r w:rsidRPr="007D1698">
        <w:rPr>
          <w:rFonts w:ascii="Arial" w:hAnsi="Arial" w:cs="Arial"/>
          <w:i/>
          <w:color w:val="000000" w:themeColor="text1"/>
        </w:rPr>
        <w:t>Sci Rep</w:t>
      </w:r>
      <w:r w:rsidRPr="007D1698">
        <w:rPr>
          <w:rFonts w:ascii="Arial" w:hAnsi="Arial" w:cs="Arial"/>
          <w:i/>
          <w:color w:val="000000" w:themeColor="text1"/>
          <w:spacing w:val="-1"/>
        </w:rPr>
        <w:t xml:space="preserve"> </w:t>
      </w:r>
      <w:r w:rsidRPr="007D1698">
        <w:rPr>
          <w:rFonts w:ascii="Arial" w:hAnsi="Arial" w:cs="Arial"/>
          <w:color w:val="000000" w:themeColor="text1"/>
        </w:rPr>
        <w:t xml:space="preserve">(2025). https:// </w:t>
      </w:r>
      <w:r w:rsidRPr="007D1698">
        <w:rPr>
          <w:rFonts w:ascii="Arial" w:hAnsi="Arial" w:cs="Arial"/>
          <w:color w:val="000000" w:themeColor="text1"/>
          <w:spacing w:val="-2"/>
        </w:rPr>
        <w:t>ttps://doi.org/10.1038/s41598-025-31781-w</w:t>
      </w:r>
    </w:p>
    <w:p w14:paraId="194E5E0D" w14:textId="64CD3A83" w:rsidR="0084763C" w:rsidRPr="007D1698" w:rsidRDefault="0084763C" w:rsidP="0084763C">
      <w:pPr>
        <w:pStyle w:val="BodyText"/>
        <w:spacing w:after="0"/>
        <w:ind w:left="565" w:right="18" w:hanging="565"/>
        <w:rPr>
          <w:rFonts w:ascii="Arial" w:hAnsi="Arial" w:cs="Arial"/>
          <w:color w:val="000000" w:themeColor="text1"/>
        </w:rPr>
      </w:pPr>
      <w:r w:rsidRPr="007D1698">
        <w:rPr>
          <w:rFonts w:ascii="Arial" w:hAnsi="Arial" w:cs="Arial"/>
          <w:color w:val="000000" w:themeColor="text1"/>
        </w:rPr>
        <w:t>Sari, W. R., &amp; Leon, F. M. (2020). The influence of investment-cash flow sensitivity</w:t>
      </w:r>
      <w:r w:rsidRPr="007D1698">
        <w:rPr>
          <w:rFonts w:ascii="Arial" w:hAnsi="Arial" w:cs="Arial"/>
          <w:color w:val="000000" w:themeColor="text1"/>
          <w:spacing w:val="40"/>
        </w:rPr>
        <w:t xml:space="preserve"> </w:t>
      </w:r>
      <w:r w:rsidRPr="007D1698">
        <w:rPr>
          <w:rFonts w:ascii="Arial" w:hAnsi="Arial" w:cs="Arial"/>
          <w:color w:val="000000" w:themeColor="text1"/>
        </w:rPr>
        <w:t>and</w:t>
      </w:r>
      <w:r w:rsidRPr="007D1698">
        <w:rPr>
          <w:rFonts w:ascii="Arial" w:hAnsi="Arial" w:cs="Arial"/>
          <w:color w:val="000000" w:themeColor="text1"/>
          <w:spacing w:val="56"/>
        </w:rPr>
        <w:t xml:space="preserve"> </w:t>
      </w:r>
      <w:r w:rsidRPr="007D1698">
        <w:rPr>
          <w:rFonts w:ascii="Arial" w:hAnsi="Arial" w:cs="Arial"/>
          <w:color w:val="000000" w:themeColor="text1"/>
        </w:rPr>
        <w:t>financially</w:t>
      </w:r>
      <w:r w:rsidRPr="007D1698">
        <w:rPr>
          <w:rFonts w:ascii="Arial" w:hAnsi="Arial" w:cs="Arial"/>
          <w:color w:val="000000" w:themeColor="text1"/>
          <w:spacing w:val="58"/>
        </w:rPr>
        <w:t xml:space="preserve"> </w:t>
      </w:r>
      <w:r w:rsidRPr="007D1698">
        <w:rPr>
          <w:rFonts w:ascii="Arial" w:hAnsi="Arial" w:cs="Arial"/>
          <w:color w:val="000000" w:themeColor="text1"/>
        </w:rPr>
        <w:t>constrained</w:t>
      </w:r>
      <w:r w:rsidRPr="007D1698">
        <w:rPr>
          <w:rFonts w:ascii="Arial" w:hAnsi="Arial" w:cs="Arial"/>
          <w:color w:val="000000" w:themeColor="text1"/>
          <w:spacing w:val="58"/>
        </w:rPr>
        <w:t xml:space="preserve"> </w:t>
      </w:r>
      <w:r w:rsidRPr="007D1698">
        <w:rPr>
          <w:rFonts w:ascii="Arial" w:hAnsi="Arial" w:cs="Arial"/>
          <w:color w:val="000000" w:themeColor="text1"/>
        </w:rPr>
        <w:t>on</w:t>
      </w:r>
      <w:r w:rsidRPr="007D1698">
        <w:rPr>
          <w:rFonts w:ascii="Arial" w:hAnsi="Arial" w:cs="Arial"/>
          <w:color w:val="000000" w:themeColor="text1"/>
          <w:spacing w:val="59"/>
        </w:rPr>
        <w:t xml:space="preserve"> </w:t>
      </w:r>
      <w:r w:rsidRPr="007D1698">
        <w:rPr>
          <w:rFonts w:ascii="Arial" w:hAnsi="Arial" w:cs="Arial"/>
          <w:color w:val="000000" w:themeColor="text1"/>
        </w:rPr>
        <w:t>investment.</w:t>
      </w:r>
      <w:r w:rsidRPr="007D1698">
        <w:rPr>
          <w:rFonts w:ascii="Arial" w:hAnsi="Arial" w:cs="Arial"/>
          <w:color w:val="000000" w:themeColor="text1"/>
          <w:spacing w:val="58"/>
        </w:rPr>
        <w:t xml:space="preserve"> </w:t>
      </w:r>
      <w:proofErr w:type="spellStart"/>
      <w:r w:rsidRPr="007D1698">
        <w:rPr>
          <w:rFonts w:ascii="Arial" w:hAnsi="Arial" w:cs="Arial"/>
          <w:i/>
          <w:color w:val="000000" w:themeColor="text1"/>
        </w:rPr>
        <w:t>Jurnal</w:t>
      </w:r>
      <w:proofErr w:type="spellEnd"/>
      <w:r w:rsidRPr="007D1698">
        <w:rPr>
          <w:rFonts w:ascii="Arial" w:hAnsi="Arial" w:cs="Arial"/>
          <w:i/>
          <w:color w:val="000000" w:themeColor="text1"/>
          <w:spacing w:val="58"/>
        </w:rPr>
        <w:t xml:space="preserve"> </w:t>
      </w:r>
      <w:proofErr w:type="spellStart"/>
      <w:r w:rsidRPr="007D1698">
        <w:rPr>
          <w:rFonts w:ascii="Arial" w:hAnsi="Arial" w:cs="Arial"/>
          <w:i/>
          <w:color w:val="000000" w:themeColor="text1"/>
        </w:rPr>
        <w:t>Keuangan</w:t>
      </w:r>
      <w:proofErr w:type="spellEnd"/>
      <w:r w:rsidRPr="007D1698">
        <w:rPr>
          <w:rFonts w:ascii="Arial" w:hAnsi="Arial" w:cs="Arial"/>
          <w:i/>
          <w:color w:val="000000" w:themeColor="text1"/>
          <w:spacing w:val="58"/>
        </w:rPr>
        <w:t xml:space="preserve"> </w:t>
      </w:r>
      <w:r w:rsidRPr="007D1698">
        <w:rPr>
          <w:rFonts w:ascii="Arial" w:hAnsi="Arial" w:cs="Arial"/>
          <w:i/>
          <w:color w:val="000000" w:themeColor="text1"/>
        </w:rPr>
        <w:t>Dan</w:t>
      </w:r>
      <w:r w:rsidRPr="007D1698">
        <w:rPr>
          <w:rFonts w:ascii="Arial" w:hAnsi="Arial" w:cs="Arial"/>
          <w:i/>
          <w:color w:val="000000" w:themeColor="text1"/>
          <w:spacing w:val="59"/>
        </w:rPr>
        <w:t xml:space="preserve"> </w:t>
      </w:r>
      <w:r w:rsidRPr="007D1698">
        <w:rPr>
          <w:rFonts w:ascii="Arial" w:hAnsi="Arial" w:cs="Arial"/>
          <w:i/>
          <w:color w:val="000000" w:themeColor="text1"/>
          <w:spacing w:val="-2"/>
        </w:rPr>
        <w:t>Perbankan</w:t>
      </w:r>
      <w:r w:rsidRPr="007D1698">
        <w:rPr>
          <w:rFonts w:ascii="Arial" w:hAnsi="Arial" w:cs="Arial"/>
          <w:color w:val="000000" w:themeColor="text1"/>
          <w:spacing w:val="-2"/>
        </w:rPr>
        <w:t>,</w:t>
      </w:r>
      <w:r w:rsidRPr="007D1698">
        <w:rPr>
          <w:rFonts w:ascii="Arial" w:hAnsi="Arial" w:cs="Arial"/>
          <w:color w:val="000000" w:themeColor="text1"/>
        </w:rPr>
        <w:t xml:space="preserve"> </w:t>
      </w:r>
      <w:r w:rsidRPr="007D1698">
        <w:rPr>
          <w:rFonts w:ascii="Arial" w:hAnsi="Arial" w:cs="Arial"/>
          <w:i/>
          <w:color w:val="000000" w:themeColor="text1"/>
        </w:rPr>
        <w:t>24</w:t>
      </w:r>
      <w:r w:rsidRPr="007D1698">
        <w:rPr>
          <w:rFonts w:ascii="Arial" w:hAnsi="Arial" w:cs="Arial"/>
          <w:color w:val="000000" w:themeColor="text1"/>
        </w:rPr>
        <w:t xml:space="preserve">(1). </w:t>
      </w:r>
      <w:hyperlink r:id="rId26" w:history="1">
        <w:r w:rsidRPr="007D1698">
          <w:rPr>
            <w:rStyle w:val="Hyperlink"/>
            <w:rFonts w:ascii="Arial" w:hAnsi="Arial" w:cs="Arial"/>
            <w:color w:val="000000" w:themeColor="text1"/>
            <w:spacing w:val="-2"/>
            <w:u w:val="none"/>
          </w:rPr>
          <w:t>https://doi.org/10.26905/jkdp.v24i1.3475</w:t>
        </w:r>
      </w:hyperlink>
    </w:p>
    <w:p w14:paraId="6E7AD0C4" w14:textId="77777777"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Shan, Y. G., Troshani, I., Wang, J., &amp; Zhang, L. (2023). Managerial ownership and financial distress: Evidence from the Chinese stock market.</w:t>
      </w:r>
      <w:r w:rsidRPr="007D1698">
        <w:rPr>
          <w:rFonts w:ascii="Arial" w:hAnsi="Arial" w:cs="Arial"/>
          <w:color w:val="000000" w:themeColor="text1"/>
          <w:spacing w:val="-4"/>
        </w:rPr>
        <w:t xml:space="preserve"> </w:t>
      </w:r>
      <w:r w:rsidRPr="007D1698">
        <w:rPr>
          <w:rFonts w:ascii="Arial" w:hAnsi="Arial" w:cs="Arial"/>
          <w:i/>
          <w:color w:val="000000" w:themeColor="text1"/>
        </w:rPr>
        <w:t>International Journal of</w:t>
      </w:r>
      <w:r w:rsidRPr="007D1698">
        <w:rPr>
          <w:rFonts w:ascii="Arial" w:hAnsi="Arial" w:cs="Arial"/>
          <w:i/>
          <w:color w:val="000000" w:themeColor="text1"/>
          <w:spacing w:val="76"/>
        </w:rPr>
        <w:t xml:space="preserve"> </w:t>
      </w:r>
      <w:r w:rsidRPr="007D1698">
        <w:rPr>
          <w:rFonts w:ascii="Arial" w:hAnsi="Arial" w:cs="Arial"/>
          <w:i/>
          <w:color w:val="000000" w:themeColor="text1"/>
        </w:rPr>
        <w:t>Managerial</w:t>
      </w:r>
      <w:r w:rsidRPr="007D1698">
        <w:rPr>
          <w:rFonts w:ascii="Arial" w:hAnsi="Arial" w:cs="Arial"/>
          <w:i/>
          <w:color w:val="000000" w:themeColor="text1"/>
          <w:spacing w:val="78"/>
        </w:rPr>
        <w:t xml:space="preserve"> </w:t>
      </w:r>
      <w:r w:rsidRPr="007D1698">
        <w:rPr>
          <w:rFonts w:ascii="Arial" w:hAnsi="Arial" w:cs="Arial"/>
          <w:i/>
          <w:color w:val="000000" w:themeColor="text1"/>
        </w:rPr>
        <w:t>Finance</w:t>
      </w:r>
      <w:r w:rsidRPr="007D1698">
        <w:rPr>
          <w:rFonts w:ascii="Arial" w:hAnsi="Arial" w:cs="Arial"/>
          <w:color w:val="000000" w:themeColor="text1"/>
        </w:rPr>
        <w:t xml:space="preserve">, </w:t>
      </w:r>
      <w:r w:rsidRPr="007D1698">
        <w:rPr>
          <w:rFonts w:ascii="Arial" w:hAnsi="Arial" w:cs="Arial"/>
          <w:i/>
          <w:color w:val="000000" w:themeColor="text1"/>
        </w:rPr>
        <w:t>20</w:t>
      </w:r>
      <w:r w:rsidRPr="007D1698">
        <w:rPr>
          <w:rFonts w:ascii="Arial" w:hAnsi="Arial" w:cs="Arial"/>
          <w:color w:val="000000" w:themeColor="text1"/>
        </w:rPr>
        <w:t>(1),</w:t>
      </w:r>
      <w:r w:rsidRPr="007D1698">
        <w:rPr>
          <w:rFonts w:ascii="Arial" w:hAnsi="Arial" w:cs="Arial"/>
          <w:color w:val="000000" w:themeColor="text1"/>
          <w:spacing w:val="78"/>
        </w:rPr>
        <w:t xml:space="preserve"> </w:t>
      </w:r>
      <w:r w:rsidRPr="007D1698">
        <w:rPr>
          <w:rFonts w:ascii="Arial" w:hAnsi="Arial" w:cs="Arial"/>
          <w:color w:val="000000" w:themeColor="text1"/>
        </w:rPr>
        <w:t>192–221. https://doi.org/10.1108/IJMF-06-</w:t>
      </w:r>
      <w:r w:rsidRPr="007D1698">
        <w:rPr>
          <w:rFonts w:ascii="Arial" w:hAnsi="Arial" w:cs="Arial"/>
          <w:color w:val="000000" w:themeColor="text1"/>
          <w:spacing w:val="-2"/>
        </w:rPr>
        <w:t>2022-</w:t>
      </w:r>
      <w:r w:rsidRPr="007D1698">
        <w:rPr>
          <w:rFonts w:ascii="Arial" w:hAnsi="Arial" w:cs="Arial"/>
          <w:color w:val="000000" w:themeColor="text1"/>
          <w:spacing w:val="-4"/>
        </w:rPr>
        <w:t>0270</w:t>
      </w:r>
    </w:p>
    <w:p w14:paraId="78A7EA4F" w14:textId="77777777" w:rsidR="0084763C" w:rsidRPr="007D1698" w:rsidRDefault="0084763C" w:rsidP="0084763C">
      <w:pPr>
        <w:pStyle w:val="BodyText"/>
        <w:spacing w:after="0"/>
        <w:ind w:right="18"/>
        <w:rPr>
          <w:rFonts w:ascii="Arial" w:hAnsi="Arial" w:cs="Arial"/>
          <w:color w:val="000000" w:themeColor="text1"/>
        </w:rPr>
      </w:pPr>
    </w:p>
    <w:p w14:paraId="69560CE9" w14:textId="59058C36"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Tajuddin, I. (2025</w:t>
      </w:r>
      <w:r w:rsidRPr="007D1698">
        <w:rPr>
          <w:rFonts w:ascii="Arial" w:hAnsi="Arial" w:cs="Arial"/>
          <w:i/>
          <w:color w:val="000000" w:themeColor="text1"/>
        </w:rPr>
        <w:t>).</w:t>
      </w:r>
      <w:r w:rsidRPr="007D1698">
        <w:rPr>
          <w:rFonts w:ascii="Arial" w:hAnsi="Arial" w:cs="Arial"/>
          <w:i/>
          <w:color w:val="000000" w:themeColor="text1"/>
          <w:spacing w:val="-2"/>
        </w:rPr>
        <w:t xml:space="preserve"> </w:t>
      </w:r>
      <w:r w:rsidRPr="007D1698">
        <w:rPr>
          <w:rFonts w:ascii="Arial" w:hAnsi="Arial" w:cs="Arial"/>
          <w:color w:val="000000" w:themeColor="text1"/>
        </w:rPr>
        <w:t>Challenges of new technology adoption in improving company growth and competitiveness.</w:t>
      </w:r>
      <w:r w:rsidRPr="007D1698">
        <w:rPr>
          <w:rFonts w:ascii="Arial" w:hAnsi="Arial" w:cs="Arial"/>
          <w:color w:val="000000" w:themeColor="text1"/>
          <w:spacing w:val="-2"/>
        </w:rPr>
        <w:t xml:space="preserve"> </w:t>
      </w:r>
      <w:r w:rsidRPr="007D1698">
        <w:rPr>
          <w:rFonts w:ascii="Arial" w:hAnsi="Arial" w:cs="Arial"/>
          <w:i/>
          <w:color w:val="000000" w:themeColor="text1"/>
        </w:rPr>
        <w:t>Advances in Economics &amp; Financial Studies</w:t>
      </w:r>
      <w:r w:rsidRPr="007D1698">
        <w:rPr>
          <w:rFonts w:ascii="Arial" w:hAnsi="Arial" w:cs="Arial"/>
          <w:color w:val="000000" w:themeColor="text1"/>
        </w:rPr>
        <w:t xml:space="preserve">, 3(1), 56–70. </w:t>
      </w:r>
      <w:hyperlink r:id="rId27" w:history="1">
        <w:r w:rsidRPr="007D1698">
          <w:rPr>
            <w:rStyle w:val="Hyperlink"/>
            <w:rFonts w:ascii="Arial" w:hAnsi="Arial" w:cs="Arial"/>
            <w:color w:val="000000" w:themeColor="text1"/>
            <w:u w:val="none"/>
          </w:rPr>
          <w:t>https://doi.org/10.60079/aefs.v3i1.458</w:t>
        </w:r>
      </w:hyperlink>
    </w:p>
    <w:p w14:paraId="429B1F9B" w14:textId="7CB48D60"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Verhoef, P. C., Broekhuizen, T., Bart, Y., Bhattacharya, A., Qi Dong, J., Fabian, N., &amp; Haenlein, M. (2021). Digital transformation: A multidisciplinary reflection and research</w:t>
      </w:r>
      <w:r w:rsidRPr="007D1698">
        <w:rPr>
          <w:rFonts w:ascii="Arial" w:hAnsi="Arial" w:cs="Arial"/>
          <w:color w:val="000000" w:themeColor="text1"/>
          <w:spacing w:val="80"/>
        </w:rPr>
        <w:t xml:space="preserve">   </w:t>
      </w:r>
      <w:r w:rsidRPr="007D1698">
        <w:rPr>
          <w:rFonts w:ascii="Arial" w:hAnsi="Arial" w:cs="Arial"/>
          <w:color w:val="000000" w:themeColor="text1"/>
        </w:rPr>
        <w:t>agenda.</w:t>
      </w:r>
      <w:r w:rsidRPr="007D1698">
        <w:rPr>
          <w:rFonts w:ascii="Arial" w:hAnsi="Arial" w:cs="Arial"/>
          <w:color w:val="000000" w:themeColor="text1"/>
          <w:spacing w:val="-2"/>
        </w:rPr>
        <w:t xml:space="preserve"> </w:t>
      </w:r>
      <w:r w:rsidRPr="007D1698">
        <w:rPr>
          <w:rFonts w:ascii="Arial" w:hAnsi="Arial" w:cs="Arial"/>
          <w:i/>
          <w:color w:val="000000" w:themeColor="text1"/>
        </w:rPr>
        <w:t>Journal</w:t>
      </w:r>
      <w:r w:rsidRPr="007D1698">
        <w:rPr>
          <w:rFonts w:ascii="Arial" w:hAnsi="Arial" w:cs="Arial"/>
          <w:i/>
          <w:color w:val="000000" w:themeColor="text1"/>
          <w:spacing w:val="80"/>
        </w:rPr>
        <w:t xml:space="preserve">   </w:t>
      </w:r>
      <w:r w:rsidRPr="007D1698">
        <w:rPr>
          <w:rFonts w:ascii="Arial" w:hAnsi="Arial" w:cs="Arial"/>
          <w:i/>
          <w:color w:val="000000" w:themeColor="text1"/>
        </w:rPr>
        <w:t>of</w:t>
      </w:r>
      <w:r w:rsidRPr="007D1698">
        <w:rPr>
          <w:rFonts w:ascii="Arial" w:hAnsi="Arial" w:cs="Arial"/>
          <w:i/>
          <w:color w:val="000000" w:themeColor="text1"/>
          <w:spacing w:val="80"/>
        </w:rPr>
        <w:t xml:space="preserve">   </w:t>
      </w:r>
      <w:r w:rsidRPr="007D1698">
        <w:rPr>
          <w:rFonts w:ascii="Arial" w:hAnsi="Arial" w:cs="Arial"/>
          <w:i/>
          <w:color w:val="000000" w:themeColor="text1"/>
        </w:rPr>
        <w:t>Business</w:t>
      </w:r>
      <w:r w:rsidRPr="007D1698">
        <w:rPr>
          <w:rFonts w:ascii="Arial" w:hAnsi="Arial" w:cs="Arial"/>
          <w:i/>
          <w:color w:val="000000" w:themeColor="text1"/>
          <w:spacing w:val="80"/>
        </w:rPr>
        <w:t xml:space="preserve">   </w:t>
      </w:r>
      <w:proofErr w:type="gramStart"/>
      <w:r w:rsidRPr="007D1698">
        <w:rPr>
          <w:rFonts w:ascii="Arial" w:hAnsi="Arial" w:cs="Arial"/>
          <w:i/>
          <w:color w:val="000000" w:themeColor="text1"/>
        </w:rPr>
        <w:t>Research,</w:t>
      </w:r>
      <w:r w:rsidRPr="007D1698">
        <w:rPr>
          <w:rFonts w:ascii="Arial" w:hAnsi="Arial" w:cs="Arial"/>
          <w:i/>
          <w:color w:val="000000" w:themeColor="text1"/>
          <w:spacing w:val="80"/>
        </w:rPr>
        <w:t xml:space="preserve">   </w:t>
      </w:r>
      <w:r w:rsidRPr="007D1698">
        <w:rPr>
          <w:rFonts w:ascii="Arial" w:hAnsi="Arial" w:cs="Arial"/>
          <w:i/>
          <w:color w:val="000000" w:themeColor="text1"/>
        </w:rPr>
        <w:t>122</w:t>
      </w:r>
      <w:r w:rsidRPr="007D1698">
        <w:rPr>
          <w:rFonts w:ascii="Arial" w:hAnsi="Arial" w:cs="Arial"/>
          <w:color w:val="000000" w:themeColor="text1"/>
        </w:rPr>
        <w:t>,</w:t>
      </w:r>
      <w:r w:rsidRPr="007D1698">
        <w:rPr>
          <w:rFonts w:ascii="Arial" w:hAnsi="Arial" w:cs="Arial"/>
          <w:color w:val="000000" w:themeColor="text1"/>
          <w:spacing w:val="80"/>
        </w:rPr>
        <w:t xml:space="preserve">   </w:t>
      </w:r>
      <w:proofErr w:type="gramEnd"/>
      <w:r w:rsidRPr="007D1698">
        <w:rPr>
          <w:rFonts w:ascii="Arial" w:hAnsi="Arial" w:cs="Arial"/>
          <w:color w:val="000000" w:themeColor="text1"/>
        </w:rPr>
        <w:t>889– 901. https://doi.org/10.1016/j.jbusres.2019.09.022</w:t>
      </w:r>
    </w:p>
    <w:p w14:paraId="4549F92D" w14:textId="31C6B529"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Wang, X., Fan, M., Fan, Y., Li, Y., &amp; Tang, X. (2022). R&amp;D investment, financing constraints and corporate financial performance: Empirical evidence from China.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Frontiers in Environmental Science, 10</w:t>
      </w:r>
      <w:r w:rsidRPr="007D1698">
        <w:rPr>
          <w:rFonts w:ascii="Arial" w:hAnsi="Arial" w:cs="Arial"/>
          <w:color w:val="000000" w:themeColor="text1"/>
        </w:rPr>
        <w:t>, 1056672.</w:t>
      </w:r>
      <w:r w:rsidRPr="007D1698">
        <w:rPr>
          <w:rStyle w:val="apple-converted-space"/>
          <w:rFonts w:ascii="Arial" w:hAnsi="Arial" w:cs="Arial"/>
          <w:color w:val="000000" w:themeColor="text1"/>
        </w:rPr>
        <w:t> </w:t>
      </w:r>
      <w:hyperlink r:id="rId28" w:history="1">
        <w:r w:rsidRPr="007D1698">
          <w:rPr>
            <w:rStyle w:val="Hyperlink"/>
            <w:rFonts w:ascii="Arial" w:hAnsi="Arial" w:cs="Arial"/>
            <w:color w:val="000000" w:themeColor="text1"/>
            <w:u w:val="none"/>
          </w:rPr>
          <w:t>https://doi.org/10.3389/fenvs.2022.1056672</w:t>
        </w:r>
      </w:hyperlink>
    </w:p>
    <w:p w14:paraId="224777A8" w14:textId="7C165C95"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Wei, L. &amp; L. M. (2024). Digital transformation, financing constraints and firm growth performance–From the perspective of financing channels. </w:t>
      </w:r>
      <w:r w:rsidRPr="007D1698">
        <w:rPr>
          <w:rFonts w:ascii="Arial" w:hAnsi="Arial" w:cs="Arial"/>
          <w:i/>
          <w:color w:val="000000" w:themeColor="text1"/>
        </w:rPr>
        <w:t>Finance Research Letters</w:t>
      </w:r>
      <w:r w:rsidRPr="007D1698">
        <w:rPr>
          <w:rFonts w:ascii="Arial" w:hAnsi="Arial" w:cs="Arial"/>
          <w:color w:val="000000" w:themeColor="text1"/>
        </w:rPr>
        <w:t xml:space="preserve">, </w:t>
      </w:r>
      <w:r w:rsidRPr="007D1698">
        <w:rPr>
          <w:rFonts w:ascii="Arial" w:hAnsi="Arial" w:cs="Arial"/>
          <w:i/>
          <w:color w:val="000000" w:themeColor="text1"/>
        </w:rPr>
        <w:t>63</w:t>
      </w:r>
      <w:r w:rsidRPr="007D1698">
        <w:rPr>
          <w:rFonts w:ascii="Arial" w:hAnsi="Arial" w:cs="Arial"/>
          <w:color w:val="000000" w:themeColor="text1"/>
        </w:rPr>
        <w:t>.</w:t>
      </w:r>
    </w:p>
    <w:p w14:paraId="1219425A" w14:textId="7AB0D358" w:rsidR="0084763C" w:rsidRPr="007D1698" w:rsidRDefault="0084763C" w:rsidP="0084763C">
      <w:pPr>
        <w:pStyle w:val="BodyText"/>
        <w:spacing w:after="0"/>
        <w:ind w:left="565" w:right="18" w:hanging="565"/>
        <w:rPr>
          <w:rFonts w:ascii="Arial" w:hAnsi="Arial" w:cs="Arial"/>
          <w:color w:val="000000" w:themeColor="text1"/>
        </w:rPr>
      </w:pPr>
      <w:r w:rsidRPr="007D1698">
        <w:rPr>
          <w:rFonts w:ascii="Arial" w:hAnsi="Arial" w:cs="Arial"/>
          <w:color w:val="000000" w:themeColor="text1"/>
        </w:rPr>
        <w:t>Yu, P. (2025). The impact of digital transformation on financing constraints.</w:t>
      </w:r>
      <w:r w:rsidRPr="007D1698">
        <w:rPr>
          <w:rFonts w:ascii="Arial" w:hAnsi="Arial" w:cs="Arial"/>
          <w:color w:val="000000" w:themeColor="text1"/>
          <w:spacing w:val="-3"/>
        </w:rPr>
        <w:t xml:space="preserve"> </w:t>
      </w:r>
      <w:r w:rsidRPr="007D1698">
        <w:rPr>
          <w:rFonts w:ascii="Arial" w:hAnsi="Arial" w:cs="Arial"/>
          <w:i/>
          <w:color w:val="000000" w:themeColor="text1"/>
        </w:rPr>
        <w:t>Financial Economics Research, 2</w:t>
      </w:r>
      <w:r w:rsidRPr="007D1698">
        <w:rPr>
          <w:rFonts w:ascii="Arial" w:hAnsi="Arial" w:cs="Arial"/>
          <w:color w:val="000000" w:themeColor="text1"/>
        </w:rPr>
        <w:t>(3), 230–237. https://doi.org/10.70267/fer.250203.230237</w:t>
      </w:r>
    </w:p>
    <w:p w14:paraId="7156BF5E" w14:textId="4B09DDE6"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Zheng, X., &amp; Shen, J. (2024). Corporate environmental information disclosure, managerial ownership and the cost of debt.</w:t>
      </w:r>
      <w:r w:rsidRPr="007D1698">
        <w:rPr>
          <w:rFonts w:ascii="Arial" w:hAnsi="Arial" w:cs="Arial"/>
          <w:color w:val="000000" w:themeColor="text1"/>
          <w:spacing w:val="-3"/>
        </w:rPr>
        <w:t xml:space="preserve"> </w:t>
      </w:r>
      <w:r w:rsidRPr="007D1698">
        <w:rPr>
          <w:rFonts w:ascii="Arial" w:hAnsi="Arial" w:cs="Arial"/>
          <w:i/>
          <w:color w:val="000000" w:themeColor="text1"/>
        </w:rPr>
        <w:t>International Review of Economics &amp; Finance</w:t>
      </w:r>
      <w:r w:rsidRPr="007D1698">
        <w:rPr>
          <w:rFonts w:ascii="Arial" w:hAnsi="Arial" w:cs="Arial"/>
          <w:color w:val="000000" w:themeColor="text1"/>
        </w:rPr>
        <w:t xml:space="preserve">, </w:t>
      </w:r>
      <w:r w:rsidRPr="007D1698">
        <w:rPr>
          <w:rFonts w:ascii="Arial" w:hAnsi="Arial" w:cs="Arial"/>
          <w:i/>
          <w:color w:val="000000" w:themeColor="text1"/>
        </w:rPr>
        <w:t>93</w:t>
      </w:r>
      <w:r w:rsidRPr="007D1698">
        <w:rPr>
          <w:rFonts w:ascii="Arial" w:hAnsi="Arial" w:cs="Arial"/>
          <w:color w:val="000000" w:themeColor="text1"/>
        </w:rPr>
        <w:t>(PA), 645–659. https://doi.org/10.1016/j.iref.2024.03.052</w:t>
      </w:r>
    </w:p>
    <w:p w14:paraId="011811AC" w14:textId="509E45E0"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Zou, H., Jiang, J., &amp; Liu, C. (2024). How does digital transformation affect access to bank</w:t>
      </w:r>
      <w:r w:rsidRPr="007D1698">
        <w:rPr>
          <w:rFonts w:ascii="Arial" w:hAnsi="Arial" w:cs="Arial"/>
          <w:color w:val="000000" w:themeColor="text1"/>
          <w:spacing w:val="-10"/>
        </w:rPr>
        <w:t xml:space="preserve"> </w:t>
      </w:r>
      <w:r w:rsidRPr="007D1698">
        <w:rPr>
          <w:rFonts w:ascii="Arial" w:hAnsi="Arial" w:cs="Arial"/>
          <w:color w:val="000000" w:themeColor="text1"/>
        </w:rPr>
        <w:t>loans?</w:t>
      </w:r>
      <w:r w:rsidRPr="007D1698">
        <w:rPr>
          <w:rFonts w:ascii="Arial" w:hAnsi="Arial" w:cs="Arial"/>
          <w:color w:val="000000" w:themeColor="text1"/>
          <w:spacing w:val="-10"/>
        </w:rPr>
        <w:t xml:space="preserve"> </w:t>
      </w:r>
      <w:r w:rsidRPr="007D1698">
        <w:rPr>
          <w:rFonts w:ascii="Arial" w:hAnsi="Arial" w:cs="Arial"/>
          <w:color w:val="000000" w:themeColor="text1"/>
        </w:rPr>
        <w:t>Evidence</w:t>
      </w:r>
      <w:r w:rsidRPr="007D1698">
        <w:rPr>
          <w:rFonts w:ascii="Arial" w:hAnsi="Arial" w:cs="Arial"/>
          <w:color w:val="000000" w:themeColor="text1"/>
          <w:spacing w:val="-10"/>
        </w:rPr>
        <w:t xml:space="preserve"> </w:t>
      </w:r>
      <w:r w:rsidRPr="007D1698">
        <w:rPr>
          <w:rFonts w:ascii="Arial" w:hAnsi="Arial" w:cs="Arial"/>
          <w:color w:val="000000" w:themeColor="text1"/>
        </w:rPr>
        <w:t>from</w:t>
      </w:r>
      <w:r w:rsidRPr="007D1698">
        <w:rPr>
          <w:rFonts w:ascii="Arial" w:hAnsi="Arial" w:cs="Arial"/>
          <w:color w:val="000000" w:themeColor="text1"/>
          <w:spacing w:val="-10"/>
        </w:rPr>
        <w:t xml:space="preserve"> </w:t>
      </w:r>
      <w:r w:rsidRPr="007D1698">
        <w:rPr>
          <w:rFonts w:ascii="Arial" w:hAnsi="Arial" w:cs="Arial"/>
          <w:color w:val="000000" w:themeColor="text1"/>
        </w:rPr>
        <w:t>small</w:t>
      </w:r>
      <w:r w:rsidRPr="007D1698">
        <w:rPr>
          <w:rFonts w:ascii="Arial" w:hAnsi="Arial" w:cs="Arial"/>
          <w:color w:val="000000" w:themeColor="text1"/>
          <w:spacing w:val="-10"/>
        </w:rPr>
        <w:t xml:space="preserve"> </w:t>
      </w:r>
      <w:r w:rsidRPr="007D1698">
        <w:rPr>
          <w:rFonts w:ascii="Arial" w:hAnsi="Arial" w:cs="Arial"/>
          <w:color w:val="000000" w:themeColor="text1"/>
        </w:rPr>
        <w:t>and</w:t>
      </w:r>
      <w:r w:rsidRPr="007D1698">
        <w:rPr>
          <w:rFonts w:ascii="Arial" w:hAnsi="Arial" w:cs="Arial"/>
          <w:color w:val="000000" w:themeColor="text1"/>
          <w:spacing w:val="-10"/>
        </w:rPr>
        <w:t xml:space="preserve"> </w:t>
      </w:r>
      <w:r w:rsidRPr="007D1698">
        <w:rPr>
          <w:rFonts w:ascii="Arial" w:hAnsi="Arial" w:cs="Arial"/>
          <w:color w:val="000000" w:themeColor="text1"/>
        </w:rPr>
        <w:t>medium-sized</w:t>
      </w:r>
      <w:r w:rsidRPr="007D1698">
        <w:rPr>
          <w:rFonts w:ascii="Arial" w:hAnsi="Arial" w:cs="Arial"/>
          <w:color w:val="000000" w:themeColor="text1"/>
          <w:spacing w:val="-10"/>
        </w:rPr>
        <w:t xml:space="preserve"> </w:t>
      </w:r>
      <w:r w:rsidRPr="007D1698">
        <w:rPr>
          <w:rFonts w:ascii="Arial" w:hAnsi="Arial" w:cs="Arial"/>
          <w:color w:val="000000" w:themeColor="text1"/>
        </w:rPr>
        <w:t>enterprises.</w:t>
      </w:r>
      <w:r w:rsidRPr="007D1698">
        <w:rPr>
          <w:rFonts w:ascii="Arial" w:hAnsi="Arial" w:cs="Arial"/>
          <w:color w:val="000000" w:themeColor="text1"/>
          <w:spacing w:val="-4"/>
        </w:rPr>
        <w:t xml:space="preserve"> </w:t>
      </w:r>
      <w:r w:rsidRPr="007D1698">
        <w:rPr>
          <w:rFonts w:ascii="Arial" w:hAnsi="Arial" w:cs="Arial"/>
          <w:i/>
          <w:color w:val="000000" w:themeColor="text1"/>
        </w:rPr>
        <w:t>Finance</w:t>
      </w:r>
      <w:r w:rsidRPr="007D1698">
        <w:rPr>
          <w:rFonts w:ascii="Arial" w:hAnsi="Arial" w:cs="Arial"/>
          <w:i/>
          <w:color w:val="000000" w:themeColor="text1"/>
          <w:spacing w:val="-10"/>
        </w:rPr>
        <w:t xml:space="preserve"> </w:t>
      </w:r>
      <w:r w:rsidRPr="007D1698">
        <w:rPr>
          <w:rFonts w:ascii="Arial" w:hAnsi="Arial" w:cs="Arial"/>
          <w:i/>
          <w:color w:val="000000" w:themeColor="text1"/>
        </w:rPr>
        <w:t>Research Letters, 60</w:t>
      </w:r>
      <w:r w:rsidRPr="007D1698">
        <w:rPr>
          <w:rFonts w:ascii="Arial" w:hAnsi="Arial" w:cs="Arial"/>
          <w:color w:val="000000" w:themeColor="text1"/>
        </w:rPr>
        <w:t xml:space="preserve">, 104942. </w:t>
      </w:r>
      <w:hyperlink r:id="rId29" w:history="1">
        <w:r w:rsidRPr="007D1698">
          <w:rPr>
            <w:rStyle w:val="Hyperlink"/>
            <w:rFonts w:ascii="Arial" w:hAnsi="Arial" w:cs="Arial"/>
            <w:color w:val="000000" w:themeColor="text1"/>
            <w:u w:val="none"/>
          </w:rPr>
          <w:t>https://doi.org/10.1016/j.frl.2023.104942</w:t>
        </w:r>
      </w:hyperlink>
    </w:p>
    <w:p w14:paraId="4B70198D" w14:textId="4849D50F" w:rsidR="00B01FCD"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Zou, H., Zhang, Y., &amp; Chen, X. (2024). Digital transformation and corporate financing constraints: Evidence from Chinese listed firms.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Technological Forecasting and Social Change, 200</w:t>
      </w:r>
      <w:r w:rsidRPr="007D1698">
        <w:rPr>
          <w:rFonts w:ascii="Arial" w:hAnsi="Arial" w:cs="Arial"/>
          <w:color w:val="000000" w:themeColor="text1"/>
        </w:rPr>
        <w:t>, 123124.</w:t>
      </w:r>
      <w:r w:rsidRPr="007D1698">
        <w:rPr>
          <w:rStyle w:val="apple-converted-space"/>
          <w:rFonts w:ascii="Arial" w:hAnsi="Arial" w:cs="Arial"/>
          <w:color w:val="000000" w:themeColor="text1"/>
        </w:rPr>
        <w:t> </w:t>
      </w:r>
      <w:r w:rsidRPr="007D1698">
        <w:rPr>
          <w:rFonts w:ascii="Arial" w:hAnsi="Arial" w:cs="Arial"/>
          <w:color w:val="000000" w:themeColor="text1"/>
        </w:rPr>
        <w:t>https://doi.org/10.1016/j.techfore.2023.123124</w:t>
      </w:r>
      <w:r w:rsidR="00313163">
        <w:rPr>
          <w:rFonts w:ascii="Arial" w:hAnsi="Arial" w:cs="Arial"/>
          <w:color w:val="000000" w:themeColor="text1"/>
        </w:rPr>
        <w:t xml:space="preserve"> </w:t>
      </w:r>
    </w:p>
    <w:sectPr w:rsidR="00B01FCD" w:rsidRPr="007D1698" w:rsidSect="008E74AF">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312C" w14:textId="77777777" w:rsidR="00E57A4E" w:rsidRDefault="00E57A4E" w:rsidP="00C37E61">
      <w:r>
        <w:separator/>
      </w:r>
    </w:p>
  </w:endnote>
  <w:endnote w:type="continuationSeparator" w:id="0">
    <w:p w14:paraId="12D73FF4" w14:textId="77777777" w:rsidR="00E57A4E" w:rsidRDefault="00E57A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7836" w14:textId="5B444B30" w:rsidR="00C37E61" w:rsidRPr="003B7A03" w:rsidRDefault="004D0AE7" w:rsidP="003B7A03">
    <w:pPr>
      <w:pStyle w:val="Footer"/>
    </w:pPr>
    <w:r w:rsidRPr="003B7A0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919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D30B" w14:textId="77777777" w:rsidR="00E57A4E" w:rsidRDefault="00E57A4E" w:rsidP="00C37E61">
      <w:r>
        <w:separator/>
      </w:r>
    </w:p>
  </w:footnote>
  <w:footnote w:type="continuationSeparator" w:id="0">
    <w:p w14:paraId="6EC2067A" w14:textId="77777777" w:rsidR="00E57A4E" w:rsidRDefault="00E57A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0D5A" w14:textId="39414524" w:rsidR="00F446B8" w:rsidRDefault="00000000">
    <w:pPr>
      <w:pStyle w:val="Header"/>
    </w:pPr>
    <w:r>
      <w:rPr>
        <w:noProof/>
      </w:rPr>
      <w:pict w14:anchorId="4F48D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8704" w14:textId="27D2C461" w:rsidR="00F446B8" w:rsidRDefault="00000000">
    <w:pPr>
      <w:pStyle w:val="Header"/>
    </w:pPr>
    <w:r>
      <w:rPr>
        <w:noProof/>
      </w:rPr>
      <w:pict w14:anchorId="5B535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9952" w14:textId="6493A776" w:rsidR="00296529" w:rsidRPr="00296529" w:rsidRDefault="00000000" w:rsidP="00296529">
    <w:pPr>
      <w:ind w:left="2160"/>
      <w:jc w:val="center"/>
      <w:rPr>
        <w:rFonts w:ascii="Times New Roman" w:eastAsia="Calibri" w:hAnsi="Times New Roman"/>
        <w:i/>
        <w:sz w:val="18"/>
        <w:szCs w:val="22"/>
      </w:rPr>
    </w:pPr>
    <w:r>
      <w:rPr>
        <w:noProof/>
      </w:rPr>
      <w:pict w14:anchorId="0047F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738C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F2F5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33A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95F8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C59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A29F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D7C2" w14:textId="5FA051EE" w:rsidR="00F446B8" w:rsidRDefault="00000000">
    <w:pPr>
      <w:pStyle w:val="Header"/>
    </w:pPr>
    <w:r>
      <w:rPr>
        <w:noProof/>
      </w:rPr>
      <w:pict w14:anchorId="6445A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AB7E" w14:textId="3A2C4CD1" w:rsidR="00F446B8" w:rsidRDefault="00000000">
    <w:pPr>
      <w:pStyle w:val="Header"/>
    </w:pPr>
    <w:r>
      <w:rPr>
        <w:noProof/>
      </w:rPr>
      <w:pict w14:anchorId="4D57B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EA21" w14:textId="6DB12818" w:rsidR="00F446B8" w:rsidRDefault="00000000">
    <w:pPr>
      <w:pStyle w:val="Header"/>
    </w:pPr>
    <w:r>
      <w:rPr>
        <w:noProof/>
      </w:rPr>
      <w:pict w14:anchorId="4B2F3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A187A"/>
    <w:multiLevelType w:val="multilevel"/>
    <w:tmpl w:val="4ABA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F660AE"/>
    <w:multiLevelType w:val="multilevel"/>
    <w:tmpl w:val="788C1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3071DD"/>
    <w:multiLevelType w:val="multilevel"/>
    <w:tmpl w:val="ED0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68718D"/>
    <w:multiLevelType w:val="multilevel"/>
    <w:tmpl w:val="EFB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8105B"/>
    <w:multiLevelType w:val="multilevel"/>
    <w:tmpl w:val="4546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04661E2"/>
    <w:multiLevelType w:val="multilevel"/>
    <w:tmpl w:val="DBF04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80425"/>
    <w:multiLevelType w:val="multilevel"/>
    <w:tmpl w:val="545E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1A53CD1"/>
    <w:multiLevelType w:val="multilevel"/>
    <w:tmpl w:val="245095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97B38EA"/>
    <w:multiLevelType w:val="multilevel"/>
    <w:tmpl w:val="4C7A7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F879A3"/>
    <w:multiLevelType w:val="multilevel"/>
    <w:tmpl w:val="5DC6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20626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2410154">
    <w:abstractNumId w:val="20"/>
  </w:num>
  <w:num w:numId="3" w16cid:durableId="1587762088">
    <w:abstractNumId w:val="31"/>
  </w:num>
  <w:num w:numId="4" w16cid:durableId="192710542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7488884">
    <w:abstractNumId w:val="7"/>
  </w:num>
  <w:num w:numId="6" w16cid:durableId="1353923228">
    <w:abstractNumId w:val="6"/>
  </w:num>
  <w:num w:numId="7" w16cid:durableId="989938469">
    <w:abstractNumId w:val="1"/>
  </w:num>
  <w:num w:numId="8" w16cid:durableId="1840538312">
    <w:abstractNumId w:val="13"/>
  </w:num>
  <w:num w:numId="9" w16cid:durableId="1716348622">
    <w:abstractNumId w:val="33"/>
  </w:num>
  <w:num w:numId="10" w16cid:durableId="1632782742">
    <w:abstractNumId w:val="2"/>
  </w:num>
  <w:num w:numId="11" w16cid:durableId="662394731">
    <w:abstractNumId w:val="26"/>
  </w:num>
  <w:num w:numId="12" w16cid:durableId="239605052">
    <w:abstractNumId w:val="3"/>
  </w:num>
  <w:num w:numId="13" w16cid:durableId="1575118228">
    <w:abstractNumId w:val="24"/>
  </w:num>
  <w:num w:numId="14" w16cid:durableId="1094083758">
    <w:abstractNumId w:val="8"/>
  </w:num>
  <w:num w:numId="15" w16cid:durableId="702287532">
    <w:abstractNumId w:val="29"/>
  </w:num>
  <w:num w:numId="16" w16cid:durableId="1913269691">
    <w:abstractNumId w:val="5"/>
  </w:num>
  <w:num w:numId="17" w16cid:durableId="1925871580">
    <w:abstractNumId w:val="30"/>
  </w:num>
  <w:num w:numId="18" w16cid:durableId="613097725">
    <w:abstractNumId w:val="17"/>
  </w:num>
  <w:num w:numId="19" w16cid:durableId="1601719515">
    <w:abstractNumId w:val="38"/>
  </w:num>
  <w:num w:numId="20" w16cid:durableId="308172883">
    <w:abstractNumId w:val="12"/>
  </w:num>
  <w:num w:numId="21" w16cid:durableId="173228994">
    <w:abstractNumId w:val="9"/>
  </w:num>
  <w:num w:numId="22" w16cid:durableId="719789561">
    <w:abstractNumId w:val="15"/>
  </w:num>
  <w:num w:numId="23" w16cid:durableId="57092902">
    <w:abstractNumId w:val="27"/>
  </w:num>
  <w:num w:numId="24" w16cid:durableId="1255473280">
    <w:abstractNumId w:val="36"/>
  </w:num>
  <w:num w:numId="25" w16cid:durableId="1608462626">
    <w:abstractNumId w:val="4"/>
  </w:num>
  <w:num w:numId="26" w16cid:durableId="931426092">
    <w:abstractNumId w:val="22"/>
  </w:num>
  <w:num w:numId="27" w16cid:durableId="1929919500">
    <w:abstractNumId w:val="28"/>
  </w:num>
  <w:num w:numId="28" w16cid:durableId="1910142592">
    <w:abstractNumId w:val="37"/>
  </w:num>
  <w:num w:numId="29" w16cid:durableId="1454246763">
    <w:abstractNumId w:val="32"/>
  </w:num>
  <w:num w:numId="30" w16cid:durableId="274866411">
    <w:abstractNumId w:val="10"/>
  </w:num>
  <w:num w:numId="31" w16cid:durableId="1390811694">
    <w:abstractNumId w:val="25"/>
  </w:num>
  <w:num w:numId="32" w16cid:durableId="1176841846">
    <w:abstractNumId w:val="34"/>
  </w:num>
  <w:num w:numId="33" w16cid:durableId="1942177925">
    <w:abstractNumId w:val="16"/>
  </w:num>
  <w:num w:numId="34" w16cid:durableId="1457328794">
    <w:abstractNumId w:val="21"/>
  </w:num>
  <w:num w:numId="35" w16cid:durableId="914315471">
    <w:abstractNumId w:val="11"/>
  </w:num>
  <w:num w:numId="36" w16cid:durableId="1256403876">
    <w:abstractNumId w:val="14"/>
  </w:num>
  <w:num w:numId="37" w16cid:durableId="869925395">
    <w:abstractNumId w:val="23"/>
  </w:num>
  <w:num w:numId="38" w16cid:durableId="681859563">
    <w:abstractNumId w:val="35"/>
  </w:num>
  <w:num w:numId="39" w16cid:durableId="364911598">
    <w:abstractNumId w:val="19"/>
  </w:num>
  <w:num w:numId="40" w16cid:durableId="388069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F74"/>
    <w:rsid w:val="00020D0D"/>
    <w:rsid w:val="00030174"/>
    <w:rsid w:val="000453C8"/>
    <w:rsid w:val="0004579C"/>
    <w:rsid w:val="000A47FA"/>
    <w:rsid w:val="000A65D3"/>
    <w:rsid w:val="000B1E33"/>
    <w:rsid w:val="000B5519"/>
    <w:rsid w:val="000B62BB"/>
    <w:rsid w:val="000C2B0D"/>
    <w:rsid w:val="000D06AE"/>
    <w:rsid w:val="000D689F"/>
    <w:rsid w:val="000E7B7B"/>
    <w:rsid w:val="000E7D62"/>
    <w:rsid w:val="00103357"/>
    <w:rsid w:val="00111246"/>
    <w:rsid w:val="00112CBC"/>
    <w:rsid w:val="00123C9F"/>
    <w:rsid w:val="00126190"/>
    <w:rsid w:val="00130F17"/>
    <w:rsid w:val="001320BF"/>
    <w:rsid w:val="0014249F"/>
    <w:rsid w:val="00152BA6"/>
    <w:rsid w:val="00163BC4"/>
    <w:rsid w:val="0018585E"/>
    <w:rsid w:val="00191062"/>
    <w:rsid w:val="00192B72"/>
    <w:rsid w:val="001A29D8"/>
    <w:rsid w:val="001A5CAA"/>
    <w:rsid w:val="001B0427"/>
    <w:rsid w:val="001B2C2B"/>
    <w:rsid w:val="001D3105"/>
    <w:rsid w:val="001D3A51"/>
    <w:rsid w:val="001E10D2"/>
    <w:rsid w:val="001E25B4"/>
    <w:rsid w:val="001E44FE"/>
    <w:rsid w:val="001F481F"/>
    <w:rsid w:val="00200595"/>
    <w:rsid w:val="00204835"/>
    <w:rsid w:val="00231920"/>
    <w:rsid w:val="0023195C"/>
    <w:rsid w:val="0024282C"/>
    <w:rsid w:val="002460DC"/>
    <w:rsid w:val="0024698B"/>
    <w:rsid w:val="00250985"/>
    <w:rsid w:val="002556F6"/>
    <w:rsid w:val="00283105"/>
    <w:rsid w:val="00284C4C"/>
    <w:rsid w:val="00287E68"/>
    <w:rsid w:val="00296529"/>
    <w:rsid w:val="002B27FB"/>
    <w:rsid w:val="002B685A"/>
    <w:rsid w:val="002B7CCF"/>
    <w:rsid w:val="002C57D2"/>
    <w:rsid w:val="002E0D56"/>
    <w:rsid w:val="00313163"/>
    <w:rsid w:val="00315186"/>
    <w:rsid w:val="003332F7"/>
    <w:rsid w:val="0033343E"/>
    <w:rsid w:val="003334F5"/>
    <w:rsid w:val="00333BB1"/>
    <w:rsid w:val="003512C2"/>
    <w:rsid w:val="00371FB6"/>
    <w:rsid w:val="003763C1"/>
    <w:rsid w:val="00376BBE"/>
    <w:rsid w:val="0039224F"/>
    <w:rsid w:val="003A43A4"/>
    <w:rsid w:val="003A7E18"/>
    <w:rsid w:val="003B7A03"/>
    <w:rsid w:val="003C184C"/>
    <w:rsid w:val="003C4C86"/>
    <w:rsid w:val="003C6258"/>
    <w:rsid w:val="003C6C43"/>
    <w:rsid w:val="003D0639"/>
    <w:rsid w:val="003E2904"/>
    <w:rsid w:val="00401927"/>
    <w:rsid w:val="0041027F"/>
    <w:rsid w:val="00412475"/>
    <w:rsid w:val="00423789"/>
    <w:rsid w:val="00440F43"/>
    <w:rsid w:val="00441B6F"/>
    <w:rsid w:val="00446221"/>
    <w:rsid w:val="00450E62"/>
    <w:rsid w:val="004539DB"/>
    <w:rsid w:val="00471A80"/>
    <w:rsid w:val="00487E41"/>
    <w:rsid w:val="00490E58"/>
    <w:rsid w:val="004D0AE7"/>
    <w:rsid w:val="004D305E"/>
    <w:rsid w:val="004D4277"/>
    <w:rsid w:val="004F0BF5"/>
    <w:rsid w:val="00502516"/>
    <w:rsid w:val="00505F06"/>
    <w:rsid w:val="00506828"/>
    <w:rsid w:val="00522749"/>
    <w:rsid w:val="0053056E"/>
    <w:rsid w:val="00554FDA"/>
    <w:rsid w:val="005B2E56"/>
    <w:rsid w:val="005C784C"/>
    <w:rsid w:val="005D17F6"/>
    <w:rsid w:val="005E5539"/>
    <w:rsid w:val="00602BF5"/>
    <w:rsid w:val="00617FDD"/>
    <w:rsid w:val="00621B22"/>
    <w:rsid w:val="00633614"/>
    <w:rsid w:val="00633F68"/>
    <w:rsid w:val="00636EB2"/>
    <w:rsid w:val="006375B8"/>
    <w:rsid w:val="006473F2"/>
    <w:rsid w:val="0066510A"/>
    <w:rsid w:val="00666068"/>
    <w:rsid w:val="00672410"/>
    <w:rsid w:val="00673F9F"/>
    <w:rsid w:val="00686953"/>
    <w:rsid w:val="00687DEA"/>
    <w:rsid w:val="00687E67"/>
    <w:rsid w:val="006967F7"/>
    <w:rsid w:val="006A250C"/>
    <w:rsid w:val="006B21D3"/>
    <w:rsid w:val="006B57D0"/>
    <w:rsid w:val="006D30FF"/>
    <w:rsid w:val="006D6940"/>
    <w:rsid w:val="006E3642"/>
    <w:rsid w:val="006F11EC"/>
    <w:rsid w:val="0070082C"/>
    <w:rsid w:val="00716165"/>
    <w:rsid w:val="007369E6"/>
    <w:rsid w:val="00746290"/>
    <w:rsid w:val="00746E59"/>
    <w:rsid w:val="007504B5"/>
    <w:rsid w:val="00754C9A"/>
    <w:rsid w:val="0075599A"/>
    <w:rsid w:val="00761D52"/>
    <w:rsid w:val="0077749E"/>
    <w:rsid w:val="0078791F"/>
    <w:rsid w:val="00790ADA"/>
    <w:rsid w:val="007A7B1D"/>
    <w:rsid w:val="007B706C"/>
    <w:rsid w:val="007C43B7"/>
    <w:rsid w:val="007D1698"/>
    <w:rsid w:val="007D2288"/>
    <w:rsid w:val="007E088F"/>
    <w:rsid w:val="007F7B32"/>
    <w:rsid w:val="00804BC2"/>
    <w:rsid w:val="0081431A"/>
    <w:rsid w:val="0083216F"/>
    <w:rsid w:val="0084763C"/>
    <w:rsid w:val="00860000"/>
    <w:rsid w:val="00863BD3"/>
    <w:rsid w:val="008641ED"/>
    <w:rsid w:val="00866D66"/>
    <w:rsid w:val="008671C6"/>
    <w:rsid w:val="00875803"/>
    <w:rsid w:val="0089708E"/>
    <w:rsid w:val="008B2132"/>
    <w:rsid w:val="008B459E"/>
    <w:rsid w:val="008C7C23"/>
    <w:rsid w:val="008D7DC1"/>
    <w:rsid w:val="008E13AE"/>
    <w:rsid w:val="008E1506"/>
    <w:rsid w:val="008E710C"/>
    <w:rsid w:val="008E74AF"/>
    <w:rsid w:val="008F69D6"/>
    <w:rsid w:val="00902823"/>
    <w:rsid w:val="00915CA6"/>
    <w:rsid w:val="00925CE0"/>
    <w:rsid w:val="00927834"/>
    <w:rsid w:val="00935432"/>
    <w:rsid w:val="009500A6"/>
    <w:rsid w:val="00957C18"/>
    <w:rsid w:val="009659BA"/>
    <w:rsid w:val="009677CB"/>
    <w:rsid w:val="00983040"/>
    <w:rsid w:val="009B3FB9"/>
    <w:rsid w:val="009C2465"/>
    <w:rsid w:val="009D35A0"/>
    <w:rsid w:val="009D7EB7"/>
    <w:rsid w:val="009E048A"/>
    <w:rsid w:val="009E08E9"/>
    <w:rsid w:val="009E3DB9"/>
    <w:rsid w:val="009E6E35"/>
    <w:rsid w:val="009F0843"/>
    <w:rsid w:val="009F0EDA"/>
    <w:rsid w:val="00A03B96"/>
    <w:rsid w:val="00A05B19"/>
    <w:rsid w:val="00A1134E"/>
    <w:rsid w:val="00A23094"/>
    <w:rsid w:val="00A24E7E"/>
    <w:rsid w:val="00A258C3"/>
    <w:rsid w:val="00A347C0"/>
    <w:rsid w:val="00A4559A"/>
    <w:rsid w:val="00A51431"/>
    <w:rsid w:val="00A539AD"/>
    <w:rsid w:val="00A544EC"/>
    <w:rsid w:val="00A94063"/>
    <w:rsid w:val="00A965CD"/>
    <w:rsid w:val="00AA6219"/>
    <w:rsid w:val="00AA74E0"/>
    <w:rsid w:val="00AB4CEA"/>
    <w:rsid w:val="00AB703F"/>
    <w:rsid w:val="00AC6BB8"/>
    <w:rsid w:val="00AE008F"/>
    <w:rsid w:val="00B01FCD"/>
    <w:rsid w:val="00B10654"/>
    <w:rsid w:val="00B12350"/>
    <w:rsid w:val="00B1776C"/>
    <w:rsid w:val="00B308A7"/>
    <w:rsid w:val="00B52583"/>
    <w:rsid w:val="00B52896"/>
    <w:rsid w:val="00B75DB3"/>
    <w:rsid w:val="00B95236"/>
    <w:rsid w:val="00B96BD9"/>
    <w:rsid w:val="00BA1B01"/>
    <w:rsid w:val="00BA2641"/>
    <w:rsid w:val="00BB37AA"/>
    <w:rsid w:val="00BC53A0"/>
    <w:rsid w:val="00BE62AD"/>
    <w:rsid w:val="00BF121F"/>
    <w:rsid w:val="00BF1F80"/>
    <w:rsid w:val="00BF3052"/>
    <w:rsid w:val="00C1000E"/>
    <w:rsid w:val="00C166EF"/>
    <w:rsid w:val="00C17EB0"/>
    <w:rsid w:val="00C27F5F"/>
    <w:rsid w:val="00C30A0F"/>
    <w:rsid w:val="00C37E61"/>
    <w:rsid w:val="00C70F1B"/>
    <w:rsid w:val="00C71A47"/>
    <w:rsid w:val="00C7464C"/>
    <w:rsid w:val="00C85588"/>
    <w:rsid w:val="00CD4682"/>
    <w:rsid w:val="00CD6755"/>
    <w:rsid w:val="00CD6856"/>
    <w:rsid w:val="00CE0089"/>
    <w:rsid w:val="00CE793C"/>
    <w:rsid w:val="00CF193C"/>
    <w:rsid w:val="00D01A43"/>
    <w:rsid w:val="00D173F1"/>
    <w:rsid w:val="00D3012C"/>
    <w:rsid w:val="00D34235"/>
    <w:rsid w:val="00D74CB0"/>
    <w:rsid w:val="00D8295D"/>
    <w:rsid w:val="00DC2A65"/>
    <w:rsid w:val="00DE15F0"/>
    <w:rsid w:val="00DE5663"/>
    <w:rsid w:val="00DE78AA"/>
    <w:rsid w:val="00DF1B05"/>
    <w:rsid w:val="00E053D0"/>
    <w:rsid w:val="00E10DF7"/>
    <w:rsid w:val="00E12271"/>
    <w:rsid w:val="00E15994"/>
    <w:rsid w:val="00E16AAC"/>
    <w:rsid w:val="00E3114E"/>
    <w:rsid w:val="00E31A70"/>
    <w:rsid w:val="00E35B02"/>
    <w:rsid w:val="00E57637"/>
    <w:rsid w:val="00E57A4E"/>
    <w:rsid w:val="00E66496"/>
    <w:rsid w:val="00E66B35"/>
    <w:rsid w:val="00E66D2B"/>
    <w:rsid w:val="00E66E10"/>
    <w:rsid w:val="00E769F6"/>
    <w:rsid w:val="00E8407C"/>
    <w:rsid w:val="00E84F3C"/>
    <w:rsid w:val="00E8604E"/>
    <w:rsid w:val="00EA012C"/>
    <w:rsid w:val="00EA0661"/>
    <w:rsid w:val="00EA75DC"/>
    <w:rsid w:val="00EC6A55"/>
    <w:rsid w:val="00ED0288"/>
    <w:rsid w:val="00EE52CB"/>
    <w:rsid w:val="00EF581D"/>
    <w:rsid w:val="00EF7FD8"/>
    <w:rsid w:val="00F06F59"/>
    <w:rsid w:val="00F17988"/>
    <w:rsid w:val="00F23E5A"/>
    <w:rsid w:val="00F40C71"/>
    <w:rsid w:val="00F446B8"/>
    <w:rsid w:val="00F469F0"/>
    <w:rsid w:val="00F50E6A"/>
    <w:rsid w:val="00F53273"/>
    <w:rsid w:val="00F755E4"/>
    <w:rsid w:val="00F767D1"/>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9233B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17F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123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8585E"/>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585E"/>
    <w:rPr>
      <w:b/>
      <w:bCs/>
    </w:rPr>
  </w:style>
  <w:style w:type="paragraph" w:styleId="BodyText">
    <w:name w:val="Body Text"/>
    <w:basedOn w:val="Normal"/>
    <w:link w:val="BodyTextChar"/>
    <w:unhideWhenUsed/>
    <w:rsid w:val="00925CE0"/>
    <w:pPr>
      <w:spacing w:after="120"/>
    </w:pPr>
  </w:style>
  <w:style w:type="character" w:customStyle="1" w:styleId="BodyTextChar">
    <w:name w:val="Body Text Char"/>
    <w:basedOn w:val="DefaultParagraphFont"/>
    <w:link w:val="BodyText"/>
    <w:rsid w:val="00925CE0"/>
    <w:rPr>
      <w:rFonts w:ascii="Helvetica" w:hAnsi="Helvetica"/>
    </w:rPr>
  </w:style>
  <w:style w:type="paragraph" w:customStyle="1" w:styleId="TableParagraph">
    <w:name w:val="Table Paragraph"/>
    <w:basedOn w:val="Normal"/>
    <w:uiPriority w:val="1"/>
    <w:qFormat/>
    <w:rsid w:val="00925CE0"/>
    <w:pPr>
      <w:widowControl w:val="0"/>
      <w:autoSpaceDE w:val="0"/>
      <w:autoSpaceDN w:val="0"/>
    </w:pPr>
    <w:rPr>
      <w:rFonts w:ascii="Times New Roman" w:hAnsi="Times New Roman"/>
      <w:sz w:val="22"/>
      <w:szCs w:val="22"/>
      <w:lang w:val="id"/>
    </w:rPr>
  </w:style>
  <w:style w:type="character" w:customStyle="1" w:styleId="apple-converted-space">
    <w:name w:val="apple-converted-space"/>
    <w:basedOn w:val="DefaultParagraphFont"/>
    <w:rsid w:val="0084763C"/>
  </w:style>
  <w:style w:type="paragraph" w:styleId="NoSpacing">
    <w:name w:val="No Spacing"/>
    <w:uiPriority w:val="1"/>
    <w:qFormat/>
    <w:rsid w:val="001D3105"/>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B1235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017F7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journal/" TargetMode="External"/><Relationship Id="rId18" Type="http://schemas.openxmlformats.org/officeDocument/2006/relationships/hyperlink" Target="https://doi.org/10.3390/su131810455" TargetMode="External"/><Relationship Id="rId26" Type="http://schemas.openxmlformats.org/officeDocument/2006/relationships/hyperlink" Target="https://doi.org/10.26905/jkdp.v24i1.3475" TargetMode="External"/><Relationship Id="rId3" Type="http://schemas.openxmlformats.org/officeDocument/2006/relationships/styles" Target="styles.xml"/><Relationship Id="rId21" Type="http://schemas.openxmlformats.org/officeDocument/2006/relationships/hyperlink" Target="https://fiskal.kemenkeu.go.id/publikasi/siaran-pers-detil/6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80/23322039.2023.2186038" TargetMode="External"/><Relationship Id="rId25" Type="http://schemas.openxmlformats.org/officeDocument/2006/relationships/hyperlink" Target="https://doi.org/10.1186/s13731-016-0041-%200"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2139/ssrn.2584301" TargetMode="External"/><Relationship Id="rId20" Type="http://schemas.openxmlformats.org/officeDocument/2006/relationships/hyperlink" Target="https://doi.org/10.1162/003355397555163" TargetMode="External"/><Relationship Id="rId29" Type="http://schemas.openxmlformats.org/officeDocument/2006/relationships/hyperlink" Target="https://doi.org/10.1016/j.frl.2023.1049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3390/su1113343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43093-025-00637-0" TargetMode="External"/><Relationship Id="rId23" Type="http://schemas.openxmlformats.org/officeDocument/2006/relationships/hyperlink" Target="https://doi.org/10.1016/j.irfa.2016.12.007" TargetMode="External"/><Relationship Id="rId28" Type="http://schemas.openxmlformats.org/officeDocument/2006/relationships/hyperlink" Target="https://doi.org/10.3389/fenvs.2022.1056672"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ijhm.2024.103915"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ps.go.id/id/infographic" TargetMode="External"/><Relationship Id="rId22" Type="http://schemas.openxmlformats.org/officeDocument/2006/relationships/hyperlink" Target="https://doi.org/10.1016/j.jbusres.2023.114074" TargetMode="External"/><Relationship Id="rId27" Type="http://schemas.openxmlformats.org/officeDocument/2006/relationships/hyperlink" Target="https://doi.org/10.60079/aefs.v3i1.458" TargetMode="External"/><Relationship Id="rId30" Type="http://schemas.openxmlformats.org/officeDocument/2006/relationships/header" Target="header4.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5C4508BB524B9AB7BC9BE3E3E08E43"/>
        <w:category>
          <w:name w:val="General"/>
          <w:gallery w:val="placeholder"/>
        </w:category>
        <w:types>
          <w:type w:val="bbPlcHdr"/>
        </w:types>
        <w:behaviors>
          <w:behavior w:val="content"/>
        </w:behaviors>
        <w:guid w:val="{99580068-F7A6-4384-B3F3-2964A7BA2202}"/>
      </w:docPartPr>
      <w:docPartBody>
        <w:p w:rsidR="00CE3693" w:rsidRDefault="006E36D5" w:rsidP="006E36D5">
          <w:pPr>
            <w:pStyle w:val="135C4508BB524B9AB7BC9BE3E3E08E43"/>
          </w:pPr>
          <w:r w:rsidRPr="008C3C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D5"/>
    <w:rsid w:val="000D06AE"/>
    <w:rsid w:val="00112CBC"/>
    <w:rsid w:val="00327379"/>
    <w:rsid w:val="006E36D5"/>
    <w:rsid w:val="00774EE4"/>
    <w:rsid w:val="009F0843"/>
    <w:rsid w:val="00B11FD2"/>
    <w:rsid w:val="00CE3693"/>
    <w:rsid w:val="00D01A43"/>
    <w:rsid w:val="00DC3A4C"/>
    <w:rsid w:val="00DF1B05"/>
    <w:rsid w:val="00E12C5C"/>
    <w:rsid w:val="00E24731"/>
    <w:rsid w:val="00EF7C6C"/>
    <w:rsid w:val="00FD6D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6D5"/>
    <w:rPr>
      <w:color w:val="666666"/>
    </w:rPr>
  </w:style>
  <w:style w:type="paragraph" w:customStyle="1" w:styleId="135C4508BB524B9AB7BC9BE3E3E08E43">
    <w:name w:val="135C4508BB524B9AB7BC9BE3E3E08E43"/>
    <w:rsid w:val="006E3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B3DB-CB0C-423B-A277-5FD1818A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11</Pages>
  <Words>5437</Words>
  <Characters>30993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82</cp:revision>
  <cp:lastPrinted>1999-07-06T11:00:00Z</cp:lastPrinted>
  <dcterms:created xsi:type="dcterms:W3CDTF">2014-10-25T14:34:00Z</dcterms:created>
  <dcterms:modified xsi:type="dcterms:W3CDTF">2026-03-27T11:08:00Z</dcterms:modified>
</cp:coreProperties>
</file>