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3950C" w14:textId="651DEBB9" w:rsidR="007231CA" w:rsidRDefault="007231CA" w:rsidP="0016406C">
      <w:pPr>
        <w:spacing w:after="0"/>
        <w:rPr>
          <w:rFonts w:ascii="Times New Roman" w:hAnsi="Times New Roman" w:cs="Times New Roman"/>
          <w:b/>
          <w:sz w:val="24"/>
          <w:szCs w:val="24"/>
        </w:rPr>
      </w:pPr>
    </w:p>
    <w:p w14:paraId="47E904EE" w14:textId="516EE771" w:rsidR="0016406C" w:rsidRDefault="0016406C" w:rsidP="00C41254">
      <w:pPr>
        <w:spacing w:after="0"/>
        <w:jc w:val="center"/>
        <w:rPr>
          <w:rFonts w:ascii="Times New Roman" w:hAnsi="Times New Roman" w:cs="Times New Roman"/>
          <w:b/>
          <w:sz w:val="24"/>
          <w:szCs w:val="24"/>
        </w:rPr>
      </w:pPr>
    </w:p>
    <w:p w14:paraId="26B1B0BF" w14:textId="38B60826" w:rsidR="0016406C" w:rsidRDefault="0016406C" w:rsidP="00C41254">
      <w:pPr>
        <w:spacing w:after="0"/>
        <w:jc w:val="center"/>
        <w:rPr>
          <w:rFonts w:ascii="Times New Roman" w:hAnsi="Times New Roman" w:cs="Times New Roman"/>
          <w:b/>
          <w:sz w:val="24"/>
          <w:szCs w:val="24"/>
        </w:rPr>
      </w:pPr>
      <w:r w:rsidRPr="0016406C">
        <w:rPr>
          <w:rFonts w:ascii="Times New Roman" w:hAnsi="Times New Roman" w:cs="Times New Roman"/>
          <w:b/>
          <w:sz w:val="24"/>
          <w:szCs w:val="24"/>
        </w:rPr>
        <w:t xml:space="preserve">Assessing the relationship between Domestic Demand and Export Performance in </w:t>
      </w:r>
      <w:proofErr w:type="gramStart"/>
      <w:r w:rsidRPr="0016406C">
        <w:rPr>
          <w:rFonts w:ascii="Times New Roman" w:hAnsi="Times New Roman" w:cs="Times New Roman"/>
          <w:b/>
          <w:sz w:val="24"/>
          <w:szCs w:val="24"/>
        </w:rPr>
        <w:t>Gabon</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16406C">
        <w:rPr>
          <w:rFonts w:ascii="Times New Roman" w:hAnsi="Times New Roman" w:cs="Times New Roman"/>
          <w:b/>
          <w:sz w:val="24"/>
          <w:szCs w:val="24"/>
        </w:rPr>
        <w:t>An ARDL Modelling</w:t>
      </w:r>
    </w:p>
    <w:p w14:paraId="490F8C18" w14:textId="77777777" w:rsidR="00AE53A9" w:rsidRPr="006F6E02" w:rsidRDefault="00AE53A9" w:rsidP="00C41254">
      <w:pPr>
        <w:spacing w:after="0"/>
        <w:jc w:val="center"/>
        <w:rPr>
          <w:rFonts w:ascii="Times New Roman" w:hAnsi="Times New Roman" w:cs="Times New Roman"/>
          <w:b/>
          <w:sz w:val="24"/>
          <w:szCs w:val="24"/>
        </w:rPr>
      </w:pPr>
    </w:p>
    <w:p w14:paraId="773A9B94" w14:textId="77777777" w:rsidR="00846654" w:rsidRPr="006F6E02" w:rsidRDefault="00846654" w:rsidP="00846654">
      <w:pPr>
        <w:spacing w:after="0"/>
        <w:jc w:val="both"/>
        <w:rPr>
          <w:rFonts w:ascii="Times New Roman" w:hAnsi="Times New Roman" w:cs="Times New Roman"/>
          <w:b/>
          <w:sz w:val="24"/>
          <w:szCs w:val="24"/>
        </w:rPr>
      </w:pPr>
    </w:p>
    <w:p w14:paraId="1E6F7ACC" w14:textId="77777777" w:rsidR="00846654" w:rsidRPr="006F6E02" w:rsidRDefault="00846654" w:rsidP="00846654">
      <w:pPr>
        <w:spacing w:after="0"/>
        <w:jc w:val="both"/>
        <w:rPr>
          <w:rFonts w:ascii="Times New Roman" w:hAnsi="Times New Roman" w:cs="Times New Roman"/>
          <w:b/>
          <w:sz w:val="24"/>
          <w:szCs w:val="24"/>
        </w:rPr>
      </w:pPr>
    </w:p>
    <w:p w14:paraId="03894C1D" w14:textId="77777777" w:rsidR="00DB2576" w:rsidRDefault="00846654" w:rsidP="00846654">
      <w:pPr>
        <w:spacing w:after="0"/>
        <w:jc w:val="both"/>
        <w:rPr>
          <w:rFonts w:ascii="Times New Roman" w:hAnsi="Times New Roman" w:cs="Times New Roman"/>
          <w:sz w:val="24"/>
          <w:szCs w:val="24"/>
        </w:rPr>
      </w:pPr>
      <w:r w:rsidRPr="006F6E02">
        <w:rPr>
          <w:rFonts w:ascii="Times New Roman" w:hAnsi="Times New Roman" w:cs="Times New Roman"/>
          <w:b/>
          <w:sz w:val="24"/>
          <w:szCs w:val="24"/>
        </w:rPr>
        <w:t>Abstract.</w:t>
      </w:r>
      <w:r w:rsidRPr="006F6E02">
        <w:rPr>
          <w:rFonts w:ascii="Times New Roman" w:hAnsi="Times New Roman" w:cs="Times New Roman"/>
          <w:sz w:val="24"/>
          <w:szCs w:val="24"/>
        </w:rPr>
        <w:t xml:space="preserve"> </w:t>
      </w:r>
    </w:p>
    <w:p w14:paraId="4D404BAC" w14:textId="77777777" w:rsidR="00DB2576" w:rsidRDefault="00DB2576" w:rsidP="00846654">
      <w:pPr>
        <w:spacing w:after="0"/>
        <w:jc w:val="both"/>
        <w:rPr>
          <w:rFonts w:ascii="Times New Roman" w:hAnsi="Times New Roman" w:cs="Times New Roman"/>
          <w:sz w:val="24"/>
          <w:szCs w:val="24"/>
        </w:rPr>
      </w:pPr>
    </w:p>
    <w:p w14:paraId="0C277D1D" w14:textId="6BB4C094" w:rsidR="0016406C" w:rsidRDefault="0016406C" w:rsidP="00DB257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Background : </w:t>
      </w:r>
      <w:r w:rsidRPr="0016406C">
        <w:rPr>
          <w:rFonts w:ascii="Times New Roman" w:hAnsi="Times New Roman" w:cs="Times New Roman"/>
          <w:sz w:val="24"/>
          <w:szCs w:val="24"/>
        </w:rPr>
        <w:t>Recent studies highlight that traditional export theories cannot fully explain Gabon’s export dynamics, as domestic demand plays a crucial role, especially in LDCs. The Single Equation Approach, enhanced by ARDL bounds testing, effectively captures both short- and long-run relationships in this context.</w:t>
      </w:r>
    </w:p>
    <w:p w14:paraId="12A6D686" w14:textId="06D74966" w:rsidR="00DB2576" w:rsidRDefault="00A31079" w:rsidP="00DB2576">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Aims</w:t>
      </w:r>
      <w:r w:rsidR="00DB2576">
        <w:rPr>
          <w:rFonts w:ascii="Times New Roman" w:hAnsi="Times New Roman" w:cs="Times New Roman"/>
          <w:b/>
          <w:sz w:val="24"/>
          <w:szCs w:val="24"/>
        </w:rPr>
        <w:t>:</w:t>
      </w:r>
      <w:proofErr w:type="gramEnd"/>
      <w:r w:rsidR="00DB2576">
        <w:rPr>
          <w:rFonts w:ascii="Times New Roman" w:hAnsi="Times New Roman" w:cs="Times New Roman"/>
          <w:b/>
          <w:sz w:val="24"/>
          <w:szCs w:val="24"/>
        </w:rPr>
        <w:t xml:space="preserve"> </w:t>
      </w:r>
      <w:r w:rsidR="00DB2576">
        <w:rPr>
          <w:rFonts w:ascii="Times New Roman" w:hAnsi="Times New Roman" w:cs="Times New Roman"/>
          <w:sz w:val="24"/>
          <w:szCs w:val="24"/>
        </w:rPr>
        <w:t xml:space="preserve">To investigate the relationship between exports and domestic sales in Gabon into the literature the conventional cointegration techniques have been used. Nevertheless one criticism address to these results is that, it’s well known that the asymptotic power of conventional cointegration tests are quite sensitive to the sample size while the standrad time into the literature is just over 48 oannual observations. Then the aim of this paper is to overcome this criticism. . </w:t>
      </w:r>
    </w:p>
    <w:p w14:paraId="258090B9" w14:textId="35F185D1" w:rsidR="00DB2576" w:rsidRDefault="00A31079" w:rsidP="00DB2576">
      <w:pPr>
        <w:spacing w:after="0"/>
        <w:jc w:val="both"/>
        <w:rPr>
          <w:rFonts w:ascii="Times New Roman" w:hAnsi="Times New Roman" w:cs="Times New Roman"/>
          <w:b/>
          <w:sz w:val="24"/>
          <w:szCs w:val="24"/>
        </w:rPr>
      </w:pPr>
      <w:r>
        <w:rPr>
          <w:rFonts w:ascii="Times New Roman" w:hAnsi="Times New Roman" w:cs="Times New Roman"/>
          <w:b/>
          <w:sz w:val="24"/>
          <w:szCs w:val="24"/>
        </w:rPr>
        <w:t>Method</w:t>
      </w:r>
      <w:r w:rsidR="00DB2576">
        <w:rPr>
          <w:rFonts w:ascii="Times New Roman" w:hAnsi="Times New Roman" w:cs="Times New Roman"/>
          <w:b/>
          <w:sz w:val="24"/>
          <w:szCs w:val="24"/>
        </w:rPr>
        <w:t xml:space="preserve">: </w:t>
      </w:r>
      <w:r w:rsidR="00DB2576">
        <w:rPr>
          <w:rFonts w:ascii="Times New Roman" w:hAnsi="Times New Roman" w:cs="Times New Roman"/>
          <w:sz w:val="24"/>
          <w:szCs w:val="24"/>
        </w:rPr>
        <w:t xml:space="preserve">To tackle this issue since the literature presents the Single Equation Approach as the conventional approach to tackle the small sample bias we relie on ARDL Boud testing. In fact, the main difference among the two (Single Equation Approach and ARD) is that the second behind to the conventional cointegartion test on the Error Correction Term </w:t>
      </w:r>
      <w:r w:rsidR="00450A07">
        <w:rPr>
          <w:rFonts w:ascii="Times New Roman" w:hAnsi="Times New Roman" w:cs="Times New Roman"/>
          <w:sz w:val="24"/>
          <w:szCs w:val="24"/>
        </w:rPr>
        <w:t>they have an additioal test of existence of long run relationships among the varaibles the namely Bound test of cointegration.</w:t>
      </w:r>
      <w:r w:rsidR="00DB2576">
        <w:rPr>
          <w:rFonts w:ascii="Times New Roman" w:hAnsi="Times New Roman" w:cs="Times New Roman"/>
          <w:sz w:val="24"/>
          <w:szCs w:val="24"/>
        </w:rPr>
        <w:t xml:space="preserve"> </w:t>
      </w:r>
      <w:r w:rsidR="00DB2576">
        <w:rPr>
          <w:rFonts w:ascii="Times New Roman" w:hAnsi="Times New Roman" w:cs="Times New Roman"/>
          <w:b/>
          <w:sz w:val="24"/>
          <w:szCs w:val="24"/>
        </w:rPr>
        <w:t xml:space="preserve"> </w:t>
      </w:r>
    </w:p>
    <w:p w14:paraId="0798CC1E" w14:textId="2DB921DB" w:rsidR="00315FC4" w:rsidRPr="006F6E02" w:rsidRDefault="00A31079" w:rsidP="00315FC4">
      <w:pPr>
        <w:spacing w:after="0"/>
        <w:jc w:val="both"/>
        <w:rPr>
          <w:rFonts w:ascii="Times New Roman" w:hAnsi="Times New Roman" w:cs="Times New Roman"/>
          <w:sz w:val="24"/>
          <w:szCs w:val="24"/>
        </w:rPr>
      </w:pPr>
      <w:r>
        <w:rPr>
          <w:rFonts w:ascii="Times New Roman" w:hAnsi="Times New Roman" w:cs="Times New Roman"/>
          <w:b/>
          <w:sz w:val="24"/>
          <w:szCs w:val="24"/>
        </w:rPr>
        <w:t>Results</w:t>
      </w:r>
      <w:r w:rsidR="00DB2576" w:rsidRPr="004C2605">
        <w:rPr>
          <w:rFonts w:ascii="Times New Roman" w:hAnsi="Times New Roman" w:cs="Times New Roman"/>
          <w:b/>
          <w:sz w:val="24"/>
          <w:szCs w:val="24"/>
        </w:rPr>
        <w:t>:</w:t>
      </w:r>
      <w:r w:rsidR="00DB2576">
        <w:rPr>
          <w:rFonts w:ascii="Times New Roman" w:hAnsi="Times New Roman" w:cs="Times New Roman"/>
          <w:b/>
          <w:sz w:val="24"/>
          <w:szCs w:val="24"/>
        </w:rPr>
        <w:t xml:space="preserve"> </w:t>
      </w:r>
      <w:r w:rsidR="00315FC4" w:rsidRPr="006F6E02">
        <w:rPr>
          <w:rFonts w:ascii="Times New Roman" w:hAnsi="Times New Roman" w:cs="Times New Roman"/>
          <w:sz w:val="24"/>
          <w:szCs w:val="24"/>
        </w:rPr>
        <w:t>According to the obtained results obtained with the recover of the parameters on 42 annual observations between 1980-2021 the ARDL Modelling fit well the Model underlying the New Export channel in CEMAC with the Gabonese experience</w:t>
      </w:r>
      <w:r w:rsidR="00CB6561">
        <w:rPr>
          <w:rFonts w:ascii="Times New Roman" w:hAnsi="Times New Roman" w:cs="Times New Roman"/>
          <w:sz w:val="24"/>
          <w:szCs w:val="24"/>
        </w:rPr>
        <w:t>. I</w:t>
      </w:r>
      <w:r w:rsidR="00315FC4" w:rsidRPr="006F6E02">
        <w:rPr>
          <w:rFonts w:ascii="Times New Roman" w:hAnsi="Times New Roman" w:cs="Times New Roman"/>
          <w:sz w:val="24"/>
          <w:szCs w:val="24"/>
        </w:rPr>
        <w:t>n fact there is a substitution effect between domestic demand and exports with a negative elasticity of around 23%. Concerning the Reverse causation we reach to the conventional result that export performance impacts negatively domestic demand with a negative elasticity of around 56% implying that the country industrializes when it exports grew.</w:t>
      </w:r>
    </w:p>
    <w:p w14:paraId="36A3D25D" w14:textId="02A6641D" w:rsidR="00DB2576" w:rsidRPr="002F5D53" w:rsidRDefault="00DB2576" w:rsidP="00DB2576">
      <w:pPr>
        <w:spacing w:after="0"/>
        <w:jc w:val="both"/>
        <w:rPr>
          <w:rFonts w:ascii="Times New Roman" w:hAnsi="Times New Roman" w:cs="Times New Roman"/>
          <w:sz w:val="24"/>
          <w:szCs w:val="24"/>
        </w:rPr>
      </w:pPr>
      <w:r>
        <w:rPr>
          <w:rFonts w:ascii="Times New Roman" w:hAnsi="Times New Roman" w:cs="Times New Roman"/>
          <w:b/>
          <w:sz w:val="24"/>
          <w:szCs w:val="24"/>
        </w:rPr>
        <w:t xml:space="preserve">Conclusion: </w:t>
      </w:r>
      <w:r w:rsidR="002F5D53" w:rsidRPr="002F5D53">
        <w:rPr>
          <w:rFonts w:ascii="Times New Roman" w:hAnsi="Times New Roman" w:cs="Times New Roman"/>
          <w:sz w:val="24"/>
          <w:szCs w:val="24"/>
        </w:rPr>
        <w:t xml:space="preserve">The ARDL Bound testing of cointegration is a relevant engine to assess long run relationship among variables or as a system based estimates. In fact, with this study it has proven to be feasible for a wide variety of economic problem as those investigating here for the Gabone economy. </w:t>
      </w:r>
    </w:p>
    <w:p w14:paraId="21B48482" w14:textId="77777777" w:rsidR="009E2FF1" w:rsidRPr="006F6E02" w:rsidRDefault="009E2FF1" w:rsidP="00846654">
      <w:pPr>
        <w:spacing w:after="0"/>
        <w:jc w:val="both"/>
        <w:rPr>
          <w:rFonts w:ascii="Times New Roman" w:hAnsi="Times New Roman" w:cs="Times New Roman"/>
          <w:sz w:val="24"/>
          <w:szCs w:val="24"/>
        </w:rPr>
      </w:pPr>
    </w:p>
    <w:p w14:paraId="254C2A59" w14:textId="77777777" w:rsidR="009E2FF1" w:rsidRPr="006F6E02" w:rsidRDefault="009E2FF1" w:rsidP="00846654">
      <w:pPr>
        <w:spacing w:after="0"/>
        <w:jc w:val="both"/>
        <w:rPr>
          <w:rFonts w:ascii="Times New Roman" w:hAnsi="Times New Roman" w:cs="Times New Roman"/>
          <w:sz w:val="24"/>
          <w:szCs w:val="24"/>
        </w:rPr>
      </w:pPr>
      <w:r w:rsidRPr="006F6E02">
        <w:rPr>
          <w:rFonts w:ascii="Times New Roman" w:hAnsi="Times New Roman" w:cs="Times New Roman"/>
          <w:b/>
          <w:sz w:val="24"/>
          <w:szCs w:val="24"/>
        </w:rPr>
        <w:t>Keywords :</w:t>
      </w:r>
      <w:r w:rsidRPr="006F6E02">
        <w:rPr>
          <w:rFonts w:ascii="Times New Roman" w:hAnsi="Times New Roman" w:cs="Times New Roman"/>
          <w:sz w:val="24"/>
          <w:szCs w:val="24"/>
        </w:rPr>
        <w:t xml:space="preserve"> New Export channel, Cointegration, Single Equation Approach, ARDL Modelling, Substituability </w:t>
      </w:r>
    </w:p>
    <w:p w14:paraId="760157DE" w14:textId="77777777" w:rsidR="0066076E" w:rsidRPr="006F6E02" w:rsidRDefault="0066076E" w:rsidP="00846654">
      <w:pPr>
        <w:spacing w:after="0"/>
        <w:jc w:val="both"/>
        <w:rPr>
          <w:rFonts w:ascii="Times New Roman" w:hAnsi="Times New Roman" w:cs="Times New Roman"/>
          <w:sz w:val="24"/>
          <w:szCs w:val="24"/>
        </w:rPr>
      </w:pPr>
    </w:p>
    <w:p w14:paraId="2C94E10D" w14:textId="77777777" w:rsidR="0066076E" w:rsidRPr="006F6E02" w:rsidRDefault="0066076E" w:rsidP="00846654">
      <w:pPr>
        <w:spacing w:after="0"/>
        <w:jc w:val="both"/>
        <w:rPr>
          <w:rFonts w:ascii="Times New Roman" w:hAnsi="Times New Roman" w:cs="Times New Roman"/>
          <w:sz w:val="24"/>
          <w:szCs w:val="24"/>
        </w:rPr>
      </w:pPr>
    </w:p>
    <w:p w14:paraId="668A7DDF" w14:textId="77777777" w:rsidR="00086B17" w:rsidRPr="006F6E02" w:rsidRDefault="00086B17" w:rsidP="00846654">
      <w:pPr>
        <w:spacing w:after="0"/>
        <w:jc w:val="both"/>
        <w:rPr>
          <w:rFonts w:ascii="Times New Roman" w:hAnsi="Times New Roman" w:cs="Times New Roman"/>
          <w:sz w:val="24"/>
          <w:szCs w:val="24"/>
        </w:rPr>
        <w:sectPr w:rsidR="00086B17" w:rsidRPr="006F6E0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6A0BBF28" w14:textId="77777777" w:rsidR="0066076E" w:rsidRPr="006F6E02" w:rsidRDefault="0066076E" w:rsidP="00846654">
      <w:pPr>
        <w:spacing w:after="0"/>
        <w:jc w:val="both"/>
        <w:rPr>
          <w:rFonts w:ascii="Times New Roman" w:hAnsi="Times New Roman" w:cs="Times New Roman"/>
          <w:sz w:val="24"/>
          <w:szCs w:val="24"/>
        </w:rPr>
      </w:pPr>
    </w:p>
    <w:p w14:paraId="5FB157FE" w14:textId="77777777" w:rsidR="00846654" w:rsidRPr="006F6E02" w:rsidRDefault="0066076E" w:rsidP="00086B17">
      <w:pPr>
        <w:pStyle w:val="ListParagraph"/>
        <w:numPr>
          <w:ilvl w:val="0"/>
          <w:numId w:val="1"/>
        </w:numPr>
        <w:spacing w:after="0"/>
        <w:ind w:left="357" w:hanging="357"/>
        <w:jc w:val="both"/>
        <w:rPr>
          <w:rFonts w:ascii="Times New Roman" w:hAnsi="Times New Roman" w:cs="Times New Roman"/>
          <w:sz w:val="24"/>
          <w:szCs w:val="24"/>
        </w:rPr>
      </w:pPr>
      <w:r w:rsidRPr="006F6E02">
        <w:rPr>
          <w:rFonts w:ascii="Times New Roman" w:hAnsi="Times New Roman" w:cs="Times New Roman"/>
          <w:b/>
          <w:sz w:val="24"/>
          <w:szCs w:val="24"/>
        </w:rPr>
        <w:t>Introduction</w:t>
      </w:r>
    </w:p>
    <w:p w14:paraId="31898BC8" w14:textId="77777777" w:rsidR="00005BDC" w:rsidRPr="006F6E02" w:rsidRDefault="00005BDC" w:rsidP="00005BDC">
      <w:pPr>
        <w:spacing w:after="0"/>
        <w:jc w:val="both"/>
        <w:rPr>
          <w:rFonts w:ascii="Times New Roman" w:hAnsi="Times New Roman" w:cs="Times New Roman"/>
          <w:sz w:val="24"/>
          <w:szCs w:val="24"/>
        </w:rPr>
      </w:pPr>
    </w:p>
    <w:p w14:paraId="04C44FB3" w14:textId="2800FB73" w:rsidR="00005BDC" w:rsidRPr="006F6E02" w:rsidRDefault="00005BDC" w:rsidP="00005BDC">
      <w:pPr>
        <w:spacing w:after="0"/>
        <w:jc w:val="both"/>
        <w:rPr>
          <w:rFonts w:ascii="Times New Roman" w:hAnsi="Times New Roman" w:cs="Times New Roman"/>
          <w:b/>
          <w:sz w:val="24"/>
          <w:szCs w:val="24"/>
        </w:rPr>
      </w:pPr>
      <w:r w:rsidRPr="006F6E02">
        <w:rPr>
          <w:rFonts w:ascii="Times New Roman" w:hAnsi="Times New Roman" w:cs="Times New Roman"/>
          <w:b/>
          <w:sz w:val="24"/>
          <w:szCs w:val="24"/>
        </w:rPr>
        <w:t>Background</w:t>
      </w:r>
    </w:p>
    <w:p w14:paraId="7A3249E9" w14:textId="28495B9C" w:rsidR="00005BDC" w:rsidRPr="006F6E02" w:rsidRDefault="005006FD" w:rsidP="004F52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GB"/>
        </w:rPr>
        <w:t>I</w:t>
      </w:r>
      <w:r w:rsidRPr="006F6E02">
        <w:rPr>
          <w:rFonts w:ascii="Times New Roman" w:hAnsi="Times New Roman" w:cs="Times New Roman"/>
          <w:sz w:val="24"/>
          <w:szCs w:val="24"/>
          <w:lang w:val="en-GB"/>
        </w:rPr>
        <w:t xml:space="preserve">nto the literature it </w:t>
      </w:r>
      <w:proofErr w:type="gramStart"/>
      <w:r w:rsidRPr="006F6E02">
        <w:rPr>
          <w:rFonts w:ascii="Times New Roman" w:hAnsi="Times New Roman" w:cs="Times New Roman"/>
          <w:sz w:val="24"/>
          <w:szCs w:val="24"/>
          <w:lang w:val="en-GB"/>
        </w:rPr>
        <w:t>have</w:t>
      </w:r>
      <w:proofErr w:type="gramEnd"/>
      <w:r w:rsidRPr="006F6E02">
        <w:rPr>
          <w:rFonts w:ascii="Times New Roman" w:hAnsi="Times New Roman" w:cs="Times New Roman"/>
          <w:sz w:val="24"/>
          <w:szCs w:val="24"/>
          <w:lang w:val="en-GB"/>
        </w:rPr>
        <w:t xml:space="preserve"> been established the </w:t>
      </w:r>
      <w:r>
        <w:rPr>
          <w:rFonts w:ascii="Times New Roman" w:hAnsi="Times New Roman" w:cs="Times New Roman"/>
          <w:sz w:val="24"/>
          <w:szCs w:val="24"/>
          <w:lang w:val="en-GB"/>
        </w:rPr>
        <w:t xml:space="preserve">Old explanations of exports </w:t>
      </w:r>
      <w:r>
        <w:rPr>
          <w:rFonts w:ascii="Times New Roman" w:hAnsi="Times New Roman" w:cs="Times New Roman"/>
          <w:sz w:val="24"/>
          <w:szCs w:val="24"/>
          <w:lang w:val="en-GB"/>
        </w:rPr>
        <w:t xml:space="preserve">are not sufficient to explain the country’s exports dynamics. Kuikeu (2026, p. 118) give some explanations to this idea for </w:t>
      </w:r>
      <w:r>
        <w:rPr>
          <w:rFonts w:ascii="Times New Roman" w:hAnsi="Times New Roman" w:cs="Times New Roman"/>
          <w:sz w:val="24"/>
          <w:szCs w:val="24"/>
          <w:lang w:val="en-GB"/>
        </w:rPr>
        <w:lastRenderedPageBreak/>
        <w:t>Africa in general and for CEMAC</w:t>
      </w:r>
      <w:r w:rsidR="00752224" w:rsidRPr="006F6E02">
        <w:rPr>
          <w:rStyle w:val="FootnoteReference"/>
          <w:rFonts w:ascii="Times New Roman" w:hAnsi="Times New Roman" w:cs="Times New Roman"/>
          <w:sz w:val="24"/>
          <w:szCs w:val="24"/>
        </w:rPr>
        <w:footnoteReference w:id="1"/>
      </w:r>
      <w:r>
        <w:rPr>
          <w:rFonts w:ascii="Times New Roman" w:hAnsi="Times New Roman" w:cs="Times New Roman"/>
          <w:sz w:val="24"/>
          <w:szCs w:val="24"/>
          <w:lang w:val="en-GB"/>
        </w:rPr>
        <w:t xml:space="preserve"> particularly it’s well established while these countries faces</w:t>
      </w:r>
      <w:r w:rsidR="00752224">
        <w:rPr>
          <w:rFonts w:ascii="Times New Roman" w:hAnsi="Times New Roman" w:cs="Times New Roman"/>
          <w:sz w:val="24"/>
          <w:szCs w:val="24"/>
          <w:lang w:val="en-GB"/>
        </w:rPr>
        <w:t xml:space="preserve"> the same external environment concerning the real exchange i</w:t>
      </w:r>
      <w:r>
        <w:rPr>
          <w:rFonts w:ascii="Times New Roman" w:hAnsi="Times New Roman" w:cs="Times New Roman"/>
          <w:sz w:val="24"/>
          <w:szCs w:val="24"/>
          <w:lang w:val="en-GB"/>
        </w:rPr>
        <w:t xml:space="preserve">;e the price competitiveness channel with the share of the same currency unit (the cfa franc) these ones continue to have a low level of intra regional trade and a slight level of export diversification while the exports account much more in a country development with the idea of export-led growth (Bouoiyour, 2003, p. 2). Then with stylized facts about the difference in exports performance in Europe between Germany in the one hand and France and Italy on the other he appears that it’s the austerity policy of Germany that is responsible of the extraordinary performance of its exportations knowing that these countries have known a same conditions concerning it’s price competitiveness channel (i.e the share of a same currency unit the euro) </w:t>
      </w:r>
      <w:r w:rsidRPr="006F6E02">
        <w:rPr>
          <w:rFonts w:ascii="Times New Roman" w:hAnsi="Times New Roman" w:cs="Times New Roman"/>
          <w:sz w:val="24"/>
          <w:szCs w:val="24"/>
          <w:lang w:val="en-GB"/>
        </w:rPr>
        <w:t>the</w:t>
      </w:r>
      <w:r>
        <w:rPr>
          <w:rFonts w:ascii="Times New Roman" w:hAnsi="Times New Roman" w:cs="Times New Roman"/>
          <w:sz w:val="24"/>
          <w:szCs w:val="24"/>
          <w:lang w:val="en-GB"/>
        </w:rPr>
        <w:t xml:space="preserve"> literature on the New Export channel with the domestic demand as the main driven of exports have surged.</w:t>
      </w:r>
      <w:r w:rsidRPr="006F6E02">
        <w:rPr>
          <w:rFonts w:ascii="Times New Roman" w:hAnsi="Times New Roman" w:cs="Times New Roman"/>
          <w:sz w:val="24"/>
          <w:szCs w:val="24"/>
          <w:lang w:val="en-GB"/>
        </w:rPr>
        <w:t xml:space="preserve"> </w:t>
      </w:r>
      <w:r>
        <w:rPr>
          <w:rFonts w:ascii="Times New Roman" w:hAnsi="Times New Roman" w:cs="Times New Roman"/>
          <w:sz w:val="24"/>
          <w:szCs w:val="24"/>
          <w:lang w:val="en-GB"/>
        </w:rPr>
        <w:t>Considering that LDC are the ones where domestic dem</w:t>
      </w:r>
      <w:r w:rsidR="00752224">
        <w:rPr>
          <w:rFonts w:ascii="Times New Roman" w:hAnsi="Times New Roman" w:cs="Times New Roman"/>
          <w:sz w:val="24"/>
          <w:szCs w:val="24"/>
          <w:lang w:val="en-GB"/>
        </w:rPr>
        <w:t xml:space="preserve">and have a considerable </w:t>
      </w:r>
      <w:r>
        <w:rPr>
          <w:rFonts w:ascii="Times New Roman" w:hAnsi="Times New Roman" w:cs="Times New Roman"/>
          <w:sz w:val="24"/>
          <w:szCs w:val="24"/>
          <w:lang w:val="en-GB"/>
        </w:rPr>
        <w:t>place in policy with the need of development with the Keynesian view of the economy</w:t>
      </w:r>
      <w:r w:rsidR="00752224">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E6079A" w:rsidRPr="00E6079A">
        <w:rPr>
          <w:rFonts w:ascii="Times New Roman" w:hAnsi="Times New Roman" w:cs="Times New Roman"/>
          <w:sz w:val="24"/>
          <w:szCs w:val="24"/>
          <w:lang w:val="en-GB"/>
        </w:rPr>
        <w:t xml:space="preserve">Recent literature has established that the Single Equation Approach provides a convenient method for estimating system-based models, that is, models which simultaneously account for both short-run and long-run dynamics. Given that least developed countries (LDCs) often face challenges such as small sample sizes (Baffes, Elbadawi, and O’Connell, 1999), the Single Equation Approach has been proposed as a viable alternative to mitigate small-sample bias in system-based estimations. Building on this perspective, Kuikeu (2026) demonstrates that the Single Equation Approach is </w:t>
      </w:r>
      <w:r w:rsidR="00E6079A" w:rsidRPr="00E6079A">
        <w:rPr>
          <w:rFonts w:ascii="Times New Roman" w:hAnsi="Times New Roman" w:cs="Times New Roman"/>
          <w:sz w:val="24"/>
          <w:szCs w:val="24"/>
          <w:lang w:val="en-GB"/>
        </w:rPr>
        <w:t xml:space="preserve">particularly well-suited to modelling the New Export channel within a time series framework, drawing on the Gabonese experience, </w:t>
      </w:r>
      <w:proofErr w:type="gramStart"/>
      <w:r w:rsidR="00E6079A" w:rsidRPr="00E6079A">
        <w:rPr>
          <w:rFonts w:ascii="Times New Roman" w:hAnsi="Times New Roman" w:cs="Times New Roman"/>
          <w:sz w:val="24"/>
          <w:szCs w:val="24"/>
          <w:lang w:val="en-GB"/>
        </w:rPr>
        <w:t>one of the six member</w:t>
      </w:r>
      <w:proofErr w:type="gramEnd"/>
      <w:r w:rsidR="00E6079A" w:rsidRPr="00E6079A">
        <w:rPr>
          <w:rFonts w:ascii="Times New Roman" w:hAnsi="Times New Roman" w:cs="Times New Roman"/>
          <w:sz w:val="24"/>
          <w:szCs w:val="24"/>
          <w:lang w:val="en-GB"/>
        </w:rPr>
        <w:t xml:space="preserve"> countries of CEMAC</w:t>
      </w:r>
      <w:r w:rsidR="00005BDC" w:rsidRPr="006F6E02">
        <w:rPr>
          <w:rFonts w:ascii="Times New Roman" w:hAnsi="Times New Roman" w:cs="Times New Roman"/>
          <w:sz w:val="24"/>
          <w:szCs w:val="24"/>
        </w:rPr>
        <w:t>.</w:t>
      </w:r>
    </w:p>
    <w:p w14:paraId="62038245" w14:textId="2F569E37" w:rsidR="00157906" w:rsidRPr="006F6E02" w:rsidRDefault="00157906" w:rsidP="001579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Nevertheless reently with Pesaran et al (2001) one improvement have been given to Single Equatin Approach to know beside the classical tes</w:t>
      </w:r>
      <w:r w:rsidR="004B478D">
        <w:rPr>
          <w:rFonts w:ascii="Times New Roman" w:hAnsi="Times New Roman" w:cs="Times New Roman"/>
          <w:sz w:val="24"/>
          <w:szCs w:val="24"/>
        </w:rPr>
        <w:t>t</w:t>
      </w:r>
      <w:r>
        <w:rPr>
          <w:rFonts w:ascii="Times New Roman" w:hAnsi="Times New Roman" w:cs="Times New Roman"/>
          <w:sz w:val="24"/>
          <w:szCs w:val="24"/>
        </w:rPr>
        <w:t xml:space="preserve"> of cointegration on the Error Correction Term the availability of a more elaborated test of existence of long run relationship among variables to know the ARDL Bound testing. </w:t>
      </w:r>
    </w:p>
    <w:p w14:paraId="764A5F36" w14:textId="77777777" w:rsidR="00005BDC" w:rsidRPr="006F6E02" w:rsidRDefault="00005BDC" w:rsidP="00157906">
      <w:pPr>
        <w:spacing w:after="0" w:line="240" w:lineRule="auto"/>
        <w:ind w:firstLine="709"/>
        <w:jc w:val="both"/>
        <w:rPr>
          <w:rFonts w:ascii="Times New Roman" w:hAnsi="Times New Roman" w:cs="Times New Roman"/>
          <w:sz w:val="24"/>
          <w:szCs w:val="24"/>
        </w:rPr>
      </w:pPr>
    </w:p>
    <w:p w14:paraId="1E33864B" w14:textId="77777777" w:rsidR="00005BDC" w:rsidRPr="006F6E02" w:rsidRDefault="00005BDC" w:rsidP="00005BDC">
      <w:pPr>
        <w:spacing w:after="0" w:line="240" w:lineRule="auto"/>
        <w:jc w:val="both"/>
        <w:rPr>
          <w:rFonts w:ascii="Times New Roman" w:hAnsi="Times New Roman" w:cs="Times New Roman"/>
          <w:b/>
          <w:sz w:val="24"/>
          <w:szCs w:val="24"/>
        </w:rPr>
      </w:pPr>
      <w:r w:rsidRPr="006F6E02">
        <w:rPr>
          <w:rFonts w:ascii="Times New Roman" w:hAnsi="Times New Roman" w:cs="Times New Roman"/>
          <w:b/>
          <w:sz w:val="24"/>
          <w:szCs w:val="24"/>
        </w:rPr>
        <w:t>General Objectives</w:t>
      </w:r>
    </w:p>
    <w:p w14:paraId="39B39F79" w14:textId="77777777" w:rsidR="00005BDC" w:rsidRPr="006F6E02" w:rsidRDefault="00005BDC" w:rsidP="00B568C5">
      <w:pPr>
        <w:spacing w:after="0" w:line="240" w:lineRule="auto"/>
        <w:ind w:firstLine="567"/>
        <w:jc w:val="both"/>
        <w:rPr>
          <w:rFonts w:ascii="Times New Roman" w:hAnsi="Times New Roman" w:cs="Times New Roman"/>
          <w:sz w:val="24"/>
          <w:szCs w:val="24"/>
        </w:rPr>
      </w:pPr>
      <w:r w:rsidRPr="006F6E02">
        <w:rPr>
          <w:rFonts w:ascii="Times New Roman" w:hAnsi="Times New Roman" w:cs="Times New Roman"/>
          <w:sz w:val="24"/>
          <w:szCs w:val="24"/>
        </w:rPr>
        <w:t xml:space="preserve">This paper aims to present the </w:t>
      </w:r>
      <w:r w:rsidR="00B568C5" w:rsidRPr="006F6E02">
        <w:rPr>
          <w:rFonts w:ascii="Times New Roman" w:hAnsi="Times New Roman" w:cs="Times New Roman"/>
          <w:sz w:val="24"/>
          <w:szCs w:val="24"/>
        </w:rPr>
        <w:t>ARDL modeling</w:t>
      </w:r>
      <w:r w:rsidRPr="006F6E02">
        <w:rPr>
          <w:rFonts w:ascii="Times New Roman" w:hAnsi="Times New Roman" w:cs="Times New Roman"/>
          <w:sz w:val="24"/>
          <w:szCs w:val="24"/>
        </w:rPr>
        <w:t xml:space="preserve"> one of Single Equation Approach as an serious candidate in assessing the Model underlying the New Export channel. In fact, it’s well known that the Model underlying the New Export channel is </w:t>
      </w:r>
      <w:r w:rsidR="00B568C5" w:rsidRPr="006F6E02">
        <w:rPr>
          <w:rFonts w:ascii="Times New Roman" w:hAnsi="Times New Roman" w:cs="Times New Roman"/>
          <w:sz w:val="24"/>
          <w:szCs w:val="24"/>
        </w:rPr>
        <w:t xml:space="preserve">an </w:t>
      </w:r>
      <w:r w:rsidR="00B568C5" w:rsidRPr="006F6E02">
        <w:rPr>
          <w:rFonts w:ascii="Times New Roman" w:hAnsi="Times New Roman" w:cs="Times New Roman"/>
          <w:sz w:val="24"/>
          <w:szCs w:val="24"/>
          <w:lang w:val="en-GB"/>
        </w:rPr>
        <w:t>system-based model</w:t>
      </w:r>
      <w:r w:rsidRPr="006F6E02">
        <w:rPr>
          <w:rFonts w:ascii="Times New Roman" w:hAnsi="Times New Roman" w:cs="Times New Roman"/>
          <w:sz w:val="24"/>
          <w:szCs w:val="24"/>
        </w:rPr>
        <w:t xml:space="preserve"> so that the recover</w:t>
      </w:r>
      <w:r w:rsidR="0009104E" w:rsidRPr="006F6E02">
        <w:rPr>
          <w:rFonts w:ascii="Times New Roman" w:hAnsi="Times New Roman" w:cs="Times New Roman"/>
          <w:sz w:val="24"/>
          <w:szCs w:val="24"/>
        </w:rPr>
        <w:t>ing</w:t>
      </w:r>
      <w:r w:rsidRPr="006F6E02">
        <w:rPr>
          <w:rFonts w:ascii="Times New Roman" w:hAnsi="Times New Roman" w:cs="Times New Roman"/>
          <w:sz w:val="24"/>
          <w:szCs w:val="24"/>
        </w:rPr>
        <w:t xml:space="preserve"> of</w:t>
      </w:r>
      <w:r w:rsidR="0009104E" w:rsidRPr="006F6E02">
        <w:rPr>
          <w:rFonts w:ascii="Times New Roman" w:hAnsi="Times New Roman" w:cs="Times New Roman"/>
          <w:sz w:val="24"/>
          <w:szCs w:val="24"/>
        </w:rPr>
        <w:t xml:space="preserve"> his parameters estimates </w:t>
      </w:r>
      <w:r w:rsidR="00B568C5" w:rsidRPr="006F6E02">
        <w:rPr>
          <w:rFonts w:ascii="Times New Roman" w:hAnsi="Times New Roman" w:cs="Times New Roman"/>
          <w:sz w:val="24"/>
          <w:szCs w:val="24"/>
          <w:lang w:val="en-GB"/>
        </w:rPr>
        <w:t>requires to account at the same time for the short run and the long run dynamics</w:t>
      </w:r>
      <w:r w:rsidRPr="006F6E02">
        <w:rPr>
          <w:rFonts w:ascii="Times New Roman" w:hAnsi="Times New Roman" w:cs="Times New Roman"/>
          <w:sz w:val="24"/>
          <w:szCs w:val="24"/>
        </w:rPr>
        <w:t xml:space="preserve">. Then the most common approach to done this is the </w:t>
      </w:r>
      <w:r w:rsidR="006E43A6" w:rsidRPr="006F6E02">
        <w:rPr>
          <w:rFonts w:ascii="Times New Roman" w:hAnsi="Times New Roman" w:cs="Times New Roman"/>
          <w:sz w:val="24"/>
          <w:szCs w:val="24"/>
        </w:rPr>
        <w:t xml:space="preserve">conditional ECM </w:t>
      </w:r>
      <w:r w:rsidR="00414F66" w:rsidRPr="006F6E02">
        <w:rPr>
          <w:rFonts w:ascii="Times New Roman" w:hAnsi="Times New Roman" w:cs="Times New Roman"/>
          <w:sz w:val="24"/>
          <w:szCs w:val="24"/>
        </w:rPr>
        <w:t>(</w:t>
      </w:r>
      <w:r w:rsidR="00FB6D7B" w:rsidRPr="006F6E02">
        <w:rPr>
          <w:rFonts w:ascii="Times New Roman" w:hAnsi="Times New Roman" w:cs="Times New Roman"/>
          <w:sz w:val="24"/>
          <w:szCs w:val="24"/>
        </w:rPr>
        <w:t xml:space="preserve">Esteves and Rua, 2013 ; </w:t>
      </w:r>
      <w:r w:rsidR="00414F66" w:rsidRPr="006F6E02">
        <w:rPr>
          <w:rFonts w:ascii="Times New Roman" w:hAnsi="Times New Roman" w:cs="Times New Roman"/>
          <w:sz w:val="24"/>
          <w:szCs w:val="24"/>
          <w:lang w:val="fr-CM"/>
        </w:rPr>
        <w:t>Bobeica et al. 2015 ; Esteves and Prades, 2016</w:t>
      </w:r>
      <w:r w:rsidR="00A72F0D" w:rsidRPr="006F6E02">
        <w:rPr>
          <w:rFonts w:ascii="Times New Roman" w:hAnsi="Times New Roman" w:cs="Times New Roman"/>
          <w:sz w:val="24"/>
          <w:szCs w:val="24"/>
          <w:lang w:val="fr-CM"/>
        </w:rPr>
        <w:t>)</w:t>
      </w:r>
      <w:r w:rsidRPr="006F6E02">
        <w:rPr>
          <w:rFonts w:ascii="Times New Roman" w:hAnsi="Times New Roman" w:cs="Times New Roman"/>
          <w:sz w:val="24"/>
          <w:szCs w:val="24"/>
        </w:rPr>
        <w:t xml:space="preserve">. </w:t>
      </w:r>
      <w:r w:rsidR="00CF0050" w:rsidRPr="006F6E02">
        <w:rPr>
          <w:rFonts w:ascii="Times New Roman" w:hAnsi="Times New Roman" w:cs="Times New Roman"/>
          <w:sz w:val="24"/>
          <w:szCs w:val="24"/>
        </w:rPr>
        <w:t xml:space="preserve">While </w:t>
      </w:r>
      <w:r w:rsidR="00A72F0D" w:rsidRPr="006F6E02">
        <w:rPr>
          <w:rFonts w:ascii="Times New Roman" w:hAnsi="Times New Roman" w:cs="Times New Roman"/>
          <w:sz w:val="24"/>
          <w:szCs w:val="24"/>
        </w:rPr>
        <w:t>the popular ECM representation and the ARDL in levels form are equivalent</w:t>
      </w:r>
      <w:r w:rsidR="00CF0050" w:rsidRPr="006F6E02">
        <w:rPr>
          <w:rFonts w:ascii="Times New Roman" w:hAnsi="Times New Roman" w:cs="Times New Roman"/>
          <w:sz w:val="24"/>
          <w:szCs w:val="24"/>
        </w:rPr>
        <w:t>.</w:t>
      </w:r>
      <w:r w:rsidR="00A72F0D" w:rsidRPr="006F6E02">
        <w:rPr>
          <w:rFonts w:ascii="Times New Roman" w:hAnsi="Times New Roman" w:cs="Times New Roman"/>
          <w:sz w:val="24"/>
          <w:szCs w:val="24"/>
        </w:rPr>
        <w:t xml:space="preserve"> </w:t>
      </w:r>
    </w:p>
    <w:p w14:paraId="3AF9AF96" w14:textId="77777777" w:rsidR="00005BDC" w:rsidRPr="006F6E02" w:rsidRDefault="00005BDC" w:rsidP="00005BDC">
      <w:pPr>
        <w:spacing w:after="0" w:line="240" w:lineRule="auto"/>
        <w:jc w:val="both"/>
        <w:rPr>
          <w:rFonts w:ascii="Times New Roman" w:hAnsi="Times New Roman" w:cs="Times New Roman"/>
          <w:sz w:val="24"/>
          <w:szCs w:val="24"/>
        </w:rPr>
      </w:pPr>
    </w:p>
    <w:p w14:paraId="17D1E40A" w14:textId="77777777" w:rsidR="00005BDC" w:rsidRPr="006F6E02" w:rsidRDefault="00005BDC" w:rsidP="00005BDC">
      <w:pPr>
        <w:spacing w:after="0" w:line="240" w:lineRule="auto"/>
        <w:jc w:val="both"/>
        <w:rPr>
          <w:rFonts w:ascii="Times New Roman" w:hAnsi="Times New Roman" w:cs="Times New Roman"/>
          <w:b/>
          <w:sz w:val="24"/>
          <w:szCs w:val="24"/>
        </w:rPr>
      </w:pPr>
      <w:r w:rsidRPr="006F6E02">
        <w:rPr>
          <w:rFonts w:ascii="Times New Roman" w:hAnsi="Times New Roman" w:cs="Times New Roman"/>
          <w:b/>
          <w:sz w:val="24"/>
          <w:szCs w:val="24"/>
        </w:rPr>
        <w:t>Contribution to the Research</w:t>
      </w:r>
    </w:p>
    <w:p w14:paraId="6A25FF3D" w14:textId="35BEE566" w:rsidR="00005BDC" w:rsidRPr="006F6E02" w:rsidRDefault="004E2F00" w:rsidP="00620BB3">
      <w:pPr>
        <w:spacing w:after="0" w:line="240" w:lineRule="auto"/>
        <w:ind w:firstLine="709"/>
        <w:jc w:val="both"/>
        <w:rPr>
          <w:rFonts w:ascii="Times New Roman" w:hAnsi="Times New Roman" w:cs="Times New Roman"/>
          <w:sz w:val="24"/>
          <w:szCs w:val="24"/>
        </w:rPr>
      </w:pPr>
      <w:r w:rsidRPr="008353B2">
        <w:rPr>
          <w:rFonts w:ascii="Times New Roman" w:hAnsi="Times New Roman" w:cs="Times New Roman"/>
          <w:sz w:val="24"/>
          <w:szCs w:val="24"/>
          <w:highlight w:val="yellow"/>
        </w:rPr>
        <w:t xml:space="preserve">Into the literature, to recover the parameters estimates underlying the New Export channel </w:t>
      </w:r>
      <w:r w:rsidR="00944B5A" w:rsidRPr="008353B2">
        <w:rPr>
          <w:rFonts w:ascii="Times New Roman" w:hAnsi="Times New Roman" w:cs="Times New Roman"/>
          <w:sz w:val="24"/>
          <w:szCs w:val="24"/>
          <w:highlight w:val="yellow"/>
        </w:rPr>
        <w:t xml:space="preserve">for the Gabonese experience in CEMAC, </w:t>
      </w:r>
      <w:r w:rsidRPr="008353B2">
        <w:rPr>
          <w:rFonts w:ascii="Times New Roman" w:hAnsi="Times New Roman" w:cs="Times New Roman"/>
          <w:sz w:val="24"/>
          <w:szCs w:val="24"/>
          <w:highlight w:val="yellow"/>
        </w:rPr>
        <w:t>several techniques have been used, as the conventional cointegration techniques and the GMM (Kuikeu, 2025a), the Single Equation Approach (Kuikeu, 2026) and then the AEDL Bound testing</w:t>
      </w:r>
      <w:r w:rsidR="00D075E5" w:rsidRPr="008353B2">
        <w:rPr>
          <w:rFonts w:ascii="Times New Roman" w:hAnsi="Times New Roman" w:cs="Times New Roman"/>
          <w:sz w:val="24"/>
          <w:szCs w:val="24"/>
          <w:highlight w:val="yellow"/>
        </w:rPr>
        <w:t xml:space="preserve"> never used in the existing empirical literature </w:t>
      </w:r>
      <w:r w:rsidR="005B0BF8" w:rsidRPr="008353B2">
        <w:rPr>
          <w:rFonts w:ascii="Times New Roman" w:hAnsi="Times New Roman" w:cs="Times New Roman"/>
          <w:sz w:val="24"/>
          <w:szCs w:val="24"/>
          <w:highlight w:val="yellow"/>
        </w:rPr>
        <w:t xml:space="preserve">to recover </w:t>
      </w:r>
      <w:r w:rsidR="00D075E5" w:rsidRPr="008353B2">
        <w:rPr>
          <w:rFonts w:ascii="Times New Roman" w:hAnsi="Times New Roman" w:cs="Times New Roman"/>
          <w:sz w:val="24"/>
          <w:szCs w:val="24"/>
          <w:highlight w:val="yellow"/>
        </w:rPr>
        <w:t xml:space="preserve">the </w:t>
      </w:r>
      <w:r w:rsidR="00D075E5" w:rsidRPr="008353B2">
        <w:rPr>
          <w:rFonts w:ascii="Times New Roman" w:hAnsi="Times New Roman" w:cs="Times New Roman"/>
          <w:sz w:val="24"/>
          <w:szCs w:val="24"/>
          <w:highlight w:val="yellow"/>
        </w:rPr>
        <w:lastRenderedPageBreak/>
        <w:t>parameters estimates underlying the New export channel</w:t>
      </w:r>
      <w:r w:rsidRPr="008353B2">
        <w:rPr>
          <w:rFonts w:ascii="Times New Roman" w:hAnsi="Times New Roman" w:cs="Times New Roman"/>
          <w:sz w:val="24"/>
          <w:szCs w:val="24"/>
          <w:highlight w:val="yellow"/>
        </w:rPr>
        <w:t>. Then the main interest is to enriche the empi</w:t>
      </w:r>
      <w:r w:rsidR="00E77334" w:rsidRPr="008353B2">
        <w:rPr>
          <w:rFonts w:ascii="Times New Roman" w:hAnsi="Times New Roman" w:cs="Times New Roman"/>
          <w:sz w:val="24"/>
          <w:szCs w:val="24"/>
          <w:highlight w:val="yellow"/>
        </w:rPr>
        <w:t>rical literature this by comparing the elasticity obtained in</w:t>
      </w:r>
      <w:r w:rsidR="00D075E5" w:rsidRPr="008353B2">
        <w:rPr>
          <w:rFonts w:ascii="Times New Roman" w:hAnsi="Times New Roman" w:cs="Times New Roman"/>
          <w:sz w:val="24"/>
          <w:szCs w:val="24"/>
          <w:highlight w:val="yellow"/>
        </w:rPr>
        <w:t xml:space="preserve"> each one ; in fact, the knowing elasticities of substitution between domestic demand and export performance obtained into the literature on the same time frame (1974-2021 in annual frequency) for the Gabonese experience are the following, 65% in Kuikeu (2025a) and 47% in Kuikeu (2026). The main difference between these two studies is explained into the Literature Review section</w:t>
      </w:r>
      <w:r w:rsidR="00A71C0C">
        <w:rPr>
          <w:rFonts w:ascii="Times New Roman" w:hAnsi="Times New Roman" w:cs="Times New Roman"/>
          <w:sz w:val="24"/>
          <w:szCs w:val="24"/>
          <w:highlight w:val="yellow"/>
        </w:rPr>
        <w:t>.</w:t>
      </w:r>
      <w:r w:rsidRPr="008353B2">
        <w:rPr>
          <w:rFonts w:ascii="Times New Roman" w:hAnsi="Times New Roman" w:cs="Times New Roman"/>
          <w:sz w:val="24"/>
          <w:szCs w:val="24"/>
          <w:highlight w:val="yellow"/>
        </w:rPr>
        <w:t xml:space="preserve"> </w:t>
      </w:r>
      <w:r w:rsidR="00981FCA" w:rsidRPr="008353B2">
        <w:rPr>
          <w:rFonts w:ascii="Times New Roman" w:hAnsi="Times New Roman" w:cs="Times New Roman"/>
          <w:sz w:val="24"/>
          <w:szCs w:val="24"/>
          <w:highlight w:val="yellow"/>
        </w:rPr>
        <w:t xml:space="preserve">In the other hand, other than the the Residual Based Approach of Cointegration of Engle and Granger (1987), the conventional cointegration techniques are difficult to implement so that with the analysis of Kim (2008) of the behavior of GMM estimators in the </w:t>
      </w:r>
      <w:r w:rsidR="00244D9C" w:rsidRPr="008353B2">
        <w:rPr>
          <w:rFonts w:ascii="Times New Roman" w:hAnsi="Times New Roman" w:cs="Times New Roman"/>
          <w:sz w:val="24"/>
          <w:szCs w:val="24"/>
          <w:highlight w:val="yellow"/>
        </w:rPr>
        <w:t>presence of nonstationary components we can reach o the issue that GMM is an alternaive to cointegration techniques. Then with this study where the proof is given to the feasibility of ARDL Bound testing in a wide variety of economic problem as those address here we hen each to the opposite conclusion that the cointegrtion techniques</w:t>
      </w:r>
      <w:r w:rsidR="00244D9C">
        <w:rPr>
          <w:rFonts w:ascii="Times New Roman" w:hAnsi="Times New Roman" w:cs="Times New Roman"/>
          <w:sz w:val="24"/>
          <w:szCs w:val="24"/>
        </w:rPr>
        <w:t xml:space="preserve"> </w:t>
      </w:r>
      <w:r w:rsidR="00244D9C" w:rsidRPr="008353B2">
        <w:rPr>
          <w:rFonts w:ascii="Times New Roman" w:hAnsi="Times New Roman" w:cs="Times New Roman"/>
          <w:sz w:val="24"/>
          <w:szCs w:val="24"/>
          <w:highlight w:val="yellow"/>
        </w:rPr>
        <w:t>are rather compatible to each other despite its wide variety so hat we can fo</w:t>
      </w:r>
      <w:r w:rsidR="00D075E5" w:rsidRPr="008353B2">
        <w:rPr>
          <w:rFonts w:ascii="Times New Roman" w:hAnsi="Times New Roman" w:cs="Times New Roman"/>
          <w:sz w:val="24"/>
          <w:szCs w:val="24"/>
          <w:highlight w:val="yellow"/>
        </w:rPr>
        <w:t>u</w:t>
      </w:r>
      <w:r w:rsidR="00244D9C" w:rsidRPr="008353B2">
        <w:rPr>
          <w:rFonts w:ascii="Times New Roman" w:hAnsi="Times New Roman" w:cs="Times New Roman"/>
          <w:sz w:val="24"/>
          <w:szCs w:val="24"/>
          <w:highlight w:val="yellow"/>
        </w:rPr>
        <w:t>nd similarity between each other ; in fact, as the Johansen and Juselius (1992) Multivariate approach of cointegration and the Single Equation Approach, the ARDL Bound testing is a system-based estimation technique i.e that acount at the same time for</w:t>
      </w:r>
      <w:r w:rsidR="00D075E5" w:rsidRPr="008353B2">
        <w:rPr>
          <w:rFonts w:ascii="Times New Roman" w:hAnsi="Times New Roman" w:cs="Times New Roman"/>
          <w:sz w:val="24"/>
          <w:szCs w:val="24"/>
          <w:highlight w:val="yellow"/>
        </w:rPr>
        <w:t xml:space="preserve"> the short run and the long run dynamics. </w:t>
      </w:r>
      <w:r w:rsidR="00005BDC" w:rsidRPr="008353B2">
        <w:rPr>
          <w:rFonts w:ascii="Times New Roman" w:hAnsi="Times New Roman" w:cs="Times New Roman"/>
          <w:sz w:val="24"/>
          <w:szCs w:val="24"/>
          <w:highlight w:val="yellow"/>
        </w:rPr>
        <w:t xml:space="preserve">Then this paper contributes to the Research by enlarging the eventuality of Results coming from the Model underlying the </w:t>
      </w:r>
      <w:r w:rsidR="00B942DE" w:rsidRPr="008353B2">
        <w:rPr>
          <w:rFonts w:ascii="Times New Roman" w:hAnsi="Times New Roman" w:cs="Times New Roman"/>
          <w:sz w:val="24"/>
          <w:szCs w:val="24"/>
          <w:highlight w:val="yellow"/>
        </w:rPr>
        <w:t>New Export channel especially in</w:t>
      </w:r>
      <w:r w:rsidR="005D2B22" w:rsidRPr="008353B2">
        <w:rPr>
          <w:rFonts w:ascii="Times New Roman" w:hAnsi="Times New Roman" w:cs="Times New Roman"/>
          <w:sz w:val="24"/>
          <w:szCs w:val="24"/>
          <w:highlight w:val="yellow"/>
        </w:rPr>
        <w:t xml:space="preserve"> Africa with the Gabonese</w:t>
      </w:r>
      <w:r w:rsidR="00005BDC" w:rsidRPr="008353B2">
        <w:rPr>
          <w:rFonts w:ascii="Times New Roman" w:hAnsi="Times New Roman" w:cs="Times New Roman"/>
          <w:sz w:val="24"/>
          <w:szCs w:val="24"/>
          <w:highlight w:val="yellow"/>
        </w:rPr>
        <w:t xml:space="preserve"> experience.</w:t>
      </w:r>
      <w:r w:rsidR="003A2E21" w:rsidRPr="006F6E02">
        <w:rPr>
          <w:rFonts w:ascii="Times New Roman" w:hAnsi="Times New Roman" w:cs="Times New Roman"/>
          <w:sz w:val="24"/>
          <w:szCs w:val="24"/>
        </w:rPr>
        <w:t xml:space="preserve"> </w:t>
      </w:r>
      <w:r w:rsidR="00EE6EC8" w:rsidRPr="006F6E02">
        <w:rPr>
          <w:rFonts w:ascii="Times New Roman" w:hAnsi="Times New Roman" w:cs="Times New Roman"/>
          <w:sz w:val="24"/>
          <w:szCs w:val="24"/>
        </w:rPr>
        <w:t xml:space="preserve">  </w:t>
      </w:r>
    </w:p>
    <w:p w14:paraId="4EBDBC6C" w14:textId="77777777" w:rsidR="00005BDC" w:rsidRPr="006F6E02" w:rsidRDefault="00005BDC" w:rsidP="00005BDC">
      <w:pPr>
        <w:spacing w:after="0" w:line="240" w:lineRule="auto"/>
        <w:jc w:val="both"/>
        <w:rPr>
          <w:rFonts w:ascii="Times New Roman" w:hAnsi="Times New Roman" w:cs="Times New Roman"/>
          <w:sz w:val="24"/>
          <w:szCs w:val="24"/>
        </w:rPr>
      </w:pPr>
    </w:p>
    <w:p w14:paraId="5FF25F56" w14:textId="77777777" w:rsidR="00005BDC" w:rsidRPr="006F6E02" w:rsidRDefault="00005BDC" w:rsidP="00005BDC">
      <w:pPr>
        <w:spacing w:after="0" w:line="240" w:lineRule="auto"/>
        <w:jc w:val="both"/>
        <w:rPr>
          <w:rFonts w:ascii="Times New Roman" w:hAnsi="Times New Roman" w:cs="Times New Roman"/>
          <w:b/>
          <w:sz w:val="24"/>
          <w:szCs w:val="24"/>
        </w:rPr>
      </w:pPr>
      <w:r w:rsidRPr="006F6E02">
        <w:rPr>
          <w:rFonts w:ascii="Times New Roman" w:hAnsi="Times New Roman" w:cs="Times New Roman"/>
          <w:b/>
          <w:sz w:val="24"/>
          <w:szCs w:val="24"/>
        </w:rPr>
        <w:t>General hypothesis</w:t>
      </w:r>
    </w:p>
    <w:p w14:paraId="704059DB" w14:textId="77777777" w:rsidR="00005BDC" w:rsidRPr="006F6E02" w:rsidRDefault="00005BDC" w:rsidP="00005BDC">
      <w:pPr>
        <w:spacing w:after="0" w:line="240" w:lineRule="auto"/>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Is the use of </w:t>
      </w:r>
      <w:r w:rsidR="00D47E12" w:rsidRPr="006F6E02">
        <w:rPr>
          <w:rFonts w:ascii="Times New Roman" w:hAnsi="Times New Roman" w:cs="Times New Roman"/>
          <w:sz w:val="24"/>
          <w:szCs w:val="24"/>
        </w:rPr>
        <w:t>ARDL modeling</w:t>
      </w:r>
      <w:r w:rsidRPr="006F6E02">
        <w:rPr>
          <w:rFonts w:ascii="Times New Roman" w:hAnsi="Times New Roman" w:cs="Times New Roman"/>
          <w:sz w:val="24"/>
          <w:szCs w:val="24"/>
        </w:rPr>
        <w:t xml:space="preserve"> can bring </w:t>
      </w:r>
      <w:r w:rsidR="00B942DE" w:rsidRPr="006F6E02">
        <w:rPr>
          <w:rFonts w:ascii="Times New Roman" w:hAnsi="Times New Roman" w:cs="Times New Roman"/>
          <w:sz w:val="24"/>
          <w:szCs w:val="24"/>
        </w:rPr>
        <w:t xml:space="preserve">in the one hand </w:t>
      </w:r>
      <w:r w:rsidRPr="006F6E02">
        <w:rPr>
          <w:rFonts w:ascii="Times New Roman" w:hAnsi="Times New Roman" w:cs="Times New Roman"/>
          <w:sz w:val="24"/>
          <w:szCs w:val="24"/>
        </w:rPr>
        <w:t>conventional results to those obtained into the literature with the substituability effect betwe</w:t>
      </w:r>
      <w:r w:rsidR="00B942DE" w:rsidRPr="006F6E02">
        <w:rPr>
          <w:rFonts w:ascii="Times New Roman" w:hAnsi="Times New Roman" w:cs="Times New Roman"/>
          <w:sz w:val="24"/>
          <w:szCs w:val="24"/>
        </w:rPr>
        <w:t>e</w:t>
      </w:r>
      <w:r w:rsidRPr="006F6E02">
        <w:rPr>
          <w:rFonts w:ascii="Times New Roman" w:hAnsi="Times New Roman" w:cs="Times New Roman"/>
          <w:sz w:val="24"/>
          <w:szCs w:val="24"/>
        </w:rPr>
        <w:t>n domestic demand and exports in the respect of the theoretical recommendations under</w:t>
      </w:r>
      <w:r w:rsidR="00B942DE" w:rsidRPr="006F6E02">
        <w:rPr>
          <w:rFonts w:ascii="Times New Roman" w:hAnsi="Times New Roman" w:cs="Times New Roman"/>
          <w:sz w:val="24"/>
          <w:szCs w:val="24"/>
        </w:rPr>
        <w:t xml:space="preserve">lying </w:t>
      </w:r>
      <w:r w:rsidR="00B942DE" w:rsidRPr="006F6E02">
        <w:rPr>
          <w:rFonts w:ascii="Times New Roman" w:hAnsi="Times New Roman" w:cs="Times New Roman"/>
          <w:sz w:val="24"/>
          <w:szCs w:val="24"/>
        </w:rPr>
        <w:t>this framework  and in the other hand</w:t>
      </w:r>
      <w:r w:rsidRPr="006F6E02">
        <w:rPr>
          <w:rFonts w:ascii="Times New Roman" w:hAnsi="Times New Roman" w:cs="Times New Roman"/>
          <w:sz w:val="24"/>
          <w:szCs w:val="24"/>
        </w:rPr>
        <w:t xml:space="preserve"> close elasticity comparatively to those obtained in the literature ? This is the main hypothesis here.</w:t>
      </w:r>
    </w:p>
    <w:p w14:paraId="6FC40ACF" w14:textId="77777777" w:rsidR="00005BDC" w:rsidRPr="006F6E02" w:rsidRDefault="00005BDC" w:rsidP="00005BDC">
      <w:pPr>
        <w:spacing w:after="0" w:line="240" w:lineRule="auto"/>
        <w:jc w:val="both"/>
        <w:rPr>
          <w:rFonts w:ascii="Times New Roman" w:hAnsi="Times New Roman" w:cs="Times New Roman"/>
          <w:sz w:val="24"/>
          <w:szCs w:val="24"/>
        </w:rPr>
      </w:pPr>
    </w:p>
    <w:p w14:paraId="4EDFA8E6" w14:textId="7E929E95" w:rsidR="00005BDC" w:rsidRPr="006F6E02" w:rsidRDefault="00005BDC" w:rsidP="00005BDC">
      <w:pPr>
        <w:spacing w:after="0" w:line="240" w:lineRule="auto"/>
        <w:jc w:val="both"/>
        <w:rPr>
          <w:rFonts w:ascii="Times New Roman" w:hAnsi="Times New Roman" w:cs="Times New Roman"/>
          <w:b/>
          <w:sz w:val="24"/>
          <w:szCs w:val="24"/>
        </w:rPr>
      </w:pPr>
    </w:p>
    <w:p w14:paraId="755F6993" w14:textId="77777777" w:rsidR="00005BDC" w:rsidRPr="006F6E02" w:rsidRDefault="00005BDC" w:rsidP="00005BDC">
      <w:pPr>
        <w:spacing w:after="0" w:line="240" w:lineRule="auto"/>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This study were organize as follows, in the next section (section 2) as Literature Review we should present the developments </w:t>
      </w:r>
      <w:r w:rsidR="009017E9" w:rsidRPr="006F6E02">
        <w:rPr>
          <w:rFonts w:ascii="Times New Roman" w:hAnsi="Times New Roman" w:cs="Times New Roman"/>
          <w:sz w:val="24"/>
          <w:szCs w:val="24"/>
        </w:rPr>
        <w:t>about the New Export channel</w:t>
      </w:r>
      <w:r w:rsidRPr="006F6E02">
        <w:rPr>
          <w:rFonts w:ascii="Times New Roman" w:hAnsi="Times New Roman" w:cs="Times New Roman"/>
          <w:sz w:val="24"/>
          <w:szCs w:val="24"/>
        </w:rPr>
        <w:t>, in section 3 the methodological approaches, in section 4 the results and finally in section 5 a summary of the main results as concluding remarks.</w:t>
      </w:r>
    </w:p>
    <w:p w14:paraId="68622D6D" w14:textId="77777777" w:rsidR="00005BDC" w:rsidRPr="006F6E02" w:rsidRDefault="00005BDC" w:rsidP="00005BDC">
      <w:pPr>
        <w:spacing w:after="0" w:line="240" w:lineRule="auto"/>
        <w:jc w:val="both"/>
        <w:rPr>
          <w:rFonts w:ascii="Times New Roman" w:hAnsi="Times New Roman" w:cs="Times New Roman"/>
          <w:sz w:val="24"/>
          <w:szCs w:val="24"/>
        </w:rPr>
      </w:pPr>
    </w:p>
    <w:p w14:paraId="1975A6B6" w14:textId="77777777" w:rsidR="00005BDC" w:rsidRPr="006F6E02" w:rsidRDefault="00005BDC" w:rsidP="00005BDC">
      <w:pPr>
        <w:spacing w:after="0"/>
        <w:jc w:val="both"/>
        <w:rPr>
          <w:rFonts w:ascii="Times New Roman" w:hAnsi="Times New Roman" w:cs="Times New Roman"/>
          <w:sz w:val="24"/>
          <w:szCs w:val="24"/>
        </w:rPr>
      </w:pPr>
    </w:p>
    <w:p w14:paraId="51894E1C" w14:textId="77777777" w:rsidR="00005BDC" w:rsidRPr="006F6E02" w:rsidRDefault="009017E9" w:rsidP="0066076E">
      <w:pPr>
        <w:pStyle w:val="ListParagraph"/>
        <w:numPr>
          <w:ilvl w:val="0"/>
          <w:numId w:val="1"/>
        </w:numPr>
        <w:spacing w:after="0"/>
        <w:jc w:val="both"/>
        <w:rPr>
          <w:rFonts w:ascii="Times New Roman" w:hAnsi="Times New Roman" w:cs="Times New Roman"/>
          <w:b/>
          <w:sz w:val="24"/>
          <w:szCs w:val="24"/>
        </w:rPr>
      </w:pPr>
      <w:r w:rsidRPr="006F6E02">
        <w:rPr>
          <w:rFonts w:ascii="Times New Roman" w:hAnsi="Times New Roman" w:cs="Times New Roman"/>
          <w:b/>
          <w:sz w:val="24"/>
          <w:szCs w:val="24"/>
        </w:rPr>
        <w:t>The New Export channel</w:t>
      </w:r>
    </w:p>
    <w:p w14:paraId="1B8678A4" w14:textId="77777777" w:rsidR="000F5F54" w:rsidRPr="006F6E02" w:rsidRDefault="000F5F54" w:rsidP="000F5F54">
      <w:pPr>
        <w:spacing w:after="0"/>
        <w:jc w:val="both"/>
        <w:rPr>
          <w:rFonts w:ascii="Times New Roman" w:hAnsi="Times New Roman" w:cs="Times New Roman"/>
          <w:sz w:val="24"/>
          <w:szCs w:val="24"/>
        </w:rPr>
      </w:pPr>
    </w:p>
    <w:p w14:paraId="10CEF7B5" w14:textId="3CEC4D38" w:rsidR="009017E9" w:rsidRDefault="00E6079A" w:rsidP="000F5F54">
      <w:pPr>
        <w:spacing w:after="0"/>
        <w:ind w:firstLine="709"/>
        <w:jc w:val="both"/>
        <w:rPr>
          <w:rFonts w:ascii="Times New Roman" w:hAnsi="Times New Roman" w:cs="Times New Roman"/>
          <w:sz w:val="24"/>
          <w:szCs w:val="24"/>
        </w:rPr>
      </w:pPr>
      <w:r w:rsidRPr="00E6079A">
        <w:rPr>
          <w:rFonts w:ascii="Times New Roman" w:hAnsi="Times New Roman" w:cs="Times New Roman"/>
          <w:sz w:val="24"/>
          <w:szCs w:val="24"/>
        </w:rPr>
        <w:t>From a global perspective, assessing the relationship between domestic demand and export performance is essential for evaluating the effectiveness of macroeconomic policy measures aimed at placing an economy on a high-growth trajectory. This approach, originally emphasised by Keynes, highlights the importance of stimulating local demand through accommodative fiscal and monetary policies, as demonstrated in the experience of advanced economies.</w:t>
      </w:r>
      <w:r>
        <w:rPr>
          <w:rFonts w:ascii="Times New Roman" w:hAnsi="Times New Roman" w:cs="Times New Roman"/>
          <w:sz w:val="24"/>
          <w:szCs w:val="24"/>
        </w:rPr>
        <w:t xml:space="preserve"> </w:t>
      </w:r>
      <w:r w:rsidR="009017E9" w:rsidRPr="006F6E02">
        <w:rPr>
          <w:rFonts w:ascii="Times New Roman" w:hAnsi="Times New Roman" w:cs="Times New Roman"/>
          <w:sz w:val="24"/>
          <w:szCs w:val="24"/>
        </w:rPr>
        <w:t>This with the issue of substituability (</w:t>
      </w:r>
      <w:r w:rsidR="009017E9" w:rsidRPr="006F6E02">
        <w:rPr>
          <w:rFonts w:ascii="Times New Roman" w:hAnsi="Times New Roman" w:cs="Times New Roman"/>
          <w:sz w:val="24"/>
          <w:szCs w:val="24"/>
          <w:lang w:val="fr-CM"/>
        </w:rPr>
        <w:t xml:space="preserve">Esteves and Rua, 2013 ; Bobeica et al. 2015 ; Esteves and Prades, 2016 ; Kuikeu, 2024) </w:t>
      </w:r>
      <w:r w:rsidR="009017E9" w:rsidRPr="006F6E02">
        <w:rPr>
          <w:rFonts w:ascii="Times New Roman" w:hAnsi="Times New Roman" w:cs="Times New Roman"/>
          <w:sz w:val="24"/>
          <w:szCs w:val="24"/>
        </w:rPr>
        <w:t xml:space="preserve">and complementary (Berman et </w:t>
      </w:r>
      <w:r w:rsidR="00C44528" w:rsidRPr="006F6E02">
        <w:rPr>
          <w:rFonts w:ascii="Times New Roman" w:hAnsi="Times New Roman" w:cs="Times New Roman"/>
          <w:sz w:val="24"/>
          <w:szCs w:val="24"/>
        </w:rPr>
        <w:t>al. 2011 ; Kuikeu, 2025</w:t>
      </w:r>
      <w:r w:rsidR="00DA32F1" w:rsidRPr="006F6E02">
        <w:rPr>
          <w:rFonts w:ascii="Times New Roman" w:hAnsi="Times New Roman" w:cs="Times New Roman"/>
          <w:sz w:val="24"/>
          <w:szCs w:val="24"/>
        </w:rPr>
        <w:t>c</w:t>
      </w:r>
      <w:r w:rsidR="009017E9" w:rsidRPr="006F6E02">
        <w:rPr>
          <w:rFonts w:ascii="Times New Roman" w:hAnsi="Times New Roman" w:cs="Times New Roman"/>
          <w:sz w:val="24"/>
          <w:szCs w:val="24"/>
        </w:rPr>
        <w:t xml:space="preserve">). In fact, while the issue of substituability states that there is a inverse relationship between domestic demand and exports performance the issue of complementary argues that there is instead a positive relationship among them. </w:t>
      </w:r>
      <w:r w:rsidR="00D52AFF" w:rsidRPr="00D52AFF">
        <w:rPr>
          <w:rFonts w:ascii="Times New Roman" w:hAnsi="Times New Roman" w:cs="Times New Roman"/>
          <w:sz w:val="24"/>
          <w:szCs w:val="24"/>
        </w:rPr>
        <w:t xml:space="preserve">In this context, unlike the first scenario, there is a rationale for implementing accommodative policies. On the fiscal side, this may involve increasing public expenditure, while on the monetary side, measures could be taken to enhance the purchasing power of economic agents. Such measures include reducing the central bank’s refinancing rate to encourage </w:t>
      </w:r>
      <w:r w:rsidR="00D52AFF" w:rsidRPr="00D52AFF">
        <w:rPr>
          <w:rFonts w:ascii="Times New Roman" w:hAnsi="Times New Roman" w:cs="Times New Roman"/>
          <w:sz w:val="24"/>
          <w:szCs w:val="24"/>
        </w:rPr>
        <w:lastRenderedPageBreak/>
        <w:t>borrowing, or expanding the money supply through open market operations to stimulate consumption</w:t>
      </w:r>
      <w:r w:rsidR="009017E9" w:rsidRPr="006F6E02">
        <w:rPr>
          <w:rFonts w:ascii="Times New Roman" w:hAnsi="Times New Roman" w:cs="Times New Roman"/>
          <w:color w:val="202124"/>
          <w:sz w:val="24"/>
          <w:szCs w:val="24"/>
          <w:lang w:val="en"/>
        </w:rPr>
        <w:t>.</w:t>
      </w:r>
      <w:r w:rsidR="00D52AFF">
        <w:rPr>
          <w:rFonts w:ascii="Times New Roman" w:hAnsi="Times New Roman" w:cs="Times New Roman"/>
          <w:sz w:val="24"/>
          <w:szCs w:val="24"/>
        </w:rPr>
        <w:t xml:space="preserve"> </w:t>
      </w:r>
      <w:r w:rsidR="009017E9" w:rsidRPr="006F6E02">
        <w:rPr>
          <w:rFonts w:ascii="Times New Roman" w:hAnsi="Times New Roman" w:cs="Times New Roman"/>
          <w:sz w:val="24"/>
          <w:szCs w:val="24"/>
        </w:rPr>
        <w:t>Since the issue of substituability is an short run term while the issue of complementary is an long run term we have just investigate here the issue of substituability.</w:t>
      </w:r>
    </w:p>
    <w:p w14:paraId="212B4440" w14:textId="77777777" w:rsidR="00563267" w:rsidRDefault="00563267" w:rsidP="000F5F54">
      <w:pPr>
        <w:spacing w:after="0"/>
        <w:ind w:firstLine="709"/>
        <w:jc w:val="both"/>
        <w:rPr>
          <w:rFonts w:ascii="Times New Roman" w:hAnsi="Times New Roman" w:cs="Times New Roman"/>
          <w:sz w:val="24"/>
          <w:szCs w:val="24"/>
        </w:rPr>
      </w:pPr>
    </w:p>
    <w:p w14:paraId="7967175E" w14:textId="09A978FC" w:rsidR="00563267" w:rsidRPr="003D64D1" w:rsidRDefault="00E6079A" w:rsidP="00563267">
      <w:pPr>
        <w:pStyle w:val="HTMLPreformatted"/>
        <w:shd w:val="clear" w:color="auto" w:fill="F8F9FA"/>
        <w:ind w:firstLine="709"/>
        <w:jc w:val="both"/>
        <w:rPr>
          <w:rStyle w:val="y2iqfc"/>
          <w:rFonts w:ascii="Times New Roman" w:hAnsi="Times New Roman" w:cs="Times New Roman"/>
          <w:color w:val="1F1F1F"/>
          <w:sz w:val="24"/>
          <w:szCs w:val="24"/>
          <w:highlight w:val="yellow"/>
          <w:lang w:val="en"/>
        </w:rPr>
      </w:pPr>
      <w:r w:rsidRPr="00E6079A">
        <w:rPr>
          <w:rStyle w:val="y2iqfc"/>
          <w:rFonts w:ascii="Times New Roman" w:hAnsi="Times New Roman" w:cs="Times New Roman"/>
          <w:color w:val="1F1F1F"/>
          <w:sz w:val="24"/>
          <w:szCs w:val="24"/>
          <w:lang w:val="en"/>
        </w:rPr>
        <w:t>In order to evaluate the suitability of accommodative versus austerity policies at the country level, it is necessary to focus on a period during which Gabonese economic policies were actively implemented, specifically from 1980 to 2021. Following independence, as with many African countries, the primary objective of the Gabonese authorities was to restore and sustain economic growth (Kuikeu, 2012). However, the country faced significant external shocks from the mid-1980s onwards, prompting the adoption of a Structural Adjustment Programme aimed at controlling aggregate demand. The programme’s limited success in reviving economic growth eventually led the authorities to accept a nominal devaluation in 1994. Overall, the effectiveness of these structural adjustment measures on external balances appears relatively modest, as evidenced by the persistent trade deficit that continued until the 1994 devaluation (Kuikeu, 2025b).</w:t>
      </w:r>
      <w:r w:rsidR="00563267" w:rsidRPr="003D64D1">
        <w:rPr>
          <w:rStyle w:val="y2iqfc"/>
          <w:color w:val="1F1F1F"/>
          <w:highlight w:val="yellow"/>
          <w:lang w:val="en"/>
        </w:rPr>
        <w:t xml:space="preserve"> </w:t>
      </w:r>
      <w:r w:rsidR="00563267" w:rsidRPr="003D64D1">
        <w:rPr>
          <w:rStyle w:val="y2iqfc"/>
          <w:rFonts w:ascii="Times New Roman" w:hAnsi="Times New Roman" w:cs="Times New Roman"/>
          <w:color w:val="1F1F1F"/>
          <w:sz w:val="24"/>
          <w:szCs w:val="24"/>
          <w:highlight w:val="yellow"/>
          <w:lang w:val="en"/>
        </w:rPr>
        <w:t xml:space="preserve"> </w:t>
      </w:r>
    </w:p>
    <w:p w14:paraId="02F87507" w14:textId="773A1A8A" w:rsidR="00563267" w:rsidRPr="003D64D1" w:rsidRDefault="00E6079A" w:rsidP="00563267">
      <w:pPr>
        <w:pStyle w:val="HTMLPreformatted"/>
        <w:shd w:val="clear" w:color="auto" w:fill="F8F9FA"/>
        <w:ind w:firstLine="709"/>
        <w:jc w:val="both"/>
        <w:rPr>
          <w:rStyle w:val="y2iqfc"/>
          <w:rFonts w:ascii="Times New Roman" w:hAnsi="Times New Roman" w:cs="Times New Roman"/>
          <w:color w:val="1F1F1F"/>
          <w:sz w:val="24"/>
          <w:szCs w:val="24"/>
          <w:highlight w:val="yellow"/>
          <w:lang w:val="en"/>
        </w:rPr>
      </w:pPr>
      <w:r w:rsidRPr="00E6079A">
        <w:rPr>
          <w:rStyle w:val="y2iqfc"/>
          <w:rFonts w:ascii="Times New Roman" w:hAnsi="Times New Roman" w:cs="Times New Roman"/>
          <w:color w:val="1F1F1F"/>
          <w:sz w:val="24"/>
          <w:szCs w:val="24"/>
          <w:lang w:val="en"/>
        </w:rPr>
        <w:t>Gabon’s leadership within the CEMAC region is notable, particularly as the country was the origin of the Governor of the Central Bank. This tradition, however, has evolved over time. During the tenure of the Gabonese Governor Félix Mamalepot, the Central Bank adopted an accommodative monetary policy, a stance that has persisted to the present day (Kuikeu, 2009)</w:t>
      </w:r>
      <w:r w:rsidR="00563267" w:rsidRPr="003D64D1">
        <w:rPr>
          <w:rStyle w:val="y2iqfc"/>
          <w:rFonts w:ascii="Times New Roman" w:hAnsi="Times New Roman" w:cs="Times New Roman"/>
          <w:color w:val="1F1F1F"/>
          <w:sz w:val="24"/>
          <w:szCs w:val="24"/>
          <w:highlight w:val="yellow"/>
          <w:lang w:val="en"/>
        </w:rPr>
        <w:t>.</w:t>
      </w:r>
    </w:p>
    <w:p w14:paraId="679BC40E" w14:textId="77777777" w:rsidR="00E6079A" w:rsidRPr="00E6079A" w:rsidRDefault="00E6079A" w:rsidP="00E6079A">
      <w:pPr>
        <w:spacing w:after="0"/>
        <w:jc w:val="both"/>
        <w:rPr>
          <w:rStyle w:val="y2iqfc"/>
          <w:rFonts w:ascii="Times New Roman" w:eastAsia="Times New Roman" w:hAnsi="Times New Roman" w:cs="Times New Roman"/>
          <w:color w:val="1F1F1F"/>
          <w:sz w:val="24"/>
          <w:szCs w:val="24"/>
          <w:lang w:val="en" w:eastAsia="fr-FR"/>
        </w:rPr>
      </w:pPr>
      <w:r w:rsidRPr="00E6079A">
        <w:rPr>
          <w:rStyle w:val="y2iqfc"/>
          <w:rFonts w:ascii="Times New Roman" w:eastAsia="Times New Roman" w:hAnsi="Times New Roman" w:cs="Times New Roman"/>
          <w:color w:val="1F1F1F"/>
          <w:sz w:val="24"/>
          <w:szCs w:val="24"/>
          <w:lang w:val="en" w:eastAsia="fr-FR"/>
        </w:rPr>
        <w:t xml:space="preserve">With regard to fiscal policy, the primary objective has historically been to reduce disparities in living standards among the Gabonese population, reflecting the country’s position as one of the highest-income members of CEMAC in terms of GDP per capita. However, in recent years, </w:t>
      </w:r>
      <w:r w:rsidRPr="00E6079A">
        <w:rPr>
          <w:rStyle w:val="y2iqfc"/>
          <w:rFonts w:ascii="Times New Roman" w:eastAsia="Times New Roman" w:hAnsi="Times New Roman" w:cs="Times New Roman"/>
          <w:color w:val="1F1F1F"/>
          <w:sz w:val="24"/>
          <w:szCs w:val="24"/>
          <w:lang w:val="en" w:eastAsia="fr-FR"/>
        </w:rPr>
        <w:t>the new administration of Brice Clotaire Oligui Nguema, confronted with multiple fiscal imbalances, has chosen to avoid the potential pitfalls of an overly accommodative fiscal policy, despite the rules of the CEMAC monetary agreement (Kuikeu, 2009). For instance, following a visit to the United States, the administration decided to discontinue the payment of scholarships for Gabonese students residing in America, as the programme was deemed more costly than beneficial, given that many recipients did not return to contribute to the Gabonese economy.</w:t>
      </w:r>
    </w:p>
    <w:p w14:paraId="5DBD3B4E" w14:textId="77777777" w:rsidR="00E6079A" w:rsidRPr="00E6079A" w:rsidRDefault="00E6079A" w:rsidP="00E6079A">
      <w:pPr>
        <w:spacing w:after="0"/>
        <w:jc w:val="both"/>
        <w:rPr>
          <w:rStyle w:val="y2iqfc"/>
          <w:rFonts w:ascii="Times New Roman" w:eastAsia="Times New Roman" w:hAnsi="Times New Roman" w:cs="Times New Roman"/>
          <w:color w:val="1F1F1F"/>
          <w:sz w:val="24"/>
          <w:szCs w:val="24"/>
          <w:lang w:val="en" w:eastAsia="fr-FR"/>
        </w:rPr>
      </w:pPr>
    </w:p>
    <w:p w14:paraId="6F01A335" w14:textId="3F990098" w:rsidR="009017E9" w:rsidRPr="006F6E02" w:rsidRDefault="00E6079A" w:rsidP="00E6079A">
      <w:pPr>
        <w:spacing w:after="0"/>
        <w:jc w:val="both"/>
        <w:rPr>
          <w:rFonts w:ascii="Times New Roman" w:hAnsi="Times New Roman" w:cs="Times New Roman"/>
          <w:sz w:val="24"/>
          <w:szCs w:val="24"/>
        </w:rPr>
      </w:pPr>
      <w:r w:rsidRPr="00E6079A">
        <w:rPr>
          <w:rStyle w:val="y2iqfc"/>
          <w:rFonts w:ascii="Times New Roman" w:eastAsia="Times New Roman" w:hAnsi="Times New Roman" w:cs="Times New Roman"/>
          <w:color w:val="1F1F1F"/>
          <w:sz w:val="24"/>
          <w:szCs w:val="24"/>
          <w:lang w:val="en" w:eastAsia="fr-FR"/>
        </w:rPr>
        <w:t>Although these recent developments fall outside the period covered by our sample, they nevertheless underscore that the preceding administration under Ali Bongo Ondimba pursued a highly accommodative fiscal stance.</w:t>
      </w:r>
    </w:p>
    <w:p w14:paraId="2CDF1AE5" w14:textId="77777777" w:rsidR="009017E9" w:rsidRPr="006F6E02" w:rsidRDefault="00884EDF" w:rsidP="006E344C">
      <w:pPr>
        <w:autoSpaceDE w:val="0"/>
        <w:autoSpaceDN w:val="0"/>
        <w:adjustRightInd w:val="0"/>
        <w:spacing w:after="0" w:line="240" w:lineRule="auto"/>
        <w:ind w:firstLine="567"/>
        <w:jc w:val="both"/>
        <w:rPr>
          <w:rFonts w:ascii="Times New Roman" w:hAnsi="Times New Roman" w:cs="Times New Roman"/>
          <w:sz w:val="24"/>
          <w:szCs w:val="24"/>
        </w:rPr>
      </w:pPr>
      <w:r w:rsidRPr="006F6E02">
        <w:rPr>
          <w:rFonts w:ascii="Times New Roman" w:hAnsi="Times New Roman" w:cs="Times New Roman"/>
          <w:sz w:val="24"/>
          <w:szCs w:val="24"/>
        </w:rPr>
        <w:t>Into the literature</w:t>
      </w:r>
      <w:r w:rsidR="00987721" w:rsidRPr="006F6E02">
        <w:rPr>
          <w:rFonts w:ascii="Times New Roman" w:hAnsi="Times New Roman" w:cs="Times New Roman"/>
          <w:sz w:val="24"/>
          <w:szCs w:val="24"/>
        </w:rPr>
        <w:t>, t</w:t>
      </w:r>
      <w:r w:rsidR="00E56204" w:rsidRPr="006F6E02">
        <w:rPr>
          <w:rFonts w:ascii="Times New Roman" w:hAnsi="Times New Roman" w:cs="Times New Roman"/>
          <w:sz w:val="24"/>
          <w:szCs w:val="24"/>
        </w:rPr>
        <w:t>o investigate the relationship between exports and domestic sal</w:t>
      </w:r>
      <w:r w:rsidR="00987721" w:rsidRPr="006F6E02">
        <w:rPr>
          <w:rFonts w:ascii="Times New Roman" w:hAnsi="Times New Roman" w:cs="Times New Roman"/>
          <w:sz w:val="24"/>
          <w:szCs w:val="24"/>
        </w:rPr>
        <w:t xml:space="preserve">es in Gabon </w:t>
      </w:r>
      <w:r w:rsidR="00E56204" w:rsidRPr="006F6E02">
        <w:rPr>
          <w:rFonts w:ascii="Times New Roman" w:hAnsi="Times New Roman" w:cs="Times New Roman"/>
          <w:sz w:val="24"/>
          <w:szCs w:val="24"/>
        </w:rPr>
        <w:t>the conventional cointegration techniques have been used</w:t>
      </w:r>
      <w:r w:rsidR="00541576" w:rsidRPr="006F6E02">
        <w:rPr>
          <w:rFonts w:ascii="Times New Roman" w:hAnsi="Times New Roman" w:cs="Times New Roman"/>
          <w:sz w:val="24"/>
          <w:szCs w:val="24"/>
        </w:rPr>
        <w:t xml:space="preserve">. While </w:t>
      </w:r>
      <w:r w:rsidR="00987721" w:rsidRPr="006F6E02">
        <w:rPr>
          <w:rFonts w:ascii="Times New Roman" w:hAnsi="Times New Roman" w:cs="Times New Roman"/>
          <w:sz w:val="24"/>
          <w:szCs w:val="24"/>
        </w:rPr>
        <w:t>Kuikeu</w:t>
      </w:r>
      <w:r w:rsidR="00541576" w:rsidRPr="006F6E02">
        <w:rPr>
          <w:rFonts w:ascii="Times New Roman" w:hAnsi="Times New Roman" w:cs="Times New Roman"/>
          <w:sz w:val="24"/>
          <w:szCs w:val="24"/>
        </w:rPr>
        <w:t xml:space="preserve"> (</w:t>
      </w:r>
      <w:r w:rsidR="00987721" w:rsidRPr="006F6E02">
        <w:rPr>
          <w:rFonts w:ascii="Times New Roman" w:hAnsi="Times New Roman" w:cs="Times New Roman"/>
          <w:sz w:val="24"/>
          <w:szCs w:val="24"/>
        </w:rPr>
        <w:t>2026</w:t>
      </w:r>
      <w:r w:rsidR="00541576" w:rsidRPr="006F6E02">
        <w:rPr>
          <w:rFonts w:ascii="Times New Roman" w:hAnsi="Times New Roman" w:cs="Times New Roman"/>
          <w:sz w:val="24"/>
          <w:szCs w:val="24"/>
        </w:rPr>
        <w:t xml:space="preserve">) relies on Single Equation Approach, </w:t>
      </w:r>
      <w:r w:rsidR="00987721" w:rsidRPr="006F6E02">
        <w:rPr>
          <w:rFonts w:ascii="Times New Roman" w:hAnsi="Times New Roman" w:cs="Times New Roman"/>
          <w:sz w:val="24"/>
          <w:szCs w:val="24"/>
        </w:rPr>
        <w:t>K</w:t>
      </w:r>
      <w:r w:rsidR="00541576" w:rsidRPr="006F6E02">
        <w:rPr>
          <w:rFonts w:ascii="Times New Roman" w:hAnsi="Times New Roman" w:cs="Times New Roman"/>
          <w:sz w:val="24"/>
          <w:szCs w:val="24"/>
        </w:rPr>
        <w:t>uikeu</w:t>
      </w:r>
      <w:r w:rsidR="00987721" w:rsidRPr="006F6E02">
        <w:rPr>
          <w:rFonts w:ascii="Times New Roman" w:hAnsi="Times New Roman" w:cs="Times New Roman"/>
          <w:sz w:val="24"/>
          <w:szCs w:val="24"/>
        </w:rPr>
        <w:t xml:space="preserve"> </w:t>
      </w:r>
      <w:r w:rsidR="00541576" w:rsidRPr="006F6E02">
        <w:rPr>
          <w:rFonts w:ascii="Times New Roman" w:hAnsi="Times New Roman" w:cs="Times New Roman"/>
          <w:sz w:val="24"/>
          <w:szCs w:val="24"/>
        </w:rPr>
        <w:t>(</w:t>
      </w:r>
      <w:r w:rsidR="00987721" w:rsidRPr="006F6E02">
        <w:rPr>
          <w:rFonts w:ascii="Times New Roman" w:hAnsi="Times New Roman" w:cs="Times New Roman"/>
          <w:sz w:val="24"/>
          <w:szCs w:val="24"/>
        </w:rPr>
        <w:t>2025a)</w:t>
      </w:r>
      <w:r w:rsidR="009E344C" w:rsidRPr="006F6E02">
        <w:rPr>
          <w:rFonts w:ascii="Times New Roman" w:hAnsi="Times New Roman" w:cs="Times New Roman"/>
          <w:sz w:val="24"/>
          <w:szCs w:val="24"/>
        </w:rPr>
        <w:t xml:space="preserve"> relies on Engle and Granger (1987),  Gregory and Hansen (1996) and Johansen and Juselius (1992) cointegration tests.</w:t>
      </w:r>
      <w:r w:rsidR="00E56204" w:rsidRPr="006F6E02">
        <w:rPr>
          <w:rFonts w:ascii="Times New Roman" w:hAnsi="Times New Roman" w:cs="Times New Roman"/>
          <w:sz w:val="24"/>
          <w:szCs w:val="24"/>
        </w:rPr>
        <w:t xml:space="preserve"> Nevertheless one criticism address to these results is that </w:t>
      </w:r>
      <w:r w:rsidR="00332401" w:rsidRPr="006F6E02">
        <w:rPr>
          <w:rFonts w:ascii="Times New Roman" w:hAnsi="Times New Roman" w:cs="Times New Roman"/>
          <w:sz w:val="24"/>
          <w:szCs w:val="24"/>
        </w:rPr>
        <w:t>t</w:t>
      </w:r>
      <w:r w:rsidR="00E56204" w:rsidRPr="006F6E02">
        <w:rPr>
          <w:rFonts w:ascii="Times New Roman" w:hAnsi="Times New Roman" w:cs="Times New Roman"/>
          <w:sz w:val="24"/>
          <w:szCs w:val="24"/>
        </w:rPr>
        <w:t>he conventional ap</w:t>
      </w:r>
      <w:r w:rsidR="002A6D8F" w:rsidRPr="006F6E02">
        <w:rPr>
          <w:rFonts w:ascii="Times New Roman" w:hAnsi="Times New Roman" w:cs="Times New Roman"/>
          <w:sz w:val="24"/>
          <w:szCs w:val="24"/>
        </w:rPr>
        <w:t xml:space="preserve">proaches of cointegration of </w:t>
      </w:r>
      <w:r w:rsidR="00E56204" w:rsidRPr="006F6E02">
        <w:rPr>
          <w:rFonts w:ascii="Times New Roman" w:hAnsi="Times New Roman" w:cs="Times New Roman"/>
          <w:sz w:val="24"/>
          <w:szCs w:val="24"/>
        </w:rPr>
        <w:t xml:space="preserve">Engle and Granger (1987),  Gregory and Hansen (1996) and Johansen and Juselius (1992) have been followed by more sophisticated methods as the Pesaran et al. (2001) Bound Tests and ARDL modeling. </w:t>
      </w:r>
      <w:r w:rsidR="002A6D8F" w:rsidRPr="006F6E02">
        <w:rPr>
          <w:rFonts w:ascii="Times New Roman" w:hAnsi="Times New Roman" w:cs="Times New Roman"/>
          <w:sz w:val="24"/>
          <w:szCs w:val="24"/>
        </w:rPr>
        <w:t>Furthermore</w:t>
      </w:r>
      <w:r w:rsidR="00CB394A" w:rsidRPr="006F6E02">
        <w:rPr>
          <w:rFonts w:ascii="Times New Roman" w:hAnsi="Times New Roman" w:cs="Times New Roman"/>
          <w:sz w:val="24"/>
          <w:szCs w:val="24"/>
        </w:rPr>
        <w:t>, it’s well known that the asymptotic power of classical Engle and Granger (1987) and Johansen and Juselius (1992) tests are quite sensitive to the sample size  which is not the case for the the Pesaran et al. (2001) Bound Tests</w:t>
      </w:r>
      <w:r w:rsidR="00A103D8" w:rsidRPr="006F6E02">
        <w:rPr>
          <w:rFonts w:ascii="Times New Roman" w:hAnsi="Times New Roman" w:cs="Times New Roman"/>
          <w:sz w:val="24"/>
          <w:szCs w:val="24"/>
        </w:rPr>
        <w:t xml:space="preserve"> of cointegration and the ARDL modeling since this convey to a Single Equation Approach that is robust to small sample bias</w:t>
      </w:r>
      <w:r w:rsidR="00730351" w:rsidRPr="006F6E02">
        <w:rPr>
          <w:rFonts w:ascii="Times New Roman" w:hAnsi="Times New Roman" w:cs="Times New Roman"/>
          <w:sz w:val="24"/>
          <w:szCs w:val="24"/>
        </w:rPr>
        <w:t xml:space="preserve"> (Kuikeu, 2026, p. 121).</w:t>
      </w:r>
    </w:p>
    <w:p w14:paraId="061799BD" w14:textId="77777777" w:rsidR="000377D5" w:rsidRPr="006F6E02" w:rsidRDefault="000377D5" w:rsidP="00655617">
      <w:pPr>
        <w:spacing w:after="0"/>
        <w:ind w:firstLine="709"/>
        <w:jc w:val="both"/>
        <w:rPr>
          <w:rFonts w:ascii="Times New Roman" w:hAnsi="Times New Roman" w:cs="Times New Roman"/>
          <w:sz w:val="24"/>
          <w:szCs w:val="24"/>
        </w:rPr>
      </w:pPr>
    </w:p>
    <w:p w14:paraId="52719345" w14:textId="77777777" w:rsidR="00005BDC" w:rsidRPr="006F6E02" w:rsidRDefault="002452D7" w:rsidP="0066076E">
      <w:pPr>
        <w:pStyle w:val="ListParagraph"/>
        <w:numPr>
          <w:ilvl w:val="0"/>
          <w:numId w:val="1"/>
        </w:numPr>
        <w:spacing w:after="0"/>
        <w:jc w:val="both"/>
        <w:rPr>
          <w:rFonts w:ascii="Times New Roman" w:hAnsi="Times New Roman" w:cs="Times New Roman"/>
          <w:b/>
          <w:sz w:val="24"/>
          <w:szCs w:val="24"/>
        </w:rPr>
      </w:pPr>
      <w:r w:rsidRPr="006F6E02">
        <w:rPr>
          <w:rFonts w:ascii="Times New Roman" w:hAnsi="Times New Roman" w:cs="Times New Roman"/>
          <w:b/>
          <w:sz w:val="24"/>
          <w:szCs w:val="24"/>
        </w:rPr>
        <w:t>Methods</w:t>
      </w:r>
    </w:p>
    <w:p w14:paraId="6A2B8CF7" w14:textId="77777777" w:rsidR="002452D7" w:rsidRPr="006F6E02" w:rsidRDefault="002452D7" w:rsidP="002452D7">
      <w:pPr>
        <w:spacing w:after="0"/>
        <w:jc w:val="both"/>
        <w:rPr>
          <w:rFonts w:ascii="Times New Roman" w:hAnsi="Times New Roman" w:cs="Times New Roman"/>
          <w:b/>
          <w:sz w:val="24"/>
          <w:szCs w:val="24"/>
        </w:rPr>
      </w:pPr>
    </w:p>
    <w:p w14:paraId="5B24B5FE" w14:textId="234EF1C4" w:rsidR="002452D7" w:rsidRPr="006F6E02" w:rsidRDefault="00E6079A" w:rsidP="002452D7">
      <w:pPr>
        <w:spacing w:after="0" w:line="240" w:lineRule="auto"/>
        <w:ind w:right="8"/>
        <w:jc w:val="both"/>
        <w:rPr>
          <w:rFonts w:ascii="Times New Roman" w:eastAsia="Times New Roman" w:hAnsi="Times New Roman" w:cs="Times New Roman"/>
          <w:sz w:val="24"/>
          <w:szCs w:val="24"/>
        </w:rPr>
      </w:pPr>
      <w:r w:rsidRPr="00E6079A">
        <w:rPr>
          <w:rFonts w:ascii="Times New Roman" w:hAnsi="Times New Roman" w:cs="Times New Roman"/>
          <w:sz w:val="24"/>
          <w:szCs w:val="24"/>
        </w:rPr>
        <w:t>The analysis of export performance behaviour begins with an econometric model that emphasises the temporal dynamics of export performance. The subsequent sections outline the methodology and the rationale for the selection of variables.</w:t>
      </w:r>
    </w:p>
    <w:p w14:paraId="2A66B587" w14:textId="77777777" w:rsidR="002C0417" w:rsidRPr="006F6E02" w:rsidRDefault="002C0417" w:rsidP="002C0417">
      <w:pPr>
        <w:spacing w:after="0" w:line="240" w:lineRule="auto"/>
        <w:ind w:right="8"/>
        <w:rPr>
          <w:rFonts w:ascii="Times New Roman" w:eastAsia="Times New Roman" w:hAnsi="Times New Roman" w:cs="Times New Roman"/>
          <w:color w:val="000000"/>
          <w:sz w:val="24"/>
          <w:szCs w:val="24"/>
        </w:rPr>
      </w:pPr>
      <w:r w:rsidRPr="006F6E02">
        <w:rPr>
          <w:rFonts w:ascii="Times New Roman" w:eastAsia="Times New Roman" w:hAnsi="Times New Roman" w:cs="Times New Roman"/>
          <w:b/>
          <w:color w:val="000000"/>
          <w:sz w:val="24"/>
          <w:szCs w:val="24"/>
        </w:rPr>
        <w:t>The Econometric Model</w:t>
      </w:r>
      <w:r w:rsidRPr="006F6E02">
        <w:rPr>
          <w:rFonts w:ascii="Times New Roman" w:eastAsia="Times New Roman" w:hAnsi="Times New Roman" w:cs="Times New Roman"/>
          <w:color w:val="000000"/>
          <w:sz w:val="24"/>
          <w:szCs w:val="24"/>
        </w:rPr>
        <w:t xml:space="preserve"> </w:t>
      </w:r>
    </w:p>
    <w:p w14:paraId="0373186B" w14:textId="388F41E0" w:rsidR="00132B3A" w:rsidRDefault="00132B3A" w:rsidP="00132B3A">
      <w:pPr>
        <w:pStyle w:val="NormalWeb"/>
      </w:pPr>
      <w:r>
        <w:t xml:space="preserve">The model of export performance considers the export market share of country </w:t>
      </w:r>
      <w:r>
        <w:rPr>
          <w:rStyle w:val="Emphasis"/>
        </w:rPr>
        <w:t>i</w:t>
      </w:r>
      <w:r>
        <w:t xml:space="preserve"> at time </w:t>
      </w:r>
      <w:r>
        <w:rPr>
          <w:rStyle w:val="Emphasis"/>
        </w:rPr>
        <w:t>t</w:t>
      </w:r>
      <w:r>
        <w:t>, defined as the difference between exports of goods and services (</w:t>
      </w:r>
      <w:r>
        <w:rPr>
          <w:rStyle w:val="Emphasis"/>
        </w:rPr>
        <w:t>X</w:t>
      </w:r>
      <w:r w:rsidRPr="00132B3A">
        <w:rPr>
          <w:rStyle w:val="Emphasis"/>
          <w:vertAlign w:val="subscript"/>
        </w:rPr>
        <w:t>it</w:t>
      </w:r>
      <w:r>
        <w:t>) and foreign demand (</w:t>
      </w:r>
      <w:r>
        <w:rPr>
          <w:rStyle w:val="Emphasis"/>
        </w:rPr>
        <w:t>D</w:t>
      </w:r>
      <w:r w:rsidRPr="00132B3A">
        <w:rPr>
          <w:rStyle w:val="Emphasis"/>
          <w:vertAlign w:val="subscript"/>
        </w:rPr>
        <w:t>it</w:t>
      </w:r>
      <w:r>
        <w:t>), within the framework of the New Export Channel. This model comprises two distinct components. The first is the long-run dynamics, represented by the real effective exchange rate (</w:t>
      </w:r>
      <w:r w:rsidRPr="00132B3A">
        <w:rPr>
          <w:i/>
        </w:rPr>
        <w:t>REER</w:t>
      </w:r>
      <w:r w:rsidRPr="00132B3A">
        <w:rPr>
          <w:vertAlign w:val="subscript"/>
        </w:rPr>
        <w:t>it</w:t>
      </w:r>
      <w:r>
        <w:t xml:space="preserve">), a measure of price and cost competitiveness, where an increase indicates currency appreciation. The second component captures short-run behaviour, incorporating the lagged evolution of the country’s export market share, as well as the current and past values of the real exchange rate </w:t>
      </w:r>
      <w:r w:rsidRPr="00132B3A">
        <w:rPr>
          <w:i/>
        </w:rPr>
        <w:t>REER</w:t>
      </w:r>
      <w:r w:rsidRPr="00132B3A">
        <w:rPr>
          <w:vertAlign w:val="subscript"/>
        </w:rPr>
        <w:t>it</w:t>
      </w:r>
      <w:r>
        <w:t>) and domestic demand (</w:t>
      </w:r>
      <w:r w:rsidRPr="00132B3A">
        <w:rPr>
          <w:i/>
        </w:rPr>
        <w:t>D</w:t>
      </w:r>
      <w:r w:rsidRPr="00132B3A">
        <w:rPr>
          <w:rFonts w:ascii="Cambria Math" w:eastAsia="Cambria Math" w:hAnsi="Cambria Math" w:cs="Cambria Math" w:hint="eastAsia"/>
          <w:i/>
        </w:rPr>
        <w:t>D</w:t>
      </w:r>
      <w:r w:rsidRPr="00132B3A">
        <w:rPr>
          <w:vertAlign w:val="subscript"/>
        </w:rPr>
        <w:t>it</w:t>
      </w:r>
      <w:r>
        <w:t>).</w:t>
      </w:r>
    </w:p>
    <w:p w14:paraId="414ED73B" w14:textId="717C6EE0" w:rsidR="00CA742F" w:rsidRPr="006F6E02" w:rsidRDefault="00132B3A" w:rsidP="00132B3A">
      <w:pPr>
        <w:spacing w:after="0" w:line="240" w:lineRule="auto"/>
        <w:ind w:firstLine="709"/>
        <w:jc w:val="both"/>
        <w:rPr>
          <w:rFonts w:ascii="Times New Roman" w:hAnsi="Times New Roman" w:cs="Times New Roman"/>
          <w:sz w:val="24"/>
          <w:szCs w:val="24"/>
          <w:lang w:val="fr-CM"/>
        </w:rPr>
      </w:pPr>
      <w:r w:rsidRPr="006F6E02">
        <w:rPr>
          <w:rFonts w:ascii="Times New Roman" w:hAnsi="Times New Roman" w:cs="Times New Roman"/>
          <w:color w:val="202124"/>
          <w:sz w:val="24"/>
          <w:szCs w:val="24"/>
        </w:rPr>
        <w:t xml:space="preserve"> </w:t>
      </w:r>
      <w:r w:rsidR="003E049A" w:rsidRPr="006F6E02">
        <w:rPr>
          <w:rFonts w:ascii="Times New Roman" w:hAnsi="Times New Roman" w:cs="Times New Roman"/>
          <w:color w:val="202124"/>
          <w:sz w:val="24"/>
          <w:szCs w:val="24"/>
        </w:rPr>
        <w:t>(</w:t>
      </w:r>
      <w:r w:rsidR="003E049A" w:rsidRPr="006F6E02">
        <w:rPr>
          <w:rFonts w:ascii="Times New Roman" w:hAnsi="Times New Roman" w:cs="Times New Roman"/>
          <w:sz w:val="24"/>
          <w:szCs w:val="24"/>
          <w:lang w:val="fr-CM"/>
        </w:rPr>
        <w:t xml:space="preserve">Esteves and Rua, 2013 ; Bobeica and </w:t>
      </w:r>
      <w:r w:rsidR="003E049A" w:rsidRPr="006F6E02">
        <w:rPr>
          <w:rFonts w:ascii="Times New Roman" w:hAnsi="Times New Roman" w:cs="Times New Roman"/>
          <w:i/>
          <w:sz w:val="24"/>
          <w:szCs w:val="24"/>
          <w:lang w:val="fr-CM"/>
        </w:rPr>
        <w:t>al.</w:t>
      </w:r>
      <w:r w:rsidR="003E049A" w:rsidRPr="006F6E02">
        <w:rPr>
          <w:rFonts w:ascii="Times New Roman" w:hAnsi="Times New Roman" w:cs="Times New Roman"/>
          <w:sz w:val="24"/>
          <w:szCs w:val="24"/>
          <w:lang w:val="fr-CM"/>
        </w:rPr>
        <w:t>, 2015 ; Esteves and Prades, 2016).</w:t>
      </w:r>
    </w:p>
    <w:p w14:paraId="08A3CE73" w14:textId="77777777" w:rsidR="00006670" w:rsidRPr="006F6E02" w:rsidRDefault="002C0417" w:rsidP="00006670">
      <w:pPr>
        <w:spacing w:after="0" w:line="240" w:lineRule="auto"/>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 </w:t>
      </w:r>
    </w:p>
    <w:p w14:paraId="0F33C75B" w14:textId="77777777" w:rsidR="002C0417" w:rsidRPr="006F6E02" w:rsidRDefault="002C0417" w:rsidP="002C0417">
      <w:pPr>
        <w:spacing w:after="0" w:line="240" w:lineRule="auto"/>
        <w:ind w:right="8" w:firstLine="720"/>
        <w:jc w:val="both"/>
        <w:rPr>
          <w:rFonts w:ascii="Times New Roman" w:hAnsi="Times New Roman" w:cs="Times New Roman"/>
          <w:sz w:val="24"/>
          <w:szCs w:val="24"/>
        </w:rPr>
      </w:pPr>
      <w:r w:rsidRPr="006F6E02">
        <w:rPr>
          <w:rFonts w:ascii="Times New Roman" w:hAnsi="Times New Roman" w:cs="Times New Roman"/>
          <w:sz w:val="24"/>
          <w:szCs w:val="24"/>
          <w:lang w:val="fr-CM"/>
        </w:rPr>
        <w:t xml:space="preserve">Thus </w:t>
      </w:r>
      <w:r w:rsidRPr="006F6E02">
        <w:rPr>
          <w:rFonts w:ascii="Times New Roman" w:hAnsi="Times New Roman" w:cs="Times New Roman"/>
          <w:sz w:val="24"/>
          <w:szCs w:val="24"/>
        </w:rPr>
        <w:t>considering an error correction model for annual data:</w:t>
      </w:r>
    </w:p>
    <w:p w14:paraId="50739CAA" w14:textId="77777777" w:rsidR="002C0417" w:rsidRPr="006F6E02" w:rsidRDefault="002C0417" w:rsidP="002C0417">
      <w:pPr>
        <w:spacing w:after="0" w:line="240" w:lineRule="auto"/>
        <w:ind w:right="8" w:firstLine="720"/>
        <w:jc w:val="both"/>
        <w:rPr>
          <w:rFonts w:ascii="Times New Roman" w:hAnsi="Times New Roman" w:cs="Times New Roman"/>
          <w:sz w:val="24"/>
          <w:szCs w:val="24"/>
        </w:rPr>
      </w:pPr>
    </w:p>
    <w:p w14:paraId="7E4DFED8" w14:textId="77777777" w:rsidR="002C0417" w:rsidRPr="006F6E02" w:rsidRDefault="002C0417" w:rsidP="002C0417">
      <w:pPr>
        <w:autoSpaceDE w:val="0"/>
        <w:autoSpaceDN w:val="0"/>
        <w:adjustRightInd w:val="0"/>
        <w:spacing w:after="0" w:line="240" w:lineRule="auto"/>
        <w:jc w:val="center"/>
        <w:rPr>
          <w:rFonts w:ascii="Times New Roman" w:hAnsi="Times New Roman" w:cs="Times New Roman"/>
          <w:sz w:val="24"/>
          <w:szCs w:val="24"/>
          <w:lang w:val="fr-CM"/>
        </w:rPr>
      </w:pPr>
      <m:oMath>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α</m:t>
            </m:r>
          </m:e>
          <m:sub>
            <m:r>
              <w:rPr>
                <w:rFonts w:ascii="Cambria Math" w:hAnsi="Cambria Math" w:cs="Times New Roman"/>
                <w:sz w:val="24"/>
                <w:szCs w:val="24"/>
                <w:lang w:val="fr-CM"/>
              </w:rPr>
              <m:t>i</m:t>
            </m:r>
          </m:sub>
        </m:sSub>
        <m:r>
          <w:rPr>
            <w:rFonts w:ascii="Cambria Math" w:hAnsi="Cambria Math" w:cs="Times New Roman"/>
            <w:sz w:val="24"/>
            <w:szCs w:val="24"/>
            <w:lang w:val="fr-CM"/>
          </w:rPr>
          <m:t>+β</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it-1</m:t>
                </m:r>
              </m:sub>
            </m:sSub>
          </m:e>
        </m:d>
        <m:r>
          <w:rPr>
            <w:rFonts w:ascii="Cambria Math" w:hAnsi="Cambria Math" w:cs="Times New Roman"/>
            <w:sz w:val="24"/>
            <w:szCs w:val="24"/>
            <w:lang w:val="fr-CM"/>
          </w:rPr>
          <m:t>+</m:t>
        </m:r>
        <m:nary>
          <m:naryPr>
            <m:chr m:val="∑"/>
            <m:limLoc m:val="undOvr"/>
            <m:ctrlPr>
              <w:rPr>
                <w:rFonts w:ascii="Cambria Math" w:hAnsi="Cambria Math" w:cs="Times New Roman"/>
                <w:i/>
                <w:sz w:val="24"/>
                <w:szCs w:val="24"/>
                <w:lang w:val="fr-CM"/>
              </w:rPr>
            </m:ctrlPr>
          </m:naryPr>
          <m:sub>
            <m:r>
              <w:rPr>
                <w:rFonts w:ascii="Cambria Math" w:hAnsi="Cambria Math" w:cs="Times New Roman"/>
                <w:sz w:val="24"/>
                <w:szCs w:val="24"/>
                <w:lang w:val="fr-CM"/>
              </w:rPr>
              <m:t>k=0</m:t>
            </m:r>
          </m:sub>
          <m:sup>
            <m:r>
              <w:rPr>
                <w:rFonts w:ascii="Cambria Math" w:hAnsi="Cambria Math" w:cs="Times New Roman"/>
                <w:sz w:val="24"/>
                <w:szCs w:val="24"/>
                <w:lang w:val="fr-CM"/>
              </w:rPr>
              <m:t>1</m:t>
            </m:r>
          </m:sup>
          <m:e>
            <m:sSub>
              <m:sSubPr>
                <m:ctrlPr>
                  <w:rPr>
                    <w:rFonts w:ascii="Cambria Math" w:hAnsi="Cambria Math" w:cs="Times New Roman"/>
                    <w:i/>
                    <w:sz w:val="24"/>
                    <w:szCs w:val="24"/>
                    <w:lang w:val="fr-CM"/>
                  </w:rPr>
                </m:ctrlPr>
              </m:sSub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φ</m:t>
                    </m:r>
                  </m:e>
                  <m:sub>
                    <m:r>
                      <w:rPr>
                        <w:rFonts w:ascii="Cambria Math" w:hAnsi="Cambria Math" w:cs="Times New Roman"/>
                        <w:sz w:val="24"/>
                        <w:szCs w:val="24"/>
                        <w:lang w:val="fr-CM"/>
                      </w:rPr>
                      <m:t>k</m:t>
                    </m:r>
                  </m:sub>
                </m:sSub>
                <m:r>
                  <w:rPr>
                    <w:rFonts w:ascii="Cambria Math" w:hAnsi="Cambria Math" w:cs="Times New Roman"/>
                    <w:sz w:val="24"/>
                    <w:szCs w:val="24"/>
                    <w:lang w:val="fr-CM"/>
                  </w:rPr>
                  <m:t>∆REER</m:t>
                </m:r>
              </m:e>
              <m:sub>
                <m:r>
                  <w:rPr>
                    <w:rFonts w:ascii="Cambria Math" w:hAnsi="Cambria Math" w:cs="Times New Roman"/>
                    <w:sz w:val="24"/>
                    <w:szCs w:val="24"/>
                    <w:lang w:val="fr-CM"/>
                  </w:rPr>
                  <m:t>it-k</m:t>
                </m:r>
              </m:sub>
            </m:sSub>
          </m:e>
        </m:nary>
        <m:r>
          <w:rPr>
            <w:rFonts w:ascii="Cambria Math" w:hAnsi="Cambria Math" w:cs="Times New Roman"/>
            <w:sz w:val="24"/>
            <w:szCs w:val="24"/>
            <w:lang w:val="fr-CM"/>
          </w:rPr>
          <m:t>+</m:t>
        </m:r>
        <m:nary>
          <m:naryPr>
            <m:chr m:val="∑"/>
            <m:limLoc m:val="undOvr"/>
            <m:ctrlPr>
              <w:rPr>
                <w:rFonts w:ascii="Cambria Math" w:hAnsi="Cambria Math" w:cs="Times New Roman"/>
                <w:i/>
                <w:sz w:val="24"/>
                <w:szCs w:val="24"/>
                <w:lang w:val="fr-CM"/>
              </w:rPr>
            </m:ctrlPr>
          </m:naryPr>
          <m:sub>
            <m:r>
              <w:rPr>
                <w:rFonts w:ascii="Cambria Math" w:hAnsi="Cambria Math" w:cs="Times New Roman"/>
                <w:sz w:val="24"/>
                <w:szCs w:val="24"/>
                <w:lang w:val="fr-CM"/>
              </w:rPr>
              <m:t>l=0</m:t>
            </m:r>
          </m:sub>
          <m:sup>
            <m:r>
              <w:rPr>
                <w:rFonts w:ascii="Cambria Math" w:hAnsi="Cambria Math" w:cs="Times New Roman"/>
                <w:sz w:val="24"/>
                <w:szCs w:val="24"/>
                <w:lang w:val="fr-CM"/>
              </w:rPr>
              <m:t>1</m:t>
            </m:r>
          </m:sup>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ω</m:t>
                </m:r>
              </m:e>
              <m:sub>
                <m:r>
                  <w:rPr>
                    <w:rFonts w:ascii="Cambria Math" w:hAnsi="Cambria Math" w:cs="Times New Roman"/>
                    <w:sz w:val="24"/>
                    <w:szCs w:val="24"/>
                    <w:lang w:val="fr-CM"/>
                  </w:rPr>
                  <m:t>l</m:t>
                </m:r>
              </m:sub>
            </m:sSub>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it-l</m:t>
                </m:r>
              </m:sub>
            </m:sSub>
          </m:e>
        </m:nary>
        <m:r>
          <w:rPr>
            <w:rFonts w:ascii="Cambria Math" w:hAnsi="Cambria Math" w:cs="Times New Roman"/>
            <w:sz w:val="24"/>
            <w:szCs w:val="24"/>
            <w:lang w:val="fr-CM"/>
          </w:rPr>
          <m:t>++θ</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t-1</m:t>
                </m:r>
              </m:sub>
            </m:sSub>
          </m:e>
        </m:d>
        <m:r>
          <w:rPr>
            <w:rFonts w:ascii="Cambria Math" w:hAnsi="Cambria Math" w:cs="Times New Roman"/>
            <w:sz w:val="24"/>
            <w:szCs w:val="24"/>
            <w:lang w:val="fr-CM"/>
          </w:rPr>
          <m:t>+λ</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t-1</m:t>
            </m:r>
          </m:sub>
        </m:sSub>
        <m:r>
          <w:rPr>
            <w:rFonts w:ascii="Cambria Math" w:hAnsi="Cambria Math" w:cs="Times New Roman"/>
            <w:sz w:val="24"/>
            <w:szCs w:val="24"/>
            <w:lang w:val="fr-CM"/>
          </w:rPr>
          <m:t>+φt</m:t>
        </m:r>
      </m:oMath>
      <w:r w:rsidRPr="006F6E02">
        <w:rPr>
          <w:rFonts w:ascii="Times New Roman" w:hAnsi="Times New Roman" w:cs="Times New Roman"/>
          <w:sz w:val="24"/>
          <w:szCs w:val="24"/>
          <w:lang w:val="fr-CM"/>
        </w:rPr>
        <w:t xml:space="preserve">                                          </w:t>
      </w:r>
      <w:r w:rsidR="00F26C34" w:rsidRPr="006F6E02">
        <w:rPr>
          <w:rFonts w:ascii="Times New Roman" w:hAnsi="Times New Roman" w:cs="Times New Roman"/>
          <w:sz w:val="24"/>
          <w:szCs w:val="24"/>
          <w:lang w:val="fr-CM"/>
        </w:rPr>
        <w:t xml:space="preserve">               </w:t>
      </w:r>
      <w:r w:rsidR="0005726C" w:rsidRPr="006F6E02">
        <w:rPr>
          <w:rFonts w:ascii="Times New Roman" w:hAnsi="Times New Roman" w:cs="Times New Roman"/>
          <w:sz w:val="24"/>
          <w:szCs w:val="24"/>
          <w:lang w:val="fr-CM"/>
        </w:rPr>
        <w:t xml:space="preserve">               (1</w:t>
      </w:r>
      <w:r w:rsidRPr="006F6E02">
        <w:rPr>
          <w:rFonts w:ascii="Times New Roman" w:hAnsi="Times New Roman" w:cs="Times New Roman"/>
          <w:sz w:val="24"/>
          <w:szCs w:val="24"/>
          <w:lang w:val="fr-CM"/>
        </w:rPr>
        <w:t>)</w:t>
      </w:r>
    </w:p>
    <w:p w14:paraId="1136A38D" w14:textId="77777777" w:rsidR="002C0417" w:rsidRPr="006F6E02" w:rsidRDefault="002C0417" w:rsidP="002C0417">
      <w:pPr>
        <w:spacing w:after="0" w:line="240" w:lineRule="auto"/>
        <w:rPr>
          <w:rFonts w:ascii="Times New Roman" w:hAnsi="Times New Roman" w:cs="Times New Roman"/>
          <w:sz w:val="24"/>
          <w:szCs w:val="24"/>
          <w:lang w:val="fr-CM"/>
        </w:rPr>
      </w:pPr>
    </w:p>
    <w:p w14:paraId="73829F8F" w14:textId="529C4FA9" w:rsidR="00C916C6" w:rsidRPr="006F6E02" w:rsidRDefault="00132B3A" w:rsidP="002C0417">
      <w:pPr>
        <w:spacing w:after="0" w:line="240" w:lineRule="auto"/>
        <w:ind w:right="8"/>
        <w:jc w:val="both"/>
        <w:rPr>
          <w:rFonts w:ascii="Times New Roman" w:hAnsi="Times New Roman" w:cs="Times New Roman"/>
          <w:sz w:val="24"/>
          <w:szCs w:val="24"/>
        </w:rPr>
      </w:pPr>
      <w:r w:rsidRPr="00132B3A">
        <w:rPr>
          <w:rFonts w:ascii="Times New Roman" w:hAnsi="Times New Roman" w:cs="Times New Roman"/>
          <w:sz w:val="24"/>
          <w:szCs w:val="24"/>
          <w:lang w:val="fr-CM"/>
        </w:rPr>
        <w:t>In this model, ∆ denotes the first-difference operator. All variables, with the exception of the trend, are expressed in logarithmic form, allowing for a maximum lag of one period. The interpretation of the time trend is not straightforward, as it may reflect the long-run effects of so-called non-price competitiveness factors.</w:t>
      </w:r>
    </w:p>
    <w:p w14:paraId="73182918" w14:textId="77777777" w:rsidR="00132B3A" w:rsidRDefault="00132B3A" w:rsidP="00C916C6">
      <w:pPr>
        <w:spacing w:after="0" w:line="240" w:lineRule="auto"/>
        <w:ind w:right="8" w:firstLine="709"/>
        <w:jc w:val="both"/>
        <w:rPr>
          <w:rFonts w:ascii="Times New Roman" w:hAnsi="Times New Roman" w:cs="Times New Roman"/>
          <w:sz w:val="24"/>
          <w:szCs w:val="24"/>
        </w:rPr>
      </w:pPr>
      <w:r w:rsidRPr="00132B3A">
        <w:rPr>
          <w:rFonts w:ascii="Times New Roman" w:hAnsi="Times New Roman" w:cs="Times New Roman"/>
          <w:sz w:val="24"/>
          <w:szCs w:val="24"/>
        </w:rPr>
        <w:t xml:space="preserve">For annual data, to avoid loss of information and to ensure meaningful </w:t>
      </w:r>
      <w:r w:rsidRPr="00132B3A">
        <w:rPr>
          <w:rFonts w:ascii="Times New Roman" w:hAnsi="Times New Roman" w:cs="Times New Roman"/>
          <w:sz w:val="24"/>
          <w:szCs w:val="24"/>
        </w:rPr>
        <w:t>interpretation of the results, Esteves and Prades (2016) assume that the substitution effect between domestic and foreign market sales occurs contemporaneously</w:t>
      </w:r>
      <w:r w:rsidR="003314DC" w:rsidRPr="006F6E02">
        <w:rPr>
          <w:rFonts w:ascii="Times New Roman" w:hAnsi="Times New Roman" w:cs="Times New Roman"/>
          <w:sz w:val="24"/>
          <w:szCs w:val="24"/>
        </w:rPr>
        <w:t xml:space="preserve">. </w:t>
      </w:r>
    </w:p>
    <w:p w14:paraId="75302011" w14:textId="532CA739" w:rsidR="00C916C6" w:rsidRPr="006F6E02" w:rsidRDefault="003314DC" w:rsidP="00132B3A">
      <w:pPr>
        <w:spacing w:after="0" w:line="240" w:lineRule="auto"/>
        <w:ind w:right="8"/>
        <w:jc w:val="both"/>
        <w:rPr>
          <w:rFonts w:ascii="Times New Roman" w:hAnsi="Times New Roman" w:cs="Times New Roman"/>
          <w:sz w:val="24"/>
          <w:szCs w:val="24"/>
        </w:rPr>
      </w:pPr>
      <w:r w:rsidRPr="006F6E02">
        <w:rPr>
          <w:rFonts w:ascii="Times New Roman" w:hAnsi="Times New Roman" w:cs="Times New Roman"/>
          <w:sz w:val="24"/>
          <w:szCs w:val="24"/>
        </w:rPr>
        <w:t>Thn we get :</w:t>
      </w:r>
    </w:p>
    <w:p w14:paraId="524B1466" w14:textId="77777777" w:rsidR="003314DC" w:rsidRPr="006F6E02" w:rsidRDefault="003314DC" w:rsidP="00C916C6">
      <w:pPr>
        <w:spacing w:after="0" w:line="240" w:lineRule="auto"/>
        <w:ind w:right="8" w:firstLine="709"/>
        <w:jc w:val="both"/>
        <w:rPr>
          <w:rFonts w:ascii="Times New Roman" w:hAnsi="Times New Roman" w:cs="Times New Roman"/>
          <w:sz w:val="24"/>
          <w:szCs w:val="24"/>
        </w:rPr>
      </w:pPr>
    </w:p>
    <w:p w14:paraId="255A805F" w14:textId="77777777" w:rsidR="003314DC" w:rsidRPr="006F6E02" w:rsidRDefault="003314DC" w:rsidP="00C916C6">
      <w:pPr>
        <w:spacing w:after="0" w:line="240" w:lineRule="auto"/>
        <w:ind w:right="8" w:firstLine="709"/>
        <w:jc w:val="both"/>
        <w:rPr>
          <w:rFonts w:ascii="Times New Roman" w:hAnsi="Times New Roman" w:cs="Times New Roman"/>
          <w:sz w:val="24"/>
          <w:szCs w:val="24"/>
        </w:rPr>
      </w:pPr>
      <m:oMath>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α</m:t>
            </m:r>
          </m:e>
          <m:sub>
            <m:r>
              <w:rPr>
                <w:rFonts w:ascii="Cambria Math" w:hAnsi="Cambria Math" w:cs="Times New Roman"/>
                <w:sz w:val="24"/>
                <w:szCs w:val="24"/>
                <w:lang w:val="fr-CM"/>
              </w:rPr>
              <m:t>i</m:t>
            </m:r>
          </m:sub>
        </m:sSub>
        <m:r>
          <w:rPr>
            <w:rFonts w:ascii="Cambria Math" w:hAnsi="Cambria Math" w:cs="Times New Roman"/>
            <w:sz w:val="24"/>
            <w:szCs w:val="24"/>
            <w:lang w:val="fr-CM"/>
          </w:rPr>
          <m:t>++β</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it-1</m:t>
                </m:r>
              </m:sub>
            </m:sSub>
          </m:e>
        </m:d>
        <m:r>
          <w:rPr>
            <w:rFonts w:ascii="Cambria Math" w:hAnsi="Cambria Math" w:cs="Times New Roman"/>
            <w:sz w:val="24"/>
            <w:szCs w:val="24"/>
            <w:lang w:val="fr-CM"/>
          </w:rPr>
          <m:t>+φ</m:t>
        </m:r>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m:t>
            </m:r>
          </m:sub>
        </m:sSub>
        <m:r>
          <w:rPr>
            <w:rFonts w:ascii="Cambria Math" w:hAnsi="Cambria Math" w:cs="Times New Roman"/>
            <w:sz w:val="24"/>
            <w:szCs w:val="24"/>
            <w:lang w:val="fr-CM"/>
          </w:rPr>
          <m:t>+ω</m:t>
        </m:r>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t</m:t>
            </m:r>
          </m:sub>
        </m:sSub>
        <m:r>
          <w:rPr>
            <w:rFonts w:ascii="Cambria Math" w:hAnsi="Cambria Math" w:cs="Times New Roman"/>
            <w:sz w:val="24"/>
            <w:szCs w:val="24"/>
            <w:lang w:val="fr-CM"/>
          </w:rPr>
          <m:t>+θ</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t-1</m:t>
                </m:r>
              </m:sub>
            </m:sSub>
          </m:e>
        </m:d>
        <m:r>
          <w:rPr>
            <w:rFonts w:ascii="Cambria Math" w:hAnsi="Cambria Math" w:cs="Times New Roman"/>
            <w:sz w:val="24"/>
            <w:szCs w:val="24"/>
            <w:lang w:val="fr-CM"/>
          </w:rPr>
          <m:t>+λ</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t-1</m:t>
            </m:r>
          </m:sub>
        </m:sSub>
        <m:r>
          <w:rPr>
            <w:rFonts w:ascii="Cambria Math" w:hAnsi="Cambria Math" w:cs="Times New Roman"/>
            <w:sz w:val="24"/>
            <w:szCs w:val="24"/>
            <w:lang w:val="fr-CM"/>
          </w:rPr>
          <m:t>+φt</m:t>
        </m:r>
      </m:oMath>
      <w:r w:rsidR="00044880" w:rsidRPr="006F6E02">
        <w:rPr>
          <w:rFonts w:ascii="Times New Roman" w:eastAsiaTheme="minorEastAsia" w:hAnsi="Times New Roman" w:cs="Times New Roman"/>
          <w:sz w:val="24"/>
          <w:szCs w:val="24"/>
          <w:lang w:val="fr-CM"/>
        </w:rPr>
        <w:t xml:space="preserve">                                                                </w:t>
      </w:r>
      <w:r w:rsidR="0072776B" w:rsidRPr="006F6E02">
        <w:rPr>
          <w:rFonts w:ascii="Times New Roman" w:eastAsiaTheme="minorEastAsia" w:hAnsi="Times New Roman" w:cs="Times New Roman"/>
          <w:sz w:val="24"/>
          <w:szCs w:val="24"/>
          <w:lang w:val="fr-CM"/>
        </w:rPr>
        <w:t xml:space="preserve">                              (2</w:t>
      </w:r>
      <w:r w:rsidR="00044880" w:rsidRPr="006F6E02">
        <w:rPr>
          <w:rFonts w:ascii="Times New Roman" w:eastAsiaTheme="minorEastAsia" w:hAnsi="Times New Roman" w:cs="Times New Roman"/>
          <w:sz w:val="24"/>
          <w:szCs w:val="24"/>
          <w:lang w:val="fr-CM"/>
        </w:rPr>
        <w:t>)</w:t>
      </w:r>
    </w:p>
    <w:p w14:paraId="1BFB84E5" w14:textId="77777777" w:rsidR="005A3FA5" w:rsidRPr="006F6E02" w:rsidRDefault="005A3FA5" w:rsidP="002C0417">
      <w:pPr>
        <w:spacing w:after="0" w:line="240" w:lineRule="auto"/>
        <w:ind w:right="8"/>
        <w:jc w:val="both"/>
        <w:rPr>
          <w:rFonts w:ascii="Times New Roman" w:hAnsi="Times New Roman" w:cs="Times New Roman"/>
          <w:sz w:val="24"/>
          <w:szCs w:val="24"/>
        </w:rPr>
      </w:pPr>
    </w:p>
    <w:p w14:paraId="1B260A81" w14:textId="77777777" w:rsidR="00E26D72" w:rsidRPr="006F6E02" w:rsidRDefault="00E26D72" w:rsidP="002C0417">
      <w:pPr>
        <w:spacing w:after="0" w:line="240" w:lineRule="auto"/>
        <w:ind w:right="8"/>
        <w:jc w:val="both"/>
        <w:rPr>
          <w:rFonts w:ascii="Times New Roman" w:eastAsiaTheme="minorEastAsia" w:hAnsi="Times New Roman" w:cs="Times New Roman"/>
          <w:sz w:val="24"/>
          <w:szCs w:val="24"/>
        </w:rPr>
      </w:pPr>
      <w:r w:rsidRPr="006F6E02">
        <w:rPr>
          <w:rFonts w:ascii="Times New Roman" w:hAnsi="Times New Roman" w:cs="Times New Roman"/>
          <w:sz w:val="24"/>
          <w:szCs w:val="24"/>
        </w:rPr>
        <w:t xml:space="preserve">We should have </w:t>
      </w:r>
      <m:oMath>
        <m:r>
          <w:rPr>
            <w:rFonts w:ascii="Cambria Math" w:hAnsi="Cambria Math" w:cs="Times New Roman"/>
            <w:sz w:val="24"/>
            <w:szCs w:val="24"/>
          </w:rPr>
          <m:t>φ&lt;0</m:t>
        </m:r>
      </m:oMath>
      <w:r w:rsidR="003D7C4C" w:rsidRPr="006F6E0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ω&lt;0</m:t>
        </m:r>
      </m:oMath>
      <w:r w:rsidR="00D75A41" w:rsidRPr="006F6E02">
        <w:rPr>
          <w:rFonts w:ascii="Times New Roman" w:eastAsiaTheme="minorEastAsia" w:hAnsi="Times New Roman" w:cs="Times New Roman"/>
          <w:sz w:val="24"/>
          <w:szCs w:val="24"/>
        </w:rPr>
        <w:t>,</w:t>
      </w:r>
      <w:r w:rsidR="0091742F" w:rsidRPr="006F6E0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λ&lt;0</m:t>
        </m:r>
      </m:oMath>
      <w:r w:rsidR="003A495F" w:rsidRPr="006F6E02">
        <w:rPr>
          <w:rFonts w:ascii="Times New Roman" w:eastAsiaTheme="minorEastAsia" w:hAnsi="Times New Roman" w:cs="Times New Roman"/>
          <w:sz w:val="24"/>
          <w:szCs w:val="24"/>
        </w:rPr>
        <w:t>. The p</w:t>
      </w:r>
      <w:r w:rsidR="003A495F" w:rsidRPr="006F6E02">
        <w:rPr>
          <w:rFonts w:ascii="Times New Roman" w:hAnsi="Times New Roman" w:cs="Times New Roman"/>
          <w:sz w:val="24"/>
          <w:szCs w:val="24"/>
        </w:rPr>
        <w:t xml:space="preserve">arameter </w:t>
      </w:r>
      <m:oMath>
        <m:r>
          <w:rPr>
            <w:rFonts w:ascii="Cambria Math" w:hAnsi="Cambria Math" w:cs="Times New Roman"/>
            <w:sz w:val="24"/>
            <w:szCs w:val="24"/>
          </w:rPr>
          <m:t>θ</m:t>
        </m:r>
      </m:oMath>
      <w:r w:rsidR="003A495F" w:rsidRPr="006F6E02">
        <w:rPr>
          <w:rFonts w:ascii="Times New Roman" w:eastAsiaTheme="minorEastAsia" w:hAnsi="Times New Roman" w:cs="Times New Roman"/>
          <w:sz w:val="24"/>
          <w:szCs w:val="24"/>
        </w:rPr>
        <w:t xml:space="preserve"> is the speed of mean reversion it should be negative and comprise between 0 and 1 in absolute term. The significance of this parameter characterizes the endogeneity of Export performance (the export market share) and means that there exist long run relationship among variables.</w:t>
      </w:r>
    </w:p>
    <w:p w14:paraId="1D6DAB04" w14:textId="77777777" w:rsidR="00200B36" w:rsidRPr="006F6E02" w:rsidRDefault="00200B36" w:rsidP="002C0417">
      <w:pPr>
        <w:spacing w:after="0" w:line="240" w:lineRule="auto"/>
        <w:ind w:right="8"/>
        <w:jc w:val="both"/>
        <w:rPr>
          <w:rFonts w:ascii="Times New Roman" w:hAnsi="Times New Roman" w:cs="Times New Roman"/>
          <w:sz w:val="24"/>
          <w:szCs w:val="24"/>
        </w:rPr>
      </w:pPr>
    </w:p>
    <w:p w14:paraId="13467C1E" w14:textId="77777777" w:rsidR="00283B5A" w:rsidRPr="006F6E02" w:rsidRDefault="001115B7" w:rsidP="002C0417">
      <w:pPr>
        <w:spacing w:after="0" w:line="240" w:lineRule="auto"/>
        <w:ind w:right="8"/>
        <w:jc w:val="both"/>
        <w:rPr>
          <w:rFonts w:ascii="Times New Roman" w:hAnsi="Times New Roman" w:cs="Times New Roman"/>
          <w:b/>
          <w:sz w:val="24"/>
          <w:szCs w:val="24"/>
        </w:rPr>
      </w:pPr>
      <w:r w:rsidRPr="006F6E02">
        <w:rPr>
          <w:rFonts w:ascii="Times New Roman" w:hAnsi="Times New Roman" w:cs="Times New Roman"/>
          <w:b/>
          <w:sz w:val="24"/>
          <w:szCs w:val="24"/>
        </w:rPr>
        <w:t>Estimatio</w:t>
      </w:r>
      <w:r w:rsidR="00283B5A" w:rsidRPr="006F6E02">
        <w:rPr>
          <w:rFonts w:ascii="Times New Roman" w:hAnsi="Times New Roman" w:cs="Times New Roman"/>
          <w:b/>
          <w:sz w:val="24"/>
          <w:szCs w:val="24"/>
        </w:rPr>
        <w:t>n Method: ARDL Modelling</w:t>
      </w:r>
    </w:p>
    <w:p w14:paraId="12143F34" w14:textId="77777777" w:rsidR="00283B5A" w:rsidRPr="006F6E02" w:rsidRDefault="00283B5A" w:rsidP="001115B7">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The conventional autoregressive distributed la gis the </w:t>
      </w:r>
      <w:proofErr w:type="gramStart"/>
      <w:r w:rsidRPr="006F6E02">
        <w:rPr>
          <w:rFonts w:ascii="Times New Roman" w:hAnsi="Times New Roman" w:cs="Times New Roman"/>
          <w:sz w:val="24"/>
          <w:szCs w:val="24"/>
        </w:rPr>
        <w:t>ARDL(</w:t>
      </w:r>
      <w:proofErr w:type="gramEnd"/>
      <w:r w:rsidRPr="006F6E02">
        <w:rPr>
          <w:rFonts w:ascii="Times New Roman" w:hAnsi="Times New Roman" w:cs="Times New Roman"/>
          <w:sz w:val="24"/>
          <w:szCs w:val="24"/>
        </w:rPr>
        <w:t>1, 1).</w:t>
      </w:r>
    </w:p>
    <w:p w14:paraId="2DC95920" w14:textId="77777777" w:rsidR="00283B5A" w:rsidRPr="006F6E02" w:rsidRDefault="00652B41" w:rsidP="001115B7">
      <w:pPr>
        <w:spacing w:after="0"/>
        <w:ind w:firstLine="709"/>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oMath>
      </m:oMathPara>
    </w:p>
    <w:p w14:paraId="206CF30C" w14:textId="77777777" w:rsidR="005174E0" w:rsidRPr="006F6E02" w:rsidRDefault="00F6059E" w:rsidP="001115B7">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The model can be re-written in the error-correction ECM(-ARDL) </w:t>
      </w:r>
      <w:proofErr w:type="gramStart"/>
      <w:r w:rsidRPr="006F6E02">
        <w:rPr>
          <w:rFonts w:ascii="Times New Roman" w:hAnsi="Times New Roman" w:cs="Times New Roman"/>
          <w:sz w:val="24"/>
          <w:szCs w:val="24"/>
        </w:rPr>
        <w:t>form:</w:t>
      </w:r>
      <w:proofErr w:type="gramEnd"/>
      <w:r w:rsidRPr="006F6E02">
        <w:rPr>
          <w:rFonts w:ascii="Times New Roman" w:hAnsi="Times New Roman" w:cs="Times New Roman"/>
          <w:sz w:val="24"/>
          <w:szCs w:val="24"/>
        </w:rPr>
        <w:t xml:space="preserve"> </w:t>
      </w:r>
    </w:p>
    <w:p w14:paraId="0EB4E5B5" w14:textId="77777777" w:rsidR="005174E0" w:rsidRPr="006F6E02" w:rsidRDefault="00B641F9" w:rsidP="005174E0">
      <w:pPr>
        <w:autoSpaceDE w:val="0"/>
        <w:autoSpaceDN w:val="0"/>
        <w:adjustRightInd w:val="0"/>
        <w:spacing w:after="0" w:line="240" w:lineRule="auto"/>
        <w:jc w:val="center"/>
        <w:rPr>
          <w:rFonts w:ascii="Times New Roman" w:hAnsi="Times New Roman" w:cs="Times New Roman"/>
          <w:sz w:val="24"/>
          <w:szCs w:val="24"/>
          <w:lang w:val="fr-CM"/>
        </w:rPr>
      </w:pPr>
      <w:r w:rsidRPr="006F6E02">
        <w:rPr>
          <w:rFonts w:ascii="Times New Roman" w:eastAsiaTheme="minorEastAsia" w:hAnsi="Times New Roman" w:cs="Times New Roman"/>
          <w:sz w:val="24"/>
          <w:szCs w:val="24"/>
          <w:lang w:val="fr-CM"/>
        </w:rPr>
        <w:t xml:space="preserve">                                          </w:t>
      </w:r>
      <m:oMath>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y</m:t>
            </m:r>
          </m:e>
          <m:sub>
            <m:r>
              <w:rPr>
                <w:rFonts w:ascii="Cambria Math" w:hAnsi="Cambria Math" w:cs="Times New Roman"/>
                <w:sz w:val="24"/>
                <w:szCs w:val="24"/>
                <w:lang w:val="fr-CM"/>
              </w:rPr>
              <m:t>t</m:t>
            </m:r>
          </m:sub>
        </m:sSub>
        <m:r>
          <w:rPr>
            <w:rFonts w:ascii="Cambria Math" w:hAnsi="Cambria Math" w:cs="Times New Roman"/>
            <w:sz w:val="24"/>
            <w:szCs w:val="24"/>
            <w:lang w:val="fr-CM"/>
          </w:rPr>
          <m:t>=θ</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y</m:t>
                </m:r>
              </m:e>
              <m:sub>
                <m:r>
                  <w:rPr>
                    <w:rFonts w:ascii="Cambria Math" w:hAnsi="Cambria Math" w:cs="Times New Roman"/>
                    <w:sz w:val="24"/>
                    <w:szCs w:val="24"/>
                    <w:lang w:val="fr-CM"/>
                  </w:rPr>
                  <m:t>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βx</m:t>
                </m:r>
              </m:e>
              <m:sub>
                <m:r>
                  <w:rPr>
                    <w:rFonts w:ascii="Cambria Math" w:hAnsi="Cambria Math" w:cs="Times New Roman"/>
                    <w:sz w:val="24"/>
                    <w:szCs w:val="24"/>
                    <w:lang w:val="fr-CM"/>
                  </w:rPr>
                  <m:t>t-1</m:t>
                </m:r>
              </m:sub>
            </m:sSub>
          </m:e>
        </m:d>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c</m:t>
            </m:r>
          </m:e>
          <m:sub>
            <m:r>
              <w:rPr>
                <w:rFonts w:ascii="Cambria Math" w:hAnsi="Cambria Math" w:cs="Times New Roman"/>
                <w:sz w:val="24"/>
                <w:szCs w:val="24"/>
                <w:lang w:val="fr-CM"/>
              </w:rPr>
              <m:t>0</m:t>
            </m:r>
          </m:sub>
        </m:sSub>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u</m:t>
            </m:r>
          </m:e>
          <m:sub>
            <m:r>
              <w:rPr>
                <w:rFonts w:ascii="Cambria Math" w:hAnsi="Cambria Math" w:cs="Times New Roman"/>
                <w:sz w:val="24"/>
                <w:szCs w:val="24"/>
                <w:lang w:val="fr-CM"/>
              </w:rPr>
              <m:t>t</m:t>
            </m:r>
          </m:sub>
        </m:sSub>
      </m:oMath>
      <w:r w:rsidR="005174E0" w:rsidRPr="006F6E02">
        <w:rPr>
          <w:rFonts w:ascii="Times New Roman" w:hAnsi="Times New Roman" w:cs="Times New Roman"/>
          <w:sz w:val="24"/>
          <w:szCs w:val="24"/>
          <w:lang w:val="fr-CM"/>
        </w:rPr>
        <w:t xml:space="preserve">                                                                        </w:t>
      </w:r>
    </w:p>
    <w:p w14:paraId="4CDD1C22" w14:textId="77777777" w:rsidR="005174E0" w:rsidRPr="006F6E02" w:rsidRDefault="005174E0" w:rsidP="005174E0">
      <w:pPr>
        <w:spacing w:after="0" w:line="240" w:lineRule="auto"/>
        <w:rPr>
          <w:rFonts w:ascii="Times New Roman" w:hAnsi="Times New Roman" w:cs="Times New Roman"/>
          <w:sz w:val="24"/>
          <w:szCs w:val="24"/>
          <w:lang w:val="fr-CM"/>
        </w:rPr>
      </w:pPr>
    </w:p>
    <w:p w14:paraId="598D13D9" w14:textId="7162EB34" w:rsidR="00E07630" w:rsidRPr="006F6E02" w:rsidRDefault="0097580B" w:rsidP="00B572F0">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Then confronting</w:t>
      </w:r>
      <w:r w:rsidR="0008456A" w:rsidRPr="006F6E02">
        <w:rPr>
          <w:rFonts w:ascii="Times New Roman" w:hAnsi="Times New Roman" w:cs="Times New Roman"/>
          <w:sz w:val="24"/>
          <w:szCs w:val="24"/>
        </w:rPr>
        <w:t xml:space="preserve"> this specification of an </w:t>
      </w:r>
      <w:proofErr w:type="gramStart"/>
      <w:r w:rsidR="0008456A" w:rsidRPr="006F6E02">
        <w:rPr>
          <w:rFonts w:ascii="Times New Roman" w:hAnsi="Times New Roman" w:cs="Times New Roman"/>
          <w:sz w:val="24"/>
          <w:szCs w:val="24"/>
        </w:rPr>
        <w:t>ARDL</w:t>
      </w:r>
      <w:r w:rsidRPr="006F6E02">
        <w:rPr>
          <w:rFonts w:ascii="Times New Roman" w:hAnsi="Times New Roman" w:cs="Times New Roman"/>
          <w:sz w:val="24"/>
          <w:szCs w:val="24"/>
        </w:rPr>
        <w:t>(</w:t>
      </w:r>
      <w:proofErr w:type="gramEnd"/>
      <w:r w:rsidRPr="006F6E02">
        <w:rPr>
          <w:rFonts w:ascii="Times New Roman" w:hAnsi="Times New Roman" w:cs="Times New Roman"/>
          <w:sz w:val="24"/>
          <w:szCs w:val="24"/>
        </w:rPr>
        <w:t>1, 1) with the Model underlying the New Export</w:t>
      </w:r>
      <w:r w:rsidR="00E96207" w:rsidRPr="006F6E02">
        <w:rPr>
          <w:rFonts w:ascii="Times New Roman" w:hAnsi="Times New Roman" w:cs="Times New Roman"/>
          <w:sz w:val="24"/>
          <w:szCs w:val="24"/>
        </w:rPr>
        <w:t xml:space="preserve"> </w:t>
      </w:r>
      <w:r w:rsidRPr="006F6E02">
        <w:rPr>
          <w:rFonts w:ascii="Times New Roman" w:hAnsi="Times New Roman" w:cs="Times New Roman"/>
          <w:sz w:val="24"/>
          <w:szCs w:val="24"/>
        </w:rPr>
        <w:t xml:space="preserve">channel </w:t>
      </w:r>
      <w:r w:rsidR="00044880" w:rsidRPr="006F6E02">
        <w:rPr>
          <w:rFonts w:ascii="Times New Roman" w:hAnsi="Times New Roman" w:cs="Times New Roman"/>
          <w:sz w:val="24"/>
          <w:szCs w:val="24"/>
        </w:rPr>
        <w:t>(Equation (1)</w:t>
      </w:r>
      <w:r w:rsidR="0072776B" w:rsidRPr="006F6E02">
        <w:rPr>
          <w:rFonts w:ascii="Times New Roman" w:hAnsi="Times New Roman" w:cs="Times New Roman"/>
          <w:sz w:val="24"/>
          <w:szCs w:val="24"/>
        </w:rPr>
        <w:t xml:space="preserve"> and Equation (2)</w:t>
      </w:r>
      <w:r w:rsidR="00044880" w:rsidRPr="006F6E02">
        <w:rPr>
          <w:rFonts w:ascii="Times New Roman" w:hAnsi="Times New Roman" w:cs="Times New Roman"/>
          <w:sz w:val="24"/>
          <w:szCs w:val="24"/>
        </w:rPr>
        <w:t xml:space="preserve">) </w:t>
      </w:r>
      <w:r w:rsidR="0054569C" w:rsidRPr="006F6E02">
        <w:rPr>
          <w:rFonts w:ascii="Times New Roman" w:hAnsi="Times New Roman" w:cs="Times New Roman"/>
          <w:sz w:val="24"/>
          <w:szCs w:val="24"/>
        </w:rPr>
        <w:t>it appears that the ARDL</w:t>
      </w:r>
      <w:r w:rsidRPr="006F6E02">
        <w:rPr>
          <w:rFonts w:ascii="Times New Roman" w:hAnsi="Times New Roman" w:cs="Times New Roman"/>
          <w:sz w:val="24"/>
          <w:szCs w:val="24"/>
        </w:rPr>
        <w:t>(1, 1) is the convenient specification.</w:t>
      </w:r>
      <w:r w:rsidR="00B572F0" w:rsidRPr="006F6E02">
        <w:rPr>
          <w:rFonts w:ascii="Times New Roman" w:hAnsi="Times New Roman" w:cs="Times New Roman"/>
          <w:sz w:val="24"/>
          <w:szCs w:val="24"/>
        </w:rPr>
        <w:t xml:space="preserve"> In fact, it permits to conform to </w:t>
      </w:r>
      <w:r w:rsidR="009B49BA" w:rsidRPr="006F6E02">
        <w:rPr>
          <w:rFonts w:ascii="Times New Roman" w:hAnsi="Times New Roman" w:cs="Times New Roman"/>
          <w:sz w:val="24"/>
          <w:szCs w:val="24"/>
        </w:rPr>
        <w:t xml:space="preserve">Equation (2) with the </w:t>
      </w:r>
      <w:r w:rsidR="00B572F0" w:rsidRPr="006F6E02">
        <w:rPr>
          <w:rFonts w:ascii="Times New Roman" w:hAnsi="Times New Roman" w:cs="Times New Roman"/>
          <w:sz w:val="24"/>
          <w:szCs w:val="24"/>
          <w:lang w:val="fr-CM"/>
        </w:rPr>
        <w:t xml:space="preserve">Esteves and Prades (2016) </w:t>
      </w:r>
      <w:r w:rsidR="00B572F0" w:rsidRPr="006F6E02">
        <w:rPr>
          <w:rFonts w:ascii="Times New Roman" w:hAnsi="Times New Roman" w:cs="Times New Roman"/>
          <w:sz w:val="24"/>
          <w:szCs w:val="24"/>
        </w:rPr>
        <w:t>assumption</w:t>
      </w:r>
      <w:r w:rsidR="009B49BA" w:rsidRPr="006F6E02">
        <w:rPr>
          <w:rFonts w:ascii="Times New Roman" w:hAnsi="Times New Roman" w:cs="Times New Roman"/>
          <w:sz w:val="24"/>
          <w:szCs w:val="24"/>
        </w:rPr>
        <w:t>’s</w:t>
      </w:r>
      <w:r w:rsidR="00B572F0" w:rsidRPr="006F6E02">
        <w:rPr>
          <w:rFonts w:ascii="Times New Roman" w:hAnsi="Times New Roman" w:cs="Times New Roman"/>
          <w:sz w:val="24"/>
          <w:szCs w:val="24"/>
        </w:rPr>
        <w:t xml:space="preserve"> that the substitution effect between domestic </w:t>
      </w:r>
      <w:r w:rsidR="00CF0E47" w:rsidRPr="006F6E02">
        <w:rPr>
          <w:rFonts w:ascii="Times New Roman" w:hAnsi="Times New Roman" w:cs="Times New Roman"/>
          <w:sz w:val="24"/>
          <w:szCs w:val="24"/>
        </w:rPr>
        <w:t xml:space="preserve">demand </w:t>
      </w:r>
      <w:r w:rsidR="00B572F0" w:rsidRPr="006F6E02">
        <w:rPr>
          <w:rFonts w:ascii="Times New Roman" w:hAnsi="Times New Roman" w:cs="Times New Roman"/>
          <w:sz w:val="24"/>
          <w:szCs w:val="24"/>
        </w:rPr>
        <w:t xml:space="preserve">and foreign markets sales </w:t>
      </w:r>
      <w:r w:rsidR="00CF0E47" w:rsidRPr="006F6E02">
        <w:rPr>
          <w:rFonts w:ascii="Times New Roman" w:hAnsi="Times New Roman" w:cs="Times New Roman"/>
          <w:sz w:val="24"/>
          <w:szCs w:val="24"/>
        </w:rPr>
        <w:t xml:space="preserve">(Export performance) </w:t>
      </w:r>
      <w:r w:rsidR="00B572F0" w:rsidRPr="006F6E02">
        <w:rPr>
          <w:rFonts w:ascii="Times New Roman" w:hAnsi="Times New Roman" w:cs="Times New Roman"/>
          <w:sz w:val="24"/>
          <w:szCs w:val="24"/>
        </w:rPr>
        <w:t>occurs contemporaneously considering the frequency of data in annual period and to test the liquidity channel of Berman et al (2011).</w:t>
      </w:r>
      <w:r w:rsidR="00D646B8" w:rsidRPr="006F6E02">
        <w:rPr>
          <w:rFonts w:ascii="Times New Roman" w:hAnsi="Times New Roman" w:cs="Times New Roman"/>
          <w:sz w:val="24"/>
          <w:szCs w:val="24"/>
        </w:rPr>
        <w:t xml:space="preserve"> </w:t>
      </w:r>
      <w:r w:rsidR="003516F1" w:rsidRPr="006F6E02">
        <w:rPr>
          <w:rFonts w:ascii="Times New Roman" w:hAnsi="Times New Roman" w:cs="Times New Roman"/>
          <w:sz w:val="24"/>
          <w:szCs w:val="24"/>
        </w:rPr>
        <w:t xml:space="preserve">In fact, Berman et al (2011) suggest that contrarely to traditionnal theory on the New Export channel according to which there should exist a negative relationship between domestic demand and Export performance </w:t>
      </w:r>
      <w:r w:rsidR="00283AB7" w:rsidRPr="006F6E02">
        <w:rPr>
          <w:rFonts w:ascii="Times New Roman" w:hAnsi="Times New Roman" w:cs="Times New Roman"/>
          <w:sz w:val="24"/>
          <w:szCs w:val="24"/>
        </w:rPr>
        <w:t xml:space="preserve">for several reason as capacity </w:t>
      </w:r>
      <w:r w:rsidR="00283AB7" w:rsidRPr="006F6E02">
        <w:rPr>
          <w:rFonts w:ascii="Times New Roman" w:hAnsi="Times New Roman" w:cs="Times New Roman"/>
          <w:sz w:val="24"/>
          <w:szCs w:val="24"/>
        </w:rPr>
        <w:lastRenderedPageBreak/>
        <w:t>constraints (</w:t>
      </w:r>
      <w:r w:rsidR="00D52AFF" w:rsidRPr="00D52AFF">
        <w:rPr>
          <w:rFonts w:ascii="Times New Roman" w:hAnsi="Times New Roman" w:cs="Times New Roman"/>
          <w:sz w:val="24"/>
          <w:szCs w:val="24"/>
        </w:rPr>
        <w:t>It is widely recognised that when capacity utilisation is high and output is largely directed to the domestic market, firms are unable to respond quickly to increases in export demand. In contrast, during periods of domestic economic slowdown, firms have greater flexibility to redirect resources towards export activities</w:t>
      </w:r>
      <w:r w:rsidR="00132B3A" w:rsidRPr="00132B3A">
        <w:rPr>
          <w:rFonts w:ascii="Times New Roman" w:hAnsi="Times New Roman" w:cs="Times New Roman"/>
          <w:sz w:val="24"/>
          <w:szCs w:val="24"/>
        </w:rPr>
        <w:t>. In such periods, firms often attempt to offset declining domestic sales by intensifying their export efforts, either to maintain their position in existing markets or to enter new ones. This illustrates the role of capacity constraints in mediating the substitution effect between domestic sales and exports.</w:t>
      </w:r>
      <w:r w:rsidR="00283AB7" w:rsidRPr="006F6E02">
        <w:rPr>
          <w:rFonts w:ascii="Times New Roman" w:hAnsi="Times New Roman" w:cs="Times New Roman"/>
          <w:sz w:val="24"/>
          <w:szCs w:val="24"/>
        </w:rPr>
        <w:t xml:space="preserve">) </w:t>
      </w:r>
      <w:r w:rsidR="00132B3A" w:rsidRPr="00132B3A">
        <w:rPr>
          <w:rFonts w:ascii="Times New Roman" w:hAnsi="Times New Roman" w:cs="Times New Roman"/>
          <w:sz w:val="24"/>
          <w:szCs w:val="24"/>
        </w:rPr>
        <w:t xml:space="preserve">Berman </w:t>
      </w:r>
      <w:r w:rsidR="00132B3A" w:rsidRPr="00132B3A">
        <w:rPr>
          <w:rFonts w:ascii="Times New Roman" w:hAnsi="Times New Roman" w:cs="Times New Roman"/>
          <w:i/>
          <w:sz w:val="24"/>
          <w:szCs w:val="24"/>
        </w:rPr>
        <w:t>et al</w:t>
      </w:r>
      <w:r w:rsidR="00132B3A" w:rsidRPr="00132B3A">
        <w:rPr>
          <w:rFonts w:ascii="Times New Roman" w:hAnsi="Times New Roman" w:cs="Times New Roman"/>
          <w:sz w:val="24"/>
          <w:szCs w:val="24"/>
        </w:rPr>
        <w:t>. (2011, p. 8) suggest that a positive relationship may exist between domestic demand and export performance, supported by at least two complementary mechanisms. The first is the liquidity channel, whereby cash flows generated from exports are utilised in the short term to finance domestic operations, such as paying suppliers, hiring workers, or making investments. The second mechanism arises from the presence of increasing returns, which can enhance both domestic and export activities simultaneously</w:t>
      </w:r>
      <w:r w:rsidR="00E07630" w:rsidRPr="006F6E02">
        <w:rPr>
          <w:rFonts w:ascii="Times New Roman" w:hAnsi="Times New Roman" w:cs="Times New Roman"/>
          <w:sz w:val="24"/>
          <w:szCs w:val="24"/>
        </w:rPr>
        <w:t xml:space="preserve">. Thus one way to model the Berman et al (2011) </w:t>
      </w:r>
      <w:r w:rsidR="001A326D" w:rsidRPr="006F6E02">
        <w:rPr>
          <w:rFonts w:ascii="Times New Roman" w:hAnsi="Times New Roman" w:cs="Times New Roman"/>
          <w:sz w:val="24"/>
          <w:szCs w:val="24"/>
        </w:rPr>
        <w:t>ide</w:t>
      </w:r>
      <w:r w:rsidR="00E07630" w:rsidRPr="006F6E02">
        <w:rPr>
          <w:rFonts w:ascii="Times New Roman" w:hAnsi="Times New Roman" w:cs="Times New Roman"/>
          <w:sz w:val="24"/>
          <w:szCs w:val="24"/>
        </w:rPr>
        <w:t>a</w:t>
      </w:r>
      <w:r w:rsidR="001A326D" w:rsidRPr="006F6E02">
        <w:rPr>
          <w:rFonts w:ascii="Times New Roman" w:hAnsi="Times New Roman" w:cs="Times New Roman"/>
          <w:sz w:val="24"/>
          <w:szCs w:val="24"/>
        </w:rPr>
        <w:t xml:space="preserve"> </w:t>
      </w:r>
      <w:r w:rsidR="00E07630" w:rsidRPr="006F6E02">
        <w:rPr>
          <w:rFonts w:ascii="Times New Roman" w:hAnsi="Times New Roman" w:cs="Times New Roman"/>
          <w:sz w:val="24"/>
          <w:szCs w:val="24"/>
        </w:rPr>
        <w:t xml:space="preserve">is to include the domestic demand in the long run dynamics </w:t>
      </w:r>
      <w:r w:rsidR="001A326D" w:rsidRPr="006F6E02">
        <w:rPr>
          <w:rFonts w:ascii="Times New Roman" w:hAnsi="Times New Roman" w:cs="Times New Roman"/>
          <w:sz w:val="24"/>
          <w:szCs w:val="24"/>
        </w:rPr>
        <w:t xml:space="preserve">(Kuikeu, 2025c) </w:t>
      </w:r>
      <w:r w:rsidR="00E07630" w:rsidRPr="006F6E02">
        <w:rPr>
          <w:rFonts w:ascii="Times New Roman" w:hAnsi="Times New Roman" w:cs="Times New Roman"/>
          <w:sz w:val="24"/>
          <w:szCs w:val="24"/>
        </w:rPr>
        <w:t xml:space="preserve">since the substitution effect (negative relation between domestic demand and export performance) occurs in the short </w:t>
      </w:r>
      <w:r w:rsidR="00CF0E47" w:rsidRPr="006F6E02">
        <w:rPr>
          <w:rFonts w:ascii="Times New Roman" w:hAnsi="Times New Roman" w:cs="Times New Roman"/>
          <w:sz w:val="24"/>
          <w:szCs w:val="24"/>
        </w:rPr>
        <w:t>term</w:t>
      </w:r>
      <w:r w:rsidR="00E07630" w:rsidRPr="006F6E02">
        <w:rPr>
          <w:rFonts w:ascii="Times New Roman" w:hAnsi="Times New Roman" w:cs="Times New Roman"/>
          <w:sz w:val="24"/>
          <w:szCs w:val="24"/>
        </w:rPr>
        <w:t xml:space="preserve"> with the change of domestic demand</w:t>
      </w:r>
      <w:r w:rsidR="00CF0E47" w:rsidRPr="006F6E02">
        <w:rPr>
          <w:rFonts w:ascii="Times New Roman" w:hAnsi="Times New Roman" w:cs="Times New Roman"/>
          <w:sz w:val="24"/>
          <w:szCs w:val="24"/>
        </w:rPr>
        <w:t xml:space="preserve"> (see Equation (1) and Equation (2)).</w:t>
      </w:r>
      <w:r w:rsidR="00E07630" w:rsidRPr="006F6E02">
        <w:rPr>
          <w:rFonts w:ascii="Times New Roman" w:hAnsi="Times New Roman" w:cs="Times New Roman"/>
          <w:sz w:val="24"/>
          <w:szCs w:val="24"/>
        </w:rPr>
        <w:t>.</w:t>
      </w:r>
      <w:r w:rsidR="00FC769B" w:rsidRPr="006F6E02">
        <w:rPr>
          <w:rFonts w:ascii="Times New Roman" w:hAnsi="Times New Roman" w:cs="Times New Roman"/>
          <w:sz w:val="24"/>
          <w:szCs w:val="24"/>
        </w:rPr>
        <w:t xml:space="preserve"> </w:t>
      </w:r>
    </w:p>
    <w:p w14:paraId="143F6153" w14:textId="77777777" w:rsidR="00E07630" w:rsidRPr="006F6E02" w:rsidRDefault="00E07630" w:rsidP="00B572F0">
      <w:pPr>
        <w:spacing w:after="0"/>
        <w:ind w:firstLine="709"/>
        <w:jc w:val="both"/>
        <w:rPr>
          <w:rFonts w:ascii="Times New Roman" w:hAnsi="Times New Roman" w:cs="Times New Roman"/>
          <w:sz w:val="24"/>
          <w:szCs w:val="24"/>
        </w:rPr>
      </w:pPr>
    </w:p>
    <w:p w14:paraId="5E85596F" w14:textId="77777777" w:rsidR="00B572F0" w:rsidRPr="006F6E02" w:rsidRDefault="00D646B8" w:rsidP="00B572F0">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Then we have the following ARDL (1, 1) for the Model underlying the New Export channel:</w:t>
      </w:r>
    </w:p>
    <w:p w14:paraId="3CC4DE93" w14:textId="77777777" w:rsidR="00D646B8" w:rsidRPr="006F6E02" w:rsidRDefault="00D646B8" w:rsidP="00B572F0">
      <w:pPr>
        <w:spacing w:after="0"/>
        <w:ind w:firstLine="709"/>
        <w:jc w:val="both"/>
        <w:rPr>
          <w:rFonts w:ascii="Times New Roman" w:hAnsi="Times New Roman" w:cs="Times New Roman"/>
          <w:sz w:val="24"/>
          <w:szCs w:val="24"/>
        </w:rPr>
      </w:pPr>
    </w:p>
    <w:p w14:paraId="679B92C7" w14:textId="77777777" w:rsidR="00D646B8" w:rsidRPr="006F6E02" w:rsidRDefault="00D646B8" w:rsidP="00D646B8">
      <w:pPr>
        <w:autoSpaceDE w:val="0"/>
        <w:autoSpaceDN w:val="0"/>
        <w:adjustRightInd w:val="0"/>
        <w:spacing w:after="0" w:line="240" w:lineRule="auto"/>
        <w:jc w:val="center"/>
        <w:rPr>
          <w:rFonts w:ascii="Times New Roman" w:hAnsi="Times New Roman" w:cs="Times New Roman"/>
          <w:sz w:val="24"/>
          <w:szCs w:val="24"/>
          <w:lang w:val="fr-CM"/>
        </w:rPr>
      </w:pPr>
      <m:oMath>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α</m:t>
            </m:r>
          </m:e>
          <m:sub>
            <m:r>
              <w:rPr>
                <w:rFonts w:ascii="Cambria Math" w:hAnsi="Cambria Math" w:cs="Times New Roman"/>
                <w:sz w:val="24"/>
                <w:szCs w:val="24"/>
                <w:lang w:val="fr-CM"/>
              </w:rPr>
              <m:t>i</m:t>
            </m:r>
          </m:sub>
        </m:sSub>
        <m:r>
          <w:rPr>
            <w:rFonts w:ascii="Cambria Math" w:hAnsi="Cambria Math" w:cs="Times New Roman"/>
            <w:sz w:val="24"/>
            <w:szCs w:val="24"/>
            <w:lang w:val="fr-CM"/>
          </w:rPr>
          <m:t>+γ</m:t>
        </m:r>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m:t>
            </m:r>
          </m:sub>
        </m:sSub>
        <m:r>
          <w:rPr>
            <w:rFonts w:ascii="Cambria Math" w:hAnsi="Cambria Math" w:cs="Times New Roman"/>
            <w:sz w:val="24"/>
            <w:szCs w:val="24"/>
            <w:lang w:val="fr-CM"/>
          </w:rPr>
          <m:t>+δ</m:t>
        </m:r>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t</m:t>
            </m:r>
          </m:sub>
        </m:sSub>
        <m:r>
          <w:rPr>
            <w:rFonts w:ascii="Cambria Math" w:hAnsi="Cambria Math" w:cs="Times New Roman"/>
            <w:sz w:val="24"/>
            <w:szCs w:val="24"/>
            <w:lang w:val="fr-CM"/>
          </w:rPr>
          <m:t>+θ</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t-1</m:t>
                </m:r>
              </m:sub>
            </m:sSub>
          </m:e>
        </m:d>
        <m:r>
          <w:rPr>
            <w:rFonts w:ascii="Cambria Math" w:hAnsi="Cambria Math" w:cs="Times New Roman"/>
            <w:sz w:val="24"/>
            <w:szCs w:val="24"/>
            <w:lang w:val="fr-CM"/>
          </w:rPr>
          <m:t>+λ</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t-1</m:t>
            </m:r>
          </m:sub>
        </m:sSub>
        <m:r>
          <w:rPr>
            <w:rFonts w:ascii="Cambria Math" w:hAnsi="Cambria Math" w:cs="Times New Roman"/>
            <w:sz w:val="24"/>
            <w:szCs w:val="24"/>
            <w:lang w:val="fr-CM"/>
          </w:rPr>
          <m:t>+ψ</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t-1</m:t>
            </m:r>
          </m:sub>
        </m:sSub>
        <m:r>
          <w:rPr>
            <w:rFonts w:ascii="Cambria Math" w:hAnsi="Cambria Math" w:cs="Times New Roman"/>
            <w:sz w:val="24"/>
            <w:szCs w:val="24"/>
            <w:lang w:val="fr-CM"/>
          </w:rPr>
          <m:t>+φt</m:t>
        </m:r>
      </m:oMath>
      <w:r w:rsidRPr="006F6E02">
        <w:rPr>
          <w:rFonts w:ascii="Times New Roman" w:hAnsi="Times New Roman" w:cs="Times New Roman"/>
          <w:sz w:val="24"/>
          <w:szCs w:val="24"/>
          <w:lang w:val="fr-CM"/>
        </w:rPr>
        <w:t xml:space="preserve">                                          </w:t>
      </w:r>
      <w:r w:rsidR="00AF205D" w:rsidRPr="006F6E02">
        <w:rPr>
          <w:rFonts w:ascii="Times New Roman" w:hAnsi="Times New Roman" w:cs="Times New Roman"/>
          <w:sz w:val="24"/>
          <w:szCs w:val="24"/>
          <w:lang w:val="fr-CM"/>
        </w:rPr>
        <w:t xml:space="preserve">                              (3</w:t>
      </w:r>
      <w:r w:rsidRPr="006F6E02">
        <w:rPr>
          <w:rFonts w:ascii="Times New Roman" w:hAnsi="Times New Roman" w:cs="Times New Roman"/>
          <w:sz w:val="24"/>
          <w:szCs w:val="24"/>
          <w:lang w:val="fr-CM"/>
        </w:rPr>
        <w:t>)</w:t>
      </w:r>
    </w:p>
    <w:p w14:paraId="565AD347" w14:textId="77777777" w:rsidR="00E96207" w:rsidRPr="006F6E02" w:rsidRDefault="00E96207" w:rsidP="00E96207">
      <w:pPr>
        <w:autoSpaceDE w:val="0"/>
        <w:autoSpaceDN w:val="0"/>
        <w:adjustRightInd w:val="0"/>
        <w:spacing w:after="0" w:line="240" w:lineRule="auto"/>
        <w:jc w:val="both"/>
        <w:rPr>
          <w:rFonts w:ascii="Times New Roman" w:hAnsi="Times New Roman" w:cs="Times New Roman"/>
          <w:sz w:val="24"/>
          <w:szCs w:val="24"/>
          <w:lang w:val="fr-CM"/>
        </w:rPr>
      </w:pPr>
    </w:p>
    <w:p w14:paraId="756835B6" w14:textId="77777777" w:rsidR="00E96207" w:rsidRPr="006F6E02" w:rsidRDefault="00E96207" w:rsidP="00E96207">
      <w:pPr>
        <w:autoSpaceDE w:val="0"/>
        <w:autoSpaceDN w:val="0"/>
        <w:adjustRightInd w:val="0"/>
        <w:spacing w:after="0" w:line="240" w:lineRule="auto"/>
        <w:ind w:firstLine="709"/>
        <w:jc w:val="both"/>
        <w:rPr>
          <w:rFonts w:ascii="Times New Roman" w:hAnsi="Times New Roman" w:cs="Times New Roman"/>
          <w:sz w:val="24"/>
          <w:szCs w:val="24"/>
          <w:lang w:val="fr-CM"/>
        </w:rPr>
      </w:pPr>
      <w:r w:rsidRPr="006F6E02">
        <w:rPr>
          <w:rFonts w:ascii="Times New Roman" w:hAnsi="Times New Roman" w:cs="Times New Roman"/>
          <w:sz w:val="24"/>
          <w:szCs w:val="24"/>
          <w:lang w:val="fr-CM"/>
        </w:rPr>
        <w:t xml:space="preserve">Then we can derive that the </w:t>
      </w:r>
      <w:proofErr w:type="gramStart"/>
      <w:r w:rsidRPr="006F6E02">
        <w:rPr>
          <w:rFonts w:ascii="Times New Roman" w:hAnsi="Times New Roman" w:cs="Times New Roman"/>
          <w:sz w:val="24"/>
          <w:szCs w:val="24"/>
          <w:lang w:val="fr-CM"/>
        </w:rPr>
        <w:t>ARDL(</w:t>
      </w:r>
      <w:proofErr w:type="gramEnd"/>
      <w:r w:rsidRPr="006F6E02">
        <w:rPr>
          <w:rFonts w:ascii="Times New Roman" w:hAnsi="Times New Roman" w:cs="Times New Roman"/>
          <w:sz w:val="24"/>
          <w:szCs w:val="24"/>
          <w:lang w:val="fr-CM"/>
        </w:rPr>
        <w:t xml:space="preserve">1, 1) specification convey also well to the Reverse causation </w:t>
      </w:r>
      <w:r w:rsidR="007C0165" w:rsidRPr="006F6E02">
        <w:rPr>
          <w:rFonts w:ascii="Times New Roman" w:hAnsi="Times New Roman" w:cs="Times New Roman"/>
          <w:sz w:val="24"/>
          <w:szCs w:val="24"/>
          <w:lang w:val="fr-CM"/>
        </w:rPr>
        <w:t xml:space="preserve">(i.e the causation from export market share to domestic demand) </w:t>
      </w:r>
      <w:r w:rsidRPr="006F6E02">
        <w:rPr>
          <w:rFonts w:ascii="Times New Roman" w:hAnsi="Times New Roman" w:cs="Times New Roman"/>
          <w:sz w:val="24"/>
          <w:szCs w:val="24"/>
          <w:lang w:val="fr-CM"/>
        </w:rPr>
        <w:t>as given by</w:t>
      </w:r>
      <w:r w:rsidR="000410E9" w:rsidRPr="006F6E02">
        <w:rPr>
          <w:rFonts w:ascii="Times New Roman" w:hAnsi="Times New Roman" w:cs="Times New Roman"/>
          <w:sz w:val="24"/>
          <w:szCs w:val="24"/>
          <w:lang w:val="fr-CM"/>
        </w:rPr>
        <w:t> </w:t>
      </w:r>
      <w:r w:rsidRPr="006F6E02">
        <w:rPr>
          <w:rFonts w:ascii="Times New Roman" w:hAnsi="Times New Roman" w:cs="Times New Roman"/>
          <w:sz w:val="24"/>
          <w:szCs w:val="24"/>
          <w:lang w:val="fr-CM"/>
        </w:rPr>
        <w:t>:</w:t>
      </w:r>
    </w:p>
    <w:p w14:paraId="39E18F0A" w14:textId="77777777" w:rsidR="00AB1966" w:rsidRPr="006F6E02" w:rsidRDefault="00AB1966" w:rsidP="00E96207">
      <w:pPr>
        <w:autoSpaceDE w:val="0"/>
        <w:autoSpaceDN w:val="0"/>
        <w:adjustRightInd w:val="0"/>
        <w:spacing w:after="0" w:line="240" w:lineRule="auto"/>
        <w:ind w:firstLine="709"/>
        <w:jc w:val="both"/>
        <w:rPr>
          <w:rFonts w:ascii="Times New Roman" w:hAnsi="Times New Roman" w:cs="Times New Roman"/>
          <w:sz w:val="24"/>
          <w:szCs w:val="24"/>
          <w:lang w:val="fr-CM"/>
        </w:rPr>
      </w:pPr>
    </w:p>
    <w:p w14:paraId="1D39394B" w14:textId="77777777" w:rsidR="00E96207" w:rsidRPr="006F6E02" w:rsidRDefault="00E96207" w:rsidP="00E96207">
      <w:pPr>
        <w:autoSpaceDE w:val="0"/>
        <w:autoSpaceDN w:val="0"/>
        <w:adjustRightInd w:val="0"/>
        <w:spacing w:after="0" w:line="240" w:lineRule="auto"/>
        <w:jc w:val="center"/>
        <w:rPr>
          <w:rFonts w:ascii="Times New Roman" w:hAnsi="Times New Roman" w:cs="Times New Roman"/>
          <w:sz w:val="24"/>
          <w:szCs w:val="24"/>
          <w:lang w:val="fr-CM"/>
        </w:rPr>
      </w:pPr>
      <m:oMath>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α</m:t>
            </m:r>
          </m:e>
          <m:sub>
            <m:r>
              <w:rPr>
                <w:rFonts w:ascii="Cambria Math" w:hAnsi="Cambria Math" w:cs="Times New Roman"/>
                <w:sz w:val="24"/>
                <w:szCs w:val="24"/>
                <w:lang w:val="fr-CM"/>
              </w:rPr>
              <m:t>i</m:t>
            </m:r>
          </m:sub>
        </m:sSub>
        <m:r>
          <w:rPr>
            <w:rFonts w:ascii="Cambria Math" w:hAnsi="Cambria Math" w:cs="Times New Roman"/>
            <w:sz w:val="24"/>
            <w:szCs w:val="24"/>
            <w:lang w:val="fr-CM"/>
          </w:rPr>
          <m:t>+γ</m:t>
        </m:r>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m:t>
            </m:r>
          </m:sub>
        </m:sSub>
        <m:r>
          <w:rPr>
            <w:rFonts w:ascii="Cambria Math" w:hAnsi="Cambria Math" w:cs="Times New Roman"/>
            <w:sz w:val="24"/>
            <w:szCs w:val="24"/>
            <w:lang w:val="fr-CM"/>
          </w:rPr>
          <m:t>+δ</m:t>
        </m:r>
        <m:d>
          <m:dPr>
            <m:ctrlPr>
              <w:rPr>
                <w:rFonts w:ascii="Cambria Math" w:hAnsi="Cambria Math" w:cs="Times New Roman"/>
                <w:i/>
                <w:sz w:val="24"/>
                <w:szCs w:val="24"/>
                <w:lang w:val="fr-CM"/>
              </w:rPr>
            </m:ctrlPr>
          </m:dPr>
          <m:e>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m:t>
                </m:r>
              </m:sub>
            </m:sSub>
          </m:e>
        </m:d>
        <m:r>
          <w:rPr>
            <w:rFonts w:ascii="Cambria Math" w:hAnsi="Cambria Math" w:cs="Times New Roman"/>
            <w:sz w:val="24"/>
            <w:szCs w:val="24"/>
            <w:lang w:val="fr-CM"/>
          </w:rPr>
          <m:t>+θ</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t-1</m:t>
                </m:r>
              </m:sub>
            </m:sSub>
          </m:e>
        </m:d>
        <m:r>
          <w:rPr>
            <w:rFonts w:ascii="Cambria Math" w:hAnsi="Cambria Math" w:cs="Times New Roman"/>
            <w:sz w:val="24"/>
            <w:szCs w:val="24"/>
            <w:lang w:val="fr-CM"/>
          </w:rPr>
          <m:t>+λ</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t-1</m:t>
            </m:r>
          </m:sub>
        </m:sSub>
        <m:r>
          <w:rPr>
            <w:rFonts w:ascii="Cambria Math" w:hAnsi="Cambria Math" w:cs="Times New Roman"/>
            <w:sz w:val="24"/>
            <w:szCs w:val="24"/>
            <w:lang w:val="fr-CM"/>
          </w:rPr>
          <m:t>+φt</m:t>
        </m:r>
      </m:oMath>
      <w:r w:rsidRPr="006F6E02">
        <w:rPr>
          <w:rFonts w:ascii="Times New Roman" w:hAnsi="Times New Roman" w:cs="Times New Roman"/>
          <w:sz w:val="24"/>
          <w:szCs w:val="24"/>
          <w:lang w:val="fr-CM"/>
        </w:rPr>
        <w:t xml:space="preserve">                                          </w:t>
      </w:r>
      <w:r w:rsidR="00AF205D" w:rsidRPr="006F6E02">
        <w:rPr>
          <w:rFonts w:ascii="Times New Roman" w:hAnsi="Times New Roman" w:cs="Times New Roman"/>
          <w:sz w:val="24"/>
          <w:szCs w:val="24"/>
          <w:lang w:val="fr-CM"/>
        </w:rPr>
        <w:t xml:space="preserve">                              (4</w:t>
      </w:r>
      <w:r w:rsidRPr="006F6E02">
        <w:rPr>
          <w:rFonts w:ascii="Times New Roman" w:hAnsi="Times New Roman" w:cs="Times New Roman"/>
          <w:sz w:val="24"/>
          <w:szCs w:val="24"/>
          <w:lang w:val="fr-CM"/>
        </w:rPr>
        <w:t>)</w:t>
      </w:r>
    </w:p>
    <w:p w14:paraId="3757B0BD" w14:textId="77777777" w:rsidR="00AF205D" w:rsidRPr="006F6E02" w:rsidRDefault="00AF205D" w:rsidP="000410E9">
      <w:pPr>
        <w:spacing w:after="0"/>
        <w:ind w:firstLine="709"/>
        <w:jc w:val="both"/>
        <w:rPr>
          <w:rFonts w:ascii="Times New Roman" w:hAnsi="Times New Roman" w:cs="Times New Roman"/>
          <w:sz w:val="24"/>
          <w:szCs w:val="24"/>
        </w:rPr>
      </w:pPr>
    </w:p>
    <w:p w14:paraId="3A2408DE" w14:textId="6B0D5723" w:rsidR="00804E23" w:rsidRPr="006F6E02" w:rsidRDefault="00132B3A" w:rsidP="000410E9">
      <w:pPr>
        <w:spacing w:after="0"/>
        <w:ind w:firstLine="709"/>
        <w:jc w:val="both"/>
        <w:rPr>
          <w:rFonts w:ascii="Times New Roman" w:hAnsi="Times New Roman" w:cs="Times New Roman"/>
          <w:sz w:val="24"/>
          <w:szCs w:val="24"/>
        </w:rPr>
      </w:pPr>
      <w:r w:rsidRPr="00132B3A">
        <w:rPr>
          <w:rFonts w:ascii="Times New Roman" w:hAnsi="Times New Roman" w:cs="Times New Roman"/>
          <w:sz w:val="24"/>
          <w:szCs w:val="24"/>
        </w:rPr>
        <w:t>In addition to testing the significance of parameters, particularly the speed of mean reversion (θ) as part of the cointegration assessment, the ARDL modelling framework distinguishes itself from the traditional Single Equation Approach by enabling a specific test for the existence of long-run relationships among variables</w:t>
      </w:r>
      <w:r>
        <w:rPr>
          <w:rFonts w:ascii="Times New Roman" w:hAnsi="Times New Roman" w:cs="Times New Roman"/>
          <w:sz w:val="24"/>
          <w:szCs w:val="24"/>
        </w:rPr>
        <w:t xml:space="preserve"> (</w:t>
      </w:r>
      <w:r w:rsidRPr="00132B3A">
        <w:rPr>
          <w:rFonts w:ascii="Times New Roman" w:hAnsi="Times New Roman" w:cs="Times New Roman"/>
          <w:sz w:val="24"/>
          <w:szCs w:val="24"/>
        </w:rPr>
        <w:t>Pesaran et al</w:t>
      </w:r>
      <w:r>
        <w:rPr>
          <w:rFonts w:ascii="Times New Roman" w:hAnsi="Times New Roman" w:cs="Times New Roman"/>
          <w:sz w:val="24"/>
          <w:szCs w:val="24"/>
        </w:rPr>
        <w:t xml:space="preserve">, </w:t>
      </w:r>
      <w:r w:rsidRPr="00132B3A">
        <w:rPr>
          <w:rFonts w:ascii="Times New Roman" w:hAnsi="Times New Roman" w:cs="Times New Roman"/>
          <w:sz w:val="24"/>
          <w:szCs w:val="24"/>
        </w:rPr>
        <w:t xml:space="preserve">2001). In this context, Pesaran </w:t>
      </w:r>
      <w:r w:rsidRPr="00132B3A">
        <w:rPr>
          <w:rFonts w:ascii="Times New Roman" w:hAnsi="Times New Roman" w:cs="Times New Roman"/>
          <w:i/>
          <w:sz w:val="24"/>
          <w:szCs w:val="24"/>
        </w:rPr>
        <w:t>et al.</w:t>
      </w:r>
      <w:r w:rsidRPr="00132B3A">
        <w:rPr>
          <w:rFonts w:ascii="Times New Roman" w:hAnsi="Times New Roman" w:cs="Times New Roman"/>
          <w:sz w:val="24"/>
          <w:szCs w:val="24"/>
        </w:rPr>
        <w:t xml:space="preserve"> (2001) propose the Bound testing approach, which examines the null hypothesis of no cointegration between the variables. This test, applied here using the level </w:t>
      </w:r>
      <w:proofErr w:type="gramStart"/>
      <w:r w:rsidRPr="00132B3A">
        <w:rPr>
          <w:rFonts w:ascii="Times New Roman" w:hAnsi="Times New Roman" w:cs="Times New Roman"/>
          <w:sz w:val="24"/>
          <w:szCs w:val="24"/>
        </w:rPr>
        <w:t>ARDL(</w:t>
      </w:r>
      <w:proofErr w:type="gramEnd"/>
      <w:r w:rsidRPr="00132B3A">
        <w:rPr>
          <w:rFonts w:ascii="Times New Roman" w:hAnsi="Times New Roman" w:cs="Times New Roman"/>
          <w:sz w:val="24"/>
          <w:szCs w:val="24"/>
        </w:rPr>
        <w:t>1,1) specification, is conducted via a Wald or F-statistic.</w:t>
      </w:r>
      <w:r w:rsidR="00B62A76" w:rsidRPr="006F6E02">
        <w:rPr>
          <w:rFonts w:ascii="Times New Roman" w:hAnsi="Times New Roman" w:cs="Times New Roman"/>
          <w:sz w:val="24"/>
          <w:szCs w:val="24"/>
        </w:rPr>
        <w:t xml:space="preserve"> </w:t>
      </w:r>
    </w:p>
    <w:p w14:paraId="13750E0F" w14:textId="77777777" w:rsidR="00804E23" w:rsidRPr="006F6E02" w:rsidRDefault="00804E23" w:rsidP="000410E9">
      <w:pPr>
        <w:spacing w:after="0"/>
        <w:ind w:firstLine="709"/>
        <w:jc w:val="both"/>
        <w:rPr>
          <w:rFonts w:ascii="Times New Roman" w:hAnsi="Times New Roman" w:cs="Times New Roman"/>
          <w:sz w:val="24"/>
          <w:szCs w:val="24"/>
        </w:rPr>
      </w:pPr>
    </w:p>
    <w:p w14:paraId="0CA90E06" w14:textId="77777777" w:rsidR="00D646B8" w:rsidRPr="006F6E02" w:rsidRDefault="00804E23" w:rsidP="000410E9">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Recall that t</w:t>
      </w:r>
      <w:r w:rsidR="00B62A76" w:rsidRPr="006F6E02">
        <w:rPr>
          <w:rFonts w:ascii="Times New Roman" w:hAnsi="Times New Roman" w:cs="Times New Roman"/>
          <w:sz w:val="24"/>
          <w:szCs w:val="24"/>
        </w:rPr>
        <w:t>he general level ARDL(</w:t>
      </w:r>
      <w:proofErr w:type="gramStart"/>
      <w:r w:rsidR="00B62A76" w:rsidRPr="006F6E02">
        <w:rPr>
          <w:rFonts w:ascii="Times New Roman" w:hAnsi="Times New Roman" w:cs="Times New Roman"/>
          <w:sz w:val="24"/>
          <w:szCs w:val="24"/>
        </w:rPr>
        <w:t>p,q</w:t>
      </w:r>
      <w:proofErr w:type="gramEnd"/>
      <w:r w:rsidR="00B62A76" w:rsidRPr="006F6E02">
        <w:rPr>
          <w:rFonts w:ascii="Times New Roman" w:hAnsi="Times New Roman" w:cs="Times New Roman"/>
          <w:sz w:val="24"/>
          <w:szCs w:val="24"/>
        </w:rPr>
        <w:t>) model can be written as</w:t>
      </w:r>
      <w:r w:rsidRPr="006F6E02">
        <w:rPr>
          <w:rFonts w:ascii="Times New Roman" w:hAnsi="Times New Roman" w:cs="Times New Roman"/>
          <w:sz w:val="24"/>
          <w:szCs w:val="24"/>
        </w:rPr>
        <w:t> :</w:t>
      </w:r>
    </w:p>
    <w:p w14:paraId="4C8BB4FA" w14:textId="77777777" w:rsidR="00804E23" w:rsidRPr="006F6E02" w:rsidRDefault="00804E23" w:rsidP="000410E9">
      <w:pPr>
        <w:spacing w:after="0"/>
        <w:ind w:firstLine="709"/>
        <w:jc w:val="both"/>
        <w:rPr>
          <w:rFonts w:ascii="Times New Roman" w:hAnsi="Times New Roman" w:cs="Times New Roman"/>
          <w:sz w:val="24"/>
          <w:szCs w:val="24"/>
        </w:rPr>
      </w:pPr>
    </w:p>
    <w:p w14:paraId="26AAA886" w14:textId="77777777" w:rsidR="00804E23" w:rsidRPr="006F6E02" w:rsidRDefault="00652B41" w:rsidP="000410E9">
      <w:pPr>
        <w:spacing w:after="0"/>
        <w:ind w:firstLine="709"/>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t-j</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j=0</m:t>
              </m:r>
            </m:sub>
            <m:sup>
              <m:r>
                <w:rPr>
                  <w:rFonts w:ascii="Cambria Math" w:hAnsi="Cambria Math" w:cs="Times New Roman"/>
                  <w:sz w:val="24"/>
                  <w:szCs w:val="24"/>
                </w:rPr>
                <m:t>q</m:t>
              </m:r>
            </m:sup>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e>
          </m:nary>
        </m:oMath>
      </m:oMathPara>
    </w:p>
    <w:p w14:paraId="7C0FDE04" w14:textId="77777777" w:rsidR="00543F24" w:rsidRPr="006F6E02" w:rsidRDefault="00543F24" w:rsidP="00871F2C">
      <w:pPr>
        <w:autoSpaceDE w:val="0"/>
        <w:autoSpaceDN w:val="0"/>
        <w:adjustRightInd w:val="0"/>
        <w:spacing w:after="0" w:line="240" w:lineRule="auto"/>
        <w:ind w:firstLine="709"/>
        <w:rPr>
          <w:rFonts w:ascii="Times New Roman" w:hAnsi="Times New Roman" w:cs="Times New Roman"/>
          <w:sz w:val="24"/>
          <w:szCs w:val="24"/>
        </w:rPr>
      </w:pPr>
    </w:p>
    <w:p w14:paraId="07C52848" w14:textId="77777777" w:rsidR="002F4325" w:rsidRPr="006F6E02" w:rsidRDefault="002F4325" w:rsidP="00871F2C">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 xml:space="preserve"> Pesaran et al (2001) propose to test the null of no long-run relationship between the variables (here using the level ARDL(</w:t>
      </w:r>
      <w:proofErr w:type="gramStart"/>
      <w:r w:rsidRPr="006F6E02">
        <w:rPr>
          <w:rFonts w:ascii="Times New Roman" w:hAnsi="Times New Roman" w:cs="Times New Roman"/>
          <w:sz w:val="24"/>
          <w:szCs w:val="24"/>
        </w:rPr>
        <w:t>p,q</w:t>
      </w:r>
      <w:proofErr w:type="gramEnd"/>
      <w:r w:rsidRPr="006F6E02">
        <w:rPr>
          <w:rFonts w:ascii="Times New Roman" w:hAnsi="Times New Roman" w:cs="Times New Roman"/>
          <w:sz w:val="24"/>
          <w:szCs w:val="24"/>
        </w:rPr>
        <w:t>) formulation again) by</w:t>
      </w:r>
      <w:r w:rsidR="00543F24" w:rsidRPr="006F6E02">
        <w:rPr>
          <w:rFonts w:ascii="Times New Roman" w:hAnsi="Times New Roman" w:cs="Times New Roman"/>
          <w:sz w:val="24"/>
          <w:szCs w:val="24"/>
        </w:rPr>
        <w:t> :</w:t>
      </w:r>
    </w:p>
    <w:p w14:paraId="31A70A21" w14:textId="77777777" w:rsidR="00543F24" w:rsidRPr="006F6E02" w:rsidRDefault="00543F24" w:rsidP="00871F2C">
      <w:pPr>
        <w:autoSpaceDE w:val="0"/>
        <w:autoSpaceDN w:val="0"/>
        <w:adjustRightInd w:val="0"/>
        <w:spacing w:after="0" w:line="240" w:lineRule="auto"/>
        <w:ind w:firstLine="709"/>
        <w:rPr>
          <w:rFonts w:ascii="Times New Roman" w:hAnsi="Times New Roman" w:cs="Times New Roman"/>
          <w:sz w:val="24"/>
          <w:szCs w:val="24"/>
        </w:rPr>
      </w:pPr>
    </w:p>
    <w:p w14:paraId="703C61C3" w14:textId="77777777" w:rsidR="00543F24" w:rsidRPr="006F6E02" w:rsidRDefault="00652B41" w:rsidP="00871F2C">
      <w:pPr>
        <w:autoSpaceDE w:val="0"/>
        <w:autoSpaceDN w:val="0"/>
        <w:adjustRightInd w:val="0"/>
        <w:spacing w:after="0" w:line="240" w:lineRule="auto"/>
        <w:ind w:firstLine="709"/>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j</m:t>
                  </m:r>
                </m:sub>
              </m:sSub>
              <m:r>
                <w:rPr>
                  <w:rFonts w:ascii="Cambria Math" w:hAnsi="Cambria Math" w:cs="Times New Roman"/>
                  <w:sz w:val="24"/>
                  <w:szCs w:val="24"/>
                </w:rPr>
                <m:t>-1=</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j-0</m:t>
                  </m:r>
                </m:sub>
                <m:sup>
                  <m:r>
                    <w:rPr>
                      <w:rFonts w:ascii="Cambria Math" w:hAnsi="Cambria Math" w:cs="Times New Roman"/>
                      <w:sz w:val="24"/>
                      <w:szCs w:val="24"/>
                    </w:rPr>
                    <m:t>q</m:t>
                  </m:r>
                </m:sup>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r>
                    <w:rPr>
                      <w:rFonts w:ascii="Cambria Math" w:hAnsi="Cambria Math" w:cs="Times New Roman"/>
                      <w:sz w:val="24"/>
                      <w:szCs w:val="24"/>
                    </w:rPr>
                    <m:t>=0</m:t>
                  </m:r>
                </m:e>
              </m:nary>
            </m:e>
          </m:nary>
        </m:oMath>
      </m:oMathPara>
    </w:p>
    <w:p w14:paraId="577F6482" w14:textId="77777777" w:rsidR="00006274" w:rsidRPr="006F6E02" w:rsidRDefault="00006274" w:rsidP="00006274">
      <w:pPr>
        <w:autoSpaceDE w:val="0"/>
        <w:autoSpaceDN w:val="0"/>
        <w:adjustRightInd w:val="0"/>
        <w:spacing w:after="0" w:line="240" w:lineRule="auto"/>
        <w:rPr>
          <w:rFonts w:ascii="Times New Roman" w:eastAsiaTheme="minorEastAsia" w:hAnsi="Times New Roman" w:cs="Times New Roman"/>
          <w:sz w:val="24"/>
          <w:szCs w:val="24"/>
        </w:rPr>
      </w:pPr>
    </w:p>
    <w:p w14:paraId="4D3FB401" w14:textId="77777777" w:rsidR="00006274" w:rsidRPr="006F6E02" w:rsidRDefault="00006274" w:rsidP="00006274">
      <w:pPr>
        <w:autoSpaceDE w:val="0"/>
        <w:autoSpaceDN w:val="0"/>
        <w:adjustRightInd w:val="0"/>
        <w:spacing w:after="0" w:line="240" w:lineRule="auto"/>
        <w:rPr>
          <w:rFonts w:ascii="Times New Roman" w:hAnsi="Times New Roman" w:cs="Times New Roman"/>
          <w:sz w:val="24"/>
          <w:szCs w:val="24"/>
        </w:rPr>
      </w:pPr>
      <w:proofErr w:type="gramStart"/>
      <w:r w:rsidRPr="006F6E02">
        <w:rPr>
          <w:rFonts w:ascii="Times New Roman" w:hAnsi="Times New Roman" w:cs="Times New Roman"/>
          <w:sz w:val="24"/>
          <w:szCs w:val="24"/>
        </w:rPr>
        <w:t>which</w:t>
      </w:r>
      <w:proofErr w:type="gramEnd"/>
      <w:r w:rsidRPr="006F6E02">
        <w:rPr>
          <w:rFonts w:ascii="Times New Roman" w:hAnsi="Times New Roman" w:cs="Times New Roman"/>
          <w:sz w:val="24"/>
          <w:szCs w:val="24"/>
        </w:rPr>
        <w:t xml:space="preserve"> is equivalent to testing this null based on the ECM-ARDL representation</w:t>
      </w:r>
      <w:r w:rsidR="00C75CD1" w:rsidRPr="006F6E02">
        <w:rPr>
          <w:rFonts w:ascii="Times New Roman" w:hAnsi="Times New Roman" w:cs="Times New Roman"/>
          <w:sz w:val="24"/>
          <w:szCs w:val="24"/>
        </w:rPr>
        <w:t> :</w:t>
      </w:r>
    </w:p>
    <w:p w14:paraId="1FE96FF8" w14:textId="77777777" w:rsidR="00C75CD1" w:rsidRPr="006F6E02" w:rsidRDefault="00C75CD1" w:rsidP="00006274">
      <w:pPr>
        <w:autoSpaceDE w:val="0"/>
        <w:autoSpaceDN w:val="0"/>
        <w:adjustRightInd w:val="0"/>
        <w:spacing w:after="0" w:line="240" w:lineRule="auto"/>
        <w:rPr>
          <w:rFonts w:ascii="Times New Roman" w:hAnsi="Times New Roman" w:cs="Times New Roman"/>
          <w:sz w:val="24"/>
          <w:szCs w:val="24"/>
        </w:rPr>
      </w:pPr>
    </w:p>
    <w:p w14:paraId="59793C42" w14:textId="77777777" w:rsidR="00C75CD1" w:rsidRPr="006F6E02" w:rsidRDefault="00652B41" w:rsidP="00006274">
      <w:pPr>
        <w:autoSpaceDE w:val="0"/>
        <w:autoSpaceDN w:val="0"/>
        <w:adjustRightInd w:val="0"/>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=θ=</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j=0</m:t>
              </m:r>
            </m:sub>
            <m:sup>
              <m:r>
                <w:rPr>
                  <w:rFonts w:ascii="Cambria Math" w:hAnsi="Cambria Math" w:cs="Times New Roman"/>
                  <w:sz w:val="24"/>
                  <w:szCs w:val="24"/>
                </w:rPr>
                <m:t>q</m:t>
              </m:r>
            </m:sup>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r>
                <w:rPr>
                  <w:rFonts w:ascii="Cambria Math" w:hAnsi="Cambria Math" w:cs="Times New Roman"/>
                  <w:sz w:val="24"/>
                  <w:szCs w:val="24"/>
                </w:rPr>
                <m:t>=0</m:t>
              </m:r>
            </m:e>
          </m:nary>
        </m:oMath>
      </m:oMathPara>
    </w:p>
    <w:p w14:paraId="1B098E8A" w14:textId="77777777" w:rsidR="005A3FA5" w:rsidRPr="006F6E02" w:rsidRDefault="005A3FA5" w:rsidP="005A3FA5">
      <w:pPr>
        <w:spacing w:after="0" w:line="240" w:lineRule="auto"/>
        <w:ind w:right="8"/>
        <w:rPr>
          <w:rFonts w:ascii="Times New Roman" w:eastAsia="Times New Roman" w:hAnsi="Times New Roman" w:cs="Times New Roman"/>
          <w:color w:val="000000"/>
          <w:sz w:val="24"/>
          <w:szCs w:val="24"/>
        </w:rPr>
      </w:pPr>
      <w:r w:rsidRPr="006F6E02">
        <w:rPr>
          <w:rFonts w:ascii="Times New Roman" w:eastAsia="Times New Roman" w:hAnsi="Times New Roman" w:cs="Times New Roman"/>
          <w:b/>
          <w:color w:val="000000"/>
          <w:sz w:val="24"/>
          <w:szCs w:val="24"/>
        </w:rPr>
        <w:t>Data Set</w:t>
      </w:r>
      <w:r w:rsidRPr="006F6E02">
        <w:rPr>
          <w:rFonts w:ascii="Times New Roman" w:eastAsia="Times New Roman" w:hAnsi="Times New Roman" w:cs="Times New Roman"/>
          <w:color w:val="000000"/>
          <w:sz w:val="24"/>
          <w:szCs w:val="24"/>
        </w:rPr>
        <w:t xml:space="preserve"> </w:t>
      </w:r>
    </w:p>
    <w:p w14:paraId="58AE0073" w14:textId="493692F9" w:rsidR="002E5C79" w:rsidRPr="006F6E02" w:rsidRDefault="00132B3A" w:rsidP="002E5C79">
      <w:pPr>
        <w:spacing w:after="0" w:line="240" w:lineRule="auto"/>
        <w:ind w:firstLine="709"/>
        <w:jc w:val="both"/>
        <w:rPr>
          <w:rFonts w:ascii="Times New Roman" w:eastAsia="AGaramondPro-Regular" w:hAnsi="Times New Roman" w:cs="Times New Roman"/>
          <w:sz w:val="24"/>
          <w:szCs w:val="24"/>
        </w:rPr>
      </w:pPr>
      <w:r w:rsidRPr="00132B3A">
        <w:rPr>
          <w:rFonts w:ascii="Times New Roman" w:hAnsi="Times New Roman" w:cs="Times New Roman"/>
          <w:sz w:val="24"/>
          <w:szCs w:val="24"/>
        </w:rPr>
        <w:t>The macroeconomic dataset spans the period 1980 to 2021 at an annual frequency, providing a total of 42 observations measured in real terms. The time frame is constrained by the availability of real exchange rate series, which cover 1973–2021. While data from the World Bank could have been utilised, doing so would have resulted in the exclusion of two countries, namely Chad and Congo</w:t>
      </w:r>
      <w:r w:rsidR="002E5C79" w:rsidRPr="006F6E02">
        <w:rPr>
          <w:rFonts w:ascii="Times New Roman" w:eastAsia="AGaramondPro-Regular" w:hAnsi="Times New Roman" w:cs="Times New Roman"/>
          <w:sz w:val="24"/>
          <w:szCs w:val="24"/>
        </w:rPr>
        <w:t xml:space="preserve">. </w:t>
      </w:r>
    </w:p>
    <w:p w14:paraId="26541E16" w14:textId="77777777" w:rsidR="002E5C79" w:rsidRPr="006F6E02" w:rsidRDefault="002E5C79" w:rsidP="002E5C79">
      <w:pPr>
        <w:pStyle w:val="HTMLPreformatted"/>
        <w:shd w:val="clear" w:color="auto" w:fill="F8F9FA"/>
        <w:ind w:firstLine="567"/>
        <w:jc w:val="both"/>
        <w:rPr>
          <w:rFonts w:ascii="Times New Roman" w:hAnsi="Times New Roman" w:cs="Times New Roman"/>
          <w:sz w:val="24"/>
          <w:szCs w:val="24"/>
        </w:rPr>
      </w:pPr>
    </w:p>
    <w:p w14:paraId="0412F176" w14:textId="77777777" w:rsidR="002E5C79" w:rsidRPr="006F6E02" w:rsidRDefault="002E5C79" w:rsidP="002E5C79">
      <w:pPr>
        <w:pStyle w:val="HTMLPreformatted"/>
        <w:shd w:val="clear" w:color="auto" w:fill="F8F9FA"/>
        <w:ind w:firstLine="567"/>
        <w:jc w:val="both"/>
        <w:rPr>
          <w:rFonts w:ascii="Times New Roman" w:hAnsi="Times New Roman" w:cs="Times New Roman"/>
          <w:sz w:val="24"/>
          <w:szCs w:val="24"/>
        </w:rPr>
      </w:pPr>
      <w:r w:rsidRPr="006F6E02">
        <w:rPr>
          <w:rFonts w:ascii="Times New Roman" w:hAnsi="Times New Roman" w:cs="Times New Roman"/>
          <w:sz w:val="24"/>
          <w:szCs w:val="24"/>
        </w:rPr>
        <w:t>Table 1 presents the variables used in the analysis.</w:t>
      </w:r>
    </w:p>
    <w:p w14:paraId="65C5E992" w14:textId="77777777" w:rsidR="002E5C79" w:rsidRPr="006F6E02" w:rsidRDefault="002E5C79" w:rsidP="002E5C79">
      <w:pPr>
        <w:spacing w:after="0" w:line="240" w:lineRule="auto"/>
        <w:jc w:val="center"/>
        <w:rPr>
          <w:rFonts w:ascii="Times New Roman" w:hAnsi="Times New Roman" w:cs="Times New Roman"/>
          <w:sz w:val="24"/>
          <w:szCs w:val="24"/>
        </w:rPr>
      </w:pPr>
    </w:p>
    <w:p w14:paraId="749E7E99" w14:textId="77777777" w:rsidR="00D83279" w:rsidRPr="006F6E02" w:rsidRDefault="00D83279" w:rsidP="00D83279">
      <w:pPr>
        <w:pStyle w:val="HTMLPreformatted"/>
        <w:shd w:val="clear" w:color="auto" w:fill="F8F9FA"/>
        <w:rPr>
          <w:rFonts w:ascii="Times New Roman" w:hAnsi="Times New Roman" w:cs="Times New Roman"/>
          <w:b/>
          <w:sz w:val="24"/>
          <w:szCs w:val="24"/>
        </w:rPr>
      </w:pPr>
      <w:r w:rsidRPr="006F6E02">
        <w:rPr>
          <w:rFonts w:ascii="Times New Roman" w:hAnsi="Times New Roman" w:cs="Times New Roman"/>
          <w:b/>
          <w:sz w:val="24"/>
          <w:szCs w:val="24"/>
        </w:rPr>
        <w:t>Table 1. List of Variables</w:t>
      </w:r>
    </w:p>
    <w:tbl>
      <w:tblPr>
        <w:tblStyle w:val="TableGrid"/>
        <w:tblW w:w="0" w:type="auto"/>
        <w:tblLook w:val="04A0" w:firstRow="1" w:lastRow="0" w:firstColumn="1" w:lastColumn="0" w:noHBand="0" w:noVBand="1"/>
      </w:tblPr>
      <w:tblGrid>
        <w:gridCol w:w="795"/>
        <w:gridCol w:w="971"/>
        <w:gridCol w:w="692"/>
        <w:gridCol w:w="815"/>
        <w:gridCol w:w="899"/>
      </w:tblGrid>
      <w:tr w:rsidR="00D83279" w:rsidRPr="006F6E02" w14:paraId="7B9E44BF" w14:textId="77777777" w:rsidTr="004F529C">
        <w:tc>
          <w:tcPr>
            <w:tcW w:w="1867" w:type="dxa"/>
          </w:tcPr>
          <w:p w14:paraId="7F6B9762" w14:textId="77777777" w:rsidR="00D83279" w:rsidRPr="006F6E02" w:rsidRDefault="00D83279" w:rsidP="004F529C">
            <w:pPr>
              <w:pStyle w:val="HTMLPreformatted"/>
              <w:rPr>
                <w:rFonts w:ascii="Times New Roman" w:hAnsi="Times New Roman" w:cs="Times New Roman"/>
                <w:b/>
                <w:sz w:val="24"/>
                <w:szCs w:val="24"/>
              </w:rPr>
            </w:pPr>
            <w:r w:rsidRPr="006F6E02">
              <w:rPr>
                <w:rFonts w:ascii="Times New Roman" w:hAnsi="Times New Roman" w:cs="Times New Roman"/>
                <w:b/>
                <w:sz w:val="24"/>
                <w:szCs w:val="24"/>
              </w:rPr>
              <w:t>Variables</w:t>
            </w:r>
          </w:p>
        </w:tc>
        <w:tc>
          <w:tcPr>
            <w:tcW w:w="2049" w:type="dxa"/>
          </w:tcPr>
          <w:p w14:paraId="5D9B88B4" w14:textId="77777777" w:rsidR="00D83279" w:rsidRPr="006F6E02" w:rsidRDefault="00D83279" w:rsidP="004F529C">
            <w:pPr>
              <w:pStyle w:val="HTMLPreformatted"/>
              <w:rPr>
                <w:rFonts w:ascii="Times New Roman" w:hAnsi="Times New Roman" w:cs="Times New Roman"/>
                <w:b/>
                <w:sz w:val="24"/>
                <w:szCs w:val="24"/>
              </w:rPr>
            </w:pPr>
            <w:r w:rsidRPr="006F6E02">
              <w:rPr>
                <w:rFonts w:ascii="Times New Roman" w:hAnsi="Times New Roman" w:cs="Times New Roman"/>
                <w:b/>
                <w:sz w:val="24"/>
                <w:szCs w:val="24"/>
              </w:rPr>
              <w:t>Definition</w:t>
            </w:r>
          </w:p>
        </w:tc>
        <w:tc>
          <w:tcPr>
            <w:tcW w:w="1327" w:type="dxa"/>
          </w:tcPr>
          <w:p w14:paraId="32D85634" w14:textId="77777777" w:rsidR="00D83279" w:rsidRPr="006F6E02" w:rsidRDefault="00D83279" w:rsidP="004F529C">
            <w:pPr>
              <w:pStyle w:val="HTMLPreformatted"/>
              <w:jc w:val="center"/>
              <w:rPr>
                <w:rFonts w:ascii="Times New Roman" w:hAnsi="Times New Roman" w:cs="Times New Roman"/>
                <w:b/>
                <w:sz w:val="24"/>
                <w:szCs w:val="24"/>
              </w:rPr>
            </w:pPr>
            <w:r w:rsidRPr="006F6E02">
              <w:rPr>
                <w:rFonts w:ascii="Times New Roman" w:hAnsi="Times New Roman" w:cs="Times New Roman"/>
                <w:b/>
                <w:sz w:val="24"/>
                <w:szCs w:val="24"/>
              </w:rPr>
              <w:t>Units</w:t>
            </w:r>
          </w:p>
        </w:tc>
        <w:tc>
          <w:tcPr>
            <w:tcW w:w="1884" w:type="dxa"/>
          </w:tcPr>
          <w:p w14:paraId="306FE98D" w14:textId="77777777" w:rsidR="00D83279" w:rsidRPr="006F6E02" w:rsidRDefault="00D83279" w:rsidP="004F529C">
            <w:pPr>
              <w:pStyle w:val="HTMLPreformatted"/>
              <w:rPr>
                <w:rFonts w:ascii="Times New Roman" w:hAnsi="Times New Roman" w:cs="Times New Roman"/>
                <w:b/>
                <w:sz w:val="24"/>
                <w:szCs w:val="24"/>
              </w:rPr>
            </w:pPr>
            <w:r w:rsidRPr="006F6E02">
              <w:rPr>
                <w:rFonts w:ascii="Times New Roman" w:hAnsi="Times New Roman" w:cs="Times New Roman"/>
                <w:b/>
                <w:sz w:val="24"/>
                <w:szCs w:val="24"/>
              </w:rPr>
              <w:t>Abreviation</w:t>
            </w:r>
          </w:p>
        </w:tc>
        <w:tc>
          <w:tcPr>
            <w:tcW w:w="1935" w:type="dxa"/>
          </w:tcPr>
          <w:p w14:paraId="505F85D6" w14:textId="77777777" w:rsidR="00D83279" w:rsidRPr="006F6E02" w:rsidRDefault="00D83279" w:rsidP="004F529C">
            <w:pPr>
              <w:pStyle w:val="HTMLPreformatted"/>
              <w:rPr>
                <w:rFonts w:ascii="Times New Roman" w:hAnsi="Times New Roman" w:cs="Times New Roman"/>
                <w:b/>
                <w:sz w:val="24"/>
                <w:szCs w:val="24"/>
              </w:rPr>
            </w:pPr>
            <w:r w:rsidRPr="006F6E02">
              <w:rPr>
                <w:rFonts w:ascii="Times New Roman" w:hAnsi="Times New Roman" w:cs="Times New Roman"/>
                <w:b/>
                <w:sz w:val="24"/>
                <w:szCs w:val="24"/>
              </w:rPr>
              <w:t>Source</w:t>
            </w:r>
          </w:p>
        </w:tc>
      </w:tr>
      <w:tr w:rsidR="00D83279" w:rsidRPr="006F6E02" w14:paraId="67A85F56" w14:textId="77777777" w:rsidTr="004F529C">
        <w:tc>
          <w:tcPr>
            <w:tcW w:w="1867" w:type="dxa"/>
          </w:tcPr>
          <w:p w14:paraId="01C043B5"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The exportations of goods and services</w:t>
            </w:r>
          </w:p>
        </w:tc>
        <w:tc>
          <w:tcPr>
            <w:tcW w:w="2049" w:type="dxa"/>
          </w:tcPr>
          <w:p w14:paraId="47F23505" w14:textId="3D96FC69" w:rsidR="00D83279" w:rsidRPr="006F6E02" w:rsidRDefault="00D52AFF" w:rsidP="004F529C">
            <w:pPr>
              <w:pStyle w:val="HTMLPreformatted"/>
              <w:rPr>
                <w:rFonts w:ascii="Times New Roman" w:hAnsi="Times New Roman" w:cs="Times New Roman"/>
                <w:sz w:val="24"/>
                <w:szCs w:val="24"/>
              </w:rPr>
            </w:pPr>
            <w:r w:rsidRPr="00D52AFF">
              <w:rPr>
                <w:rFonts w:ascii="Times New Roman" w:hAnsi="Times New Roman" w:cs="Times New Roman"/>
                <w:sz w:val="24"/>
                <w:szCs w:val="24"/>
              </w:rPr>
              <w:t xml:space="preserve">The total value of all goods and other market services supplied to the rest of the </w:t>
            </w:r>
            <w:proofErr w:type="gramStart"/>
            <w:r w:rsidRPr="00D52AFF">
              <w:rPr>
                <w:rFonts w:ascii="Times New Roman" w:hAnsi="Times New Roman" w:cs="Times New Roman"/>
                <w:sz w:val="24"/>
                <w:szCs w:val="24"/>
              </w:rPr>
              <w:t>world.</w:t>
            </w:r>
            <w:r w:rsidR="00D83279" w:rsidRPr="006F6E02">
              <w:rPr>
                <w:rFonts w:ascii="Times New Roman" w:hAnsi="Times New Roman" w:cs="Times New Roman"/>
                <w:sz w:val="24"/>
                <w:szCs w:val="24"/>
              </w:rPr>
              <w:t>.</w:t>
            </w:r>
            <w:proofErr w:type="gramEnd"/>
          </w:p>
        </w:tc>
        <w:tc>
          <w:tcPr>
            <w:tcW w:w="1327" w:type="dxa"/>
          </w:tcPr>
          <w:p w14:paraId="31E8D87C" w14:textId="77777777" w:rsidR="00D83279" w:rsidRPr="006F6E02" w:rsidRDefault="00D83279" w:rsidP="004F529C">
            <w:pPr>
              <w:pStyle w:val="HTMLPreformatted"/>
              <w:rPr>
                <w:rFonts w:ascii="Times New Roman" w:eastAsia="Calibri" w:hAnsi="Times New Roman" w:cs="Times New Roman"/>
                <w:sz w:val="24"/>
                <w:szCs w:val="24"/>
              </w:rPr>
            </w:pPr>
            <w:r w:rsidRPr="006F6E02">
              <w:rPr>
                <w:rFonts w:ascii="Times New Roman" w:eastAsia="Calibri" w:hAnsi="Times New Roman" w:cs="Times New Roman"/>
                <w:sz w:val="24"/>
                <w:szCs w:val="24"/>
              </w:rPr>
              <w:t>$ US constant of 2015</w:t>
            </w:r>
          </w:p>
        </w:tc>
        <w:tc>
          <w:tcPr>
            <w:tcW w:w="1884" w:type="dxa"/>
          </w:tcPr>
          <w:p w14:paraId="4CC5EB75" w14:textId="77777777" w:rsidR="00D83279" w:rsidRPr="006F6E02" w:rsidRDefault="00D83279" w:rsidP="004F529C">
            <w:pPr>
              <w:pStyle w:val="HTMLPreformatted"/>
              <w:rPr>
                <w:rFonts w:ascii="Times New Roman" w:hAnsi="Times New Roman" w:cs="Times New Roman"/>
                <w:sz w:val="24"/>
                <w:szCs w:val="24"/>
              </w:rPr>
            </w:pPr>
            <m:oMathPara>
              <m:oMath>
                <m:r>
                  <w:rPr>
                    <w:rFonts w:ascii="Cambria Math" w:hAnsi="Cambria Math" w:cs="Times New Roman"/>
                    <w:sz w:val="24"/>
                    <w:szCs w:val="24"/>
                  </w:rPr>
                  <m:t>X</m:t>
                </m:r>
              </m:oMath>
            </m:oMathPara>
          </w:p>
          <w:p w14:paraId="5FE6BC3F" w14:textId="77777777" w:rsidR="00D83279" w:rsidRPr="006F6E02" w:rsidRDefault="00D83279" w:rsidP="004F529C">
            <w:pPr>
              <w:pStyle w:val="HTMLPreformatted"/>
              <w:rPr>
                <w:rFonts w:ascii="Times New Roman" w:hAnsi="Times New Roman" w:cs="Times New Roman"/>
                <w:sz w:val="24"/>
                <w:szCs w:val="24"/>
              </w:rPr>
            </w:pPr>
          </w:p>
          <w:p w14:paraId="31D0A770" w14:textId="77777777" w:rsidR="00D83279" w:rsidRPr="006F6E02" w:rsidRDefault="00D83279" w:rsidP="004F529C">
            <w:pPr>
              <w:pStyle w:val="HTMLPreformatted"/>
              <w:rPr>
                <w:rFonts w:ascii="Times New Roman" w:hAnsi="Times New Roman" w:cs="Times New Roman"/>
                <w:sz w:val="24"/>
                <w:szCs w:val="24"/>
              </w:rPr>
            </w:pPr>
          </w:p>
          <w:p w14:paraId="2CB43267" w14:textId="77777777" w:rsidR="00D83279" w:rsidRPr="006F6E02" w:rsidRDefault="00D83279" w:rsidP="004F529C">
            <w:pPr>
              <w:pStyle w:val="HTMLPreformatted"/>
              <w:rPr>
                <w:rFonts w:ascii="Times New Roman" w:hAnsi="Times New Roman" w:cs="Times New Roman"/>
                <w:sz w:val="24"/>
                <w:szCs w:val="24"/>
              </w:rPr>
            </w:pPr>
          </w:p>
          <w:p w14:paraId="17FE7489" w14:textId="77777777" w:rsidR="00D83279" w:rsidRPr="006F6E02" w:rsidRDefault="00D83279" w:rsidP="004F529C">
            <w:pPr>
              <w:pStyle w:val="HTMLPreformatted"/>
              <w:rPr>
                <w:rFonts w:ascii="Times New Roman" w:hAnsi="Times New Roman" w:cs="Times New Roman"/>
                <w:sz w:val="24"/>
                <w:szCs w:val="24"/>
              </w:rPr>
            </w:pPr>
          </w:p>
          <w:p w14:paraId="17C95A74" w14:textId="77777777" w:rsidR="00D83279" w:rsidRPr="006F6E02" w:rsidRDefault="00D83279" w:rsidP="004F529C">
            <w:pPr>
              <w:pStyle w:val="HTMLPreformatted"/>
              <w:rPr>
                <w:rFonts w:ascii="Times New Roman" w:hAnsi="Times New Roman" w:cs="Times New Roman"/>
                <w:sz w:val="24"/>
                <w:szCs w:val="24"/>
              </w:rPr>
            </w:pPr>
          </w:p>
        </w:tc>
        <w:tc>
          <w:tcPr>
            <w:tcW w:w="1935" w:type="dxa"/>
          </w:tcPr>
          <w:p w14:paraId="229FCDD6"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World Bank, WDI</w:t>
            </w:r>
          </w:p>
        </w:tc>
      </w:tr>
      <w:tr w:rsidR="00D83279" w:rsidRPr="006F6E02" w14:paraId="73012002" w14:textId="77777777" w:rsidTr="004F529C">
        <w:tc>
          <w:tcPr>
            <w:tcW w:w="1867" w:type="dxa"/>
          </w:tcPr>
          <w:p w14:paraId="415E42DB"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The foreign demand</w:t>
            </w:r>
          </w:p>
        </w:tc>
        <w:tc>
          <w:tcPr>
            <w:tcW w:w="2049" w:type="dxa"/>
          </w:tcPr>
          <w:p w14:paraId="58379284" w14:textId="24939317" w:rsidR="00D83279" w:rsidRPr="006F6E02" w:rsidRDefault="00D52AFF" w:rsidP="004F529C">
            <w:pPr>
              <w:pStyle w:val="HTMLPreformatted"/>
              <w:rPr>
                <w:rFonts w:ascii="Times New Roman" w:hAnsi="Times New Roman" w:cs="Times New Roman"/>
                <w:sz w:val="24"/>
                <w:szCs w:val="24"/>
              </w:rPr>
            </w:pPr>
            <w:r w:rsidRPr="00D52AFF">
              <w:rPr>
                <w:rFonts w:ascii="Times New Roman" w:hAnsi="Times New Roman" w:cs="Times New Roman"/>
                <w:sz w:val="24"/>
                <w:szCs w:val="24"/>
              </w:rPr>
              <w:t xml:space="preserve">The total imports of goods and services from the country’s </w:t>
            </w:r>
            <w:r w:rsidRPr="00D52AFF">
              <w:rPr>
                <w:rFonts w:ascii="Times New Roman" w:hAnsi="Times New Roman" w:cs="Times New Roman"/>
                <w:sz w:val="24"/>
                <w:szCs w:val="24"/>
              </w:rPr>
              <w:t>principal trading partners.</w:t>
            </w:r>
          </w:p>
        </w:tc>
        <w:tc>
          <w:tcPr>
            <w:tcW w:w="1327" w:type="dxa"/>
          </w:tcPr>
          <w:p w14:paraId="66FCAC51" w14:textId="77777777" w:rsidR="00D83279" w:rsidRPr="006F6E02" w:rsidRDefault="00D83279" w:rsidP="004F529C">
            <w:pPr>
              <w:pStyle w:val="HTMLPreformatted"/>
              <w:rPr>
                <w:rFonts w:ascii="Times New Roman" w:eastAsia="Calibri" w:hAnsi="Times New Roman" w:cs="Times New Roman"/>
                <w:sz w:val="24"/>
                <w:szCs w:val="24"/>
              </w:rPr>
            </w:pPr>
            <w:r w:rsidRPr="006F6E02">
              <w:rPr>
                <w:rFonts w:ascii="Times New Roman" w:eastAsia="Calibri" w:hAnsi="Times New Roman" w:cs="Times New Roman"/>
                <w:sz w:val="24"/>
                <w:szCs w:val="24"/>
              </w:rPr>
              <w:t>$ US constant of 2015</w:t>
            </w:r>
          </w:p>
        </w:tc>
        <w:tc>
          <w:tcPr>
            <w:tcW w:w="1884" w:type="dxa"/>
          </w:tcPr>
          <w:p w14:paraId="066B7B84" w14:textId="77777777" w:rsidR="00D83279" w:rsidRPr="006F6E02" w:rsidRDefault="00D83279" w:rsidP="004F529C">
            <w:pPr>
              <w:pStyle w:val="HTMLPreformatted"/>
              <w:rPr>
                <w:rFonts w:ascii="Times New Roman" w:hAnsi="Times New Roman" w:cs="Times New Roman"/>
                <w:sz w:val="24"/>
                <w:szCs w:val="24"/>
              </w:rPr>
            </w:pPr>
            <m:oMathPara>
              <m:oMath>
                <m:r>
                  <w:rPr>
                    <w:rFonts w:ascii="Cambria Math" w:hAnsi="Cambria Math" w:cs="Times New Roman"/>
                    <w:sz w:val="24"/>
                    <w:szCs w:val="24"/>
                  </w:rPr>
                  <m:t>D</m:t>
                </m:r>
              </m:oMath>
            </m:oMathPara>
          </w:p>
          <w:p w14:paraId="646E337E" w14:textId="77777777" w:rsidR="00D83279" w:rsidRPr="006F6E02" w:rsidRDefault="00D83279" w:rsidP="004F529C">
            <w:pPr>
              <w:pStyle w:val="HTMLPreformatted"/>
              <w:rPr>
                <w:rFonts w:ascii="Times New Roman" w:hAnsi="Times New Roman" w:cs="Times New Roman"/>
                <w:sz w:val="24"/>
                <w:szCs w:val="24"/>
              </w:rPr>
            </w:pPr>
          </w:p>
        </w:tc>
        <w:tc>
          <w:tcPr>
            <w:tcW w:w="1935" w:type="dxa"/>
          </w:tcPr>
          <w:p w14:paraId="72BA5FFB"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World Bank, WDI</w:t>
            </w:r>
          </w:p>
        </w:tc>
      </w:tr>
      <w:tr w:rsidR="00D83279" w:rsidRPr="006F6E02" w14:paraId="0BE52792" w14:textId="77777777" w:rsidTr="004F529C">
        <w:tc>
          <w:tcPr>
            <w:tcW w:w="1867" w:type="dxa"/>
          </w:tcPr>
          <w:p w14:paraId="0D35E870"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The real effective exchange rate</w:t>
            </w:r>
          </w:p>
        </w:tc>
        <w:tc>
          <w:tcPr>
            <w:tcW w:w="2049" w:type="dxa"/>
          </w:tcPr>
          <w:p w14:paraId="6822BFF7" w14:textId="18BE5BA7" w:rsidR="00D83279" w:rsidRPr="006F6E02" w:rsidRDefault="00D52AFF" w:rsidP="004F529C">
            <w:pPr>
              <w:pStyle w:val="HTMLPreformatted"/>
              <w:rPr>
                <w:rFonts w:ascii="Times New Roman" w:hAnsi="Times New Roman" w:cs="Times New Roman"/>
                <w:sz w:val="24"/>
                <w:szCs w:val="24"/>
              </w:rPr>
            </w:pPr>
            <w:r w:rsidRPr="00D52AFF">
              <w:rPr>
                <w:rFonts w:ascii="Times New Roman" w:hAnsi="Times New Roman" w:cs="Times New Roman"/>
                <w:sz w:val="24"/>
                <w:szCs w:val="24"/>
              </w:rPr>
              <w:t>An indicator of the home economy’s price and cost competitiveness relative to its foreign trading partners.</w:t>
            </w:r>
          </w:p>
        </w:tc>
        <w:tc>
          <w:tcPr>
            <w:tcW w:w="1327" w:type="dxa"/>
          </w:tcPr>
          <w:p w14:paraId="182B582D" w14:textId="77777777" w:rsidR="00D83279" w:rsidRPr="006F6E02" w:rsidRDefault="00D83279" w:rsidP="004F529C">
            <w:pPr>
              <w:pStyle w:val="HTMLPreformatted"/>
              <w:jc w:val="center"/>
              <w:rPr>
                <w:rFonts w:ascii="Times New Roman" w:hAnsi="Times New Roman" w:cs="Times New Roman"/>
                <w:sz w:val="24"/>
                <w:szCs w:val="24"/>
              </w:rPr>
            </w:pPr>
            <w:r w:rsidRPr="006F6E02">
              <w:rPr>
                <w:rFonts w:ascii="Times New Roman" w:hAnsi="Times New Roman" w:cs="Times New Roman"/>
                <w:sz w:val="24"/>
                <w:szCs w:val="24"/>
              </w:rPr>
              <w:t>Base 100=2010</w:t>
            </w:r>
          </w:p>
          <w:p w14:paraId="51E269F9" w14:textId="77777777" w:rsidR="00D83279" w:rsidRPr="006F6E02" w:rsidRDefault="00D83279" w:rsidP="004F529C">
            <w:pPr>
              <w:pStyle w:val="HTMLPreformatted"/>
              <w:rPr>
                <w:rFonts w:ascii="Times New Roman" w:eastAsia="Calibri" w:hAnsi="Times New Roman" w:cs="Times New Roman"/>
                <w:sz w:val="24"/>
                <w:szCs w:val="24"/>
              </w:rPr>
            </w:pPr>
          </w:p>
        </w:tc>
        <w:tc>
          <w:tcPr>
            <w:tcW w:w="1884" w:type="dxa"/>
          </w:tcPr>
          <w:p w14:paraId="76085510" w14:textId="77777777" w:rsidR="00D83279" w:rsidRPr="006F6E02" w:rsidRDefault="00D83279" w:rsidP="004F529C">
            <w:pPr>
              <w:pStyle w:val="HTMLPreformatted"/>
              <w:rPr>
                <w:rFonts w:ascii="Times New Roman" w:hAnsi="Times New Roman" w:cs="Times New Roman"/>
                <w:sz w:val="24"/>
                <w:szCs w:val="24"/>
              </w:rPr>
            </w:pPr>
            <m:oMathPara>
              <m:oMath>
                <m:r>
                  <w:rPr>
                    <w:rFonts w:ascii="Cambria Math" w:hAnsi="Cambria Math" w:cs="Times New Roman"/>
                    <w:sz w:val="24"/>
                    <w:szCs w:val="24"/>
                  </w:rPr>
                  <m:t>REER</m:t>
                </m:r>
              </m:oMath>
            </m:oMathPara>
          </w:p>
          <w:p w14:paraId="38B43E53" w14:textId="77777777" w:rsidR="00D83279" w:rsidRPr="006F6E02" w:rsidRDefault="00D83279" w:rsidP="004F529C">
            <w:pPr>
              <w:pStyle w:val="HTMLPreformatted"/>
              <w:jc w:val="center"/>
              <w:rPr>
                <w:rFonts w:ascii="Times New Roman" w:hAnsi="Times New Roman" w:cs="Times New Roman"/>
                <w:sz w:val="24"/>
                <w:szCs w:val="24"/>
              </w:rPr>
            </w:pPr>
          </w:p>
        </w:tc>
        <w:tc>
          <w:tcPr>
            <w:tcW w:w="1935" w:type="dxa"/>
          </w:tcPr>
          <w:p w14:paraId="75C7C533"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Cepii, EQCHANGE</w:t>
            </w:r>
            <w:r w:rsidR="00DC6D6B" w:rsidRPr="006F6E02">
              <w:rPr>
                <w:rStyle w:val="FootnoteReference"/>
                <w:rFonts w:ascii="Times New Roman" w:hAnsi="Times New Roman" w:cs="Times New Roman"/>
                <w:sz w:val="24"/>
                <w:szCs w:val="24"/>
              </w:rPr>
              <w:footnoteReference w:id="2"/>
            </w:r>
          </w:p>
        </w:tc>
      </w:tr>
      <w:tr w:rsidR="00D83279" w:rsidRPr="006F6E02" w14:paraId="78AACF53" w14:textId="77777777" w:rsidTr="004F529C">
        <w:tc>
          <w:tcPr>
            <w:tcW w:w="1867" w:type="dxa"/>
          </w:tcPr>
          <w:p w14:paraId="712BD132"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The domestic demand</w:t>
            </w:r>
          </w:p>
        </w:tc>
        <w:tc>
          <w:tcPr>
            <w:tcW w:w="2049" w:type="dxa"/>
          </w:tcPr>
          <w:p w14:paraId="39055E1B" w14:textId="6033BE42" w:rsidR="00D83279" w:rsidRPr="006F6E02" w:rsidRDefault="00D52AFF" w:rsidP="004F529C">
            <w:pPr>
              <w:pStyle w:val="HTMLPreformatted"/>
              <w:rPr>
                <w:rFonts w:ascii="Times New Roman" w:hAnsi="Times New Roman" w:cs="Times New Roman"/>
                <w:sz w:val="24"/>
                <w:szCs w:val="24"/>
              </w:rPr>
            </w:pPr>
            <w:r w:rsidRPr="00D52AFF">
              <w:rPr>
                <w:rFonts w:ascii="Times New Roman" w:hAnsi="Times New Roman" w:cs="Times New Roman"/>
                <w:sz w:val="24"/>
                <w:szCs w:val="24"/>
              </w:rPr>
              <w:t>The aggregate final demand, comprising private and public consumption as well as gross fixed capital formation</w:t>
            </w:r>
            <w:r w:rsidRPr="00D52AFF">
              <w:rPr>
                <w:rFonts w:ascii="Times New Roman" w:hAnsi="Times New Roman" w:cs="Times New Roman"/>
                <w:sz w:val="24"/>
                <w:szCs w:val="24"/>
                <w:vertAlign w:val="superscript"/>
              </w:rPr>
              <w:t>3</w:t>
            </w:r>
            <w:r w:rsidR="00D83279" w:rsidRPr="006F6E02">
              <w:rPr>
                <w:rFonts w:ascii="Times New Roman" w:hAnsi="Times New Roman" w:cs="Times New Roman"/>
                <w:sz w:val="24"/>
                <w:szCs w:val="24"/>
              </w:rPr>
              <w:t>.</w:t>
            </w:r>
          </w:p>
        </w:tc>
        <w:tc>
          <w:tcPr>
            <w:tcW w:w="1327" w:type="dxa"/>
          </w:tcPr>
          <w:p w14:paraId="1DF7FDDD" w14:textId="77777777" w:rsidR="00D83279" w:rsidRPr="006F6E02" w:rsidRDefault="00D83279" w:rsidP="004F529C">
            <w:pPr>
              <w:pStyle w:val="HTMLPreformatted"/>
              <w:rPr>
                <w:rFonts w:ascii="Times New Roman" w:eastAsia="Calibri" w:hAnsi="Times New Roman" w:cs="Times New Roman"/>
                <w:sz w:val="24"/>
                <w:szCs w:val="24"/>
              </w:rPr>
            </w:pPr>
            <w:r w:rsidRPr="006F6E02">
              <w:rPr>
                <w:rFonts w:ascii="Times New Roman" w:eastAsia="Calibri" w:hAnsi="Times New Roman" w:cs="Times New Roman"/>
                <w:sz w:val="24"/>
                <w:szCs w:val="24"/>
              </w:rPr>
              <w:t>$ US constant of 2015</w:t>
            </w:r>
          </w:p>
        </w:tc>
        <w:tc>
          <w:tcPr>
            <w:tcW w:w="1884" w:type="dxa"/>
          </w:tcPr>
          <w:p w14:paraId="4DD2C8C6" w14:textId="77777777" w:rsidR="00D83279" w:rsidRPr="006F6E02" w:rsidRDefault="00D83279" w:rsidP="004F529C">
            <w:pPr>
              <w:pStyle w:val="HTMLPreformatted"/>
              <w:rPr>
                <w:rFonts w:ascii="Times New Roman" w:hAnsi="Times New Roman" w:cs="Times New Roman"/>
                <w:sz w:val="24"/>
                <w:szCs w:val="24"/>
              </w:rPr>
            </w:pPr>
            <m:oMathPara>
              <m:oMath>
                <m:r>
                  <w:rPr>
                    <w:rFonts w:ascii="Cambria Math" w:hAnsi="Cambria Math" w:cs="Times New Roman"/>
                    <w:sz w:val="24"/>
                    <w:szCs w:val="24"/>
                  </w:rPr>
                  <m:t>DD</m:t>
                </m:r>
              </m:oMath>
            </m:oMathPara>
          </w:p>
          <w:p w14:paraId="2A6D2454" w14:textId="77777777" w:rsidR="00D83279" w:rsidRPr="006F6E02" w:rsidRDefault="00D83279" w:rsidP="004F529C">
            <w:pPr>
              <w:pStyle w:val="HTMLPreformatted"/>
              <w:rPr>
                <w:rFonts w:ascii="Times New Roman" w:hAnsi="Times New Roman" w:cs="Times New Roman"/>
                <w:sz w:val="24"/>
                <w:szCs w:val="24"/>
              </w:rPr>
            </w:pPr>
          </w:p>
        </w:tc>
        <w:tc>
          <w:tcPr>
            <w:tcW w:w="1935" w:type="dxa"/>
          </w:tcPr>
          <w:p w14:paraId="38178089"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World Bank, WDI</w:t>
            </w:r>
          </w:p>
        </w:tc>
      </w:tr>
    </w:tbl>
    <w:p w14:paraId="4BE08EE6" w14:textId="77777777" w:rsidR="002E5C79" w:rsidRPr="006F6E02" w:rsidRDefault="00D83279" w:rsidP="00197063">
      <w:pPr>
        <w:autoSpaceDE w:val="0"/>
        <w:autoSpaceDN w:val="0"/>
        <w:adjustRightInd w:val="0"/>
        <w:spacing w:after="0" w:line="240" w:lineRule="auto"/>
        <w:rPr>
          <w:rFonts w:ascii="Times New Roman" w:eastAsia="dcr10" w:hAnsi="Times New Roman" w:cs="Times New Roman"/>
          <w:sz w:val="24"/>
          <w:szCs w:val="24"/>
        </w:rPr>
      </w:pPr>
      <w:r w:rsidRPr="006F6E02">
        <w:rPr>
          <w:rFonts w:ascii="Times New Roman" w:hAnsi="Times New Roman" w:cs="Times New Roman"/>
          <w:sz w:val="24"/>
          <w:szCs w:val="24"/>
        </w:rPr>
        <w:t>Source</w:t>
      </w:r>
      <w:r w:rsidR="007D34A6" w:rsidRPr="006F6E02">
        <w:rPr>
          <w:rFonts w:ascii="Times New Roman" w:hAnsi="Times New Roman" w:cs="Times New Roman"/>
          <w:sz w:val="24"/>
          <w:szCs w:val="24"/>
        </w:rPr>
        <w:t> </w:t>
      </w:r>
      <w:r w:rsidRPr="006F6E02">
        <w:rPr>
          <w:rFonts w:ascii="Times New Roman" w:hAnsi="Times New Roman" w:cs="Times New Roman"/>
          <w:sz w:val="24"/>
          <w:szCs w:val="24"/>
        </w:rPr>
        <w:t>: Author</w:t>
      </w:r>
    </w:p>
    <w:p w14:paraId="00D6EF31" w14:textId="77777777" w:rsidR="005A3FA5" w:rsidRPr="006F6E02" w:rsidRDefault="005A3FA5" w:rsidP="005A3FA5">
      <w:pPr>
        <w:spacing w:after="0" w:line="240" w:lineRule="auto"/>
        <w:ind w:firstLine="709"/>
        <w:jc w:val="both"/>
        <w:rPr>
          <w:rStyle w:val="y2iqfc"/>
          <w:rFonts w:ascii="Times New Roman" w:eastAsiaTheme="minorEastAsia" w:hAnsi="Times New Roman" w:cs="Times New Roman"/>
          <w:sz w:val="24"/>
          <w:szCs w:val="24"/>
        </w:rPr>
      </w:pPr>
      <w:r w:rsidRPr="006F6E02">
        <w:rPr>
          <w:rFonts w:ascii="Times New Roman" w:eastAsia="TTE198EB28t00" w:hAnsi="Times New Roman" w:cs="Times New Roman"/>
          <w:sz w:val="24"/>
          <w:szCs w:val="24"/>
          <w:lang w:val="en-GB"/>
        </w:rPr>
        <w:t xml:space="preserve"> </w:t>
      </w:r>
    </w:p>
    <w:p w14:paraId="50A2D1EA" w14:textId="77777777" w:rsidR="005A3FA5" w:rsidRPr="006F6E02" w:rsidRDefault="005A3FA5" w:rsidP="005A3FA5">
      <w:pPr>
        <w:spacing w:after="0" w:line="240" w:lineRule="auto"/>
        <w:ind w:right="8"/>
        <w:jc w:val="both"/>
        <w:rPr>
          <w:rFonts w:ascii="Times New Roman" w:hAnsi="Times New Roman" w:cs="Times New Roman"/>
          <w:sz w:val="24"/>
          <w:szCs w:val="24"/>
        </w:rPr>
      </w:pPr>
    </w:p>
    <w:p w14:paraId="115BD0CF" w14:textId="70091D69" w:rsidR="00005BDC" w:rsidRPr="006F6E02" w:rsidRDefault="00197063" w:rsidP="0066076E">
      <w:pPr>
        <w:pStyle w:val="ListParagraph"/>
        <w:numPr>
          <w:ilvl w:val="0"/>
          <w:numId w:val="1"/>
        </w:numPr>
        <w:spacing w:after="0"/>
        <w:jc w:val="both"/>
        <w:rPr>
          <w:rFonts w:ascii="Times New Roman" w:hAnsi="Times New Roman" w:cs="Times New Roman"/>
          <w:b/>
          <w:sz w:val="24"/>
          <w:szCs w:val="24"/>
        </w:rPr>
      </w:pPr>
      <w:r w:rsidRPr="006F6E02">
        <w:rPr>
          <w:rFonts w:ascii="Times New Roman" w:hAnsi="Times New Roman" w:cs="Times New Roman"/>
          <w:b/>
          <w:sz w:val="24"/>
          <w:szCs w:val="24"/>
        </w:rPr>
        <w:t>Results</w:t>
      </w:r>
      <w:r w:rsidR="00C9171F">
        <w:rPr>
          <w:rFonts w:ascii="Times New Roman" w:hAnsi="Times New Roman" w:cs="Times New Roman"/>
          <w:b/>
          <w:sz w:val="24"/>
          <w:szCs w:val="24"/>
        </w:rPr>
        <w:t xml:space="preserve"> and Discussion</w:t>
      </w:r>
    </w:p>
    <w:p w14:paraId="0A664921" w14:textId="77777777" w:rsidR="0021795C" w:rsidRPr="006F6E02" w:rsidRDefault="0021795C" w:rsidP="0021795C">
      <w:pPr>
        <w:spacing w:after="0"/>
        <w:jc w:val="both"/>
        <w:rPr>
          <w:rFonts w:ascii="Times New Roman" w:hAnsi="Times New Roman" w:cs="Times New Roman"/>
          <w:b/>
          <w:sz w:val="24"/>
          <w:szCs w:val="24"/>
        </w:rPr>
      </w:pPr>
    </w:p>
    <w:p w14:paraId="111025BF" w14:textId="480E37D0" w:rsidR="0021795C" w:rsidRPr="006F6E02" w:rsidRDefault="0021795C" w:rsidP="002B12F8">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lastRenderedPageBreak/>
        <w:t>In this section, in the first time we will</w:t>
      </w:r>
      <w:r w:rsidR="00176533">
        <w:rPr>
          <w:rFonts w:ascii="Times New Roman" w:hAnsi="Times New Roman" w:cs="Times New Roman"/>
          <w:sz w:val="24"/>
          <w:szCs w:val="24"/>
        </w:rPr>
        <w:t xml:space="preserve"> address results for equation (3</w:t>
      </w:r>
      <w:r w:rsidRPr="006F6E02">
        <w:rPr>
          <w:rFonts w:ascii="Times New Roman" w:hAnsi="Times New Roman" w:cs="Times New Roman"/>
          <w:sz w:val="24"/>
          <w:szCs w:val="24"/>
        </w:rPr>
        <w:t xml:space="preserve">) namely the </w:t>
      </w:r>
      <w:proofErr w:type="gramStart"/>
      <w:r w:rsidRPr="006F6E02">
        <w:rPr>
          <w:rFonts w:ascii="Times New Roman" w:hAnsi="Times New Roman" w:cs="Times New Roman"/>
          <w:sz w:val="24"/>
          <w:szCs w:val="24"/>
        </w:rPr>
        <w:t>ARDL(</w:t>
      </w:r>
      <w:proofErr w:type="gramEnd"/>
      <w:r w:rsidRPr="006F6E02">
        <w:rPr>
          <w:rFonts w:ascii="Times New Roman" w:hAnsi="Times New Roman" w:cs="Times New Roman"/>
          <w:sz w:val="24"/>
          <w:szCs w:val="24"/>
        </w:rPr>
        <w:t xml:space="preserve">1, 1) for the Model underlying the New Export channel </w:t>
      </w:r>
      <w:r w:rsidRPr="006F6E02">
        <w:rPr>
          <w:rFonts w:ascii="Times New Roman" w:hAnsi="Times New Roman" w:cs="Times New Roman"/>
          <w:b/>
          <w:sz w:val="24"/>
          <w:szCs w:val="24"/>
        </w:rPr>
        <w:t>(4.1)</w:t>
      </w:r>
      <w:r w:rsidRPr="006F6E02">
        <w:rPr>
          <w:rFonts w:ascii="Times New Roman" w:hAnsi="Times New Roman" w:cs="Times New Roman"/>
          <w:sz w:val="24"/>
          <w:szCs w:val="24"/>
        </w:rPr>
        <w:t xml:space="preserve">. After </w:t>
      </w:r>
      <w:r w:rsidR="00176533">
        <w:rPr>
          <w:rFonts w:ascii="Times New Roman" w:hAnsi="Times New Roman" w:cs="Times New Roman"/>
          <w:sz w:val="24"/>
          <w:szCs w:val="24"/>
        </w:rPr>
        <w:t>this the results for equation (4</w:t>
      </w:r>
      <w:r w:rsidRPr="006F6E02">
        <w:rPr>
          <w:rFonts w:ascii="Times New Roman" w:hAnsi="Times New Roman" w:cs="Times New Roman"/>
          <w:sz w:val="24"/>
          <w:szCs w:val="24"/>
        </w:rPr>
        <w:t xml:space="preserve">) namely the </w:t>
      </w:r>
      <w:proofErr w:type="gramStart"/>
      <w:r w:rsidRPr="006F6E02">
        <w:rPr>
          <w:rFonts w:ascii="Times New Roman" w:hAnsi="Times New Roman" w:cs="Times New Roman"/>
          <w:sz w:val="24"/>
          <w:szCs w:val="24"/>
        </w:rPr>
        <w:t>ARDL(</w:t>
      </w:r>
      <w:proofErr w:type="gramEnd"/>
      <w:r w:rsidRPr="006F6E02">
        <w:rPr>
          <w:rFonts w:ascii="Times New Roman" w:hAnsi="Times New Roman" w:cs="Times New Roman"/>
          <w:sz w:val="24"/>
          <w:szCs w:val="24"/>
        </w:rPr>
        <w:t xml:space="preserve">1, 1) for the Model underlying the Reverse causation </w:t>
      </w:r>
      <w:r w:rsidRPr="006F6E02">
        <w:rPr>
          <w:rFonts w:ascii="Times New Roman" w:hAnsi="Times New Roman" w:cs="Times New Roman"/>
          <w:b/>
          <w:sz w:val="24"/>
          <w:szCs w:val="24"/>
        </w:rPr>
        <w:t>(4.2)</w:t>
      </w:r>
      <w:r w:rsidRPr="006F6E02">
        <w:rPr>
          <w:rFonts w:ascii="Times New Roman" w:hAnsi="Times New Roman" w:cs="Times New Roman"/>
          <w:sz w:val="24"/>
          <w:szCs w:val="24"/>
        </w:rPr>
        <w:t>. In each case, we follow a procedure in three steps : in the first step we test whether the ARDL(1, 1) is the adequate specification this by using information criteria (AIC, BIC, SIC), in the second step we apply the Pesaran et al (2011) test of no cointegration, and finally in  a third step we recover parameters estimate of the ARDL(1, 1).</w:t>
      </w:r>
    </w:p>
    <w:p w14:paraId="3384D10D" w14:textId="77777777" w:rsidR="00E40E9B" w:rsidRPr="006F6E02" w:rsidRDefault="00E40E9B" w:rsidP="002B12F8">
      <w:pPr>
        <w:spacing w:after="0"/>
        <w:ind w:firstLine="709"/>
        <w:jc w:val="both"/>
        <w:rPr>
          <w:rFonts w:ascii="Times New Roman" w:hAnsi="Times New Roman" w:cs="Times New Roman"/>
          <w:b/>
          <w:sz w:val="24"/>
          <w:szCs w:val="24"/>
        </w:rPr>
      </w:pPr>
    </w:p>
    <w:p w14:paraId="0954B033" w14:textId="77777777" w:rsidR="0021795C" w:rsidRPr="006F6E02" w:rsidRDefault="0021795C" w:rsidP="0021795C">
      <w:pPr>
        <w:pStyle w:val="ListParagraph"/>
        <w:numPr>
          <w:ilvl w:val="1"/>
          <w:numId w:val="1"/>
        </w:numPr>
        <w:spacing w:after="0"/>
        <w:jc w:val="both"/>
        <w:rPr>
          <w:rFonts w:ascii="Times New Roman" w:hAnsi="Times New Roman" w:cs="Times New Roman"/>
          <w:b/>
          <w:sz w:val="24"/>
          <w:szCs w:val="24"/>
        </w:rPr>
      </w:pPr>
      <w:r w:rsidRPr="006F6E02">
        <w:rPr>
          <w:rFonts w:ascii="Times New Roman" w:hAnsi="Times New Roman" w:cs="Times New Roman"/>
          <w:b/>
          <w:sz w:val="24"/>
          <w:szCs w:val="24"/>
        </w:rPr>
        <w:t>New Export channel</w:t>
      </w:r>
    </w:p>
    <w:p w14:paraId="10F84B27" w14:textId="77777777" w:rsidR="00E40E9B" w:rsidRPr="006F6E02" w:rsidRDefault="00E40E9B" w:rsidP="00E40E9B">
      <w:pPr>
        <w:spacing w:after="0"/>
        <w:jc w:val="both"/>
        <w:rPr>
          <w:rFonts w:ascii="Times New Roman" w:hAnsi="Times New Roman" w:cs="Times New Roman"/>
          <w:b/>
          <w:sz w:val="24"/>
          <w:szCs w:val="24"/>
        </w:rPr>
      </w:pPr>
    </w:p>
    <w:p w14:paraId="2067DA9B" w14:textId="77777777" w:rsidR="00E40E9B" w:rsidRPr="006F6E02" w:rsidRDefault="005110EB" w:rsidP="00E40E9B">
      <w:pPr>
        <w:spacing w:after="0"/>
        <w:ind w:firstLine="709"/>
        <w:jc w:val="both"/>
        <w:rPr>
          <w:rFonts w:ascii="Times New Roman" w:hAnsi="Times New Roman" w:cs="Times New Roman"/>
          <w:sz w:val="24"/>
          <w:szCs w:val="24"/>
        </w:rPr>
      </w:pPr>
      <w:r w:rsidRPr="006F6E02">
        <w:rPr>
          <w:rFonts w:ascii="Times New Roman" w:hAnsi="Times New Roman" w:cs="Times New Roman"/>
          <w:b/>
          <w:sz w:val="24"/>
          <w:szCs w:val="24"/>
        </w:rPr>
        <w:t>First step</w:t>
      </w:r>
      <w:r w:rsidRPr="006F6E02">
        <w:rPr>
          <w:rFonts w:ascii="Times New Roman" w:hAnsi="Times New Roman" w:cs="Times New Roman"/>
          <w:sz w:val="24"/>
          <w:szCs w:val="24"/>
        </w:rPr>
        <w:t xml:space="preserve"> : </w:t>
      </w:r>
      <w:r w:rsidR="00E40E9B" w:rsidRPr="006F6E02">
        <w:rPr>
          <w:rFonts w:ascii="Times New Roman" w:hAnsi="Times New Roman" w:cs="Times New Roman"/>
          <w:sz w:val="24"/>
          <w:szCs w:val="24"/>
        </w:rPr>
        <w:t>appropriate setting for the Model underlying the New Export channel.</w:t>
      </w:r>
    </w:p>
    <w:p w14:paraId="4B3A3211" w14:textId="77777777" w:rsidR="00E40E9B" w:rsidRPr="006F6E02" w:rsidRDefault="00E40E9B" w:rsidP="00E40E9B">
      <w:pPr>
        <w:spacing w:after="0"/>
        <w:jc w:val="both"/>
        <w:rPr>
          <w:rFonts w:ascii="Times New Roman" w:hAnsi="Times New Roman" w:cs="Times New Roman"/>
          <w:sz w:val="24"/>
          <w:szCs w:val="24"/>
        </w:rPr>
      </w:pPr>
    </w:p>
    <w:p w14:paraId="2935AAA0" w14:textId="77777777" w:rsidR="007231CA" w:rsidRDefault="007231CA" w:rsidP="00E40E9B">
      <w:pPr>
        <w:spacing w:after="0"/>
        <w:jc w:val="both"/>
        <w:rPr>
          <w:rFonts w:ascii="Times New Roman" w:hAnsi="Times New Roman" w:cs="Times New Roman"/>
          <w:b/>
          <w:sz w:val="24"/>
          <w:szCs w:val="24"/>
        </w:rPr>
      </w:pPr>
    </w:p>
    <w:p w14:paraId="397E5078" w14:textId="77777777" w:rsidR="007231CA" w:rsidRDefault="007231CA" w:rsidP="00E40E9B">
      <w:pPr>
        <w:spacing w:after="0"/>
        <w:jc w:val="both"/>
        <w:rPr>
          <w:rFonts w:ascii="Times New Roman" w:hAnsi="Times New Roman" w:cs="Times New Roman"/>
          <w:b/>
          <w:sz w:val="24"/>
          <w:szCs w:val="24"/>
        </w:rPr>
      </w:pPr>
    </w:p>
    <w:p w14:paraId="129F9424" w14:textId="703E9D5F" w:rsidR="00E40E9B" w:rsidRPr="00C9171F" w:rsidRDefault="00E40E9B" w:rsidP="00C9171F">
      <w:pPr>
        <w:spacing w:after="0"/>
        <w:jc w:val="both"/>
        <w:rPr>
          <w:rFonts w:ascii="Times New Roman" w:hAnsi="Times New Roman" w:cs="Times New Roman"/>
          <w:b/>
          <w:sz w:val="24"/>
          <w:szCs w:val="24"/>
        </w:rPr>
      </w:pPr>
      <w:r w:rsidRPr="00C9171F">
        <w:rPr>
          <w:rFonts w:ascii="Times New Roman" w:hAnsi="Times New Roman" w:cs="Times New Roman"/>
          <w:b/>
          <w:sz w:val="24"/>
          <w:szCs w:val="24"/>
        </w:rPr>
        <w:t>Table 2.</w:t>
      </w:r>
      <w:r w:rsidRPr="00C9171F">
        <w:rPr>
          <w:rFonts w:ascii="Times New Roman" w:hAnsi="Times New Roman" w:cs="Times New Roman"/>
          <w:sz w:val="24"/>
          <w:szCs w:val="24"/>
        </w:rPr>
        <w:t xml:space="preserve"> Lag selection on 38 obs.</w:t>
      </w:r>
      <w:r w:rsidR="00C9171F" w:rsidRPr="00C9171F">
        <w:rPr>
          <w:rFonts w:ascii="Times New Roman" w:hAnsi="Times New Roman" w:cs="Times New Roman"/>
          <w:sz w:val="24"/>
          <w:szCs w:val="24"/>
        </w:rPr>
        <w:t xml:space="preserve"> for New Export channel</w:t>
      </w:r>
    </w:p>
    <w:tbl>
      <w:tblPr>
        <w:tblStyle w:val="TableGrid"/>
        <w:tblW w:w="0" w:type="auto"/>
        <w:jc w:val="center"/>
        <w:tblLook w:val="04A0" w:firstRow="1" w:lastRow="0" w:firstColumn="1" w:lastColumn="0" w:noHBand="0" w:noVBand="1"/>
      </w:tblPr>
      <w:tblGrid>
        <w:gridCol w:w="800"/>
        <w:gridCol w:w="1124"/>
        <w:gridCol w:w="1124"/>
        <w:gridCol w:w="1124"/>
      </w:tblGrid>
      <w:tr w:rsidR="00E40E9B" w:rsidRPr="006F6E02" w14:paraId="3D8A7882" w14:textId="77777777" w:rsidTr="007231CA">
        <w:trPr>
          <w:jc w:val="center"/>
        </w:trPr>
        <w:tc>
          <w:tcPr>
            <w:tcW w:w="2265" w:type="dxa"/>
          </w:tcPr>
          <w:p w14:paraId="0F02D404"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Max lag</w:t>
            </w:r>
          </w:p>
        </w:tc>
        <w:tc>
          <w:tcPr>
            <w:tcW w:w="2265" w:type="dxa"/>
          </w:tcPr>
          <w:p w14:paraId="7A8C53FF"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AIC</w:t>
            </w:r>
          </w:p>
        </w:tc>
        <w:tc>
          <w:tcPr>
            <w:tcW w:w="2266" w:type="dxa"/>
          </w:tcPr>
          <w:p w14:paraId="747F66D4"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BIC</w:t>
            </w:r>
          </w:p>
        </w:tc>
        <w:tc>
          <w:tcPr>
            <w:tcW w:w="2266" w:type="dxa"/>
          </w:tcPr>
          <w:p w14:paraId="5698C355"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SIC</w:t>
            </w:r>
          </w:p>
        </w:tc>
      </w:tr>
      <w:tr w:rsidR="00E40E9B" w:rsidRPr="006F6E02" w14:paraId="03AC4AE1" w14:textId="77777777" w:rsidTr="007231CA">
        <w:trPr>
          <w:jc w:val="center"/>
        </w:trPr>
        <w:tc>
          <w:tcPr>
            <w:tcW w:w="2265" w:type="dxa"/>
          </w:tcPr>
          <w:p w14:paraId="043DEAE6"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w:t>
            </w:r>
          </w:p>
        </w:tc>
        <w:tc>
          <w:tcPr>
            <w:tcW w:w="2265" w:type="dxa"/>
          </w:tcPr>
          <w:p w14:paraId="56691A99"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−1.2292</w:t>
            </w:r>
          </w:p>
        </w:tc>
        <w:tc>
          <w:tcPr>
            <w:tcW w:w="2266" w:type="dxa"/>
          </w:tcPr>
          <w:p w14:paraId="192E3D65"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−0.9276</w:t>
            </w:r>
          </w:p>
        </w:tc>
        <w:tc>
          <w:tcPr>
            <w:tcW w:w="2266" w:type="dxa"/>
          </w:tcPr>
          <w:p w14:paraId="1DF60F0E"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−1.1219</w:t>
            </w:r>
          </w:p>
        </w:tc>
      </w:tr>
      <w:tr w:rsidR="00E40E9B" w:rsidRPr="006F6E02" w14:paraId="3AB20431" w14:textId="77777777" w:rsidTr="007231CA">
        <w:trPr>
          <w:jc w:val="center"/>
        </w:trPr>
        <w:tc>
          <w:tcPr>
            <w:tcW w:w="2265" w:type="dxa"/>
          </w:tcPr>
          <w:p w14:paraId="03C15576"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2</w:t>
            </w:r>
          </w:p>
        </w:tc>
        <w:tc>
          <w:tcPr>
            <w:tcW w:w="2265" w:type="dxa"/>
          </w:tcPr>
          <w:p w14:paraId="2AF83A6E"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−1.5236</w:t>
            </w:r>
          </w:p>
        </w:tc>
        <w:tc>
          <w:tcPr>
            <w:tcW w:w="2266" w:type="dxa"/>
          </w:tcPr>
          <w:p w14:paraId="0FE64809"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−1.0927</w:t>
            </w:r>
          </w:p>
        </w:tc>
        <w:tc>
          <w:tcPr>
            <w:tcW w:w="2266" w:type="dxa"/>
          </w:tcPr>
          <w:p w14:paraId="10662BFB"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−1.3703</w:t>
            </w:r>
          </w:p>
        </w:tc>
      </w:tr>
      <w:tr w:rsidR="00E40E9B" w:rsidRPr="006F6E02" w14:paraId="2B6E4CA5" w14:textId="77777777" w:rsidTr="007231CA">
        <w:trPr>
          <w:jc w:val="center"/>
        </w:trPr>
        <w:tc>
          <w:tcPr>
            <w:tcW w:w="2265" w:type="dxa"/>
          </w:tcPr>
          <w:p w14:paraId="5A5794A1"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3</w:t>
            </w:r>
          </w:p>
        </w:tc>
        <w:tc>
          <w:tcPr>
            <w:tcW w:w="2265" w:type="dxa"/>
          </w:tcPr>
          <w:p w14:paraId="6CEDD39B"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−1.5599</w:t>
            </w:r>
          </w:p>
        </w:tc>
        <w:tc>
          <w:tcPr>
            <w:tcW w:w="2266" w:type="dxa"/>
          </w:tcPr>
          <w:p w14:paraId="7ADBC975"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−0.9997</w:t>
            </w:r>
          </w:p>
        </w:tc>
        <w:tc>
          <w:tcPr>
            <w:tcW w:w="2266" w:type="dxa"/>
          </w:tcPr>
          <w:p w14:paraId="5CCC79EC"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−1.3606</w:t>
            </w:r>
          </w:p>
        </w:tc>
      </w:tr>
      <w:tr w:rsidR="00E40E9B" w:rsidRPr="006F6E02" w14:paraId="24F9090E" w14:textId="77777777" w:rsidTr="007231CA">
        <w:trPr>
          <w:jc w:val="center"/>
        </w:trPr>
        <w:tc>
          <w:tcPr>
            <w:tcW w:w="2265" w:type="dxa"/>
          </w:tcPr>
          <w:p w14:paraId="417F1DB9"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4</w:t>
            </w:r>
          </w:p>
        </w:tc>
        <w:tc>
          <w:tcPr>
            <w:tcW w:w="2265" w:type="dxa"/>
          </w:tcPr>
          <w:p w14:paraId="44A41C7F"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−1.6385</w:t>
            </w:r>
          </w:p>
        </w:tc>
        <w:tc>
          <w:tcPr>
            <w:tcW w:w="2266" w:type="dxa"/>
          </w:tcPr>
          <w:p w14:paraId="66E60941"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−0.9490</w:t>
            </w:r>
          </w:p>
        </w:tc>
        <w:tc>
          <w:tcPr>
            <w:tcW w:w="2266" w:type="dxa"/>
          </w:tcPr>
          <w:p w14:paraId="21FDE9A4"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−1.3932</w:t>
            </w:r>
          </w:p>
        </w:tc>
      </w:tr>
    </w:tbl>
    <w:p w14:paraId="00DD14B6" w14:textId="77777777" w:rsidR="00E40E9B" w:rsidRPr="006F6E02" w:rsidRDefault="00E40E9B" w:rsidP="00E40E9B">
      <w:pPr>
        <w:spacing w:after="0"/>
        <w:jc w:val="both"/>
        <w:rPr>
          <w:rFonts w:ascii="Times New Roman" w:hAnsi="Times New Roman" w:cs="Times New Roman"/>
          <w:sz w:val="24"/>
          <w:szCs w:val="24"/>
        </w:rPr>
      </w:pPr>
    </w:p>
    <w:p w14:paraId="3C704D8E" w14:textId="77777777" w:rsidR="00E40E9B" w:rsidRPr="006F6E02" w:rsidRDefault="00E40E9B" w:rsidP="00E40E9B">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The selected information criteria suggests an ARDL(4,4) in levels. </w:t>
      </w:r>
    </w:p>
    <w:p w14:paraId="3B5C0659" w14:textId="77777777" w:rsidR="00E40E9B" w:rsidRPr="006F6E02" w:rsidRDefault="00E40E9B" w:rsidP="00E40E9B">
      <w:pPr>
        <w:spacing w:after="0"/>
        <w:ind w:firstLine="709"/>
        <w:jc w:val="both"/>
        <w:rPr>
          <w:rFonts w:ascii="Times New Roman" w:hAnsi="Times New Roman" w:cs="Times New Roman"/>
          <w:sz w:val="24"/>
          <w:szCs w:val="24"/>
        </w:rPr>
      </w:pPr>
    </w:p>
    <w:p w14:paraId="546C4764" w14:textId="77777777" w:rsidR="005110EB" w:rsidRPr="006F6E02" w:rsidRDefault="005110EB" w:rsidP="00E40E9B">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b/>
          <w:sz w:val="24"/>
          <w:szCs w:val="24"/>
        </w:rPr>
        <w:t>Second step</w:t>
      </w:r>
      <w:r w:rsidRPr="006F6E02">
        <w:rPr>
          <w:rFonts w:ascii="Times New Roman" w:hAnsi="Times New Roman" w:cs="Times New Roman"/>
          <w:sz w:val="24"/>
          <w:szCs w:val="24"/>
        </w:rPr>
        <w:t> : Cointegration test</w:t>
      </w:r>
    </w:p>
    <w:p w14:paraId="58FBB6F8" w14:textId="77777777" w:rsidR="005110EB" w:rsidRPr="006F6E02" w:rsidRDefault="005110EB" w:rsidP="00E40E9B">
      <w:pPr>
        <w:autoSpaceDE w:val="0"/>
        <w:autoSpaceDN w:val="0"/>
        <w:adjustRightInd w:val="0"/>
        <w:spacing w:after="0" w:line="240" w:lineRule="auto"/>
        <w:ind w:firstLine="709"/>
        <w:rPr>
          <w:rFonts w:ascii="Times New Roman" w:hAnsi="Times New Roman" w:cs="Times New Roman"/>
          <w:sz w:val="24"/>
          <w:szCs w:val="24"/>
        </w:rPr>
      </w:pPr>
    </w:p>
    <w:p w14:paraId="4BA73AA9" w14:textId="601C069D" w:rsidR="00E40E9B" w:rsidRPr="006F6E02" w:rsidRDefault="00E40E9B" w:rsidP="00E40E9B">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 xml:space="preserve">Secondly we address the Pesaran et al (2001) Bound test of no cointegration. </w:t>
      </w:r>
      <w:r w:rsidR="00132B3A" w:rsidRPr="00132B3A">
        <w:rPr>
          <w:rFonts w:ascii="Times New Roman" w:hAnsi="Times New Roman" w:cs="Times New Roman"/>
          <w:sz w:val="24"/>
          <w:szCs w:val="24"/>
        </w:rPr>
        <w:t xml:space="preserve">Pesaran </w:t>
      </w:r>
      <w:r w:rsidR="00132B3A" w:rsidRPr="00132B3A">
        <w:rPr>
          <w:rFonts w:ascii="Times New Roman" w:hAnsi="Times New Roman" w:cs="Times New Roman"/>
          <w:i/>
          <w:sz w:val="24"/>
          <w:szCs w:val="24"/>
        </w:rPr>
        <w:t>et al</w:t>
      </w:r>
      <w:r w:rsidR="00132B3A" w:rsidRPr="00132B3A">
        <w:rPr>
          <w:rFonts w:ascii="Times New Roman" w:hAnsi="Times New Roman" w:cs="Times New Roman"/>
          <w:sz w:val="24"/>
          <w:szCs w:val="24"/>
        </w:rPr>
        <w:t>. (2001) propose testing the null hypothesis of no long-run relationship among variables—here, employing the level ARDL(1,1) specification—using either a Wald or F-test. In this study, we adopt the F-test approach, again based on the level ARDL representation.</w:t>
      </w:r>
      <w:r w:rsidRPr="006F6E02">
        <w:rPr>
          <w:rFonts w:ascii="Times New Roman" w:hAnsi="Times New Roman" w:cs="Times New Roman"/>
          <w:sz w:val="24"/>
          <w:szCs w:val="24"/>
        </w:rPr>
        <w:t xml:space="preserve"> We conduct the test with an Restricted constant </w:t>
      </w:r>
      <w:r w:rsidRPr="006F6E02">
        <w:rPr>
          <w:rFonts w:ascii="Times New Roman" w:hAnsi="Times New Roman" w:cs="Times New Roman"/>
          <w:sz w:val="24"/>
          <w:szCs w:val="24"/>
        </w:rPr>
        <w:t>and trend upon 999 Boostrap replications.The results are reported in the following Table 3 :</w:t>
      </w:r>
    </w:p>
    <w:p w14:paraId="698234D1" w14:textId="77777777" w:rsidR="00E40E9B" w:rsidRPr="006F6E02" w:rsidRDefault="00E40E9B" w:rsidP="00E40E9B">
      <w:pPr>
        <w:spacing w:after="0"/>
        <w:ind w:firstLine="709"/>
        <w:jc w:val="both"/>
        <w:rPr>
          <w:rFonts w:ascii="Times New Roman" w:hAnsi="Times New Roman" w:cs="Times New Roman"/>
          <w:sz w:val="24"/>
          <w:szCs w:val="24"/>
        </w:rPr>
      </w:pPr>
    </w:p>
    <w:p w14:paraId="43312472" w14:textId="66F21F52" w:rsidR="00E40E9B" w:rsidRPr="006F6E02" w:rsidRDefault="00E40E9B" w:rsidP="00E40E9B">
      <w:pPr>
        <w:spacing w:after="0"/>
        <w:jc w:val="both"/>
        <w:rPr>
          <w:rFonts w:ascii="Times New Roman" w:hAnsi="Times New Roman" w:cs="Times New Roman"/>
          <w:b/>
          <w:sz w:val="24"/>
          <w:szCs w:val="24"/>
        </w:rPr>
      </w:pPr>
      <w:r w:rsidRPr="006F6E02">
        <w:rPr>
          <w:rFonts w:ascii="Times New Roman" w:hAnsi="Times New Roman" w:cs="Times New Roman"/>
          <w:b/>
          <w:sz w:val="24"/>
          <w:szCs w:val="24"/>
        </w:rPr>
        <w:t>Table</w:t>
      </w:r>
      <w:r w:rsidR="00C25A65" w:rsidRPr="006F6E02">
        <w:rPr>
          <w:rFonts w:ascii="Times New Roman" w:hAnsi="Times New Roman" w:cs="Times New Roman"/>
          <w:b/>
          <w:sz w:val="24"/>
          <w:szCs w:val="24"/>
        </w:rPr>
        <w:t xml:space="preserve"> </w:t>
      </w:r>
      <w:r w:rsidRPr="006F6E02">
        <w:rPr>
          <w:rFonts w:ascii="Times New Roman" w:hAnsi="Times New Roman" w:cs="Times New Roman"/>
          <w:b/>
          <w:sz w:val="24"/>
          <w:szCs w:val="24"/>
        </w:rPr>
        <w:t xml:space="preserve">3. </w:t>
      </w:r>
      <w:r w:rsidRPr="006F6E02">
        <w:rPr>
          <w:rFonts w:ascii="Times New Roman" w:hAnsi="Times New Roman" w:cs="Times New Roman"/>
          <w:sz w:val="24"/>
          <w:szCs w:val="24"/>
        </w:rPr>
        <w:t xml:space="preserve">PSS bootstrap F-Test based on </w:t>
      </w:r>
      <w:proofErr w:type="gramStart"/>
      <w:r w:rsidRPr="006F6E02">
        <w:rPr>
          <w:rFonts w:ascii="Times New Roman" w:hAnsi="Times New Roman" w:cs="Times New Roman"/>
          <w:sz w:val="24"/>
          <w:szCs w:val="24"/>
        </w:rPr>
        <w:t>ARDL(</w:t>
      </w:r>
      <w:proofErr w:type="gramEnd"/>
      <w:r w:rsidRPr="006F6E02">
        <w:rPr>
          <w:rFonts w:ascii="Times New Roman" w:hAnsi="Times New Roman" w:cs="Times New Roman"/>
          <w:sz w:val="24"/>
          <w:szCs w:val="24"/>
        </w:rPr>
        <w:t>1,1) model</w:t>
      </w:r>
      <w:r w:rsidR="00C9171F">
        <w:rPr>
          <w:rFonts w:ascii="Times New Roman" w:hAnsi="Times New Roman" w:cs="Times New Roman"/>
          <w:sz w:val="24"/>
          <w:szCs w:val="24"/>
        </w:rPr>
        <w:t xml:space="preserve"> for </w:t>
      </w:r>
      <w:r w:rsidR="00C9171F" w:rsidRPr="00C9171F">
        <w:rPr>
          <w:rFonts w:ascii="Times New Roman" w:hAnsi="Times New Roman" w:cs="Times New Roman"/>
          <w:sz w:val="24"/>
          <w:szCs w:val="24"/>
        </w:rPr>
        <w:t>New Export channel</w:t>
      </w:r>
    </w:p>
    <w:tbl>
      <w:tblPr>
        <w:tblStyle w:val="TableGrid"/>
        <w:tblW w:w="0" w:type="auto"/>
        <w:tblLook w:val="04A0" w:firstRow="1" w:lastRow="0" w:firstColumn="1" w:lastColumn="0" w:noHBand="0" w:noVBand="1"/>
      </w:tblPr>
      <w:tblGrid>
        <w:gridCol w:w="1940"/>
        <w:gridCol w:w="744"/>
        <w:gridCol w:w="744"/>
        <w:gridCol w:w="744"/>
      </w:tblGrid>
      <w:tr w:rsidR="00E40E9B" w:rsidRPr="006F6E02" w14:paraId="37462265" w14:textId="77777777" w:rsidTr="00C93F5D">
        <w:tc>
          <w:tcPr>
            <w:tcW w:w="2594" w:type="dxa"/>
          </w:tcPr>
          <w:p w14:paraId="4F50002E" w14:textId="77777777" w:rsidR="00E40E9B" w:rsidRPr="006F6E02" w:rsidRDefault="00E40E9B" w:rsidP="00C93F5D">
            <w:pPr>
              <w:jc w:val="both"/>
              <w:rPr>
                <w:rFonts w:ascii="Times New Roman" w:hAnsi="Times New Roman"/>
                <w:sz w:val="24"/>
                <w:szCs w:val="24"/>
              </w:rPr>
            </w:pPr>
            <w:r w:rsidRPr="006F6E02">
              <w:rPr>
                <w:rFonts w:ascii="Times New Roman" w:hAnsi="Times New Roman"/>
                <w:sz w:val="24"/>
                <w:szCs w:val="24"/>
              </w:rPr>
              <w:t>Test statistics</w:t>
            </w:r>
          </w:p>
        </w:tc>
        <w:tc>
          <w:tcPr>
            <w:tcW w:w="6468" w:type="dxa"/>
            <w:gridSpan w:val="3"/>
          </w:tcPr>
          <w:p w14:paraId="4B23CB96"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2.120</w:t>
            </w:r>
          </w:p>
        </w:tc>
      </w:tr>
      <w:tr w:rsidR="00E40E9B" w:rsidRPr="006F6E02" w14:paraId="107ECEE5" w14:textId="77777777" w:rsidTr="00C93F5D">
        <w:tc>
          <w:tcPr>
            <w:tcW w:w="2594" w:type="dxa"/>
          </w:tcPr>
          <w:p w14:paraId="18A23B8F" w14:textId="77777777" w:rsidR="00E40E9B" w:rsidRPr="006F6E02" w:rsidRDefault="00E40E9B" w:rsidP="00C93F5D">
            <w:pPr>
              <w:ind w:firstLine="709"/>
              <w:rPr>
                <w:rFonts w:ascii="Times New Roman" w:hAnsi="Times New Roman"/>
                <w:sz w:val="24"/>
                <w:szCs w:val="24"/>
              </w:rPr>
            </w:pPr>
            <w:r w:rsidRPr="006F6E02">
              <w:rPr>
                <w:rFonts w:ascii="Times New Roman" w:hAnsi="Times New Roman"/>
                <w:sz w:val="24"/>
                <w:szCs w:val="24"/>
              </w:rPr>
              <w:t>Critical values</w:t>
            </w:r>
          </w:p>
        </w:tc>
        <w:tc>
          <w:tcPr>
            <w:tcW w:w="2156" w:type="dxa"/>
          </w:tcPr>
          <w:p w14:paraId="22D39FA3"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w:t>
            </w:r>
          </w:p>
        </w:tc>
        <w:tc>
          <w:tcPr>
            <w:tcW w:w="2156" w:type="dxa"/>
          </w:tcPr>
          <w:p w14:paraId="2B9FFD05"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5%</w:t>
            </w:r>
          </w:p>
        </w:tc>
        <w:tc>
          <w:tcPr>
            <w:tcW w:w="2156" w:type="dxa"/>
          </w:tcPr>
          <w:p w14:paraId="33BA6343"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10%</w:t>
            </w:r>
          </w:p>
        </w:tc>
      </w:tr>
      <w:tr w:rsidR="00E40E9B" w:rsidRPr="006F6E02" w14:paraId="7FCA33D2" w14:textId="77777777" w:rsidTr="00C93F5D">
        <w:tc>
          <w:tcPr>
            <w:tcW w:w="2594" w:type="dxa"/>
          </w:tcPr>
          <w:p w14:paraId="6BD3DA97" w14:textId="77777777" w:rsidR="00E40E9B" w:rsidRPr="006F6E02" w:rsidRDefault="00E40E9B" w:rsidP="00C93F5D">
            <w:pPr>
              <w:ind w:firstLine="709"/>
              <w:rPr>
                <w:rFonts w:ascii="Times New Roman" w:hAnsi="Times New Roman"/>
                <w:sz w:val="24"/>
                <w:szCs w:val="24"/>
              </w:rPr>
            </w:pPr>
          </w:p>
        </w:tc>
        <w:tc>
          <w:tcPr>
            <w:tcW w:w="2156" w:type="dxa"/>
          </w:tcPr>
          <w:p w14:paraId="3975C3EC"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6.987</w:t>
            </w:r>
          </w:p>
        </w:tc>
        <w:tc>
          <w:tcPr>
            <w:tcW w:w="2156" w:type="dxa"/>
          </w:tcPr>
          <w:p w14:paraId="75EA1251"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5.223</w:t>
            </w:r>
          </w:p>
        </w:tc>
        <w:tc>
          <w:tcPr>
            <w:tcW w:w="2156" w:type="dxa"/>
          </w:tcPr>
          <w:p w14:paraId="2FCDA89C"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4.374</w:t>
            </w:r>
          </w:p>
        </w:tc>
      </w:tr>
      <w:tr w:rsidR="00E40E9B" w:rsidRPr="006F6E02" w14:paraId="787F401A" w14:textId="77777777" w:rsidTr="00C93F5D">
        <w:tc>
          <w:tcPr>
            <w:tcW w:w="2594" w:type="dxa"/>
          </w:tcPr>
          <w:p w14:paraId="0B33069D" w14:textId="77777777" w:rsidR="00E40E9B" w:rsidRPr="006F6E02" w:rsidRDefault="00E40E9B" w:rsidP="00C93F5D">
            <w:pPr>
              <w:ind w:firstLine="709"/>
              <w:jc w:val="both"/>
              <w:rPr>
                <w:rFonts w:ascii="Times New Roman" w:hAnsi="Times New Roman"/>
                <w:sz w:val="24"/>
                <w:szCs w:val="24"/>
              </w:rPr>
            </w:pPr>
            <w:r w:rsidRPr="006F6E02">
              <w:rPr>
                <w:rFonts w:ascii="Times New Roman" w:hAnsi="Times New Roman"/>
                <w:sz w:val="24"/>
                <w:szCs w:val="24"/>
              </w:rPr>
              <w:t>Bootstrap p-value</w:t>
            </w:r>
          </w:p>
          <w:p w14:paraId="3F916A4F" w14:textId="77777777" w:rsidR="00E40E9B" w:rsidRPr="006F6E02" w:rsidRDefault="00E40E9B" w:rsidP="00C93F5D">
            <w:pPr>
              <w:ind w:firstLine="709"/>
              <w:rPr>
                <w:rFonts w:ascii="Times New Roman" w:hAnsi="Times New Roman"/>
                <w:sz w:val="24"/>
                <w:szCs w:val="24"/>
              </w:rPr>
            </w:pPr>
          </w:p>
        </w:tc>
        <w:tc>
          <w:tcPr>
            <w:tcW w:w="6468" w:type="dxa"/>
            <w:gridSpan w:val="3"/>
          </w:tcPr>
          <w:p w14:paraId="48A83828"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0.631</w:t>
            </w:r>
          </w:p>
        </w:tc>
      </w:tr>
      <w:tr w:rsidR="00E40E9B" w:rsidRPr="006F6E02" w14:paraId="155A300A" w14:textId="77777777" w:rsidTr="00C93F5D">
        <w:tc>
          <w:tcPr>
            <w:tcW w:w="2594" w:type="dxa"/>
          </w:tcPr>
          <w:p w14:paraId="44CB2306" w14:textId="77777777" w:rsidR="00E40E9B" w:rsidRPr="006F6E02" w:rsidRDefault="00E40E9B" w:rsidP="00C93F5D">
            <w:pPr>
              <w:ind w:firstLine="709"/>
              <w:jc w:val="both"/>
              <w:rPr>
                <w:rFonts w:ascii="Times New Roman" w:hAnsi="Times New Roman"/>
                <w:sz w:val="24"/>
                <w:szCs w:val="24"/>
              </w:rPr>
            </w:pPr>
            <w:r w:rsidRPr="006F6E02">
              <w:rPr>
                <w:rFonts w:ascii="Times New Roman" w:hAnsi="Times New Roman"/>
                <w:sz w:val="24"/>
                <w:szCs w:val="24"/>
              </w:rPr>
              <w:t>Percentage of failed iterations</w:t>
            </w:r>
          </w:p>
        </w:tc>
        <w:tc>
          <w:tcPr>
            <w:tcW w:w="6468" w:type="dxa"/>
            <w:gridSpan w:val="3"/>
          </w:tcPr>
          <w:p w14:paraId="400B8781"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0.50</w:t>
            </w:r>
          </w:p>
        </w:tc>
      </w:tr>
    </w:tbl>
    <w:p w14:paraId="3FF1B0BF" w14:textId="77777777" w:rsidR="00E40E9B" w:rsidRPr="006F6E02" w:rsidRDefault="00E40E9B" w:rsidP="00E40E9B">
      <w:pPr>
        <w:spacing w:after="0"/>
        <w:jc w:val="both"/>
        <w:rPr>
          <w:rFonts w:ascii="Times New Roman" w:hAnsi="Times New Roman" w:cs="Times New Roman"/>
          <w:sz w:val="20"/>
          <w:szCs w:val="20"/>
        </w:rPr>
      </w:pPr>
      <w:r w:rsidRPr="006F6E02">
        <w:rPr>
          <w:rFonts w:ascii="Times New Roman" w:hAnsi="Times New Roman" w:cs="Times New Roman"/>
          <w:sz w:val="20"/>
          <w:szCs w:val="20"/>
        </w:rPr>
        <w:t>Source : Author</w:t>
      </w:r>
    </w:p>
    <w:p w14:paraId="3616634F" w14:textId="77777777" w:rsidR="00E40E9B" w:rsidRPr="006F6E02" w:rsidRDefault="00E40E9B" w:rsidP="00E40E9B">
      <w:pPr>
        <w:spacing w:after="0"/>
        <w:jc w:val="both"/>
        <w:rPr>
          <w:rFonts w:ascii="Times New Roman" w:hAnsi="Times New Roman" w:cs="Times New Roman"/>
          <w:sz w:val="24"/>
          <w:szCs w:val="24"/>
        </w:rPr>
      </w:pPr>
    </w:p>
    <w:p w14:paraId="13EC91F6" w14:textId="35BA0930" w:rsidR="00E40E9B" w:rsidRPr="006F6E02" w:rsidRDefault="00132B3A" w:rsidP="00E40E9B">
      <w:pPr>
        <w:autoSpaceDE w:val="0"/>
        <w:autoSpaceDN w:val="0"/>
        <w:adjustRightInd w:val="0"/>
        <w:spacing w:after="0" w:line="240" w:lineRule="auto"/>
        <w:ind w:firstLine="709"/>
        <w:rPr>
          <w:rFonts w:ascii="Times New Roman" w:hAnsi="Times New Roman" w:cs="Times New Roman"/>
          <w:sz w:val="24"/>
          <w:szCs w:val="24"/>
        </w:rPr>
      </w:pPr>
      <w:r w:rsidRPr="00132B3A">
        <w:rPr>
          <w:rFonts w:ascii="Times New Roman" w:hAnsi="Times New Roman" w:cs="Times New Roman"/>
          <w:sz w:val="24"/>
          <w:szCs w:val="24"/>
        </w:rPr>
        <w:t xml:space="preserve">Over 50% of the bootstrap models exhibited dynamic instability, suggesting that the ARDL specification is appropriate. The bootstrap </w:t>
      </w:r>
      <w:r w:rsidRPr="00132B3A">
        <w:rPr>
          <w:rFonts w:ascii="Times New Roman" w:hAnsi="Times New Roman" w:cs="Times New Roman"/>
          <w:i/>
          <w:sz w:val="24"/>
          <w:szCs w:val="24"/>
        </w:rPr>
        <w:t>p-</w:t>
      </w:r>
      <w:r w:rsidRPr="00132B3A">
        <w:rPr>
          <w:rFonts w:ascii="Times New Roman" w:hAnsi="Times New Roman" w:cs="Times New Roman"/>
          <w:sz w:val="24"/>
          <w:szCs w:val="24"/>
        </w:rPr>
        <w:t>value was 0.63, indicating that the null hypothesis of no cointegration cannot be rejected with confidence</w:t>
      </w:r>
      <w:r w:rsidR="00E40E9B" w:rsidRPr="006F6E02">
        <w:rPr>
          <w:rFonts w:ascii="Times New Roman" w:hAnsi="Times New Roman" w:cs="Times New Roman"/>
          <w:sz w:val="24"/>
          <w:szCs w:val="24"/>
        </w:rPr>
        <w:t>.</w:t>
      </w:r>
    </w:p>
    <w:p w14:paraId="75A8500C" w14:textId="77777777" w:rsidR="00E40E9B" w:rsidRPr="006F6E02" w:rsidRDefault="00E40E9B" w:rsidP="00E40E9B">
      <w:pPr>
        <w:autoSpaceDE w:val="0"/>
        <w:autoSpaceDN w:val="0"/>
        <w:adjustRightInd w:val="0"/>
        <w:spacing w:after="0" w:line="240" w:lineRule="auto"/>
        <w:rPr>
          <w:rFonts w:ascii="Times New Roman" w:hAnsi="Times New Roman" w:cs="Times New Roman"/>
          <w:sz w:val="24"/>
          <w:szCs w:val="24"/>
        </w:rPr>
      </w:pPr>
    </w:p>
    <w:p w14:paraId="5513D9B7" w14:textId="77777777" w:rsidR="00E40E9B" w:rsidRPr="006F6E02" w:rsidRDefault="005110EB" w:rsidP="00E40E9B">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b/>
          <w:sz w:val="24"/>
          <w:szCs w:val="24"/>
        </w:rPr>
        <w:t>Third step</w:t>
      </w:r>
      <w:r w:rsidRPr="006F6E02">
        <w:rPr>
          <w:rFonts w:ascii="Times New Roman" w:hAnsi="Times New Roman" w:cs="Times New Roman"/>
          <w:sz w:val="24"/>
          <w:szCs w:val="24"/>
        </w:rPr>
        <w:t xml:space="preserve"> : </w:t>
      </w:r>
      <w:r w:rsidR="00E40E9B" w:rsidRPr="006F6E02">
        <w:rPr>
          <w:rFonts w:ascii="Times New Roman" w:hAnsi="Times New Roman" w:cs="Times New Roman"/>
          <w:sz w:val="24"/>
          <w:szCs w:val="24"/>
        </w:rPr>
        <w:t>Thirdly we will proceed wit</w:t>
      </w:r>
      <w:r w:rsidRPr="006F6E02">
        <w:rPr>
          <w:rFonts w:ascii="Times New Roman" w:hAnsi="Times New Roman" w:cs="Times New Roman"/>
          <w:sz w:val="24"/>
          <w:szCs w:val="24"/>
        </w:rPr>
        <w:t>h the parameter estimates of th</w:t>
      </w:r>
      <w:r w:rsidR="00E40E9B" w:rsidRPr="006F6E02">
        <w:rPr>
          <w:rFonts w:ascii="Times New Roman" w:hAnsi="Times New Roman" w:cs="Times New Roman"/>
          <w:sz w:val="24"/>
          <w:szCs w:val="24"/>
        </w:rPr>
        <w:t>e ARDL (1,1) for the Model underlying the New Export channel. The results are compiled in the following Table 4 :</w:t>
      </w:r>
    </w:p>
    <w:p w14:paraId="759416F9" w14:textId="77777777" w:rsidR="00E40E9B" w:rsidRPr="006F6E02" w:rsidRDefault="00E40E9B" w:rsidP="00E40E9B">
      <w:pPr>
        <w:autoSpaceDE w:val="0"/>
        <w:autoSpaceDN w:val="0"/>
        <w:adjustRightInd w:val="0"/>
        <w:spacing w:after="0" w:line="240" w:lineRule="auto"/>
        <w:rPr>
          <w:rFonts w:ascii="Times New Roman" w:hAnsi="Times New Roman" w:cs="Times New Roman"/>
          <w:sz w:val="24"/>
          <w:szCs w:val="24"/>
        </w:rPr>
      </w:pPr>
    </w:p>
    <w:p w14:paraId="4D4231F6" w14:textId="77777777" w:rsidR="00E40E9B" w:rsidRPr="006F6E02" w:rsidRDefault="00E40E9B" w:rsidP="00E40E9B">
      <w:pPr>
        <w:autoSpaceDE w:val="0"/>
        <w:autoSpaceDN w:val="0"/>
        <w:adjustRightInd w:val="0"/>
        <w:spacing w:after="0" w:line="240" w:lineRule="auto"/>
        <w:rPr>
          <w:rFonts w:ascii="Times New Roman" w:hAnsi="Times New Roman" w:cs="Times New Roman"/>
          <w:b/>
          <w:sz w:val="24"/>
          <w:szCs w:val="24"/>
        </w:rPr>
      </w:pPr>
      <w:r w:rsidRPr="006F6E02">
        <w:rPr>
          <w:rFonts w:ascii="Times New Roman" w:hAnsi="Times New Roman" w:cs="Times New Roman"/>
          <w:b/>
          <w:sz w:val="24"/>
          <w:szCs w:val="24"/>
        </w:rPr>
        <w:t xml:space="preserve">Table 4.  </w:t>
      </w:r>
      <w:r w:rsidRPr="006F6E02">
        <w:rPr>
          <w:rFonts w:ascii="Times New Roman" w:hAnsi="Times New Roman" w:cs="Times New Roman"/>
          <w:sz w:val="24"/>
          <w:szCs w:val="24"/>
        </w:rPr>
        <w:t>Estimates of the ARDL(1,1)</w:t>
      </w:r>
      <w:r w:rsidR="00EB4A5A" w:rsidRPr="006F6E02">
        <w:rPr>
          <w:rFonts w:ascii="Times New Roman" w:hAnsi="Times New Roman" w:cs="Times New Roman"/>
          <w:sz w:val="24"/>
          <w:szCs w:val="24"/>
        </w:rPr>
        <w:t xml:space="preserve"> for the New Export channel</w:t>
      </w:r>
    </w:p>
    <w:tbl>
      <w:tblPr>
        <w:tblStyle w:val="TableGrid"/>
        <w:tblW w:w="0" w:type="auto"/>
        <w:tblLook w:val="04A0" w:firstRow="1" w:lastRow="0" w:firstColumn="1" w:lastColumn="0" w:noHBand="0" w:noVBand="1"/>
      </w:tblPr>
      <w:tblGrid>
        <w:gridCol w:w="2070"/>
        <w:gridCol w:w="2102"/>
      </w:tblGrid>
      <w:tr w:rsidR="00E40E9B" w:rsidRPr="006F6E02" w14:paraId="780BCF63" w14:textId="77777777" w:rsidTr="00C93F5D">
        <w:tc>
          <w:tcPr>
            <w:tcW w:w="4531" w:type="dxa"/>
          </w:tcPr>
          <w:p w14:paraId="7F838C98" w14:textId="77777777" w:rsidR="00E40E9B" w:rsidRPr="006F6E02" w:rsidRDefault="00E40E9B" w:rsidP="00C93F5D">
            <w:pPr>
              <w:autoSpaceDE w:val="0"/>
              <w:autoSpaceDN w:val="0"/>
              <w:adjustRightInd w:val="0"/>
              <w:rPr>
                <w:rFonts w:ascii="Times New Roman" w:hAnsi="Times New Roman"/>
                <w:sz w:val="24"/>
                <w:szCs w:val="24"/>
              </w:rPr>
            </w:pPr>
            <m:oMathPara>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m:oMathPara>
          </w:p>
        </w:tc>
        <w:tc>
          <w:tcPr>
            <w:tcW w:w="4531" w:type="dxa"/>
          </w:tcPr>
          <w:p w14:paraId="74B5A870" w14:textId="1C828DC4" w:rsidR="00E40E9B" w:rsidRPr="006F6E02" w:rsidRDefault="00176533" w:rsidP="00C93F5D">
            <w:pPr>
              <w:autoSpaceDE w:val="0"/>
              <w:autoSpaceDN w:val="0"/>
              <w:adjustRightInd w:val="0"/>
              <w:jc w:val="center"/>
              <w:rPr>
                <w:rFonts w:ascii="Times New Roman" w:hAnsi="Times New Roman"/>
                <w:sz w:val="24"/>
                <w:szCs w:val="24"/>
              </w:rPr>
            </w:pPr>
            <w:r>
              <w:rPr>
                <w:rFonts w:ascii="Times New Roman" w:hAnsi="Times New Roman"/>
                <w:sz w:val="24"/>
                <w:szCs w:val="24"/>
              </w:rPr>
              <w:t>(3</w:t>
            </w:r>
            <w:r w:rsidR="00E40E9B" w:rsidRPr="006F6E02">
              <w:rPr>
                <w:rFonts w:ascii="Times New Roman" w:hAnsi="Times New Roman"/>
                <w:sz w:val="24"/>
                <w:szCs w:val="24"/>
              </w:rPr>
              <w:t>)</w:t>
            </w:r>
          </w:p>
        </w:tc>
      </w:tr>
      <w:tr w:rsidR="00E40E9B" w:rsidRPr="006F6E02" w14:paraId="00F27E07" w14:textId="77777777" w:rsidTr="00C93F5D">
        <w:tc>
          <w:tcPr>
            <w:tcW w:w="9062" w:type="dxa"/>
            <w:gridSpan w:val="2"/>
          </w:tcPr>
          <w:p w14:paraId="78200F29" w14:textId="77777777" w:rsidR="00E40E9B" w:rsidRPr="006F6E02" w:rsidRDefault="00E40E9B" w:rsidP="00C93F5D">
            <w:pPr>
              <w:autoSpaceDE w:val="0"/>
              <w:autoSpaceDN w:val="0"/>
              <w:adjustRightInd w:val="0"/>
              <w:rPr>
                <w:rFonts w:ascii="Times New Roman" w:hAnsi="Times New Roman"/>
                <w:sz w:val="24"/>
                <w:szCs w:val="24"/>
              </w:rPr>
            </w:pPr>
            <w:r w:rsidRPr="006F6E02">
              <w:rPr>
                <w:rStyle w:val="y2iqfc"/>
                <w:rFonts w:ascii="Times New Roman" w:eastAsiaTheme="minorEastAsia" w:hAnsi="Times New Roman"/>
                <w:i/>
                <w:sz w:val="24"/>
                <w:szCs w:val="24"/>
              </w:rPr>
              <w:t>Short run parameters</w:t>
            </w:r>
          </w:p>
        </w:tc>
      </w:tr>
      <w:tr w:rsidR="00E40E9B" w:rsidRPr="006F6E02" w14:paraId="6B96C1FB" w14:textId="77777777" w:rsidTr="00C93F5D">
        <w:tc>
          <w:tcPr>
            <w:tcW w:w="4531" w:type="dxa"/>
          </w:tcPr>
          <w:p w14:paraId="71D975D5" w14:textId="77777777" w:rsidR="00E40E9B" w:rsidRPr="006F6E02" w:rsidRDefault="00E40E9B" w:rsidP="00C93F5D">
            <w:pPr>
              <w:jc w:val="center"/>
              <w:rPr>
                <w:rFonts w:ascii="Times New Roman" w:hAnsi="Times New Roman"/>
                <w:sz w:val="24"/>
                <w:szCs w:val="24"/>
              </w:rPr>
            </w:pPr>
            <m:oMathPara>
              <m:oMathParaPr>
                <m:jc m:val="left"/>
              </m:oMathParaPr>
              <m:oMath>
                <m:r>
                  <w:rPr>
                    <w:rFonts w:ascii="Cambria Math" w:hAnsi="Cambria Math"/>
                    <w:sz w:val="24"/>
                    <w:szCs w:val="24"/>
                    <w:lang w:val="fr-CM"/>
                  </w:rPr>
                  <m:t>∆REER</m:t>
                </m:r>
              </m:oMath>
            </m:oMathPara>
          </w:p>
        </w:tc>
        <w:tc>
          <w:tcPr>
            <w:tcW w:w="4531" w:type="dxa"/>
          </w:tcPr>
          <w:p w14:paraId="3E8A5B6D" w14:textId="77777777" w:rsidR="00E40E9B" w:rsidRPr="006F6E02" w:rsidRDefault="00E40E9B"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0.54***</w:t>
            </w:r>
          </w:p>
          <w:p w14:paraId="5CE22AF4" w14:textId="77777777" w:rsidR="00E40E9B" w:rsidRPr="006F6E02" w:rsidRDefault="00E40E9B"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(0.15)</w:t>
            </w:r>
          </w:p>
        </w:tc>
      </w:tr>
      <w:tr w:rsidR="00E40E9B" w:rsidRPr="006F6E02" w14:paraId="473478E8" w14:textId="77777777" w:rsidTr="00C93F5D">
        <w:tc>
          <w:tcPr>
            <w:tcW w:w="4531" w:type="dxa"/>
          </w:tcPr>
          <w:p w14:paraId="119CB73E" w14:textId="77777777" w:rsidR="00E40E9B" w:rsidRPr="006F6E02" w:rsidRDefault="00E40E9B" w:rsidP="00C93F5D">
            <w:pPr>
              <w:rPr>
                <w:rFonts w:ascii="Times New Roman" w:hAnsi="Times New Roman"/>
                <w:sz w:val="24"/>
                <w:szCs w:val="24"/>
              </w:rPr>
            </w:pPr>
            <m:oMathPara>
              <m:oMathParaPr>
                <m:jc m:val="left"/>
              </m:oMathParaPr>
              <m:oMath>
                <m:r>
                  <w:rPr>
                    <w:rFonts w:ascii="Cambria Math" w:hAnsi="Cambria Math"/>
                    <w:sz w:val="24"/>
                    <w:szCs w:val="24"/>
                  </w:rPr>
                  <m:t>∆DD</m:t>
                </m:r>
              </m:oMath>
            </m:oMathPara>
          </w:p>
        </w:tc>
        <w:tc>
          <w:tcPr>
            <w:tcW w:w="4531" w:type="dxa"/>
          </w:tcPr>
          <w:p w14:paraId="442E7F25" w14:textId="77777777" w:rsidR="00E40E9B" w:rsidRPr="006F6E02" w:rsidRDefault="00E40E9B"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−0.23**</w:t>
            </w:r>
          </w:p>
          <w:p w14:paraId="46D07C11" w14:textId="77777777" w:rsidR="00E40E9B" w:rsidRPr="006F6E02" w:rsidRDefault="00E40E9B"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(0.11)</w:t>
            </w:r>
          </w:p>
        </w:tc>
      </w:tr>
      <w:tr w:rsidR="00E40E9B" w:rsidRPr="006F6E02" w14:paraId="605265E9" w14:textId="77777777" w:rsidTr="00C93F5D">
        <w:tc>
          <w:tcPr>
            <w:tcW w:w="4531" w:type="dxa"/>
            <w:tcBorders>
              <w:bottom w:val="single" w:sz="4" w:space="0" w:color="auto"/>
            </w:tcBorders>
          </w:tcPr>
          <w:p w14:paraId="430F493A" w14:textId="77777777" w:rsidR="00E40E9B" w:rsidRPr="006F6E02" w:rsidRDefault="00652B41" w:rsidP="00C93F5D">
            <w:pPr>
              <w:rPr>
                <w:rFonts w:ascii="Times New Roman" w:hAnsi="Times New Roman"/>
                <w:sz w:val="24"/>
                <w:szCs w:val="24"/>
                <w:vertAlign w:val="subscript"/>
              </w:rPr>
            </w:pPr>
            <m:oMathPara>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t-1</m:t>
                    </m:r>
                  </m:sub>
                </m:sSub>
              </m:oMath>
            </m:oMathPara>
          </w:p>
        </w:tc>
        <w:tc>
          <w:tcPr>
            <w:tcW w:w="4531" w:type="dxa"/>
            <w:tcBorders>
              <w:bottom w:val="single" w:sz="4" w:space="0" w:color="auto"/>
            </w:tcBorders>
          </w:tcPr>
          <w:p w14:paraId="3C7913F5" w14:textId="77777777" w:rsidR="00E40E9B" w:rsidRPr="006F6E02" w:rsidRDefault="00E40E9B"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−0.81***</w:t>
            </w:r>
          </w:p>
          <w:p w14:paraId="0BFF6856" w14:textId="77777777" w:rsidR="00E40E9B" w:rsidRPr="006F6E02" w:rsidRDefault="00E40E9B"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(0.10)</w:t>
            </w:r>
          </w:p>
        </w:tc>
      </w:tr>
      <w:tr w:rsidR="00E40E9B" w:rsidRPr="006F6E02" w14:paraId="641E78D8" w14:textId="77777777" w:rsidTr="00C93F5D">
        <w:trPr>
          <w:trHeight w:val="78"/>
        </w:trPr>
        <w:tc>
          <w:tcPr>
            <w:tcW w:w="9062" w:type="dxa"/>
            <w:gridSpan w:val="2"/>
            <w:tcBorders>
              <w:bottom w:val="single" w:sz="4" w:space="0" w:color="auto"/>
            </w:tcBorders>
          </w:tcPr>
          <w:p w14:paraId="541C7E19" w14:textId="77777777" w:rsidR="00E40E9B" w:rsidRPr="006F6E02" w:rsidRDefault="00E40E9B" w:rsidP="00C93F5D">
            <w:pPr>
              <w:autoSpaceDE w:val="0"/>
              <w:autoSpaceDN w:val="0"/>
              <w:adjustRightInd w:val="0"/>
              <w:rPr>
                <w:rFonts w:ascii="Times New Roman" w:hAnsi="Times New Roman"/>
                <w:sz w:val="24"/>
                <w:szCs w:val="24"/>
              </w:rPr>
            </w:pPr>
            <w:r w:rsidRPr="006F6E02">
              <w:rPr>
                <w:rFonts w:ascii="Times New Roman" w:hAnsi="Times New Roman"/>
                <w:sz w:val="24"/>
                <w:szCs w:val="24"/>
              </w:rPr>
              <w:t xml:space="preserve">CointEq = </w:t>
            </w:r>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w:r w:rsidRPr="006F6E02">
              <w:rPr>
                <w:rFonts w:ascii="Times New Roman" w:hAnsi="Times New Roman"/>
                <w:sz w:val="24"/>
                <w:szCs w:val="24"/>
                <w:lang w:val="fr-CM"/>
              </w:rPr>
              <w:t xml:space="preserve"> </w:t>
            </w:r>
            <w:r w:rsidRPr="006F6E02">
              <w:rPr>
                <w:rFonts w:ascii="Times New Roman" w:hAnsi="Times New Roman"/>
                <w:sz w:val="24"/>
                <w:szCs w:val="24"/>
              </w:rPr>
              <w:t>– (1.60</w:t>
            </w:r>
            <m:oMath>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m:t>
                  </m:r>
                </m:sub>
              </m:sSub>
            </m:oMath>
            <w:r w:rsidRPr="006F6E02">
              <w:rPr>
                <w:rFonts w:ascii="Times New Roman" w:hAnsi="Times New Roman"/>
                <w:sz w:val="24"/>
                <w:szCs w:val="24"/>
                <w:lang w:val="fr-CM"/>
              </w:rPr>
              <w:t>−0.29</w:t>
            </w:r>
            <m:oMath>
              <m:sSub>
                <m:sSubPr>
                  <m:ctrlPr>
                    <w:rPr>
                      <w:rFonts w:ascii="Cambria Math" w:hAnsi="Cambria Math"/>
                      <w:i/>
                      <w:sz w:val="24"/>
                      <w:szCs w:val="24"/>
                      <w:lang w:val="fr-CM"/>
                    </w:rPr>
                  </m:ctrlPr>
                </m:sSubPr>
                <m:e>
                  <m:r>
                    <w:rPr>
                      <w:rFonts w:ascii="Cambria Math" w:hAnsi="Cambria Math"/>
                      <w:sz w:val="24"/>
                      <w:szCs w:val="24"/>
                      <w:lang w:val="fr-CM"/>
                    </w:rPr>
                    <m:t>DD</m:t>
                  </m:r>
                </m:e>
                <m:sub>
                  <m:r>
                    <w:rPr>
                      <w:rFonts w:ascii="Cambria Math" w:hAnsi="Cambria Math"/>
                      <w:sz w:val="24"/>
                      <w:szCs w:val="24"/>
                      <w:lang w:val="fr-CM"/>
                    </w:rPr>
                    <m:t>t</m:t>
                  </m:r>
                </m:sub>
              </m:sSub>
              <m:r>
                <w:rPr>
                  <w:rFonts w:ascii="Cambria Math" w:hAnsi="Cambria Math"/>
                  <w:sz w:val="24"/>
                  <w:szCs w:val="24"/>
                  <w:lang w:val="fr-CM"/>
                </w:rPr>
                <m:t>+0.04t</m:t>
              </m:r>
            </m:oMath>
            <w:r w:rsidRPr="006F6E02">
              <w:rPr>
                <w:rFonts w:ascii="Times New Roman" w:hAnsi="Times New Roman"/>
                <w:sz w:val="24"/>
                <w:szCs w:val="24"/>
                <w:lang w:val="fr-CM"/>
              </w:rPr>
              <w:t>)</w:t>
            </w:r>
          </w:p>
        </w:tc>
      </w:tr>
    </w:tbl>
    <w:p w14:paraId="000EE8AA" w14:textId="77777777" w:rsidR="00E40E9B" w:rsidRPr="006F6E02" w:rsidRDefault="00E40E9B" w:rsidP="00E40E9B">
      <w:pPr>
        <w:autoSpaceDE w:val="0"/>
        <w:autoSpaceDN w:val="0"/>
        <w:adjustRightInd w:val="0"/>
        <w:spacing w:after="0" w:line="240" w:lineRule="auto"/>
        <w:rPr>
          <w:rFonts w:ascii="Times New Roman" w:hAnsi="Times New Roman" w:cs="Times New Roman"/>
          <w:sz w:val="24"/>
          <w:szCs w:val="24"/>
        </w:rPr>
      </w:pPr>
      <w:r w:rsidRPr="006F6E02">
        <w:rPr>
          <w:rFonts w:ascii="Times New Roman" w:eastAsia="Times New Roman" w:hAnsi="Times New Roman" w:cs="Times New Roman"/>
          <w:color w:val="000000"/>
          <w:sz w:val="20"/>
          <w:szCs w:val="20"/>
        </w:rPr>
        <w:t>Source:</w:t>
      </w:r>
      <w:r w:rsidRPr="006F6E02">
        <w:rPr>
          <w:rFonts w:ascii="Times New Roman" w:eastAsia="Times New Roman" w:hAnsi="Times New Roman" w:cs="Times New Roman"/>
          <w:b/>
          <w:color w:val="000000"/>
          <w:sz w:val="20"/>
          <w:szCs w:val="20"/>
        </w:rPr>
        <w:t xml:space="preserve"> </w:t>
      </w:r>
      <w:r w:rsidRPr="006F6E02">
        <w:rPr>
          <w:rFonts w:ascii="Times New Roman" w:eastAsia="Times New Roman" w:hAnsi="Times New Roman" w:cs="Times New Roman"/>
          <w:color w:val="000000"/>
          <w:sz w:val="20"/>
          <w:szCs w:val="20"/>
        </w:rPr>
        <w:t>Author,</w:t>
      </w:r>
      <w:r w:rsidRPr="006F6E02">
        <w:rPr>
          <w:rFonts w:ascii="Times New Roman" w:eastAsia="Times New Roman" w:hAnsi="Times New Roman" w:cs="Times New Roman"/>
          <w:b/>
          <w:color w:val="000000"/>
          <w:sz w:val="20"/>
          <w:szCs w:val="20"/>
        </w:rPr>
        <w:t xml:space="preserve"> </w:t>
      </w:r>
      <w:r w:rsidRPr="006F6E02">
        <w:rPr>
          <w:rFonts w:ascii="Times New Roman" w:hAnsi="Times New Roman"/>
          <w:i/>
          <w:sz w:val="20"/>
          <w:szCs w:val="20"/>
        </w:rPr>
        <w:t xml:space="preserve">*** </w:t>
      </w:r>
      <w:r w:rsidRPr="006F6E02">
        <w:rPr>
          <w:rFonts w:ascii="Times New Roman" w:hAnsi="Times New Roman"/>
          <w:sz w:val="20"/>
          <w:szCs w:val="20"/>
        </w:rPr>
        <w:t>(</w:t>
      </w:r>
      <w:r w:rsidRPr="006F6E02">
        <w:rPr>
          <w:rFonts w:ascii="Times New Roman" w:hAnsi="Times New Roman"/>
          <w:i/>
          <w:sz w:val="20"/>
          <w:szCs w:val="20"/>
        </w:rPr>
        <w:t>**</w:t>
      </w:r>
      <w:r w:rsidRPr="006F6E02">
        <w:rPr>
          <w:rFonts w:ascii="Times New Roman" w:hAnsi="Times New Roman"/>
          <w:sz w:val="20"/>
          <w:szCs w:val="20"/>
        </w:rPr>
        <w:t xml:space="preserve">, </w:t>
      </w:r>
      <w:r w:rsidRPr="006F6E02">
        <w:rPr>
          <w:rFonts w:ascii="Times New Roman" w:hAnsi="Times New Roman"/>
          <w:i/>
          <w:sz w:val="20"/>
          <w:szCs w:val="20"/>
        </w:rPr>
        <w:t>*</w:t>
      </w:r>
      <w:r w:rsidRPr="006F6E02">
        <w:rPr>
          <w:rFonts w:ascii="Times New Roman" w:hAnsi="Times New Roman"/>
          <w:sz w:val="20"/>
          <w:szCs w:val="20"/>
        </w:rPr>
        <w:t>) null hypothesis is rejected at the 1</w:t>
      </w:r>
      <w:r w:rsidRPr="006F6E02">
        <w:rPr>
          <w:rFonts w:ascii="Times New Roman" w:hAnsi="Times New Roman"/>
          <w:i/>
          <w:sz w:val="20"/>
          <w:szCs w:val="20"/>
        </w:rPr>
        <w:t>%</w:t>
      </w:r>
      <w:r w:rsidRPr="006F6E02">
        <w:rPr>
          <w:rFonts w:ascii="Times New Roman" w:hAnsi="Times New Roman"/>
          <w:sz w:val="20"/>
          <w:szCs w:val="20"/>
        </w:rPr>
        <w:t xml:space="preserve"> (5</w:t>
      </w:r>
      <w:r w:rsidRPr="006F6E02">
        <w:rPr>
          <w:rFonts w:ascii="Times New Roman" w:hAnsi="Times New Roman"/>
          <w:i/>
          <w:sz w:val="20"/>
          <w:szCs w:val="20"/>
        </w:rPr>
        <w:t>%</w:t>
      </w:r>
      <w:r w:rsidRPr="006F6E02">
        <w:rPr>
          <w:rFonts w:ascii="Times New Roman" w:hAnsi="Times New Roman"/>
          <w:sz w:val="20"/>
          <w:szCs w:val="20"/>
        </w:rPr>
        <w:t>, 10</w:t>
      </w:r>
      <w:r w:rsidRPr="006F6E02">
        <w:rPr>
          <w:rFonts w:ascii="Times New Roman" w:hAnsi="Times New Roman"/>
          <w:i/>
          <w:sz w:val="20"/>
          <w:szCs w:val="20"/>
        </w:rPr>
        <w:t>%</w:t>
      </w:r>
      <w:r w:rsidRPr="006F6E02">
        <w:rPr>
          <w:rFonts w:ascii="Times New Roman" w:hAnsi="Times New Roman"/>
          <w:sz w:val="20"/>
          <w:szCs w:val="20"/>
        </w:rPr>
        <w:t xml:space="preserve">). </w:t>
      </w:r>
      <w:r w:rsidRPr="006F6E02">
        <w:rPr>
          <w:rFonts w:ascii="Times New Roman" w:hAnsi="Times New Roman"/>
          <w:i/>
          <w:sz w:val="20"/>
          <w:szCs w:val="20"/>
        </w:rPr>
        <w:t xml:space="preserve">Nobs </w:t>
      </w:r>
      <w:r w:rsidRPr="006F6E02">
        <w:rPr>
          <w:rFonts w:ascii="Times New Roman" w:hAnsi="Times New Roman"/>
          <w:sz w:val="20"/>
          <w:szCs w:val="20"/>
        </w:rPr>
        <w:t>is available observations, (.) standard deviation.</w:t>
      </w:r>
    </w:p>
    <w:p w14:paraId="57006E57" w14:textId="77777777" w:rsidR="00E40E9B" w:rsidRPr="006F6E02" w:rsidRDefault="00E40E9B" w:rsidP="00E40E9B">
      <w:pPr>
        <w:autoSpaceDE w:val="0"/>
        <w:autoSpaceDN w:val="0"/>
        <w:adjustRightInd w:val="0"/>
        <w:spacing w:after="0" w:line="240" w:lineRule="auto"/>
        <w:rPr>
          <w:rFonts w:ascii="Times New Roman" w:hAnsi="Times New Roman" w:cs="Times New Roman"/>
          <w:sz w:val="24"/>
          <w:szCs w:val="24"/>
        </w:rPr>
      </w:pPr>
    </w:p>
    <w:p w14:paraId="4695DC5E" w14:textId="77777777" w:rsidR="00E40E9B" w:rsidRPr="006F6E02" w:rsidRDefault="00E40E9B" w:rsidP="000150E7">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Since the parameter estimate of the speed of mean reversion is statistically </w:t>
      </w:r>
      <w:r w:rsidRPr="006F6E02">
        <w:rPr>
          <w:rFonts w:ascii="Times New Roman" w:hAnsi="Times New Roman" w:cs="Times New Roman"/>
          <w:sz w:val="24"/>
          <w:szCs w:val="24"/>
        </w:rPr>
        <w:lastRenderedPageBreak/>
        <w:t>significant and negative this would confirm the presence of a long run relationship among the variables. Then these results suggest that the substituability issue between the domestic demand and exports performance dominated the liquidity channel of Berman et al (2011) as the parameter estimate of the domestic demand is already negative as well as in the short than the long run relationship. According to the estimates this elasticity of substitution is around 23% in Gabon. Nevertheless the price competitivenes</w:t>
      </w:r>
      <w:r w:rsidR="00793AEA" w:rsidRPr="006F6E02">
        <w:rPr>
          <w:rFonts w:ascii="Times New Roman" w:hAnsi="Times New Roman" w:cs="Times New Roman"/>
          <w:sz w:val="24"/>
          <w:szCs w:val="24"/>
        </w:rPr>
        <w:t>s channel don’t hold as well a</w:t>
      </w:r>
      <w:r w:rsidRPr="006F6E02">
        <w:rPr>
          <w:rFonts w:ascii="Times New Roman" w:hAnsi="Times New Roman" w:cs="Times New Roman"/>
          <w:sz w:val="24"/>
          <w:szCs w:val="24"/>
        </w:rPr>
        <w:t>s in the short than the long run as the parameter estimate of the Real exchange ratre is each time positive while significant.</w:t>
      </w:r>
    </w:p>
    <w:p w14:paraId="7E33E4AD" w14:textId="77777777" w:rsidR="00620F60" w:rsidRPr="006F6E02" w:rsidRDefault="00620F60" w:rsidP="000150E7">
      <w:pPr>
        <w:spacing w:after="0"/>
        <w:ind w:firstLine="709"/>
        <w:jc w:val="both"/>
        <w:rPr>
          <w:rFonts w:ascii="Times New Roman" w:hAnsi="Times New Roman" w:cs="Times New Roman"/>
          <w:b/>
          <w:sz w:val="24"/>
          <w:szCs w:val="24"/>
        </w:rPr>
      </w:pPr>
    </w:p>
    <w:p w14:paraId="27D8BB95" w14:textId="77777777" w:rsidR="00E40E9B" w:rsidRPr="006F6E02" w:rsidRDefault="00E40E9B" w:rsidP="00E40E9B">
      <w:pPr>
        <w:spacing w:after="0"/>
        <w:jc w:val="both"/>
        <w:rPr>
          <w:rFonts w:ascii="Times New Roman" w:hAnsi="Times New Roman" w:cs="Times New Roman"/>
          <w:b/>
          <w:sz w:val="24"/>
          <w:szCs w:val="24"/>
        </w:rPr>
      </w:pPr>
    </w:p>
    <w:p w14:paraId="40A10AFC" w14:textId="77777777" w:rsidR="0021795C" w:rsidRPr="006F6E02" w:rsidRDefault="0021795C" w:rsidP="0021795C">
      <w:pPr>
        <w:pStyle w:val="ListParagraph"/>
        <w:numPr>
          <w:ilvl w:val="1"/>
          <w:numId w:val="1"/>
        </w:numPr>
        <w:spacing w:after="0"/>
        <w:jc w:val="both"/>
        <w:rPr>
          <w:rFonts w:ascii="Times New Roman" w:hAnsi="Times New Roman" w:cs="Times New Roman"/>
          <w:b/>
          <w:sz w:val="24"/>
          <w:szCs w:val="24"/>
        </w:rPr>
      </w:pPr>
      <w:r w:rsidRPr="006F6E02">
        <w:rPr>
          <w:rFonts w:ascii="Times New Roman" w:hAnsi="Times New Roman" w:cs="Times New Roman"/>
          <w:b/>
          <w:sz w:val="24"/>
          <w:szCs w:val="24"/>
        </w:rPr>
        <w:t>Reverse causation</w:t>
      </w:r>
    </w:p>
    <w:p w14:paraId="7D2F46CD" w14:textId="77777777" w:rsidR="00266B10" w:rsidRPr="006F6E02" w:rsidRDefault="00266B10" w:rsidP="00266B10">
      <w:pPr>
        <w:spacing w:after="0"/>
        <w:jc w:val="both"/>
        <w:rPr>
          <w:rFonts w:ascii="Times New Roman" w:hAnsi="Times New Roman" w:cs="Times New Roman"/>
          <w:b/>
          <w:sz w:val="24"/>
          <w:szCs w:val="24"/>
        </w:rPr>
      </w:pPr>
    </w:p>
    <w:p w14:paraId="19BC1DD6" w14:textId="77777777" w:rsidR="00323590" w:rsidRPr="006F6E02" w:rsidRDefault="00323590" w:rsidP="00323590">
      <w:pPr>
        <w:spacing w:after="0"/>
        <w:ind w:firstLine="709"/>
        <w:jc w:val="both"/>
        <w:rPr>
          <w:rFonts w:ascii="Times New Roman" w:hAnsi="Times New Roman" w:cs="Times New Roman"/>
          <w:sz w:val="24"/>
          <w:szCs w:val="24"/>
        </w:rPr>
      </w:pPr>
      <w:r w:rsidRPr="006F6E02">
        <w:rPr>
          <w:rFonts w:ascii="Times New Roman" w:hAnsi="Times New Roman" w:cs="Times New Roman"/>
          <w:b/>
          <w:sz w:val="24"/>
          <w:szCs w:val="24"/>
        </w:rPr>
        <w:t>First step</w:t>
      </w:r>
      <w:r w:rsidRPr="006F6E02">
        <w:rPr>
          <w:rFonts w:ascii="Times New Roman" w:hAnsi="Times New Roman" w:cs="Times New Roman"/>
          <w:sz w:val="24"/>
          <w:szCs w:val="24"/>
        </w:rPr>
        <w:t> : appropriate setting for the Model underlying the Reverse causation</w:t>
      </w:r>
    </w:p>
    <w:p w14:paraId="60D15BDA" w14:textId="77777777" w:rsidR="00323590" w:rsidRPr="006F6E02" w:rsidRDefault="00323590" w:rsidP="00323590">
      <w:pPr>
        <w:spacing w:after="0"/>
        <w:ind w:firstLine="709"/>
        <w:jc w:val="both"/>
        <w:rPr>
          <w:rFonts w:ascii="Times New Roman" w:hAnsi="Times New Roman" w:cs="Times New Roman"/>
          <w:sz w:val="24"/>
          <w:szCs w:val="24"/>
        </w:rPr>
      </w:pPr>
    </w:p>
    <w:p w14:paraId="5ABDB47A" w14:textId="77777777" w:rsidR="009650B7" w:rsidRPr="006F6E02" w:rsidRDefault="009650B7" w:rsidP="009650B7">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The results are reported in the following Table 5 :</w:t>
      </w:r>
    </w:p>
    <w:p w14:paraId="3AC196F2" w14:textId="77777777" w:rsidR="00323590" w:rsidRPr="006F6E02" w:rsidRDefault="00323590" w:rsidP="00323590">
      <w:pPr>
        <w:spacing w:after="0"/>
        <w:ind w:firstLine="709"/>
        <w:jc w:val="both"/>
        <w:rPr>
          <w:rFonts w:ascii="Times New Roman" w:hAnsi="Times New Roman" w:cs="Times New Roman"/>
          <w:b/>
          <w:sz w:val="24"/>
          <w:szCs w:val="24"/>
        </w:rPr>
      </w:pPr>
    </w:p>
    <w:p w14:paraId="6160215C" w14:textId="47633526" w:rsidR="00C9171F" w:rsidRPr="00C9171F" w:rsidRDefault="00ED2E71" w:rsidP="00C9171F">
      <w:pPr>
        <w:spacing w:after="0"/>
        <w:jc w:val="both"/>
        <w:rPr>
          <w:rFonts w:ascii="Times New Roman" w:hAnsi="Times New Roman" w:cs="Times New Roman"/>
          <w:b/>
          <w:sz w:val="24"/>
          <w:szCs w:val="24"/>
        </w:rPr>
      </w:pPr>
      <w:r w:rsidRPr="00C9171F">
        <w:rPr>
          <w:rFonts w:ascii="Times New Roman" w:hAnsi="Times New Roman" w:cs="Times New Roman"/>
          <w:b/>
          <w:sz w:val="24"/>
          <w:szCs w:val="24"/>
        </w:rPr>
        <w:t>Table 5.</w:t>
      </w:r>
      <w:r w:rsidRPr="00C9171F">
        <w:rPr>
          <w:rFonts w:ascii="Times New Roman" w:hAnsi="Times New Roman" w:cs="Times New Roman"/>
          <w:sz w:val="24"/>
          <w:szCs w:val="24"/>
        </w:rPr>
        <w:t xml:space="preserve"> Lag selection on 38 obs.</w:t>
      </w:r>
      <w:r w:rsidR="00C9171F" w:rsidRPr="00C9171F">
        <w:rPr>
          <w:rFonts w:ascii="Times New Roman" w:hAnsi="Times New Roman" w:cs="Times New Roman"/>
          <w:sz w:val="24"/>
          <w:szCs w:val="24"/>
        </w:rPr>
        <w:t xml:space="preserve"> for Reverse causation</w:t>
      </w:r>
    </w:p>
    <w:p w14:paraId="2FC88799" w14:textId="42375FB9" w:rsidR="00ED2E71" w:rsidRPr="006F6E02" w:rsidRDefault="00ED2E71" w:rsidP="00ED2E71">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00"/>
        <w:gridCol w:w="1124"/>
        <w:gridCol w:w="1124"/>
        <w:gridCol w:w="1124"/>
      </w:tblGrid>
      <w:tr w:rsidR="00ED2E71" w:rsidRPr="006F6E02" w14:paraId="372F9500" w14:textId="77777777" w:rsidTr="00C93F5D">
        <w:tc>
          <w:tcPr>
            <w:tcW w:w="2265" w:type="dxa"/>
          </w:tcPr>
          <w:p w14:paraId="3B06CF93"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Max lag</w:t>
            </w:r>
          </w:p>
        </w:tc>
        <w:tc>
          <w:tcPr>
            <w:tcW w:w="2265" w:type="dxa"/>
          </w:tcPr>
          <w:p w14:paraId="0F560FD3"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AIC</w:t>
            </w:r>
          </w:p>
        </w:tc>
        <w:tc>
          <w:tcPr>
            <w:tcW w:w="2266" w:type="dxa"/>
          </w:tcPr>
          <w:p w14:paraId="73A9C7D3"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BIC</w:t>
            </w:r>
          </w:p>
        </w:tc>
        <w:tc>
          <w:tcPr>
            <w:tcW w:w="2266" w:type="dxa"/>
          </w:tcPr>
          <w:p w14:paraId="5363D001"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SIC</w:t>
            </w:r>
          </w:p>
        </w:tc>
      </w:tr>
      <w:tr w:rsidR="00ED2E71" w:rsidRPr="006F6E02" w14:paraId="33335F29" w14:textId="77777777" w:rsidTr="00C93F5D">
        <w:tc>
          <w:tcPr>
            <w:tcW w:w="2265" w:type="dxa"/>
          </w:tcPr>
          <w:p w14:paraId="3773E449"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1</w:t>
            </w:r>
          </w:p>
        </w:tc>
        <w:tc>
          <w:tcPr>
            <w:tcW w:w="2265" w:type="dxa"/>
          </w:tcPr>
          <w:p w14:paraId="7409A2B4" w14:textId="77777777" w:rsidR="00ED2E71" w:rsidRPr="006F6E02" w:rsidRDefault="00ED2E71" w:rsidP="00ED2E71">
            <w:pPr>
              <w:jc w:val="center"/>
              <w:rPr>
                <w:rFonts w:ascii="Times New Roman" w:hAnsi="Times New Roman"/>
                <w:sz w:val="24"/>
                <w:szCs w:val="24"/>
              </w:rPr>
            </w:pPr>
            <w:r w:rsidRPr="006F6E02">
              <w:rPr>
                <w:rFonts w:ascii="Times New Roman" w:hAnsi="Times New Roman"/>
                <w:sz w:val="24"/>
                <w:szCs w:val="24"/>
              </w:rPr>
              <w:t>−1.3290</w:t>
            </w:r>
          </w:p>
        </w:tc>
        <w:tc>
          <w:tcPr>
            <w:tcW w:w="2266" w:type="dxa"/>
          </w:tcPr>
          <w:p w14:paraId="30B3B998"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w:t>
            </w:r>
            <w:r w:rsidR="00702EA1" w:rsidRPr="006F6E02">
              <w:rPr>
                <w:rFonts w:ascii="Times New Roman" w:hAnsi="Times New Roman"/>
                <w:sz w:val="24"/>
                <w:szCs w:val="24"/>
              </w:rPr>
              <w:t>1.1135</w:t>
            </w:r>
          </w:p>
        </w:tc>
        <w:tc>
          <w:tcPr>
            <w:tcW w:w="2266" w:type="dxa"/>
          </w:tcPr>
          <w:p w14:paraId="79E3CCC3"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1.2523</w:t>
            </w:r>
          </w:p>
        </w:tc>
      </w:tr>
      <w:tr w:rsidR="00ED2E71" w:rsidRPr="006F6E02" w14:paraId="49FEBB4C" w14:textId="77777777" w:rsidTr="00C93F5D">
        <w:tc>
          <w:tcPr>
            <w:tcW w:w="2265" w:type="dxa"/>
          </w:tcPr>
          <w:p w14:paraId="54D6675C"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2</w:t>
            </w:r>
          </w:p>
        </w:tc>
        <w:tc>
          <w:tcPr>
            <w:tcW w:w="2265" w:type="dxa"/>
          </w:tcPr>
          <w:p w14:paraId="4048087E"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w:t>
            </w:r>
            <w:r w:rsidR="00702EA1" w:rsidRPr="006F6E02">
              <w:rPr>
                <w:rFonts w:ascii="Times New Roman" w:hAnsi="Times New Roman"/>
                <w:sz w:val="24"/>
                <w:szCs w:val="24"/>
              </w:rPr>
              <w:t>1.2702</w:t>
            </w:r>
          </w:p>
        </w:tc>
        <w:tc>
          <w:tcPr>
            <w:tcW w:w="2266" w:type="dxa"/>
          </w:tcPr>
          <w:p w14:paraId="267A9BF9"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w:t>
            </w:r>
            <w:r w:rsidR="00702EA1" w:rsidRPr="006F6E02">
              <w:rPr>
                <w:rFonts w:ascii="Times New Roman" w:hAnsi="Times New Roman"/>
                <w:sz w:val="24"/>
                <w:szCs w:val="24"/>
              </w:rPr>
              <w:t>0.9685</w:t>
            </w:r>
          </w:p>
        </w:tc>
        <w:tc>
          <w:tcPr>
            <w:tcW w:w="2266" w:type="dxa"/>
          </w:tcPr>
          <w:p w14:paraId="48BE5CE6"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1.1629</w:t>
            </w:r>
          </w:p>
        </w:tc>
      </w:tr>
      <w:tr w:rsidR="00ED2E71" w:rsidRPr="006F6E02" w14:paraId="65BE2620" w14:textId="77777777" w:rsidTr="00C93F5D">
        <w:tc>
          <w:tcPr>
            <w:tcW w:w="2265" w:type="dxa"/>
          </w:tcPr>
          <w:p w14:paraId="4C6420FC"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3</w:t>
            </w:r>
          </w:p>
        </w:tc>
        <w:tc>
          <w:tcPr>
            <w:tcW w:w="2265" w:type="dxa"/>
          </w:tcPr>
          <w:p w14:paraId="38523D3D"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w:t>
            </w:r>
            <w:r w:rsidR="00702EA1" w:rsidRPr="006F6E02">
              <w:rPr>
                <w:rFonts w:ascii="Times New Roman" w:hAnsi="Times New Roman"/>
                <w:sz w:val="24"/>
                <w:szCs w:val="24"/>
              </w:rPr>
              <w:t>1.2312</w:t>
            </w:r>
          </w:p>
        </w:tc>
        <w:tc>
          <w:tcPr>
            <w:tcW w:w="2266" w:type="dxa"/>
          </w:tcPr>
          <w:p w14:paraId="460410E5"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0.8434</w:t>
            </w:r>
          </w:p>
        </w:tc>
        <w:tc>
          <w:tcPr>
            <w:tcW w:w="2266" w:type="dxa"/>
          </w:tcPr>
          <w:p w14:paraId="250902D3"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1.0932</w:t>
            </w:r>
          </w:p>
        </w:tc>
      </w:tr>
      <w:tr w:rsidR="00ED2E71" w:rsidRPr="006F6E02" w14:paraId="61401C17" w14:textId="77777777" w:rsidTr="00C93F5D">
        <w:tc>
          <w:tcPr>
            <w:tcW w:w="2265" w:type="dxa"/>
          </w:tcPr>
          <w:p w14:paraId="4AC992C9"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4</w:t>
            </w:r>
          </w:p>
        </w:tc>
        <w:tc>
          <w:tcPr>
            <w:tcW w:w="2265" w:type="dxa"/>
          </w:tcPr>
          <w:p w14:paraId="3210F7D8"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w:t>
            </w:r>
            <w:r w:rsidR="00702EA1" w:rsidRPr="006F6E02">
              <w:rPr>
                <w:rFonts w:ascii="Times New Roman" w:hAnsi="Times New Roman"/>
                <w:sz w:val="24"/>
                <w:szCs w:val="24"/>
              </w:rPr>
              <w:t>1.2281</w:t>
            </w:r>
          </w:p>
        </w:tc>
        <w:tc>
          <w:tcPr>
            <w:tcW w:w="2266" w:type="dxa"/>
          </w:tcPr>
          <w:p w14:paraId="5000F69B"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0.7541</w:t>
            </w:r>
          </w:p>
        </w:tc>
        <w:tc>
          <w:tcPr>
            <w:tcW w:w="2266" w:type="dxa"/>
          </w:tcPr>
          <w:p w14:paraId="500169AE"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1.0595</w:t>
            </w:r>
          </w:p>
        </w:tc>
      </w:tr>
    </w:tbl>
    <w:p w14:paraId="73827D10" w14:textId="77777777" w:rsidR="00ED2E71" w:rsidRPr="006F6E02" w:rsidRDefault="00ED2E71" w:rsidP="00ED2E71">
      <w:pPr>
        <w:spacing w:after="0"/>
        <w:jc w:val="both"/>
        <w:rPr>
          <w:rFonts w:ascii="Times New Roman" w:hAnsi="Times New Roman" w:cs="Times New Roman"/>
          <w:sz w:val="24"/>
          <w:szCs w:val="24"/>
        </w:rPr>
      </w:pPr>
    </w:p>
    <w:p w14:paraId="7004BF6D" w14:textId="77777777" w:rsidR="00A0294C" w:rsidRPr="006F6E02" w:rsidRDefault="00A0294C" w:rsidP="00A0294C">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The selected information criteria suggests an ARDL(1,1) in levels.</w:t>
      </w:r>
    </w:p>
    <w:p w14:paraId="0130B91B" w14:textId="77777777" w:rsidR="00A0294C" w:rsidRPr="006F6E02" w:rsidRDefault="00A0294C" w:rsidP="00A0294C">
      <w:pPr>
        <w:spacing w:after="0"/>
        <w:ind w:firstLine="709"/>
        <w:jc w:val="both"/>
        <w:rPr>
          <w:rFonts w:ascii="Times New Roman" w:hAnsi="Times New Roman" w:cs="Times New Roman"/>
          <w:sz w:val="24"/>
          <w:szCs w:val="24"/>
        </w:rPr>
      </w:pPr>
    </w:p>
    <w:p w14:paraId="4539E1B4" w14:textId="77777777" w:rsidR="003F3718" w:rsidRPr="006F6E02" w:rsidRDefault="003F3718" w:rsidP="003F3718">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b/>
          <w:sz w:val="24"/>
          <w:szCs w:val="24"/>
        </w:rPr>
        <w:t>Second step</w:t>
      </w:r>
      <w:r w:rsidRPr="006F6E02">
        <w:rPr>
          <w:rFonts w:ascii="Times New Roman" w:hAnsi="Times New Roman" w:cs="Times New Roman"/>
          <w:sz w:val="24"/>
          <w:szCs w:val="24"/>
        </w:rPr>
        <w:t> : Cointegration test</w:t>
      </w:r>
    </w:p>
    <w:p w14:paraId="58948644" w14:textId="77777777" w:rsidR="003F3718" w:rsidRPr="006F6E02" w:rsidRDefault="003F3718" w:rsidP="003F3718">
      <w:pPr>
        <w:autoSpaceDE w:val="0"/>
        <w:autoSpaceDN w:val="0"/>
        <w:adjustRightInd w:val="0"/>
        <w:spacing w:after="0" w:line="240" w:lineRule="auto"/>
        <w:ind w:firstLine="709"/>
        <w:rPr>
          <w:rFonts w:ascii="Times New Roman" w:hAnsi="Times New Roman" w:cs="Times New Roman"/>
          <w:sz w:val="24"/>
          <w:szCs w:val="24"/>
        </w:rPr>
      </w:pPr>
    </w:p>
    <w:p w14:paraId="54EFB5C5" w14:textId="1E045B88" w:rsidR="003F3718" w:rsidRPr="006F6E02" w:rsidRDefault="00176533" w:rsidP="003F3718">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 xml:space="preserve">We conduct the test with an Restricted constant and trend upon 999 </w:t>
      </w:r>
      <w:r w:rsidRPr="006F6E02">
        <w:rPr>
          <w:rFonts w:ascii="Times New Roman" w:hAnsi="Times New Roman" w:cs="Times New Roman"/>
          <w:sz w:val="24"/>
          <w:szCs w:val="24"/>
        </w:rPr>
        <w:t>Boostrap replications.</w:t>
      </w:r>
      <w:r>
        <w:rPr>
          <w:rFonts w:ascii="Times New Roman" w:hAnsi="Times New Roman" w:cs="Times New Roman"/>
          <w:sz w:val="24"/>
          <w:szCs w:val="24"/>
        </w:rPr>
        <w:t xml:space="preserve"> </w:t>
      </w:r>
      <w:r w:rsidR="003F3718" w:rsidRPr="006F6E02">
        <w:rPr>
          <w:rFonts w:ascii="Times New Roman" w:hAnsi="Times New Roman" w:cs="Times New Roman"/>
          <w:sz w:val="24"/>
          <w:szCs w:val="24"/>
        </w:rPr>
        <w:t>The results are reported in t</w:t>
      </w:r>
      <w:r w:rsidR="00C25A65" w:rsidRPr="006F6E02">
        <w:rPr>
          <w:rFonts w:ascii="Times New Roman" w:hAnsi="Times New Roman" w:cs="Times New Roman"/>
          <w:sz w:val="24"/>
          <w:szCs w:val="24"/>
        </w:rPr>
        <w:t>he following Table 6</w:t>
      </w:r>
      <w:r w:rsidR="003F3718" w:rsidRPr="006F6E02">
        <w:rPr>
          <w:rFonts w:ascii="Times New Roman" w:hAnsi="Times New Roman" w:cs="Times New Roman"/>
          <w:sz w:val="24"/>
          <w:szCs w:val="24"/>
        </w:rPr>
        <w:t> :</w:t>
      </w:r>
    </w:p>
    <w:p w14:paraId="0B1D22F5" w14:textId="77777777" w:rsidR="003F3718" w:rsidRPr="006F6E02" w:rsidRDefault="003F3718" w:rsidP="003F3718">
      <w:pPr>
        <w:spacing w:after="0"/>
        <w:ind w:firstLine="709"/>
        <w:jc w:val="both"/>
        <w:rPr>
          <w:rFonts w:ascii="Times New Roman" w:hAnsi="Times New Roman" w:cs="Times New Roman"/>
          <w:sz w:val="24"/>
          <w:szCs w:val="24"/>
        </w:rPr>
      </w:pPr>
    </w:p>
    <w:p w14:paraId="77D2C30E" w14:textId="05B61C79" w:rsidR="003F3718" w:rsidRPr="00C9171F" w:rsidRDefault="00C25A65" w:rsidP="00C9171F">
      <w:pPr>
        <w:spacing w:after="0"/>
        <w:jc w:val="both"/>
        <w:rPr>
          <w:rFonts w:ascii="Times New Roman" w:hAnsi="Times New Roman" w:cs="Times New Roman"/>
          <w:sz w:val="24"/>
          <w:szCs w:val="24"/>
        </w:rPr>
      </w:pPr>
      <w:r w:rsidRPr="00C9171F">
        <w:rPr>
          <w:rFonts w:ascii="Times New Roman" w:hAnsi="Times New Roman" w:cs="Times New Roman"/>
          <w:b/>
          <w:sz w:val="24"/>
          <w:szCs w:val="24"/>
        </w:rPr>
        <w:t>Table 6</w:t>
      </w:r>
      <w:r w:rsidR="003F3718" w:rsidRPr="00C9171F">
        <w:rPr>
          <w:rFonts w:ascii="Times New Roman" w:hAnsi="Times New Roman" w:cs="Times New Roman"/>
          <w:b/>
          <w:sz w:val="24"/>
          <w:szCs w:val="24"/>
        </w:rPr>
        <w:t xml:space="preserve">. </w:t>
      </w:r>
      <w:r w:rsidR="003F3718" w:rsidRPr="00C9171F">
        <w:rPr>
          <w:rFonts w:ascii="Times New Roman" w:hAnsi="Times New Roman" w:cs="Times New Roman"/>
          <w:sz w:val="24"/>
          <w:szCs w:val="24"/>
        </w:rPr>
        <w:t xml:space="preserve">PSS bootstrap F-Test based on </w:t>
      </w:r>
      <w:proofErr w:type="gramStart"/>
      <w:r w:rsidR="003F3718" w:rsidRPr="00C9171F">
        <w:rPr>
          <w:rFonts w:ascii="Times New Roman" w:hAnsi="Times New Roman" w:cs="Times New Roman"/>
          <w:sz w:val="24"/>
          <w:szCs w:val="24"/>
        </w:rPr>
        <w:t>ARDL(</w:t>
      </w:r>
      <w:proofErr w:type="gramEnd"/>
      <w:r w:rsidR="003F3718" w:rsidRPr="00C9171F">
        <w:rPr>
          <w:rFonts w:ascii="Times New Roman" w:hAnsi="Times New Roman" w:cs="Times New Roman"/>
          <w:sz w:val="24"/>
          <w:szCs w:val="24"/>
        </w:rPr>
        <w:t>1,1) model</w:t>
      </w:r>
      <w:r w:rsidR="00C9171F" w:rsidRPr="00C9171F">
        <w:rPr>
          <w:rFonts w:ascii="Times New Roman" w:hAnsi="Times New Roman" w:cs="Times New Roman"/>
          <w:sz w:val="24"/>
          <w:szCs w:val="24"/>
        </w:rPr>
        <w:t xml:space="preserve"> for Reverse causation</w:t>
      </w:r>
    </w:p>
    <w:tbl>
      <w:tblPr>
        <w:tblStyle w:val="TableGrid"/>
        <w:tblW w:w="0" w:type="auto"/>
        <w:tblLook w:val="04A0" w:firstRow="1" w:lastRow="0" w:firstColumn="1" w:lastColumn="0" w:noHBand="0" w:noVBand="1"/>
      </w:tblPr>
      <w:tblGrid>
        <w:gridCol w:w="1940"/>
        <w:gridCol w:w="744"/>
        <w:gridCol w:w="744"/>
        <w:gridCol w:w="744"/>
      </w:tblGrid>
      <w:tr w:rsidR="003F3718" w:rsidRPr="006F6E02" w14:paraId="4D851618" w14:textId="77777777" w:rsidTr="00C93F5D">
        <w:tc>
          <w:tcPr>
            <w:tcW w:w="2594" w:type="dxa"/>
          </w:tcPr>
          <w:p w14:paraId="6B91D6CF" w14:textId="77777777" w:rsidR="003F3718" w:rsidRPr="006F6E02" w:rsidRDefault="003F3718" w:rsidP="00C93F5D">
            <w:pPr>
              <w:jc w:val="both"/>
              <w:rPr>
                <w:rFonts w:ascii="Times New Roman" w:hAnsi="Times New Roman"/>
                <w:sz w:val="24"/>
                <w:szCs w:val="24"/>
              </w:rPr>
            </w:pPr>
            <w:r w:rsidRPr="006F6E02">
              <w:rPr>
                <w:rFonts w:ascii="Times New Roman" w:hAnsi="Times New Roman"/>
                <w:sz w:val="24"/>
                <w:szCs w:val="24"/>
              </w:rPr>
              <w:t>Test statistics</w:t>
            </w:r>
          </w:p>
        </w:tc>
        <w:tc>
          <w:tcPr>
            <w:tcW w:w="6468" w:type="dxa"/>
            <w:gridSpan w:val="3"/>
          </w:tcPr>
          <w:p w14:paraId="54EAC499" w14:textId="77777777" w:rsidR="003F3718" w:rsidRPr="006F6E02" w:rsidRDefault="00882D7E" w:rsidP="00C93F5D">
            <w:pPr>
              <w:jc w:val="center"/>
              <w:rPr>
                <w:rFonts w:ascii="Times New Roman" w:hAnsi="Times New Roman"/>
                <w:sz w:val="24"/>
                <w:szCs w:val="24"/>
              </w:rPr>
            </w:pPr>
            <w:r w:rsidRPr="006F6E02">
              <w:rPr>
                <w:rFonts w:ascii="Times New Roman" w:hAnsi="Times New Roman"/>
                <w:sz w:val="24"/>
                <w:szCs w:val="24"/>
              </w:rPr>
              <w:t>4.750</w:t>
            </w:r>
          </w:p>
        </w:tc>
      </w:tr>
      <w:tr w:rsidR="003F3718" w:rsidRPr="006F6E02" w14:paraId="47B912AF" w14:textId="77777777" w:rsidTr="00C93F5D">
        <w:tc>
          <w:tcPr>
            <w:tcW w:w="2594" w:type="dxa"/>
          </w:tcPr>
          <w:p w14:paraId="05AD81DF" w14:textId="77777777" w:rsidR="003F3718" w:rsidRPr="006F6E02" w:rsidRDefault="003F3718" w:rsidP="00C93F5D">
            <w:pPr>
              <w:ind w:firstLine="709"/>
              <w:rPr>
                <w:rFonts w:ascii="Times New Roman" w:hAnsi="Times New Roman"/>
                <w:sz w:val="24"/>
                <w:szCs w:val="24"/>
              </w:rPr>
            </w:pPr>
            <w:r w:rsidRPr="006F6E02">
              <w:rPr>
                <w:rFonts w:ascii="Times New Roman" w:hAnsi="Times New Roman"/>
                <w:sz w:val="24"/>
                <w:szCs w:val="24"/>
              </w:rPr>
              <w:t>Critical values</w:t>
            </w:r>
          </w:p>
        </w:tc>
        <w:tc>
          <w:tcPr>
            <w:tcW w:w="2156" w:type="dxa"/>
          </w:tcPr>
          <w:p w14:paraId="6C5BF1BF" w14:textId="77777777" w:rsidR="003F3718" w:rsidRPr="006F6E02" w:rsidRDefault="003F3718" w:rsidP="00C93F5D">
            <w:pPr>
              <w:jc w:val="center"/>
              <w:rPr>
                <w:rFonts w:ascii="Times New Roman" w:hAnsi="Times New Roman"/>
                <w:sz w:val="24"/>
                <w:szCs w:val="24"/>
              </w:rPr>
            </w:pPr>
            <w:r w:rsidRPr="006F6E02">
              <w:rPr>
                <w:rFonts w:ascii="Times New Roman" w:hAnsi="Times New Roman"/>
                <w:sz w:val="24"/>
                <w:szCs w:val="24"/>
              </w:rPr>
              <w:t>1%</w:t>
            </w:r>
          </w:p>
        </w:tc>
        <w:tc>
          <w:tcPr>
            <w:tcW w:w="2156" w:type="dxa"/>
          </w:tcPr>
          <w:p w14:paraId="1E560CE6" w14:textId="77777777" w:rsidR="003F3718" w:rsidRPr="006F6E02" w:rsidRDefault="003F3718" w:rsidP="00C93F5D">
            <w:pPr>
              <w:jc w:val="center"/>
              <w:rPr>
                <w:rFonts w:ascii="Times New Roman" w:hAnsi="Times New Roman"/>
                <w:sz w:val="24"/>
                <w:szCs w:val="24"/>
              </w:rPr>
            </w:pPr>
            <w:r w:rsidRPr="006F6E02">
              <w:rPr>
                <w:rFonts w:ascii="Times New Roman" w:hAnsi="Times New Roman"/>
                <w:sz w:val="24"/>
                <w:szCs w:val="24"/>
              </w:rPr>
              <w:t>5%</w:t>
            </w:r>
          </w:p>
        </w:tc>
        <w:tc>
          <w:tcPr>
            <w:tcW w:w="2156" w:type="dxa"/>
          </w:tcPr>
          <w:p w14:paraId="6639853B" w14:textId="77777777" w:rsidR="003F3718" w:rsidRPr="006F6E02" w:rsidRDefault="003F3718" w:rsidP="00C93F5D">
            <w:pPr>
              <w:jc w:val="center"/>
              <w:rPr>
                <w:rFonts w:ascii="Times New Roman" w:hAnsi="Times New Roman"/>
                <w:sz w:val="24"/>
                <w:szCs w:val="24"/>
              </w:rPr>
            </w:pPr>
            <w:r w:rsidRPr="006F6E02">
              <w:rPr>
                <w:rFonts w:ascii="Times New Roman" w:hAnsi="Times New Roman"/>
                <w:sz w:val="24"/>
                <w:szCs w:val="24"/>
              </w:rPr>
              <w:t>10%</w:t>
            </w:r>
          </w:p>
        </w:tc>
      </w:tr>
      <w:tr w:rsidR="003F3718" w:rsidRPr="006F6E02" w14:paraId="625DB451" w14:textId="77777777" w:rsidTr="00C93F5D">
        <w:tc>
          <w:tcPr>
            <w:tcW w:w="2594" w:type="dxa"/>
          </w:tcPr>
          <w:p w14:paraId="220E8CC8" w14:textId="77777777" w:rsidR="003F3718" w:rsidRPr="006F6E02" w:rsidRDefault="003F3718" w:rsidP="00C93F5D">
            <w:pPr>
              <w:ind w:firstLine="709"/>
              <w:rPr>
                <w:rFonts w:ascii="Times New Roman" w:hAnsi="Times New Roman"/>
                <w:sz w:val="24"/>
                <w:szCs w:val="24"/>
              </w:rPr>
            </w:pPr>
          </w:p>
        </w:tc>
        <w:tc>
          <w:tcPr>
            <w:tcW w:w="2156" w:type="dxa"/>
          </w:tcPr>
          <w:p w14:paraId="233B99E4" w14:textId="77777777" w:rsidR="003F3718" w:rsidRPr="006F6E02" w:rsidRDefault="00861758" w:rsidP="00C93F5D">
            <w:pPr>
              <w:jc w:val="center"/>
              <w:rPr>
                <w:rFonts w:ascii="Times New Roman" w:hAnsi="Times New Roman"/>
                <w:sz w:val="24"/>
                <w:szCs w:val="24"/>
              </w:rPr>
            </w:pPr>
            <w:r w:rsidRPr="006F6E02">
              <w:rPr>
                <w:rFonts w:ascii="Times New Roman" w:hAnsi="Times New Roman"/>
                <w:sz w:val="24"/>
                <w:szCs w:val="24"/>
              </w:rPr>
              <w:t>7.048</w:t>
            </w:r>
          </w:p>
        </w:tc>
        <w:tc>
          <w:tcPr>
            <w:tcW w:w="2156" w:type="dxa"/>
          </w:tcPr>
          <w:p w14:paraId="408B9360" w14:textId="77777777" w:rsidR="003F3718" w:rsidRPr="006F6E02" w:rsidRDefault="00AC3F2F" w:rsidP="00C93F5D">
            <w:pPr>
              <w:jc w:val="center"/>
              <w:rPr>
                <w:rFonts w:ascii="Times New Roman" w:hAnsi="Times New Roman"/>
                <w:sz w:val="24"/>
                <w:szCs w:val="24"/>
              </w:rPr>
            </w:pPr>
            <w:r w:rsidRPr="006F6E02">
              <w:rPr>
                <w:rFonts w:ascii="Times New Roman" w:hAnsi="Times New Roman"/>
                <w:sz w:val="24"/>
                <w:szCs w:val="24"/>
              </w:rPr>
              <w:t>4.831</w:t>
            </w:r>
          </w:p>
        </w:tc>
        <w:tc>
          <w:tcPr>
            <w:tcW w:w="2156" w:type="dxa"/>
          </w:tcPr>
          <w:p w14:paraId="45A191A8" w14:textId="77777777" w:rsidR="003F3718" w:rsidRPr="006F6E02" w:rsidRDefault="00B6584D" w:rsidP="00C93F5D">
            <w:pPr>
              <w:jc w:val="center"/>
              <w:rPr>
                <w:rFonts w:ascii="Times New Roman" w:hAnsi="Times New Roman"/>
                <w:sz w:val="24"/>
                <w:szCs w:val="24"/>
              </w:rPr>
            </w:pPr>
            <w:r w:rsidRPr="006F6E02">
              <w:rPr>
                <w:rFonts w:ascii="Times New Roman" w:hAnsi="Times New Roman"/>
                <w:sz w:val="24"/>
                <w:szCs w:val="24"/>
              </w:rPr>
              <w:t>4.021</w:t>
            </w:r>
          </w:p>
        </w:tc>
      </w:tr>
      <w:tr w:rsidR="003F3718" w:rsidRPr="006F6E02" w14:paraId="1D57ECF9" w14:textId="77777777" w:rsidTr="00C93F5D">
        <w:tc>
          <w:tcPr>
            <w:tcW w:w="2594" w:type="dxa"/>
          </w:tcPr>
          <w:p w14:paraId="3FDB82E8" w14:textId="77777777" w:rsidR="003F3718" w:rsidRPr="006F6E02" w:rsidRDefault="003F3718" w:rsidP="00C93F5D">
            <w:pPr>
              <w:ind w:firstLine="709"/>
              <w:jc w:val="both"/>
              <w:rPr>
                <w:rFonts w:ascii="Times New Roman" w:hAnsi="Times New Roman"/>
                <w:sz w:val="24"/>
                <w:szCs w:val="24"/>
              </w:rPr>
            </w:pPr>
            <w:r w:rsidRPr="006F6E02">
              <w:rPr>
                <w:rFonts w:ascii="Times New Roman" w:hAnsi="Times New Roman"/>
                <w:sz w:val="24"/>
                <w:szCs w:val="24"/>
              </w:rPr>
              <w:t>Bootstrap p-value</w:t>
            </w:r>
          </w:p>
          <w:p w14:paraId="6339E54E" w14:textId="77777777" w:rsidR="003F3718" w:rsidRPr="006F6E02" w:rsidRDefault="003F3718" w:rsidP="00C93F5D">
            <w:pPr>
              <w:ind w:firstLine="709"/>
              <w:rPr>
                <w:rFonts w:ascii="Times New Roman" w:hAnsi="Times New Roman"/>
                <w:sz w:val="24"/>
                <w:szCs w:val="24"/>
              </w:rPr>
            </w:pPr>
          </w:p>
        </w:tc>
        <w:tc>
          <w:tcPr>
            <w:tcW w:w="6468" w:type="dxa"/>
            <w:gridSpan w:val="3"/>
          </w:tcPr>
          <w:p w14:paraId="3F1ED82C" w14:textId="77777777" w:rsidR="003F3718" w:rsidRPr="006F6E02" w:rsidRDefault="003C6B99" w:rsidP="00C93F5D">
            <w:pPr>
              <w:jc w:val="center"/>
              <w:rPr>
                <w:rFonts w:ascii="Times New Roman" w:hAnsi="Times New Roman"/>
                <w:sz w:val="24"/>
                <w:szCs w:val="24"/>
              </w:rPr>
            </w:pPr>
            <w:r w:rsidRPr="006F6E02">
              <w:rPr>
                <w:rFonts w:ascii="Times New Roman" w:hAnsi="Times New Roman"/>
                <w:sz w:val="24"/>
                <w:szCs w:val="24"/>
              </w:rPr>
              <w:t>0.056</w:t>
            </w:r>
          </w:p>
        </w:tc>
      </w:tr>
      <w:tr w:rsidR="003F3718" w:rsidRPr="006F6E02" w14:paraId="3EFFCD3D" w14:textId="77777777" w:rsidTr="00C93F5D">
        <w:tc>
          <w:tcPr>
            <w:tcW w:w="2594" w:type="dxa"/>
          </w:tcPr>
          <w:p w14:paraId="512ACFE4" w14:textId="77777777" w:rsidR="003F3718" w:rsidRPr="006F6E02" w:rsidRDefault="003F3718" w:rsidP="00C93F5D">
            <w:pPr>
              <w:ind w:firstLine="709"/>
              <w:jc w:val="both"/>
              <w:rPr>
                <w:rFonts w:ascii="Times New Roman" w:hAnsi="Times New Roman"/>
                <w:sz w:val="24"/>
                <w:szCs w:val="24"/>
              </w:rPr>
            </w:pPr>
            <w:r w:rsidRPr="006F6E02">
              <w:rPr>
                <w:rFonts w:ascii="Times New Roman" w:hAnsi="Times New Roman"/>
                <w:sz w:val="24"/>
                <w:szCs w:val="24"/>
              </w:rPr>
              <w:t>Percentage of failed iterations</w:t>
            </w:r>
          </w:p>
        </w:tc>
        <w:tc>
          <w:tcPr>
            <w:tcW w:w="6468" w:type="dxa"/>
            <w:gridSpan w:val="3"/>
          </w:tcPr>
          <w:p w14:paraId="727649F2" w14:textId="77777777" w:rsidR="003F3718" w:rsidRPr="006F6E02" w:rsidRDefault="003C6B99" w:rsidP="00C93F5D">
            <w:pPr>
              <w:jc w:val="center"/>
              <w:rPr>
                <w:rFonts w:ascii="Times New Roman" w:hAnsi="Times New Roman"/>
                <w:sz w:val="24"/>
                <w:szCs w:val="24"/>
              </w:rPr>
            </w:pPr>
            <w:r w:rsidRPr="006F6E02">
              <w:rPr>
                <w:rFonts w:ascii="Times New Roman" w:hAnsi="Times New Roman"/>
                <w:sz w:val="24"/>
                <w:szCs w:val="24"/>
              </w:rPr>
              <w:t>2</w:t>
            </w:r>
            <w:r w:rsidR="003F3718" w:rsidRPr="006F6E02">
              <w:rPr>
                <w:rFonts w:ascii="Times New Roman" w:hAnsi="Times New Roman"/>
                <w:sz w:val="24"/>
                <w:szCs w:val="24"/>
              </w:rPr>
              <w:t>.50</w:t>
            </w:r>
          </w:p>
        </w:tc>
      </w:tr>
    </w:tbl>
    <w:p w14:paraId="76716E9B" w14:textId="77777777" w:rsidR="003F3718" w:rsidRPr="006F6E02" w:rsidRDefault="003F3718" w:rsidP="003F3718">
      <w:pPr>
        <w:spacing w:after="0"/>
        <w:jc w:val="both"/>
        <w:rPr>
          <w:rFonts w:ascii="Times New Roman" w:hAnsi="Times New Roman" w:cs="Times New Roman"/>
          <w:sz w:val="20"/>
          <w:szCs w:val="20"/>
        </w:rPr>
      </w:pPr>
      <w:r w:rsidRPr="006F6E02">
        <w:rPr>
          <w:rFonts w:ascii="Times New Roman" w:hAnsi="Times New Roman" w:cs="Times New Roman"/>
          <w:sz w:val="20"/>
          <w:szCs w:val="20"/>
        </w:rPr>
        <w:t>Source : Author</w:t>
      </w:r>
    </w:p>
    <w:p w14:paraId="78AD1B27" w14:textId="77777777" w:rsidR="003F3718" w:rsidRPr="006F6E02" w:rsidRDefault="003F3718" w:rsidP="003F3718">
      <w:pPr>
        <w:spacing w:after="0"/>
        <w:jc w:val="both"/>
        <w:rPr>
          <w:rFonts w:ascii="Times New Roman" w:hAnsi="Times New Roman" w:cs="Times New Roman"/>
          <w:sz w:val="24"/>
          <w:szCs w:val="24"/>
        </w:rPr>
      </w:pPr>
    </w:p>
    <w:p w14:paraId="23F7A845" w14:textId="77777777" w:rsidR="003F3718" w:rsidRPr="006F6E02" w:rsidRDefault="003F3718" w:rsidP="003F3718">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 xml:space="preserve">Over </w:t>
      </w:r>
      <w:r w:rsidR="003C6B99" w:rsidRPr="006F6E02">
        <w:rPr>
          <w:rFonts w:ascii="Times New Roman" w:hAnsi="Times New Roman" w:cs="Times New Roman"/>
          <w:sz w:val="24"/>
          <w:szCs w:val="24"/>
        </w:rPr>
        <w:t>2</w:t>
      </w:r>
      <w:r w:rsidRPr="006F6E02">
        <w:rPr>
          <w:rFonts w:ascii="Times New Roman" w:hAnsi="Times New Roman" w:cs="Times New Roman"/>
          <w:sz w:val="24"/>
          <w:szCs w:val="24"/>
        </w:rPr>
        <w:t xml:space="preserve">50% of the bootstrap models were dynamically unstable indicating a </w:t>
      </w:r>
      <w:r w:rsidR="00B47012" w:rsidRPr="006F6E02">
        <w:rPr>
          <w:rFonts w:ascii="Times New Roman" w:hAnsi="Times New Roman" w:cs="Times New Roman"/>
          <w:sz w:val="24"/>
          <w:szCs w:val="24"/>
        </w:rPr>
        <w:t xml:space="preserve">not </w:t>
      </w:r>
      <w:r w:rsidRPr="006F6E02">
        <w:rPr>
          <w:rFonts w:ascii="Times New Roman" w:hAnsi="Times New Roman" w:cs="Times New Roman"/>
          <w:sz w:val="24"/>
          <w:szCs w:val="24"/>
        </w:rPr>
        <w:t xml:space="preserve">reasonable ARDL specification. </w:t>
      </w:r>
      <w:r w:rsidR="00B47012" w:rsidRPr="006F6E02">
        <w:rPr>
          <w:rFonts w:ascii="Times New Roman" w:hAnsi="Times New Roman" w:cs="Times New Roman"/>
          <w:sz w:val="24"/>
          <w:szCs w:val="24"/>
        </w:rPr>
        <w:t>Meanwhile t</w:t>
      </w:r>
      <w:r w:rsidRPr="006F6E02">
        <w:rPr>
          <w:rFonts w:ascii="Times New Roman" w:hAnsi="Times New Roman" w:cs="Times New Roman"/>
          <w:sz w:val="24"/>
          <w:szCs w:val="24"/>
        </w:rPr>
        <w:t xml:space="preserve">he bootstrap p-value is </w:t>
      </w:r>
      <w:r w:rsidR="003C6B99" w:rsidRPr="006F6E02">
        <w:rPr>
          <w:rFonts w:ascii="Times New Roman" w:hAnsi="Times New Roman" w:cs="Times New Roman"/>
          <w:sz w:val="24"/>
          <w:szCs w:val="24"/>
        </w:rPr>
        <w:t>5.</w:t>
      </w:r>
      <w:r w:rsidRPr="006F6E02">
        <w:rPr>
          <w:rFonts w:ascii="Times New Roman" w:hAnsi="Times New Roman" w:cs="Times New Roman"/>
          <w:sz w:val="24"/>
          <w:szCs w:val="24"/>
        </w:rPr>
        <w:t>6</w:t>
      </w:r>
      <w:r w:rsidR="005A4A3E" w:rsidRPr="006F6E02">
        <w:rPr>
          <w:rFonts w:ascii="Times New Roman" w:hAnsi="Times New Roman" w:cs="Times New Roman"/>
          <w:sz w:val="24"/>
          <w:szCs w:val="24"/>
        </w:rPr>
        <w:t>% and such that we can</w:t>
      </w:r>
      <w:r w:rsidRPr="006F6E02">
        <w:rPr>
          <w:rFonts w:ascii="Times New Roman" w:hAnsi="Times New Roman" w:cs="Times New Roman"/>
          <w:sz w:val="24"/>
          <w:szCs w:val="24"/>
        </w:rPr>
        <w:t xml:space="preserve"> safely reject the null of no cointegration.</w:t>
      </w:r>
    </w:p>
    <w:p w14:paraId="6EFF37B4" w14:textId="77777777" w:rsidR="00540493" w:rsidRPr="006F6E02" w:rsidRDefault="00540493" w:rsidP="003F3718">
      <w:pPr>
        <w:spacing w:after="0"/>
        <w:rPr>
          <w:rFonts w:ascii="Times New Roman" w:hAnsi="Times New Roman" w:cs="Times New Roman"/>
          <w:b/>
          <w:sz w:val="24"/>
          <w:szCs w:val="24"/>
        </w:rPr>
      </w:pPr>
    </w:p>
    <w:p w14:paraId="5008F006" w14:textId="77777777" w:rsidR="002C2664" w:rsidRPr="006F6E02" w:rsidRDefault="002C2664" w:rsidP="002C2664">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b/>
          <w:sz w:val="24"/>
          <w:szCs w:val="24"/>
        </w:rPr>
        <w:t>Third step</w:t>
      </w:r>
      <w:r w:rsidRPr="006F6E02">
        <w:rPr>
          <w:rFonts w:ascii="Times New Roman" w:hAnsi="Times New Roman" w:cs="Times New Roman"/>
          <w:sz w:val="24"/>
          <w:szCs w:val="24"/>
        </w:rPr>
        <w:t> : Thirdly we will proceed with the parameter estimates of the</w:t>
      </w:r>
      <w:r w:rsidR="00B47012" w:rsidRPr="006F6E02">
        <w:rPr>
          <w:rFonts w:ascii="Times New Roman" w:hAnsi="Times New Roman" w:cs="Times New Roman"/>
          <w:sz w:val="24"/>
          <w:szCs w:val="24"/>
        </w:rPr>
        <w:t xml:space="preserve"> ARDL</w:t>
      </w:r>
      <w:r w:rsidRPr="006F6E02">
        <w:rPr>
          <w:rFonts w:ascii="Times New Roman" w:hAnsi="Times New Roman" w:cs="Times New Roman"/>
          <w:sz w:val="24"/>
          <w:szCs w:val="24"/>
        </w:rPr>
        <w:t>(1,1) for the Model underlying the Reverse causation. The results are c</w:t>
      </w:r>
      <w:r w:rsidR="00632B75" w:rsidRPr="006F6E02">
        <w:rPr>
          <w:rFonts w:ascii="Times New Roman" w:hAnsi="Times New Roman" w:cs="Times New Roman"/>
          <w:sz w:val="24"/>
          <w:szCs w:val="24"/>
        </w:rPr>
        <w:t>ompiled in the following Table 7</w:t>
      </w:r>
      <w:r w:rsidRPr="006F6E02">
        <w:rPr>
          <w:rFonts w:ascii="Times New Roman" w:hAnsi="Times New Roman" w:cs="Times New Roman"/>
          <w:sz w:val="24"/>
          <w:szCs w:val="24"/>
        </w:rPr>
        <w:t> :</w:t>
      </w:r>
    </w:p>
    <w:p w14:paraId="01ECE4EF" w14:textId="77777777" w:rsidR="002C2664" w:rsidRPr="006F6E02" w:rsidRDefault="002C2664" w:rsidP="002C2664">
      <w:pPr>
        <w:autoSpaceDE w:val="0"/>
        <w:autoSpaceDN w:val="0"/>
        <w:adjustRightInd w:val="0"/>
        <w:spacing w:after="0" w:line="240" w:lineRule="auto"/>
        <w:rPr>
          <w:rFonts w:ascii="Times New Roman" w:hAnsi="Times New Roman" w:cs="Times New Roman"/>
          <w:sz w:val="24"/>
          <w:szCs w:val="24"/>
        </w:rPr>
      </w:pPr>
    </w:p>
    <w:p w14:paraId="57695527" w14:textId="77777777" w:rsidR="002040E1" w:rsidRDefault="002040E1" w:rsidP="002C2664">
      <w:pPr>
        <w:autoSpaceDE w:val="0"/>
        <w:autoSpaceDN w:val="0"/>
        <w:adjustRightInd w:val="0"/>
        <w:spacing w:after="0" w:line="240" w:lineRule="auto"/>
        <w:rPr>
          <w:rFonts w:ascii="Times New Roman" w:hAnsi="Times New Roman" w:cs="Times New Roman"/>
          <w:b/>
          <w:sz w:val="24"/>
          <w:szCs w:val="24"/>
        </w:rPr>
      </w:pPr>
    </w:p>
    <w:p w14:paraId="781754A0" w14:textId="4A5FC730" w:rsidR="002C2664" w:rsidRPr="006F6E02" w:rsidRDefault="00632B75" w:rsidP="002C2664">
      <w:pPr>
        <w:autoSpaceDE w:val="0"/>
        <w:autoSpaceDN w:val="0"/>
        <w:adjustRightInd w:val="0"/>
        <w:spacing w:after="0" w:line="240" w:lineRule="auto"/>
        <w:rPr>
          <w:rFonts w:ascii="Times New Roman" w:hAnsi="Times New Roman" w:cs="Times New Roman"/>
          <w:b/>
          <w:sz w:val="24"/>
          <w:szCs w:val="24"/>
        </w:rPr>
      </w:pPr>
      <w:r w:rsidRPr="006F6E02">
        <w:rPr>
          <w:rFonts w:ascii="Times New Roman" w:hAnsi="Times New Roman" w:cs="Times New Roman"/>
          <w:b/>
          <w:sz w:val="24"/>
          <w:szCs w:val="24"/>
        </w:rPr>
        <w:t>Table 7</w:t>
      </w:r>
      <w:r w:rsidR="002C2664" w:rsidRPr="006F6E02">
        <w:rPr>
          <w:rFonts w:ascii="Times New Roman" w:hAnsi="Times New Roman" w:cs="Times New Roman"/>
          <w:b/>
          <w:sz w:val="24"/>
          <w:szCs w:val="24"/>
        </w:rPr>
        <w:t xml:space="preserve">.  </w:t>
      </w:r>
      <w:r w:rsidR="002C2664" w:rsidRPr="006F6E02">
        <w:rPr>
          <w:rFonts w:ascii="Times New Roman" w:hAnsi="Times New Roman" w:cs="Times New Roman"/>
          <w:sz w:val="24"/>
          <w:szCs w:val="24"/>
        </w:rPr>
        <w:t>Estimates of the ARDL(1,1)</w:t>
      </w:r>
      <w:r w:rsidR="00D46F37" w:rsidRPr="006F6E02">
        <w:rPr>
          <w:rFonts w:ascii="Times New Roman" w:hAnsi="Times New Roman" w:cs="Times New Roman"/>
          <w:sz w:val="24"/>
          <w:szCs w:val="24"/>
        </w:rPr>
        <w:t xml:space="preserve"> for the Reverse causation</w:t>
      </w:r>
    </w:p>
    <w:tbl>
      <w:tblPr>
        <w:tblStyle w:val="TableGrid"/>
        <w:tblW w:w="0" w:type="auto"/>
        <w:tblLook w:val="04A0" w:firstRow="1" w:lastRow="0" w:firstColumn="1" w:lastColumn="0" w:noHBand="0" w:noVBand="1"/>
      </w:tblPr>
      <w:tblGrid>
        <w:gridCol w:w="2030"/>
        <w:gridCol w:w="2142"/>
      </w:tblGrid>
      <w:tr w:rsidR="002C2664" w:rsidRPr="006F6E02" w14:paraId="30EC3B77" w14:textId="77777777" w:rsidTr="00C93F5D">
        <w:tc>
          <w:tcPr>
            <w:tcW w:w="4531" w:type="dxa"/>
          </w:tcPr>
          <w:p w14:paraId="321679FC" w14:textId="77777777" w:rsidR="002C2664" w:rsidRPr="006F6E02" w:rsidRDefault="002C2664" w:rsidP="00632B75">
            <w:pPr>
              <w:autoSpaceDE w:val="0"/>
              <w:autoSpaceDN w:val="0"/>
              <w:adjustRightInd w:val="0"/>
              <w:rPr>
                <w:rFonts w:ascii="Times New Roman" w:hAnsi="Times New Roman"/>
                <w:sz w:val="24"/>
                <w:szCs w:val="24"/>
              </w:rPr>
            </w:pPr>
            <m:oMathPara>
              <m:oMath>
                <m:r>
                  <w:rPr>
                    <w:rFonts w:ascii="Cambria Math" w:hAnsi="Cambria Math"/>
                    <w:sz w:val="24"/>
                    <w:szCs w:val="24"/>
                    <w:lang w:val="fr-CM"/>
                  </w:rPr>
                  <m:t>∆DD</m:t>
                </m:r>
              </m:oMath>
            </m:oMathPara>
          </w:p>
        </w:tc>
        <w:tc>
          <w:tcPr>
            <w:tcW w:w="4531" w:type="dxa"/>
          </w:tcPr>
          <w:p w14:paraId="23528CB2" w14:textId="32AC01BE" w:rsidR="002C2664" w:rsidRPr="006F6E02" w:rsidRDefault="00176533" w:rsidP="00C93F5D">
            <w:pPr>
              <w:autoSpaceDE w:val="0"/>
              <w:autoSpaceDN w:val="0"/>
              <w:adjustRightInd w:val="0"/>
              <w:jc w:val="center"/>
              <w:rPr>
                <w:rFonts w:ascii="Times New Roman" w:hAnsi="Times New Roman"/>
                <w:sz w:val="24"/>
                <w:szCs w:val="24"/>
              </w:rPr>
            </w:pPr>
            <w:r>
              <w:rPr>
                <w:rFonts w:ascii="Times New Roman" w:hAnsi="Times New Roman"/>
                <w:sz w:val="24"/>
                <w:szCs w:val="24"/>
              </w:rPr>
              <w:t>(4</w:t>
            </w:r>
            <w:r w:rsidR="002C2664" w:rsidRPr="006F6E02">
              <w:rPr>
                <w:rFonts w:ascii="Times New Roman" w:hAnsi="Times New Roman"/>
                <w:sz w:val="24"/>
                <w:szCs w:val="24"/>
              </w:rPr>
              <w:t>)</w:t>
            </w:r>
          </w:p>
        </w:tc>
      </w:tr>
      <w:tr w:rsidR="002C2664" w:rsidRPr="006F6E02" w14:paraId="5A18A01F" w14:textId="77777777" w:rsidTr="00C93F5D">
        <w:tc>
          <w:tcPr>
            <w:tcW w:w="9062" w:type="dxa"/>
            <w:gridSpan w:val="2"/>
          </w:tcPr>
          <w:p w14:paraId="71B223E9" w14:textId="77777777" w:rsidR="002C2664" w:rsidRPr="006F6E02" w:rsidRDefault="002C2664" w:rsidP="00C93F5D">
            <w:pPr>
              <w:autoSpaceDE w:val="0"/>
              <w:autoSpaceDN w:val="0"/>
              <w:adjustRightInd w:val="0"/>
              <w:rPr>
                <w:rFonts w:ascii="Times New Roman" w:hAnsi="Times New Roman"/>
                <w:sz w:val="24"/>
                <w:szCs w:val="24"/>
              </w:rPr>
            </w:pPr>
            <w:r w:rsidRPr="006F6E02">
              <w:rPr>
                <w:rStyle w:val="y2iqfc"/>
                <w:rFonts w:ascii="Times New Roman" w:eastAsiaTheme="minorEastAsia" w:hAnsi="Times New Roman"/>
                <w:i/>
                <w:sz w:val="24"/>
                <w:szCs w:val="24"/>
              </w:rPr>
              <w:t>Short run parameters</w:t>
            </w:r>
          </w:p>
        </w:tc>
      </w:tr>
      <w:tr w:rsidR="002C2664" w:rsidRPr="006F6E02" w14:paraId="7EC1261C" w14:textId="77777777" w:rsidTr="00C93F5D">
        <w:tc>
          <w:tcPr>
            <w:tcW w:w="4531" w:type="dxa"/>
          </w:tcPr>
          <w:p w14:paraId="7DC3B67A" w14:textId="77777777" w:rsidR="002C2664" w:rsidRPr="006F6E02" w:rsidRDefault="002C2664" w:rsidP="00C93F5D">
            <w:pPr>
              <w:jc w:val="center"/>
              <w:rPr>
                <w:rFonts w:ascii="Times New Roman" w:hAnsi="Times New Roman"/>
                <w:sz w:val="24"/>
                <w:szCs w:val="24"/>
              </w:rPr>
            </w:pPr>
            <m:oMathPara>
              <m:oMathParaPr>
                <m:jc m:val="left"/>
              </m:oMathParaPr>
              <m:oMath>
                <m:r>
                  <w:rPr>
                    <w:rFonts w:ascii="Cambria Math" w:hAnsi="Cambria Math"/>
                    <w:sz w:val="24"/>
                    <w:szCs w:val="24"/>
                    <w:lang w:val="fr-CM"/>
                  </w:rPr>
                  <m:t>∆REER</m:t>
                </m:r>
              </m:oMath>
            </m:oMathPara>
          </w:p>
        </w:tc>
        <w:tc>
          <w:tcPr>
            <w:tcW w:w="4531" w:type="dxa"/>
          </w:tcPr>
          <w:p w14:paraId="583C51C4" w14:textId="77777777" w:rsidR="002C2664" w:rsidRPr="006F6E02" w:rsidRDefault="00D541FD"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0.32</w:t>
            </w:r>
            <w:r w:rsidR="002C2664" w:rsidRPr="006F6E02">
              <w:rPr>
                <w:rFonts w:ascii="Times New Roman" w:hAnsi="Times New Roman"/>
                <w:sz w:val="24"/>
                <w:szCs w:val="24"/>
              </w:rPr>
              <w:t>**</w:t>
            </w:r>
          </w:p>
          <w:p w14:paraId="1D19B854" w14:textId="77777777" w:rsidR="002C2664" w:rsidRPr="006F6E02" w:rsidRDefault="002C2664" w:rsidP="00D541F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(0.1</w:t>
            </w:r>
            <w:r w:rsidR="00D541FD" w:rsidRPr="006F6E02">
              <w:rPr>
                <w:rFonts w:ascii="Times New Roman" w:hAnsi="Times New Roman"/>
                <w:sz w:val="24"/>
                <w:szCs w:val="24"/>
              </w:rPr>
              <w:t>1</w:t>
            </w:r>
            <w:r w:rsidRPr="006F6E02">
              <w:rPr>
                <w:rFonts w:ascii="Times New Roman" w:hAnsi="Times New Roman"/>
                <w:sz w:val="24"/>
                <w:szCs w:val="24"/>
              </w:rPr>
              <w:t>)</w:t>
            </w:r>
          </w:p>
        </w:tc>
      </w:tr>
      <w:tr w:rsidR="002C2664" w:rsidRPr="006F6E02" w14:paraId="3A42F040" w14:textId="77777777" w:rsidTr="00C93F5D">
        <w:tc>
          <w:tcPr>
            <w:tcW w:w="4531" w:type="dxa"/>
          </w:tcPr>
          <w:p w14:paraId="52DFF7D5" w14:textId="77777777" w:rsidR="002C2664" w:rsidRPr="006F6E02" w:rsidRDefault="00632B75" w:rsidP="00C93F5D">
            <w:pPr>
              <w:rPr>
                <w:rFonts w:ascii="Times New Roman" w:hAnsi="Times New Roman"/>
                <w:sz w:val="24"/>
                <w:szCs w:val="24"/>
              </w:rPr>
            </w:pPr>
            <m:oMathPara>
              <m:oMathParaPr>
                <m:jc m:val="left"/>
              </m:oMathParaPr>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m:oMathPara>
          </w:p>
        </w:tc>
        <w:tc>
          <w:tcPr>
            <w:tcW w:w="4531" w:type="dxa"/>
          </w:tcPr>
          <w:p w14:paraId="7533835D" w14:textId="77777777" w:rsidR="002C2664" w:rsidRPr="006F6E02" w:rsidRDefault="002C2664"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w:t>
            </w:r>
            <w:r w:rsidR="002416C8" w:rsidRPr="006F6E02">
              <w:rPr>
                <w:rFonts w:ascii="Times New Roman" w:hAnsi="Times New Roman"/>
                <w:sz w:val="24"/>
                <w:szCs w:val="24"/>
              </w:rPr>
              <w:t>0.56</w:t>
            </w:r>
            <w:r w:rsidRPr="006F6E02">
              <w:rPr>
                <w:rFonts w:ascii="Times New Roman" w:hAnsi="Times New Roman"/>
                <w:sz w:val="24"/>
                <w:szCs w:val="24"/>
              </w:rPr>
              <w:t>*</w:t>
            </w:r>
            <w:r w:rsidR="002416C8" w:rsidRPr="006F6E02">
              <w:rPr>
                <w:rFonts w:ascii="Times New Roman" w:hAnsi="Times New Roman"/>
                <w:sz w:val="24"/>
                <w:szCs w:val="24"/>
              </w:rPr>
              <w:t>*</w:t>
            </w:r>
            <w:r w:rsidRPr="006F6E02">
              <w:rPr>
                <w:rFonts w:ascii="Times New Roman" w:hAnsi="Times New Roman"/>
                <w:sz w:val="24"/>
                <w:szCs w:val="24"/>
              </w:rPr>
              <w:t>*</w:t>
            </w:r>
          </w:p>
          <w:p w14:paraId="54437095" w14:textId="77777777" w:rsidR="002C2664" w:rsidRPr="006F6E02" w:rsidRDefault="002416C8"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(0.05</w:t>
            </w:r>
            <w:r w:rsidR="002C2664" w:rsidRPr="006F6E02">
              <w:rPr>
                <w:rFonts w:ascii="Times New Roman" w:hAnsi="Times New Roman"/>
                <w:sz w:val="24"/>
                <w:szCs w:val="24"/>
              </w:rPr>
              <w:t>)</w:t>
            </w:r>
          </w:p>
        </w:tc>
      </w:tr>
      <w:tr w:rsidR="001E62A5" w:rsidRPr="006F6E02" w14:paraId="64879433" w14:textId="77777777" w:rsidTr="00C93F5D">
        <w:tc>
          <w:tcPr>
            <w:tcW w:w="4531" w:type="dxa"/>
          </w:tcPr>
          <w:p w14:paraId="3507A536" w14:textId="77777777" w:rsidR="001E62A5" w:rsidRPr="006F6E02" w:rsidRDefault="00652B41" w:rsidP="00C93F5D">
            <w:pPr>
              <w:rPr>
                <w:sz w:val="24"/>
                <w:szCs w:val="24"/>
                <w:lang w:val="fr-CM"/>
              </w:rPr>
            </w:pPr>
            <m:oMathPara>
              <m:oMath>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94</m:t>
                    </m:r>
                  </m:sub>
                </m:sSub>
                <m:r>
                  <w:rPr>
                    <w:rStyle w:val="FootnoteReference"/>
                    <w:rFonts w:ascii="Cambria Math" w:hAnsi="Cambria Math"/>
                    <w:i/>
                    <w:sz w:val="24"/>
                    <w:szCs w:val="24"/>
                    <w:lang w:val="fr-CM"/>
                  </w:rPr>
                  <w:footnoteReference w:id="3"/>
                </m:r>
              </m:oMath>
            </m:oMathPara>
          </w:p>
        </w:tc>
        <w:tc>
          <w:tcPr>
            <w:tcW w:w="4531" w:type="dxa"/>
          </w:tcPr>
          <w:p w14:paraId="0159D9EB" w14:textId="77777777" w:rsidR="001E62A5" w:rsidRPr="006F6E02" w:rsidRDefault="001E62A5"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0.12**</w:t>
            </w:r>
          </w:p>
          <w:p w14:paraId="6F09C2EB" w14:textId="77777777" w:rsidR="001E62A5" w:rsidRPr="006F6E02" w:rsidRDefault="001E62A5"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50.04°</w:t>
            </w:r>
          </w:p>
        </w:tc>
      </w:tr>
      <w:tr w:rsidR="002C2664" w:rsidRPr="006F6E02" w14:paraId="68593391" w14:textId="77777777" w:rsidTr="00C93F5D">
        <w:tc>
          <w:tcPr>
            <w:tcW w:w="4531" w:type="dxa"/>
            <w:tcBorders>
              <w:bottom w:val="single" w:sz="4" w:space="0" w:color="auto"/>
            </w:tcBorders>
          </w:tcPr>
          <w:p w14:paraId="404D6462" w14:textId="77777777" w:rsidR="002C2664" w:rsidRPr="006F6E02" w:rsidRDefault="00652B41" w:rsidP="00C93F5D">
            <w:pPr>
              <w:rPr>
                <w:rFonts w:ascii="Times New Roman" w:hAnsi="Times New Roman"/>
                <w:sz w:val="24"/>
                <w:szCs w:val="24"/>
                <w:vertAlign w:val="subscript"/>
              </w:rPr>
            </w:pPr>
            <m:oMathPara>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t-1</m:t>
                    </m:r>
                  </m:sub>
                </m:sSub>
              </m:oMath>
            </m:oMathPara>
          </w:p>
        </w:tc>
        <w:tc>
          <w:tcPr>
            <w:tcW w:w="4531" w:type="dxa"/>
            <w:tcBorders>
              <w:bottom w:val="single" w:sz="4" w:space="0" w:color="auto"/>
            </w:tcBorders>
          </w:tcPr>
          <w:p w14:paraId="7410E71A" w14:textId="77777777" w:rsidR="002C2664" w:rsidRPr="006F6E02" w:rsidRDefault="002C2664"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w:t>
            </w:r>
            <w:r w:rsidR="00526B8F" w:rsidRPr="006F6E02">
              <w:rPr>
                <w:rFonts w:ascii="Times New Roman" w:hAnsi="Times New Roman"/>
                <w:sz w:val="24"/>
                <w:szCs w:val="24"/>
              </w:rPr>
              <w:t>0.06</w:t>
            </w:r>
            <w:r w:rsidRPr="006F6E02">
              <w:rPr>
                <w:rFonts w:ascii="Times New Roman" w:hAnsi="Times New Roman"/>
                <w:sz w:val="24"/>
                <w:szCs w:val="24"/>
              </w:rPr>
              <w:t>***</w:t>
            </w:r>
          </w:p>
          <w:p w14:paraId="477ED90A" w14:textId="77777777" w:rsidR="002C2664" w:rsidRPr="006F6E02" w:rsidRDefault="00526B8F"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w:t>
            </w:r>
            <w:r w:rsidR="002C2664" w:rsidRPr="006F6E02">
              <w:rPr>
                <w:rFonts w:ascii="Times New Roman" w:hAnsi="Times New Roman"/>
                <w:sz w:val="24"/>
                <w:szCs w:val="24"/>
              </w:rPr>
              <w:t>0</w:t>
            </w:r>
            <w:r w:rsidRPr="006F6E02">
              <w:rPr>
                <w:rFonts w:ascii="Times New Roman" w:hAnsi="Times New Roman"/>
                <w:sz w:val="24"/>
                <w:szCs w:val="24"/>
              </w:rPr>
              <w:t>1</w:t>
            </w:r>
            <w:r w:rsidR="002C2664" w:rsidRPr="006F6E02">
              <w:rPr>
                <w:rFonts w:ascii="Times New Roman" w:hAnsi="Times New Roman"/>
                <w:sz w:val="24"/>
                <w:szCs w:val="24"/>
              </w:rPr>
              <w:t>)</w:t>
            </w:r>
          </w:p>
        </w:tc>
      </w:tr>
      <w:tr w:rsidR="002C2664" w:rsidRPr="006F6E02" w14:paraId="6F247F71" w14:textId="77777777" w:rsidTr="00C93F5D">
        <w:trPr>
          <w:trHeight w:val="78"/>
        </w:trPr>
        <w:tc>
          <w:tcPr>
            <w:tcW w:w="9062" w:type="dxa"/>
            <w:gridSpan w:val="2"/>
            <w:tcBorders>
              <w:bottom w:val="single" w:sz="4" w:space="0" w:color="auto"/>
            </w:tcBorders>
          </w:tcPr>
          <w:p w14:paraId="411C20D6" w14:textId="77777777" w:rsidR="002C2664" w:rsidRPr="006F6E02" w:rsidRDefault="002C2664" w:rsidP="00E2269F">
            <w:pPr>
              <w:autoSpaceDE w:val="0"/>
              <w:autoSpaceDN w:val="0"/>
              <w:adjustRightInd w:val="0"/>
              <w:rPr>
                <w:rFonts w:ascii="Times New Roman" w:hAnsi="Times New Roman"/>
                <w:sz w:val="24"/>
                <w:szCs w:val="24"/>
              </w:rPr>
            </w:pPr>
            <w:r w:rsidRPr="006F6E02">
              <w:rPr>
                <w:rFonts w:ascii="Times New Roman" w:hAnsi="Times New Roman"/>
                <w:sz w:val="24"/>
                <w:szCs w:val="24"/>
              </w:rPr>
              <w:t xml:space="preserve">CointEq = </w:t>
            </w:r>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w:r w:rsidRPr="006F6E02">
              <w:rPr>
                <w:rFonts w:ascii="Times New Roman" w:hAnsi="Times New Roman"/>
                <w:sz w:val="24"/>
                <w:szCs w:val="24"/>
                <w:lang w:val="fr-CM"/>
              </w:rPr>
              <w:t xml:space="preserve"> </w:t>
            </w:r>
            <w:r w:rsidRPr="006F6E02">
              <w:rPr>
                <w:rFonts w:ascii="Times New Roman" w:hAnsi="Times New Roman"/>
                <w:sz w:val="24"/>
                <w:szCs w:val="24"/>
              </w:rPr>
              <w:t xml:space="preserve">– </w:t>
            </w:r>
            <w:r w:rsidR="003B7FB7" w:rsidRPr="006F6E02">
              <w:rPr>
                <w:rFonts w:ascii="Times New Roman" w:hAnsi="Times New Roman"/>
                <w:sz w:val="24"/>
                <w:szCs w:val="24"/>
              </w:rPr>
              <w:t>(2</w:t>
            </w:r>
            <w:r w:rsidRPr="006F6E02">
              <w:rPr>
                <w:rFonts w:ascii="Times New Roman" w:hAnsi="Times New Roman"/>
                <w:sz w:val="24"/>
                <w:szCs w:val="24"/>
              </w:rPr>
              <w:t>.</w:t>
            </w:r>
            <w:r w:rsidR="003B7FB7" w:rsidRPr="006F6E02">
              <w:rPr>
                <w:rFonts w:ascii="Times New Roman" w:hAnsi="Times New Roman"/>
                <w:sz w:val="24"/>
                <w:szCs w:val="24"/>
              </w:rPr>
              <w:t>27</w:t>
            </w:r>
            <m:oMath>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m:t>
                  </m:r>
                </m:sub>
              </m:sSub>
              <m:r>
                <w:rPr>
                  <w:rFonts w:ascii="Cambria Math" w:hAnsi="Cambria Math"/>
                  <w:sz w:val="24"/>
                  <w:szCs w:val="24"/>
                  <w:lang w:val="fr-CM"/>
                </w:rPr>
                <m:t>-10.76</m:t>
              </m:r>
            </m:oMath>
            <w:r w:rsidRPr="006F6E02">
              <w:rPr>
                <w:rFonts w:ascii="Times New Roman" w:hAnsi="Times New Roman"/>
                <w:sz w:val="24"/>
                <w:szCs w:val="24"/>
                <w:lang w:val="fr-CM"/>
              </w:rPr>
              <w:t>)</w:t>
            </w:r>
          </w:p>
        </w:tc>
      </w:tr>
    </w:tbl>
    <w:p w14:paraId="6639F9C0" w14:textId="77777777" w:rsidR="002C2664" w:rsidRPr="006F6E02" w:rsidRDefault="002C2664" w:rsidP="002C2664">
      <w:pPr>
        <w:autoSpaceDE w:val="0"/>
        <w:autoSpaceDN w:val="0"/>
        <w:adjustRightInd w:val="0"/>
        <w:spacing w:after="0" w:line="240" w:lineRule="auto"/>
        <w:rPr>
          <w:rFonts w:ascii="Times New Roman" w:hAnsi="Times New Roman" w:cs="Times New Roman"/>
          <w:sz w:val="24"/>
          <w:szCs w:val="24"/>
        </w:rPr>
      </w:pPr>
      <w:r w:rsidRPr="006F6E02">
        <w:rPr>
          <w:rFonts w:ascii="Times New Roman" w:eastAsia="Times New Roman" w:hAnsi="Times New Roman" w:cs="Times New Roman"/>
          <w:color w:val="000000"/>
          <w:sz w:val="20"/>
          <w:szCs w:val="20"/>
        </w:rPr>
        <w:lastRenderedPageBreak/>
        <w:t>Source:</w:t>
      </w:r>
      <w:r w:rsidRPr="006F6E02">
        <w:rPr>
          <w:rFonts w:ascii="Times New Roman" w:eastAsia="Times New Roman" w:hAnsi="Times New Roman" w:cs="Times New Roman"/>
          <w:b/>
          <w:color w:val="000000"/>
          <w:sz w:val="20"/>
          <w:szCs w:val="20"/>
        </w:rPr>
        <w:t xml:space="preserve"> </w:t>
      </w:r>
      <w:r w:rsidRPr="006F6E02">
        <w:rPr>
          <w:rFonts w:ascii="Times New Roman" w:eastAsia="Times New Roman" w:hAnsi="Times New Roman" w:cs="Times New Roman"/>
          <w:color w:val="000000"/>
          <w:sz w:val="20"/>
          <w:szCs w:val="20"/>
        </w:rPr>
        <w:t>Author,</w:t>
      </w:r>
      <w:r w:rsidRPr="006F6E02">
        <w:rPr>
          <w:rFonts w:ascii="Times New Roman" w:eastAsia="Times New Roman" w:hAnsi="Times New Roman" w:cs="Times New Roman"/>
          <w:b/>
          <w:color w:val="000000"/>
          <w:sz w:val="20"/>
          <w:szCs w:val="20"/>
        </w:rPr>
        <w:t xml:space="preserve"> </w:t>
      </w:r>
      <w:r w:rsidRPr="006F6E02">
        <w:rPr>
          <w:rFonts w:ascii="Times New Roman" w:hAnsi="Times New Roman"/>
          <w:i/>
          <w:sz w:val="20"/>
          <w:szCs w:val="20"/>
        </w:rPr>
        <w:t xml:space="preserve">*** </w:t>
      </w:r>
      <w:r w:rsidRPr="006F6E02">
        <w:rPr>
          <w:rFonts w:ascii="Times New Roman" w:hAnsi="Times New Roman"/>
          <w:sz w:val="20"/>
          <w:szCs w:val="20"/>
        </w:rPr>
        <w:t>(</w:t>
      </w:r>
      <w:r w:rsidRPr="006F6E02">
        <w:rPr>
          <w:rFonts w:ascii="Times New Roman" w:hAnsi="Times New Roman"/>
          <w:i/>
          <w:sz w:val="20"/>
          <w:szCs w:val="20"/>
        </w:rPr>
        <w:t>**</w:t>
      </w:r>
      <w:r w:rsidRPr="006F6E02">
        <w:rPr>
          <w:rFonts w:ascii="Times New Roman" w:hAnsi="Times New Roman"/>
          <w:sz w:val="20"/>
          <w:szCs w:val="20"/>
        </w:rPr>
        <w:t xml:space="preserve">, </w:t>
      </w:r>
      <w:r w:rsidRPr="006F6E02">
        <w:rPr>
          <w:rFonts w:ascii="Times New Roman" w:hAnsi="Times New Roman"/>
          <w:i/>
          <w:sz w:val="20"/>
          <w:szCs w:val="20"/>
        </w:rPr>
        <w:t>*</w:t>
      </w:r>
      <w:r w:rsidRPr="006F6E02">
        <w:rPr>
          <w:rFonts w:ascii="Times New Roman" w:hAnsi="Times New Roman"/>
          <w:sz w:val="20"/>
          <w:szCs w:val="20"/>
        </w:rPr>
        <w:t>) null hypothesis is rejected at the 1</w:t>
      </w:r>
      <w:r w:rsidRPr="006F6E02">
        <w:rPr>
          <w:rFonts w:ascii="Times New Roman" w:hAnsi="Times New Roman"/>
          <w:i/>
          <w:sz w:val="20"/>
          <w:szCs w:val="20"/>
        </w:rPr>
        <w:t>%</w:t>
      </w:r>
      <w:r w:rsidRPr="006F6E02">
        <w:rPr>
          <w:rFonts w:ascii="Times New Roman" w:hAnsi="Times New Roman"/>
          <w:sz w:val="20"/>
          <w:szCs w:val="20"/>
        </w:rPr>
        <w:t xml:space="preserve"> (5</w:t>
      </w:r>
      <w:r w:rsidRPr="006F6E02">
        <w:rPr>
          <w:rFonts w:ascii="Times New Roman" w:hAnsi="Times New Roman"/>
          <w:i/>
          <w:sz w:val="20"/>
          <w:szCs w:val="20"/>
        </w:rPr>
        <w:t>%</w:t>
      </w:r>
      <w:r w:rsidRPr="006F6E02">
        <w:rPr>
          <w:rFonts w:ascii="Times New Roman" w:hAnsi="Times New Roman"/>
          <w:sz w:val="20"/>
          <w:szCs w:val="20"/>
        </w:rPr>
        <w:t>, 10</w:t>
      </w:r>
      <w:r w:rsidRPr="006F6E02">
        <w:rPr>
          <w:rFonts w:ascii="Times New Roman" w:hAnsi="Times New Roman"/>
          <w:i/>
          <w:sz w:val="20"/>
          <w:szCs w:val="20"/>
        </w:rPr>
        <w:t>%</w:t>
      </w:r>
      <w:r w:rsidRPr="006F6E02">
        <w:rPr>
          <w:rFonts w:ascii="Times New Roman" w:hAnsi="Times New Roman"/>
          <w:sz w:val="20"/>
          <w:szCs w:val="20"/>
        </w:rPr>
        <w:t xml:space="preserve">). </w:t>
      </w:r>
      <w:r w:rsidRPr="006F6E02">
        <w:rPr>
          <w:rFonts w:ascii="Times New Roman" w:hAnsi="Times New Roman"/>
          <w:i/>
          <w:sz w:val="20"/>
          <w:szCs w:val="20"/>
        </w:rPr>
        <w:t xml:space="preserve">Nobs </w:t>
      </w:r>
      <w:r w:rsidRPr="006F6E02">
        <w:rPr>
          <w:rFonts w:ascii="Times New Roman" w:hAnsi="Times New Roman"/>
          <w:sz w:val="20"/>
          <w:szCs w:val="20"/>
        </w:rPr>
        <w:t>is available observations, (.) standard deviation.</w:t>
      </w:r>
    </w:p>
    <w:p w14:paraId="592F2393" w14:textId="77777777" w:rsidR="002C2664" w:rsidRPr="006F6E02" w:rsidRDefault="002C2664" w:rsidP="002C2664">
      <w:pPr>
        <w:autoSpaceDE w:val="0"/>
        <w:autoSpaceDN w:val="0"/>
        <w:adjustRightInd w:val="0"/>
        <w:spacing w:after="0" w:line="240" w:lineRule="auto"/>
        <w:rPr>
          <w:rFonts w:ascii="Times New Roman" w:hAnsi="Times New Roman" w:cs="Times New Roman"/>
          <w:sz w:val="24"/>
          <w:szCs w:val="24"/>
        </w:rPr>
      </w:pPr>
    </w:p>
    <w:p w14:paraId="00749CAB" w14:textId="77777777" w:rsidR="00D92689" w:rsidRPr="006F6E02" w:rsidRDefault="00D92689" w:rsidP="004C1EBC">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As in the preceding case with the New Export cha</w:t>
      </w:r>
      <w:r w:rsidR="001414EC" w:rsidRPr="006F6E02">
        <w:rPr>
          <w:rFonts w:ascii="Times New Roman" w:hAnsi="Times New Roman" w:cs="Times New Roman"/>
          <w:sz w:val="24"/>
          <w:szCs w:val="24"/>
        </w:rPr>
        <w:t>nnel since the parameter estimate of the speed of mean reversion is significantly negative this means that there exist l</w:t>
      </w:r>
      <w:r w:rsidR="00200B36" w:rsidRPr="006F6E02">
        <w:rPr>
          <w:rFonts w:ascii="Times New Roman" w:hAnsi="Times New Roman" w:cs="Times New Roman"/>
          <w:sz w:val="24"/>
          <w:szCs w:val="24"/>
        </w:rPr>
        <w:t>o</w:t>
      </w:r>
      <w:r w:rsidR="001414EC" w:rsidRPr="006F6E02">
        <w:rPr>
          <w:rFonts w:ascii="Times New Roman" w:hAnsi="Times New Roman" w:cs="Times New Roman"/>
          <w:sz w:val="24"/>
          <w:szCs w:val="24"/>
        </w:rPr>
        <w:t>ng run relationship among the variables as gi</w:t>
      </w:r>
      <w:r w:rsidR="00534AE2" w:rsidRPr="006F6E02">
        <w:rPr>
          <w:rFonts w:ascii="Times New Roman" w:hAnsi="Times New Roman" w:cs="Times New Roman"/>
          <w:sz w:val="24"/>
          <w:szCs w:val="24"/>
        </w:rPr>
        <w:t>ven by the coinbtegration test but this ter mis not sizeable contrarely to Kuikeu (2026).</w:t>
      </w:r>
      <w:r w:rsidR="001414EC" w:rsidRPr="006F6E02">
        <w:rPr>
          <w:rFonts w:ascii="Times New Roman" w:hAnsi="Times New Roman" w:cs="Times New Roman"/>
          <w:sz w:val="24"/>
          <w:szCs w:val="24"/>
        </w:rPr>
        <w:t xml:space="preserve"> T</w:t>
      </w:r>
      <w:r w:rsidR="004C1EBC" w:rsidRPr="006F6E02">
        <w:rPr>
          <w:rFonts w:ascii="Times New Roman" w:hAnsi="Times New Roman" w:cs="Times New Roman"/>
          <w:sz w:val="24"/>
          <w:szCs w:val="24"/>
        </w:rPr>
        <w:t>he price competitiveness ch</w:t>
      </w:r>
      <w:r w:rsidRPr="006F6E02">
        <w:rPr>
          <w:rFonts w:ascii="Times New Roman" w:hAnsi="Times New Roman" w:cs="Times New Roman"/>
          <w:sz w:val="24"/>
          <w:szCs w:val="24"/>
        </w:rPr>
        <w:t>an</w:t>
      </w:r>
      <w:r w:rsidR="004C1EBC" w:rsidRPr="006F6E02">
        <w:rPr>
          <w:rFonts w:ascii="Times New Roman" w:hAnsi="Times New Roman" w:cs="Times New Roman"/>
          <w:sz w:val="24"/>
          <w:szCs w:val="24"/>
        </w:rPr>
        <w:t>n</w:t>
      </w:r>
      <w:r w:rsidRPr="006F6E02">
        <w:rPr>
          <w:rFonts w:ascii="Times New Roman" w:hAnsi="Times New Roman" w:cs="Times New Roman"/>
          <w:sz w:val="24"/>
          <w:szCs w:val="24"/>
        </w:rPr>
        <w:t>el don’t hold as in the long than the sort run relation the parameter estimate of Real Exchange Rate is positive while significant.</w:t>
      </w:r>
      <w:r w:rsidR="00BA048D" w:rsidRPr="006F6E02">
        <w:rPr>
          <w:rFonts w:ascii="Times New Roman" w:hAnsi="Times New Roman" w:cs="Times New Roman"/>
          <w:sz w:val="24"/>
          <w:szCs w:val="24"/>
        </w:rPr>
        <w:t xml:space="preserve"> Nevetheless the idea that the country industrializes when i</w:t>
      </w:r>
      <w:r w:rsidR="00271D33" w:rsidRPr="006F6E02">
        <w:rPr>
          <w:rFonts w:ascii="Times New Roman" w:hAnsi="Times New Roman" w:cs="Times New Roman"/>
          <w:sz w:val="24"/>
          <w:szCs w:val="24"/>
        </w:rPr>
        <w:t>ts</w:t>
      </w:r>
      <w:r w:rsidR="00BA048D" w:rsidRPr="006F6E02">
        <w:rPr>
          <w:rFonts w:ascii="Times New Roman" w:hAnsi="Times New Roman" w:cs="Times New Roman"/>
          <w:sz w:val="24"/>
          <w:szCs w:val="24"/>
        </w:rPr>
        <w:t xml:space="preserve"> </w:t>
      </w:r>
      <w:r w:rsidR="00271D33" w:rsidRPr="006F6E02">
        <w:rPr>
          <w:rFonts w:ascii="Times New Roman" w:hAnsi="Times New Roman" w:cs="Times New Roman"/>
          <w:sz w:val="24"/>
          <w:szCs w:val="24"/>
        </w:rPr>
        <w:t>ex</w:t>
      </w:r>
      <w:r w:rsidR="00BA048D" w:rsidRPr="006F6E02">
        <w:rPr>
          <w:rFonts w:ascii="Times New Roman" w:hAnsi="Times New Roman" w:cs="Times New Roman"/>
          <w:sz w:val="24"/>
          <w:szCs w:val="24"/>
        </w:rPr>
        <w:t>ports grew</w:t>
      </w:r>
      <w:r w:rsidR="00DA32F1" w:rsidRPr="006F6E02">
        <w:rPr>
          <w:rFonts w:ascii="Times New Roman" w:hAnsi="Times New Roman" w:cs="Times New Roman"/>
          <w:sz w:val="24"/>
          <w:szCs w:val="24"/>
        </w:rPr>
        <w:t xml:space="preserve"> (Kuikeu, 2025b)</w:t>
      </w:r>
      <w:r w:rsidR="00BA048D" w:rsidRPr="006F6E02">
        <w:rPr>
          <w:rFonts w:ascii="Times New Roman" w:hAnsi="Times New Roman" w:cs="Times New Roman"/>
          <w:sz w:val="24"/>
          <w:szCs w:val="24"/>
        </w:rPr>
        <w:t xml:space="preserve"> is confirm by our resuluts since the parameter estimate of export market share is significantly negative</w:t>
      </w:r>
      <w:r w:rsidR="00917DFF" w:rsidRPr="006F6E02">
        <w:rPr>
          <w:rFonts w:ascii="Times New Roman" w:hAnsi="Times New Roman" w:cs="Times New Roman"/>
          <w:sz w:val="24"/>
          <w:szCs w:val="24"/>
        </w:rPr>
        <w:t>.</w:t>
      </w:r>
    </w:p>
    <w:p w14:paraId="14AAEC91" w14:textId="77777777" w:rsidR="002C2664" w:rsidRPr="006F6E02" w:rsidRDefault="00D92689" w:rsidP="00D92689">
      <w:pPr>
        <w:spacing w:after="0"/>
        <w:ind w:firstLine="709"/>
        <w:rPr>
          <w:rFonts w:ascii="Times New Roman" w:hAnsi="Times New Roman" w:cs="Times New Roman"/>
          <w:b/>
          <w:sz w:val="24"/>
          <w:szCs w:val="24"/>
        </w:rPr>
      </w:pPr>
      <w:r w:rsidRPr="006F6E02">
        <w:rPr>
          <w:rFonts w:ascii="Times New Roman" w:hAnsi="Times New Roman" w:cs="Times New Roman"/>
          <w:b/>
          <w:sz w:val="24"/>
          <w:szCs w:val="24"/>
        </w:rPr>
        <w:t xml:space="preserve"> </w:t>
      </w:r>
    </w:p>
    <w:p w14:paraId="7C42431A" w14:textId="77777777" w:rsidR="00005BDC" w:rsidRPr="006F6E02" w:rsidRDefault="0051266C" w:rsidP="0066076E">
      <w:pPr>
        <w:pStyle w:val="ListParagraph"/>
        <w:numPr>
          <w:ilvl w:val="0"/>
          <w:numId w:val="1"/>
        </w:numPr>
        <w:spacing w:after="0"/>
        <w:jc w:val="both"/>
        <w:rPr>
          <w:rFonts w:ascii="Times New Roman" w:hAnsi="Times New Roman" w:cs="Times New Roman"/>
          <w:sz w:val="24"/>
          <w:szCs w:val="24"/>
        </w:rPr>
      </w:pPr>
      <w:r w:rsidRPr="006F6E02">
        <w:rPr>
          <w:rFonts w:ascii="Times New Roman" w:hAnsi="Times New Roman" w:cs="Times New Roman"/>
          <w:b/>
          <w:sz w:val="24"/>
          <w:szCs w:val="24"/>
        </w:rPr>
        <w:t>Conclusion</w:t>
      </w:r>
    </w:p>
    <w:p w14:paraId="7EB49765" w14:textId="77777777" w:rsidR="00F811D3" w:rsidRDefault="00F811D3" w:rsidP="00F811D3">
      <w:pPr>
        <w:spacing w:after="0" w:line="240" w:lineRule="auto"/>
        <w:jc w:val="both"/>
        <w:rPr>
          <w:rFonts w:ascii="Times New Roman" w:hAnsi="Times New Roman" w:cs="Times New Roman"/>
          <w:sz w:val="24"/>
          <w:szCs w:val="24"/>
        </w:rPr>
      </w:pPr>
    </w:p>
    <w:p w14:paraId="4E17B612" w14:textId="77777777" w:rsidR="00F811D3" w:rsidRDefault="00904E53" w:rsidP="00591B65">
      <w:pPr>
        <w:spacing w:after="0" w:line="240" w:lineRule="auto"/>
        <w:ind w:firstLine="567"/>
        <w:jc w:val="both"/>
        <w:rPr>
          <w:rFonts w:ascii="Times New Roman" w:hAnsi="Times New Roman" w:cs="Times New Roman"/>
          <w:sz w:val="24"/>
          <w:szCs w:val="24"/>
        </w:rPr>
      </w:pPr>
      <w:r w:rsidRPr="006F6E02">
        <w:rPr>
          <w:rFonts w:ascii="Times New Roman" w:hAnsi="Times New Roman" w:cs="Times New Roman"/>
          <w:sz w:val="24"/>
          <w:szCs w:val="24"/>
        </w:rPr>
        <w:t xml:space="preserve">Considering that in the existing empirical literature </w:t>
      </w:r>
      <w:r w:rsidR="007C0064" w:rsidRPr="006F6E02">
        <w:rPr>
          <w:rFonts w:ascii="Times New Roman" w:hAnsi="Times New Roman" w:cs="Times New Roman"/>
          <w:sz w:val="24"/>
          <w:szCs w:val="24"/>
        </w:rPr>
        <w:t>the conventional econometric techniques</w:t>
      </w:r>
      <w:r w:rsidRPr="006F6E02">
        <w:rPr>
          <w:rFonts w:ascii="Times New Roman" w:hAnsi="Times New Roman" w:cs="Times New Roman"/>
          <w:sz w:val="24"/>
          <w:szCs w:val="24"/>
        </w:rPr>
        <w:t xml:space="preserve"> have been </w:t>
      </w:r>
      <w:r w:rsidR="00A87A84" w:rsidRPr="006F6E02">
        <w:rPr>
          <w:rFonts w:ascii="Times New Roman" w:hAnsi="Times New Roman" w:cs="Times New Roman"/>
          <w:sz w:val="24"/>
          <w:szCs w:val="24"/>
        </w:rPr>
        <w:t>e</w:t>
      </w:r>
      <w:r w:rsidRPr="006F6E02">
        <w:rPr>
          <w:rFonts w:ascii="Times New Roman" w:hAnsi="Times New Roman" w:cs="Times New Roman"/>
          <w:sz w:val="24"/>
          <w:szCs w:val="24"/>
        </w:rPr>
        <w:t xml:space="preserve">mployed to recover the parameters underlying </w:t>
      </w:r>
      <w:r w:rsidR="007C73AB" w:rsidRPr="006F6E02">
        <w:rPr>
          <w:rFonts w:ascii="Times New Roman" w:hAnsi="Times New Roman" w:cs="Times New Roman"/>
          <w:sz w:val="24"/>
          <w:szCs w:val="24"/>
        </w:rPr>
        <w:t xml:space="preserve">the New Export channel </w:t>
      </w:r>
      <w:r w:rsidRPr="006F6E02">
        <w:rPr>
          <w:rFonts w:ascii="Times New Roman" w:hAnsi="Times New Roman" w:cs="Times New Roman"/>
          <w:sz w:val="24"/>
          <w:szCs w:val="24"/>
        </w:rPr>
        <w:t>the aims of this paper was to don</w:t>
      </w:r>
      <w:r w:rsidR="007C73AB" w:rsidRPr="006F6E02">
        <w:rPr>
          <w:rFonts w:ascii="Times New Roman" w:hAnsi="Times New Roman" w:cs="Times New Roman"/>
          <w:sz w:val="24"/>
          <w:szCs w:val="24"/>
        </w:rPr>
        <w:t>e this with Single Equation Appr</w:t>
      </w:r>
      <w:r w:rsidRPr="006F6E02">
        <w:rPr>
          <w:rFonts w:ascii="Times New Roman" w:hAnsi="Times New Roman" w:cs="Times New Roman"/>
          <w:sz w:val="24"/>
          <w:szCs w:val="24"/>
        </w:rPr>
        <w:t>oach</w:t>
      </w:r>
      <w:r w:rsidR="00C823B1" w:rsidRPr="006F6E02">
        <w:rPr>
          <w:rFonts w:ascii="Times New Roman" w:hAnsi="Times New Roman" w:cs="Times New Roman"/>
          <w:sz w:val="24"/>
          <w:szCs w:val="24"/>
        </w:rPr>
        <w:t xml:space="preserve"> on ARDL Modelling</w:t>
      </w:r>
      <w:r w:rsidR="007C73AB" w:rsidRPr="006F6E02">
        <w:rPr>
          <w:rFonts w:ascii="Times New Roman" w:hAnsi="Times New Roman" w:cs="Times New Roman"/>
          <w:sz w:val="24"/>
          <w:szCs w:val="24"/>
        </w:rPr>
        <w:t>. For thi</w:t>
      </w:r>
      <w:r w:rsidR="00591B65" w:rsidRPr="006F6E02">
        <w:rPr>
          <w:rFonts w:ascii="Times New Roman" w:hAnsi="Times New Roman" w:cs="Times New Roman"/>
          <w:sz w:val="24"/>
          <w:szCs w:val="24"/>
        </w:rPr>
        <w:t>s</w:t>
      </w:r>
      <w:r w:rsidR="007C73AB" w:rsidRPr="006F6E02">
        <w:rPr>
          <w:rFonts w:ascii="Times New Roman" w:hAnsi="Times New Roman" w:cs="Times New Roman"/>
          <w:sz w:val="24"/>
          <w:szCs w:val="24"/>
        </w:rPr>
        <w:t xml:space="preserve"> purpose </w:t>
      </w:r>
      <w:r w:rsidR="00636CE6" w:rsidRPr="006F6E02">
        <w:rPr>
          <w:rFonts w:ascii="Times New Roman" w:hAnsi="Times New Roman" w:cs="Times New Roman"/>
          <w:sz w:val="24"/>
          <w:szCs w:val="24"/>
        </w:rPr>
        <w:t>since the ARDL Modelling is Robust to small sample bias we have performed parameters estimates on 42 annual observations during 1980-2021.</w:t>
      </w:r>
      <w:r w:rsidR="007F044C" w:rsidRPr="006F6E02">
        <w:rPr>
          <w:rFonts w:ascii="Times New Roman" w:hAnsi="Times New Roman" w:cs="Times New Roman"/>
          <w:sz w:val="24"/>
          <w:szCs w:val="24"/>
        </w:rPr>
        <w:t xml:space="preserve"> While into the li</w:t>
      </w:r>
      <w:r w:rsidR="00A87A84" w:rsidRPr="006F6E02">
        <w:rPr>
          <w:rFonts w:ascii="Times New Roman" w:hAnsi="Times New Roman" w:cs="Times New Roman"/>
          <w:sz w:val="24"/>
          <w:szCs w:val="24"/>
        </w:rPr>
        <w:t>te</w:t>
      </w:r>
      <w:r w:rsidR="007F044C" w:rsidRPr="006F6E02">
        <w:rPr>
          <w:rFonts w:ascii="Times New Roman" w:hAnsi="Times New Roman" w:cs="Times New Roman"/>
          <w:sz w:val="24"/>
          <w:szCs w:val="24"/>
        </w:rPr>
        <w:t xml:space="preserve">rature this estimation is generally performed considering the availability of the data on 48 annual observatios between 1974-2021. </w:t>
      </w:r>
      <w:r w:rsidR="00591B65" w:rsidRPr="006F6E02">
        <w:rPr>
          <w:rFonts w:ascii="Times New Roman" w:hAnsi="Times New Roman" w:cs="Times New Roman"/>
          <w:sz w:val="24"/>
          <w:szCs w:val="24"/>
        </w:rPr>
        <w:t>Co</w:t>
      </w:r>
      <w:r w:rsidR="00F811D3">
        <w:rPr>
          <w:rFonts w:ascii="Times New Roman" w:hAnsi="Times New Roman" w:cs="Times New Roman"/>
          <w:sz w:val="24"/>
          <w:szCs w:val="24"/>
        </w:rPr>
        <w:t>nsidering the estimated results</w:t>
      </w:r>
      <w:r w:rsidR="00591B65" w:rsidRPr="006F6E02">
        <w:rPr>
          <w:rFonts w:ascii="Times New Roman" w:hAnsi="Times New Roman" w:cs="Times New Roman"/>
          <w:sz w:val="24"/>
          <w:szCs w:val="24"/>
        </w:rPr>
        <w:t>,</w:t>
      </w:r>
      <w:r w:rsidR="00F811D3">
        <w:rPr>
          <w:rFonts w:ascii="Times New Roman" w:hAnsi="Times New Roman" w:cs="Times New Roman"/>
          <w:sz w:val="24"/>
          <w:szCs w:val="24"/>
        </w:rPr>
        <w:t xml:space="preserve"> </w:t>
      </w:r>
      <w:r w:rsidR="00591B65" w:rsidRPr="006F6E02">
        <w:rPr>
          <w:rFonts w:ascii="Times New Roman" w:hAnsi="Times New Roman" w:cs="Times New Roman"/>
          <w:sz w:val="24"/>
          <w:szCs w:val="24"/>
        </w:rPr>
        <w:t>the elasticity of sub</w:t>
      </w:r>
      <w:r w:rsidR="007F044C" w:rsidRPr="006F6E02">
        <w:rPr>
          <w:rFonts w:ascii="Times New Roman" w:hAnsi="Times New Roman" w:cs="Times New Roman"/>
          <w:sz w:val="24"/>
          <w:szCs w:val="24"/>
        </w:rPr>
        <w:t>stitution obtained here is of 23</w:t>
      </w:r>
      <w:r w:rsidR="00591B65" w:rsidRPr="006F6E02">
        <w:rPr>
          <w:rFonts w:ascii="Times New Roman" w:hAnsi="Times New Roman" w:cs="Times New Roman"/>
          <w:sz w:val="24"/>
          <w:szCs w:val="24"/>
        </w:rPr>
        <w:t xml:space="preserve">% that is much smaller than those obtain </w:t>
      </w:r>
      <w:r w:rsidR="00C44528" w:rsidRPr="006F6E02">
        <w:rPr>
          <w:rFonts w:ascii="Times New Roman" w:hAnsi="Times New Roman" w:cs="Times New Roman"/>
          <w:sz w:val="24"/>
          <w:szCs w:val="24"/>
        </w:rPr>
        <w:t>in the literature (Kuike</w:t>
      </w:r>
      <w:r w:rsidR="007F044C" w:rsidRPr="006F6E02">
        <w:rPr>
          <w:rFonts w:ascii="Times New Roman" w:hAnsi="Times New Roman" w:cs="Times New Roman"/>
          <w:sz w:val="24"/>
          <w:szCs w:val="24"/>
        </w:rPr>
        <w:t>u, 2026) of 46</w:t>
      </w:r>
      <w:r w:rsidR="00591B65" w:rsidRPr="006F6E02">
        <w:rPr>
          <w:rFonts w:ascii="Times New Roman" w:hAnsi="Times New Roman" w:cs="Times New Roman"/>
          <w:sz w:val="24"/>
          <w:szCs w:val="24"/>
        </w:rPr>
        <w:t xml:space="preserve">% in a study that investigates </w:t>
      </w:r>
      <w:r w:rsidR="002C3290" w:rsidRPr="006F6E02">
        <w:rPr>
          <w:rFonts w:ascii="Times New Roman" w:hAnsi="Times New Roman" w:cs="Times New Roman"/>
          <w:sz w:val="24"/>
          <w:szCs w:val="24"/>
        </w:rPr>
        <w:t>the parameters un</w:t>
      </w:r>
      <w:r w:rsidR="006A461A" w:rsidRPr="006F6E02">
        <w:rPr>
          <w:rFonts w:ascii="Times New Roman" w:hAnsi="Times New Roman" w:cs="Times New Roman"/>
          <w:sz w:val="24"/>
          <w:szCs w:val="24"/>
        </w:rPr>
        <w:t>d</w:t>
      </w:r>
      <w:r w:rsidR="002C3290" w:rsidRPr="006F6E02">
        <w:rPr>
          <w:rFonts w:ascii="Times New Roman" w:hAnsi="Times New Roman" w:cs="Times New Roman"/>
          <w:sz w:val="24"/>
          <w:szCs w:val="24"/>
        </w:rPr>
        <w:t>erlying the New Export channel on the basis of Single Equation A</w:t>
      </w:r>
      <w:r w:rsidR="006A461A" w:rsidRPr="006F6E02">
        <w:rPr>
          <w:rFonts w:ascii="Times New Roman" w:hAnsi="Times New Roman" w:cs="Times New Roman"/>
          <w:sz w:val="24"/>
          <w:szCs w:val="24"/>
        </w:rPr>
        <w:t>pproach already for the Gabonese experience.</w:t>
      </w:r>
      <w:r w:rsidR="001F0A2C" w:rsidRPr="006F6E02">
        <w:rPr>
          <w:rFonts w:ascii="Times New Roman" w:hAnsi="Times New Roman" w:cs="Times New Roman"/>
          <w:sz w:val="24"/>
          <w:szCs w:val="24"/>
        </w:rPr>
        <w:t xml:space="preserve"> </w:t>
      </w:r>
    </w:p>
    <w:p w14:paraId="59A20720" w14:textId="77777777" w:rsidR="00F811D3" w:rsidRDefault="00F811D3" w:rsidP="00F811D3">
      <w:pPr>
        <w:spacing w:after="0" w:line="240" w:lineRule="auto"/>
        <w:jc w:val="both"/>
        <w:rPr>
          <w:rFonts w:ascii="Times New Roman" w:hAnsi="Times New Roman" w:cs="Times New Roman"/>
          <w:sz w:val="24"/>
          <w:szCs w:val="24"/>
        </w:rPr>
      </w:pPr>
    </w:p>
    <w:p w14:paraId="37F842BF" w14:textId="1A6062A2" w:rsidR="00F811D3" w:rsidRPr="00F811D3" w:rsidRDefault="00F811D3" w:rsidP="00F811D3">
      <w:pPr>
        <w:spacing w:after="0" w:line="240" w:lineRule="auto"/>
        <w:jc w:val="both"/>
        <w:rPr>
          <w:rFonts w:ascii="Times New Roman" w:hAnsi="Times New Roman" w:cs="Times New Roman"/>
          <w:b/>
          <w:sz w:val="24"/>
          <w:szCs w:val="24"/>
        </w:rPr>
      </w:pPr>
      <w:r w:rsidRPr="00F811D3">
        <w:rPr>
          <w:rFonts w:ascii="Times New Roman" w:hAnsi="Times New Roman" w:cs="Times New Roman"/>
          <w:b/>
          <w:sz w:val="24"/>
          <w:szCs w:val="24"/>
        </w:rPr>
        <w:t>Recommendation</w:t>
      </w:r>
    </w:p>
    <w:p w14:paraId="575BBEF8" w14:textId="77777777" w:rsidR="0003626E" w:rsidRDefault="00620F60" w:rsidP="00591B65">
      <w:pPr>
        <w:spacing w:after="0" w:line="240" w:lineRule="auto"/>
        <w:ind w:firstLine="567"/>
        <w:jc w:val="both"/>
        <w:rPr>
          <w:rFonts w:ascii="Times New Roman" w:hAnsi="Times New Roman" w:cs="Times New Roman"/>
          <w:sz w:val="24"/>
          <w:szCs w:val="24"/>
        </w:rPr>
      </w:pPr>
      <w:r w:rsidRPr="006F6E02">
        <w:rPr>
          <w:rFonts w:ascii="Times New Roman" w:hAnsi="Times New Roman" w:cs="Times New Roman"/>
          <w:sz w:val="24"/>
          <w:szCs w:val="24"/>
        </w:rPr>
        <w:t>In al</w:t>
      </w:r>
      <w:r w:rsidR="0003069B" w:rsidRPr="006F6E02">
        <w:rPr>
          <w:rFonts w:ascii="Times New Roman" w:hAnsi="Times New Roman" w:cs="Times New Roman"/>
          <w:sz w:val="24"/>
          <w:szCs w:val="24"/>
        </w:rPr>
        <w:t>l cases consid</w:t>
      </w:r>
      <w:r w:rsidR="001F3213" w:rsidRPr="006F6E02">
        <w:rPr>
          <w:rFonts w:ascii="Times New Roman" w:hAnsi="Times New Roman" w:cs="Times New Roman"/>
          <w:sz w:val="24"/>
          <w:szCs w:val="24"/>
        </w:rPr>
        <w:t>e</w:t>
      </w:r>
      <w:r w:rsidR="0003069B" w:rsidRPr="006F6E02">
        <w:rPr>
          <w:rFonts w:ascii="Times New Roman" w:hAnsi="Times New Roman" w:cs="Times New Roman"/>
          <w:sz w:val="24"/>
          <w:szCs w:val="24"/>
        </w:rPr>
        <w:t xml:space="preserve">ring these results the Gabonese economy appears </w:t>
      </w:r>
      <w:r w:rsidR="001F3213" w:rsidRPr="006F6E02">
        <w:rPr>
          <w:rFonts w:ascii="Times New Roman" w:hAnsi="Times New Roman" w:cs="Times New Roman"/>
          <w:sz w:val="24"/>
          <w:szCs w:val="24"/>
        </w:rPr>
        <w:t>as a</w:t>
      </w:r>
      <w:r w:rsidR="0003069B" w:rsidRPr="006F6E02">
        <w:rPr>
          <w:rFonts w:ascii="Times New Roman" w:hAnsi="Times New Roman" w:cs="Times New Roman"/>
          <w:sz w:val="24"/>
          <w:szCs w:val="24"/>
        </w:rPr>
        <w:t xml:space="preserve"> case where </w:t>
      </w:r>
      <w:r w:rsidRPr="006F6E02">
        <w:rPr>
          <w:rFonts w:ascii="Times New Roman" w:hAnsi="Times New Roman" w:cs="Times New Roman"/>
          <w:sz w:val="24"/>
          <w:szCs w:val="24"/>
        </w:rPr>
        <w:t>t</w:t>
      </w:r>
      <w:r w:rsidR="0003069B" w:rsidRPr="006F6E02">
        <w:rPr>
          <w:rFonts w:ascii="Times New Roman" w:hAnsi="Times New Roman" w:cs="Times New Roman"/>
          <w:sz w:val="24"/>
          <w:szCs w:val="24"/>
        </w:rPr>
        <w:t xml:space="preserve">he government must conduct austerity policy as the issue of substituability dominates those of complementarity. </w:t>
      </w:r>
      <w:r w:rsidR="005B0930" w:rsidRPr="006F6E02">
        <w:rPr>
          <w:rFonts w:ascii="Times New Roman" w:hAnsi="Times New Roman" w:cs="Times New Roman"/>
          <w:sz w:val="24"/>
          <w:szCs w:val="24"/>
        </w:rPr>
        <w:t>With the current development of the economic policy i</w:t>
      </w:r>
      <w:r w:rsidR="00024445" w:rsidRPr="006F6E02">
        <w:rPr>
          <w:rFonts w:ascii="Times New Roman" w:hAnsi="Times New Roman" w:cs="Times New Roman"/>
          <w:sz w:val="24"/>
          <w:szCs w:val="24"/>
        </w:rPr>
        <w:t xml:space="preserve">n this country </w:t>
      </w:r>
      <w:r w:rsidR="005B0930" w:rsidRPr="006F6E02">
        <w:rPr>
          <w:rFonts w:ascii="Times New Roman" w:hAnsi="Times New Roman" w:cs="Times New Roman"/>
          <w:sz w:val="24"/>
          <w:szCs w:val="24"/>
        </w:rPr>
        <w:t xml:space="preserve">this is </w:t>
      </w:r>
      <w:r w:rsidR="00024445" w:rsidRPr="006F6E02">
        <w:rPr>
          <w:rFonts w:ascii="Times New Roman" w:hAnsi="Times New Roman" w:cs="Times New Roman"/>
          <w:sz w:val="24"/>
          <w:szCs w:val="24"/>
        </w:rPr>
        <w:t xml:space="preserve">effectively </w:t>
      </w:r>
      <w:r w:rsidR="005B0930" w:rsidRPr="006F6E02">
        <w:rPr>
          <w:rFonts w:ascii="Times New Roman" w:hAnsi="Times New Roman" w:cs="Times New Roman"/>
          <w:sz w:val="24"/>
          <w:szCs w:val="24"/>
        </w:rPr>
        <w:t>the cas</w:t>
      </w:r>
      <w:r w:rsidR="00024445" w:rsidRPr="006F6E02">
        <w:rPr>
          <w:rFonts w:ascii="Times New Roman" w:hAnsi="Times New Roman" w:cs="Times New Roman"/>
          <w:sz w:val="24"/>
          <w:szCs w:val="24"/>
        </w:rPr>
        <w:t>e</w:t>
      </w:r>
      <w:r w:rsidR="005B0930" w:rsidRPr="006F6E02">
        <w:rPr>
          <w:rFonts w:ascii="Times New Roman" w:hAnsi="Times New Roman" w:cs="Times New Roman"/>
          <w:sz w:val="24"/>
          <w:szCs w:val="24"/>
        </w:rPr>
        <w:t xml:space="preserve"> where the New Administration of Brice Clotaire Oligui Nguema faces to his first civic a</w:t>
      </w:r>
      <w:r w:rsidR="00024445" w:rsidRPr="006F6E02">
        <w:rPr>
          <w:rFonts w:ascii="Times New Roman" w:hAnsi="Times New Roman" w:cs="Times New Roman"/>
          <w:sz w:val="24"/>
          <w:szCs w:val="24"/>
        </w:rPr>
        <w:t>n</w:t>
      </w:r>
      <w:r w:rsidR="005B0930" w:rsidRPr="006F6E02">
        <w:rPr>
          <w:rFonts w:ascii="Times New Roman" w:hAnsi="Times New Roman" w:cs="Times New Roman"/>
          <w:sz w:val="24"/>
          <w:szCs w:val="24"/>
        </w:rPr>
        <w:t xml:space="preserve">d popular crisis and revendications. </w:t>
      </w:r>
      <w:r w:rsidR="001F0A2C" w:rsidRPr="006F6E02">
        <w:rPr>
          <w:rFonts w:ascii="Times New Roman" w:hAnsi="Times New Roman" w:cs="Times New Roman"/>
          <w:sz w:val="24"/>
          <w:szCs w:val="24"/>
        </w:rPr>
        <w:t>Always about the obtained results we reach to the traditional result that a country industrializes when its exports grew since the exports dynamics have a negative effect on domestic demand with a negative elasticity of around</w:t>
      </w:r>
      <w:r w:rsidR="000F00B3" w:rsidRPr="006F6E02">
        <w:rPr>
          <w:rFonts w:ascii="Times New Roman" w:hAnsi="Times New Roman" w:cs="Times New Roman"/>
          <w:sz w:val="24"/>
          <w:szCs w:val="24"/>
        </w:rPr>
        <w:t xml:space="preserve"> 56% which is much smaller than those obtained in the literature (Kuikeu, 2026) of 61%.</w:t>
      </w:r>
      <w:r w:rsidR="003D14C4" w:rsidRPr="006F6E02">
        <w:rPr>
          <w:rFonts w:ascii="Times New Roman" w:hAnsi="Times New Roman" w:cs="Times New Roman"/>
          <w:sz w:val="24"/>
          <w:szCs w:val="24"/>
        </w:rPr>
        <w:t xml:space="preserve"> Then to con</w:t>
      </w:r>
      <w:r w:rsidR="003775F5" w:rsidRPr="006F6E02">
        <w:rPr>
          <w:rFonts w:ascii="Times New Roman" w:hAnsi="Times New Roman" w:cs="Times New Roman"/>
          <w:sz w:val="24"/>
          <w:szCs w:val="24"/>
        </w:rPr>
        <w:t>c</w:t>
      </w:r>
      <w:r w:rsidR="003D14C4" w:rsidRPr="006F6E02">
        <w:rPr>
          <w:rFonts w:ascii="Times New Roman" w:hAnsi="Times New Roman" w:cs="Times New Roman"/>
          <w:sz w:val="24"/>
          <w:szCs w:val="24"/>
        </w:rPr>
        <w:t>lude it’s as the ARDL Modelling underestimate the</w:t>
      </w:r>
      <w:r w:rsidR="00CC5896" w:rsidRPr="006F6E02">
        <w:rPr>
          <w:rFonts w:ascii="Times New Roman" w:hAnsi="Times New Roman" w:cs="Times New Roman"/>
          <w:sz w:val="24"/>
          <w:szCs w:val="24"/>
        </w:rPr>
        <w:t xml:space="preserve"> parameters underlying the New Export channel and the R</w:t>
      </w:r>
      <w:r w:rsidR="001530E4" w:rsidRPr="006F6E02">
        <w:rPr>
          <w:rFonts w:ascii="Times New Roman" w:hAnsi="Times New Roman" w:cs="Times New Roman"/>
          <w:sz w:val="24"/>
          <w:szCs w:val="24"/>
        </w:rPr>
        <w:t xml:space="preserve">everse causation since in this case the elasticity of sustitution between domestic demand and exports </w:t>
      </w:r>
      <w:r w:rsidR="001530E4" w:rsidRPr="00AD39A2">
        <w:rPr>
          <w:rFonts w:ascii="Times New Roman" w:hAnsi="Times New Roman" w:cs="Times New Roman"/>
          <w:sz w:val="24"/>
          <w:szCs w:val="24"/>
        </w:rPr>
        <w:t>performance are much maller than those obtain in the literature.</w:t>
      </w:r>
      <w:r w:rsidR="00AD39A2" w:rsidRPr="00AD39A2">
        <w:rPr>
          <w:rFonts w:ascii="Times New Roman" w:hAnsi="Times New Roman" w:cs="Times New Roman"/>
          <w:sz w:val="24"/>
          <w:szCs w:val="24"/>
        </w:rPr>
        <w:t xml:space="preserve"> </w:t>
      </w:r>
    </w:p>
    <w:p w14:paraId="7EB41521" w14:textId="77777777" w:rsidR="0003626E" w:rsidRDefault="0003626E" w:rsidP="0003626E">
      <w:pPr>
        <w:spacing w:after="0" w:line="240" w:lineRule="auto"/>
        <w:jc w:val="both"/>
        <w:rPr>
          <w:rFonts w:ascii="Times New Roman" w:hAnsi="Times New Roman" w:cs="Times New Roman"/>
          <w:sz w:val="24"/>
          <w:szCs w:val="24"/>
        </w:rPr>
      </w:pPr>
    </w:p>
    <w:p w14:paraId="5D9B8900" w14:textId="61CFEA16" w:rsidR="0003626E" w:rsidRPr="0003626E" w:rsidRDefault="0003626E" w:rsidP="0003626E">
      <w:pPr>
        <w:spacing w:after="0" w:line="240" w:lineRule="auto"/>
        <w:jc w:val="both"/>
        <w:rPr>
          <w:rFonts w:ascii="Times New Roman" w:hAnsi="Times New Roman" w:cs="Times New Roman"/>
          <w:b/>
          <w:sz w:val="24"/>
          <w:szCs w:val="24"/>
        </w:rPr>
      </w:pPr>
      <w:r w:rsidRPr="0003626E">
        <w:rPr>
          <w:rFonts w:ascii="Times New Roman" w:hAnsi="Times New Roman" w:cs="Times New Roman"/>
          <w:b/>
          <w:sz w:val="24"/>
          <w:szCs w:val="24"/>
        </w:rPr>
        <w:t>Limitation</w:t>
      </w:r>
    </w:p>
    <w:p w14:paraId="68506A58" w14:textId="12CEC1EE" w:rsidR="00E7696C" w:rsidRDefault="00132B3A" w:rsidP="007F75A3">
      <w:pPr>
        <w:spacing w:after="0"/>
        <w:jc w:val="both"/>
        <w:rPr>
          <w:rFonts w:ascii="Times New Roman" w:hAnsi="Times New Roman" w:cs="Times New Roman"/>
          <w:sz w:val="24"/>
          <w:szCs w:val="24"/>
        </w:rPr>
      </w:pPr>
      <w:r w:rsidRPr="00132B3A">
        <w:rPr>
          <w:rFonts w:ascii="Times New Roman" w:hAnsi="Times New Roman" w:cs="Times New Roman"/>
          <w:sz w:val="24"/>
          <w:szCs w:val="24"/>
        </w:rPr>
        <w:t xml:space="preserve">With regard to the limited role of the price-competitiveness channel in this framework, the literature suggests that the mechanical effect of a real exchange rate depreciation on national export stimulation is unlikely to materialise in the context of Sub-Saharan Africa (SSA). This is largely due to the price inelasticity of imports, which are concentrated in basic and intermediate goods (e.g., manufactured and capital goods) essential for local production but with few substitutes available domestically. These imported goods often embody advanced technological content not yet developed locally, further limiting substitution effects (Kamin, </w:t>
      </w:r>
      <w:proofErr w:type="gramStart"/>
      <w:r w:rsidRPr="00132B3A">
        <w:rPr>
          <w:rFonts w:ascii="Times New Roman" w:hAnsi="Times New Roman" w:cs="Times New Roman"/>
          <w:sz w:val="24"/>
          <w:szCs w:val="24"/>
        </w:rPr>
        <w:t>1988;</w:t>
      </w:r>
      <w:proofErr w:type="gramEnd"/>
      <w:r w:rsidRPr="00132B3A">
        <w:rPr>
          <w:rFonts w:ascii="Times New Roman" w:hAnsi="Times New Roman" w:cs="Times New Roman"/>
          <w:sz w:val="24"/>
          <w:szCs w:val="24"/>
        </w:rPr>
        <w:t xml:space="preserve"> Rose, 1991; Ghei and Pritchett, 1999). Additionally, in the case of Gabon, the economy’s status as </w:t>
      </w:r>
      <w:proofErr w:type="gramStart"/>
      <w:r w:rsidRPr="00132B3A">
        <w:rPr>
          <w:rFonts w:ascii="Times New Roman" w:hAnsi="Times New Roman" w:cs="Times New Roman"/>
          <w:sz w:val="24"/>
          <w:szCs w:val="24"/>
        </w:rPr>
        <w:t>a</w:t>
      </w:r>
      <w:proofErr w:type="gramEnd"/>
      <w:r w:rsidRPr="00132B3A">
        <w:rPr>
          <w:rFonts w:ascii="Times New Roman" w:hAnsi="Times New Roman" w:cs="Times New Roman"/>
          <w:sz w:val="24"/>
          <w:szCs w:val="24"/>
        </w:rPr>
        <w:t xml:space="preserve"> full member of OPEC (Organization of Petroleum Exporting Countries) implies that increases in exports </w:t>
      </w:r>
      <w:r w:rsidRPr="00132B3A">
        <w:rPr>
          <w:rFonts w:ascii="Times New Roman" w:hAnsi="Times New Roman" w:cs="Times New Roman"/>
          <w:sz w:val="24"/>
          <w:szCs w:val="24"/>
        </w:rPr>
        <w:lastRenderedPageBreak/>
        <w:t xml:space="preserve">are not necessarily attributable to domestic monetary or exchange rate policies. Indeed, as </w:t>
      </w:r>
      <w:proofErr w:type="gramStart"/>
      <w:r w:rsidRPr="00132B3A">
        <w:rPr>
          <w:rFonts w:ascii="Times New Roman" w:hAnsi="Times New Roman" w:cs="Times New Roman"/>
          <w:sz w:val="24"/>
          <w:szCs w:val="24"/>
        </w:rPr>
        <w:t>a</w:t>
      </w:r>
      <w:proofErr w:type="gramEnd"/>
      <w:r w:rsidRPr="00132B3A">
        <w:rPr>
          <w:rFonts w:ascii="Times New Roman" w:hAnsi="Times New Roman" w:cs="Times New Roman"/>
          <w:sz w:val="24"/>
          <w:szCs w:val="24"/>
        </w:rPr>
        <w:t xml:space="preserve"> dominant global crude oil producer, OPEC’s production and price regulations primarily influence world oil demand and supply rather than domestic exchange rate mechanisms.</w:t>
      </w:r>
    </w:p>
    <w:p w14:paraId="1859B675" w14:textId="44B96AEA" w:rsidR="008E28A8" w:rsidRDefault="008E28A8" w:rsidP="007F75A3">
      <w:pPr>
        <w:spacing w:after="0"/>
        <w:jc w:val="both"/>
        <w:rPr>
          <w:rFonts w:ascii="Times New Roman" w:hAnsi="Times New Roman" w:cs="Times New Roman"/>
          <w:sz w:val="24"/>
          <w:szCs w:val="24"/>
        </w:rPr>
      </w:pPr>
    </w:p>
    <w:p w14:paraId="0638FD3E" w14:textId="77777777" w:rsidR="008E28A8" w:rsidRDefault="008E28A8" w:rsidP="008E28A8">
      <w:pPr>
        <w:rPr>
          <w:rFonts w:ascii="Calibri" w:eastAsia="Calibri" w:hAnsi="Calibri" w:cs="Times New Roman"/>
          <w:kern w:val="2"/>
          <w:highlight w:val="yellow"/>
          <w:lang w:val="en-US"/>
        </w:rPr>
      </w:pPr>
      <w:bookmarkStart w:id="1" w:name="_Hlk221270586"/>
      <w:bookmarkStart w:id="2" w:name="_Hlk219110679"/>
    </w:p>
    <w:p w14:paraId="5357E354" w14:textId="77777777" w:rsidR="008E28A8" w:rsidRPr="00C9171F" w:rsidRDefault="008E28A8" w:rsidP="008E28A8">
      <w:pPr>
        <w:pStyle w:val="NoSpacing"/>
        <w:rPr>
          <w:rFonts w:ascii="Arial" w:hAnsi="Arial" w:cs="Arial"/>
          <w:b/>
          <w:highlight w:val="yellow"/>
        </w:rPr>
      </w:pPr>
      <w:bookmarkStart w:id="3" w:name="_Hlk219284361"/>
      <w:bookmarkStart w:id="4" w:name="_Hlk198031404"/>
      <w:bookmarkStart w:id="5" w:name="_Hlk223538761"/>
      <w:bookmarkStart w:id="6" w:name="_Hlk219128673"/>
      <w:r w:rsidRPr="00C9171F">
        <w:rPr>
          <w:rFonts w:ascii="Arial" w:hAnsi="Arial" w:cs="Arial"/>
          <w:b/>
          <w:highlight w:val="yellow"/>
        </w:rPr>
        <w:t>Disclaimer (Artificial intelligence)</w:t>
      </w:r>
    </w:p>
    <w:p w14:paraId="6DB8E302" w14:textId="77777777" w:rsidR="008E28A8" w:rsidRPr="00005ED1" w:rsidRDefault="008E28A8" w:rsidP="008E28A8">
      <w:pPr>
        <w:pStyle w:val="NoSpacing"/>
        <w:rPr>
          <w:rFonts w:ascii="Arial" w:hAnsi="Arial" w:cs="Arial"/>
          <w:highlight w:val="yellow"/>
        </w:rPr>
      </w:pPr>
    </w:p>
    <w:p w14:paraId="68E9A73B" w14:textId="77777777" w:rsidR="008E28A8" w:rsidRPr="00005ED1" w:rsidRDefault="008E28A8" w:rsidP="008E28A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3"/>
      <w:r w:rsidRPr="00005ED1">
        <w:rPr>
          <w:rFonts w:ascii="Arial" w:hAnsi="Arial" w:cs="Arial"/>
          <w:highlight w:val="yellow"/>
        </w:rPr>
        <w:t xml:space="preserve">. </w:t>
      </w:r>
    </w:p>
    <w:bookmarkEnd w:id="1"/>
    <w:bookmarkEnd w:id="4"/>
    <w:p w14:paraId="66C164AA" w14:textId="77777777" w:rsidR="008E28A8" w:rsidRDefault="008E28A8" w:rsidP="008E28A8">
      <w:pPr>
        <w:pStyle w:val="NoSpacing"/>
        <w:tabs>
          <w:tab w:val="left" w:pos="2980"/>
        </w:tabs>
        <w:rPr>
          <w:rFonts w:ascii="Arial" w:hAnsi="Arial" w:cs="Arial"/>
        </w:rPr>
      </w:pPr>
      <w:r>
        <w:rPr>
          <w:rFonts w:ascii="Arial" w:hAnsi="Arial" w:cs="Arial"/>
        </w:rPr>
        <w:tab/>
      </w:r>
      <w:bookmarkEnd w:id="5"/>
    </w:p>
    <w:bookmarkEnd w:id="2"/>
    <w:bookmarkEnd w:id="6"/>
    <w:p w14:paraId="184766A1" w14:textId="77777777" w:rsidR="008E28A8" w:rsidRPr="006F6E02" w:rsidRDefault="008E28A8" w:rsidP="007F75A3">
      <w:pPr>
        <w:spacing w:after="0"/>
        <w:jc w:val="both"/>
        <w:rPr>
          <w:rFonts w:ascii="Times New Roman" w:hAnsi="Times New Roman" w:cs="Times New Roman"/>
          <w:sz w:val="24"/>
          <w:szCs w:val="24"/>
        </w:rPr>
      </w:pPr>
    </w:p>
    <w:p w14:paraId="700CA7E7" w14:textId="77777777" w:rsidR="007F75A3" w:rsidRPr="006F6E02" w:rsidRDefault="007F75A3" w:rsidP="007F75A3">
      <w:pPr>
        <w:spacing w:after="0"/>
        <w:jc w:val="both"/>
        <w:rPr>
          <w:rFonts w:ascii="Times New Roman" w:hAnsi="Times New Roman" w:cs="Times New Roman"/>
          <w:sz w:val="24"/>
          <w:szCs w:val="24"/>
        </w:rPr>
      </w:pPr>
    </w:p>
    <w:p w14:paraId="30924560" w14:textId="77777777" w:rsidR="00570310" w:rsidRPr="006F6E02" w:rsidRDefault="00570310" w:rsidP="00570310">
      <w:pPr>
        <w:pStyle w:val="ListParagraph"/>
        <w:numPr>
          <w:ilvl w:val="0"/>
          <w:numId w:val="1"/>
        </w:numPr>
        <w:spacing w:after="0"/>
        <w:jc w:val="both"/>
        <w:rPr>
          <w:rFonts w:ascii="Times New Roman" w:hAnsi="Times New Roman" w:cs="Times New Roman"/>
          <w:sz w:val="24"/>
          <w:szCs w:val="24"/>
        </w:rPr>
      </w:pPr>
      <w:r w:rsidRPr="006F6E02">
        <w:rPr>
          <w:rFonts w:ascii="Times New Roman" w:hAnsi="Times New Roman" w:cs="Times New Roman"/>
          <w:b/>
          <w:sz w:val="24"/>
          <w:szCs w:val="24"/>
        </w:rPr>
        <w:t>Referencces</w:t>
      </w:r>
    </w:p>
    <w:p w14:paraId="767C4279" w14:textId="77777777" w:rsidR="00313974" w:rsidRPr="006F6E02" w:rsidRDefault="00313974" w:rsidP="00F65EA2">
      <w:pPr>
        <w:spacing w:after="0" w:line="240" w:lineRule="auto"/>
        <w:jc w:val="both"/>
        <w:rPr>
          <w:rFonts w:ascii="Times New Roman" w:hAnsi="Times New Roman" w:cs="Times New Roman"/>
          <w:sz w:val="24"/>
          <w:szCs w:val="24"/>
          <w:lang w:val="en-GB"/>
        </w:rPr>
      </w:pPr>
    </w:p>
    <w:p w14:paraId="180F0A8E" w14:textId="77777777" w:rsidR="00BE7EEE" w:rsidRPr="00AD0273" w:rsidRDefault="00570310" w:rsidP="00AD0273">
      <w:pPr>
        <w:pStyle w:val="ListParagraph"/>
        <w:numPr>
          <w:ilvl w:val="0"/>
          <w:numId w:val="7"/>
        </w:numPr>
        <w:spacing w:after="0" w:line="240" w:lineRule="auto"/>
        <w:jc w:val="both"/>
        <w:rPr>
          <w:rFonts w:ascii="Times New Roman" w:hAnsi="Times New Roman" w:cs="Times New Roman"/>
          <w:sz w:val="24"/>
          <w:szCs w:val="24"/>
        </w:rPr>
      </w:pPr>
      <w:r w:rsidRPr="00AD0273">
        <w:rPr>
          <w:rFonts w:ascii="Times New Roman" w:hAnsi="Times New Roman" w:cs="Times New Roman"/>
          <w:sz w:val="24"/>
          <w:szCs w:val="24"/>
          <w:lang w:val="en-GB"/>
        </w:rPr>
        <w:t xml:space="preserve">Baffes, J., Elbadawi, I. </w:t>
      </w:r>
      <w:r w:rsidRPr="00AD0273">
        <w:rPr>
          <w:rFonts w:ascii="Times New Roman" w:hAnsi="Times New Roman" w:cs="Times New Roman"/>
          <w:sz w:val="24"/>
          <w:szCs w:val="24"/>
        </w:rPr>
        <w:t>&amp;</w:t>
      </w:r>
      <w:r w:rsidRPr="00AD0273">
        <w:rPr>
          <w:rFonts w:ascii="Times New Roman" w:hAnsi="Times New Roman" w:cs="Times New Roman"/>
          <w:sz w:val="24"/>
          <w:szCs w:val="24"/>
          <w:lang w:val="en-GB"/>
        </w:rPr>
        <w:t xml:space="preserve"> O’Connel, S. (1999). Single equation estimation of the equilibrium real exchange rate, L. Hinkle, &amp; P. Montiel (Eds), Exchange rate </w:t>
      </w:r>
      <w:proofErr w:type="gramStart"/>
      <w:r w:rsidRPr="00AD0273">
        <w:rPr>
          <w:rFonts w:ascii="Times New Roman" w:hAnsi="Times New Roman" w:cs="Times New Roman"/>
          <w:sz w:val="24"/>
          <w:szCs w:val="24"/>
          <w:lang w:val="en-GB"/>
        </w:rPr>
        <w:t>misalignment :</w:t>
      </w:r>
      <w:proofErr w:type="gramEnd"/>
      <w:r w:rsidRPr="00AD0273">
        <w:rPr>
          <w:rFonts w:ascii="Times New Roman" w:hAnsi="Times New Roman" w:cs="Times New Roman"/>
          <w:sz w:val="24"/>
          <w:szCs w:val="24"/>
          <w:lang w:val="en-GB"/>
        </w:rPr>
        <w:t xml:space="preserve"> concepts and measurement for developing countries, </w:t>
      </w:r>
      <w:r w:rsidRPr="00AD0273">
        <w:rPr>
          <w:rFonts w:ascii="Times New Roman" w:hAnsi="Times New Roman" w:cs="Times New Roman"/>
          <w:sz w:val="24"/>
          <w:szCs w:val="24"/>
        </w:rPr>
        <w:t>Washington DC:</w:t>
      </w:r>
      <w:r w:rsidRPr="00AD0273">
        <w:rPr>
          <w:rFonts w:ascii="Times New Roman" w:hAnsi="Times New Roman" w:cs="Times New Roman"/>
          <w:sz w:val="24"/>
          <w:szCs w:val="24"/>
          <w:lang w:val="en-GB"/>
        </w:rPr>
        <w:t xml:space="preserve"> </w:t>
      </w:r>
      <w:r w:rsidRPr="00AD0273">
        <w:rPr>
          <w:rFonts w:ascii="Times New Roman" w:hAnsi="Times New Roman" w:cs="Times New Roman"/>
          <w:sz w:val="24"/>
          <w:szCs w:val="24"/>
        </w:rPr>
        <w:t>World Bank Research Publication.</w:t>
      </w:r>
    </w:p>
    <w:p w14:paraId="1414A0F6" w14:textId="77777777" w:rsidR="00C87D1B" w:rsidRPr="006F6E02" w:rsidRDefault="00C87D1B" w:rsidP="00F65EA2">
      <w:pPr>
        <w:spacing w:after="0" w:line="240" w:lineRule="auto"/>
        <w:jc w:val="both"/>
        <w:rPr>
          <w:rFonts w:ascii="Times New Roman" w:hAnsi="Times New Roman" w:cs="Times New Roman"/>
          <w:sz w:val="24"/>
          <w:szCs w:val="24"/>
        </w:rPr>
      </w:pPr>
    </w:p>
    <w:p w14:paraId="766FB9C2" w14:textId="77777777" w:rsidR="00313974" w:rsidRPr="00AD0273" w:rsidRDefault="00313974" w:rsidP="00AD0273">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AD0273">
        <w:rPr>
          <w:rFonts w:ascii="Times New Roman" w:hAnsi="Times New Roman" w:cs="Times New Roman"/>
          <w:sz w:val="24"/>
          <w:szCs w:val="24"/>
        </w:rPr>
        <w:t xml:space="preserve">Berman, N., Berthou, A. and Héricourt, J. (2011). Export Dynamics and Sales at Home, </w:t>
      </w:r>
      <w:r w:rsidRPr="00AD0273">
        <w:rPr>
          <w:rFonts w:ascii="Times New Roman" w:hAnsi="Times New Roman" w:cs="Times New Roman"/>
          <w:i/>
          <w:sz w:val="24"/>
          <w:szCs w:val="24"/>
        </w:rPr>
        <w:t>CEPR Working Paper</w:t>
      </w:r>
      <w:r w:rsidRPr="00AD0273">
        <w:rPr>
          <w:rFonts w:ascii="Times New Roman" w:hAnsi="Times New Roman" w:cs="Times New Roman"/>
          <w:sz w:val="24"/>
          <w:szCs w:val="24"/>
        </w:rPr>
        <w:t xml:space="preserve"> 8684.</w:t>
      </w:r>
    </w:p>
    <w:p w14:paraId="373630C0" w14:textId="77777777" w:rsidR="00313974" w:rsidRPr="006F6E02" w:rsidRDefault="00313974" w:rsidP="00BE7EEE">
      <w:pPr>
        <w:spacing w:after="0" w:line="240" w:lineRule="auto"/>
        <w:jc w:val="both"/>
        <w:rPr>
          <w:rFonts w:ascii="Times New Roman" w:hAnsi="Times New Roman" w:cs="Times New Roman"/>
          <w:sz w:val="24"/>
          <w:szCs w:val="24"/>
        </w:rPr>
      </w:pPr>
    </w:p>
    <w:p w14:paraId="34F91788" w14:textId="77777777" w:rsidR="00570310" w:rsidRPr="00AD0273" w:rsidRDefault="00570310" w:rsidP="00AD0273">
      <w:pPr>
        <w:pStyle w:val="ListParagraph"/>
        <w:numPr>
          <w:ilvl w:val="0"/>
          <w:numId w:val="7"/>
        </w:numPr>
        <w:spacing w:after="0" w:line="240" w:lineRule="auto"/>
        <w:jc w:val="both"/>
        <w:rPr>
          <w:rFonts w:ascii="Times New Roman" w:hAnsi="Times New Roman" w:cs="Times New Roman"/>
          <w:sz w:val="24"/>
          <w:szCs w:val="24"/>
        </w:rPr>
      </w:pPr>
      <w:r w:rsidRPr="00AD0273">
        <w:rPr>
          <w:rFonts w:ascii="Times New Roman" w:hAnsi="Times New Roman" w:cs="Times New Roman"/>
          <w:sz w:val="24"/>
          <w:szCs w:val="24"/>
        </w:rPr>
        <w:t xml:space="preserve">Bobeica, E., Esteves, P. S., Rua, A. </w:t>
      </w:r>
      <w:r w:rsidRPr="00AD0273">
        <w:rPr>
          <w:rFonts w:ascii="Times New Roman" w:eastAsia="Times" w:hAnsi="Times New Roman" w:cs="Times New Roman"/>
          <w:color w:val="222222"/>
          <w:sz w:val="24"/>
          <w:szCs w:val="24"/>
        </w:rPr>
        <w:t>&amp;</w:t>
      </w:r>
      <w:r w:rsidRPr="00AD0273">
        <w:rPr>
          <w:rFonts w:ascii="Times New Roman" w:hAnsi="Times New Roman" w:cs="Times New Roman"/>
          <w:sz w:val="24"/>
          <w:szCs w:val="24"/>
        </w:rPr>
        <w:t xml:space="preserve"> Staehr, K. (2015). Exports and domestic demand </w:t>
      </w:r>
      <w:proofErr w:type="gramStart"/>
      <w:r w:rsidRPr="00AD0273">
        <w:rPr>
          <w:rFonts w:ascii="Times New Roman" w:hAnsi="Times New Roman" w:cs="Times New Roman"/>
          <w:sz w:val="24"/>
          <w:szCs w:val="24"/>
        </w:rPr>
        <w:t>pressures:</w:t>
      </w:r>
      <w:proofErr w:type="gramEnd"/>
      <w:r w:rsidRPr="00AD0273">
        <w:rPr>
          <w:rFonts w:ascii="Times New Roman" w:hAnsi="Times New Roman" w:cs="Times New Roman"/>
          <w:sz w:val="24"/>
          <w:szCs w:val="24"/>
        </w:rPr>
        <w:t xml:space="preserve"> a dynamic panel data model for the euro area countries, </w:t>
      </w:r>
      <w:r w:rsidRPr="00AD0273">
        <w:rPr>
          <w:rFonts w:ascii="Times New Roman" w:hAnsi="Times New Roman" w:cs="Times New Roman"/>
          <w:i/>
          <w:sz w:val="24"/>
          <w:szCs w:val="24"/>
        </w:rPr>
        <w:t>European Central Bank Working Paper Series</w:t>
      </w:r>
      <w:r w:rsidRPr="00AD0273">
        <w:rPr>
          <w:rFonts w:ascii="Times New Roman" w:hAnsi="Times New Roman" w:cs="Times New Roman"/>
          <w:sz w:val="24"/>
          <w:szCs w:val="24"/>
        </w:rPr>
        <w:t xml:space="preserve"> </w:t>
      </w:r>
      <w:r w:rsidRPr="00AD0273">
        <w:rPr>
          <w:rFonts w:ascii="Times New Roman" w:hAnsi="Times New Roman" w:cs="Times New Roman"/>
          <w:i/>
          <w:sz w:val="24"/>
          <w:szCs w:val="24"/>
        </w:rPr>
        <w:t>1777</w:t>
      </w:r>
      <w:r w:rsidRPr="00AD0273">
        <w:rPr>
          <w:rFonts w:ascii="Times New Roman" w:hAnsi="Times New Roman" w:cs="Times New Roman"/>
          <w:sz w:val="24"/>
          <w:szCs w:val="24"/>
        </w:rPr>
        <w:t>.</w:t>
      </w:r>
    </w:p>
    <w:p w14:paraId="530897D1" w14:textId="77777777" w:rsidR="00BE7EEE" w:rsidRDefault="00BE7EEE" w:rsidP="00BE7EEE">
      <w:pPr>
        <w:pStyle w:val="FootnoteText"/>
        <w:rPr>
          <w:rFonts w:ascii="Times New Roman" w:hAnsi="Times New Roman" w:cs="Times New Roman"/>
          <w:bCs/>
          <w:sz w:val="24"/>
          <w:szCs w:val="24"/>
        </w:rPr>
      </w:pPr>
    </w:p>
    <w:p w14:paraId="7772CF84" w14:textId="77777777" w:rsidR="0003626E" w:rsidRPr="00AD0273" w:rsidRDefault="0003626E" w:rsidP="00AD0273">
      <w:pPr>
        <w:pStyle w:val="ListParagraph"/>
        <w:numPr>
          <w:ilvl w:val="0"/>
          <w:numId w:val="7"/>
        </w:numPr>
        <w:tabs>
          <w:tab w:val="center" w:pos="0"/>
        </w:tabs>
        <w:autoSpaceDN w:val="0"/>
        <w:spacing w:after="120" w:line="240" w:lineRule="auto"/>
        <w:jc w:val="both"/>
        <w:textAlignment w:val="baseline"/>
        <w:rPr>
          <w:rFonts w:ascii="Times New Roman" w:hAnsi="Times New Roman" w:cs="Times New Roman"/>
          <w:bCs/>
          <w:sz w:val="24"/>
          <w:szCs w:val="24"/>
        </w:rPr>
      </w:pPr>
      <w:r w:rsidRPr="00AD0273">
        <w:rPr>
          <w:rFonts w:ascii="Times New Roman" w:hAnsi="Times New Roman" w:cs="Times New Roman"/>
          <w:bCs/>
          <w:sz w:val="24"/>
          <w:szCs w:val="24"/>
          <w:highlight w:val="yellow"/>
        </w:rPr>
        <w:t xml:space="preserve">Bouoiyour, J. (2003). Trade and GDP Growth in Morroco : Short-run or Long-run </w:t>
      </w:r>
      <w:proofErr w:type="gramStart"/>
      <w:r w:rsidRPr="00AD0273">
        <w:rPr>
          <w:rFonts w:ascii="Times New Roman" w:hAnsi="Times New Roman" w:cs="Times New Roman"/>
          <w:bCs/>
          <w:sz w:val="24"/>
          <w:szCs w:val="24"/>
          <w:highlight w:val="yellow"/>
        </w:rPr>
        <w:t>Causality ?,</w:t>
      </w:r>
      <w:proofErr w:type="gramEnd"/>
      <w:r w:rsidRPr="00AD0273">
        <w:rPr>
          <w:rFonts w:ascii="Times New Roman" w:hAnsi="Times New Roman" w:cs="Times New Roman"/>
          <w:bCs/>
          <w:sz w:val="24"/>
          <w:szCs w:val="24"/>
          <w:highlight w:val="yellow"/>
        </w:rPr>
        <w:t xml:space="preserve"> </w:t>
      </w:r>
      <w:r w:rsidRPr="00AD0273">
        <w:rPr>
          <w:rFonts w:ascii="Times New Roman" w:hAnsi="Times New Roman" w:cs="Times New Roman"/>
          <w:bCs/>
          <w:i/>
          <w:sz w:val="24"/>
          <w:szCs w:val="24"/>
          <w:highlight w:val="yellow"/>
        </w:rPr>
        <w:t>MPRA_Paper 28859</w:t>
      </w:r>
      <w:r w:rsidRPr="00AD0273">
        <w:rPr>
          <w:rFonts w:ascii="Times New Roman" w:hAnsi="Times New Roman" w:cs="Times New Roman"/>
          <w:bCs/>
          <w:sz w:val="24"/>
          <w:szCs w:val="24"/>
          <w:highlight w:val="yellow"/>
        </w:rPr>
        <w:t>.</w:t>
      </w:r>
    </w:p>
    <w:p w14:paraId="4670FBA5" w14:textId="77777777" w:rsidR="0003626E" w:rsidRPr="006F6E02" w:rsidRDefault="0003626E" w:rsidP="00BE7EEE">
      <w:pPr>
        <w:pStyle w:val="FootnoteText"/>
        <w:rPr>
          <w:rFonts w:ascii="Times New Roman" w:hAnsi="Times New Roman" w:cs="Times New Roman"/>
          <w:bCs/>
          <w:sz w:val="24"/>
          <w:szCs w:val="24"/>
        </w:rPr>
      </w:pPr>
    </w:p>
    <w:p w14:paraId="0BB51DD9" w14:textId="77777777" w:rsidR="00570310" w:rsidRPr="006F6E02" w:rsidRDefault="00570310" w:rsidP="00AD0273">
      <w:pPr>
        <w:pStyle w:val="FootnoteText"/>
        <w:numPr>
          <w:ilvl w:val="0"/>
          <w:numId w:val="7"/>
        </w:numPr>
        <w:rPr>
          <w:rFonts w:ascii="Times New Roman" w:hAnsi="Times New Roman" w:cs="Times New Roman"/>
          <w:sz w:val="24"/>
          <w:szCs w:val="24"/>
        </w:rPr>
      </w:pPr>
      <w:r w:rsidRPr="006F6E02">
        <w:rPr>
          <w:rFonts w:ascii="Times New Roman" w:hAnsi="Times New Roman" w:cs="Times New Roman"/>
          <w:sz w:val="24"/>
          <w:szCs w:val="24"/>
        </w:rPr>
        <w:t xml:space="preserve">Couharde, C., Delatte, A-L., Grekou, C., Mignon, V. </w:t>
      </w:r>
      <w:r w:rsidRPr="006F6E02">
        <w:rPr>
          <w:rFonts w:ascii="Times New Roman" w:eastAsia="Times" w:hAnsi="Times New Roman" w:cs="Times New Roman"/>
          <w:color w:val="222222"/>
          <w:sz w:val="24"/>
          <w:szCs w:val="24"/>
        </w:rPr>
        <w:t>&amp;</w:t>
      </w:r>
      <w:r w:rsidRPr="006F6E02">
        <w:rPr>
          <w:rFonts w:ascii="Times New Roman" w:hAnsi="Times New Roman" w:cs="Times New Roman"/>
          <w:sz w:val="24"/>
          <w:szCs w:val="24"/>
        </w:rPr>
        <w:t xml:space="preserve"> Morvillier, F. (2018). </w:t>
      </w:r>
      <w:proofErr w:type="gramStart"/>
      <w:r w:rsidRPr="006F6E02">
        <w:rPr>
          <w:rFonts w:ascii="Times New Roman" w:hAnsi="Times New Roman" w:cs="Times New Roman"/>
          <w:sz w:val="24"/>
          <w:szCs w:val="24"/>
        </w:rPr>
        <w:t>Eqchange:</w:t>
      </w:r>
      <w:proofErr w:type="gramEnd"/>
      <w:r w:rsidRPr="006F6E02">
        <w:rPr>
          <w:rFonts w:ascii="Times New Roman" w:hAnsi="Times New Roman" w:cs="Times New Roman"/>
          <w:sz w:val="24"/>
          <w:szCs w:val="24"/>
        </w:rPr>
        <w:t xml:space="preserve"> a world database on actual and equilibruim effective exchanges rates, </w:t>
      </w:r>
      <w:r w:rsidRPr="006F6E02">
        <w:rPr>
          <w:rFonts w:ascii="Times New Roman" w:hAnsi="Times New Roman" w:cs="Times New Roman"/>
          <w:i/>
          <w:sz w:val="24"/>
          <w:szCs w:val="24"/>
        </w:rPr>
        <w:t>International Economics</w:t>
      </w:r>
      <w:r w:rsidRPr="006F6E02">
        <w:rPr>
          <w:rFonts w:ascii="Times New Roman" w:hAnsi="Times New Roman" w:cs="Times New Roman"/>
          <w:sz w:val="24"/>
          <w:szCs w:val="24"/>
        </w:rPr>
        <w:t>, 156(December 2018), 206-230.</w:t>
      </w:r>
    </w:p>
    <w:p w14:paraId="3E46B70B" w14:textId="77777777" w:rsidR="00BE7EEE" w:rsidRPr="006F6E02" w:rsidRDefault="00BE7EEE" w:rsidP="00BE7EEE">
      <w:pPr>
        <w:pStyle w:val="HTMLPreformatted"/>
        <w:shd w:val="clear" w:color="auto" w:fill="F8F9FA"/>
        <w:spacing w:line="276" w:lineRule="auto"/>
        <w:jc w:val="both"/>
        <w:rPr>
          <w:rFonts w:ascii="Times New Roman" w:eastAsiaTheme="minorHAnsi" w:hAnsi="Times New Roman" w:cs="Times New Roman"/>
          <w:sz w:val="24"/>
          <w:szCs w:val="24"/>
          <w:lang w:eastAsia="en-US"/>
        </w:rPr>
      </w:pPr>
    </w:p>
    <w:p w14:paraId="39E8F717" w14:textId="77777777" w:rsidR="006F4DF3" w:rsidRPr="006F6E02" w:rsidRDefault="006F4DF3" w:rsidP="00AD0273">
      <w:pPr>
        <w:pStyle w:val="HTMLPreformatted"/>
        <w:numPr>
          <w:ilvl w:val="0"/>
          <w:numId w:val="7"/>
        </w:numPr>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Engle, R. F. and Granger, C. W. (1987). Cointegration and error </w:t>
      </w:r>
      <w:proofErr w:type="gramStart"/>
      <w:r w:rsidRPr="006F6E02">
        <w:rPr>
          <w:rFonts w:ascii="Times New Roman" w:hAnsi="Times New Roman" w:cs="Times New Roman"/>
          <w:sz w:val="24"/>
          <w:szCs w:val="24"/>
        </w:rPr>
        <w:t>correction:</w:t>
      </w:r>
      <w:proofErr w:type="gramEnd"/>
      <w:r w:rsidRPr="006F6E02">
        <w:rPr>
          <w:rFonts w:ascii="Times New Roman" w:hAnsi="Times New Roman" w:cs="Times New Roman"/>
          <w:sz w:val="24"/>
          <w:szCs w:val="24"/>
        </w:rPr>
        <w:t xml:space="preserve"> Representation, estimating and testing, </w:t>
      </w:r>
      <w:r w:rsidRPr="006F6E02">
        <w:rPr>
          <w:rFonts w:ascii="Times New Roman" w:hAnsi="Times New Roman" w:cs="Times New Roman"/>
          <w:i/>
          <w:sz w:val="24"/>
          <w:szCs w:val="24"/>
        </w:rPr>
        <w:t>Econometrica</w:t>
      </w:r>
      <w:r w:rsidRPr="006F6E02">
        <w:rPr>
          <w:rFonts w:ascii="Times New Roman" w:hAnsi="Times New Roman" w:cs="Times New Roman"/>
          <w:sz w:val="24"/>
          <w:szCs w:val="24"/>
        </w:rPr>
        <w:t>, 55(2), 251-276.</w:t>
      </w:r>
    </w:p>
    <w:p w14:paraId="395BFBE2" w14:textId="77777777" w:rsidR="00570310" w:rsidRPr="006F6E02" w:rsidRDefault="00570310" w:rsidP="00BE7EEE">
      <w:pPr>
        <w:pStyle w:val="HTMLPreformatted"/>
        <w:shd w:val="clear" w:color="auto" w:fill="F8F9FA"/>
        <w:spacing w:line="276" w:lineRule="auto"/>
        <w:jc w:val="both"/>
        <w:rPr>
          <w:rFonts w:ascii="Times New Roman" w:hAnsi="Times New Roman" w:cs="Times New Roman"/>
          <w:sz w:val="24"/>
          <w:szCs w:val="24"/>
        </w:rPr>
      </w:pPr>
    </w:p>
    <w:p w14:paraId="18DACE5E" w14:textId="77777777" w:rsidR="00570310" w:rsidRPr="006F6E02" w:rsidRDefault="00570310" w:rsidP="00AD0273">
      <w:pPr>
        <w:pStyle w:val="HTMLPreformatted"/>
        <w:numPr>
          <w:ilvl w:val="0"/>
          <w:numId w:val="7"/>
        </w:numPr>
        <w:shd w:val="clear" w:color="auto" w:fill="F8F9FA"/>
        <w:spacing w:line="276" w:lineRule="auto"/>
        <w:jc w:val="both"/>
        <w:rPr>
          <w:rFonts w:ascii="Times New Roman" w:hAnsi="Times New Roman" w:cs="Times New Roman"/>
          <w:sz w:val="24"/>
          <w:szCs w:val="24"/>
        </w:rPr>
      </w:pPr>
      <w:r w:rsidRPr="006F6E02">
        <w:rPr>
          <w:rFonts w:ascii="Times New Roman" w:hAnsi="Times New Roman" w:cs="Times New Roman"/>
          <w:sz w:val="24"/>
          <w:szCs w:val="24"/>
        </w:rPr>
        <w:t xml:space="preserve">Esteves, P. S. </w:t>
      </w:r>
      <w:r w:rsidRPr="006F6E02">
        <w:rPr>
          <w:rFonts w:ascii="Times New Roman" w:eastAsia="Times" w:hAnsi="Times New Roman" w:cs="Times New Roman"/>
          <w:color w:val="222222"/>
          <w:sz w:val="24"/>
          <w:szCs w:val="24"/>
        </w:rPr>
        <w:t>&amp;</w:t>
      </w:r>
      <w:r w:rsidRPr="006F6E02">
        <w:rPr>
          <w:rFonts w:ascii="Times New Roman" w:hAnsi="Times New Roman" w:cs="Times New Roman"/>
          <w:sz w:val="24"/>
          <w:szCs w:val="24"/>
        </w:rPr>
        <w:t xml:space="preserve"> Prades, E. (2016). On domestic demand and export performance in the euro area </w:t>
      </w:r>
      <w:proofErr w:type="gramStart"/>
      <w:r w:rsidRPr="006F6E02">
        <w:rPr>
          <w:rFonts w:ascii="Times New Roman" w:hAnsi="Times New Roman" w:cs="Times New Roman"/>
          <w:sz w:val="24"/>
          <w:szCs w:val="24"/>
        </w:rPr>
        <w:t>countries:</w:t>
      </w:r>
      <w:proofErr w:type="gramEnd"/>
      <w:r w:rsidRPr="006F6E02">
        <w:rPr>
          <w:rFonts w:ascii="Times New Roman" w:hAnsi="Times New Roman" w:cs="Times New Roman"/>
          <w:sz w:val="24"/>
          <w:szCs w:val="24"/>
        </w:rPr>
        <w:t xml:space="preserve"> does export concentration matter?, </w:t>
      </w:r>
      <w:r w:rsidRPr="006F6E02">
        <w:rPr>
          <w:rFonts w:ascii="Times New Roman" w:hAnsi="Times New Roman" w:cs="Times New Roman"/>
          <w:i/>
          <w:sz w:val="24"/>
          <w:szCs w:val="24"/>
        </w:rPr>
        <w:t>European Central Bank Working Paper Series</w:t>
      </w:r>
      <w:r w:rsidRPr="006F6E02">
        <w:rPr>
          <w:rFonts w:ascii="Times New Roman" w:hAnsi="Times New Roman" w:cs="Times New Roman"/>
          <w:sz w:val="24"/>
          <w:szCs w:val="24"/>
        </w:rPr>
        <w:t xml:space="preserve"> </w:t>
      </w:r>
      <w:r w:rsidRPr="006F6E02">
        <w:rPr>
          <w:rFonts w:ascii="Times New Roman" w:hAnsi="Times New Roman" w:cs="Times New Roman"/>
          <w:i/>
          <w:sz w:val="24"/>
          <w:szCs w:val="24"/>
        </w:rPr>
        <w:t>1909</w:t>
      </w:r>
      <w:r w:rsidRPr="006F6E02">
        <w:rPr>
          <w:rFonts w:ascii="Times New Roman" w:hAnsi="Times New Roman" w:cs="Times New Roman"/>
          <w:sz w:val="24"/>
          <w:szCs w:val="24"/>
        </w:rPr>
        <w:t>.</w:t>
      </w:r>
    </w:p>
    <w:p w14:paraId="1D2BA7A5" w14:textId="77777777" w:rsidR="00570310" w:rsidRPr="006F6E02" w:rsidRDefault="00570310" w:rsidP="00BE7EEE">
      <w:pPr>
        <w:pStyle w:val="HTMLPreformatted"/>
        <w:shd w:val="clear" w:color="auto" w:fill="F8F9FA"/>
        <w:spacing w:line="276" w:lineRule="auto"/>
        <w:jc w:val="both"/>
        <w:rPr>
          <w:rFonts w:ascii="Times New Roman" w:hAnsi="Times New Roman" w:cs="Times New Roman"/>
          <w:sz w:val="24"/>
          <w:szCs w:val="24"/>
        </w:rPr>
      </w:pPr>
    </w:p>
    <w:p w14:paraId="2ECB20F6" w14:textId="77777777" w:rsidR="00570310" w:rsidRPr="006F6E02" w:rsidRDefault="00570310" w:rsidP="00AD0273">
      <w:pPr>
        <w:pStyle w:val="HTMLPreformatted"/>
        <w:numPr>
          <w:ilvl w:val="0"/>
          <w:numId w:val="7"/>
        </w:numPr>
        <w:shd w:val="clear" w:color="auto" w:fill="F8F9FA"/>
        <w:spacing w:line="276" w:lineRule="auto"/>
        <w:jc w:val="both"/>
        <w:rPr>
          <w:rFonts w:ascii="Times New Roman" w:hAnsi="Times New Roman" w:cs="Times New Roman"/>
          <w:sz w:val="24"/>
          <w:szCs w:val="24"/>
        </w:rPr>
      </w:pPr>
      <w:r w:rsidRPr="006F6E02">
        <w:rPr>
          <w:rFonts w:ascii="Times New Roman" w:hAnsi="Times New Roman" w:cs="Times New Roman"/>
          <w:sz w:val="24"/>
          <w:szCs w:val="24"/>
        </w:rPr>
        <w:t xml:space="preserve">Esteves, P. S. </w:t>
      </w:r>
      <w:r w:rsidRPr="006F6E02">
        <w:rPr>
          <w:rFonts w:ascii="Times New Roman" w:eastAsia="Times" w:hAnsi="Times New Roman" w:cs="Times New Roman"/>
          <w:color w:val="222222"/>
          <w:sz w:val="24"/>
          <w:szCs w:val="24"/>
        </w:rPr>
        <w:t>&amp;</w:t>
      </w:r>
      <w:r w:rsidRPr="006F6E02">
        <w:rPr>
          <w:rFonts w:ascii="Times New Roman" w:hAnsi="Times New Roman" w:cs="Times New Roman"/>
          <w:sz w:val="24"/>
          <w:szCs w:val="24"/>
        </w:rPr>
        <w:t xml:space="preserve"> Rua, A. (2013). Is there a role for domestic demand pressure on export </w:t>
      </w:r>
      <w:proofErr w:type="gramStart"/>
      <w:r w:rsidRPr="006F6E02">
        <w:rPr>
          <w:rFonts w:ascii="Times New Roman" w:hAnsi="Times New Roman" w:cs="Times New Roman"/>
          <w:sz w:val="24"/>
          <w:szCs w:val="24"/>
        </w:rPr>
        <w:t>peformance ?,</w:t>
      </w:r>
      <w:proofErr w:type="gramEnd"/>
      <w:r w:rsidRPr="006F6E02">
        <w:rPr>
          <w:rFonts w:ascii="Times New Roman" w:hAnsi="Times New Roman" w:cs="Times New Roman"/>
          <w:sz w:val="24"/>
          <w:szCs w:val="24"/>
        </w:rPr>
        <w:t xml:space="preserve"> </w:t>
      </w:r>
      <w:r w:rsidRPr="006F6E02">
        <w:rPr>
          <w:rFonts w:ascii="Times New Roman" w:hAnsi="Times New Roman" w:cs="Times New Roman"/>
          <w:i/>
          <w:sz w:val="24"/>
          <w:szCs w:val="24"/>
        </w:rPr>
        <w:t>European Central Bank Working Paper Series</w:t>
      </w:r>
      <w:r w:rsidRPr="006F6E02">
        <w:rPr>
          <w:rFonts w:ascii="Times New Roman" w:hAnsi="Times New Roman" w:cs="Times New Roman"/>
          <w:sz w:val="24"/>
          <w:szCs w:val="24"/>
        </w:rPr>
        <w:t xml:space="preserve"> </w:t>
      </w:r>
      <w:r w:rsidRPr="006F6E02">
        <w:rPr>
          <w:rFonts w:ascii="Times New Roman" w:hAnsi="Times New Roman" w:cs="Times New Roman"/>
          <w:i/>
          <w:sz w:val="24"/>
          <w:szCs w:val="24"/>
        </w:rPr>
        <w:t>1594</w:t>
      </w:r>
      <w:r w:rsidRPr="006F6E02">
        <w:rPr>
          <w:rFonts w:ascii="Times New Roman" w:hAnsi="Times New Roman" w:cs="Times New Roman"/>
          <w:sz w:val="24"/>
          <w:szCs w:val="24"/>
        </w:rPr>
        <w:t>.</w:t>
      </w:r>
    </w:p>
    <w:p w14:paraId="41BC43CD" w14:textId="77777777" w:rsidR="006253C6" w:rsidRDefault="006253C6" w:rsidP="00BE7EEE">
      <w:pPr>
        <w:pStyle w:val="HTMLPreformatted"/>
        <w:shd w:val="clear" w:color="auto" w:fill="F8F9FA"/>
        <w:spacing w:line="276" w:lineRule="auto"/>
        <w:jc w:val="both"/>
        <w:rPr>
          <w:rFonts w:ascii="Times New Roman" w:hAnsi="Times New Roman" w:cs="Times New Roman"/>
          <w:sz w:val="24"/>
          <w:szCs w:val="24"/>
        </w:rPr>
      </w:pPr>
    </w:p>
    <w:p w14:paraId="3F34EC24" w14:textId="6C32A206" w:rsidR="00C93F5D" w:rsidRPr="00C93F5D" w:rsidRDefault="00C93F5D" w:rsidP="00AD0273">
      <w:pPr>
        <w:pStyle w:val="HTMLPreformatted"/>
        <w:numPr>
          <w:ilvl w:val="0"/>
          <w:numId w:val="7"/>
        </w:numPr>
        <w:shd w:val="clear" w:color="auto" w:fill="F8F9FA"/>
        <w:spacing w:line="276" w:lineRule="auto"/>
        <w:jc w:val="both"/>
        <w:rPr>
          <w:rFonts w:ascii="Times New Roman" w:hAnsi="Times New Roman" w:cs="Times New Roman"/>
          <w:sz w:val="24"/>
          <w:szCs w:val="24"/>
        </w:rPr>
      </w:pPr>
      <w:r w:rsidRPr="00C93F5D">
        <w:rPr>
          <w:rFonts w:ascii="Times New Roman" w:hAnsi="Times New Roman" w:cs="Times New Roman"/>
          <w:sz w:val="24"/>
          <w:szCs w:val="24"/>
          <w:highlight w:val="yellow"/>
        </w:rPr>
        <w:t xml:space="preserve">Ghei, N. &amp; Pritchett, L. (1999). The three </w:t>
      </w:r>
      <w:proofErr w:type="gramStart"/>
      <w:r w:rsidRPr="00C93F5D">
        <w:rPr>
          <w:rFonts w:ascii="Times New Roman" w:hAnsi="Times New Roman" w:cs="Times New Roman"/>
          <w:sz w:val="24"/>
          <w:szCs w:val="24"/>
          <w:highlight w:val="yellow"/>
        </w:rPr>
        <w:t>pessimisms:</w:t>
      </w:r>
      <w:proofErr w:type="gramEnd"/>
      <w:r w:rsidRPr="00C93F5D">
        <w:rPr>
          <w:rFonts w:ascii="Times New Roman" w:hAnsi="Times New Roman" w:cs="Times New Roman"/>
          <w:sz w:val="24"/>
          <w:szCs w:val="24"/>
          <w:highlight w:val="yellow"/>
        </w:rPr>
        <w:t xml:space="preserve"> exchange rate and trade flows in the Franc zone, in L.E. Hinkle and P.J. Montiel (Eds), Exchange rate misalignments: concepts and measurement for developing countries (pp. 467-496). New </w:t>
      </w:r>
      <w:proofErr w:type="gramStart"/>
      <w:r w:rsidRPr="00C93F5D">
        <w:rPr>
          <w:rFonts w:ascii="Times New Roman" w:hAnsi="Times New Roman" w:cs="Times New Roman"/>
          <w:sz w:val="24"/>
          <w:szCs w:val="24"/>
          <w:highlight w:val="yellow"/>
        </w:rPr>
        <w:t>York:</w:t>
      </w:r>
      <w:proofErr w:type="gramEnd"/>
      <w:r w:rsidRPr="00C93F5D">
        <w:rPr>
          <w:rFonts w:ascii="Times New Roman" w:hAnsi="Times New Roman" w:cs="Times New Roman"/>
          <w:sz w:val="24"/>
          <w:szCs w:val="24"/>
          <w:highlight w:val="yellow"/>
        </w:rPr>
        <w:t xml:space="preserve"> Oxford University Press.</w:t>
      </w:r>
    </w:p>
    <w:p w14:paraId="6D7EB84A" w14:textId="77777777" w:rsidR="00C93F5D" w:rsidRPr="006F6E02" w:rsidRDefault="00C93F5D" w:rsidP="00BE7EEE">
      <w:pPr>
        <w:pStyle w:val="HTMLPreformatted"/>
        <w:shd w:val="clear" w:color="auto" w:fill="F8F9FA"/>
        <w:spacing w:line="276" w:lineRule="auto"/>
        <w:jc w:val="both"/>
        <w:rPr>
          <w:rFonts w:ascii="Times New Roman" w:hAnsi="Times New Roman" w:cs="Times New Roman"/>
          <w:sz w:val="24"/>
          <w:szCs w:val="24"/>
        </w:rPr>
      </w:pPr>
    </w:p>
    <w:p w14:paraId="6E81DF6B" w14:textId="77777777" w:rsidR="00E43313" w:rsidRPr="006F6E02" w:rsidRDefault="00E43313" w:rsidP="00AD0273">
      <w:pPr>
        <w:pStyle w:val="HTMLPreformatted"/>
        <w:numPr>
          <w:ilvl w:val="0"/>
          <w:numId w:val="7"/>
        </w:numPr>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Gregory, A. W. and Hansen, B. E. (1996). Residual – based tests for cointegration in models with regime shifts, </w:t>
      </w:r>
      <w:r w:rsidRPr="006F6E02">
        <w:rPr>
          <w:rFonts w:ascii="Times New Roman" w:hAnsi="Times New Roman" w:cs="Times New Roman"/>
          <w:i/>
          <w:sz w:val="24"/>
          <w:szCs w:val="24"/>
        </w:rPr>
        <w:t>Journal of Econometrics</w:t>
      </w:r>
      <w:r w:rsidRPr="006F6E02">
        <w:rPr>
          <w:rFonts w:ascii="Times New Roman" w:hAnsi="Times New Roman" w:cs="Times New Roman"/>
          <w:sz w:val="24"/>
          <w:szCs w:val="24"/>
        </w:rPr>
        <w:t>, 70(1), 99 – 126.</w:t>
      </w:r>
    </w:p>
    <w:p w14:paraId="076504CF" w14:textId="77777777" w:rsidR="00E43313" w:rsidRPr="006F6E02" w:rsidRDefault="00E43313" w:rsidP="00E43313">
      <w:pPr>
        <w:pStyle w:val="HTMLPreformatted"/>
        <w:shd w:val="clear" w:color="auto" w:fill="F8F9FA"/>
        <w:jc w:val="both"/>
        <w:rPr>
          <w:rFonts w:ascii="Times New Roman" w:hAnsi="Times New Roman" w:cs="Times New Roman"/>
          <w:sz w:val="24"/>
          <w:szCs w:val="24"/>
        </w:rPr>
      </w:pPr>
    </w:p>
    <w:p w14:paraId="49763345" w14:textId="77777777" w:rsidR="00F24951" w:rsidRPr="006F6E02" w:rsidRDefault="00F24951" w:rsidP="00AD0273">
      <w:pPr>
        <w:pStyle w:val="HTMLPreformatted"/>
        <w:numPr>
          <w:ilvl w:val="0"/>
          <w:numId w:val="7"/>
        </w:numPr>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Johansen, S. and Juselius, K. (1992). Testing structural hypotheses in a </w:t>
      </w:r>
      <w:r w:rsidRPr="006F6E02">
        <w:rPr>
          <w:rFonts w:ascii="Times New Roman" w:hAnsi="Times New Roman" w:cs="Times New Roman"/>
          <w:sz w:val="24"/>
          <w:szCs w:val="24"/>
        </w:rPr>
        <w:lastRenderedPageBreak/>
        <w:t xml:space="preserve">multivariate cointegration analysis of the PPP and the UIP for UK, </w:t>
      </w:r>
      <w:r w:rsidRPr="006F6E02">
        <w:rPr>
          <w:rFonts w:ascii="Times New Roman" w:hAnsi="Times New Roman" w:cs="Times New Roman"/>
          <w:i/>
          <w:sz w:val="24"/>
          <w:szCs w:val="24"/>
        </w:rPr>
        <w:t>Journal of Econometrics</w:t>
      </w:r>
      <w:r w:rsidRPr="006F6E02">
        <w:rPr>
          <w:rFonts w:ascii="Times New Roman" w:hAnsi="Times New Roman" w:cs="Times New Roman"/>
          <w:sz w:val="24"/>
          <w:szCs w:val="24"/>
        </w:rPr>
        <w:t>, 53(1-3), 211-244.</w:t>
      </w:r>
    </w:p>
    <w:p w14:paraId="5699AF23" w14:textId="77777777" w:rsidR="00F24951" w:rsidRDefault="00F24951" w:rsidP="00E43313">
      <w:pPr>
        <w:pStyle w:val="HTMLPreformatted"/>
        <w:shd w:val="clear" w:color="auto" w:fill="F8F9FA"/>
        <w:jc w:val="both"/>
        <w:rPr>
          <w:rFonts w:ascii="Times New Roman" w:hAnsi="Times New Roman" w:cs="Times New Roman"/>
          <w:sz w:val="24"/>
          <w:szCs w:val="24"/>
        </w:rPr>
      </w:pPr>
    </w:p>
    <w:p w14:paraId="67B7A59E" w14:textId="0B597DDC" w:rsidR="00E2366B" w:rsidRDefault="00E2366B" w:rsidP="00AD0273">
      <w:pPr>
        <w:pStyle w:val="HTMLPreformatted"/>
        <w:numPr>
          <w:ilvl w:val="0"/>
          <w:numId w:val="7"/>
        </w:numPr>
        <w:shd w:val="clear" w:color="auto" w:fill="F8F9FA"/>
        <w:jc w:val="both"/>
        <w:rPr>
          <w:rFonts w:ascii="Times New Roman" w:hAnsi="Times New Roman" w:cs="Times New Roman"/>
          <w:sz w:val="24"/>
          <w:szCs w:val="24"/>
        </w:rPr>
      </w:pPr>
      <w:r w:rsidRPr="00E2366B">
        <w:rPr>
          <w:rFonts w:ascii="Times New Roman" w:hAnsi="Times New Roman" w:cs="Times New Roman"/>
          <w:sz w:val="24"/>
          <w:szCs w:val="24"/>
          <w:highlight w:val="yellow"/>
        </w:rPr>
        <w:t xml:space="preserve">Kamin, S. B. (1988). Devaluation, external balance, and macroeconomic </w:t>
      </w:r>
      <w:proofErr w:type="gramStart"/>
      <w:r w:rsidRPr="00E2366B">
        <w:rPr>
          <w:rFonts w:ascii="Times New Roman" w:hAnsi="Times New Roman" w:cs="Times New Roman"/>
          <w:sz w:val="24"/>
          <w:szCs w:val="24"/>
          <w:highlight w:val="yellow"/>
        </w:rPr>
        <w:t>performance:</w:t>
      </w:r>
      <w:proofErr w:type="gramEnd"/>
      <w:r w:rsidRPr="00E2366B">
        <w:rPr>
          <w:rFonts w:ascii="Times New Roman" w:hAnsi="Times New Roman" w:cs="Times New Roman"/>
          <w:sz w:val="24"/>
          <w:szCs w:val="24"/>
          <w:highlight w:val="yellow"/>
        </w:rPr>
        <w:t xml:space="preserve"> a look at the numbers. Princeton Studies in International Finance 62.</w:t>
      </w:r>
    </w:p>
    <w:p w14:paraId="4CD5C009" w14:textId="77777777" w:rsidR="00C93F5D" w:rsidRPr="00E2366B" w:rsidRDefault="00C93F5D" w:rsidP="00E43313">
      <w:pPr>
        <w:pStyle w:val="HTMLPreformatted"/>
        <w:shd w:val="clear" w:color="auto" w:fill="F8F9FA"/>
        <w:jc w:val="both"/>
        <w:rPr>
          <w:rFonts w:ascii="Times New Roman" w:hAnsi="Times New Roman" w:cs="Times New Roman"/>
          <w:sz w:val="24"/>
          <w:szCs w:val="24"/>
        </w:rPr>
      </w:pPr>
    </w:p>
    <w:p w14:paraId="41AE7301" w14:textId="07B27BCC" w:rsidR="00F60CBD" w:rsidRPr="00AD0273" w:rsidRDefault="00F60CBD" w:rsidP="00AD0273">
      <w:pPr>
        <w:pStyle w:val="ListParagraph"/>
        <w:numPr>
          <w:ilvl w:val="0"/>
          <w:numId w:val="7"/>
        </w:numPr>
        <w:tabs>
          <w:tab w:val="center" w:pos="4680"/>
          <w:tab w:val="right" w:pos="10080"/>
        </w:tabs>
        <w:autoSpaceDN w:val="0"/>
        <w:spacing w:after="0" w:line="240" w:lineRule="auto"/>
        <w:jc w:val="both"/>
        <w:textAlignment w:val="baseline"/>
        <w:rPr>
          <w:rFonts w:ascii="Times New Roman" w:hAnsi="Times New Roman" w:cs="Times New Roman"/>
          <w:sz w:val="24"/>
          <w:szCs w:val="24"/>
        </w:rPr>
      </w:pPr>
      <w:r w:rsidRPr="00AD0273">
        <w:rPr>
          <w:rFonts w:ascii="Times New Roman" w:hAnsi="Times New Roman" w:cs="Times New Roman"/>
          <w:sz w:val="24"/>
          <w:szCs w:val="24"/>
          <w:highlight w:val="yellow"/>
        </w:rPr>
        <w:t xml:space="preserve">Kim, J.-K. (2008). The Generealized Method of Moments in the Presence of Nonstationary Variables, </w:t>
      </w:r>
      <w:r w:rsidRPr="00AD0273">
        <w:rPr>
          <w:rFonts w:ascii="Times New Roman" w:hAnsi="Times New Roman" w:cs="Times New Roman"/>
          <w:i/>
          <w:sz w:val="24"/>
          <w:szCs w:val="24"/>
          <w:highlight w:val="yellow"/>
        </w:rPr>
        <w:t>Journal of Economic Theory and Econometrics</w:t>
      </w:r>
      <w:r w:rsidRPr="00AD0273">
        <w:rPr>
          <w:rFonts w:ascii="Times New Roman" w:hAnsi="Times New Roman" w:cs="Times New Roman"/>
          <w:sz w:val="24"/>
          <w:szCs w:val="24"/>
          <w:highlight w:val="yellow"/>
        </w:rPr>
        <w:t>, 19(1), 1-16.</w:t>
      </w:r>
    </w:p>
    <w:p w14:paraId="2E8F11E6" w14:textId="77777777" w:rsidR="00F60CBD" w:rsidRPr="006F6E02" w:rsidRDefault="00F60CBD" w:rsidP="00E43313">
      <w:pPr>
        <w:pStyle w:val="HTMLPreformatted"/>
        <w:shd w:val="clear" w:color="auto" w:fill="F8F9FA"/>
        <w:jc w:val="both"/>
        <w:rPr>
          <w:rFonts w:ascii="Times New Roman" w:hAnsi="Times New Roman" w:cs="Times New Roman"/>
          <w:sz w:val="24"/>
          <w:szCs w:val="24"/>
        </w:rPr>
      </w:pPr>
    </w:p>
    <w:p w14:paraId="60E0C015" w14:textId="77777777" w:rsidR="006050EB" w:rsidRPr="006F6E02" w:rsidRDefault="006050EB" w:rsidP="00AD0273">
      <w:pPr>
        <w:pStyle w:val="HTMLPreformatted"/>
        <w:numPr>
          <w:ilvl w:val="0"/>
          <w:numId w:val="7"/>
        </w:numPr>
        <w:shd w:val="clear" w:color="auto" w:fill="F8F9FA"/>
        <w:spacing w:line="276" w:lineRule="auto"/>
        <w:jc w:val="both"/>
        <w:rPr>
          <w:rFonts w:ascii="Times New Roman" w:hAnsi="Times New Roman" w:cs="Times New Roman"/>
          <w:iCs/>
          <w:sz w:val="24"/>
          <w:szCs w:val="24"/>
        </w:rPr>
      </w:pPr>
      <w:r w:rsidRPr="006F6E02">
        <w:rPr>
          <w:rFonts w:ascii="Times New Roman" w:hAnsi="Times New Roman" w:cs="Times New Roman"/>
          <w:iCs/>
          <w:sz w:val="24"/>
          <w:szCs w:val="24"/>
        </w:rPr>
        <w:t xml:space="preserve">Kuikeu, O. (2026). Domestic Demand and Export Performance in </w:t>
      </w:r>
      <w:proofErr w:type="gramStart"/>
      <w:r w:rsidRPr="006F6E02">
        <w:rPr>
          <w:rFonts w:ascii="Times New Roman" w:hAnsi="Times New Roman" w:cs="Times New Roman"/>
          <w:iCs/>
          <w:sz w:val="24"/>
          <w:szCs w:val="24"/>
        </w:rPr>
        <w:t>Gabon:</w:t>
      </w:r>
      <w:proofErr w:type="gramEnd"/>
      <w:r w:rsidRPr="006F6E02">
        <w:rPr>
          <w:rFonts w:ascii="Times New Roman" w:hAnsi="Times New Roman" w:cs="Times New Roman"/>
          <w:iCs/>
          <w:sz w:val="24"/>
          <w:szCs w:val="24"/>
        </w:rPr>
        <w:t xml:space="preserve"> A Single Equation Approach, </w:t>
      </w:r>
      <w:r w:rsidRPr="006F6E02">
        <w:rPr>
          <w:rFonts w:ascii="Times New Roman" w:hAnsi="Times New Roman" w:cs="Times New Roman"/>
          <w:i/>
          <w:iCs/>
          <w:sz w:val="24"/>
          <w:szCs w:val="24"/>
        </w:rPr>
        <w:t>Journal of Economics, Management and Trade</w:t>
      </w:r>
      <w:r w:rsidRPr="006F6E02">
        <w:rPr>
          <w:rFonts w:ascii="Times New Roman" w:hAnsi="Times New Roman" w:cs="Times New Roman"/>
          <w:iCs/>
          <w:sz w:val="24"/>
          <w:szCs w:val="24"/>
        </w:rPr>
        <w:t xml:space="preserve"> 32(1), 117-30. </w:t>
      </w:r>
      <w:hyperlink r:id="rId14" w:history="1">
        <w:r w:rsidR="000A092F" w:rsidRPr="006F6E02">
          <w:rPr>
            <w:rStyle w:val="Hyperlink"/>
            <w:rFonts w:ascii="Times New Roman" w:hAnsi="Times New Roman" w:cs="Times New Roman"/>
            <w:iCs/>
            <w:sz w:val="24"/>
            <w:szCs w:val="24"/>
          </w:rPr>
          <w:t>https://doi.org/10.9734/jemt/2026/v32i11389</w:t>
        </w:r>
      </w:hyperlink>
      <w:r w:rsidRPr="006F6E02">
        <w:rPr>
          <w:rFonts w:ascii="Times New Roman" w:hAnsi="Times New Roman" w:cs="Times New Roman"/>
          <w:iCs/>
          <w:sz w:val="24"/>
          <w:szCs w:val="24"/>
        </w:rPr>
        <w:t>.</w:t>
      </w:r>
    </w:p>
    <w:p w14:paraId="2935D4D3" w14:textId="77777777" w:rsidR="000A092F" w:rsidRPr="006F6E02" w:rsidRDefault="000A092F" w:rsidP="006050EB">
      <w:pPr>
        <w:pStyle w:val="HTMLPreformatted"/>
        <w:shd w:val="clear" w:color="auto" w:fill="F8F9FA"/>
        <w:spacing w:line="276" w:lineRule="auto"/>
        <w:jc w:val="both"/>
        <w:rPr>
          <w:rFonts w:ascii="Times New Roman" w:hAnsi="Times New Roman" w:cs="Times New Roman"/>
          <w:sz w:val="24"/>
          <w:szCs w:val="24"/>
        </w:rPr>
      </w:pPr>
    </w:p>
    <w:p w14:paraId="11326B69" w14:textId="77777777" w:rsidR="00AC194F" w:rsidRPr="006F6E02" w:rsidRDefault="00AC194F" w:rsidP="00AD0273">
      <w:pPr>
        <w:pStyle w:val="HTMLPreformatted"/>
        <w:numPr>
          <w:ilvl w:val="0"/>
          <w:numId w:val="7"/>
        </w:numPr>
        <w:shd w:val="clear" w:color="auto" w:fill="F8F9FA"/>
        <w:jc w:val="both"/>
        <w:rPr>
          <w:rStyle w:val="Hyperlink"/>
          <w:rFonts w:ascii="Times New Roman" w:hAnsi="Times New Roman" w:cs="Times New Roman"/>
          <w:sz w:val="24"/>
          <w:szCs w:val="24"/>
        </w:rPr>
      </w:pPr>
      <w:r w:rsidRPr="006F6E02">
        <w:rPr>
          <w:rFonts w:ascii="Times New Roman" w:hAnsi="Times New Roman" w:cs="Times New Roman"/>
          <w:sz w:val="24"/>
          <w:szCs w:val="24"/>
        </w:rPr>
        <w:t xml:space="preserve">Kuikeu, O. (2025a). Domestic Demand and Export Performance in </w:t>
      </w:r>
      <w:proofErr w:type="gramStart"/>
      <w:r w:rsidRPr="006F6E02">
        <w:rPr>
          <w:rFonts w:ascii="Times New Roman" w:hAnsi="Times New Roman" w:cs="Times New Roman"/>
          <w:sz w:val="24"/>
          <w:szCs w:val="24"/>
        </w:rPr>
        <w:t>Gabon:</w:t>
      </w:r>
      <w:proofErr w:type="gramEnd"/>
      <w:r w:rsidRPr="006F6E02">
        <w:rPr>
          <w:rFonts w:ascii="Times New Roman" w:hAnsi="Times New Roman" w:cs="Times New Roman"/>
          <w:sz w:val="24"/>
          <w:szCs w:val="24"/>
        </w:rPr>
        <w:t xml:space="preserve"> The issue of cointegration, </w:t>
      </w:r>
      <w:r w:rsidRPr="006F6E02">
        <w:rPr>
          <w:rFonts w:ascii="Times New Roman" w:hAnsi="Times New Roman" w:cs="Times New Roman"/>
          <w:i/>
          <w:sz w:val="24"/>
          <w:szCs w:val="24"/>
        </w:rPr>
        <w:t>Journal of Economics and Development Studies</w:t>
      </w:r>
      <w:r w:rsidRPr="006F6E02">
        <w:rPr>
          <w:rFonts w:ascii="Times New Roman" w:hAnsi="Times New Roman" w:cs="Times New Roman"/>
          <w:sz w:val="24"/>
          <w:szCs w:val="24"/>
        </w:rPr>
        <w:t xml:space="preserve">, 13, 15-28. </w:t>
      </w:r>
      <w:hyperlink r:id="rId15" w:history="1">
        <w:r w:rsidRPr="006F6E02">
          <w:rPr>
            <w:rStyle w:val="Hyperlink"/>
            <w:rFonts w:ascii="Times New Roman" w:hAnsi="Times New Roman" w:cs="Times New Roman"/>
            <w:sz w:val="24"/>
            <w:szCs w:val="24"/>
          </w:rPr>
          <w:t>https://doi.org/10.15640/jeds.v13p2</w:t>
        </w:r>
      </w:hyperlink>
      <w:r w:rsidRPr="006F6E02">
        <w:rPr>
          <w:rStyle w:val="Hyperlink"/>
          <w:rFonts w:ascii="Times New Roman" w:hAnsi="Times New Roman" w:cs="Times New Roman"/>
          <w:sz w:val="24"/>
          <w:szCs w:val="24"/>
        </w:rPr>
        <w:t>.</w:t>
      </w:r>
    </w:p>
    <w:p w14:paraId="564F5CEE" w14:textId="77777777" w:rsidR="00AC194F" w:rsidRPr="006F6E02" w:rsidRDefault="00AC194F" w:rsidP="00AC194F">
      <w:pPr>
        <w:pStyle w:val="HTMLPreformatted"/>
        <w:shd w:val="clear" w:color="auto" w:fill="F8F9FA"/>
        <w:jc w:val="both"/>
        <w:rPr>
          <w:rFonts w:ascii="Times New Roman" w:hAnsi="Times New Roman" w:cs="Times New Roman"/>
          <w:sz w:val="24"/>
          <w:szCs w:val="24"/>
        </w:rPr>
      </w:pPr>
    </w:p>
    <w:p w14:paraId="3DAD02BC" w14:textId="77777777" w:rsidR="000373B6" w:rsidRPr="00AD0273" w:rsidRDefault="000373B6" w:rsidP="00AD0273">
      <w:pPr>
        <w:pStyle w:val="ListParagraph"/>
        <w:numPr>
          <w:ilvl w:val="0"/>
          <w:numId w:val="7"/>
        </w:numPr>
        <w:tabs>
          <w:tab w:val="center" w:pos="4680"/>
          <w:tab w:val="right" w:pos="10080"/>
        </w:tabs>
        <w:autoSpaceDN w:val="0"/>
        <w:spacing w:after="0" w:line="240" w:lineRule="auto"/>
        <w:jc w:val="both"/>
        <w:textAlignment w:val="baseline"/>
        <w:rPr>
          <w:rFonts w:ascii="Times New Roman" w:hAnsi="Times New Roman" w:cs="Times New Roman"/>
          <w:sz w:val="24"/>
          <w:szCs w:val="24"/>
        </w:rPr>
      </w:pPr>
      <w:r w:rsidRPr="00AD0273">
        <w:rPr>
          <w:rFonts w:ascii="Times New Roman" w:hAnsi="Times New Roman" w:cs="Times New Roman"/>
          <w:sz w:val="24"/>
          <w:szCs w:val="24"/>
        </w:rPr>
        <w:t xml:space="preserve">Kuikeu, O. (2025b). Domestic Demand and Export Performance in </w:t>
      </w:r>
      <w:proofErr w:type="gramStart"/>
      <w:r w:rsidRPr="00AD0273">
        <w:rPr>
          <w:rFonts w:ascii="Times New Roman" w:hAnsi="Times New Roman" w:cs="Times New Roman"/>
          <w:sz w:val="24"/>
          <w:szCs w:val="24"/>
        </w:rPr>
        <w:t>CEMAC:</w:t>
      </w:r>
      <w:proofErr w:type="gramEnd"/>
      <w:r w:rsidRPr="00AD0273">
        <w:rPr>
          <w:rFonts w:ascii="Times New Roman" w:hAnsi="Times New Roman" w:cs="Times New Roman"/>
          <w:sz w:val="24"/>
          <w:szCs w:val="24"/>
        </w:rPr>
        <w:t xml:space="preserve"> The Reverse Causation. Journal of Economics and Development Studies, 13, 79-86, https://doi.org/ 10.15640/</w:t>
      </w:r>
      <w:proofErr w:type="gramStart"/>
      <w:r w:rsidRPr="00AD0273">
        <w:rPr>
          <w:rFonts w:ascii="Times New Roman" w:hAnsi="Times New Roman" w:cs="Times New Roman"/>
          <w:sz w:val="24"/>
          <w:szCs w:val="24"/>
        </w:rPr>
        <w:t>jeds.v</w:t>
      </w:r>
      <w:proofErr w:type="gramEnd"/>
      <w:r w:rsidRPr="00AD0273">
        <w:rPr>
          <w:rFonts w:ascii="Times New Roman" w:hAnsi="Times New Roman" w:cs="Times New Roman"/>
          <w:sz w:val="24"/>
          <w:szCs w:val="24"/>
        </w:rPr>
        <w:t>13p7</w:t>
      </w:r>
    </w:p>
    <w:p w14:paraId="314EABD5" w14:textId="77777777" w:rsidR="000373B6" w:rsidRPr="006F6E02" w:rsidRDefault="000373B6" w:rsidP="00652CA8">
      <w:pPr>
        <w:tabs>
          <w:tab w:val="center" w:pos="4680"/>
          <w:tab w:val="right" w:pos="10080"/>
        </w:tabs>
        <w:autoSpaceDN w:val="0"/>
        <w:spacing w:after="0" w:line="240" w:lineRule="auto"/>
        <w:jc w:val="both"/>
        <w:textAlignment w:val="baseline"/>
        <w:rPr>
          <w:rFonts w:ascii="Times New Roman" w:hAnsi="Times New Roman" w:cs="Times New Roman"/>
          <w:sz w:val="24"/>
          <w:szCs w:val="24"/>
        </w:rPr>
      </w:pPr>
    </w:p>
    <w:p w14:paraId="3222D36F" w14:textId="77777777" w:rsidR="00DB5036" w:rsidRPr="00AD0273" w:rsidRDefault="00DB5036" w:rsidP="00AD0273">
      <w:pPr>
        <w:pStyle w:val="ListParagraph"/>
        <w:numPr>
          <w:ilvl w:val="0"/>
          <w:numId w:val="7"/>
        </w:numPr>
        <w:tabs>
          <w:tab w:val="center" w:pos="4680"/>
          <w:tab w:val="right" w:pos="10080"/>
        </w:tabs>
        <w:autoSpaceDN w:val="0"/>
        <w:spacing w:after="0" w:line="240" w:lineRule="auto"/>
        <w:jc w:val="both"/>
        <w:textAlignment w:val="baseline"/>
        <w:rPr>
          <w:rFonts w:ascii="Times New Roman" w:hAnsi="Times New Roman" w:cs="Times New Roman"/>
          <w:sz w:val="24"/>
          <w:szCs w:val="24"/>
        </w:rPr>
      </w:pPr>
      <w:r w:rsidRPr="00AD0273">
        <w:rPr>
          <w:rFonts w:ascii="Times New Roman" w:hAnsi="Times New Roman" w:cs="Times New Roman"/>
          <w:color w:val="000000"/>
          <w:sz w:val="24"/>
          <w:szCs w:val="24"/>
        </w:rPr>
        <w:t>Kuikeu, O. (2025</w:t>
      </w:r>
      <w:r w:rsidR="000373B6" w:rsidRPr="00AD0273">
        <w:rPr>
          <w:rFonts w:ascii="Times New Roman" w:hAnsi="Times New Roman" w:cs="Times New Roman"/>
          <w:color w:val="000000"/>
          <w:sz w:val="24"/>
          <w:szCs w:val="24"/>
        </w:rPr>
        <w:t>c</w:t>
      </w:r>
      <w:r w:rsidRPr="00AD0273">
        <w:rPr>
          <w:rFonts w:ascii="Times New Roman" w:hAnsi="Times New Roman" w:cs="Times New Roman"/>
          <w:color w:val="000000"/>
          <w:sz w:val="24"/>
          <w:szCs w:val="24"/>
        </w:rPr>
        <w:t xml:space="preserve">). Domestic Demand and Export Performance in </w:t>
      </w:r>
      <w:proofErr w:type="gramStart"/>
      <w:r w:rsidRPr="00AD0273">
        <w:rPr>
          <w:rFonts w:ascii="Times New Roman" w:hAnsi="Times New Roman" w:cs="Times New Roman"/>
          <w:color w:val="000000"/>
          <w:sz w:val="24"/>
          <w:szCs w:val="24"/>
        </w:rPr>
        <w:t>CEMAC:</w:t>
      </w:r>
      <w:proofErr w:type="gramEnd"/>
      <w:r w:rsidRPr="00AD0273">
        <w:rPr>
          <w:rFonts w:ascii="Times New Roman" w:hAnsi="Times New Roman" w:cs="Times New Roman"/>
          <w:color w:val="000000"/>
          <w:sz w:val="24"/>
          <w:szCs w:val="24"/>
        </w:rPr>
        <w:t xml:space="preserve"> Complementary or Substituables?</w:t>
      </w:r>
      <w:r w:rsidRPr="00AD0273">
        <w:rPr>
          <w:rFonts w:ascii="Times New Roman" w:hAnsi="Times New Roman" w:cs="Times New Roman"/>
          <w:sz w:val="24"/>
          <w:szCs w:val="24"/>
        </w:rPr>
        <w:t>,</w:t>
      </w:r>
      <w:r w:rsidRPr="00AD0273">
        <w:rPr>
          <w:rFonts w:ascii="Times New Roman" w:hAnsi="Times New Roman" w:cs="Times New Roman"/>
          <w:color w:val="000000"/>
          <w:sz w:val="24"/>
          <w:szCs w:val="24"/>
        </w:rPr>
        <w:t xml:space="preserve"> </w:t>
      </w:r>
      <w:r w:rsidRPr="00AD0273">
        <w:rPr>
          <w:rFonts w:ascii="Times New Roman" w:hAnsi="Times New Roman" w:cs="Times New Roman"/>
          <w:i/>
          <w:iCs/>
          <w:color w:val="000000"/>
          <w:sz w:val="24"/>
          <w:szCs w:val="24"/>
        </w:rPr>
        <w:t>Journal of Economics and Development Studies</w:t>
      </w:r>
      <w:r w:rsidRPr="00AD0273">
        <w:rPr>
          <w:rFonts w:ascii="Times New Roman" w:hAnsi="Times New Roman" w:cs="Times New Roman"/>
          <w:color w:val="000000"/>
          <w:sz w:val="24"/>
          <w:szCs w:val="24"/>
        </w:rPr>
        <w:t xml:space="preserve">, </w:t>
      </w:r>
      <w:r w:rsidRPr="00AD0273">
        <w:rPr>
          <w:rFonts w:ascii="Times New Roman" w:hAnsi="Times New Roman" w:cs="Times New Roman"/>
          <w:iCs/>
          <w:color w:val="000000"/>
          <w:sz w:val="24"/>
          <w:szCs w:val="24"/>
        </w:rPr>
        <w:t>13</w:t>
      </w:r>
      <w:r w:rsidRPr="00AD0273">
        <w:rPr>
          <w:rFonts w:ascii="Times New Roman" w:hAnsi="Times New Roman" w:cs="Times New Roman"/>
          <w:color w:val="000000"/>
          <w:sz w:val="24"/>
          <w:szCs w:val="24"/>
        </w:rPr>
        <w:t>, 96-104. https://doi.org/10.15640/jeds.v13p9.</w:t>
      </w:r>
    </w:p>
    <w:p w14:paraId="7D1626FB" w14:textId="77777777" w:rsidR="000E682A" w:rsidRPr="006F6E02" w:rsidRDefault="000E682A" w:rsidP="0015539C">
      <w:pPr>
        <w:pStyle w:val="HTMLPreformatted"/>
        <w:shd w:val="clear" w:color="auto" w:fill="F8F9FA"/>
        <w:jc w:val="both"/>
        <w:rPr>
          <w:rFonts w:ascii="Times New Roman" w:hAnsi="Times New Roman" w:cs="Times New Roman"/>
          <w:sz w:val="24"/>
          <w:szCs w:val="24"/>
        </w:rPr>
      </w:pPr>
    </w:p>
    <w:p w14:paraId="55E26D55" w14:textId="77777777" w:rsidR="0066076E" w:rsidRPr="006F6E02" w:rsidRDefault="00570310" w:rsidP="00AD0273">
      <w:pPr>
        <w:pStyle w:val="HTMLPreformatted"/>
        <w:numPr>
          <w:ilvl w:val="0"/>
          <w:numId w:val="7"/>
        </w:numPr>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Kuikeu, O. (2024). Domestic Demand and Export Performance in </w:t>
      </w:r>
      <w:proofErr w:type="gramStart"/>
      <w:r w:rsidRPr="006F6E02">
        <w:rPr>
          <w:rFonts w:ascii="Times New Roman" w:hAnsi="Times New Roman" w:cs="Times New Roman"/>
          <w:sz w:val="24"/>
          <w:szCs w:val="24"/>
        </w:rPr>
        <w:t>CEMAC:</w:t>
      </w:r>
      <w:proofErr w:type="gramEnd"/>
      <w:r w:rsidRPr="006F6E02">
        <w:rPr>
          <w:rFonts w:ascii="Times New Roman" w:hAnsi="Times New Roman" w:cs="Times New Roman"/>
          <w:sz w:val="24"/>
          <w:szCs w:val="24"/>
        </w:rPr>
        <w:t xml:space="preserve"> An Assessment with Endogeneity-related Model, </w:t>
      </w:r>
      <w:r w:rsidRPr="006F6E02">
        <w:rPr>
          <w:rFonts w:ascii="Times New Roman" w:hAnsi="Times New Roman" w:cs="Times New Roman"/>
          <w:i/>
          <w:sz w:val="24"/>
          <w:szCs w:val="24"/>
        </w:rPr>
        <w:t>Jurnal Ekonomi dan Studi Pembangunan</w:t>
      </w:r>
      <w:r w:rsidRPr="006F6E02">
        <w:rPr>
          <w:rFonts w:ascii="Times New Roman" w:hAnsi="Times New Roman" w:cs="Times New Roman"/>
          <w:sz w:val="24"/>
          <w:szCs w:val="24"/>
        </w:rPr>
        <w:t>, 16(1), 124-133.</w:t>
      </w:r>
    </w:p>
    <w:p w14:paraId="6A894359" w14:textId="77777777" w:rsidR="00F7203D" w:rsidRDefault="00F7203D" w:rsidP="00F7203D">
      <w:pPr>
        <w:pStyle w:val="HTMLPreformatted"/>
        <w:shd w:val="clear" w:color="auto" w:fill="F8F9FA"/>
        <w:jc w:val="both"/>
        <w:rPr>
          <w:rFonts w:ascii="Times New Roman" w:hAnsi="Times New Roman" w:cs="Times New Roman"/>
          <w:sz w:val="24"/>
          <w:szCs w:val="24"/>
        </w:rPr>
      </w:pPr>
    </w:p>
    <w:p w14:paraId="18EE7764" w14:textId="77777777" w:rsidR="00703159" w:rsidRPr="00703159" w:rsidRDefault="00703159" w:rsidP="00AD0273">
      <w:pPr>
        <w:pStyle w:val="HTMLPreformatted"/>
        <w:numPr>
          <w:ilvl w:val="0"/>
          <w:numId w:val="7"/>
        </w:numPr>
        <w:shd w:val="clear" w:color="auto" w:fill="F8F9FA"/>
        <w:spacing w:line="276" w:lineRule="auto"/>
        <w:jc w:val="both"/>
        <w:rPr>
          <w:rFonts w:ascii="Times New Roman" w:hAnsi="Times New Roman" w:cs="Times New Roman"/>
          <w:sz w:val="24"/>
          <w:szCs w:val="24"/>
          <w:highlight w:val="yellow"/>
        </w:rPr>
      </w:pPr>
      <w:r w:rsidRPr="00703159">
        <w:rPr>
          <w:rFonts w:ascii="Times New Roman" w:hAnsi="Times New Roman" w:cs="Times New Roman"/>
          <w:sz w:val="24"/>
          <w:szCs w:val="24"/>
          <w:highlight w:val="yellow"/>
        </w:rPr>
        <w:t xml:space="preserve">Kuikeu, O. (2012). Estimating the Real Exchange Rate </w:t>
      </w:r>
      <w:proofErr w:type="gramStart"/>
      <w:r w:rsidRPr="00703159">
        <w:rPr>
          <w:rFonts w:ascii="Times New Roman" w:hAnsi="Times New Roman" w:cs="Times New Roman"/>
          <w:sz w:val="24"/>
          <w:szCs w:val="24"/>
          <w:highlight w:val="yellow"/>
        </w:rPr>
        <w:t>Misalignment:</w:t>
      </w:r>
      <w:proofErr w:type="gramEnd"/>
      <w:r w:rsidRPr="00703159">
        <w:rPr>
          <w:rFonts w:ascii="Times New Roman" w:hAnsi="Times New Roman" w:cs="Times New Roman"/>
          <w:sz w:val="24"/>
          <w:szCs w:val="24"/>
          <w:highlight w:val="yellow"/>
        </w:rPr>
        <w:t xml:space="preserve"> case of Gabon, </w:t>
      </w:r>
      <w:r w:rsidRPr="00703159">
        <w:rPr>
          <w:rFonts w:ascii="Times New Roman" w:hAnsi="Times New Roman" w:cs="Times New Roman"/>
          <w:i/>
          <w:sz w:val="24"/>
          <w:szCs w:val="24"/>
          <w:highlight w:val="yellow"/>
        </w:rPr>
        <w:t>MPRA_Paper 39625.</w:t>
      </w:r>
    </w:p>
    <w:p w14:paraId="0F66E497" w14:textId="77777777" w:rsidR="00703159" w:rsidRPr="00703159" w:rsidRDefault="00703159" w:rsidP="00703159">
      <w:pPr>
        <w:pStyle w:val="HTMLPreformatted"/>
        <w:shd w:val="clear" w:color="auto" w:fill="F8F9FA"/>
        <w:spacing w:line="276" w:lineRule="auto"/>
        <w:jc w:val="both"/>
        <w:rPr>
          <w:rFonts w:ascii="Times New Roman" w:hAnsi="Times New Roman" w:cs="Times New Roman"/>
          <w:sz w:val="24"/>
          <w:szCs w:val="24"/>
          <w:highlight w:val="yellow"/>
        </w:rPr>
      </w:pPr>
    </w:p>
    <w:p w14:paraId="795C1D3D" w14:textId="77777777" w:rsidR="00703159" w:rsidRPr="00AD0273" w:rsidRDefault="00703159" w:rsidP="00AD0273">
      <w:pPr>
        <w:pStyle w:val="ListParagraph"/>
        <w:numPr>
          <w:ilvl w:val="0"/>
          <w:numId w:val="7"/>
        </w:numPr>
        <w:tabs>
          <w:tab w:val="left" w:pos="2820"/>
        </w:tabs>
        <w:suppressAutoHyphens/>
        <w:spacing w:after="0" w:line="240" w:lineRule="auto"/>
        <w:jc w:val="both"/>
        <w:rPr>
          <w:rFonts w:ascii="Times New Roman" w:hAnsi="Times New Roman" w:cs="Times New Roman"/>
          <w:i/>
          <w:kern w:val="1"/>
          <w:sz w:val="24"/>
        </w:rPr>
      </w:pPr>
      <w:r w:rsidRPr="00AD0273">
        <w:rPr>
          <w:rFonts w:ascii="Times New Roman" w:hAnsi="Times New Roman" w:cs="Times New Roman"/>
          <w:sz w:val="24"/>
          <w:szCs w:val="24"/>
          <w:highlight w:val="yellow"/>
        </w:rPr>
        <w:t xml:space="preserve">Kuikeu, O. (2009). Courbe de phillips néo-keynésienne </w:t>
      </w:r>
      <w:proofErr w:type="gramStart"/>
      <w:r w:rsidRPr="00AD0273">
        <w:rPr>
          <w:rFonts w:ascii="Times New Roman" w:hAnsi="Times New Roman" w:cs="Times New Roman"/>
          <w:sz w:val="24"/>
          <w:szCs w:val="24"/>
          <w:highlight w:val="yellow"/>
        </w:rPr>
        <w:t>hybride:</w:t>
      </w:r>
      <w:proofErr w:type="gramEnd"/>
      <w:r w:rsidRPr="00AD0273">
        <w:rPr>
          <w:rFonts w:ascii="Times New Roman" w:hAnsi="Times New Roman" w:cs="Times New Roman"/>
          <w:sz w:val="24"/>
          <w:szCs w:val="24"/>
          <w:highlight w:val="yellow"/>
        </w:rPr>
        <w:t xml:space="preserve"> résultats empiriques pour la communauté économique et monétaire d’Afrique centrale (CEMAC), </w:t>
      </w:r>
      <w:r w:rsidRPr="00AD0273">
        <w:rPr>
          <w:rFonts w:ascii="Times New Roman" w:hAnsi="Times New Roman" w:cs="Times New Roman"/>
          <w:kern w:val="1"/>
          <w:sz w:val="24"/>
          <w:highlight w:val="yellow"/>
        </w:rPr>
        <w:t>26th international symposium in money, banking and finance, Université d’Orléans, 25 et 26 juin 2009.</w:t>
      </w:r>
      <w:r w:rsidRPr="00AD0273">
        <w:rPr>
          <w:rFonts w:ascii="Times New Roman" w:hAnsi="Times New Roman" w:cs="Times New Roman"/>
          <w:i/>
          <w:kern w:val="1"/>
          <w:sz w:val="24"/>
        </w:rPr>
        <w:t xml:space="preserve"> </w:t>
      </w:r>
    </w:p>
    <w:p w14:paraId="2C3C1B42" w14:textId="77777777" w:rsidR="00703159" w:rsidRPr="006F6E02" w:rsidRDefault="00703159" w:rsidP="00F7203D">
      <w:pPr>
        <w:pStyle w:val="HTMLPreformatted"/>
        <w:shd w:val="clear" w:color="auto" w:fill="F8F9FA"/>
        <w:jc w:val="both"/>
        <w:rPr>
          <w:rFonts w:ascii="Times New Roman" w:hAnsi="Times New Roman" w:cs="Times New Roman"/>
          <w:sz w:val="24"/>
          <w:szCs w:val="24"/>
        </w:rPr>
      </w:pPr>
    </w:p>
    <w:p w14:paraId="3FFF430E" w14:textId="77777777" w:rsidR="00C93F5D" w:rsidRPr="00AD0273" w:rsidRDefault="00F7203D" w:rsidP="00AD0273">
      <w:pPr>
        <w:pStyle w:val="ListParagraph"/>
        <w:numPr>
          <w:ilvl w:val="0"/>
          <w:numId w:val="7"/>
        </w:numPr>
        <w:tabs>
          <w:tab w:val="center" w:pos="4680"/>
          <w:tab w:val="right" w:pos="10080"/>
        </w:tabs>
        <w:autoSpaceDN w:val="0"/>
        <w:spacing w:line="240" w:lineRule="auto"/>
        <w:jc w:val="both"/>
        <w:textAlignment w:val="baseline"/>
        <w:rPr>
          <w:rFonts w:ascii="Times New Roman" w:hAnsi="Times New Roman" w:cs="Times New Roman"/>
          <w:sz w:val="24"/>
          <w:szCs w:val="24"/>
        </w:rPr>
      </w:pPr>
      <w:r w:rsidRPr="00AD0273">
        <w:rPr>
          <w:rFonts w:ascii="Times New Roman" w:hAnsi="Times New Roman" w:cs="Times New Roman"/>
          <w:sz w:val="24"/>
          <w:szCs w:val="24"/>
        </w:rPr>
        <w:t xml:space="preserve">Pesaran, M.H., Shin, Y. and Smith, R.J. (2001). </w:t>
      </w:r>
      <w:r w:rsidRPr="00AD0273">
        <w:rPr>
          <w:rFonts w:ascii="Times New Roman" w:eastAsia="MSMincho" w:hAnsi="Times New Roman" w:cs="Times New Roman"/>
          <w:sz w:val="24"/>
          <w:szCs w:val="24"/>
        </w:rPr>
        <w:t>“</w:t>
      </w:r>
      <w:r w:rsidRPr="00AD0273">
        <w:rPr>
          <w:rFonts w:ascii="Times New Roman" w:hAnsi="Times New Roman" w:cs="Times New Roman"/>
          <w:sz w:val="24"/>
          <w:szCs w:val="24"/>
        </w:rPr>
        <w:t xml:space="preserve">Bound Testing Approaches to the Analysis of </w:t>
      </w:r>
      <w:proofErr w:type="gramStart"/>
      <w:r w:rsidRPr="00AD0273">
        <w:rPr>
          <w:rFonts w:ascii="Times New Roman" w:hAnsi="Times New Roman" w:cs="Times New Roman"/>
          <w:sz w:val="24"/>
          <w:szCs w:val="24"/>
        </w:rPr>
        <w:t xml:space="preserve">Level </w:t>
      </w:r>
      <w:r w:rsidR="00C93F5D" w:rsidRPr="00AD0273">
        <w:rPr>
          <w:rFonts w:ascii="Times New Roman" w:hAnsi="Times New Roman" w:cs="Times New Roman"/>
          <w:sz w:val="24"/>
          <w:szCs w:val="24"/>
        </w:rPr>
        <w:t xml:space="preserve"> Relationships</w:t>
      </w:r>
      <w:proofErr w:type="gramEnd"/>
      <w:r w:rsidR="00C93F5D" w:rsidRPr="00AD0273">
        <w:rPr>
          <w:rFonts w:ascii="Times New Roman" w:hAnsi="Times New Roman" w:cs="Times New Roman"/>
          <w:sz w:val="24"/>
          <w:szCs w:val="24"/>
        </w:rPr>
        <w:t xml:space="preserve">”, </w:t>
      </w:r>
      <w:r w:rsidR="00C93F5D" w:rsidRPr="00AD0273">
        <w:rPr>
          <w:rFonts w:ascii="Times New Roman" w:hAnsi="Times New Roman" w:cs="Times New Roman"/>
          <w:i/>
          <w:sz w:val="24"/>
          <w:szCs w:val="24"/>
        </w:rPr>
        <w:t>Journal of Applied Econometrics</w:t>
      </w:r>
      <w:r w:rsidR="00C93F5D" w:rsidRPr="00AD0273">
        <w:rPr>
          <w:rFonts w:ascii="Times New Roman" w:hAnsi="Times New Roman" w:cs="Times New Roman"/>
          <w:sz w:val="24"/>
          <w:szCs w:val="24"/>
        </w:rPr>
        <w:t>, 16(3), 289-326.</w:t>
      </w:r>
    </w:p>
    <w:p w14:paraId="255B55B1" w14:textId="77777777" w:rsidR="00E2366B" w:rsidRPr="00E2366B" w:rsidRDefault="00E2366B" w:rsidP="00E2366B">
      <w:pPr>
        <w:tabs>
          <w:tab w:val="center" w:pos="4680"/>
          <w:tab w:val="right" w:pos="10080"/>
        </w:tabs>
        <w:autoSpaceDN w:val="0"/>
        <w:spacing w:after="0" w:line="240" w:lineRule="auto"/>
        <w:jc w:val="both"/>
        <w:textAlignment w:val="baseline"/>
        <w:rPr>
          <w:rFonts w:ascii="Times New Roman" w:hAnsi="Times New Roman" w:cs="Times New Roman"/>
          <w:sz w:val="24"/>
          <w:szCs w:val="24"/>
        </w:rPr>
      </w:pPr>
    </w:p>
    <w:p w14:paraId="17136E15" w14:textId="550113A4" w:rsidR="00E2366B" w:rsidRPr="00AD0273" w:rsidRDefault="00E2366B" w:rsidP="00AD0273">
      <w:pPr>
        <w:pStyle w:val="ListParagraph"/>
        <w:numPr>
          <w:ilvl w:val="0"/>
          <w:numId w:val="7"/>
        </w:numPr>
        <w:tabs>
          <w:tab w:val="center" w:pos="4680"/>
          <w:tab w:val="right" w:pos="10080"/>
        </w:tabs>
        <w:autoSpaceDN w:val="0"/>
        <w:spacing w:line="240" w:lineRule="auto"/>
        <w:jc w:val="both"/>
        <w:textAlignment w:val="baseline"/>
        <w:rPr>
          <w:rFonts w:ascii="Times New Roman" w:hAnsi="Times New Roman" w:cs="Times New Roman"/>
          <w:sz w:val="24"/>
          <w:szCs w:val="24"/>
        </w:rPr>
        <w:sectPr w:rsidR="00E2366B" w:rsidRPr="00AD0273" w:rsidSect="006F04EB">
          <w:type w:val="continuous"/>
          <w:pgSz w:w="11906" w:h="16838"/>
          <w:pgMar w:top="1417" w:right="1417" w:bottom="1417" w:left="1417" w:header="708" w:footer="708" w:gutter="0"/>
          <w:cols w:num="2" w:space="708"/>
          <w:docGrid w:linePitch="360"/>
        </w:sectPr>
      </w:pPr>
      <w:r w:rsidRPr="00AD0273">
        <w:rPr>
          <w:rFonts w:ascii="Times New Roman" w:hAnsi="Times New Roman" w:cs="Times New Roman"/>
          <w:sz w:val="24"/>
          <w:szCs w:val="24"/>
          <w:highlight w:val="yellow"/>
        </w:rPr>
        <w:t xml:space="preserve">Rose, A. K. (1991). The role of exchange rates in a popular model of international </w:t>
      </w:r>
      <w:proofErr w:type="gramStart"/>
      <w:r w:rsidRPr="00AD0273">
        <w:rPr>
          <w:rFonts w:ascii="Times New Roman" w:hAnsi="Times New Roman" w:cs="Times New Roman"/>
          <w:sz w:val="24"/>
          <w:szCs w:val="24"/>
          <w:highlight w:val="yellow"/>
        </w:rPr>
        <w:t>trade:</w:t>
      </w:r>
      <w:proofErr w:type="gramEnd"/>
      <w:r w:rsidRPr="00AD0273">
        <w:rPr>
          <w:rFonts w:ascii="Times New Roman" w:hAnsi="Times New Roman" w:cs="Times New Roman"/>
          <w:sz w:val="24"/>
          <w:szCs w:val="24"/>
          <w:highlight w:val="yellow"/>
        </w:rPr>
        <w:t xml:space="preserve"> does the marshall-lerner condition hold? Journal of International Economics, 30(3-4), 301-316.</w:t>
      </w:r>
    </w:p>
    <w:p w14:paraId="521E3BB2" w14:textId="3DA42D7A" w:rsidR="00F7203D" w:rsidRPr="006E344C" w:rsidRDefault="00F7203D" w:rsidP="00C93F5D">
      <w:pPr>
        <w:tabs>
          <w:tab w:val="center" w:pos="4680"/>
          <w:tab w:val="right" w:pos="10080"/>
        </w:tabs>
        <w:autoSpaceDN w:val="0"/>
        <w:spacing w:line="240" w:lineRule="auto"/>
        <w:jc w:val="both"/>
        <w:textAlignment w:val="baseline"/>
        <w:rPr>
          <w:rFonts w:ascii="Times New Roman" w:hAnsi="Times New Roman" w:cs="Times New Roman"/>
          <w:sz w:val="24"/>
          <w:szCs w:val="24"/>
        </w:rPr>
      </w:pPr>
    </w:p>
    <w:sectPr w:rsidR="00F7203D" w:rsidRPr="006E344C" w:rsidSect="00086B1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08546" w14:textId="77777777" w:rsidR="00652B41" w:rsidRDefault="00652B41" w:rsidP="005568C0">
      <w:pPr>
        <w:spacing w:after="0" w:line="240" w:lineRule="auto"/>
      </w:pPr>
      <w:r>
        <w:separator/>
      </w:r>
    </w:p>
  </w:endnote>
  <w:endnote w:type="continuationSeparator" w:id="0">
    <w:p w14:paraId="6C23DCB5" w14:textId="77777777" w:rsidR="00652B41" w:rsidRDefault="00652B41" w:rsidP="0055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GaramondPro-Regular">
    <w:altName w:val="Arial Unicode MS"/>
    <w:charset w:val="88"/>
    <w:family w:val="roman"/>
    <w:pitch w:val="default"/>
    <w:sig w:usb0="00000000" w:usb1="08080000" w:usb2="00000010" w:usb3="00000000" w:csb0="00100000" w:csb1="00000000"/>
  </w:font>
  <w:font w:name="dcr10">
    <w:altName w:val="MS Gothic"/>
    <w:panose1 w:val="00000000000000000000"/>
    <w:charset w:val="80"/>
    <w:family w:val="auto"/>
    <w:notTrueType/>
    <w:pitch w:val="default"/>
    <w:sig w:usb0="00000000" w:usb1="08070000" w:usb2="00000010" w:usb3="00000000" w:csb0="00020000" w:csb1="00000000"/>
  </w:font>
  <w:font w:name="TTE198EB28t00">
    <w:altName w:val="Arial Unicode MS"/>
    <w:panose1 w:val="00000000000000000000"/>
    <w:charset w:val="81"/>
    <w:family w:val="auto"/>
    <w:notTrueType/>
    <w:pitch w:val="default"/>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Mincho">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EA312" w14:textId="77777777" w:rsidR="00E6079A" w:rsidRDefault="00E60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6426717"/>
      <w:docPartObj>
        <w:docPartGallery w:val="Page Numbers (Bottom of Page)"/>
        <w:docPartUnique/>
      </w:docPartObj>
    </w:sdtPr>
    <w:sdtEndPr/>
    <w:sdtContent>
      <w:p w14:paraId="337FA68C" w14:textId="77777777" w:rsidR="00E6079A" w:rsidRDefault="00E6079A">
        <w:pPr>
          <w:pStyle w:val="Footer"/>
          <w:jc w:val="center"/>
        </w:pPr>
        <w:r>
          <w:fldChar w:fldCharType="begin"/>
        </w:r>
        <w:r>
          <w:instrText>PAGE   \* MERGEFORMAT</w:instrText>
        </w:r>
        <w:r>
          <w:fldChar w:fldCharType="separate"/>
        </w:r>
        <w:r>
          <w:rPr>
            <w:noProof/>
          </w:rPr>
          <w:t>2</w:t>
        </w:r>
        <w:r>
          <w:fldChar w:fldCharType="end"/>
        </w:r>
      </w:p>
    </w:sdtContent>
  </w:sdt>
  <w:p w14:paraId="43252339" w14:textId="77777777" w:rsidR="00E6079A" w:rsidRDefault="00E60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D979D" w14:textId="77777777" w:rsidR="00E6079A" w:rsidRDefault="00E60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5740F" w14:textId="77777777" w:rsidR="00652B41" w:rsidRDefault="00652B41" w:rsidP="005568C0">
      <w:pPr>
        <w:spacing w:after="0" w:line="240" w:lineRule="auto"/>
      </w:pPr>
      <w:r>
        <w:separator/>
      </w:r>
    </w:p>
  </w:footnote>
  <w:footnote w:type="continuationSeparator" w:id="0">
    <w:p w14:paraId="4F1135C4" w14:textId="77777777" w:rsidR="00652B41" w:rsidRDefault="00652B41" w:rsidP="005568C0">
      <w:pPr>
        <w:spacing w:after="0" w:line="240" w:lineRule="auto"/>
      </w:pPr>
      <w:r>
        <w:continuationSeparator/>
      </w:r>
    </w:p>
  </w:footnote>
  <w:footnote w:id="1">
    <w:p w14:paraId="60BE7EFA" w14:textId="6A3B7230" w:rsidR="00E6079A" w:rsidRPr="007B6CA7" w:rsidRDefault="00E6079A" w:rsidP="00752224">
      <w:pPr>
        <w:pStyle w:val="FootnoteText"/>
        <w:jc w:val="both"/>
        <w:rPr>
          <w:rFonts w:ascii="Times New Roman" w:hAnsi="Times New Roman" w:cs="Times New Roman"/>
        </w:rPr>
      </w:pPr>
      <w:r>
        <w:rPr>
          <w:rStyle w:val="FootnoteReference"/>
        </w:rPr>
        <w:footnoteRef/>
      </w:r>
      <w:r>
        <w:t xml:space="preserve"> </w:t>
      </w:r>
      <w:r w:rsidR="00D52AFF" w:rsidRPr="00D52AFF">
        <w:rPr>
          <w:rFonts w:ascii="Times New Roman" w:hAnsi="Times New Roman" w:cs="Times New Roman"/>
        </w:rPr>
        <w:t>CEMAC represents the monetary union of six Central African countries—Cameroon, the Central African Republic, Chad, the Republic of Congo, Equatorial Guinea, and Gabon—which share the CFA franc as a common currency. This currency is issued by the Bank of Central African States (BEAC) and has historically been pegged at a fixed rate to the French franc</w:t>
      </w:r>
      <w:bookmarkStart w:id="0" w:name="_GoBack"/>
      <w:bookmarkEnd w:id="0"/>
      <w:r w:rsidRPr="00E6079A">
        <w:rPr>
          <w:rFonts w:ascii="Times New Roman" w:hAnsi="Times New Roman" w:cs="Times New Roman"/>
        </w:rPr>
        <w:t>. Following the 1994 devaluation, the rate was set at 100 CFA francs per 1 French franc. With the introduction of the euro on 1 January 2002, this fixed exchange was adjusted to 1 euro for 655.957 CFA francs, corresponding to 1 euro per 6.55957 French francs. The stability of this monetary arrangement has played a central role in regional economic integration and financial policy coordination</w:t>
      </w:r>
      <w:r w:rsidRPr="007B6CA7">
        <w:rPr>
          <w:rFonts w:ascii="Times New Roman" w:hAnsi="Times New Roman" w:cs="Times New Roman"/>
        </w:rPr>
        <w:t xml:space="preserve">.  </w:t>
      </w:r>
    </w:p>
  </w:footnote>
  <w:footnote w:id="2">
    <w:p w14:paraId="08E1A26D" w14:textId="77777777" w:rsidR="00E6079A" w:rsidRDefault="00E6079A" w:rsidP="00DC6D6B">
      <w:pPr>
        <w:pStyle w:val="FootnoteText"/>
      </w:pPr>
      <w:r>
        <w:rPr>
          <w:rStyle w:val="FootnoteReference"/>
        </w:rPr>
        <w:footnoteRef/>
      </w:r>
      <w:r>
        <w:t xml:space="preserve"> </w:t>
      </w:r>
      <w:r w:rsidRPr="0024734E">
        <w:rPr>
          <w:rFonts w:ascii="Times New Roman" w:hAnsi="Times New Roman"/>
        </w:rPr>
        <w:t>Couharde et al. (2018)</w:t>
      </w:r>
      <w:r>
        <w:rPr>
          <w:rFonts w:ascii="Times New Roman" w:hAnsi="Times New Roman"/>
        </w:rPr>
        <w:t>.</w:t>
      </w:r>
    </w:p>
  </w:footnote>
  <w:footnote w:id="3">
    <w:p w14:paraId="2DA6193E" w14:textId="77777777" w:rsidR="00E6079A" w:rsidRDefault="00E6079A">
      <w:pPr>
        <w:pStyle w:val="FootnoteText"/>
      </w:pPr>
      <w:r>
        <w:rPr>
          <w:rStyle w:val="FootnoteReference"/>
        </w:rPr>
        <w:footnoteRef/>
      </w:r>
      <w:r>
        <w:t xml:space="preserve"> </w:t>
      </w:r>
      <w:r w:rsidRPr="003A7409">
        <w:rPr>
          <w:rFonts w:ascii="Times New Roman" w:hAnsi="Times New Roman" w:cs="Times New Roman"/>
        </w:rPr>
        <w:t>This is a dummy variable used to account for the cfa franc devaluation of 1994. It takes value 1 in 1994 and 0 otherwise.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6ED5D" w14:textId="16195AC8" w:rsidR="00E6079A" w:rsidRDefault="00652B41">
    <w:pPr>
      <w:pStyle w:val="Header"/>
    </w:pPr>
    <w:r>
      <w:rPr>
        <w:noProof/>
      </w:rPr>
      <w:pict w14:anchorId="1A9D0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07381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17F34" w14:textId="70854259" w:rsidR="00E6079A" w:rsidRDefault="00652B41">
    <w:pPr>
      <w:pStyle w:val="Header"/>
    </w:pPr>
    <w:r>
      <w:rPr>
        <w:noProof/>
      </w:rPr>
      <w:pict w14:anchorId="71269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07381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975B" w14:textId="5F009C25" w:rsidR="00E6079A" w:rsidRDefault="00652B41">
    <w:pPr>
      <w:pStyle w:val="Header"/>
    </w:pPr>
    <w:r>
      <w:rPr>
        <w:noProof/>
      </w:rPr>
      <w:pict w14:anchorId="404CD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07381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274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71118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4671B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7A0993"/>
    <w:multiLevelType w:val="multilevel"/>
    <w:tmpl w:val="61661F6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1455F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7F7F4B"/>
    <w:multiLevelType w:val="hybridMultilevel"/>
    <w:tmpl w:val="58C0410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A44425"/>
    <w:multiLevelType w:val="hybridMultilevel"/>
    <w:tmpl w:val="0D641A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D6D"/>
    <w:rsid w:val="00005BDC"/>
    <w:rsid w:val="00006274"/>
    <w:rsid w:val="00006670"/>
    <w:rsid w:val="00012508"/>
    <w:rsid w:val="000150E7"/>
    <w:rsid w:val="0001527D"/>
    <w:rsid w:val="00024445"/>
    <w:rsid w:val="0003069B"/>
    <w:rsid w:val="0003394C"/>
    <w:rsid w:val="0003626E"/>
    <w:rsid w:val="00036F73"/>
    <w:rsid w:val="000373B6"/>
    <w:rsid w:val="0003771E"/>
    <w:rsid w:val="000377D5"/>
    <w:rsid w:val="000410E9"/>
    <w:rsid w:val="00044880"/>
    <w:rsid w:val="00053465"/>
    <w:rsid w:val="0005726C"/>
    <w:rsid w:val="000602D7"/>
    <w:rsid w:val="00062578"/>
    <w:rsid w:val="0006317C"/>
    <w:rsid w:val="00065734"/>
    <w:rsid w:val="0008456A"/>
    <w:rsid w:val="00084DD7"/>
    <w:rsid w:val="00086365"/>
    <w:rsid w:val="00086B17"/>
    <w:rsid w:val="0009104E"/>
    <w:rsid w:val="000935ED"/>
    <w:rsid w:val="000944F3"/>
    <w:rsid w:val="00096826"/>
    <w:rsid w:val="000A092F"/>
    <w:rsid w:val="000A1F45"/>
    <w:rsid w:val="000A2567"/>
    <w:rsid w:val="000A649A"/>
    <w:rsid w:val="000A7C42"/>
    <w:rsid w:val="000B416B"/>
    <w:rsid w:val="000B66BE"/>
    <w:rsid w:val="000C0672"/>
    <w:rsid w:val="000C76C8"/>
    <w:rsid w:val="000D1CF2"/>
    <w:rsid w:val="000D4825"/>
    <w:rsid w:val="000E135B"/>
    <w:rsid w:val="000E5F3F"/>
    <w:rsid w:val="000E682A"/>
    <w:rsid w:val="000F00B3"/>
    <w:rsid w:val="000F1208"/>
    <w:rsid w:val="000F42DA"/>
    <w:rsid w:val="000F4447"/>
    <w:rsid w:val="000F5C69"/>
    <w:rsid w:val="000F5F54"/>
    <w:rsid w:val="000F62E5"/>
    <w:rsid w:val="00105E49"/>
    <w:rsid w:val="001115B7"/>
    <w:rsid w:val="00114F1A"/>
    <w:rsid w:val="0011512B"/>
    <w:rsid w:val="001303C6"/>
    <w:rsid w:val="00131D93"/>
    <w:rsid w:val="00132B3A"/>
    <w:rsid w:val="001350B9"/>
    <w:rsid w:val="00135DBC"/>
    <w:rsid w:val="001414EC"/>
    <w:rsid w:val="001473F3"/>
    <w:rsid w:val="001530E4"/>
    <w:rsid w:val="0015539C"/>
    <w:rsid w:val="00157906"/>
    <w:rsid w:val="0016406C"/>
    <w:rsid w:val="0017078F"/>
    <w:rsid w:val="00171366"/>
    <w:rsid w:val="00176533"/>
    <w:rsid w:val="00176A74"/>
    <w:rsid w:val="00184A1E"/>
    <w:rsid w:val="001909E0"/>
    <w:rsid w:val="00192C21"/>
    <w:rsid w:val="001937B3"/>
    <w:rsid w:val="00196E66"/>
    <w:rsid w:val="00197063"/>
    <w:rsid w:val="001A326D"/>
    <w:rsid w:val="001A5E8B"/>
    <w:rsid w:val="001A7588"/>
    <w:rsid w:val="001B1300"/>
    <w:rsid w:val="001B57F2"/>
    <w:rsid w:val="001C7843"/>
    <w:rsid w:val="001D68DF"/>
    <w:rsid w:val="001E39A4"/>
    <w:rsid w:val="001E62A5"/>
    <w:rsid w:val="001F0A2C"/>
    <w:rsid w:val="001F3213"/>
    <w:rsid w:val="001F5DEA"/>
    <w:rsid w:val="00200B36"/>
    <w:rsid w:val="002040E1"/>
    <w:rsid w:val="002063BD"/>
    <w:rsid w:val="0021014F"/>
    <w:rsid w:val="00213BDE"/>
    <w:rsid w:val="00216A65"/>
    <w:rsid w:val="0021795C"/>
    <w:rsid w:val="00221807"/>
    <w:rsid w:val="00224D93"/>
    <w:rsid w:val="0022564E"/>
    <w:rsid w:val="002338CD"/>
    <w:rsid w:val="002416C8"/>
    <w:rsid w:val="002443F3"/>
    <w:rsid w:val="00244D9C"/>
    <w:rsid w:val="002452D7"/>
    <w:rsid w:val="00260AE0"/>
    <w:rsid w:val="0026225D"/>
    <w:rsid w:val="00266038"/>
    <w:rsid w:val="00266B10"/>
    <w:rsid w:val="00271D33"/>
    <w:rsid w:val="00275EB1"/>
    <w:rsid w:val="00276A69"/>
    <w:rsid w:val="00277DF6"/>
    <w:rsid w:val="00282FEA"/>
    <w:rsid w:val="00283AB7"/>
    <w:rsid w:val="00283B5A"/>
    <w:rsid w:val="00284637"/>
    <w:rsid w:val="002879C8"/>
    <w:rsid w:val="0029149A"/>
    <w:rsid w:val="0029494F"/>
    <w:rsid w:val="00294D2F"/>
    <w:rsid w:val="00297AFE"/>
    <w:rsid w:val="002A01E5"/>
    <w:rsid w:val="002A253C"/>
    <w:rsid w:val="002A35CE"/>
    <w:rsid w:val="002A62E5"/>
    <w:rsid w:val="002A6D8F"/>
    <w:rsid w:val="002B12F8"/>
    <w:rsid w:val="002C0417"/>
    <w:rsid w:val="002C2664"/>
    <w:rsid w:val="002C3290"/>
    <w:rsid w:val="002D0628"/>
    <w:rsid w:val="002D3D2D"/>
    <w:rsid w:val="002D5C50"/>
    <w:rsid w:val="002E248F"/>
    <w:rsid w:val="002E3BC5"/>
    <w:rsid w:val="002E3E33"/>
    <w:rsid w:val="002E4F8A"/>
    <w:rsid w:val="002E5C79"/>
    <w:rsid w:val="002F09DD"/>
    <w:rsid w:val="002F2B69"/>
    <w:rsid w:val="002F4325"/>
    <w:rsid w:val="002F5D53"/>
    <w:rsid w:val="00300693"/>
    <w:rsid w:val="003037F0"/>
    <w:rsid w:val="0031134F"/>
    <w:rsid w:val="00313974"/>
    <w:rsid w:val="00315FC4"/>
    <w:rsid w:val="00323590"/>
    <w:rsid w:val="00324630"/>
    <w:rsid w:val="003246AE"/>
    <w:rsid w:val="003255B7"/>
    <w:rsid w:val="003314DC"/>
    <w:rsid w:val="00332401"/>
    <w:rsid w:val="00342A5C"/>
    <w:rsid w:val="003516F1"/>
    <w:rsid w:val="00352F7C"/>
    <w:rsid w:val="00352F8A"/>
    <w:rsid w:val="00355AB5"/>
    <w:rsid w:val="00370FA5"/>
    <w:rsid w:val="003715E2"/>
    <w:rsid w:val="003775F5"/>
    <w:rsid w:val="00392AD8"/>
    <w:rsid w:val="00394AF0"/>
    <w:rsid w:val="00395971"/>
    <w:rsid w:val="00395C0F"/>
    <w:rsid w:val="003976AB"/>
    <w:rsid w:val="003A22B0"/>
    <w:rsid w:val="003A2E21"/>
    <w:rsid w:val="003A495F"/>
    <w:rsid w:val="003A59D4"/>
    <w:rsid w:val="003A67A8"/>
    <w:rsid w:val="003A7409"/>
    <w:rsid w:val="003B134B"/>
    <w:rsid w:val="003B63B4"/>
    <w:rsid w:val="003B7FB7"/>
    <w:rsid w:val="003C26CF"/>
    <w:rsid w:val="003C5842"/>
    <w:rsid w:val="003C629E"/>
    <w:rsid w:val="003C6B99"/>
    <w:rsid w:val="003D14C4"/>
    <w:rsid w:val="003D7C4C"/>
    <w:rsid w:val="003E049A"/>
    <w:rsid w:val="003E1DE7"/>
    <w:rsid w:val="003E3AC7"/>
    <w:rsid w:val="003E4E62"/>
    <w:rsid w:val="003E690D"/>
    <w:rsid w:val="003E695D"/>
    <w:rsid w:val="003F2074"/>
    <w:rsid w:val="003F3718"/>
    <w:rsid w:val="003F7859"/>
    <w:rsid w:val="0040344D"/>
    <w:rsid w:val="0041132B"/>
    <w:rsid w:val="00414723"/>
    <w:rsid w:val="00414F66"/>
    <w:rsid w:val="00415A0A"/>
    <w:rsid w:val="00425B0E"/>
    <w:rsid w:val="004268DB"/>
    <w:rsid w:val="0043433B"/>
    <w:rsid w:val="0044182E"/>
    <w:rsid w:val="0044211A"/>
    <w:rsid w:val="00444BC9"/>
    <w:rsid w:val="004477FB"/>
    <w:rsid w:val="00447DB7"/>
    <w:rsid w:val="00450A07"/>
    <w:rsid w:val="00452111"/>
    <w:rsid w:val="00455BB5"/>
    <w:rsid w:val="00457506"/>
    <w:rsid w:val="00460E93"/>
    <w:rsid w:val="004637C1"/>
    <w:rsid w:val="00470753"/>
    <w:rsid w:val="004707C6"/>
    <w:rsid w:val="00474CD4"/>
    <w:rsid w:val="0048083D"/>
    <w:rsid w:val="00483746"/>
    <w:rsid w:val="00491383"/>
    <w:rsid w:val="004959D2"/>
    <w:rsid w:val="004970C1"/>
    <w:rsid w:val="004A12DE"/>
    <w:rsid w:val="004A30E5"/>
    <w:rsid w:val="004B2F82"/>
    <w:rsid w:val="004B478D"/>
    <w:rsid w:val="004B6261"/>
    <w:rsid w:val="004C10E7"/>
    <w:rsid w:val="004C1EBC"/>
    <w:rsid w:val="004C21F8"/>
    <w:rsid w:val="004D237F"/>
    <w:rsid w:val="004D3D04"/>
    <w:rsid w:val="004D523C"/>
    <w:rsid w:val="004E2F00"/>
    <w:rsid w:val="004F529C"/>
    <w:rsid w:val="004F6614"/>
    <w:rsid w:val="004F688C"/>
    <w:rsid w:val="005006FD"/>
    <w:rsid w:val="005007AF"/>
    <w:rsid w:val="00500F39"/>
    <w:rsid w:val="0050265D"/>
    <w:rsid w:val="00507589"/>
    <w:rsid w:val="005110EB"/>
    <w:rsid w:val="0051266C"/>
    <w:rsid w:val="00513A89"/>
    <w:rsid w:val="00515564"/>
    <w:rsid w:val="00516510"/>
    <w:rsid w:val="005174E0"/>
    <w:rsid w:val="00526B8F"/>
    <w:rsid w:val="0053298E"/>
    <w:rsid w:val="005336B2"/>
    <w:rsid w:val="00533A96"/>
    <w:rsid w:val="00534AE2"/>
    <w:rsid w:val="00535486"/>
    <w:rsid w:val="00540493"/>
    <w:rsid w:val="00541576"/>
    <w:rsid w:val="00543F24"/>
    <w:rsid w:val="0054569C"/>
    <w:rsid w:val="005568C0"/>
    <w:rsid w:val="00557A47"/>
    <w:rsid w:val="00563267"/>
    <w:rsid w:val="00564EBF"/>
    <w:rsid w:val="0056519E"/>
    <w:rsid w:val="0056670B"/>
    <w:rsid w:val="00570310"/>
    <w:rsid w:val="00573AB4"/>
    <w:rsid w:val="00577631"/>
    <w:rsid w:val="005814D8"/>
    <w:rsid w:val="005911E6"/>
    <w:rsid w:val="00591A06"/>
    <w:rsid w:val="00591B65"/>
    <w:rsid w:val="005A0090"/>
    <w:rsid w:val="005A1047"/>
    <w:rsid w:val="005A190C"/>
    <w:rsid w:val="005A34CA"/>
    <w:rsid w:val="005A3FA5"/>
    <w:rsid w:val="005A4A3E"/>
    <w:rsid w:val="005B0930"/>
    <w:rsid w:val="005B0BF8"/>
    <w:rsid w:val="005B24B6"/>
    <w:rsid w:val="005B7CC8"/>
    <w:rsid w:val="005C1235"/>
    <w:rsid w:val="005C7718"/>
    <w:rsid w:val="005D0AC1"/>
    <w:rsid w:val="005D2B22"/>
    <w:rsid w:val="005D4503"/>
    <w:rsid w:val="005D71C0"/>
    <w:rsid w:val="005E13F1"/>
    <w:rsid w:val="005E17BB"/>
    <w:rsid w:val="005E4980"/>
    <w:rsid w:val="005E527F"/>
    <w:rsid w:val="005F34B4"/>
    <w:rsid w:val="0060338C"/>
    <w:rsid w:val="006050EB"/>
    <w:rsid w:val="0061032B"/>
    <w:rsid w:val="006179AB"/>
    <w:rsid w:val="00620BB3"/>
    <w:rsid w:val="00620F60"/>
    <w:rsid w:val="00622DBC"/>
    <w:rsid w:val="0062327E"/>
    <w:rsid w:val="006253C6"/>
    <w:rsid w:val="00630A3C"/>
    <w:rsid w:val="00631459"/>
    <w:rsid w:val="0063298D"/>
    <w:rsid w:val="00632B75"/>
    <w:rsid w:val="00636CE6"/>
    <w:rsid w:val="00643538"/>
    <w:rsid w:val="00643766"/>
    <w:rsid w:val="00652B41"/>
    <w:rsid w:val="00652CA8"/>
    <w:rsid w:val="00655617"/>
    <w:rsid w:val="0066076E"/>
    <w:rsid w:val="0066451B"/>
    <w:rsid w:val="00667995"/>
    <w:rsid w:val="00667E6B"/>
    <w:rsid w:val="0067192F"/>
    <w:rsid w:val="00682755"/>
    <w:rsid w:val="00684AFC"/>
    <w:rsid w:val="00685590"/>
    <w:rsid w:val="00685C47"/>
    <w:rsid w:val="006A461A"/>
    <w:rsid w:val="006A6F41"/>
    <w:rsid w:val="006A7CEB"/>
    <w:rsid w:val="006B15CB"/>
    <w:rsid w:val="006B1FEB"/>
    <w:rsid w:val="006B63DC"/>
    <w:rsid w:val="006B7ACB"/>
    <w:rsid w:val="006C0528"/>
    <w:rsid w:val="006C0D9D"/>
    <w:rsid w:val="006C38CC"/>
    <w:rsid w:val="006D2FD5"/>
    <w:rsid w:val="006D76E0"/>
    <w:rsid w:val="006E1CD1"/>
    <w:rsid w:val="006E344C"/>
    <w:rsid w:val="006E43A6"/>
    <w:rsid w:val="006E717F"/>
    <w:rsid w:val="006F04EB"/>
    <w:rsid w:val="006F0EC3"/>
    <w:rsid w:val="006F2406"/>
    <w:rsid w:val="006F4DF3"/>
    <w:rsid w:val="006F5BA4"/>
    <w:rsid w:val="006F6CEC"/>
    <w:rsid w:val="006F6E02"/>
    <w:rsid w:val="00701A66"/>
    <w:rsid w:val="00702EA1"/>
    <w:rsid w:val="00703159"/>
    <w:rsid w:val="00704E2D"/>
    <w:rsid w:val="0070785C"/>
    <w:rsid w:val="0071044F"/>
    <w:rsid w:val="00717405"/>
    <w:rsid w:val="00720628"/>
    <w:rsid w:val="007231CA"/>
    <w:rsid w:val="007253DF"/>
    <w:rsid w:val="007260FC"/>
    <w:rsid w:val="0072611F"/>
    <w:rsid w:val="0072776B"/>
    <w:rsid w:val="00730351"/>
    <w:rsid w:val="00735200"/>
    <w:rsid w:val="00747B45"/>
    <w:rsid w:val="00752224"/>
    <w:rsid w:val="007528AC"/>
    <w:rsid w:val="0076208A"/>
    <w:rsid w:val="00767B52"/>
    <w:rsid w:val="00774624"/>
    <w:rsid w:val="00781A3B"/>
    <w:rsid w:val="007829C0"/>
    <w:rsid w:val="00793AEA"/>
    <w:rsid w:val="00797AFE"/>
    <w:rsid w:val="007B0D15"/>
    <w:rsid w:val="007B320A"/>
    <w:rsid w:val="007B394D"/>
    <w:rsid w:val="007B6CA7"/>
    <w:rsid w:val="007C0064"/>
    <w:rsid w:val="007C0165"/>
    <w:rsid w:val="007C04E4"/>
    <w:rsid w:val="007C156C"/>
    <w:rsid w:val="007C73AB"/>
    <w:rsid w:val="007D34A6"/>
    <w:rsid w:val="007E02FE"/>
    <w:rsid w:val="007E3497"/>
    <w:rsid w:val="007F044C"/>
    <w:rsid w:val="007F0665"/>
    <w:rsid w:val="007F4FA5"/>
    <w:rsid w:val="007F5615"/>
    <w:rsid w:val="007F75A3"/>
    <w:rsid w:val="007F79F5"/>
    <w:rsid w:val="00804E23"/>
    <w:rsid w:val="00805A4F"/>
    <w:rsid w:val="00806B38"/>
    <w:rsid w:val="00815E00"/>
    <w:rsid w:val="00832F93"/>
    <w:rsid w:val="008353B2"/>
    <w:rsid w:val="00843AA9"/>
    <w:rsid w:val="00846654"/>
    <w:rsid w:val="008529FA"/>
    <w:rsid w:val="00852E1C"/>
    <w:rsid w:val="0085504B"/>
    <w:rsid w:val="0085795A"/>
    <w:rsid w:val="00861758"/>
    <w:rsid w:val="00871F2C"/>
    <w:rsid w:val="00880E51"/>
    <w:rsid w:val="00882B40"/>
    <w:rsid w:val="00882D7E"/>
    <w:rsid w:val="00884EDF"/>
    <w:rsid w:val="0089479D"/>
    <w:rsid w:val="00896266"/>
    <w:rsid w:val="008A1AB5"/>
    <w:rsid w:val="008B7015"/>
    <w:rsid w:val="008C2D6D"/>
    <w:rsid w:val="008C6032"/>
    <w:rsid w:val="008D109C"/>
    <w:rsid w:val="008E2836"/>
    <w:rsid w:val="008E28A8"/>
    <w:rsid w:val="008E682E"/>
    <w:rsid w:val="008F2F9F"/>
    <w:rsid w:val="008F2FC4"/>
    <w:rsid w:val="008F31A5"/>
    <w:rsid w:val="009017E9"/>
    <w:rsid w:val="00904E53"/>
    <w:rsid w:val="00904E9A"/>
    <w:rsid w:val="0091742F"/>
    <w:rsid w:val="00917DFF"/>
    <w:rsid w:val="00921AEF"/>
    <w:rsid w:val="00921E36"/>
    <w:rsid w:val="00930E6F"/>
    <w:rsid w:val="0094414B"/>
    <w:rsid w:val="00944B5A"/>
    <w:rsid w:val="00952122"/>
    <w:rsid w:val="009523A3"/>
    <w:rsid w:val="00953558"/>
    <w:rsid w:val="009570C8"/>
    <w:rsid w:val="009650B7"/>
    <w:rsid w:val="009677AA"/>
    <w:rsid w:val="009748C0"/>
    <w:rsid w:val="0097580B"/>
    <w:rsid w:val="00975CB1"/>
    <w:rsid w:val="0097616B"/>
    <w:rsid w:val="00980450"/>
    <w:rsid w:val="00981FCA"/>
    <w:rsid w:val="00986403"/>
    <w:rsid w:val="00987721"/>
    <w:rsid w:val="00987C02"/>
    <w:rsid w:val="00987D2F"/>
    <w:rsid w:val="009951F8"/>
    <w:rsid w:val="009A1924"/>
    <w:rsid w:val="009A26C3"/>
    <w:rsid w:val="009A2766"/>
    <w:rsid w:val="009A60EF"/>
    <w:rsid w:val="009B49BA"/>
    <w:rsid w:val="009B4E07"/>
    <w:rsid w:val="009C1EA1"/>
    <w:rsid w:val="009C283C"/>
    <w:rsid w:val="009C764A"/>
    <w:rsid w:val="009C7809"/>
    <w:rsid w:val="009E2FF1"/>
    <w:rsid w:val="009E344C"/>
    <w:rsid w:val="009F03A9"/>
    <w:rsid w:val="00A01C95"/>
    <w:rsid w:val="00A0294C"/>
    <w:rsid w:val="00A103D8"/>
    <w:rsid w:val="00A128EE"/>
    <w:rsid w:val="00A1431C"/>
    <w:rsid w:val="00A16D4B"/>
    <w:rsid w:val="00A16E26"/>
    <w:rsid w:val="00A2740D"/>
    <w:rsid w:val="00A30871"/>
    <w:rsid w:val="00A31079"/>
    <w:rsid w:val="00A33A60"/>
    <w:rsid w:val="00A461C0"/>
    <w:rsid w:val="00A539EF"/>
    <w:rsid w:val="00A60B9E"/>
    <w:rsid w:val="00A614AB"/>
    <w:rsid w:val="00A717B3"/>
    <w:rsid w:val="00A71C0C"/>
    <w:rsid w:val="00A72F0D"/>
    <w:rsid w:val="00A75A09"/>
    <w:rsid w:val="00A768E9"/>
    <w:rsid w:val="00A7780D"/>
    <w:rsid w:val="00A80041"/>
    <w:rsid w:val="00A87A84"/>
    <w:rsid w:val="00A93E2A"/>
    <w:rsid w:val="00A9518E"/>
    <w:rsid w:val="00AA60FD"/>
    <w:rsid w:val="00AB1436"/>
    <w:rsid w:val="00AB1966"/>
    <w:rsid w:val="00AC069B"/>
    <w:rsid w:val="00AC194F"/>
    <w:rsid w:val="00AC3F2F"/>
    <w:rsid w:val="00AD0273"/>
    <w:rsid w:val="00AD39A2"/>
    <w:rsid w:val="00AD46D8"/>
    <w:rsid w:val="00AE53A9"/>
    <w:rsid w:val="00AE56C9"/>
    <w:rsid w:val="00AF12D5"/>
    <w:rsid w:val="00AF205D"/>
    <w:rsid w:val="00B032BF"/>
    <w:rsid w:val="00B0496D"/>
    <w:rsid w:val="00B053AD"/>
    <w:rsid w:val="00B0698C"/>
    <w:rsid w:val="00B06C5C"/>
    <w:rsid w:val="00B23647"/>
    <w:rsid w:val="00B31F9E"/>
    <w:rsid w:val="00B32D0B"/>
    <w:rsid w:val="00B37451"/>
    <w:rsid w:val="00B42FD3"/>
    <w:rsid w:val="00B457D2"/>
    <w:rsid w:val="00B47012"/>
    <w:rsid w:val="00B47D02"/>
    <w:rsid w:val="00B568C5"/>
    <w:rsid w:val="00B572F0"/>
    <w:rsid w:val="00B61D1B"/>
    <w:rsid w:val="00B62A76"/>
    <w:rsid w:val="00B641F9"/>
    <w:rsid w:val="00B6584D"/>
    <w:rsid w:val="00B66A1F"/>
    <w:rsid w:val="00B777F5"/>
    <w:rsid w:val="00B839E2"/>
    <w:rsid w:val="00B92333"/>
    <w:rsid w:val="00B92967"/>
    <w:rsid w:val="00B942DE"/>
    <w:rsid w:val="00B967AC"/>
    <w:rsid w:val="00BA048D"/>
    <w:rsid w:val="00BB3C95"/>
    <w:rsid w:val="00BD4276"/>
    <w:rsid w:val="00BD77A6"/>
    <w:rsid w:val="00BE5547"/>
    <w:rsid w:val="00BE7EEE"/>
    <w:rsid w:val="00BF05E9"/>
    <w:rsid w:val="00BF2F09"/>
    <w:rsid w:val="00BF4672"/>
    <w:rsid w:val="00C050C4"/>
    <w:rsid w:val="00C075E3"/>
    <w:rsid w:val="00C1573E"/>
    <w:rsid w:val="00C15C3D"/>
    <w:rsid w:val="00C20400"/>
    <w:rsid w:val="00C2070E"/>
    <w:rsid w:val="00C25A65"/>
    <w:rsid w:val="00C27337"/>
    <w:rsid w:val="00C27DB6"/>
    <w:rsid w:val="00C27F12"/>
    <w:rsid w:val="00C33407"/>
    <w:rsid w:val="00C345EA"/>
    <w:rsid w:val="00C40BE6"/>
    <w:rsid w:val="00C40E19"/>
    <w:rsid w:val="00C40E77"/>
    <w:rsid w:val="00C41254"/>
    <w:rsid w:val="00C4215D"/>
    <w:rsid w:val="00C44528"/>
    <w:rsid w:val="00C47634"/>
    <w:rsid w:val="00C54001"/>
    <w:rsid w:val="00C55890"/>
    <w:rsid w:val="00C65999"/>
    <w:rsid w:val="00C67379"/>
    <w:rsid w:val="00C75CD1"/>
    <w:rsid w:val="00C823B1"/>
    <w:rsid w:val="00C8526B"/>
    <w:rsid w:val="00C87D1B"/>
    <w:rsid w:val="00C90AF5"/>
    <w:rsid w:val="00C916C6"/>
    <w:rsid w:val="00C9171F"/>
    <w:rsid w:val="00C93F5D"/>
    <w:rsid w:val="00CA20FA"/>
    <w:rsid w:val="00CA742F"/>
    <w:rsid w:val="00CB394A"/>
    <w:rsid w:val="00CB4B17"/>
    <w:rsid w:val="00CB6561"/>
    <w:rsid w:val="00CC29B8"/>
    <w:rsid w:val="00CC362C"/>
    <w:rsid w:val="00CC40A1"/>
    <w:rsid w:val="00CC5896"/>
    <w:rsid w:val="00CC7A30"/>
    <w:rsid w:val="00CE0FDA"/>
    <w:rsid w:val="00CE1CEE"/>
    <w:rsid w:val="00CE62C1"/>
    <w:rsid w:val="00CF0050"/>
    <w:rsid w:val="00CF0E47"/>
    <w:rsid w:val="00CF3DB6"/>
    <w:rsid w:val="00D01670"/>
    <w:rsid w:val="00D01BE3"/>
    <w:rsid w:val="00D03899"/>
    <w:rsid w:val="00D05250"/>
    <w:rsid w:val="00D05CF3"/>
    <w:rsid w:val="00D06361"/>
    <w:rsid w:val="00D075E5"/>
    <w:rsid w:val="00D16DDD"/>
    <w:rsid w:val="00D16FD8"/>
    <w:rsid w:val="00D17E0E"/>
    <w:rsid w:val="00D20F88"/>
    <w:rsid w:val="00D27226"/>
    <w:rsid w:val="00D36C01"/>
    <w:rsid w:val="00D37798"/>
    <w:rsid w:val="00D40F16"/>
    <w:rsid w:val="00D46F37"/>
    <w:rsid w:val="00D47E12"/>
    <w:rsid w:val="00D51775"/>
    <w:rsid w:val="00D528A1"/>
    <w:rsid w:val="00D52AFF"/>
    <w:rsid w:val="00D541FD"/>
    <w:rsid w:val="00D6394E"/>
    <w:rsid w:val="00D646B8"/>
    <w:rsid w:val="00D65EDB"/>
    <w:rsid w:val="00D65F14"/>
    <w:rsid w:val="00D6769A"/>
    <w:rsid w:val="00D75093"/>
    <w:rsid w:val="00D75A41"/>
    <w:rsid w:val="00D762D7"/>
    <w:rsid w:val="00D76B0E"/>
    <w:rsid w:val="00D83279"/>
    <w:rsid w:val="00D8384C"/>
    <w:rsid w:val="00D848C2"/>
    <w:rsid w:val="00D87975"/>
    <w:rsid w:val="00D91895"/>
    <w:rsid w:val="00D923DD"/>
    <w:rsid w:val="00D92689"/>
    <w:rsid w:val="00DA08B4"/>
    <w:rsid w:val="00DA32F1"/>
    <w:rsid w:val="00DA574A"/>
    <w:rsid w:val="00DB2576"/>
    <w:rsid w:val="00DB5036"/>
    <w:rsid w:val="00DB7FB8"/>
    <w:rsid w:val="00DC11D7"/>
    <w:rsid w:val="00DC3E80"/>
    <w:rsid w:val="00DC5ACB"/>
    <w:rsid w:val="00DC6D6B"/>
    <w:rsid w:val="00DD0064"/>
    <w:rsid w:val="00DD0188"/>
    <w:rsid w:val="00DD1D40"/>
    <w:rsid w:val="00DD3C7F"/>
    <w:rsid w:val="00DD42E3"/>
    <w:rsid w:val="00DD74E2"/>
    <w:rsid w:val="00DE3A87"/>
    <w:rsid w:val="00DE3C71"/>
    <w:rsid w:val="00DF0C5A"/>
    <w:rsid w:val="00E01A9E"/>
    <w:rsid w:val="00E02510"/>
    <w:rsid w:val="00E07630"/>
    <w:rsid w:val="00E16D04"/>
    <w:rsid w:val="00E2120E"/>
    <w:rsid w:val="00E2269F"/>
    <w:rsid w:val="00E2366B"/>
    <w:rsid w:val="00E26D72"/>
    <w:rsid w:val="00E31D59"/>
    <w:rsid w:val="00E3675B"/>
    <w:rsid w:val="00E40E9B"/>
    <w:rsid w:val="00E43313"/>
    <w:rsid w:val="00E552C0"/>
    <w:rsid w:val="00E553C3"/>
    <w:rsid w:val="00E554DF"/>
    <w:rsid w:val="00E56204"/>
    <w:rsid w:val="00E56A06"/>
    <w:rsid w:val="00E6079A"/>
    <w:rsid w:val="00E60837"/>
    <w:rsid w:val="00E7039F"/>
    <w:rsid w:val="00E70B29"/>
    <w:rsid w:val="00E719E9"/>
    <w:rsid w:val="00E71F8E"/>
    <w:rsid w:val="00E75587"/>
    <w:rsid w:val="00E7696C"/>
    <w:rsid w:val="00E77334"/>
    <w:rsid w:val="00E775D0"/>
    <w:rsid w:val="00E84BB2"/>
    <w:rsid w:val="00E96207"/>
    <w:rsid w:val="00EA3A18"/>
    <w:rsid w:val="00EA5612"/>
    <w:rsid w:val="00EB4A5A"/>
    <w:rsid w:val="00EC1B13"/>
    <w:rsid w:val="00EC59FA"/>
    <w:rsid w:val="00EC6100"/>
    <w:rsid w:val="00ED0CE9"/>
    <w:rsid w:val="00ED2E71"/>
    <w:rsid w:val="00ED7391"/>
    <w:rsid w:val="00EE3001"/>
    <w:rsid w:val="00EE6EC8"/>
    <w:rsid w:val="00EF0C18"/>
    <w:rsid w:val="00EF3356"/>
    <w:rsid w:val="00F03829"/>
    <w:rsid w:val="00F03AC6"/>
    <w:rsid w:val="00F14F42"/>
    <w:rsid w:val="00F17BAF"/>
    <w:rsid w:val="00F17BE4"/>
    <w:rsid w:val="00F206CE"/>
    <w:rsid w:val="00F24951"/>
    <w:rsid w:val="00F24B07"/>
    <w:rsid w:val="00F24DC9"/>
    <w:rsid w:val="00F258AE"/>
    <w:rsid w:val="00F26C34"/>
    <w:rsid w:val="00F31B2E"/>
    <w:rsid w:val="00F35B15"/>
    <w:rsid w:val="00F412A3"/>
    <w:rsid w:val="00F41B8B"/>
    <w:rsid w:val="00F45CAA"/>
    <w:rsid w:val="00F46AE6"/>
    <w:rsid w:val="00F53E3F"/>
    <w:rsid w:val="00F542EA"/>
    <w:rsid w:val="00F6059E"/>
    <w:rsid w:val="00F60CBD"/>
    <w:rsid w:val="00F61195"/>
    <w:rsid w:val="00F65EA2"/>
    <w:rsid w:val="00F66179"/>
    <w:rsid w:val="00F66C2F"/>
    <w:rsid w:val="00F6736D"/>
    <w:rsid w:val="00F7126F"/>
    <w:rsid w:val="00F7203D"/>
    <w:rsid w:val="00F725BC"/>
    <w:rsid w:val="00F77C05"/>
    <w:rsid w:val="00F811D3"/>
    <w:rsid w:val="00F815B7"/>
    <w:rsid w:val="00F9291A"/>
    <w:rsid w:val="00F93013"/>
    <w:rsid w:val="00FA01EC"/>
    <w:rsid w:val="00FA2680"/>
    <w:rsid w:val="00FB17D5"/>
    <w:rsid w:val="00FB551D"/>
    <w:rsid w:val="00FB6D7B"/>
    <w:rsid w:val="00FC1FC5"/>
    <w:rsid w:val="00FC4DCA"/>
    <w:rsid w:val="00FC698E"/>
    <w:rsid w:val="00FC742A"/>
    <w:rsid w:val="00FC769B"/>
    <w:rsid w:val="00FD280C"/>
    <w:rsid w:val="00FD31B7"/>
    <w:rsid w:val="00FD4CC2"/>
    <w:rsid w:val="00FD4F5E"/>
    <w:rsid w:val="00FE1A95"/>
    <w:rsid w:val="00FF1560"/>
    <w:rsid w:val="00FF3F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7061AF"/>
  <w15:chartTrackingRefBased/>
  <w15:docId w15:val="{C4408C43-018A-44B6-958D-6CCA96AA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B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76E"/>
    <w:pPr>
      <w:ind w:left="720"/>
      <w:contextualSpacing/>
    </w:pPr>
  </w:style>
  <w:style w:type="paragraph" w:styleId="FootnoteText">
    <w:name w:val="footnote text"/>
    <w:basedOn w:val="Normal"/>
    <w:link w:val="FootnoteTextChar"/>
    <w:unhideWhenUsed/>
    <w:qFormat/>
    <w:rsid w:val="005568C0"/>
    <w:pPr>
      <w:spacing w:after="0" w:line="240" w:lineRule="auto"/>
    </w:pPr>
    <w:rPr>
      <w:sz w:val="20"/>
      <w:szCs w:val="20"/>
    </w:rPr>
  </w:style>
  <w:style w:type="character" w:customStyle="1" w:styleId="FootnoteTextChar">
    <w:name w:val="Footnote Text Char"/>
    <w:basedOn w:val="DefaultParagraphFont"/>
    <w:link w:val="FootnoteText"/>
    <w:qFormat/>
    <w:rsid w:val="005568C0"/>
    <w:rPr>
      <w:sz w:val="20"/>
      <w:szCs w:val="20"/>
    </w:rPr>
  </w:style>
  <w:style w:type="character" w:styleId="FootnoteReference">
    <w:name w:val="footnote reference"/>
    <w:basedOn w:val="DefaultParagraphFont"/>
    <w:uiPriority w:val="99"/>
    <w:unhideWhenUsed/>
    <w:rsid w:val="005568C0"/>
    <w:rPr>
      <w:vertAlign w:val="superscript"/>
    </w:rPr>
  </w:style>
  <w:style w:type="character" w:styleId="PlaceholderText">
    <w:name w:val="Placeholder Text"/>
    <w:basedOn w:val="DefaultParagraphFont"/>
    <w:uiPriority w:val="99"/>
    <w:semiHidden/>
    <w:rsid w:val="00533A96"/>
    <w:rPr>
      <w:color w:val="808080"/>
    </w:rPr>
  </w:style>
  <w:style w:type="character" w:customStyle="1" w:styleId="y2iqfc">
    <w:name w:val="y2iqfc"/>
    <w:basedOn w:val="DefaultParagraphFont"/>
    <w:rsid w:val="00655617"/>
  </w:style>
  <w:style w:type="paragraph" w:styleId="HTMLPreformatted">
    <w:name w:val="HTML Preformatted"/>
    <w:basedOn w:val="Normal"/>
    <w:link w:val="HTMLPreformattedChar"/>
    <w:uiPriority w:val="99"/>
    <w:unhideWhenUsed/>
    <w:rsid w:val="002E5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2E5C79"/>
    <w:rPr>
      <w:rFonts w:ascii="Courier New" w:eastAsia="Times New Roman" w:hAnsi="Courier New" w:cs="Courier New"/>
      <w:sz w:val="20"/>
      <w:szCs w:val="20"/>
      <w:lang w:eastAsia="fr-FR"/>
    </w:rPr>
  </w:style>
  <w:style w:type="table" w:styleId="TableGrid">
    <w:name w:val="Table Grid"/>
    <w:basedOn w:val="TableNormal"/>
    <w:uiPriority w:val="59"/>
    <w:rsid w:val="00D83279"/>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570310"/>
    <w:rPr>
      <w:color w:val="0563C1" w:themeColor="hyperlink"/>
      <w:u w:val="single"/>
    </w:rPr>
  </w:style>
  <w:style w:type="paragraph" w:customStyle="1" w:styleId="Default">
    <w:name w:val="Default"/>
    <w:rsid w:val="006050E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659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5999"/>
  </w:style>
  <w:style w:type="paragraph" w:styleId="Footer">
    <w:name w:val="footer"/>
    <w:basedOn w:val="Normal"/>
    <w:link w:val="FooterChar"/>
    <w:uiPriority w:val="99"/>
    <w:unhideWhenUsed/>
    <w:rsid w:val="00C659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5999"/>
  </w:style>
  <w:style w:type="paragraph" w:customStyle="1" w:styleId="Authornames">
    <w:name w:val="Author names"/>
    <w:basedOn w:val="Normal"/>
    <w:next w:val="Normal"/>
    <w:qFormat/>
    <w:rsid w:val="00F41B8B"/>
    <w:pPr>
      <w:spacing w:before="240" w:after="0" w:line="360" w:lineRule="auto"/>
    </w:pPr>
    <w:rPr>
      <w:rFonts w:ascii="Times New Roman" w:eastAsia="Times New Roman" w:hAnsi="Times New Roman" w:cs="Times New Roman"/>
      <w:sz w:val="28"/>
      <w:szCs w:val="24"/>
      <w:lang w:val="en-GB" w:eastAsia="en-GB"/>
    </w:rPr>
  </w:style>
  <w:style w:type="character" w:customStyle="1" w:styleId="Heading1Char">
    <w:name w:val="Heading 1 Char"/>
    <w:basedOn w:val="DefaultParagraphFont"/>
    <w:link w:val="Heading1"/>
    <w:uiPriority w:val="9"/>
    <w:rsid w:val="00086B17"/>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AE53A9"/>
    <w:rPr>
      <w:color w:val="605E5C"/>
      <w:shd w:val="clear" w:color="auto" w:fill="E1DFDD"/>
    </w:rPr>
  </w:style>
  <w:style w:type="paragraph" w:styleId="NoSpacing">
    <w:name w:val="No Spacing"/>
    <w:uiPriority w:val="1"/>
    <w:qFormat/>
    <w:rsid w:val="008E28A8"/>
    <w:pPr>
      <w:spacing w:after="0" w:line="240" w:lineRule="auto"/>
    </w:pPr>
    <w:rPr>
      <w:lang w:val="en-GB"/>
    </w:rPr>
  </w:style>
  <w:style w:type="character" w:styleId="CommentReference">
    <w:name w:val="annotation reference"/>
    <w:basedOn w:val="DefaultParagraphFont"/>
    <w:uiPriority w:val="99"/>
    <w:semiHidden/>
    <w:unhideWhenUsed/>
    <w:rsid w:val="005006FD"/>
    <w:rPr>
      <w:sz w:val="16"/>
      <w:szCs w:val="16"/>
    </w:rPr>
  </w:style>
  <w:style w:type="paragraph" w:styleId="CommentText">
    <w:name w:val="annotation text"/>
    <w:basedOn w:val="Normal"/>
    <w:link w:val="CommentTextChar"/>
    <w:uiPriority w:val="99"/>
    <w:semiHidden/>
    <w:unhideWhenUsed/>
    <w:rsid w:val="005006FD"/>
    <w:pPr>
      <w:spacing w:line="240" w:lineRule="auto"/>
    </w:pPr>
    <w:rPr>
      <w:sz w:val="20"/>
      <w:szCs w:val="20"/>
    </w:rPr>
  </w:style>
  <w:style w:type="character" w:customStyle="1" w:styleId="CommentTextChar">
    <w:name w:val="Comment Text Char"/>
    <w:basedOn w:val="DefaultParagraphFont"/>
    <w:link w:val="CommentText"/>
    <w:uiPriority w:val="99"/>
    <w:semiHidden/>
    <w:rsid w:val="005006FD"/>
    <w:rPr>
      <w:sz w:val="20"/>
      <w:szCs w:val="20"/>
    </w:rPr>
  </w:style>
  <w:style w:type="paragraph" w:styleId="BalloonText">
    <w:name w:val="Balloon Text"/>
    <w:basedOn w:val="Normal"/>
    <w:link w:val="BalloonTextChar"/>
    <w:uiPriority w:val="99"/>
    <w:semiHidden/>
    <w:unhideWhenUsed/>
    <w:rsid w:val="00752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224"/>
    <w:rPr>
      <w:rFonts w:ascii="Segoe UI" w:hAnsi="Segoe UI" w:cs="Segoe UI"/>
      <w:sz w:val="18"/>
      <w:szCs w:val="18"/>
    </w:rPr>
  </w:style>
  <w:style w:type="paragraph" w:styleId="NormalWeb">
    <w:name w:val="Normal (Web)"/>
    <w:basedOn w:val="Normal"/>
    <w:uiPriority w:val="99"/>
    <w:semiHidden/>
    <w:unhideWhenUsed/>
    <w:rsid w:val="00132B3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132B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083">
      <w:bodyDiv w:val="1"/>
      <w:marLeft w:val="0"/>
      <w:marRight w:val="0"/>
      <w:marTop w:val="0"/>
      <w:marBottom w:val="0"/>
      <w:divBdr>
        <w:top w:val="none" w:sz="0" w:space="0" w:color="auto"/>
        <w:left w:val="none" w:sz="0" w:space="0" w:color="auto"/>
        <w:bottom w:val="none" w:sz="0" w:space="0" w:color="auto"/>
        <w:right w:val="none" w:sz="0" w:space="0" w:color="auto"/>
      </w:divBdr>
    </w:div>
    <w:div w:id="38360307">
      <w:bodyDiv w:val="1"/>
      <w:marLeft w:val="0"/>
      <w:marRight w:val="0"/>
      <w:marTop w:val="0"/>
      <w:marBottom w:val="0"/>
      <w:divBdr>
        <w:top w:val="none" w:sz="0" w:space="0" w:color="auto"/>
        <w:left w:val="none" w:sz="0" w:space="0" w:color="auto"/>
        <w:bottom w:val="none" w:sz="0" w:space="0" w:color="auto"/>
        <w:right w:val="none" w:sz="0" w:space="0" w:color="auto"/>
      </w:divBdr>
    </w:div>
    <w:div w:id="107823893">
      <w:bodyDiv w:val="1"/>
      <w:marLeft w:val="0"/>
      <w:marRight w:val="0"/>
      <w:marTop w:val="0"/>
      <w:marBottom w:val="0"/>
      <w:divBdr>
        <w:top w:val="none" w:sz="0" w:space="0" w:color="auto"/>
        <w:left w:val="none" w:sz="0" w:space="0" w:color="auto"/>
        <w:bottom w:val="none" w:sz="0" w:space="0" w:color="auto"/>
        <w:right w:val="none" w:sz="0" w:space="0" w:color="auto"/>
      </w:divBdr>
    </w:div>
    <w:div w:id="129834340">
      <w:bodyDiv w:val="1"/>
      <w:marLeft w:val="0"/>
      <w:marRight w:val="0"/>
      <w:marTop w:val="0"/>
      <w:marBottom w:val="0"/>
      <w:divBdr>
        <w:top w:val="none" w:sz="0" w:space="0" w:color="auto"/>
        <w:left w:val="none" w:sz="0" w:space="0" w:color="auto"/>
        <w:bottom w:val="none" w:sz="0" w:space="0" w:color="auto"/>
        <w:right w:val="none" w:sz="0" w:space="0" w:color="auto"/>
      </w:divBdr>
    </w:div>
    <w:div w:id="133103898">
      <w:bodyDiv w:val="1"/>
      <w:marLeft w:val="0"/>
      <w:marRight w:val="0"/>
      <w:marTop w:val="0"/>
      <w:marBottom w:val="0"/>
      <w:divBdr>
        <w:top w:val="none" w:sz="0" w:space="0" w:color="auto"/>
        <w:left w:val="none" w:sz="0" w:space="0" w:color="auto"/>
        <w:bottom w:val="none" w:sz="0" w:space="0" w:color="auto"/>
        <w:right w:val="none" w:sz="0" w:space="0" w:color="auto"/>
      </w:divBdr>
    </w:div>
    <w:div w:id="157964623">
      <w:bodyDiv w:val="1"/>
      <w:marLeft w:val="0"/>
      <w:marRight w:val="0"/>
      <w:marTop w:val="0"/>
      <w:marBottom w:val="0"/>
      <w:divBdr>
        <w:top w:val="none" w:sz="0" w:space="0" w:color="auto"/>
        <w:left w:val="none" w:sz="0" w:space="0" w:color="auto"/>
        <w:bottom w:val="none" w:sz="0" w:space="0" w:color="auto"/>
        <w:right w:val="none" w:sz="0" w:space="0" w:color="auto"/>
      </w:divBdr>
    </w:div>
    <w:div w:id="307784413">
      <w:bodyDiv w:val="1"/>
      <w:marLeft w:val="0"/>
      <w:marRight w:val="0"/>
      <w:marTop w:val="0"/>
      <w:marBottom w:val="0"/>
      <w:divBdr>
        <w:top w:val="none" w:sz="0" w:space="0" w:color="auto"/>
        <w:left w:val="none" w:sz="0" w:space="0" w:color="auto"/>
        <w:bottom w:val="none" w:sz="0" w:space="0" w:color="auto"/>
        <w:right w:val="none" w:sz="0" w:space="0" w:color="auto"/>
      </w:divBdr>
    </w:div>
    <w:div w:id="368800747">
      <w:bodyDiv w:val="1"/>
      <w:marLeft w:val="0"/>
      <w:marRight w:val="0"/>
      <w:marTop w:val="0"/>
      <w:marBottom w:val="0"/>
      <w:divBdr>
        <w:top w:val="none" w:sz="0" w:space="0" w:color="auto"/>
        <w:left w:val="none" w:sz="0" w:space="0" w:color="auto"/>
        <w:bottom w:val="none" w:sz="0" w:space="0" w:color="auto"/>
        <w:right w:val="none" w:sz="0" w:space="0" w:color="auto"/>
      </w:divBdr>
    </w:div>
    <w:div w:id="401368007">
      <w:bodyDiv w:val="1"/>
      <w:marLeft w:val="0"/>
      <w:marRight w:val="0"/>
      <w:marTop w:val="0"/>
      <w:marBottom w:val="0"/>
      <w:divBdr>
        <w:top w:val="none" w:sz="0" w:space="0" w:color="auto"/>
        <w:left w:val="none" w:sz="0" w:space="0" w:color="auto"/>
        <w:bottom w:val="none" w:sz="0" w:space="0" w:color="auto"/>
        <w:right w:val="none" w:sz="0" w:space="0" w:color="auto"/>
      </w:divBdr>
    </w:div>
    <w:div w:id="424234132">
      <w:bodyDiv w:val="1"/>
      <w:marLeft w:val="0"/>
      <w:marRight w:val="0"/>
      <w:marTop w:val="0"/>
      <w:marBottom w:val="0"/>
      <w:divBdr>
        <w:top w:val="none" w:sz="0" w:space="0" w:color="auto"/>
        <w:left w:val="none" w:sz="0" w:space="0" w:color="auto"/>
        <w:bottom w:val="none" w:sz="0" w:space="0" w:color="auto"/>
        <w:right w:val="none" w:sz="0" w:space="0" w:color="auto"/>
      </w:divBdr>
    </w:div>
    <w:div w:id="439839630">
      <w:bodyDiv w:val="1"/>
      <w:marLeft w:val="0"/>
      <w:marRight w:val="0"/>
      <w:marTop w:val="0"/>
      <w:marBottom w:val="0"/>
      <w:divBdr>
        <w:top w:val="none" w:sz="0" w:space="0" w:color="auto"/>
        <w:left w:val="none" w:sz="0" w:space="0" w:color="auto"/>
        <w:bottom w:val="none" w:sz="0" w:space="0" w:color="auto"/>
        <w:right w:val="none" w:sz="0" w:space="0" w:color="auto"/>
      </w:divBdr>
      <w:divsChild>
        <w:div w:id="931087409">
          <w:marLeft w:val="0"/>
          <w:marRight w:val="0"/>
          <w:marTop w:val="0"/>
          <w:marBottom w:val="0"/>
          <w:divBdr>
            <w:top w:val="none" w:sz="0" w:space="0" w:color="auto"/>
            <w:left w:val="none" w:sz="0" w:space="0" w:color="auto"/>
            <w:bottom w:val="none" w:sz="0" w:space="0" w:color="auto"/>
            <w:right w:val="none" w:sz="0" w:space="0" w:color="auto"/>
          </w:divBdr>
        </w:div>
      </w:divsChild>
    </w:div>
    <w:div w:id="651450649">
      <w:bodyDiv w:val="1"/>
      <w:marLeft w:val="0"/>
      <w:marRight w:val="0"/>
      <w:marTop w:val="0"/>
      <w:marBottom w:val="0"/>
      <w:divBdr>
        <w:top w:val="none" w:sz="0" w:space="0" w:color="auto"/>
        <w:left w:val="none" w:sz="0" w:space="0" w:color="auto"/>
        <w:bottom w:val="none" w:sz="0" w:space="0" w:color="auto"/>
        <w:right w:val="none" w:sz="0" w:space="0" w:color="auto"/>
      </w:divBdr>
    </w:div>
    <w:div w:id="678507016">
      <w:bodyDiv w:val="1"/>
      <w:marLeft w:val="0"/>
      <w:marRight w:val="0"/>
      <w:marTop w:val="0"/>
      <w:marBottom w:val="0"/>
      <w:divBdr>
        <w:top w:val="none" w:sz="0" w:space="0" w:color="auto"/>
        <w:left w:val="none" w:sz="0" w:space="0" w:color="auto"/>
        <w:bottom w:val="none" w:sz="0" w:space="0" w:color="auto"/>
        <w:right w:val="none" w:sz="0" w:space="0" w:color="auto"/>
      </w:divBdr>
    </w:div>
    <w:div w:id="916204700">
      <w:bodyDiv w:val="1"/>
      <w:marLeft w:val="0"/>
      <w:marRight w:val="0"/>
      <w:marTop w:val="0"/>
      <w:marBottom w:val="0"/>
      <w:divBdr>
        <w:top w:val="none" w:sz="0" w:space="0" w:color="auto"/>
        <w:left w:val="none" w:sz="0" w:space="0" w:color="auto"/>
        <w:bottom w:val="none" w:sz="0" w:space="0" w:color="auto"/>
        <w:right w:val="none" w:sz="0" w:space="0" w:color="auto"/>
      </w:divBdr>
    </w:div>
    <w:div w:id="948006975">
      <w:bodyDiv w:val="1"/>
      <w:marLeft w:val="0"/>
      <w:marRight w:val="0"/>
      <w:marTop w:val="0"/>
      <w:marBottom w:val="0"/>
      <w:divBdr>
        <w:top w:val="none" w:sz="0" w:space="0" w:color="auto"/>
        <w:left w:val="none" w:sz="0" w:space="0" w:color="auto"/>
        <w:bottom w:val="none" w:sz="0" w:space="0" w:color="auto"/>
        <w:right w:val="none" w:sz="0" w:space="0" w:color="auto"/>
      </w:divBdr>
    </w:div>
    <w:div w:id="983580113">
      <w:bodyDiv w:val="1"/>
      <w:marLeft w:val="0"/>
      <w:marRight w:val="0"/>
      <w:marTop w:val="0"/>
      <w:marBottom w:val="0"/>
      <w:divBdr>
        <w:top w:val="none" w:sz="0" w:space="0" w:color="auto"/>
        <w:left w:val="none" w:sz="0" w:space="0" w:color="auto"/>
        <w:bottom w:val="none" w:sz="0" w:space="0" w:color="auto"/>
        <w:right w:val="none" w:sz="0" w:space="0" w:color="auto"/>
      </w:divBdr>
    </w:div>
    <w:div w:id="1015304769">
      <w:bodyDiv w:val="1"/>
      <w:marLeft w:val="0"/>
      <w:marRight w:val="0"/>
      <w:marTop w:val="0"/>
      <w:marBottom w:val="0"/>
      <w:divBdr>
        <w:top w:val="none" w:sz="0" w:space="0" w:color="auto"/>
        <w:left w:val="none" w:sz="0" w:space="0" w:color="auto"/>
        <w:bottom w:val="none" w:sz="0" w:space="0" w:color="auto"/>
        <w:right w:val="none" w:sz="0" w:space="0" w:color="auto"/>
      </w:divBdr>
    </w:div>
    <w:div w:id="1065178644">
      <w:bodyDiv w:val="1"/>
      <w:marLeft w:val="0"/>
      <w:marRight w:val="0"/>
      <w:marTop w:val="0"/>
      <w:marBottom w:val="0"/>
      <w:divBdr>
        <w:top w:val="none" w:sz="0" w:space="0" w:color="auto"/>
        <w:left w:val="none" w:sz="0" w:space="0" w:color="auto"/>
        <w:bottom w:val="none" w:sz="0" w:space="0" w:color="auto"/>
        <w:right w:val="none" w:sz="0" w:space="0" w:color="auto"/>
      </w:divBdr>
    </w:div>
    <w:div w:id="1165314594">
      <w:bodyDiv w:val="1"/>
      <w:marLeft w:val="0"/>
      <w:marRight w:val="0"/>
      <w:marTop w:val="0"/>
      <w:marBottom w:val="0"/>
      <w:divBdr>
        <w:top w:val="none" w:sz="0" w:space="0" w:color="auto"/>
        <w:left w:val="none" w:sz="0" w:space="0" w:color="auto"/>
        <w:bottom w:val="none" w:sz="0" w:space="0" w:color="auto"/>
        <w:right w:val="none" w:sz="0" w:space="0" w:color="auto"/>
      </w:divBdr>
    </w:div>
    <w:div w:id="1215698028">
      <w:bodyDiv w:val="1"/>
      <w:marLeft w:val="0"/>
      <w:marRight w:val="0"/>
      <w:marTop w:val="0"/>
      <w:marBottom w:val="0"/>
      <w:divBdr>
        <w:top w:val="none" w:sz="0" w:space="0" w:color="auto"/>
        <w:left w:val="none" w:sz="0" w:space="0" w:color="auto"/>
        <w:bottom w:val="none" w:sz="0" w:space="0" w:color="auto"/>
        <w:right w:val="none" w:sz="0" w:space="0" w:color="auto"/>
      </w:divBdr>
    </w:div>
    <w:div w:id="1297561136">
      <w:bodyDiv w:val="1"/>
      <w:marLeft w:val="0"/>
      <w:marRight w:val="0"/>
      <w:marTop w:val="0"/>
      <w:marBottom w:val="0"/>
      <w:divBdr>
        <w:top w:val="none" w:sz="0" w:space="0" w:color="auto"/>
        <w:left w:val="none" w:sz="0" w:space="0" w:color="auto"/>
        <w:bottom w:val="none" w:sz="0" w:space="0" w:color="auto"/>
        <w:right w:val="none" w:sz="0" w:space="0" w:color="auto"/>
      </w:divBdr>
    </w:div>
    <w:div w:id="1402021350">
      <w:bodyDiv w:val="1"/>
      <w:marLeft w:val="0"/>
      <w:marRight w:val="0"/>
      <w:marTop w:val="0"/>
      <w:marBottom w:val="0"/>
      <w:divBdr>
        <w:top w:val="none" w:sz="0" w:space="0" w:color="auto"/>
        <w:left w:val="none" w:sz="0" w:space="0" w:color="auto"/>
        <w:bottom w:val="none" w:sz="0" w:space="0" w:color="auto"/>
        <w:right w:val="none" w:sz="0" w:space="0" w:color="auto"/>
      </w:divBdr>
    </w:div>
    <w:div w:id="1560827959">
      <w:bodyDiv w:val="1"/>
      <w:marLeft w:val="0"/>
      <w:marRight w:val="0"/>
      <w:marTop w:val="0"/>
      <w:marBottom w:val="0"/>
      <w:divBdr>
        <w:top w:val="none" w:sz="0" w:space="0" w:color="auto"/>
        <w:left w:val="none" w:sz="0" w:space="0" w:color="auto"/>
        <w:bottom w:val="none" w:sz="0" w:space="0" w:color="auto"/>
        <w:right w:val="none" w:sz="0" w:space="0" w:color="auto"/>
      </w:divBdr>
    </w:div>
    <w:div w:id="1656492230">
      <w:bodyDiv w:val="1"/>
      <w:marLeft w:val="0"/>
      <w:marRight w:val="0"/>
      <w:marTop w:val="0"/>
      <w:marBottom w:val="0"/>
      <w:divBdr>
        <w:top w:val="none" w:sz="0" w:space="0" w:color="auto"/>
        <w:left w:val="none" w:sz="0" w:space="0" w:color="auto"/>
        <w:bottom w:val="none" w:sz="0" w:space="0" w:color="auto"/>
        <w:right w:val="none" w:sz="0" w:space="0" w:color="auto"/>
      </w:divBdr>
    </w:div>
    <w:div w:id="1665010360">
      <w:bodyDiv w:val="1"/>
      <w:marLeft w:val="0"/>
      <w:marRight w:val="0"/>
      <w:marTop w:val="0"/>
      <w:marBottom w:val="0"/>
      <w:divBdr>
        <w:top w:val="none" w:sz="0" w:space="0" w:color="auto"/>
        <w:left w:val="none" w:sz="0" w:space="0" w:color="auto"/>
        <w:bottom w:val="none" w:sz="0" w:space="0" w:color="auto"/>
        <w:right w:val="none" w:sz="0" w:space="0" w:color="auto"/>
      </w:divBdr>
    </w:div>
    <w:div w:id="1826050222">
      <w:bodyDiv w:val="1"/>
      <w:marLeft w:val="0"/>
      <w:marRight w:val="0"/>
      <w:marTop w:val="0"/>
      <w:marBottom w:val="0"/>
      <w:divBdr>
        <w:top w:val="none" w:sz="0" w:space="0" w:color="auto"/>
        <w:left w:val="none" w:sz="0" w:space="0" w:color="auto"/>
        <w:bottom w:val="none" w:sz="0" w:space="0" w:color="auto"/>
        <w:right w:val="none" w:sz="0" w:space="0" w:color="auto"/>
      </w:divBdr>
    </w:div>
    <w:div w:id="1910115556">
      <w:bodyDiv w:val="1"/>
      <w:marLeft w:val="0"/>
      <w:marRight w:val="0"/>
      <w:marTop w:val="0"/>
      <w:marBottom w:val="0"/>
      <w:divBdr>
        <w:top w:val="none" w:sz="0" w:space="0" w:color="auto"/>
        <w:left w:val="none" w:sz="0" w:space="0" w:color="auto"/>
        <w:bottom w:val="none" w:sz="0" w:space="0" w:color="auto"/>
        <w:right w:val="none" w:sz="0" w:space="0" w:color="auto"/>
      </w:divBdr>
    </w:div>
    <w:div w:id="1959483691">
      <w:bodyDiv w:val="1"/>
      <w:marLeft w:val="0"/>
      <w:marRight w:val="0"/>
      <w:marTop w:val="0"/>
      <w:marBottom w:val="0"/>
      <w:divBdr>
        <w:top w:val="none" w:sz="0" w:space="0" w:color="auto"/>
        <w:left w:val="none" w:sz="0" w:space="0" w:color="auto"/>
        <w:bottom w:val="none" w:sz="0" w:space="0" w:color="auto"/>
        <w:right w:val="none" w:sz="0" w:space="0" w:color="auto"/>
      </w:divBdr>
    </w:div>
    <w:div w:id="1971743160">
      <w:bodyDiv w:val="1"/>
      <w:marLeft w:val="0"/>
      <w:marRight w:val="0"/>
      <w:marTop w:val="0"/>
      <w:marBottom w:val="0"/>
      <w:divBdr>
        <w:top w:val="none" w:sz="0" w:space="0" w:color="auto"/>
        <w:left w:val="none" w:sz="0" w:space="0" w:color="auto"/>
        <w:bottom w:val="none" w:sz="0" w:space="0" w:color="auto"/>
        <w:right w:val="none" w:sz="0" w:space="0" w:color="auto"/>
      </w:divBdr>
    </w:div>
    <w:div w:id="20666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5640/jeds.v13p2"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jemt/2026/v32i1138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C0916-D146-4135-B453-750E854F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5129</Words>
  <Characters>29241</Characters>
  <Application>Microsoft Office Word</Application>
  <DocSecurity>0</DocSecurity>
  <Lines>243</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dc:creator>
  <cp:keywords/>
  <dc:description/>
  <cp:lastModifiedBy>Editor-1183</cp:lastModifiedBy>
  <cp:revision>148</cp:revision>
  <dcterms:created xsi:type="dcterms:W3CDTF">2026-03-04T16:54:00Z</dcterms:created>
  <dcterms:modified xsi:type="dcterms:W3CDTF">2026-03-12T09:26:00Z</dcterms:modified>
</cp:coreProperties>
</file>