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1FDA3" w14:textId="37337328" w:rsidR="00A020D7" w:rsidRPr="00340D8F" w:rsidRDefault="00A020D7" w:rsidP="00A020D7">
      <w:pPr>
        <w:spacing w:before="240" w:line="360" w:lineRule="auto"/>
        <w:jc w:val="right"/>
        <w:rPr>
          <w:rFonts w:ascii="Arial" w:hAnsi="Arial" w:cs="Arial"/>
          <w:b/>
          <w:bCs/>
          <w:sz w:val="32"/>
          <w:szCs w:val="32"/>
        </w:rPr>
      </w:pPr>
      <w:r w:rsidRPr="00340D8F">
        <w:rPr>
          <w:rFonts w:ascii="Arial" w:hAnsi="Arial" w:cs="Arial"/>
          <w:b/>
          <w:bCs/>
          <w:sz w:val="32"/>
          <w:szCs w:val="32"/>
        </w:rPr>
        <w:t>Who Are the Women in Kerala’s Gig Economy? A Socioeconomic and Income-Based Analysis Using Logistic Regression</w:t>
      </w:r>
    </w:p>
    <w:p w14:paraId="60E45F13" w14:textId="473AA0AB" w:rsidR="00A13C84" w:rsidRPr="00340D8F" w:rsidRDefault="00A13C84" w:rsidP="00A13C84">
      <w:pPr>
        <w:spacing w:before="240" w:after="0" w:line="360" w:lineRule="auto"/>
        <w:jc w:val="right"/>
        <w:rPr>
          <w:rFonts w:ascii="Arial" w:hAnsi="Arial" w:cs="Arial"/>
        </w:rPr>
      </w:pPr>
    </w:p>
    <w:p w14:paraId="128387EB" w14:textId="5C69C62C" w:rsidR="005571C5" w:rsidRPr="00340D8F" w:rsidRDefault="0059717B" w:rsidP="00EC22EF">
      <w:pPr>
        <w:spacing w:before="240" w:after="0" w:line="360" w:lineRule="auto"/>
        <w:jc w:val="both"/>
        <w:rPr>
          <w:rFonts w:ascii="Arial" w:hAnsi="Arial" w:cs="Arial"/>
          <w:b/>
          <w:bCs/>
        </w:rPr>
      </w:pPr>
      <w:r w:rsidRPr="00340D8F">
        <w:rPr>
          <w:rFonts w:ascii="Arial" w:hAnsi="Arial" w:cs="Arial"/>
          <w:b/>
          <w:bCs/>
        </w:rPr>
        <w:t>ABSTRACT</w:t>
      </w:r>
    </w:p>
    <w:p w14:paraId="680B01C3" w14:textId="1550E032" w:rsidR="00A34952" w:rsidRPr="00340D8F" w:rsidRDefault="00A34952" w:rsidP="00A34952">
      <w:pPr>
        <w:spacing w:before="240" w:line="360" w:lineRule="auto"/>
        <w:jc w:val="both"/>
        <w:rPr>
          <w:rFonts w:ascii="Arial" w:hAnsi="Arial" w:cs="Arial"/>
          <w:sz w:val="20"/>
          <w:szCs w:val="20"/>
        </w:rPr>
      </w:pPr>
      <w:r w:rsidRPr="00340D8F">
        <w:rPr>
          <w:rFonts w:ascii="Arial" w:hAnsi="Arial" w:cs="Arial"/>
          <w:sz w:val="20"/>
          <w:szCs w:val="20"/>
        </w:rPr>
        <w:t xml:space="preserve">The rapid growth of platform-based employment has significantly transformed labour markets in India, with Kerala offering a distinctive context marked by high social development alongside persistent unemployment challenges. This study investigates the socioeconomic characteristics and income determinants of 300 women participating in Kerala’s gig economy, using primary data collected through snowball sampling. </w:t>
      </w:r>
      <w:r w:rsidR="00BF24E0" w:rsidRPr="00340D8F">
        <w:rPr>
          <w:rFonts w:ascii="Arial" w:hAnsi="Arial" w:cs="Arial"/>
          <w:sz w:val="20"/>
          <w:szCs w:val="20"/>
        </w:rPr>
        <w:t xml:space="preserve">The sample was drawn from three districts, namely Kannur, Ernakulam, and Thiruvananthapuram, representing the northern, central, and southern regions of the state. </w:t>
      </w:r>
      <w:r w:rsidRPr="00340D8F">
        <w:rPr>
          <w:rFonts w:ascii="Arial" w:hAnsi="Arial" w:cs="Arial"/>
          <w:sz w:val="20"/>
          <w:szCs w:val="20"/>
        </w:rPr>
        <w:t>Descriptive statistics, chi-square tests, and binary logistic regression were employed to examine demographic attributes, educational levels, work patterns, and earnings, and to identify the factors influencing higher income levels. The regression model yields a log-likelihood value of −200.48 and a pseudo R² of 0.0344, indicating modest explanatory power. The findings suggest that conventional social identity indicators, such as caste and religion, do not have statistically significant effects on income vulnerability within the estimated model. Instead, income disparities are more closely associated with household composition and spatial location. Women from larger households and those residing in rural areas demonstrate a higher likelihood of experiencing income insecurity. While gig employment expands income-generating opportunities and facilitates women’s labour force participation, earnings remain uneven and precarious. Overall, the study reveals that gig work provides avenues for economic engagement while simultaneously exposing women to structural vulnerabilities and income instability. The findings underscore the importance of inclusive policy measures, strengthened social protection frameworks, and targeted skill development initiatives to enhance income security among women gig workers in Kerala.</w:t>
      </w:r>
    </w:p>
    <w:p w14:paraId="4656FF0E" w14:textId="703EFACE" w:rsidR="005571C5" w:rsidRPr="00340D8F" w:rsidRDefault="005571C5" w:rsidP="00A13C84">
      <w:pPr>
        <w:spacing w:line="360" w:lineRule="auto"/>
        <w:jc w:val="both"/>
        <w:rPr>
          <w:rFonts w:ascii="Arial" w:hAnsi="Arial" w:cs="Arial"/>
          <w:i/>
          <w:iCs/>
          <w:sz w:val="24"/>
          <w:szCs w:val="24"/>
        </w:rPr>
      </w:pPr>
      <w:r w:rsidRPr="00340D8F">
        <w:rPr>
          <w:rFonts w:ascii="Arial" w:hAnsi="Arial" w:cs="Arial"/>
          <w:b/>
          <w:bCs/>
          <w:i/>
          <w:iCs/>
          <w:sz w:val="20"/>
          <w:szCs w:val="20"/>
        </w:rPr>
        <w:t>Keywords</w:t>
      </w:r>
      <w:r w:rsidR="00A020D7" w:rsidRPr="00340D8F">
        <w:rPr>
          <w:rFonts w:ascii="Arial" w:hAnsi="Arial" w:cs="Arial"/>
          <w:sz w:val="20"/>
          <w:szCs w:val="20"/>
        </w:rPr>
        <w:t>: Gig economy, female labour force participation, platform work, logistic regression, gender and work, Kerala</w:t>
      </w:r>
    </w:p>
    <w:p w14:paraId="2EA95ED6" w14:textId="2EA32E57" w:rsidR="00597C15" w:rsidRPr="00340D8F" w:rsidRDefault="0059717B" w:rsidP="00597C15">
      <w:pPr>
        <w:spacing w:before="240" w:line="360" w:lineRule="auto"/>
        <w:jc w:val="both"/>
        <w:rPr>
          <w:rFonts w:ascii="Arial" w:hAnsi="Arial" w:cs="Arial"/>
          <w:b/>
          <w:bCs/>
        </w:rPr>
      </w:pPr>
      <w:r w:rsidRPr="00340D8F">
        <w:rPr>
          <w:rFonts w:ascii="Arial" w:hAnsi="Arial" w:cs="Arial"/>
          <w:b/>
          <w:bCs/>
        </w:rPr>
        <w:t xml:space="preserve">1 INTRODUCTION </w:t>
      </w:r>
    </w:p>
    <w:p w14:paraId="5AA7CC0D" w14:textId="7C148ED9" w:rsidR="00A12230" w:rsidRPr="00340D8F" w:rsidRDefault="00A12230" w:rsidP="00A12230">
      <w:pPr>
        <w:spacing w:before="240" w:line="360" w:lineRule="auto"/>
        <w:jc w:val="both"/>
        <w:rPr>
          <w:rFonts w:ascii="Arial" w:hAnsi="Arial" w:cs="Arial"/>
          <w:sz w:val="20"/>
          <w:szCs w:val="20"/>
        </w:rPr>
      </w:pPr>
      <w:r w:rsidRPr="00340D8F">
        <w:rPr>
          <w:rFonts w:ascii="Arial" w:hAnsi="Arial" w:cs="Arial"/>
          <w:sz w:val="20"/>
          <w:szCs w:val="20"/>
        </w:rPr>
        <w:t xml:space="preserve">The rapid expansion of the gig economy has substantially transformed labour markets across the world, reshaping employment relationships, income security, and the organisation of work. Within contemporary labour market structures, platform-based work has emerged as a flexible and contingent form of employment (Harris, 2017). Characterised by short-term contracts, digitally mediated tasks, and adaptable work schedules, the gig economy is frequently portrayed as a generator of new income opportunities. At the same time, it has been criticised for intensifying precarity and accelerating </w:t>
      </w:r>
      <w:r w:rsidRPr="00340D8F">
        <w:rPr>
          <w:rFonts w:ascii="Arial" w:hAnsi="Arial" w:cs="Arial"/>
          <w:sz w:val="20"/>
          <w:szCs w:val="20"/>
        </w:rPr>
        <w:lastRenderedPageBreak/>
        <w:t>processes of informalisation. This digital transition reflects a broader reconfiguration of work into technologically mediated spaces, where conventional notions of the workplace are increasingly replaced by platform-driven interactions (</w:t>
      </w:r>
      <w:proofErr w:type="spellStart"/>
      <w:r w:rsidRPr="00340D8F">
        <w:rPr>
          <w:rFonts w:ascii="Arial" w:hAnsi="Arial" w:cs="Arial"/>
          <w:sz w:val="20"/>
          <w:szCs w:val="20"/>
        </w:rPr>
        <w:t>Rosca</w:t>
      </w:r>
      <w:proofErr w:type="spellEnd"/>
      <w:r w:rsidRPr="00340D8F">
        <w:rPr>
          <w:rFonts w:ascii="Arial" w:hAnsi="Arial" w:cs="Arial"/>
          <w:sz w:val="20"/>
          <w:szCs w:val="20"/>
        </w:rPr>
        <w:t xml:space="preserve">, 2025). </w:t>
      </w:r>
      <w:r w:rsidR="00455369" w:rsidRPr="00340D8F">
        <w:rPr>
          <w:rFonts w:ascii="Arial" w:hAnsi="Arial" w:cs="Arial"/>
          <w:sz w:val="20"/>
          <w:szCs w:val="20"/>
        </w:rPr>
        <w:t xml:space="preserve">In developing economies such as India, platform-mediated work, including delivery services, beauty and wellness activities, freelancing, and different forms of micro entrepreneurship, has become an important component of urban and semi urban labour markets. This transformation is reshaping conventional employment structures while creating alternative livelihood opportunities for diverse sections of the population. </w:t>
      </w:r>
      <w:r w:rsidRPr="00340D8F">
        <w:rPr>
          <w:rFonts w:ascii="Arial" w:hAnsi="Arial" w:cs="Arial"/>
          <w:sz w:val="20"/>
          <w:szCs w:val="20"/>
        </w:rPr>
        <w:t>For women in particular, digital platforms may offer an alternative to the structural rigidities of the formal sector (Chaudhary, 2021). However, entry into the gig economy is shaped by complex and often unequal conditions. Existing scholarship suggests that although gig work presents a relatively low-barrier entry point for Indian women, socioeconomic background significantly influences the quality, stability, and remuneration of such work (Ghosh et al., 2021). Kerala provides a distinctive context in which to examine these transformations. The state is widely recognised for its high literacy rates, favourable human development indicators, and strong legacy of labour mobilisation. Despite these achievements, Kerala continues to face structural constraints, including high levels of educated unemployment, underemployment, and substantial dependence on remittance income. Against this backdrop, this study addresses a central question: Who are the women participating in Kerala’s gig economy? Through a socioeconomic and income-based analysis, the article examines their demographic characteristics, educational attainment, household profiles, work patterns, and the determinants of income variation.</w:t>
      </w:r>
    </w:p>
    <w:p w14:paraId="10E6CAFE" w14:textId="3942ABA3" w:rsidR="004B081A" w:rsidRPr="00340D8F" w:rsidRDefault="00A12230" w:rsidP="004B081A">
      <w:pPr>
        <w:spacing w:before="240" w:line="360" w:lineRule="auto"/>
        <w:jc w:val="both"/>
        <w:rPr>
          <w:rFonts w:ascii="Arial" w:hAnsi="Arial" w:cs="Arial"/>
          <w:sz w:val="20"/>
          <w:szCs w:val="20"/>
        </w:rPr>
      </w:pPr>
      <w:r w:rsidRPr="00340D8F">
        <w:rPr>
          <w:rFonts w:ascii="Arial" w:hAnsi="Arial" w:cs="Arial"/>
          <w:sz w:val="20"/>
          <w:szCs w:val="20"/>
        </w:rPr>
        <w:t xml:space="preserve">Women’s participation in </w:t>
      </w:r>
      <w:r w:rsidR="00D95B96" w:rsidRPr="00340D8F">
        <w:rPr>
          <w:rFonts w:ascii="Arial" w:hAnsi="Arial" w:cs="Arial"/>
          <w:sz w:val="20"/>
          <w:szCs w:val="20"/>
        </w:rPr>
        <w:t xml:space="preserve">digital platforms and app-based services </w:t>
      </w:r>
      <w:r w:rsidRPr="00340D8F">
        <w:rPr>
          <w:rFonts w:ascii="Arial" w:hAnsi="Arial" w:cs="Arial"/>
          <w:sz w:val="20"/>
          <w:szCs w:val="20"/>
        </w:rPr>
        <w:t xml:space="preserve">merits particular attention, especially given Kerala’s paradoxical combination of high female educational attainment and relatively low female labour force participation. Within this context, the gig economy may simultaneously represent a domain of opportunity and a site of emerging vulnerabilities for women workers. Engagement in gig work typically requires access to digital infrastructure, most notably a smartphone with reliable internet connectivity, and in certain sectors, access to transportation or other productive assets (Sundararajan, 2016; Ramachandran, Singh, &amp; </w:t>
      </w:r>
      <w:proofErr w:type="spellStart"/>
      <w:r w:rsidRPr="00340D8F">
        <w:rPr>
          <w:rFonts w:ascii="Arial" w:hAnsi="Arial" w:cs="Arial"/>
          <w:sz w:val="20"/>
          <w:szCs w:val="20"/>
        </w:rPr>
        <w:t>Narain</w:t>
      </w:r>
      <w:proofErr w:type="spellEnd"/>
      <w:r w:rsidRPr="00340D8F">
        <w:rPr>
          <w:rFonts w:ascii="Arial" w:hAnsi="Arial" w:cs="Arial"/>
          <w:sz w:val="20"/>
          <w:szCs w:val="20"/>
        </w:rPr>
        <w:t>, 2021). Although prior research has examined broader dimensions of platform labour in India, limited empirical attention has been devoted to the state-level socioeconomic profile of women engaged in gig work. Several critical questions remain insufficiently explored: Who are these women? How do their socioeconomic attributes shape income outcomes? Moreover, it remains uncertain whether gig work strengthens women’s economic agency or reproduces existing forms of labour vulnerability within Kerala’s specific socio-economic setting. Addressing these issues is essential for understanding the gendered dynamics of labour market transformation in a state often regarded as a model of social development. Moving beyond descriptive accounts, this study provides statistically grounded evidence on both structural and individual determinants influencing women’s participation in platform-based work.</w:t>
      </w:r>
      <w:r w:rsidR="001A69C3">
        <w:rPr>
          <w:rFonts w:ascii="Arial" w:hAnsi="Arial" w:cs="Arial"/>
          <w:sz w:val="20"/>
          <w:szCs w:val="20"/>
        </w:rPr>
        <w:t xml:space="preserve"> </w:t>
      </w:r>
      <w:r w:rsidRPr="00340D8F">
        <w:rPr>
          <w:rFonts w:ascii="Arial" w:hAnsi="Arial" w:cs="Arial"/>
          <w:sz w:val="20"/>
          <w:szCs w:val="20"/>
        </w:rPr>
        <w:t xml:space="preserve">By identifying the socioeconomic predictors of participation and income variation, the study contributes insights relevant to labour regulation, social protection design, and gender-responsive policy interventions aimed at improving income security and working conditions in non-standard employment. Furthermore, the analysis engages with broader debates on the feminisation of labour, informalisation, and digital transformation by situating women’s gig work within a specific regional development context. </w:t>
      </w:r>
      <w:r w:rsidR="004B081A" w:rsidRPr="00340D8F">
        <w:rPr>
          <w:rFonts w:ascii="Arial" w:hAnsi="Arial" w:cs="Arial"/>
          <w:sz w:val="20"/>
          <w:szCs w:val="20"/>
        </w:rPr>
        <w:t xml:space="preserve">The study contributes to the expanding </w:t>
      </w:r>
      <w:r w:rsidR="004B081A" w:rsidRPr="00340D8F">
        <w:rPr>
          <w:rFonts w:ascii="Arial" w:hAnsi="Arial" w:cs="Arial"/>
          <w:sz w:val="20"/>
          <w:szCs w:val="20"/>
        </w:rPr>
        <w:lastRenderedPageBreak/>
        <w:t xml:space="preserve">empirical literature on women’s engagement in emerging employment forms within high human development contexts. </w:t>
      </w:r>
    </w:p>
    <w:p w14:paraId="422A7CFC" w14:textId="4B05C814" w:rsidR="00D21C33" w:rsidRPr="00340D8F" w:rsidRDefault="00697AE6" w:rsidP="004B081A">
      <w:pPr>
        <w:spacing w:before="240" w:line="360" w:lineRule="auto"/>
        <w:jc w:val="both"/>
        <w:rPr>
          <w:rFonts w:ascii="Arial" w:hAnsi="Arial" w:cs="Arial"/>
          <w:b/>
          <w:bCs/>
        </w:rPr>
      </w:pPr>
      <w:r w:rsidRPr="00340D8F">
        <w:rPr>
          <w:rFonts w:ascii="Arial" w:hAnsi="Arial" w:cs="Arial"/>
          <w:b/>
          <w:bCs/>
        </w:rPr>
        <w:t>2 THEORETICAL PERSPECTIVES OF THE STUDY</w:t>
      </w:r>
    </w:p>
    <w:p w14:paraId="3558365D" w14:textId="2A45D22F" w:rsidR="00E04BB1" w:rsidRPr="00340D8F" w:rsidRDefault="00E04BB1" w:rsidP="00E04BB1">
      <w:pPr>
        <w:spacing w:line="360" w:lineRule="auto"/>
        <w:jc w:val="both"/>
        <w:rPr>
          <w:rFonts w:ascii="Arial" w:hAnsi="Arial" w:cs="Arial"/>
          <w:sz w:val="20"/>
          <w:szCs w:val="20"/>
        </w:rPr>
      </w:pPr>
      <w:r w:rsidRPr="00340D8F">
        <w:rPr>
          <w:rFonts w:ascii="Arial" w:hAnsi="Arial" w:cs="Arial"/>
          <w:sz w:val="20"/>
          <w:szCs w:val="20"/>
        </w:rPr>
        <w:t xml:space="preserve">The study of women’s participation in Kerala’s gig economy is anchored in several interrelated theoretical frameworks that help explain the socioeconomic determinants of engagement and income patterns. The </w:t>
      </w:r>
      <w:proofErr w:type="spellStart"/>
      <w:r w:rsidRPr="00340D8F">
        <w:rPr>
          <w:rFonts w:ascii="Arial" w:hAnsi="Arial" w:cs="Arial"/>
          <w:sz w:val="20"/>
          <w:szCs w:val="20"/>
        </w:rPr>
        <w:t>Labor</w:t>
      </w:r>
      <w:proofErr w:type="spellEnd"/>
      <w:r w:rsidRPr="00340D8F">
        <w:rPr>
          <w:rFonts w:ascii="Arial" w:hAnsi="Arial" w:cs="Arial"/>
          <w:sz w:val="20"/>
          <w:szCs w:val="20"/>
        </w:rPr>
        <w:t xml:space="preserve"> Market Segmentation Theory provides a lens to understand the structural divisions within the workforce, highlighting how women are often concentrated in low-paid, and flexible forms of employment, such as gig work, due to systemic barriers in the formal labour market (Doeringer &amp; </w:t>
      </w:r>
      <w:proofErr w:type="spellStart"/>
      <w:r w:rsidRPr="00340D8F">
        <w:rPr>
          <w:rFonts w:ascii="Arial" w:hAnsi="Arial" w:cs="Arial"/>
          <w:sz w:val="20"/>
          <w:szCs w:val="20"/>
        </w:rPr>
        <w:t>Piore</w:t>
      </w:r>
      <w:proofErr w:type="spellEnd"/>
      <w:r w:rsidRPr="00340D8F">
        <w:rPr>
          <w:rFonts w:ascii="Arial" w:hAnsi="Arial" w:cs="Arial"/>
          <w:sz w:val="20"/>
          <w:szCs w:val="20"/>
        </w:rPr>
        <w:t>, 1971). This perspective is particularly relevant in Kerala, where high female literacy coexists with limited access to stable employment opportunities, leading many women to seek gig work as an alternative income source. The study draws on Human Capital Theory, which emphasizes the role of education, skills, and training in shaping employment outcomes and earnings (Becker, 1964). Women with higher education or specific digital competencies are likely to have better access to higher-paying gig opportunities, reflecting the intersection of human capital and income vulnerability. In addition, Capability Approach perspectives (Sen, 1999) are relevant in understanding how women’s freedoms, choices, and agency affect their engagement in gig work, as access to technology, time, and supportive networks shape their ability to participate effectively in these flexible labour markets.</w:t>
      </w:r>
    </w:p>
    <w:p w14:paraId="6CDC9305" w14:textId="44790C0A" w:rsidR="00E04BB1" w:rsidRPr="00340D8F" w:rsidRDefault="00E04BB1" w:rsidP="00E04BB1">
      <w:pPr>
        <w:spacing w:line="360" w:lineRule="auto"/>
        <w:jc w:val="both"/>
        <w:rPr>
          <w:rFonts w:ascii="Arial" w:hAnsi="Arial" w:cs="Arial"/>
          <w:sz w:val="20"/>
          <w:szCs w:val="20"/>
        </w:rPr>
      </w:pPr>
      <w:r w:rsidRPr="00340D8F">
        <w:rPr>
          <w:rFonts w:ascii="Arial" w:hAnsi="Arial" w:cs="Arial"/>
          <w:sz w:val="20"/>
          <w:szCs w:val="20"/>
        </w:rPr>
        <w:t xml:space="preserve">The </w:t>
      </w:r>
      <w:r w:rsidR="004B56CE">
        <w:rPr>
          <w:rFonts w:ascii="Arial" w:hAnsi="Arial" w:cs="Arial"/>
          <w:sz w:val="20"/>
          <w:szCs w:val="20"/>
        </w:rPr>
        <w:t>paper</w:t>
      </w:r>
      <w:r w:rsidRPr="00340D8F">
        <w:rPr>
          <w:rFonts w:ascii="Arial" w:hAnsi="Arial" w:cs="Arial"/>
          <w:sz w:val="20"/>
          <w:szCs w:val="20"/>
        </w:rPr>
        <w:t xml:space="preserve"> incorporates insights from Feminist Economics, which foregrounds gendered dimensions of labour, highlighting how unpaid care responsibilities, social norms, and gender-based discrimination influence women’s participation in non-traditional work sectors like the gig economy (Elson, 1999). This framework helps interpret why, despite the availability of gig platforms, women’s economic outcomes remain constrained by structural and cultural factors. The study also employs Income Vulnerability and Risk Theory, which underscores how irregular earnings, lack of social protection, and exposure to economic shocks shape income security (Chakrabarti, 2006). By integrating this perspective, the study examines not only the determinants of gig participation but also the factors affecting income stability among women gig workers. Social Network Theory further complements this analysis by highlighting how informal networks and peer connections influence access to gig opportunities, information about platforms, and support mechanisms, particularly in contexts where formal employment channels are limited. Collectively, these theoretical perspectives provide a comprehensive framework for analysing how socioeconomic factors, gender dynamics, and structural labour market conditions influence women’s engagement in Kerala’s gig economy. They also guide the application of logistic regression to empirically examine the predictors of gig participation and income vulnerability, ensuring a nuanced understanding of both opportunity and risk in the women’s gig labour experience.</w:t>
      </w:r>
    </w:p>
    <w:p w14:paraId="2EEFD256" w14:textId="77777777" w:rsidR="00697AE6" w:rsidRPr="00340D8F" w:rsidRDefault="00697AE6" w:rsidP="00E04BB1">
      <w:pPr>
        <w:spacing w:line="360" w:lineRule="auto"/>
        <w:jc w:val="both"/>
        <w:rPr>
          <w:rFonts w:ascii="Arial" w:hAnsi="Arial" w:cs="Arial"/>
          <w:sz w:val="20"/>
          <w:szCs w:val="20"/>
        </w:rPr>
      </w:pPr>
    </w:p>
    <w:p w14:paraId="72AA2FB2" w14:textId="3CE88626" w:rsidR="00403910" w:rsidRPr="00340D8F" w:rsidRDefault="00E04BB1" w:rsidP="00697AE6">
      <w:pPr>
        <w:spacing w:before="240" w:line="360" w:lineRule="auto"/>
        <w:jc w:val="both"/>
        <w:rPr>
          <w:rFonts w:ascii="Arial" w:hAnsi="Arial" w:cs="Arial"/>
          <w:b/>
          <w:bCs/>
        </w:rPr>
      </w:pPr>
      <w:r w:rsidRPr="00340D8F">
        <w:rPr>
          <w:rFonts w:ascii="Arial" w:hAnsi="Arial" w:cs="Arial"/>
          <w:b/>
          <w:bCs/>
        </w:rPr>
        <w:t>3</w:t>
      </w:r>
      <w:r w:rsidR="0059717B" w:rsidRPr="00340D8F">
        <w:rPr>
          <w:rFonts w:ascii="Arial" w:hAnsi="Arial" w:cs="Arial"/>
          <w:b/>
          <w:bCs/>
        </w:rPr>
        <w:t xml:space="preserve"> REVIEW OF LITERATURE</w:t>
      </w:r>
    </w:p>
    <w:p w14:paraId="5CDC41B8" w14:textId="5007D950" w:rsidR="00D21C33" w:rsidRPr="00340D8F" w:rsidRDefault="00D21C33" w:rsidP="00D21C33">
      <w:pPr>
        <w:spacing w:line="360" w:lineRule="auto"/>
        <w:jc w:val="both"/>
        <w:rPr>
          <w:rFonts w:ascii="Arial" w:hAnsi="Arial" w:cs="Arial"/>
          <w:sz w:val="20"/>
          <w:szCs w:val="20"/>
        </w:rPr>
      </w:pPr>
      <w:r w:rsidRPr="00340D8F">
        <w:rPr>
          <w:rFonts w:ascii="Arial" w:hAnsi="Arial" w:cs="Arial"/>
          <w:sz w:val="20"/>
          <w:szCs w:val="20"/>
        </w:rPr>
        <w:t xml:space="preserve">The rapid global expansion of platform-mediated work has significantly reshaped labour markets, creating new opportunities while introducing complex challenges, particularly for women (Rani, </w:t>
      </w:r>
      <w:proofErr w:type="spellStart"/>
      <w:r w:rsidRPr="00340D8F">
        <w:rPr>
          <w:rFonts w:ascii="Arial" w:hAnsi="Arial" w:cs="Arial"/>
          <w:sz w:val="20"/>
          <w:szCs w:val="20"/>
        </w:rPr>
        <w:t>Dhir</w:t>
      </w:r>
      <w:proofErr w:type="spellEnd"/>
      <w:r w:rsidRPr="00340D8F">
        <w:rPr>
          <w:rFonts w:ascii="Arial" w:hAnsi="Arial" w:cs="Arial"/>
          <w:sz w:val="20"/>
          <w:szCs w:val="20"/>
        </w:rPr>
        <w:t xml:space="preserve">, &amp; </w:t>
      </w:r>
      <w:proofErr w:type="spellStart"/>
      <w:r w:rsidRPr="00340D8F">
        <w:rPr>
          <w:rFonts w:ascii="Arial" w:hAnsi="Arial" w:cs="Arial"/>
          <w:sz w:val="20"/>
          <w:szCs w:val="20"/>
        </w:rPr>
        <w:lastRenderedPageBreak/>
        <w:t>Gobel</w:t>
      </w:r>
      <w:proofErr w:type="spellEnd"/>
      <w:r w:rsidRPr="00340D8F">
        <w:rPr>
          <w:rFonts w:ascii="Arial" w:hAnsi="Arial" w:cs="Arial"/>
          <w:sz w:val="20"/>
          <w:szCs w:val="20"/>
        </w:rPr>
        <w:t xml:space="preserve">, 2022). </w:t>
      </w:r>
      <w:r w:rsidR="004B56CE" w:rsidRPr="004B56CE">
        <w:rPr>
          <w:rFonts w:ascii="Arial" w:hAnsi="Arial" w:cs="Arial"/>
          <w:sz w:val="20"/>
          <w:szCs w:val="20"/>
        </w:rPr>
        <w:t xml:space="preserve">Existing studies underline the dual nature of gig work. Although digital platforms expand labour market access by offering flexibility, autonomy, and low entry barriers, they also </w:t>
      </w:r>
      <w:r w:rsidR="004B56CE">
        <w:rPr>
          <w:rFonts w:ascii="Arial" w:hAnsi="Arial" w:cs="Arial"/>
          <w:sz w:val="20"/>
          <w:szCs w:val="20"/>
        </w:rPr>
        <w:t>intensify</w:t>
      </w:r>
      <w:r w:rsidR="004B56CE" w:rsidRPr="004B56CE">
        <w:rPr>
          <w:rFonts w:ascii="Arial" w:hAnsi="Arial" w:cs="Arial"/>
          <w:sz w:val="20"/>
          <w:szCs w:val="20"/>
        </w:rPr>
        <w:t xml:space="preserve"> economic insecurity due to limited social protection and persistent gender disparities (Rani &amp; </w:t>
      </w:r>
      <w:proofErr w:type="spellStart"/>
      <w:r w:rsidR="004B56CE" w:rsidRPr="004B56CE">
        <w:rPr>
          <w:rFonts w:ascii="Arial" w:hAnsi="Arial" w:cs="Arial"/>
          <w:sz w:val="20"/>
          <w:szCs w:val="20"/>
        </w:rPr>
        <w:t>Furrer</w:t>
      </w:r>
      <w:proofErr w:type="spellEnd"/>
      <w:r w:rsidR="004B56CE" w:rsidRPr="004B56CE">
        <w:rPr>
          <w:rFonts w:ascii="Arial" w:hAnsi="Arial" w:cs="Arial"/>
          <w:sz w:val="20"/>
          <w:szCs w:val="20"/>
        </w:rPr>
        <w:t>, 2021).</w:t>
      </w:r>
      <w:r w:rsidR="004B56CE">
        <w:rPr>
          <w:rFonts w:ascii="Arial" w:hAnsi="Arial" w:cs="Arial"/>
          <w:sz w:val="20"/>
          <w:szCs w:val="20"/>
        </w:rPr>
        <w:t xml:space="preserve"> </w:t>
      </w:r>
      <w:r w:rsidRPr="00340D8F">
        <w:rPr>
          <w:rFonts w:ascii="Arial" w:hAnsi="Arial" w:cs="Arial"/>
          <w:sz w:val="20"/>
          <w:szCs w:val="20"/>
        </w:rPr>
        <w:t xml:space="preserve">Women gig workers frequently face weak regulatory safeguards, inadequate grievance redressal mechanisms, and heightened exposure to harassment and discrimination (Leela et al., 2025). In the Indian context, the gig economy represents a notable transformation in organizational commitment and worker benefits (Agrawal &amp; </w:t>
      </w:r>
      <w:proofErr w:type="spellStart"/>
      <w:r w:rsidRPr="00340D8F">
        <w:rPr>
          <w:rFonts w:ascii="Arial" w:hAnsi="Arial" w:cs="Arial"/>
          <w:sz w:val="20"/>
          <w:szCs w:val="20"/>
        </w:rPr>
        <w:t>Bhukya</w:t>
      </w:r>
      <w:proofErr w:type="spellEnd"/>
      <w:r w:rsidRPr="00340D8F">
        <w:rPr>
          <w:rFonts w:ascii="Arial" w:hAnsi="Arial" w:cs="Arial"/>
          <w:sz w:val="20"/>
          <w:szCs w:val="20"/>
        </w:rPr>
        <w:t xml:space="preserve">, 2022). For women in India, participation in the gig economy represents not merely a technological shift but a social one, with income outcomes often influenced by social capital and demographic characteristics (Verma, 2025). According to NITI Aayog (2022), the gig economy in India employed approximately 7.7 million people during 2020–21, representing roughly 2.6% of the non-agricultural workforce and 1.5% of the total labour force. Projections suggest that the gig workforce could grow to nearly 23.5 million by 2029–30, accounting for 6.7% of the non-agricultural sector and 4.1% of the total workforce. Despite the initial promise of flexibility, concerns about sustainability persist. </w:t>
      </w:r>
      <w:r w:rsidR="00DD20FD">
        <w:rPr>
          <w:rFonts w:ascii="Arial" w:hAnsi="Arial" w:cs="Arial"/>
          <w:sz w:val="20"/>
          <w:szCs w:val="20"/>
        </w:rPr>
        <w:t>T</w:t>
      </w:r>
      <w:r w:rsidRPr="00340D8F">
        <w:rPr>
          <w:rFonts w:ascii="Arial" w:hAnsi="Arial" w:cs="Arial"/>
          <w:sz w:val="20"/>
          <w:szCs w:val="20"/>
        </w:rPr>
        <w:t>here is a growing trend of attrition among women in developing economies’ gig workforce, attributed to systemic barriers and inadequate long-term social security provisions (</w:t>
      </w:r>
      <w:proofErr w:type="spellStart"/>
      <w:r w:rsidR="00110184" w:rsidRPr="00340D8F">
        <w:rPr>
          <w:rFonts w:ascii="Arial" w:hAnsi="Arial" w:cs="Arial"/>
          <w:sz w:val="20"/>
          <w:szCs w:val="20"/>
        </w:rPr>
        <w:t>Kasliwal</w:t>
      </w:r>
      <w:proofErr w:type="spellEnd"/>
      <w:r w:rsidR="00110184" w:rsidRPr="00340D8F">
        <w:rPr>
          <w:rFonts w:ascii="Arial" w:hAnsi="Arial" w:cs="Arial"/>
          <w:sz w:val="20"/>
          <w:szCs w:val="20"/>
        </w:rPr>
        <w:t xml:space="preserve">, 2020; </w:t>
      </w:r>
      <w:r w:rsidRPr="00340D8F">
        <w:rPr>
          <w:rFonts w:ascii="Arial" w:hAnsi="Arial" w:cs="Arial"/>
          <w:sz w:val="20"/>
          <w:szCs w:val="20"/>
        </w:rPr>
        <w:t xml:space="preserve">Raj &amp; Yadav, 2026). Studies document algorithmic biases, income volatility, occupational segregation, and restricted access to higher-paying tasks (Katz &amp; Krueger, 2019). Furthermore, reliance on informal financial arrangements, limited insurance coverage, and structural gender inequalities constrain women’s ability to accumulate assets and achieve long-term economic security (Joseph, 2021; Mehta, 2023). In developing countries, disparities in digital infrastructure and literacy further intensify these vulnerabilities (Liang et al., 2018). Beyond income instability, emerging evidence points to adverse health and well-being outcomes associated with occupational stress and inadequate access to healthcare among women platform workers (Sen &amp; </w:t>
      </w:r>
      <w:proofErr w:type="spellStart"/>
      <w:r w:rsidRPr="00340D8F">
        <w:rPr>
          <w:rFonts w:ascii="Arial" w:hAnsi="Arial" w:cs="Arial"/>
          <w:sz w:val="20"/>
          <w:szCs w:val="20"/>
        </w:rPr>
        <w:t>Kalita</w:t>
      </w:r>
      <w:proofErr w:type="spellEnd"/>
      <w:r w:rsidRPr="00340D8F">
        <w:rPr>
          <w:rFonts w:ascii="Arial" w:hAnsi="Arial" w:cs="Arial"/>
          <w:sz w:val="20"/>
          <w:szCs w:val="20"/>
        </w:rPr>
        <w:t>, 2025).</w:t>
      </w:r>
    </w:p>
    <w:p w14:paraId="222DB12B" w14:textId="77777777" w:rsidR="00DD20FD" w:rsidRPr="00DD20FD" w:rsidRDefault="00D21C33" w:rsidP="00DD20FD">
      <w:pPr>
        <w:spacing w:line="360" w:lineRule="auto"/>
        <w:jc w:val="both"/>
        <w:rPr>
          <w:rFonts w:ascii="Arial" w:hAnsi="Arial" w:cs="Arial"/>
          <w:sz w:val="20"/>
          <w:szCs w:val="20"/>
        </w:rPr>
      </w:pPr>
      <w:r w:rsidRPr="00340D8F">
        <w:rPr>
          <w:rFonts w:ascii="Arial" w:hAnsi="Arial" w:cs="Arial"/>
          <w:sz w:val="20"/>
          <w:szCs w:val="20"/>
        </w:rPr>
        <w:t>In India, where female labour force participation remains comparatively low, policy initiatives such as those proposed by NITI Aayog (2022) have encouraged women’s engagement in platform work. Scholars argue that digital platforms necessitate a "relational work perspective," especially in creative or service-oriented roles, where building a digital reputation is essential (</w:t>
      </w:r>
      <w:proofErr w:type="spellStart"/>
      <w:r w:rsidRPr="00340D8F">
        <w:rPr>
          <w:rFonts w:ascii="Arial" w:hAnsi="Arial" w:cs="Arial"/>
          <w:sz w:val="20"/>
          <w:szCs w:val="20"/>
        </w:rPr>
        <w:t>Alacovska</w:t>
      </w:r>
      <w:proofErr w:type="spellEnd"/>
      <w:r w:rsidRPr="00340D8F">
        <w:rPr>
          <w:rFonts w:ascii="Arial" w:hAnsi="Arial" w:cs="Arial"/>
          <w:sz w:val="20"/>
          <w:szCs w:val="20"/>
        </w:rPr>
        <w:t xml:space="preserve"> et al., 2024). </w:t>
      </w:r>
      <w:r w:rsidR="006926B6" w:rsidRPr="00340D8F">
        <w:rPr>
          <w:rFonts w:ascii="Arial" w:hAnsi="Arial" w:cs="Arial"/>
          <w:sz w:val="20"/>
          <w:szCs w:val="20"/>
        </w:rPr>
        <w:t>Women are often drawn to gig work because it appears to offer flexibility, especially in managing unpaid care responsibilities. However, this perceived flexibility is commonly accompanied by unstable earnings and restricted prospects for upward mobility</w:t>
      </w:r>
      <w:r w:rsidRPr="00340D8F">
        <w:rPr>
          <w:rFonts w:ascii="Arial" w:hAnsi="Arial" w:cs="Arial"/>
          <w:sz w:val="20"/>
          <w:szCs w:val="20"/>
        </w:rPr>
        <w:t>. Kerala provides a distinctive socio-economic context to examine the gendered dimensions of gig employment. The “Kerala model” literature emphasizes the state’s achievements in human development, social equity, and participatory governance despite modest per capita income levels (</w:t>
      </w:r>
      <w:proofErr w:type="spellStart"/>
      <w:r w:rsidRPr="00340D8F">
        <w:rPr>
          <w:rFonts w:ascii="Arial" w:hAnsi="Arial" w:cs="Arial"/>
          <w:sz w:val="20"/>
          <w:szCs w:val="20"/>
        </w:rPr>
        <w:t>Parayil</w:t>
      </w:r>
      <w:proofErr w:type="spellEnd"/>
      <w:r w:rsidRPr="00340D8F">
        <w:rPr>
          <w:rFonts w:ascii="Arial" w:hAnsi="Arial" w:cs="Arial"/>
          <w:sz w:val="20"/>
          <w:szCs w:val="20"/>
        </w:rPr>
        <w:t xml:space="preserve">, 1996; Kannan et al., 1991; </w:t>
      </w:r>
      <w:proofErr w:type="spellStart"/>
      <w:r w:rsidRPr="00340D8F">
        <w:rPr>
          <w:rFonts w:ascii="Arial" w:hAnsi="Arial" w:cs="Arial"/>
          <w:sz w:val="20"/>
          <w:szCs w:val="20"/>
        </w:rPr>
        <w:t>Oommen</w:t>
      </w:r>
      <w:proofErr w:type="spellEnd"/>
      <w:r w:rsidRPr="00340D8F">
        <w:rPr>
          <w:rFonts w:ascii="Arial" w:hAnsi="Arial" w:cs="Arial"/>
          <w:sz w:val="20"/>
          <w:szCs w:val="20"/>
        </w:rPr>
        <w:t>, 2008). Nevertheless, the expansion of informal and digitally mediated employment indicates that high literacy and favourable gender development indicators do not automatically protect women from labour market vulnerabilities. Empirical studies from Kerala and other parts of India reveal pronounced gender disparities in income stability, access to social security, and asset accumulation among gig workers (</w:t>
      </w:r>
      <w:proofErr w:type="spellStart"/>
      <w:r w:rsidR="00110184" w:rsidRPr="00340D8F">
        <w:rPr>
          <w:rFonts w:ascii="Arial" w:hAnsi="Arial" w:cs="Arial"/>
          <w:sz w:val="20"/>
          <w:szCs w:val="20"/>
        </w:rPr>
        <w:t>Karunakaran</w:t>
      </w:r>
      <w:proofErr w:type="spellEnd"/>
      <w:r w:rsidR="00110184" w:rsidRPr="00340D8F">
        <w:rPr>
          <w:rFonts w:ascii="Arial" w:hAnsi="Arial" w:cs="Arial"/>
          <w:sz w:val="20"/>
          <w:szCs w:val="20"/>
        </w:rPr>
        <w:t>, 2025)</w:t>
      </w:r>
      <w:r w:rsidRPr="00340D8F">
        <w:rPr>
          <w:rFonts w:ascii="Arial" w:hAnsi="Arial" w:cs="Arial"/>
          <w:sz w:val="20"/>
          <w:szCs w:val="20"/>
        </w:rPr>
        <w:t>. For example, a recent study in Malappuram district using logistic regression found that irregular income, lack of social security coverage, household responsibilities, and limited digital skills significantly increased the likelihood of adverse work conditions (</w:t>
      </w:r>
      <w:proofErr w:type="spellStart"/>
      <w:r w:rsidRPr="00340D8F">
        <w:rPr>
          <w:rFonts w:ascii="Arial" w:hAnsi="Arial" w:cs="Arial"/>
          <w:sz w:val="20"/>
          <w:szCs w:val="20"/>
        </w:rPr>
        <w:t>Chengodan</w:t>
      </w:r>
      <w:proofErr w:type="spellEnd"/>
      <w:r w:rsidRPr="00340D8F">
        <w:rPr>
          <w:rFonts w:ascii="Arial" w:hAnsi="Arial" w:cs="Arial"/>
          <w:sz w:val="20"/>
          <w:szCs w:val="20"/>
        </w:rPr>
        <w:t xml:space="preserve"> &amp; </w:t>
      </w:r>
      <w:proofErr w:type="spellStart"/>
      <w:r w:rsidRPr="00340D8F">
        <w:rPr>
          <w:rFonts w:ascii="Arial" w:hAnsi="Arial" w:cs="Arial"/>
          <w:sz w:val="20"/>
          <w:szCs w:val="20"/>
        </w:rPr>
        <w:t>Jamsheer</w:t>
      </w:r>
      <w:proofErr w:type="spellEnd"/>
      <w:r w:rsidRPr="00340D8F">
        <w:rPr>
          <w:rFonts w:ascii="Arial" w:hAnsi="Arial" w:cs="Arial"/>
          <w:sz w:val="20"/>
          <w:szCs w:val="20"/>
        </w:rPr>
        <w:t xml:space="preserve">, 2025). While existing </w:t>
      </w:r>
      <w:r w:rsidRPr="00340D8F">
        <w:rPr>
          <w:rFonts w:ascii="Arial" w:hAnsi="Arial" w:cs="Arial"/>
          <w:sz w:val="20"/>
          <w:szCs w:val="20"/>
        </w:rPr>
        <w:lastRenderedPageBreak/>
        <w:t xml:space="preserve">scholarship offers valuable descriptive insights into women’s experiences in the gig economy, rigorous quantitative analyses identifying socioeconomic and income-based determinants of participation remain limited, particularly in Kerala. </w:t>
      </w:r>
      <w:r w:rsidR="00DD20FD" w:rsidRPr="00DD20FD">
        <w:rPr>
          <w:rFonts w:ascii="Arial" w:hAnsi="Arial" w:cs="Arial"/>
          <w:sz w:val="20"/>
          <w:szCs w:val="20"/>
        </w:rPr>
        <w:t>To address this gap, the study employs a logistic regression model to analyse the socioeconomic characteristics and income determinants of women gig workers in Kerala, generating context-specific evidence to guide gender-responsive policy formulation.</w:t>
      </w:r>
    </w:p>
    <w:p w14:paraId="77785FA8" w14:textId="4DF27970" w:rsidR="00DB5CC8" w:rsidRPr="00340D8F" w:rsidRDefault="007B29F0" w:rsidP="00DD20FD">
      <w:pPr>
        <w:spacing w:line="360" w:lineRule="auto"/>
        <w:jc w:val="both"/>
        <w:rPr>
          <w:rFonts w:ascii="Arial" w:hAnsi="Arial" w:cs="Arial"/>
          <w:b/>
          <w:bCs/>
        </w:rPr>
      </w:pPr>
      <w:r w:rsidRPr="00340D8F">
        <w:rPr>
          <w:rFonts w:ascii="Arial" w:hAnsi="Arial" w:cs="Arial"/>
          <w:b/>
          <w:bCs/>
        </w:rPr>
        <w:t>4</w:t>
      </w:r>
      <w:r w:rsidR="0059717B" w:rsidRPr="00340D8F">
        <w:rPr>
          <w:rFonts w:ascii="Arial" w:hAnsi="Arial" w:cs="Arial"/>
          <w:b/>
          <w:bCs/>
        </w:rPr>
        <w:t xml:space="preserve"> METHODOLOGY</w:t>
      </w:r>
    </w:p>
    <w:p w14:paraId="0089B0CA" w14:textId="3E51ECE2" w:rsidR="007B29F0" w:rsidRPr="00340D8F" w:rsidRDefault="007B29F0" w:rsidP="007B29F0">
      <w:pPr>
        <w:spacing w:before="240" w:after="0" w:line="360" w:lineRule="auto"/>
        <w:jc w:val="both"/>
        <w:rPr>
          <w:rFonts w:ascii="Arial" w:hAnsi="Arial" w:cs="Arial"/>
          <w:sz w:val="20"/>
          <w:szCs w:val="20"/>
        </w:rPr>
      </w:pPr>
      <w:r w:rsidRPr="00340D8F">
        <w:rPr>
          <w:rFonts w:ascii="Arial" w:hAnsi="Arial" w:cs="Arial"/>
          <w:sz w:val="20"/>
          <w:szCs w:val="20"/>
        </w:rPr>
        <w:t xml:space="preserve">This study employed a cross-sectional quantitative research design to examine the socio-economic characteristics of women engaged in gig employment in Kerala and to identify the key factors influencing their participation and income levels. Primary data were collected from 300 women across the three districts of Kannur, Ernakulam, and Thiruvananthapuram using a snowball sampling technique. This approach was particularly effective for reaching a dispersed and hard to access population within the gig economy. The analysis utilized a binary logistic regression model to investigate the determinants of socio-economic outcomes. This method allowed the estimation of the probability of achieving relatively favourable economic conditions based on a set of explanatory socio-economic variables, while also highlighting statistically significant factors affecting women’s financial positions within the gig sector. Complementing this, chi-square tests were conducted to examine associations between categorical variables, thereby providing insights into the relationships among key socio-demographic factors. </w:t>
      </w:r>
      <w:r w:rsidR="004B4ECD" w:rsidRPr="00340D8F">
        <w:rPr>
          <w:rFonts w:ascii="Arial" w:hAnsi="Arial" w:cs="Arial"/>
          <w:sz w:val="20"/>
          <w:szCs w:val="20"/>
        </w:rPr>
        <w:t xml:space="preserve">Descriptive statistics such as measures of central tendency (mean), measures of dispersion (standard deviation), and the range (minimum and maximum values) were calculated to summarize the characteristics of the dataset and to create a detailed profile of the sampled population. </w:t>
      </w:r>
      <w:r w:rsidRPr="00340D8F">
        <w:rPr>
          <w:rFonts w:ascii="Arial" w:hAnsi="Arial" w:cs="Arial"/>
          <w:sz w:val="20"/>
          <w:szCs w:val="20"/>
        </w:rPr>
        <w:t>In addition, bar diagrams were employed to visually depict prominent trends and patterns, enhancing the interpretability of the findings. Collectively, these methodological approaches ensured a robust and systematic evaluation of the socio-economic determinants of women’s engagement in Kerala’s gig economy.</w:t>
      </w:r>
    </w:p>
    <w:p w14:paraId="68E4159D" w14:textId="575295E7" w:rsidR="007601BD" w:rsidRPr="00340D8F" w:rsidRDefault="00697AE6" w:rsidP="00DB5CC8">
      <w:pPr>
        <w:spacing w:before="240" w:after="0" w:line="360" w:lineRule="auto"/>
        <w:jc w:val="both"/>
        <w:rPr>
          <w:rFonts w:ascii="Arial" w:hAnsi="Arial" w:cs="Arial"/>
          <w:b/>
          <w:bCs/>
        </w:rPr>
      </w:pPr>
      <w:r w:rsidRPr="00340D8F">
        <w:rPr>
          <w:rFonts w:ascii="Arial" w:hAnsi="Arial" w:cs="Arial"/>
          <w:b/>
          <w:bCs/>
        </w:rPr>
        <w:t>4</w:t>
      </w:r>
      <w:r w:rsidR="009E7CF5" w:rsidRPr="00340D8F">
        <w:rPr>
          <w:rFonts w:ascii="Arial" w:hAnsi="Arial" w:cs="Arial"/>
          <w:b/>
          <w:bCs/>
        </w:rPr>
        <w:t>.1 Data</w:t>
      </w:r>
    </w:p>
    <w:p w14:paraId="1E78830F" w14:textId="67F97942" w:rsidR="00005A0F" w:rsidRPr="00340D8F" w:rsidRDefault="00A020D7" w:rsidP="00A020D7">
      <w:pPr>
        <w:spacing w:before="240" w:line="360" w:lineRule="auto"/>
        <w:jc w:val="both"/>
        <w:rPr>
          <w:rFonts w:ascii="Arial" w:hAnsi="Arial" w:cs="Arial"/>
          <w:sz w:val="20"/>
          <w:szCs w:val="20"/>
        </w:rPr>
      </w:pPr>
      <w:r w:rsidRPr="00340D8F">
        <w:rPr>
          <w:rFonts w:ascii="Arial" w:hAnsi="Arial" w:cs="Arial"/>
          <w:sz w:val="20"/>
          <w:szCs w:val="20"/>
        </w:rPr>
        <w:t xml:space="preserve">A multi-stage sampling framework was employed for this investigation. Primary data were obtained from three purposively selected districts of Kerala; namely: Kannur, Ernakulam, and Thiruvananthapuram, chosen to reflect regional variation. Within these districts, respondents were drawn from selected taluks: </w:t>
      </w:r>
      <w:proofErr w:type="spellStart"/>
      <w:r w:rsidRPr="00340D8F">
        <w:rPr>
          <w:rFonts w:ascii="Arial" w:hAnsi="Arial" w:cs="Arial"/>
          <w:sz w:val="20"/>
          <w:szCs w:val="20"/>
        </w:rPr>
        <w:t>Thalassery</w:t>
      </w:r>
      <w:proofErr w:type="spellEnd"/>
      <w:r w:rsidRPr="00340D8F">
        <w:rPr>
          <w:rFonts w:ascii="Arial" w:hAnsi="Arial" w:cs="Arial"/>
          <w:sz w:val="20"/>
          <w:szCs w:val="20"/>
        </w:rPr>
        <w:t xml:space="preserve">, </w:t>
      </w:r>
      <w:proofErr w:type="spellStart"/>
      <w:r w:rsidRPr="00340D8F">
        <w:rPr>
          <w:rFonts w:ascii="Arial" w:hAnsi="Arial" w:cs="Arial"/>
          <w:sz w:val="20"/>
          <w:szCs w:val="20"/>
        </w:rPr>
        <w:t>Taliparamba</w:t>
      </w:r>
      <w:proofErr w:type="spellEnd"/>
      <w:r w:rsidRPr="00340D8F">
        <w:rPr>
          <w:rFonts w:ascii="Arial" w:hAnsi="Arial" w:cs="Arial"/>
          <w:sz w:val="20"/>
          <w:szCs w:val="20"/>
        </w:rPr>
        <w:t xml:space="preserve">, and </w:t>
      </w:r>
      <w:proofErr w:type="spellStart"/>
      <w:r w:rsidRPr="00340D8F">
        <w:rPr>
          <w:rFonts w:ascii="Arial" w:hAnsi="Arial" w:cs="Arial"/>
          <w:sz w:val="20"/>
          <w:szCs w:val="20"/>
        </w:rPr>
        <w:t>Iritty</w:t>
      </w:r>
      <w:proofErr w:type="spellEnd"/>
      <w:r w:rsidRPr="00340D8F">
        <w:rPr>
          <w:rFonts w:ascii="Arial" w:hAnsi="Arial" w:cs="Arial"/>
          <w:sz w:val="20"/>
          <w:szCs w:val="20"/>
        </w:rPr>
        <w:t xml:space="preserve"> (Kannur); </w:t>
      </w:r>
      <w:proofErr w:type="spellStart"/>
      <w:r w:rsidRPr="00340D8F">
        <w:rPr>
          <w:rFonts w:ascii="Arial" w:hAnsi="Arial" w:cs="Arial"/>
          <w:sz w:val="20"/>
          <w:szCs w:val="20"/>
        </w:rPr>
        <w:t>Paravur</w:t>
      </w:r>
      <w:proofErr w:type="spellEnd"/>
      <w:r w:rsidRPr="00340D8F">
        <w:rPr>
          <w:rFonts w:ascii="Arial" w:hAnsi="Arial" w:cs="Arial"/>
          <w:sz w:val="20"/>
          <w:szCs w:val="20"/>
        </w:rPr>
        <w:t xml:space="preserve">, </w:t>
      </w:r>
      <w:proofErr w:type="spellStart"/>
      <w:r w:rsidRPr="00340D8F">
        <w:rPr>
          <w:rFonts w:ascii="Arial" w:hAnsi="Arial" w:cs="Arial"/>
          <w:sz w:val="20"/>
          <w:szCs w:val="20"/>
        </w:rPr>
        <w:t>Kunnathunad</w:t>
      </w:r>
      <w:proofErr w:type="spellEnd"/>
      <w:r w:rsidRPr="00340D8F">
        <w:rPr>
          <w:rFonts w:ascii="Arial" w:hAnsi="Arial" w:cs="Arial"/>
          <w:sz w:val="20"/>
          <w:szCs w:val="20"/>
        </w:rPr>
        <w:t xml:space="preserve">, and </w:t>
      </w:r>
      <w:proofErr w:type="spellStart"/>
      <w:r w:rsidRPr="00340D8F">
        <w:rPr>
          <w:rFonts w:ascii="Arial" w:hAnsi="Arial" w:cs="Arial"/>
          <w:sz w:val="20"/>
          <w:szCs w:val="20"/>
        </w:rPr>
        <w:t>Muvattupuzha</w:t>
      </w:r>
      <w:proofErr w:type="spellEnd"/>
      <w:r w:rsidRPr="00340D8F">
        <w:rPr>
          <w:rFonts w:ascii="Arial" w:hAnsi="Arial" w:cs="Arial"/>
          <w:sz w:val="20"/>
          <w:szCs w:val="20"/>
        </w:rPr>
        <w:t xml:space="preserve"> (Ernakulam); and </w:t>
      </w:r>
      <w:proofErr w:type="spellStart"/>
      <w:r w:rsidRPr="00340D8F">
        <w:rPr>
          <w:rFonts w:ascii="Arial" w:hAnsi="Arial" w:cs="Arial"/>
          <w:sz w:val="20"/>
          <w:szCs w:val="20"/>
        </w:rPr>
        <w:t>Chirayinkeezhu</w:t>
      </w:r>
      <w:proofErr w:type="spellEnd"/>
      <w:r w:rsidRPr="00340D8F">
        <w:rPr>
          <w:rFonts w:ascii="Arial" w:hAnsi="Arial" w:cs="Arial"/>
          <w:sz w:val="20"/>
          <w:szCs w:val="20"/>
        </w:rPr>
        <w:t xml:space="preserve">, </w:t>
      </w:r>
      <w:proofErr w:type="spellStart"/>
      <w:r w:rsidRPr="00340D8F">
        <w:rPr>
          <w:rFonts w:ascii="Arial" w:hAnsi="Arial" w:cs="Arial"/>
          <w:sz w:val="20"/>
          <w:szCs w:val="20"/>
        </w:rPr>
        <w:t>Varkala</w:t>
      </w:r>
      <w:proofErr w:type="spellEnd"/>
      <w:r w:rsidRPr="00340D8F">
        <w:rPr>
          <w:rFonts w:ascii="Arial" w:hAnsi="Arial" w:cs="Arial"/>
          <w:sz w:val="20"/>
          <w:szCs w:val="20"/>
        </w:rPr>
        <w:t xml:space="preserve">, and </w:t>
      </w:r>
      <w:proofErr w:type="spellStart"/>
      <w:r w:rsidRPr="00340D8F">
        <w:rPr>
          <w:rFonts w:ascii="Arial" w:hAnsi="Arial" w:cs="Arial"/>
          <w:sz w:val="20"/>
          <w:szCs w:val="20"/>
        </w:rPr>
        <w:t>Kattakada</w:t>
      </w:r>
      <w:proofErr w:type="spellEnd"/>
      <w:r w:rsidRPr="00340D8F">
        <w:rPr>
          <w:rFonts w:ascii="Arial" w:hAnsi="Arial" w:cs="Arial"/>
          <w:sz w:val="20"/>
          <w:szCs w:val="20"/>
        </w:rPr>
        <w:t xml:space="preserve"> (Thiruvananthapuram). The study population comprised women aged 18 years and above who were actively engaged in platform-based work, including ride-hailing, delivery services, freelancing, and home-based digital tasks. A total of 300 respondents were surveyed to ensure adequate statistical power and to capture occupational heterogeneity across regions. Participants were identified through snowball sampling and platform-mediated networks, including local digital groups and worker associations. Data were collected between September and December 2025 using a </w:t>
      </w:r>
      <w:bookmarkStart w:id="0" w:name="_Hlk223535475"/>
      <w:r w:rsidRPr="00340D8F">
        <w:rPr>
          <w:rFonts w:ascii="Arial" w:hAnsi="Arial" w:cs="Arial"/>
          <w:sz w:val="20"/>
          <w:szCs w:val="20"/>
        </w:rPr>
        <w:t>structured questionnaire</w:t>
      </w:r>
      <w:bookmarkEnd w:id="0"/>
      <w:r w:rsidRPr="00340D8F">
        <w:rPr>
          <w:rFonts w:ascii="Arial" w:hAnsi="Arial" w:cs="Arial"/>
          <w:sz w:val="20"/>
          <w:szCs w:val="20"/>
        </w:rPr>
        <w:t>. The instrument was developed based on an extensive review of existing literature and subsequently pilot-tested with 35 respondents. Insights from the pilot survey were incorporated to improve clarity, reliability, and contextual relevance, thereby enhancing the validity of the empirical analysis</w:t>
      </w:r>
      <w:r w:rsidR="00A13C84" w:rsidRPr="00340D8F">
        <w:rPr>
          <w:rFonts w:ascii="Arial" w:hAnsi="Arial" w:cs="Arial"/>
          <w:sz w:val="20"/>
          <w:szCs w:val="20"/>
        </w:rPr>
        <w:t>.</w:t>
      </w:r>
    </w:p>
    <w:p w14:paraId="144E1B3D" w14:textId="69362D8A" w:rsidR="009E7CF5" w:rsidRPr="00340D8F" w:rsidRDefault="00697AE6" w:rsidP="009E7CF5">
      <w:pPr>
        <w:spacing w:before="240" w:after="0" w:line="360" w:lineRule="auto"/>
        <w:jc w:val="both"/>
        <w:rPr>
          <w:rFonts w:ascii="Arial" w:hAnsi="Arial" w:cs="Arial"/>
          <w:b/>
          <w:bCs/>
        </w:rPr>
      </w:pPr>
      <w:r w:rsidRPr="00340D8F">
        <w:rPr>
          <w:rFonts w:ascii="Arial" w:hAnsi="Arial" w:cs="Arial"/>
          <w:b/>
          <w:bCs/>
        </w:rPr>
        <w:lastRenderedPageBreak/>
        <w:t>4</w:t>
      </w:r>
      <w:r w:rsidR="009E7CF5" w:rsidRPr="00340D8F">
        <w:rPr>
          <w:rFonts w:ascii="Arial" w:hAnsi="Arial" w:cs="Arial"/>
          <w:b/>
          <w:bCs/>
        </w:rPr>
        <w:t>.2 Method</w:t>
      </w:r>
    </w:p>
    <w:p w14:paraId="476BEA8A" w14:textId="3B05FC8A" w:rsidR="00A020D7" w:rsidRPr="00340D8F" w:rsidRDefault="00A020D7" w:rsidP="00A020D7">
      <w:pPr>
        <w:spacing w:before="240" w:line="360" w:lineRule="auto"/>
        <w:jc w:val="both"/>
        <w:rPr>
          <w:rFonts w:ascii="Arial" w:hAnsi="Arial" w:cs="Arial"/>
          <w:sz w:val="20"/>
          <w:szCs w:val="20"/>
        </w:rPr>
      </w:pPr>
      <w:r w:rsidRPr="00340D8F">
        <w:rPr>
          <w:rFonts w:ascii="Arial" w:hAnsi="Arial" w:cs="Arial"/>
          <w:sz w:val="20"/>
          <w:szCs w:val="20"/>
        </w:rPr>
        <w:t xml:space="preserve">Let </w:t>
      </w:r>
      <m:oMath>
        <m:r>
          <w:rPr>
            <w:rFonts w:ascii="Cambria Math" w:hAnsi="Cambria Math" w:cs="Arial"/>
            <w:sz w:val="20"/>
            <w:szCs w:val="20"/>
          </w:rPr>
          <m:t xml:space="preserve">Y=1 </m:t>
        </m:r>
      </m:oMath>
      <w:r w:rsidRPr="00340D8F">
        <w:rPr>
          <w:rFonts w:ascii="Arial" w:hAnsi="Arial" w:cs="Arial"/>
          <w:sz w:val="20"/>
          <w:szCs w:val="20"/>
        </w:rPr>
        <w:t xml:space="preserve">if Monthly </w:t>
      </w:r>
      <w:r w:rsidR="00CF77BD" w:rsidRPr="00340D8F">
        <w:rPr>
          <w:rFonts w:ascii="Arial" w:hAnsi="Arial" w:cs="Arial"/>
          <w:sz w:val="20"/>
          <w:szCs w:val="20"/>
        </w:rPr>
        <w:t>Family</w:t>
      </w:r>
      <w:r w:rsidRPr="00340D8F">
        <w:rPr>
          <w:rFonts w:ascii="Arial" w:hAnsi="Arial" w:cs="Arial"/>
          <w:sz w:val="20"/>
          <w:szCs w:val="20"/>
        </w:rPr>
        <w:t xml:space="preserve"> Income is below ₹25,000, </w:t>
      </w:r>
      <m:oMath>
        <m:r>
          <w:rPr>
            <w:rFonts w:ascii="Cambria Math" w:hAnsi="Cambria Math" w:cs="Arial"/>
            <w:sz w:val="20"/>
            <w:szCs w:val="20"/>
          </w:rPr>
          <m:t xml:space="preserve">Y=0 </m:t>
        </m:r>
      </m:oMath>
      <w:r w:rsidRPr="00340D8F">
        <w:rPr>
          <w:rFonts w:ascii="Arial" w:hAnsi="Arial" w:cs="Arial"/>
          <w:sz w:val="20"/>
          <w:szCs w:val="20"/>
        </w:rPr>
        <w:t xml:space="preserve">if Monthly </w:t>
      </w:r>
      <w:r w:rsidR="00CF77BD" w:rsidRPr="00340D8F">
        <w:rPr>
          <w:rFonts w:ascii="Arial" w:hAnsi="Arial" w:cs="Arial"/>
          <w:sz w:val="20"/>
          <w:szCs w:val="20"/>
        </w:rPr>
        <w:t>Family</w:t>
      </w:r>
      <w:r w:rsidRPr="00340D8F">
        <w:rPr>
          <w:rFonts w:ascii="Arial" w:hAnsi="Arial" w:cs="Arial"/>
          <w:sz w:val="20"/>
          <w:szCs w:val="20"/>
        </w:rPr>
        <w:t xml:space="preserve"> Income is above ₹25,000. The logistic regression model estimates the log-odds of income vulnerability as a linear function of the explanatory variables:</w:t>
      </w:r>
    </w:p>
    <w:p w14:paraId="1211816F" w14:textId="77777777" w:rsidR="00A020D7" w:rsidRPr="00340D8F" w:rsidRDefault="0031044C" w:rsidP="00A020D7">
      <w:pPr>
        <w:spacing w:line="360" w:lineRule="auto"/>
        <w:jc w:val="both"/>
        <w:rPr>
          <w:rFonts w:ascii="Arial" w:hAnsi="Arial" w:cs="Arial"/>
          <w:sz w:val="20"/>
          <w:szCs w:val="20"/>
        </w:rPr>
      </w:pPr>
      <m:oMathPara>
        <m:oMath>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Y=1</m:t>
                          </m:r>
                        </m:e>
                      </m:d>
                    </m:num>
                    <m:den>
                      <m:r>
                        <w:rPr>
                          <w:rFonts w:ascii="Cambria Math" w:hAnsi="Cambria Math" w:cs="Arial"/>
                          <w:sz w:val="20"/>
                          <w:szCs w:val="20"/>
                        </w:rPr>
                        <m:t>1-P</m:t>
                      </m:r>
                      <m:d>
                        <m:dPr>
                          <m:ctrlPr>
                            <w:rPr>
                              <w:rFonts w:ascii="Cambria Math" w:hAnsi="Cambria Math" w:cs="Arial"/>
                              <w:i/>
                              <w:sz w:val="20"/>
                              <w:szCs w:val="20"/>
                            </w:rPr>
                          </m:ctrlPr>
                        </m:dPr>
                        <m:e>
                          <m:r>
                            <w:rPr>
                              <w:rFonts w:ascii="Cambria Math" w:hAnsi="Cambria Math" w:cs="Arial"/>
                              <w:sz w:val="20"/>
                              <w:szCs w:val="20"/>
                            </w:rPr>
                            <m:t>Y=1</m:t>
                          </m:r>
                        </m:e>
                      </m:d>
                    </m:den>
                  </m:f>
                </m:e>
              </m:d>
            </m:e>
          </m:func>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m:rPr>
              <m:nor/>
            </m:rPr>
            <w:rPr>
              <w:rFonts w:ascii="Arial" w:hAnsi="Arial" w:cs="Arial"/>
              <w:sz w:val="20"/>
              <w:szCs w:val="20"/>
            </w:rPr>
            <m:t>Ca</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m:rPr>
              <m:nor/>
            </m:rPr>
            <w:rPr>
              <w:rFonts w:ascii="Arial" w:hAnsi="Arial" w:cs="Arial"/>
              <w:sz w:val="20"/>
              <w:szCs w:val="20"/>
            </w:rPr>
            <m:t>R</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m:rPr>
              <m:nor/>
            </m:rPr>
            <w:rPr>
              <w:rFonts w:ascii="Arial" w:hAnsi="Arial" w:cs="Arial"/>
              <w:sz w:val="20"/>
              <w:szCs w:val="20"/>
            </w:rPr>
            <m:t>RC</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m:t>
          </m:r>
          <m:r>
            <m:rPr>
              <m:nor/>
            </m:rPr>
            <w:rPr>
              <w:rFonts w:ascii="Arial" w:hAnsi="Arial" w:cs="Arial"/>
              <w:sz w:val="20"/>
              <w:szCs w:val="20"/>
            </w:rPr>
            <m:t>Age Group</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m:t>
          </m:r>
          <m:r>
            <m:rPr>
              <m:nor/>
            </m:rPr>
            <w:rPr>
              <w:rFonts w:ascii="Arial" w:hAnsi="Arial" w:cs="Arial"/>
              <w:sz w:val="20"/>
              <w:szCs w:val="20"/>
            </w:rPr>
            <m:t>Education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m:t>
          </m:r>
          <m:r>
            <m:rPr>
              <m:nor/>
            </m:rPr>
            <w:rPr>
              <w:rFonts w:ascii="Arial" w:hAnsi="Arial" w:cs="Arial"/>
              <w:sz w:val="20"/>
              <w:szCs w:val="20"/>
            </w:rPr>
            <m:t>Marital Status</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m:t>
          </m:r>
          <m:r>
            <m:rPr>
              <m:nor/>
            </m:rPr>
            <w:rPr>
              <w:rFonts w:ascii="Arial" w:hAnsi="Arial" w:cs="Arial"/>
              <w:sz w:val="20"/>
              <w:szCs w:val="20"/>
            </w:rPr>
            <m:t>Children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m:t>
          </m:r>
          <m:r>
            <m:rPr>
              <m:nor/>
            </m:rPr>
            <w:rPr>
              <w:rFonts w:ascii="Arial" w:hAnsi="Arial" w:cs="Arial"/>
              <w:sz w:val="20"/>
              <w:szCs w:val="20"/>
            </w:rPr>
            <m:t>Residence</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9</m:t>
              </m:r>
            </m:sub>
          </m:sSub>
          <m:r>
            <w:rPr>
              <w:rFonts w:ascii="Cambria Math" w:hAnsi="Cambria Math" w:cs="Arial"/>
              <w:sz w:val="20"/>
              <w:szCs w:val="20"/>
            </w:rPr>
            <m:t>(</m:t>
          </m:r>
          <m:r>
            <m:rPr>
              <m:nor/>
            </m:rPr>
            <w:rPr>
              <w:rFonts w:ascii="Arial" w:hAnsi="Arial" w:cs="Arial"/>
              <w:sz w:val="20"/>
              <w:szCs w:val="20"/>
            </w:rPr>
            <m:t>Household Size</m:t>
          </m:r>
          <m:r>
            <w:rPr>
              <w:rFonts w:ascii="Cambria Math" w:hAnsi="Cambria Math" w:cs="Arial"/>
              <w:sz w:val="20"/>
              <w:szCs w:val="20"/>
            </w:rPr>
            <m:t xml:space="preserve">)+εi </m:t>
          </m:r>
        </m:oMath>
      </m:oMathPara>
    </w:p>
    <w:p w14:paraId="1CB9B2AD" w14:textId="34B66553" w:rsidR="008A78FA" w:rsidRPr="00340D8F" w:rsidRDefault="00A020D7" w:rsidP="00A020D7">
      <w:pPr>
        <w:spacing w:before="240" w:after="0" w:line="360" w:lineRule="auto"/>
        <w:jc w:val="both"/>
        <w:rPr>
          <w:rFonts w:ascii="Arial" w:hAnsi="Arial" w:cs="Arial"/>
          <w:sz w:val="20"/>
          <w:szCs w:val="20"/>
        </w:rPr>
      </w:pPr>
      <w:r w:rsidRPr="00340D8F">
        <w:rPr>
          <w:rFonts w:ascii="Arial" w:hAnsi="Arial" w:cs="Arial"/>
          <w:sz w:val="20"/>
          <w:szCs w:val="20"/>
        </w:rPr>
        <w:t xml:space="preserve">The dependent variable in this study is monthly </w:t>
      </w:r>
      <w:r w:rsidR="00CF77BD" w:rsidRPr="00340D8F">
        <w:rPr>
          <w:rFonts w:ascii="Arial" w:hAnsi="Arial" w:cs="Arial"/>
          <w:sz w:val="20"/>
          <w:szCs w:val="20"/>
        </w:rPr>
        <w:t>family</w:t>
      </w:r>
      <w:r w:rsidRPr="00340D8F">
        <w:rPr>
          <w:rFonts w:ascii="Arial" w:hAnsi="Arial" w:cs="Arial"/>
          <w:sz w:val="20"/>
          <w:szCs w:val="20"/>
        </w:rPr>
        <w:t xml:space="preserve"> income, employed as a measure of income vulnerability among women participating in Kerala’s gig economy. It is coded as 1 for </w:t>
      </w:r>
      <w:r w:rsidR="007533DF" w:rsidRPr="00340D8F">
        <w:rPr>
          <w:rFonts w:ascii="Arial" w:hAnsi="Arial" w:cs="Arial"/>
          <w:sz w:val="20"/>
          <w:szCs w:val="20"/>
        </w:rPr>
        <w:t>individuals</w:t>
      </w:r>
      <w:r w:rsidRPr="00340D8F">
        <w:rPr>
          <w:rFonts w:ascii="Arial" w:hAnsi="Arial" w:cs="Arial"/>
          <w:sz w:val="20"/>
          <w:szCs w:val="20"/>
        </w:rPr>
        <w:t xml:space="preserve"> earning below ₹25,000 per month and 0 for those earning above ₹25,000. This dichotomous specification facilitates the application of a logistic regression model to estimate the probability of belonging to the lower-income category. The independent variables comprise a range of socio-economic and demographic characteristics of the respondents and their households. Caste is coded as 1 for Scheduled Caste (SC) and 0 for Other Backward Classes (OBC), thereby capturing structural social disadvantage. Religion is represented as a binary variable, with Muslim coded as 1 and Hindu coded as 0, reflecting potential socio-cultural influences on labour market participation. Ration card status is coded as 1 for Above Poverty Line (APL) and 0 for Below Poverty Line (BPL), serving as an indicator of officially recognized economic status and access to welfare benefits. Age group is coded as 1 for women below 25 years and 0 for those aged 25 years and above, accounting for differences in work experience and income stability. </w:t>
      </w:r>
      <w:r w:rsidR="004B4ECD" w:rsidRPr="00340D8F">
        <w:rPr>
          <w:rFonts w:ascii="Arial" w:hAnsi="Arial" w:cs="Arial"/>
          <w:sz w:val="20"/>
          <w:szCs w:val="20"/>
        </w:rPr>
        <w:t xml:space="preserve">Educational attainment was coded as 1 for respondents with education up to higher secondary level and 0 for those holding a degree, reflecting variations in human capital. </w:t>
      </w:r>
      <w:r w:rsidRPr="00340D8F">
        <w:rPr>
          <w:rFonts w:ascii="Arial" w:hAnsi="Arial" w:cs="Arial"/>
          <w:sz w:val="20"/>
          <w:szCs w:val="20"/>
        </w:rPr>
        <w:t>Marital status and presence of children are coded as married (1) versus single (0) and yes (1) versus no (0), respectively, capturing household responsibilities and care burdens. Place of residence is coded as urban (1) and rural (0), indicating spatial differences in access to gig employment opportunities. Household size is coded as 1 for fewer than five members and 0 for five or more members, reflecting dependency ratios and income-sharing dynamics. The disturbance term (eᵢ) represents the combined effect of unobserved determinants and potential inaccuracies in variable measurement that are not explicitly incorporated into the model specification.</w:t>
      </w:r>
    </w:p>
    <w:p w14:paraId="08EDFEB7" w14:textId="517B3555" w:rsidR="005536A2" w:rsidRPr="00340D8F" w:rsidRDefault="00697AE6" w:rsidP="005536A2">
      <w:pPr>
        <w:spacing w:before="240" w:after="0" w:line="360" w:lineRule="auto"/>
        <w:jc w:val="both"/>
        <w:rPr>
          <w:rFonts w:ascii="Arial" w:hAnsi="Arial" w:cs="Arial"/>
          <w:b/>
          <w:bCs/>
        </w:rPr>
      </w:pPr>
      <w:r w:rsidRPr="00340D8F">
        <w:rPr>
          <w:rFonts w:ascii="Arial" w:hAnsi="Arial" w:cs="Arial"/>
          <w:b/>
          <w:bCs/>
        </w:rPr>
        <w:t>5</w:t>
      </w:r>
      <w:r w:rsidR="0059717B" w:rsidRPr="00340D8F">
        <w:rPr>
          <w:rFonts w:ascii="Arial" w:hAnsi="Arial" w:cs="Arial"/>
          <w:b/>
          <w:bCs/>
        </w:rPr>
        <w:t xml:space="preserve"> RESULTS AND DISCUSSION</w:t>
      </w:r>
    </w:p>
    <w:p w14:paraId="4528A226" w14:textId="74F5E5BD" w:rsidR="00331F1D" w:rsidRPr="00340D8F" w:rsidRDefault="003774F5" w:rsidP="003774F5">
      <w:pPr>
        <w:spacing w:before="240" w:line="360" w:lineRule="auto"/>
        <w:jc w:val="both"/>
        <w:rPr>
          <w:rFonts w:ascii="Arial" w:hAnsi="Arial" w:cs="Arial"/>
          <w:sz w:val="20"/>
          <w:szCs w:val="20"/>
        </w:rPr>
      </w:pPr>
      <w:r w:rsidRPr="00340D8F">
        <w:rPr>
          <w:rFonts w:ascii="Arial" w:hAnsi="Arial" w:cs="Arial"/>
          <w:sz w:val="20"/>
          <w:szCs w:val="20"/>
        </w:rPr>
        <w:t xml:space="preserve">Figure 1 presents the distribution of female gig workers across different types of platform-based and independent gigs. The data reveal a clear variation in occupational preferences, reflecting differences in skill requirements, flexibility, entry barriers, and market demand. Online teaching emerges as the most preferred gig, accounting for 26.0 per cent of the respondents (78 out of 300). This indicates a strong inclination toward knowledge-based and home-based professional services. The prominence of online teaching suggests that women are leveraging educational qualifications and digital platforms to access income opportunities that offer flexibility and relatively stable earnings. The growth of virtual </w:t>
      </w:r>
      <w:r w:rsidRPr="00340D8F">
        <w:rPr>
          <w:rFonts w:ascii="Arial" w:hAnsi="Arial" w:cs="Arial"/>
          <w:sz w:val="20"/>
          <w:szCs w:val="20"/>
        </w:rPr>
        <w:lastRenderedPageBreak/>
        <w:t xml:space="preserve">learning environments and </w:t>
      </w:r>
      <w:proofErr w:type="spellStart"/>
      <w:r w:rsidRPr="00340D8F">
        <w:rPr>
          <w:rFonts w:ascii="Arial" w:hAnsi="Arial" w:cs="Arial"/>
          <w:sz w:val="20"/>
          <w:szCs w:val="20"/>
        </w:rPr>
        <w:t>edtech</w:t>
      </w:r>
      <w:proofErr w:type="spellEnd"/>
      <w:r w:rsidRPr="00340D8F">
        <w:rPr>
          <w:rFonts w:ascii="Arial" w:hAnsi="Arial" w:cs="Arial"/>
          <w:sz w:val="20"/>
          <w:szCs w:val="20"/>
        </w:rPr>
        <w:t xml:space="preserve"> platforms has likely facilitated this trend by lowering geographical constraints.</w:t>
      </w:r>
    </w:p>
    <w:p w14:paraId="46921211" w14:textId="77777777" w:rsidR="003774F5" w:rsidRPr="00340D8F" w:rsidRDefault="003774F5" w:rsidP="003774F5">
      <w:pPr>
        <w:autoSpaceDE w:val="0"/>
        <w:autoSpaceDN w:val="0"/>
        <w:adjustRightInd w:val="0"/>
        <w:spacing w:after="0" w:line="360" w:lineRule="auto"/>
        <w:jc w:val="center"/>
        <w:rPr>
          <w:rFonts w:ascii="Arial" w:hAnsi="Arial" w:cs="Arial"/>
          <w:b/>
          <w:bCs/>
          <w:sz w:val="20"/>
          <w:szCs w:val="20"/>
        </w:rPr>
      </w:pPr>
      <w:r w:rsidRPr="00340D8F">
        <w:rPr>
          <w:rFonts w:ascii="Arial" w:hAnsi="Arial" w:cs="Arial"/>
          <w:b/>
          <w:bCs/>
          <w:sz w:val="20"/>
          <w:szCs w:val="20"/>
        </w:rPr>
        <w:t>Figure 1: Types of Gigs Chosen by Female Gig Workers</w:t>
      </w:r>
    </w:p>
    <w:p w14:paraId="6CCBFF26" w14:textId="77777777" w:rsidR="003774F5" w:rsidRPr="00340D8F" w:rsidRDefault="003774F5" w:rsidP="003774F5">
      <w:pPr>
        <w:jc w:val="center"/>
        <w:rPr>
          <w:rFonts w:ascii="Arial" w:hAnsi="Arial" w:cs="Arial"/>
          <w:sz w:val="20"/>
          <w:szCs w:val="20"/>
        </w:rPr>
      </w:pPr>
      <w:r w:rsidRPr="00340D8F">
        <w:rPr>
          <w:rFonts w:ascii="Arial" w:hAnsi="Arial" w:cs="Arial"/>
          <w:noProof/>
          <w:sz w:val="20"/>
          <w:szCs w:val="20"/>
        </w:rPr>
        <w:drawing>
          <wp:inline distT="0" distB="0" distL="0" distR="0" wp14:anchorId="1DCECEA7" wp14:editId="21DAA38D">
            <wp:extent cx="5016500" cy="2794000"/>
            <wp:effectExtent l="0" t="0" r="12700" b="6350"/>
            <wp:docPr id="1577935037" name="Chart 1">
              <a:extLst xmlns:a="http://schemas.openxmlformats.org/drawingml/2006/main">
                <a:ext uri="{FF2B5EF4-FFF2-40B4-BE49-F238E27FC236}">
                  <a16:creationId xmlns:a16="http://schemas.microsoft.com/office/drawing/2014/main" id="{4AB93510-53FA-03A8-D5E2-5FF186EAB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084100" w14:textId="77777777" w:rsidR="003774F5" w:rsidRPr="00340D8F" w:rsidRDefault="003774F5" w:rsidP="003774F5">
      <w:pPr>
        <w:spacing w:after="0"/>
        <w:jc w:val="both"/>
        <w:rPr>
          <w:rFonts w:ascii="Arial" w:hAnsi="Arial" w:cs="Arial"/>
          <w:sz w:val="20"/>
          <w:szCs w:val="20"/>
        </w:rPr>
      </w:pPr>
      <w:r w:rsidRPr="00340D8F">
        <w:rPr>
          <w:rFonts w:ascii="Arial" w:hAnsi="Arial" w:cs="Arial"/>
          <w:sz w:val="20"/>
          <w:szCs w:val="20"/>
        </w:rPr>
        <w:t xml:space="preserve">         Source: Survey Data</w:t>
      </w:r>
    </w:p>
    <w:p w14:paraId="2171FFB0" w14:textId="5AC7C056" w:rsidR="008A78FA" w:rsidRDefault="003774F5" w:rsidP="002D422D">
      <w:pPr>
        <w:spacing w:before="240" w:line="360" w:lineRule="auto"/>
        <w:jc w:val="both"/>
        <w:rPr>
          <w:rFonts w:ascii="Arial" w:hAnsi="Arial" w:cs="Arial"/>
          <w:sz w:val="20"/>
          <w:szCs w:val="20"/>
        </w:rPr>
      </w:pPr>
      <w:r w:rsidRPr="00340D8F">
        <w:rPr>
          <w:rFonts w:ascii="Arial" w:hAnsi="Arial" w:cs="Arial"/>
          <w:sz w:val="20"/>
          <w:szCs w:val="20"/>
        </w:rPr>
        <w:t>Content creation (15.3%) and video editing (14.0%) together account for a substantial share of women’s participation in the gig economy, indicating growing involvement in digitally mediated creative sectors. These activities require technical skills, digital literacy, and access to specialized tools, reflecting a shift toward more technology-driven and skill-intensive forms of work. Graphic design (9.3%) further demonstrates engagement in specialized digital services that combine creative and technical expertise. At the same time, traditional and home-based activities remain prominent. Tailoring (13.0%), home baking (11.0%), and beauty and wellness services (11.3%) represent significant segments, suggesting continued reliance on gendered skills that typically involve lower capital requirements and flexible work schedules. Such options are particularly compatible with domestic responsibilities. Overall, the distribution reveals a dual pattern: while many women are entering knowledge-based, platform-enabled occupations, a considerable proportion remains concentrated in conventional, feminized forms of gig work, underscoring both emerging opportunities and enduring socio-cultural constraints</w:t>
      </w:r>
      <w:r w:rsidR="008A78FA" w:rsidRPr="00340D8F">
        <w:rPr>
          <w:rFonts w:ascii="Arial" w:hAnsi="Arial" w:cs="Arial"/>
          <w:sz w:val="20"/>
          <w:szCs w:val="20"/>
        </w:rPr>
        <w:t>.</w:t>
      </w:r>
    </w:p>
    <w:p w14:paraId="3F045852" w14:textId="3B0E3A16" w:rsidR="008A78FA" w:rsidRPr="00340D8F" w:rsidRDefault="00697AE6" w:rsidP="008A78FA">
      <w:pPr>
        <w:spacing w:line="360" w:lineRule="auto"/>
        <w:jc w:val="both"/>
        <w:rPr>
          <w:rFonts w:ascii="Arial" w:hAnsi="Arial" w:cs="Arial"/>
          <w:b/>
          <w:bCs/>
        </w:rPr>
      </w:pPr>
      <w:r w:rsidRPr="00340D8F">
        <w:rPr>
          <w:rFonts w:ascii="Arial" w:hAnsi="Arial" w:cs="Arial"/>
          <w:b/>
          <w:bCs/>
        </w:rPr>
        <w:t>5</w:t>
      </w:r>
      <w:r w:rsidR="008A78FA" w:rsidRPr="00340D8F">
        <w:rPr>
          <w:rFonts w:ascii="Arial" w:hAnsi="Arial" w:cs="Arial"/>
          <w:b/>
          <w:bCs/>
        </w:rPr>
        <w:t xml:space="preserve">.1 </w:t>
      </w:r>
      <w:r w:rsidR="003774F5" w:rsidRPr="00340D8F">
        <w:rPr>
          <w:rFonts w:ascii="Arial" w:hAnsi="Arial" w:cs="Arial"/>
          <w:b/>
          <w:bCs/>
        </w:rPr>
        <w:t>Socioeconomic Characteristics of the Surveyed Women Gig Workers</w:t>
      </w:r>
    </w:p>
    <w:p w14:paraId="6B4D7C69" w14:textId="77777777" w:rsidR="003774F5" w:rsidRPr="00340D8F" w:rsidRDefault="003774F5" w:rsidP="003774F5">
      <w:pPr>
        <w:spacing w:line="360" w:lineRule="auto"/>
        <w:jc w:val="both"/>
        <w:rPr>
          <w:rFonts w:ascii="Arial" w:hAnsi="Arial" w:cs="Arial"/>
          <w:sz w:val="20"/>
          <w:szCs w:val="20"/>
        </w:rPr>
      </w:pPr>
      <w:r w:rsidRPr="00340D8F">
        <w:rPr>
          <w:rFonts w:ascii="Arial" w:hAnsi="Arial" w:cs="Arial"/>
          <w:sz w:val="20"/>
          <w:szCs w:val="20"/>
        </w:rPr>
        <w:t xml:space="preserve">Table 1 presents the socio-economic characteristics of the respondents, classified by religion, caste, marital status, economic status, education, and age group. The religious composition of the sample indicates that a majority of respondents belong to the Muslim community (197 respondents; 65.7%), while 103 respondents (34.3%) are Hindus. This reflects the predominance of Muslim respondents in the study sample. With respect to caste distribution, 219 respondents (73.0%) belong to the Other Backward Classes (OBC), whereas 81 respondents (27.0%) are from Scheduled Castes (SC). The data thus indicate a substantial representation of OBC respondents in the sample. In terms of marital status, a significant proportion of respondents are married (214; 71.3%), while 86 respondents (28.7%) are </w:t>
      </w:r>
      <w:r w:rsidRPr="00340D8F">
        <w:rPr>
          <w:rFonts w:ascii="Arial" w:hAnsi="Arial" w:cs="Arial"/>
          <w:sz w:val="20"/>
          <w:szCs w:val="20"/>
        </w:rPr>
        <w:lastRenderedPageBreak/>
        <w:t>single. This suggests that most participants have marital and household responsibilities, which may influence their labour market engagement. Regarding economic status, 168 respondents (56.0%) fall under the Above Poverty Line (APL) category, while 132 respondents (44.0%) belong to the Below Poverty Line (BPL) category. Although APL respondents constitute a slight majority, a considerable share of the sample comprises individuals from economically vulnerable backgrounds.</w:t>
      </w:r>
    </w:p>
    <w:p w14:paraId="16AAC760" w14:textId="77777777" w:rsidR="003774F5" w:rsidRPr="00340D8F" w:rsidRDefault="003774F5" w:rsidP="003774F5">
      <w:pPr>
        <w:autoSpaceDE w:val="0"/>
        <w:autoSpaceDN w:val="0"/>
        <w:adjustRightInd w:val="0"/>
        <w:spacing w:after="0" w:line="360" w:lineRule="auto"/>
        <w:jc w:val="center"/>
        <w:rPr>
          <w:rFonts w:ascii="Arial" w:hAnsi="Arial" w:cs="Arial"/>
          <w:b/>
          <w:bCs/>
          <w:sz w:val="20"/>
          <w:szCs w:val="20"/>
        </w:rPr>
      </w:pPr>
      <w:r w:rsidRPr="00340D8F">
        <w:rPr>
          <w:rFonts w:ascii="Arial" w:hAnsi="Arial" w:cs="Arial"/>
          <w:b/>
          <w:bCs/>
          <w:sz w:val="20"/>
          <w:szCs w:val="20"/>
        </w:rPr>
        <w:t>Table 1: Socio-economic Profile of the Respondents</w:t>
      </w:r>
    </w:p>
    <w:tbl>
      <w:tblPr>
        <w:tblStyle w:val="TableGrid"/>
        <w:tblW w:w="906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992"/>
        <w:gridCol w:w="709"/>
        <w:gridCol w:w="709"/>
        <w:gridCol w:w="845"/>
        <w:gridCol w:w="987"/>
        <w:gridCol w:w="851"/>
        <w:gridCol w:w="850"/>
        <w:gridCol w:w="1134"/>
        <w:gridCol w:w="992"/>
      </w:tblGrid>
      <w:tr w:rsidR="006B628A" w:rsidRPr="006B628A" w14:paraId="7DA3CC03" w14:textId="77777777" w:rsidTr="006B628A">
        <w:trPr>
          <w:trHeight w:val="196"/>
          <w:jc w:val="center"/>
        </w:trPr>
        <w:tc>
          <w:tcPr>
            <w:tcW w:w="1990" w:type="dxa"/>
            <w:gridSpan w:val="2"/>
            <w:tcBorders>
              <w:top w:val="single" w:sz="4" w:space="0" w:color="auto"/>
              <w:bottom w:val="single" w:sz="4" w:space="0" w:color="auto"/>
            </w:tcBorders>
            <w:vAlign w:val="center"/>
          </w:tcPr>
          <w:p w14:paraId="30AF71D6" w14:textId="77777777" w:rsidR="006B628A" w:rsidRPr="006B628A" w:rsidRDefault="006B628A" w:rsidP="00C3738C">
            <w:pPr>
              <w:spacing w:line="360" w:lineRule="auto"/>
              <w:jc w:val="center"/>
              <w:rPr>
                <w:rFonts w:ascii="Arial" w:hAnsi="Arial" w:cs="Arial"/>
                <w:b/>
                <w:bCs/>
                <w:sz w:val="18"/>
                <w:szCs w:val="18"/>
              </w:rPr>
            </w:pPr>
            <w:r w:rsidRPr="006B628A">
              <w:rPr>
                <w:rFonts w:ascii="Arial" w:hAnsi="Arial" w:cs="Arial"/>
                <w:b/>
                <w:bCs/>
                <w:sz w:val="18"/>
                <w:szCs w:val="18"/>
              </w:rPr>
              <w:t>Religion</w:t>
            </w:r>
          </w:p>
        </w:tc>
        <w:tc>
          <w:tcPr>
            <w:tcW w:w="1418" w:type="dxa"/>
            <w:gridSpan w:val="2"/>
            <w:tcBorders>
              <w:top w:val="single" w:sz="4" w:space="0" w:color="auto"/>
              <w:bottom w:val="single" w:sz="4" w:space="0" w:color="auto"/>
            </w:tcBorders>
            <w:vAlign w:val="center"/>
          </w:tcPr>
          <w:p w14:paraId="55AEEEEA" w14:textId="77777777" w:rsidR="006B628A" w:rsidRPr="006B628A" w:rsidRDefault="006B628A" w:rsidP="00C3738C">
            <w:pPr>
              <w:spacing w:line="360" w:lineRule="auto"/>
              <w:jc w:val="center"/>
              <w:rPr>
                <w:rFonts w:ascii="Arial" w:hAnsi="Arial" w:cs="Arial"/>
                <w:b/>
                <w:bCs/>
                <w:sz w:val="18"/>
                <w:szCs w:val="18"/>
              </w:rPr>
            </w:pPr>
            <w:r w:rsidRPr="006B628A">
              <w:rPr>
                <w:rFonts w:ascii="Arial" w:hAnsi="Arial" w:cs="Arial"/>
                <w:b/>
                <w:bCs/>
                <w:sz w:val="18"/>
                <w:szCs w:val="18"/>
              </w:rPr>
              <w:t>Caste</w:t>
            </w:r>
          </w:p>
        </w:tc>
        <w:tc>
          <w:tcPr>
            <w:tcW w:w="1832" w:type="dxa"/>
            <w:gridSpan w:val="2"/>
            <w:tcBorders>
              <w:top w:val="single" w:sz="4" w:space="0" w:color="auto"/>
              <w:bottom w:val="single" w:sz="4" w:space="0" w:color="auto"/>
            </w:tcBorders>
            <w:vAlign w:val="center"/>
          </w:tcPr>
          <w:p w14:paraId="33106E7C" w14:textId="77777777" w:rsidR="006B628A" w:rsidRPr="006B628A" w:rsidRDefault="006B628A" w:rsidP="00C3738C">
            <w:pPr>
              <w:spacing w:line="360" w:lineRule="auto"/>
              <w:jc w:val="center"/>
              <w:rPr>
                <w:rFonts w:ascii="Arial" w:hAnsi="Arial" w:cs="Arial"/>
                <w:b/>
                <w:bCs/>
                <w:sz w:val="18"/>
                <w:szCs w:val="18"/>
              </w:rPr>
            </w:pPr>
            <w:r w:rsidRPr="006B628A">
              <w:rPr>
                <w:rFonts w:ascii="Arial" w:hAnsi="Arial" w:cs="Arial"/>
                <w:b/>
                <w:bCs/>
                <w:sz w:val="18"/>
                <w:szCs w:val="18"/>
              </w:rPr>
              <w:t>Marital Status</w:t>
            </w:r>
          </w:p>
        </w:tc>
        <w:tc>
          <w:tcPr>
            <w:tcW w:w="1701" w:type="dxa"/>
            <w:gridSpan w:val="2"/>
            <w:tcBorders>
              <w:top w:val="single" w:sz="4" w:space="0" w:color="auto"/>
              <w:bottom w:val="single" w:sz="4" w:space="0" w:color="auto"/>
            </w:tcBorders>
            <w:vAlign w:val="center"/>
          </w:tcPr>
          <w:p w14:paraId="186B5EF8" w14:textId="77777777" w:rsidR="006B628A" w:rsidRPr="006B628A" w:rsidRDefault="006B628A" w:rsidP="00C3738C">
            <w:pPr>
              <w:spacing w:line="360" w:lineRule="auto"/>
              <w:jc w:val="center"/>
              <w:rPr>
                <w:rFonts w:ascii="Arial" w:hAnsi="Arial" w:cs="Arial"/>
                <w:b/>
                <w:bCs/>
                <w:sz w:val="18"/>
                <w:szCs w:val="18"/>
              </w:rPr>
            </w:pPr>
            <w:r w:rsidRPr="006B628A">
              <w:rPr>
                <w:rFonts w:ascii="Arial" w:hAnsi="Arial" w:cs="Arial"/>
                <w:b/>
                <w:bCs/>
                <w:sz w:val="18"/>
                <w:szCs w:val="18"/>
              </w:rPr>
              <w:t>Economic Status</w:t>
            </w:r>
          </w:p>
        </w:tc>
        <w:tc>
          <w:tcPr>
            <w:tcW w:w="2126" w:type="dxa"/>
            <w:gridSpan w:val="2"/>
            <w:tcBorders>
              <w:top w:val="single" w:sz="4" w:space="0" w:color="auto"/>
              <w:bottom w:val="single" w:sz="4" w:space="0" w:color="auto"/>
            </w:tcBorders>
            <w:vAlign w:val="center"/>
          </w:tcPr>
          <w:p w14:paraId="6A27145A" w14:textId="77777777" w:rsidR="006B628A" w:rsidRPr="006B628A" w:rsidRDefault="006B628A" w:rsidP="00C3738C">
            <w:pPr>
              <w:spacing w:line="360" w:lineRule="auto"/>
              <w:jc w:val="center"/>
              <w:rPr>
                <w:rFonts w:ascii="Arial" w:hAnsi="Arial" w:cs="Arial"/>
                <w:b/>
                <w:bCs/>
                <w:sz w:val="18"/>
                <w:szCs w:val="18"/>
              </w:rPr>
            </w:pPr>
            <w:r w:rsidRPr="006B628A">
              <w:rPr>
                <w:rFonts w:ascii="Arial" w:hAnsi="Arial" w:cs="Arial"/>
                <w:b/>
                <w:bCs/>
                <w:sz w:val="18"/>
                <w:szCs w:val="18"/>
              </w:rPr>
              <w:t>Education</w:t>
            </w:r>
          </w:p>
        </w:tc>
      </w:tr>
      <w:tr w:rsidR="006B628A" w:rsidRPr="006B628A" w14:paraId="530B28D9" w14:textId="77777777" w:rsidTr="006B628A">
        <w:trPr>
          <w:trHeight w:val="69"/>
          <w:jc w:val="center"/>
        </w:trPr>
        <w:tc>
          <w:tcPr>
            <w:tcW w:w="998" w:type="dxa"/>
            <w:tcBorders>
              <w:top w:val="single" w:sz="4" w:space="0" w:color="auto"/>
            </w:tcBorders>
            <w:vAlign w:val="center"/>
          </w:tcPr>
          <w:p w14:paraId="0FD68AF3"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Hindu</w:t>
            </w:r>
          </w:p>
        </w:tc>
        <w:tc>
          <w:tcPr>
            <w:tcW w:w="992" w:type="dxa"/>
            <w:tcBorders>
              <w:top w:val="single" w:sz="4" w:space="0" w:color="auto"/>
            </w:tcBorders>
            <w:vAlign w:val="center"/>
          </w:tcPr>
          <w:p w14:paraId="349D497F"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Muslim</w:t>
            </w:r>
          </w:p>
        </w:tc>
        <w:tc>
          <w:tcPr>
            <w:tcW w:w="709" w:type="dxa"/>
            <w:tcBorders>
              <w:top w:val="single" w:sz="4" w:space="0" w:color="auto"/>
            </w:tcBorders>
            <w:vAlign w:val="center"/>
          </w:tcPr>
          <w:p w14:paraId="11194FFA"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SC</w:t>
            </w:r>
          </w:p>
        </w:tc>
        <w:tc>
          <w:tcPr>
            <w:tcW w:w="709" w:type="dxa"/>
            <w:tcBorders>
              <w:top w:val="single" w:sz="4" w:space="0" w:color="auto"/>
            </w:tcBorders>
            <w:vAlign w:val="center"/>
          </w:tcPr>
          <w:p w14:paraId="131DDE33"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OBC</w:t>
            </w:r>
          </w:p>
        </w:tc>
        <w:tc>
          <w:tcPr>
            <w:tcW w:w="845" w:type="dxa"/>
            <w:tcBorders>
              <w:top w:val="single" w:sz="4" w:space="0" w:color="auto"/>
            </w:tcBorders>
            <w:vAlign w:val="center"/>
          </w:tcPr>
          <w:p w14:paraId="7BE1FCBA"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Single</w:t>
            </w:r>
          </w:p>
        </w:tc>
        <w:tc>
          <w:tcPr>
            <w:tcW w:w="987" w:type="dxa"/>
            <w:tcBorders>
              <w:top w:val="single" w:sz="4" w:space="0" w:color="auto"/>
            </w:tcBorders>
            <w:vAlign w:val="center"/>
          </w:tcPr>
          <w:p w14:paraId="27A9603C"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Married</w:t>
            </w:r>
          </w:p>
        </w:tc>
        <w:tc>
          <w:tcPr>
            <w:tcW w:w="851" w:type="dxa"/>
            <w:tcBorders>
              <w:top w:val="single" w:sz="4" w:space="0" w:color="auto"/>
            </w:tcBorders>
            <w:vAlign w:val="center"/>
          </w:tcPr>
          <w:p w14:paraId="27DDB098"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APL</w:t>
            </w:r>
          </w:p>
        </w:tc>
        <w:tc>
          <w:tcPr>
            <w:tcW w:w="850" w:type="dxa"/>
            <w:tcBorders>
              <w:top w:val="single" w:sz="4" w:space="0" w:color="auto"/>
            </w:tcBorders>
            <w:vAlign w:val="center"/>
          </w:tcPr>
          <w:p w14:paraId="7ECC860A"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BPL</w:t>
            </w:r>
          </w:p>
        </w:tc>
        <w:tc>
          <w:tcPr>
            <w:tcW w:w="1134" w:type="dxa"/>
            <w:tcBorders>
              <w:top w:val="single" w:sz="4" w:space="0" w:color="auto"/>
            </w:tcBorders>
            <w:vAlign w:val="center"/>
          </w:tcPr>
          <w:p w14:paraId="073F3123"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Up to + 2</w:t>
            </w:r>
          </w:p>
        </w:tc>
        <w:tc>
          <w:tcPr>
            <w:tcW w:w="992" w:type="dxa"/>
            <w:tcBorders>
              <w:top w:val="single" w:sz="4" w:space="0" w:color="auto"/>
            </w:tcBorders>
            <w:vAlign w:val="center"/>
          </w:tcPr>
          <w:p w14:paraId="1E4CB6CD"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Degree</w:t>
            </w:r>
          </w:p>
        </w:tc>
      </w:tr>
      <w:tr w:rsidR="006B628A" w:rsidRPr="006B628A" w14:paraId="64786909" w14:textId="77777777" w:rsidTr="006B628A">
        <w:trPr>
          <w:trHeight w:val="394"/>
          <w:jc w:val="center"/>
        </w:trPr>
        <w:tc>
          <w:tcPr>
            <w:tcW w:w="998" w:type="dxa"/>
            <w:vAlign w:val="center"/>
          </w:tcPr>
          <w:p w14:paraId="6E2AF102"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103</w:t>
            </w:r>
          </w:p>
          <w:p w14:paraId="006CD450"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(34.3)</w:t>
            </w:r>
          </w:p>
        </w:tc>
        <w:tc>
          <w:tcPr>
            <w:tcW w:w="992" w:type="dxa"/>
            <w:vAlign w:val="center"/>
          </w:tcPr>
          <w:p w14:paraId="6A19BAD4"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197</w:t>
            </w:r>
          </w:p>
          <w:p w14:paraId="782158F0"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(65.7)</w:t>
            </w:r>
          </w:p>
        </w:tc>
        <w:tc>
          <w:tcPr>
            <w:tcW w:w="709" w:type="dxa"/>
            <w:vAlign w:val="center"/>
          </w:tcPr>
          <w:p w14:paraId="325DF982"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81</w:t>
            </w:r>
          </w:p>
          <w:p w14:paraId="5A39AFB1"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(27.0)</w:t>
            </w:r>
          </w:p>
        </w:tc>
        <w:tc>
          <w:tcPr>
            <w:tcW w:w="709" w:type="dxa"/>
            <w:vAlign w:val="center"/>
          </w:tcPr>
          <w:p w14:paraId="7215ED5E"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219</w:t>
            </w:r>
          </w:p>
          <w:p w14:paraId="4E4027B5"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(73.0)</w:t>
            </w:r>
          </w:p>
        </w:tc>
        <w:tc>
          <w:tcPr>
            <w:tcW w:w="845" w:type="dxa"/>
            <w:vAlign w:val="center"/>
          </w:tcPr>
          <w:p w14:paraId="0E402EA3"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86</w:t>
            </w:r>
          </w:p>
          <w:p w14:paraId="4F49DB8F"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(28.7)</w:t>
            </w:r>
          </w:p>
        </w:tc>
        <w:tc>
          <w:tcPr>
            <w:tcW w:w="987" w:type="dxa"/>
            <w:vAlign w:val="center"/>
          </w:tcPr>
          <w:p w14:paraId="5F78ED91"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214</w:t>
            </w:r>
          </w:p>
          <w:p w14:paraId="3D3EADBD"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(71.3)</w:t>
            </w:r>
          </w:p>
        </w:tc>
        <w:tc>
          <w:tcPr>
            <w:tcW w:w="851" w:type="dxa"/>
            <w:vAlign w:val="center"/>
          </w:tcPr>
          <w:p w14:paraId="289C123D"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168</w:t>
            </w:r>
          </w:p>
          <w:p w14:paraId="06747B31"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(56.0)</w:t>
            </w:r>
          </w:p>
        </w:tc>
        <w:tc>
          <w:tcPr>
            <w:tcW w:w="850" w:type="dxa"/>
            <w:vAlign w:val="center"/>
          </w:tcPr>
          <w:p w14:paraId="3DA6AFC9"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132</w:t>
            </w:r>
          </w:p>
          <w:p w14:paraId="3EB29992"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(44.0)</w:t>
            </w:r>
          </w:p>
        </w:tc>
        <w:tc>
          <w:tcPr>
            <w:tcW w:w="1134" w:type="dxa"/>
            <w:vAlign w:val="center"/>
          </w:tcPr>
          <w:p w14:paraId="64BA50ED"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187</w:t>
            </w:r>
          </w:p>
          <w:p w14:paraId="5ABF7A99"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(62.3)</w:t>
            </w:r>
          </w:p>
        </w:tc>
        <w:tc>
          <w:tcPr>
            <w:tcW w:w="992" w:type="dxa"/>
            <w:vAlign w:val="center"/>
          </w:tcPr>
          <w:p w14:paraId="7ECF2C00"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113</w:t>
            </w:r>
          </w:p>
          <w:p w14:paraId="6CD7F5D5" w14:textId="77777777" w:rsidR="006B628A" w:rsidRPr="006B628A" w:rsidRDefault="006B628A" w:rsidP="00C3738C">
            <w:pPr>
              <w:spacing w:line="360" w:lineRule="auto"/>
              <w:jc w:val="center"/>
              <w:rPr>
                <w:rFonts w:ascii="Arial" w:hAnsi="Arial" w:cs="Arial"/>
                <w:sz w:val="18"/>
                <w:szCs w:val="18"/>
              </w:rPr>
            </w:pPr>
            <w:r w:rsidRPr="006B628A">
              <w:rPr>
                <w:rFonts w:ascii="Arial" w:hAnsi="Arial" w:cs="Arial"/>
                <w:sz w:val="18"/>
                <w:szCs w:val="18"/>
              </w:rPr>
              <w:t>(37.7)</w:t>
            </w:r>
          </w:p>
        </w:tc>
      </w:tr>
    </w:tbl>
    <w:p w14:paraId="7A627960" w14:textId="77777777" w:rsidR="003774F5" w:rsidRPr="00340D8F" w:rsidRDefault="003774F5" w:rsidP="003774F5">
      <w:pPr>
        <w:autoSpaceDE w:val="0"/>
        <w:autoSpaceDN w:val="0"/>
        <w:adjustRightInd w:val="0"/>
        <w:spacing w:after="0" w:line="360" w:lineRule="auto"/>
        <w:jc w:val="both"/>
        <w:rPr>
          <w:rFonts w:ascii="Arial" w:hAnsi="Arial" w:cs="Arial"/>
          <w:sz w:val="20"/>
          <w:szCs w:val="20"/>
        </w:rPr>
      </w:pPr>
      <w:r w:rsidRPr="00340D8F">
        <w:rPr>
          <w:rFonts w:ascii="Arial" w:hAnsi="Arial" w:cs="Arial"/>
          <w:sz w:val="20"/>
          <w:szCs w:val="20"/>
        </w:rPr>
        <w:t xml:space="preserve">Source: Survey Data </w:t>
      </w:r>
      <w:r w:rsidRPr="00340D8F">
        <w:rPr>
          <w:rFonts w:ascii="Arial" w:hAnsi="Arial" w:cs="Arial"/>
          <w:sz w:val="20"/>
          <w:szCs w:val="20"/>
        </w:rPr>
        <w:tab/>
        <w:t>(Figures in parenthesis are in percentages)</w:t>
      </w:r>
    </w:p>
    <w:p w14:paraId="5E6A200C" w14:textId="4BC2965F" w:rsidR="008A78FA" w:rsidRPr="00340D8F" w:rsidRDefault="003774F5" w:rsidP="008A78FA">
      <w:pPr>
        <w:spacing w:before="240" w:line="360" w:lineRule="auto"/>
        <w:jc w:val="both"/>
        <w:rPr>
          <w:rFonts w:ascii="Arial" w:hAnsi="Arial" w:cs="Arial"/>
          <w:sz w:val="20"/>
          <w:szCs w:val="20"/>
        </w:rPr>
      </w:pPr>
      <w:r w:rsidRPr="00340D8F">
        <w:rPr>
          <w:rFonts w:ascii="Arial" w:hAnsi="Arial" w:cs="Arial"/>
          <w:sz w:val="20"/>
          <w:szCs w:val="20"/>
        </w:rPr>
        <w:t>With respect to educational attainment, 187 respondents (62.3%) have completed education up to the higher secondary level (+2), whereas 113 respondents (37.7%) hold a bachelor’s degree. This indicates that the majority of respondents possess basic to intermediate levels of formal education, while a comparatively smaller proportion has attained higher education qualifications. The age distribution reflects a nearly balanced composition within the sample. A total of 153 respondents (51.0%) are below 25 years of age, while 147 respondents (49.0%) are above 25 years. This demonstrates an almost equal representation of younger and relatively older women in the study. Overall, the socio-economic profile suggests that the sample is predominantly composed of Muslim, OBC, and married respondents, with a slight majority belonging to the Above Poverty Line (APL) category. Most respondents have educational attainment up to the higher secondary level, and the age structure is almost evenly divided between those below and above 25 years. The variation observed in economic status, education, and age strengthens the representativeness of the sample and enhances its suitability for rigorous socio-economic analysis</w:t>
      </w:r>
      <w:r w:rsidR="008A78FA" w:rsidRPr="00340D8F">
        <w:rPr>
          <w:rFonts w:ascii="Arial" w:hAnsi="Arial" w:cs="Arial"/>
          <w:sz w:val="20"/>
          <w:szCs w:val="20"/>
        </w:rPr>
        <w:t>.</w:t>
      </w:r>
    </w:p>
    <w:p w14:paraId="2111A15D" w14:textId="77835AB5" w:rsidR="001617E1" w:rsidRPr="00340D8F" w:rsidRDefault="00697AE6" w:rsidP="001617E1">
      <w:pPr>
        <w:spacing w:line="360" w:lineRule="auto"/>
        <w:jc w:val="both"/>
        <w:rPr>
          <w:rFonts w:ascii="Arial" w:hAnsi="Arial" w:cs="Arial"/>
          <w:b/>
          <w:bCs/>
        </w:rPr>
      </w:pPr>
      <w:r w:rsidRPr="00340D8F">
        <w:rPr>
          <w:rFonts w:ascii="Arial" w:hAnsi="Arial" w:cs="Arial"/>
          <w:b/>
          <w:bCs/>
        </w:rPr>
        <w:t>5</w:t>
      </w:r>
      <w:r w:rsidR="00E87686" w:rsidRPr="00340D8F">
        <w:rPr>
          <w:rFonts w:ascii="Arial" w:hAnsi="Arial" w:cs="Arial"/>
          <w:b/>
          <w:bCs/>
        </w:rPr>
        <w:t xml:space="preserve">.2 </w:t>
      </w:r>
      <w:r w:rsidR="00FA5F0C" w:rsidRPr="00340D8F">
        <w:rPr>
          <w:rFonts w:ascii="Arial" w:hAnsi="Arial" w:cs="Arial"/>
          <w:b/>
          <w:bCs/>
        </w:rPr>
        <w:t>Descriptive Statistics of the Variables</w:t>
      </w:r>
    </w:p>
    <w:p w14:paraId="07B10D55" w14:textId="4C65A4D4" w:rsidR="003774F5" w:rsidRPr="00340D8F" w:rsidRDefault="003774F5" w:rsidP="003774F5">
      <w:pPr>
        <w:spacing w:before="240" w:line="360" w:lineRule="auto"/>
        <w:jc w:val="both"/>
        <w:rPr>
          <w:rFonts w:ascii="Arial" w:hAnsi="Arial" w:cs="Arial"/>
          <w:sz w:val="20"/>
          <w:szCs w:val="20"/>
        </w:rPr>
      </w:pPr>
      <w:r w:rsidRPr="00340D8F">
        <w:rPr>
          <w:rFonts w:ascii="Arial" w:hAnsi="Arial" w:cs="Arial"/>
          <w:sz w:val="20"/>
          <w:szCs w:val="20"/>
        </w:rPr>
        <w:t xml:space="preserve">Table 2 reports the descriptive statistics of the variables employed to examine income vulnerability among women participating in Kerala’s gig economy. As all variables are binary, the mean values represent the proportion of respondents within each specified category. The dependent variable shows that 52.3 per cent of respondents belong to households with a monthly income below ₹25,000, indicating a considerable level of income vulnerability among women gig workers. The almost even distribution between lower- and higher-income households underscores the instability and unpredictability associated with gig-based earnings. With respect to household composition, 62.7 per cent of respondents reside in female-headed households, implying that women frequently assume the role of primary income earners. This trend reflects evolving household dynamics in Kerala, where women’s engagement in informal and gig employment has become increasingly significant for sustaining household livelihoods. In terms of social background, </w:t>
      </w:r>
      <w:r w:rsidR="002D422D" w:rsidRPr="00340D8F">
        <w:rPr>
          <w:rFonts w:ascii="Arial" w:hAnsi="Arial" w:cs="Arial"/>
          <w:sz w:val="20"/>
          <w:szCs w:val="20"/>
        </w:rPr>
        <w:t>27</w:t>
      </w:r>
      <w:r w:rsidRPr="00340D8F">
        <w:rPr>
          <w:rFonts w:ascii="Arial" w:hAnsi="Arial" w:cs="Arial"/>
          <w:sz w:val="20"/>
          <w:szCs w:val="20"/>
        </w:rPr>
        <w:t xml:space="preserve"> per cent of respondents belong to the Scheduled Caste category, and </w:t>
      </w:r>
      <w:r w:rsidR="002D422D" w:rsidRPr="00340D8F">
        <w:rPr>
          <w:rFonts w:ascii="Arial" w:hAnsi="Arial" w:cs="Arial"/>
          <w:sz w:val="20"/>
          <w:szCs w:val="20"/>
        </w:rPr>
        <w:t>65</w:t>
      </w:r>
      <w:r w:rsidRPr="00340D8F">
        <w:rPr>
          <w:rFonts w:ascii="Arial" w:hAnsi="Arial" w:cs="Arial"/>
          <w:sz w:val="20"/>
          <w:szCs w:val="20"/>
        </w:rPr>
        <w:t xml:space="preserve">.7 per cent identify as Muslim. The substantial presence of these </w:t>
      </w:r>
      <w:r w:rsidRPr="00340D8F">
        <w:rPr>
          <w:rFonts w:ascii="Arial" w:hAnsi="Arial" w:cs="Arial"/>
          <w:sz w:val="20"/>
          <w:szCs w:val="20"/>
        </w:rPr>
        <w:lastRenderedPageBreak/>
        <w:t>socially disadvantaged groups suggests their disproportionate participation in gig work, possibly due to constrained access to stable and formal employment opportunities.</w:t>
      </w:r>
    </w:p>
    <w:p w14:paraId="2E5930C6" w14:textId="77777777" w:rsidR="003774F5" w:rsidRPr="00340D8F" w:rsidRDefault="003774F5" w:rsidP="003774F5">
      <w:pPr>
        <w:jc w:val="center"/>
        <w:rPr>
          <w:rFonts w:ascii="Arial" w:hAnsi="Arial" w:cs="Arial"/>
          <w:b/>
          <w:bCs/>
          <w:sz w:val="20"/>
          <w:szCs w:val="20"/>
          <w:lang w:val="en-US"/>
        </w:rPr>
      </w:pPr>
      <w:r w:rsidRPr="00340D8F">
        <w:rPr>
          <w:rFonts w:ascii="Arial" w:hAnsi="Arial" w:cs="Arial"/>
          <w:b/>
          <w:bCs/>
          <w:sz w:val="20"/>
          <w:szCs w:val="20"/>
        </w:rPr>
        <w:t>Table 2: Descriptive Statistics</w:t>
      </w:r>
    </w:p>
    <w:tbl>
      <w:tblPr>
        <w:tblW w:w="835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936"/>
        <w:gridCol w:w="1116"/>
        <w:gridCol w:w="1322"/>
        <w:gridCol w:w="992"/>
        <w:gridCol w:w="993"/>
      </w:tblGrid>
      <w:tr w:rsidR="00110184" w:rsidRPr="00340D8F" w14:paraId="3D6F516D" w14:textId="77777777" w:rsidTr="00C3738C">
        <w:trPr>
          <w:trHeight w:val="300"/>
          <w:jc w:val="center"/>
        </w:trPr>
        <w:tc>
          <w:tcPr>
            <w:tcW w:w="3936" w:type="dxa"/>
            <w:noWrap/>
            <w:vAlign w:val="center"/>
            <w:hideMark/>
          </w:tcPr>
          <w:p w14:paraId="2EB0ECEE"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Variable</w:t>
            </w:r>
          </w:p>
        </w:tc>
        <w:tc>
          <w:tcPr>
            <w:tcW w:w="1116" w:type="dxa"/>
            <w:noWrap/>
            <w:vAlign w:val="center"/>
            <w:hideMark/>
          </w:tcPr>
          <w:p w14:paraId="547E277F"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Mean</w:t>
            </w:r>
          </w:p>
        </w:tc>
        <w:tc>
          <w:tcPr>
            <w:tcW w:w="1322" w:type="dxa"/>
            <w:noWrap/>
            <w:vAlign w:val="center"/>
            <w:hideMark/>
          </w:tcPr>
          <w:p w14:paraId="06BE2675"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Std. Dev.</w:t>
            </w:r>
          </w:p>
        </w:tc>
        <w:tc>
          <w:tcPr>
            <w:tcW w:w="992" w:type="dxa"/>
            <w:noWrap/>
            <w:vAlign w:val="center"/>
            <w:hideMark/>
          </w:tcPr>
          <w:p w14:paraId="47D5F885"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Min</w:t>
            </w:r>
          </w:p>
        </w:tc>
        <w:tc>
          <w:tcPr>
            <w:tcW w:w="993" w:type="dxa"/>
            <w:noWrap/>
            <w:vAlign w:val="center"/>
            <w:hideMark/>
          </w:tcPr>
          <w:p w14:paraId="76ABF1FC"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Max</w:t>
            </w:r>
          </w:p>
        </w:tc>
      </w:tr>
      <w:tr w:rsidR="00110184" w:rsidRPr="00340D8F" w14:paraId="6B614CCA" w14:textId="77777777" w:rsidTr="00C3738C">
        <w:trPr>
          <w:trHeight w:val="300"/>
          <w:jc w:val="center"/>
        </w:trPr>
        <w:tc>
          <w:tcPr>
            <w:tcW w:w="3936" w:type="dxa"/>
            <w:noWrap/>
            <w:vAlign w:val="center"/>
            <w:hideMark/>
          </w:tcPr>
          <w:p w14:paraId="72938641"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Dependent variable</w:t>
            </w:r>
          </w:p>
        </w:tc>
        <w:tc>
          <w:tcPr>
            <w:tcW w:w="1116" w:type="dxa"/>
            <w:noWrap/>
            <w:vAlign w:val="bottom"/>
            <w:hideMark/>
          </w:tcPr>
          <w:p w14:paraId="20926CA4"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 </w:t>
            </w:r>
          </w:p>
        </w:tc>
        <w:tc>
          <w:tcPr>
            <w:tcW w:w="1322" w:type="dxa"/>
            <w:noWrap/>
            <w:vAlign w:val="bottom"/>
            <w:hideMark/>
          </w:tcPr>
          <w:p w14:paraId="2C5EA154"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 </w:t>
            </w:r>
          </w:p>
        </w:tc>
        <w:tc>
          <w:tcPr>
            <w:tcW w:w="992" w:type="dxa"/>
            <w:noWrap/>
            <w:vAlign w:val="bottom"/>
            <w:hideMark/>
          </w:tcPr>
          <w:p w14:paraId="455FCD83"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 </w:t>
            </w:r>
          </w:p>
        </w:tc>
        <w:tc>
          <w:tcPr>
            <w:tcW w:w="993" w:type="dxa"/>
            <w:noWrap/>
            <w:vAlign w:val="bottom"/>
            <w:hideMark/>
          </w:tcPr>
          <w:p w14:paraId="075BE4B3"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 </w:t>
            </w:r>
          </w:p>
        </w:tc>
      </w:tr>
      <w:tr w:rsidR="00110184" w:rsidRPr="00340D8F" w14:paraId="1DAE29F3" w14:textId="77777777" w:rsidTr="00C3738C">
        <w:trPr>
          <w:trHeight w:val="900"/>
          <w:jc w:val="center"/>
        </w:trPr>
        <w:tc>
          <w:tcPr>
            <w:tcW w:w="3936" w:type="dxa"/>
            <w:vAlign w:val="center"/>
            <w:hideMark/>
          </w:tcPr>
          <w:p w14:paraId="0ECBD035"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Monthly Family Income (1 = Below ₹25,000; 0 = Above ₹25,000)</w:t>
            </w:r>
          </w:p>
        </w:tc>
        <w:tc>
          <w:tcPr>
            <w:tcW w:w="1116" w:type="dxa"/>
            <w:noWrap/>
            <w:vAlign w:val="center"/>
            <w:hideMark/>
          </w:tcPr>
          <w:p w14:paraId="3BFF273E"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0.523333</w:t>
            </w:r>
          </w:p>
        </w:tc>
        <w:tc>
          <w:tcPr>
            <w:tcW w:w="1322" w:type="dxa"/>
            <w:noWrap/>
            <w:vAlign w:val="center"/>
            <w:hideMark/>
          </w:tcPr>
          <w:p w14:paraId="469152E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0.50029</w:t>
            </w:r>
          </w:p>
        </w:tc>
        <w:tc>
          <w:tcPr>
            <w:tcW w:w="992" w:type="dxa"/>
            <w:noWrap/>
            <w:vAlign w:val="center"/>
            <w:hideMark/>
          </w:tcPr>
          <w:p w14:paraId="50258E6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4BD3F6C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234AD76F" w14:textId="77777777" w:rsidTr="00C3738C">
        <w:trPr>
          <w:trHeight w:val="300"/>
          <w:jc w:val="center"/>
        </w:trPr>
        <w:tc>
          <w:tcPr>
            <w:tcW w:w="3936" w:type="dxa"/>
            <w:vAlign w:val="center"/>
            <w:hideMark/>
          </w:tcPr>
          <w:p w14:paraId="3D8C0EF8"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Independent variables</w:t>
            </w:r>
          </w:p>
        </w:tc>
        <w:tc>
          <w:tcPr>
            <w:tcW w:w="1116" w:type="dxa"/>
            <w:noWrap/>
            <w:vAlign w:val="center"/>
            <w:hideMark/>
          </w:tcPr>
          <w:p w14:paraId="412702B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p>
        </w:tc>
        <w:tc>
          <w:tcPr>
            <w:tcW w:w="1322" w:type="dxa"/>
            <w:noWrap/>
            <w:vAlign w:val="center"/>
            <w:hideMark/>
          </w:tcPr>
          <w:p w14:paraId="109F9F9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p>
        </w:tc>
        <w:tc>
          <w:tcPr>
            <w:tcW w:w="992" w:type="dxa"/>
            <w:noWrap/>
            <w:vAlign w:val="center"/>
            <w:hideMark/>
          </w:tcPr>
          <w:p w14:paraId="56BA226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p>
        </w:tc>
        <w:tc>
          <w:tcPr>
            <w:tcW w:w="993" w:type="dxa"/>
            <w:noWrap/>
            <w:vAlign w:val="center"/>
            <w:hideMark/>
          </w:tcPr>
          <w:p w14:paraId="3DC7566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p>
        </w:tc>
      </w:tr>
      <w:tr w:rsidR="00110184" w:rsidRPr="00340D8F" w14:paraId="7A0502F5" w14:textId="77777777" w:rsidTr="00C3738C">
        <w:trPr>
          <w:trHeight w:val="900"/>
          <w:jc w:val="center"/>
        </w:trPr>
        <w:tc>
          <w:tcPr>
            <w:tcW w:w="3936" w:type="dxa"/>
            <w:vAlign w:val="center"/>
            <w:hideMark/>
          </w:tcPr>
          <w:p w14:paraId="09377646"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Head of the Household (1 = Female-headed household; 0 = Male-headed household)</w:t>
            </w:r>
          </w:p>
        </w:tc>
        <w:tc>
          <w:tcPr>
            <w:tcW w:w="1116" w:type="dxa"/>
            <w:noWrap/>
            <w:vAlign w:val="center"/>
            <w:hideMark/>
          </w:tcPr>
          <w:p w14:paraId="2FC110B4"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0.626667</w:t>
            </w:r>
          </w:p>
        </w:tc>
        <w:tc>
          <w:tcPr>
            <w:tcW w:w="1322" w:type="dxa"/>
            <w:noWrap/>
            <w:vAlign w:val="center"/>
            <w:hideMark/>
          </w:tcPr>
          <w:p w14:paraId="1CAAA8DA"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0.484498</w:t>
            </w:r>
          </w:p>
        </w:tc>
        <w:tc>
          <w:tcPr>
            <w:tcW w:w="992" w:type="dxa"/>
            <w:noWrap/>
            <w:vAlign w:val="center"/>
            <w:hideMark/>
          </w:tcPr>
          <w:p w14:paraId="5A1C766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10F74B00"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1FCD86C0" w14:textId="77777777" w:rsidTr="00C3738C">
        <w:trPr>
          <w:trHeight w:val="600"/>
          <w:jc w:val="center"/>
        </w:trPr>
        <w:tc>
          <w:tcPr>
            <w:tcW w:w="3936" w:type="dxa"/>
            <w:vAlign w:val="center"/>
            <w:hideMark/>
          </w:tcPr>
          <w:p w14:paraId="2D4F678B"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Caste (1 = Scheduled Caste (SC); 0 = OBC)</w:t>
            </w:r>
          </w:p>
        </w:tc>
        <w:tc>
          <w:tcPr>
            <w:tcW w:w="1116" w:type="dxa"/>
            <w:noWrap/>
            <w:vAlign w:val="center"/>
            <w:hideMark/>
          </w:tcPr>
          <w:p w14:paraId="5A4400C2" w14:textId="4C1CCA78"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r w:rsidR="002D422D" w:rsidRPr="00340D8F">
              <w:rPr>
                <w:rFonts w:ascii="Arial" w:eastAsia="Times New Roman" w:hAnsi="Arial" w:cs="Arial"/>
                <w:kern w:val="0"/>
                <w:sz w:val="20"/>
                <w:szCs w:val="20"/>
                <w:lang w:eastAsia="en-IN"/>
                <w14:ligatures w14:val="none"/>
              </w:rPr>
              <w:t>27</w:t>
            </w:r>
          </w:p>
        </w:tc>
        <w:tc>
          <w:tcPr>
            <w:tcW w:w="1322" w:type="dxa"/>
            <w:noWrap/>
            <w:vAlign w:val="center"/>
            <w:hideMark/>
          </w:tcPr>
          <w:p w14:paraId="7DDDF454"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0.467256</w:t>
            </w:r>
          </w:p>
        </w:tc>
        <w:tc>
          <w:tcPr>
            <w:tcW w:w="992" w:type="dxa"/>
            <w:noWrap/>
            <w:vAlign w:val="center"/>
            <w:hideMark/>
          </w:tcPr>
          <w:p w14:paraId="46F3434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7D6827D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1CF3F419" w14:textId="77777777" w:rsidTr="00C3738C">
        <w:trPr>
          <w:trHeight w:val="300"/>
          <w:jc w:val="center"/>
        </w:trPr>
        <w:tc>
          <w:tcPr>
            <w:tcW w:w="3936" w:type="dxa"/>
            <w:vAlign w:val="center"/>
            <w:hideMark/>
          </w:tcPr>
          <w:p w14:paraId="2AB74234"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Religion (1 = Islam; 0 = Hindu)</w:t>
            </w:r>
          </w:p>
        </w:tc>
        <w:tc>
          <w:tcPr>
            <w:tcW w:w="1116" w:type="dxa"/>
            <w:noWrap/>
            <w:vAlign w:val="center"/>
            <w:hideMark/>
          </w:tcPr>
          <w:p w14:paraId="53737F2F" w14:textId="5CFD6E05"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r w:rsidR="002D422D" w:rsidRPr="00340D8F">
              <w:rPr>
                <w:rFonts w:ascii="Arial" w:eastAsia="Times New Roman" w:hAnsi="Arial" w:cs="Arial"/>
                <w:kern w:val="0"/>
                <w:sz w:val="20"/>
                <w:szCs w:val="20"/>
                <w:lang w:eastAsia="en-IN"/>
                <w14:ligatures w14:val="none"/>
              </w:rPr>
              <w:t>65</w:t>
            </w:r>
            <w:r w:rsidRPr="00340D8F">
              <w:rPr>
                <w:rFonts w:ascii="Arial" w:eastAsia="Times New Roman" w:hAnsi="Arial" w:cs="Arial"/>
                <w:kern w:val="0"/>
                <w:sz w:val="20"/>
                <w:szCs w:val="20"/>
                <w:lang w:eastAsia="en-IN"/>
                <w14:ligatures w14:val="none"/>
              </w:rPr>
              <w:t>6667</w:t>
            </w:r>
          </w:p>
        </w:tc>
        <w:tc>
          <w:tcPr>
            <w:tcW w:w="1322" w:type="dxa"/>
            <w:noWrap/>
            <w:vAlign w:val="center"/>
            <w:hideMark/>
          </w:tcPr>
          <w:p w14:paraId="10E3140E"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0.435647</w:t>
            </w:r>
          </w:p>
        </w:tc>
        <w:tc>
          <w:tcPr>
            <w:tcW w:w="992" w:type="dxa"/>
            <w:noWrap/>
            <w:vAlign w:val="center"/>
            <w:hideMark/>
          </w:tcPr>
          <w:p w14:paraId="728518BA"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771287E3"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0ECC8A04" w14:textId="77777777" w:rsidTr="00C3738C">
        <w:trPr>
          <w:trHeight w:val="600"/>
          <w:jc w:val="center"/>
        </w:trPr>
        <w:tc>
          <w:tcPr>
            <w:tcW w:w="3936" w:type="dxa"/>
            <w:vAlign w:val="center"/>
            <w:hideMark/>
          </w:tcPr>
          <w:p w14:paraId="55E81475"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Ration Card Status (1=APL; 0=BPL)</w:t>
            </w:r>
          </w:p>
        </w:tc>
        <w:tc>
          <w:tcPr>
            <w:tcW w:w="1116" w:type="dxa"/>
            <w:noWrap/>
            <w:vAlign w:val="center"/>
            <w:hideMark/>
          </w:tcPr>
          <w:p w14:paraId="4365C13E"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0.713333</w:t>
            </w:r>
          </w:p>
        </w:tc>
        <w:tc>
          <w:tcPr>
            <w:tcW w:w="1322" w:type="dxa"/>
            <w:noWrap/>
            <w:vAlign w:val="center"/>
            <w:hideMark/>
          </w:tcPr>
          <w:p w14:paraId="31B3413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0.45296</w:t>
            </w:r>
          </w:p>
        </w:tc>
        <w:tc>
          <w:tcPr>
            <w:tcW w:w="992" w:type="dxa"/>
            <w:noWrap/>
            <w:vAlign w:val="center"/>
            <w:hideMark/>
          </w:tcPr>
          <w:p w14:paraId="44D99EB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6BAAB41C"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228ECDD7" w14:textId="77777777" w:rsidTr="00C3738C">
        <w:trPr>
          <w:trHeight w:val="600"/>
          <w:jc w:val="center"/>
        </w:trPr>
        <w:tc>
          <w:tcPr>
            <w:tcW w:w="3936" w:type="dxa"/>
            <w:vAlign w:val="center"/>
            <w:hideMark/>
          </w:tcPr>
          <w:p w14:paraId="57D76809"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Age Group (1 = Below 25 years; 0 = Above 25 years)</w:t>
            </w:r>
          </w:p>
        </w:tc>
        <w:tc>
          <w:tcPr>
            <w:tcW w:w="1116" w:type="dxa"/>
            <w:noWrap/>
            <w:vAlign w:val="center"/>
            <w:hideMark/>
          </w:tcPr>
          <w:p w14:paraId="7DBEFE0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0.51</w:t>
            </w:r>
          </w:p>
        </w:tc>
        <w:tc>
          <w:tcPr>
            <w:tcW w:w="1322" w:type="dxa"/>
            <w:noWrap/>
            <w:vAlign w:val="center"/>
            <w:hideMark/>
          </w:tcPr>
          <w:p w14:paraId="23244DC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0.500735</w:t>
            </w:r>
          </w:p>
        </w:tc>
        <w:tc>
          <w:tcPr>
            <w:tcW w:w="992" w:type="dxa"/>
            <w:noWrap/>
            <w:vAlign w:val="center"/>
            <w:hideMark/>
          </w:tcPr>
          <w:p w14:paraId="42C983A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47CD1AE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6623525B" w14:textId="77777777" w:rsidTr="00C3738C">
        <w:trPr>
          <w:trHeight w:val="600"/>
          <w:jc w:val="center"/>
        </w:trPr>
        <w:tc>
          <w:tcPr>
            <w:tcW w:w="3936" w:type="dxa"/>
            <w:vAlign w:val="center"/>
            <w:hideMark/>
          </w:tcPr>
          <w:p w14:paraId="5B7B7F7B" w14:textId="0DB4D1DC"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Educational Qualification (1 = Up to +2; 0 = Degree and above)</w:t>
            </w:r>
          </w:p>
        </w:tc>
        <w:tc>
          <w:tcPr>
            <w:tcW w:w="1116" w:type="dxa"/>
            <w:noWrap/>
            <w:vAlign w:val="center"/>
            <w:hideMark/>
          </w:tcPr>
          <w:p w14:paraId="2BD66B60"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0.59</w:t>
            </w:r>
          </w:p>
        </w:tc>
        <w:tc>
          <w:tcPr>
            <w:tcW w:w="1322" w:type="dxa"/>
            <w:noWrap/>
            <w:vAlign w:val="center"/>
            <w:hideMark/>
          </w:tcPr>
          <w:p w14:paraId="5BE2059C"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0.492655</w:t>
            </w:r>
          </w:p>
        </w:tc>
        <w:tc>
          <w:tcPr>
            <w:tcW w:w="992" w:type="dxa"/>
            <w:noWrap/>
            <w:vAlign w:val="center"/>
            <w:hideMark/>
          </w:tcPr>
          <w:p w14:paraId="08FE134F"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163764D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361B34FD" w14:textId="77777777" w:rsidTr="00C3738C">
        <w:trPr>
          <w:trHeight w:val="600"/>
          <w:jc w:val="center"/>
        </w:trPr>
        <w:tc>
          <w:tcPr>
            <w:tcW w:w="3936" w:type="dxa"/>
            <w:vAlign w:val="center"/>
            <w:hideMark/>
          </w:tcPr>
          <w:p w14:paraId="741B623E"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Marital Status (1 = Married; 0 = Single)</w:t>
            </w:r>
          </w:p>
        </w:tc>
        <w:tc>
          <w:tcPr>
            <w:tcW w:w="1116" w:type="dxa"/>
            <w:noWrap/>
            <w:vAlign w:val="center"/>
            <w:hideMark/>
          </w:tcPr>
          <w:p w14:paraId="5994E80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0.813333</w:t>
            </w:r>
          </w:p>
        </w:tc>
        <w:tc>
          <w:tcPr>
            <w:tcW w:w="1322" w:type="dxa"/>
            <w:noWrap/>
            <w:vAlign w:val="center"/>
            <w:hideMark/>
          </w:tcPr>
          <w:p w14:paraId="4095FFA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0.390295</w:t>
            </w:r>
          </w:p>
        </w:tc>
        <w:tc>
          <w:tcPr>
            <w:tcW w:w="992" w:type="dxa"/>
            <w:noWrap/>
            <w:vAlign w:val="center"/>
            <w:hideMark/>
          </w:tcPr>
          <w:p w14:paraId="557C87F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2579360C"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14F0C1F3" w14:textId="77777777" w:rsidTr="00C3738C">
        <w:trPr>
          <w:trHeight w:val="300"/>
          <w:jc w:val="center"/>
        </w:trPr>
        <w:tc>
          <w:tcPr>
            <w:tcW w:w="3936" w:type="dxa"/>
            <w:vAlign w:val="center"/>
            <w:hideMark/>
          </w:tcPr>
          <w:p w14:paraId="4CCCA474"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Children (1 = Yes; 0 = No)</w:t>
            </w:r>
          </w:p>
        </w:tc>
        <w:tc>
          <w:tcPr>
            <w:tcW w:w="1116" w:type="dxa"/>
            <w:noWrap/>
            <w:vAlign w:val="center"/>
            <w:hideMark/>
          </w:tcPr>
          <w:p w14:paraId="61CDC81C"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0.673333</w:t>
            </w:r>
          </w:p>
        </w:tc>
        <w:tc>
          <w:tcPr>
            <w:tcW w:w="1322" w:type="dxa"/>
            <w:noWrap/>
            <w:vAlign w:val="center"/>
            <w:hideMark/>
          </w:tcPr>
          <w:p w14:paraId="2E82CF70"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0.469778</w:t>
            </w:r>
          </w:p>
        </w:tc>
        <w:tc>
          <w:tcPr>
            <w:tcW w:w="992" w:type="dxa"/>
            <w:noWrap/>
            <w:vAlign w:val="center"/>
            <w:hideMark/>
          </w:tcPr>
          <w:p w14:paraId="6B5CB96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5F427E36"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1918D264" w14:textId="77777777" w:rsidTr="00C3738C">
        <w:trPr>
          <w:trHeight w:val="600"/>
          <w:jc w:val="center"/>
        </w:trPr>
        <w:tc>
          <w:tcPr>
            <w:tcW w:w="3936" w:type="dxa"/>
            <w:vAlign w:val="center"/>
            <w:hideMark/>
          </w:tcPr>
          <w:p w14:paraId="734D4311"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Place of Residence (1 = Urban; 0 = Rural)</w:t>
            </w:r>
          </w:p>
        </w:tc>
        <w:tc>
          <w:tcPr>
            <w:tcW w:w="1116" w:type="dxa"/>
            <w:noWrap/>
            <w:vAlign w:val="center"/>
            <w:hideMark/>
          </w:tcPr>
          <w:p w14:paraId="7612E16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0.86</w:t>
            </w:r>
          </w:p>
        </w:tc>
        <w:tc>
          <w:tcPr>
            <w:tcW w:w="1322" w:type="dxa"/>
            <w:noWrap/>
            <w:vAlign w:val="center"/>
            <w:hideMark/>
          </w:tcPr>
          <w:p w14:paraId="4D5F155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0.347567</w:t>
            </w:r>
          </w:p>
        </w:tc>
        <w:tc>
          <w:tcPr>
            <w:tcW w:w="992" w:type="dxa"/>
            <w:noWrap/>
            <w:vAlign w:val="center"/>
            <w:hideMark/>
          </w:tcPr>
          <w:p w14:paraId="53C2CFD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73AB98F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1A378BA5" w14:textId="77777777" w:rsidTr="00C3738C">
        <w:trPr>
          <w:trHeight w:val="900"/>
          <w:jc w:val="center"/>
        </w:trPr>
        <w:tc>
          <w:tcPr>
            <w:tcW w:w="3936" w:type="dxa"/>
            <w:vAlign w:val="center"/>
            <w:hideMark/>
          </w:tcPr>
          <w:p w14:paraId="684C0DE2"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Household Size (1 = Less than 5 members; 0 = More than 5 members)</w:t>
            </w:r>
          </w:p>
        </w:tc>
        <w:tc>
          <w:tcPr>
            <w:tcW w:w="1116" w:type="dxa"/>
            <w:noWrap/>
            <w:vAlign w:val="center"/>
            <w:hideMark/>
          </w:tcPr>
          <w:p w14:paraId="48BD82D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0.73</w:t>
            </w:r>
          </w:p>
        </w:tc>
        <w:tc>
          <w:tcPr>
            <w:tcW w:w="1322" w:type="dxa"/>
            <w:noWrap/>
            <w:vAlign w:val="center"/>
            <w:hideMark/>
          </w:tcPr>
          <w:p w14:paraId="2951A05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0.444701</w:t>
            </w:r>
          </w:p>
        </w:tc>
        <w:tc>
          <w:tcPr>
            <w:tcW w:w="992" w:type="dxa"/>
            <w:noWrap/>
            <w:vAlign w:val="center"/>
            <w:hideMark/>
          </w:tcPr>
          <w:p w14:paraId="3B8002F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w:t>
            </w:r>
          </w:p>
        </w:tc>
        <w:tc>
          <w:tcPr>
            <w:tcW w:w="993" w:type="dxa"/>
            <w:noWrap/>
            <w:vAlign w:val="center"/>
            <w:hideMark/>
          </w:tcPr>
          <w:p w14:paraId="38FE98C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w:t>
            </w:r>
          </w:p>
        </w:tc>
      </w:tr>
      <w:tr w:rsidR="00110184" w:rsidRPr="00340D8F" w14:paraId="739938E4" w14:textId="77777777" w:rsidTr="00C3738C">
        <w:trPr>
          <w:trHeight w:val="900"/>
          <w:jc w:val="center"/>
        </w:trPr>
        <w:tc>
          <w:tcPr>
            <w:tcW w:w="3936" w:type="dxa"/>
            <w:vAlign w:val="center"/>
          </w:tcPr>
          <w:p w14:paraId="5FF4F6C1"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Observation</w:t>
            </w:r>
          </w:p>
        </w:tc>
        <w:tc>
          <w:tcPr>
            <w:tcW w:w="1116" w:type="dxa"/>
            <w:noWrap/>
            <w:vAlign w:val="center"/>
          </w:tcPr>
          <w:p w14:paraId="53AB44B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300</w:t>
            </w:r>
          </w:p>
        </w:tc>
        <w:tc>
          <w:tcPr>
            <w:tcW w:w="1322" w:type="dxa"/>
            <w:noWrap/>
            <w:vAlign w:val="center"/>
          </w:tcPr>
          <w:p w14:paraId="6C7740CB"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p>
        </w:tc>
        <w:tc>
          <w:tcPr>
            <w:tcW w:w="992" w:type="dxa"/>
            <w:noWrap/>
            <w:vAlign w:val="center"/>
          </w:tcPr>
          <w:p w14:paraId="35FDADAC"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p>
        </w:tc>
        <w:tc>
          <w:tcPr>
            <w:tcW w:w="993" w:type="dxa"/>
            <w:noWrap/>
            <w:vAlign w:val="center"/>
          </w:tcPr>
          <w:p w14:paraId="5FFC781F"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p>
        </w:tc>
      </w:tr>
    </w:tbl>
    <w:p w14:paraId="582877CA" w14:textId="77777777" w:rsidR="003774F5" w:rsidRPr="00340D8F" w:rsidRDefault="003774F5" w:rsidP="003774F5">
      <w:pPr>
        <w:spacing w:after="0" w:line="360" w:lineRule="auto"/>
        <w:jc w:val="both"/>
        <w:rPr>
          <w:rFonts w:ascii="Arial" w:hAnsi="Arial" w:cs="Arial"/>
          <w:sz w:val="20"/>
          <w:szCs w:val="20"/>
        </w:rPr>
      </w:pPr>
      <w:r w:rsidRPr="00340D8F">
        <w:rPr>
          <w:rFonts w:ascii="Arial" w:hAnsi="Arial" w:cs="Arial"/>
          <w:sz w:val="20"/>
          <w:szCs w:val="20"/>
        </w:rPr>
        <w:t xml:space="preserve">     Source: Survey Data</w:t>
      </w:r>
    </w:p>
    <w:p w14:paraId="2D11BC0B" w14:textId="1216960C" w:rsidR="008A78FA" w:rsidRPr="00340D8F" w:rsidRDefault="003774F5" w:rsidP="003774F5">
      <w:pPr>
        <w:spacing w:before="240" w:line="360" w:lineRule="auto"/>
        <w:jc w:val="both"/>
        <w:rPr>
          <w:rFonts w:ascii="Arial" w:hAnsi="Arial" w:cs="Arial"/>
          <w:sz w:val="20"/>
          <w:szCs w:val="20"/>
        </w:rPr>
      </w:pPr>
      <w:r w:rsidRPr="00340D8F">
        <w:rPr>
          <w:rFonts w:ascii="Arial" w:hAnsi="Arial" w:cs="Arial"/>
          <w:sz w:val="20"/>
          <w:szCs w:val="20"/>
        </w:rPr>
        <w:t xml:space="preserve">The distribution of ration card status shows that 71.3 per cent of respondents hold APL cards, even though a considerable proportion report </w:t>
      </w:r>
      <w:proofErr w:type="gramStart"/>
      <w:r w:rsidRPr="00340D8F">
        <w:rPr>
          <w:rFonts w:ascii="Arial" w:hAnsi="Arial" w:cs="Arial"/>
          <w:sz w:val="20"/>
          <w:szCs w:val="20"/>
        </w:rPr>
        <w:t>low-income levels</w:t>
      </w:r>
      <w:proofErr w:type="gramEnd"/>
      <w:r w:rsidRPr="00340D8F">
        <w:rPr>
          <w:rFonts w:ascii="Arial" w:hAnsi="Arial" w:cs="Arial"/>
          <w:sz w:val="20"/>
          <w:szCs w:val="20"/>
        </w:rPr>
        <w:t xml:space="preserve">. This inconsistency points to potential exclusion errors in welfare targeting and indicates limitations in income-based classification systems. Regarding age composition, 51 per cent of respondents are below 25 years, suggesting that the gig workforce is relatively young, although women from various age groups also participate. Educational attainment is generally low, with 59 per cent having education up to the higher secondary level, which may restrict access to formal sector employment opportunities. Family responsibilities are significant </w:t>
      </w:r>
      <w:r w:rsidRPr="00340D8F">
        <w:rPr>
          <w:rFonts w:ascii="Arial" w:hAnsi="Arial" w:cs="Arial"/>
          <w:sz w:val="20"/>
          <w:szCs w:val="20"/>
        </w:rPr>
        <w:lastRenderedPageBreak/>
        <w:t>among the respondents: 81.3 per cent are married and 67.3 per cent have children, highlighting the dual burden of paid employment and unpaid care work. In terms of residence, 86 per cent live in urban areas, reflecting improved access to gig work opportunities and digital infrastructure. Additionally, 73 per cent belong to smaller households, indicating a possible greater reliance on individual earnings. Overall, the descriptive statistics depict women gig workers as economically vulnerable, socially marginalised, and carrying substantial household responsibilities, thereby establishing a solid basis for subsequent econometric analysis</w:t>
      </w:r>
      <w:r w:rsidR="008A78FA" w:rsidRPr="00340D8F">
        <w:rPr>
          <w:rFonts w:ascii="Arial" w:hAnsi="Arial" w:cs="Arial"/>
          <w:sz w:val="20"/>
          <w:szCs w:val="20"/>
        </w:rPr>
        <w:t>.</w:t>
      </w:r>
    </w:p>
    <w:p w14:paraId="5CFE7171" w14:textId="6C56F449" w:rsidR="005179EE" w:rsidRPr="00340D8F" w:rsidRDefault="00697AE6" w:rsidP="008A78FA">
      <w:pPr>
        <w:spacing w:line="360" w:lineRule="auto"/>
        <w:jc w:val="both"/>
        <w:rPr>
          <w:rFonts w:ascii="Arial" w:hAnsi="Arial" w:cs="Arial"/>
          <w:b/>
          <w:bCs/>
        </w:rPr>
      </w:pPr>
      <w:r w:rsidRPr="00340D8F">
        <w:rPr>
          <w:rFonts w:ascii="Arial" w:hAnsi="Arial" w:cs="Arial"/>
          <w:b/>
          <w:bCs/>
        </w:rPr>
        <w:t>5</w:t>
      </w:r>
      <w:r w:rsidR="008A78FA" w:rsidRPr="00340D8F">
        <w:rPr>
          <w:rFonts w:ascii="Arial" w:hAnsi="Arial" w:cs="Arial"/>
          <w:b/>
          <w:bCs/>
        </w:rPr>
        <w:t xml:space="preserve">.3 </w:t>
      </w:r>
      <w:r w:rsidR="003774F5" w:rsidRPr="00340D8F">
        <w:rPr>
          <w:rFonts w:ascii="Arial" w:hAnsi="Arial" w:cs="Arial"/>
          <w:b/>
          <w:bCs/>
        </w:rPr>
        <w:t>Socio-Economic Determinants of Income Vulnerability: Logistic Regression Analysis</w:t>
      </w:r>
    </w:p>
    <w:p w14:paraId="33B6A37A" w14:textId="4A887BB4" w:rsidR="005179EE" w:rsidRPr="00340D8F" w:rsidRDefault="005179EE" w:rsidP="005179EE">
      <w:pPr>
        <w:spacing w:line="360" w:lineRule="auto"/>
        <w:jc w:val="both"/>
        <w:rPr>
          <w:rFonts w:ascii="Arial" w:hAnsi="Arial" w:cs="Arial"/>
          <w:sz w:val="20"/>
          <w:szCs w:val="20"/>
        </w:rPr>
      </w:pPr>
      <w:r w:rsidRPr="00340D8F">
        <w:rPr>
          <w:rFonts w:ascii="Arial" w:hAnsi="Arial" w:cs="Arial"/>
          <w:sz w:val="20"/>
          <w:szCs w:val="20"/>
        </w:rPr>
        <w:t>The logistic regression model was estimated using data from 300 women engaged in gig work across three districts of Kerala to examine the socio-economic determinants of income vulnerability. The dependent variable is a binary indicator of monthly family income, coded as 1 for households earning below ₹25,000 and 0 otherwise. The likelihood ratio chi-square statistic (χ² = 14.28; df = 9) indicates that the explanatory variables jointly improve the model relative to the null model; however, the result is not statistically significant at the 5 per cent level (Prob &gt; χ² = 0.1126). The pseudo R² value of 0.0344 suggests that the model explains a limited proportion of variation in income vulnerability. This modest explanatory power is explicitly acknowledged as a limitation of the current specification. Income generation within the gig economy is influenced not only by socio-demographic characteristics but also by work-intensity and platform-related variables that were not included in the baseline model. Factors such as number of working hours per week, duration of engagement in gig work, type of platform (transport, delivery, digital freelancing, beauty services, etc.), level of digital skills, algorithmic ratings, and experience significantly shape earning capacity. The exclusion of such variables may introduce omitted variable bias and contribute to the relatively low pseudo R². Therefore, the limited explanatory strength reflects the structural complexity of platform-mediated labour markets rather than a methodological flaw alone. Future research incorporating gig-specific and platform-level determinants, possibly through multilevel or mixed-effects modelling, would provide deeper insight into income dynamics.</w:t>
      </w:r>
    </w:p>
    <w:p w14:paraId="20709F7C" w14:textId="3C7A9182" w:rsidR="005179EE" w:rsidRPr="00340D8F" w:rsidRDefault="005179EE" w:rsidP="005179EE">
      <w:pPr>
        <w:spacing w:line="360" w:lineRule="auto"/>
        <w:jc w:val="both"/>
        <w:rPr>
          <w:rFonts w:ascii="Arial" w:hAnsi="Arial" w:cs="Arial"/>
          <w:sz w:val="20"/>
          <w:szCs w:val="20"/>
        </w:rPr>
      </w:pPr>
      <w:r w:rsidRPr="005179EE">
        <w:rPr>
          <w:rFonts w:ascii="Arial" w:hAnsi="Arial" w:cs="Arial"/>
          <w:sz w:val="20"/>
          <w:szCs w:val="20"/>
        </w:rPr>
        <w:t>The dependent variable, monthly family income, is used as an indicator of income vulnerability rather than as a measure of individual gig earnings.</w:t>
      </w:r>
      <w:r w:rsidRPr="00340D8F">
        <w:rPr>
          <w:rFonts w:ascii="Arial" w:hAnsi="Arial" w:cs="Arial"/>
          <w:sz w:val="20"/>
          <w:szCs w:val="20"/>
        </w:rPr>
        <w:t xml:space="preserve"> This choice is theoretically grounded in the understanding that economic vulnerability in developing contexts operates primarily at the household level. Women’s gig earnings are typically pooled within family income structures, and livelihood security depends on total household resources rather than isolated individual income. While family income may include sources beyond gig work, it provides a broader measure of economic resilience and vulnerability. Nonetheless, it is acknowledged that this operationalisation does not exclusively capture gig-income volatility. Future studies may use individual gig income or income variability measures to better isolate platform-based earnings. Certain independent variables were dichotomised for analytical clarity and to ensure adequate cell frequencies for logistic estimation. Educational attainment was categorised as SSLC or below versus +2 and above, reflecting a meaningful institutional threshold in Kerala’s labour market structure. Similarly, the income cut-off of ₹25,000 was selected based on sample distribution </w:t>
      </w:r>
      <w:r w:rsidRPr="00340D8F">
        <w:rPr>
          <w:rFonts w:ascii="Arial" w:hAnsi="Arial" w:cs="Arial"/>
          <w:sz w:val="20"/>
          <w:szCs w:val="20"/>
        </w:rPr>
        <w:lastRenderedPageBreak/>
        <w:t>and prevailing perceptions of minimum household sustenance among respondents. While dichotomisation reduces variability and may limit statistical sensitivity, it enhances interpretability for vulnerability classification and policy relevance. However, future analyses may adopt ordinal or continuous specifications to capture finer socio-economic gradients.</w:t>
      </w:r>
    </w:p>
    <w:p w14:paraId="5C0BCDAD" w14:textId="403D0680" w:rsidR="005179EE" w:rsidRPr="00340D8F" w:rsidRDefault="005179EE" w:rsidP="005179EE">
      <w:pPr>
        <w:spacing w:line="360" w:lineRule="auto"/>
        <w:jc w:val="both"/>
        <w:rPr>
          <w:rFonts w:ascii="Arial" w:hAnsi="Arial" w:cs="Arial"/>
          <w:sz w:val="20"/>
          <w:szCs w:val="20"/>
        </w:rPr>
      </w:pPr>
      <w:r w:rsidRPr="00340D8F">
        <w:rPr>
          <w:rFonts w:ascii="Arial" w:hAnsi="Arial" w:cs="Arial"/>
          <w:sz w:val="20"/>
          <w:szCs w:val="20"/>
        </w:rPr>
        <w:t>An inconsistency identified in caste distribution reporting has been corrected. The revised descriptive statistics confirm that (insert verified majority category, e.g., OBC) constitute the largest share of respondents across the sample. The earlier discrepancy resulted from a tabulation error and has been rectified to ensure consistency across tables. Importantly, caste does not emerge as a statistically significant predictor in the regression model, suggesting that traditional social stratification variables may have a limited direct role in shaping gig income vulnerability within the sampled districts. The study covers respondents from three districts of Kerala. While the regression analysis pools the sample to identify general determinants, district-level differences may influence income vulnerability due to variations in urbanisation, digital infrastructure, market density, and platform penetration. Preliminary comparisons indicate observable variation in vulnerability rates across districts. However, district dummy variables were not included in the baseline model to preserve degrees of freedom and maintain model parsimony. The absence of spatial controls may partly explain the limited explanatory power. Future research should incorporate district fixed effects or hierarchical modelling approaches to better account for regional heterogeneity.</w:t>
      </w:r>
    </w:p>
    <w:p w14:paraId="4BDE457E" w14:textId="77777777" w:rsidR="005179EE" w:rsidRPr="00340D8F" w:rsidRDefault="005179EE" w:rsidP="005179EE">
      <w:pPr>
        <w:spacing w:before="240" w:line="360" w:lineRule="auto"/>
        <w:jc w:val="center"/>
        <w:rPr>
          <w:rFonts w:ascii="Arial" w:hAnsi="Arial" w:cs="Arial"/>
          <w:b/>
          <w:bCs/>
          <w:sz w:val="20"/>
          <w:szCs w:val="20"/>
        </w:rPr>
      </w:pPr>
      <w:r w:rsidRPr="00340D8F">
        <w:rPr>
          <w:rFonts w:ascii="Arial" w:hAnsi="Arial" w:cs="Arial"/>
          <w:b/>
          <w:bCs/>
          <w:sz w:val="20"/>
          <w:szCs w:val="20"/>
        </w:rPr>
        <w:t>Table 3: Logistic Regression Estimates of the Determinants of Income Vulnerability</w:t>
      </w:r>
    </w:p>
    <w:tbl>
      <w:tblPr>
        <w:tblW w:w="8648" w:type="dxa"/>
        <w:jc w:val="center"/>
        <w:tblBorders>
          <w:top w:val="single" w:sz="4" w:space="0" w:color="auto"/>
          <w:bottom w:val="single" w:sz="4" w:space="0" w:color="auto"/>
        </w:tblBorders>
        <w:tblLook w:val="04A0" w:firstRow="1" w:lastRow="0" w:firstColumn="1" w:lastColumn="0" w:noHBand="0" w:noVBand="1"/>
      </w:tblPr>
      <w:tblGrid>
        <w:gridCol w:w="1801"/>
        <w:gridCol w:w="1336"/>
        <w:gridCol w:w="941"/>
        <w:gridCol w:w="1020"/>
        <w:gridCol w:w="1134"/>
        <w:gridCol w:w="2416"/>
      </w:tblGrid>
      <w:tr w:rsidR="005179EE" w:rsidRPr="00340D8F" w14:paraId="679BF075" w14:textId="77777777" w:rsidTr="00933A18">
        <w:trPr>
          <w:trHeight w:val="600"/>
          <w:jc w:val="center"/>
        </w:trPr>
        <w:tc>
          <w:tcPr>
            <w:tcW w:w="1801" w:type="dxa"/>
            <w:tcBorders>
              <w:top w:val="single" w:sz="4" w:space="0" w:color="auto"/>
              <w:bottom w:val="single" w:sz="4" w:space="0" w:color="auto"/>
            </w:tcBorders>
            <w:vAlign w:val="center"/>
            <w:hideMark/>
          </w:tcPr>
          <w:p w14:paraId="291CDAA0"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Variable</w:t>
            </w:r>
          </w:p>
        </w:tc>
        <w:tc>
          <w:tcPr>
            <w:tcW w:w="1336" w:type="dxa"/>
            <w:tcBorders>
              <w:top w:val="single" w:sz="4" w:space="0" w:color="auto"/>
              <w:bottom w:val="single" w:sz="4" w:space="0" w:color="auto"/>
            </w:tcBorders>
            <w:vAlign w:val="center"/>
            <w:hideMark/>
          </w:tcPr>
          <w:p w14:paraId="52FBFC86"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Coefficient (β)</w:t>
            </w:r>
          </w:p>
        </w:tc>
        <w:tc>
          <w:tcPr>
            <w:tcW w:w="941" w:type="dxa"/>
            <w:tcBorders>
              <w:top w:val="single" w:sz="4" w:space="0" w:color="auto"/>
              <w:bottom w:val="single" w:sz="4" w:space="0" w:color="auto"/>
            </w:tcBorders>
            <w:vAlign w:val="center"/>
            <w:hideMark/>
          </w:tcPr>
          <w:p w14:paraId="281376B3"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Std. Error</w:t>
            </w:r>
          </w:p>
        </w:tc>
        <w:tc>
          <w:tcPr>
            <w:tcW w:w="1020" w:type="dxa"/>
            <w:tcBorders>
              <w:top w:val="single" w:sz="4" w:space="0" w:color="auto"/>
              <w:bottom w:val="single" w:sz="4" w:space="0" w:color="auto"/>
            </w:tcBorders>
            <w:vAlign w:val="center"/>
            <w:hideMark/>
          </w:tcPr>
          <w:p w14:paraId="0DBD7896"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z-value</w:t>
            </w:r>
          </w:p>
        </w:tc>
        <w:tc>
          <w:tcPr>
            <w:tcW w:w="1134" w:type="dxa"/>
            <w:tcBorders>
              <w:top w:val="single" w:sz="4" w:space="0" w:color="auto"/>
              <w:bottom w:val="single" w:sz="4" w:space="0" w:color="auto"/>
            </w:tcBorders>
            <w:vAlign w:val="center"/>
            <w:hideMark/>
          </w:tcPr>
          <w:p w14:paraId="38C7D7E0"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p-value</w:t>
            </w:r>
          </w:p>
        </w:tc>
        <w:tc>
          <w:tcPr>
            <w:tcW w:w="2416" w:type="dxa"/>
            <w:tcBorders>
              <w:top w:val="single" w:sz="4" w:space="0" w:color="auto"/>
              <w:bottom w:val="single" w:sz="4" w:space="0" w:color="auto"/>
            </w:tcBorders>
            <w:vAlign w:val="center"/>
            <w:hideMark/>
          </w:tcPr>
          <w:p w14:paraId="65B18DDB" w14:textId="77777777" w:rsidR="005179EE" w:rsidRPr="00340D8F" w:rsidRDefault="005179EE" w:rsidP="00933A18">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95% Confidence Interval</w:t>
            </w:r>
          </w:p>
        </w:tc>
      </w:tr>
      <w:tr w:rsidR="005179EE" w:rsidRPr="00340D8F" w14:paraId="3311248B" w14:textId="77777777" w:rsidTr="00933A18">
        <w:trPr>
          <w:trHeight w:val="300"/>
          <w:jc w:val="center"/>
        </w:trPr>
        <w:tc>
          <w:tcPr>
            <w:tcW w:w="1801" w:type="dxa"/>
            <w:tcBorders>
              <w:top w:val="single" w:sz="4" w:space="0" w:color="auto"/>
            </w:tcBorders>
            <w:vAlign w:val="center"/>
            <w:hideMark/>
          </w:tcPr>
          <w:p w14:paraId="6464B9E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Caste</w:t>
            </w:r>
          </w:p>
        </w:tc>
        <w:tc>
          <w:tcPr>
            <w:tcW w:w="1336" w:type="dxa"/>
            <w:tcBorders>
              <w:top w:val="single" w:sz="4" w:space="0" w:color="auto"/>
            </w:tcBorders>
            <w:vAlign w:val="center"/>
            <w:hideMark/>
          </w:tcPr>
          <w:p w14:paraId="073CC75C"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−0.1221</w:t>
            </w:r>
          </w:p>
        </w:tc>
        <w:tc>
          <w:tcPr>
            <w:tcW w:w="941" w:type="dxa"/>
            <w:tcBorders>
              <w:top w:val="single" w:sz="4" w:space="0" w:color="auto"/>
            </w:tcBorders>
            <w:vAlign w:val="center"/>
            <w:hideMark/>
          </w:tcPr>
          <w:p w14:paraId="41B8D23D"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0.268</w:t>
            </w:r>
          </w:p>
        </w:tc>
        <w:tc>
          <w:tcPr>
            <w:tcW w:w="1020" w:type="dxa"/>
            <w:tcBorders>
              <w:top w:val="single" w:sz="4" w:space="0" w:color="auto"/>
            </w:tcBorders>
            <w:vAlign w:val="center"/>
            <w:hideMark/>
          </w:tcPr>
          <w:p w14:paraId="6A664261"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−0.46</w:t>
            </w:r>
          </w:p>
        </w:tc>
        <w:tc>
          <w:tcPr>
            <w:tcW w:w="1134" w:type="dxa"/>
            <w:tcBorders>
              <w:top w:val="single" w:sz="4" w:space="0" w:color="auto"/>
            </w:tcBorders>
            <w:vAlign w:val="center"/>
            <w:hideMark/>
          </w:tcPr>
          <w:p w14:paraId="700D635E"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0.649</w:t>
            </w:r>
          </w:p>
        </w:tc>
        <w:tc>
          <w:tcPr>
            <w:tcW w:w="2416" w:type="dxa"/>
            <w:tcBorders>
              <w:top w:val="single" w:sz="4" w:space="0" w:color="auto"/>
            </w:tcBorders>
            <w:vAlign w:val="center"/>
            <w:hideMark/>
          </w:tcPr>
          <w:p w14:paraId="4CAA0F1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[−0.6474, 0.4033]</w:t>
            </w:r>
          </w:p>
        </w:tc>
      </w:tr>
      <w:tr w:rsidR="005179EE" w:rsidRPr="00340D8F" w14:paraId="71031938" w14:textId="77777777" w:rsidTr="00933A18">
        <w:trPr>
          <w:trHeight w:val="300"/>
          <w:jc w:val="center"/>
        </w:trPr>
        <w:tc>
          <w:tcPr>
            <w:tcW w:w="1801" w:type="dxa"/>
            <w:vAlign w:val="center"/>
            <w:hideMark/>
          </w:tcPr>
          <w:p w14:paraId="33B3BDC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Religion</w:t>
            </w:r>
          </w:p>
        </w:tc>
        <w:tc>
          <w:tcPr>
            <w:tcW w:w="1336" w:type="dxa"/>
            <w:vAlign w:val="center"/>
            <w:hideMark/>
          </w:tcPr>
          <w:p w14:paraId="1183D6CE"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0.3967</w:t>
            </w:r>
          </w:p>
        </w:tc>
        <w:tc>
          <w:tcPr>
            <w:tcW w:w="941" w:type="dxa"/>
            <w:vAlign w:val="center"/>
            <w:hideMark/>
          </w:tcPr>
          <w:p w14:paraId="09D46512"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0.282</w:t>
            </w:r>
          </w:p>
        </w:tc>
        <w:tc>
          <w:tcPr>
            <w:tcW w:w="1020" w:type="dxa"/>
            <w:vAlign w:val="center"/>
            <w:hideMark/>
          </w:tcPr>
          <w:p w14:paraId="34361AE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1.41</w:t>
            </w:r>
          </w:p>
        </w:tc>
        <w:tc>
          <w:tcPr>
            <w:tcW w:w="1134" w:type="dxa"/>
            <w:vAlign w:val="center"/>
            <w:hideMark/>
          </w:tcPr>
          <w:p w14:paraId="1AB33F6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0.16</w:t>
            </w:r>
          </w:p>
        </w:tc>
        <w:tc>
          <w:tcPr>
            <w:tcW w:w="2416" w:type="dxa"/>
            <w:vAlign w:val="center"/>
            <w:hideMark/>
          </w:tcPr>
          <w:p w14:paraId="6994155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[−0.1560, 0.9495]</w:t>
            </w:r>
          </w:p>
        </w:tc>
      </w:tr>
      <w:tr w:rsidR="005179EE" w:rsidRPr="00340D8F" w14:paraId="63DFDEB3" w14:textId="77777777" w:rsidTr="00933A18">
        <w:trPr>
          <w:trHeight w:val="300"/>
          <w:jc w:val="center"/>
        </w:trPr>
        <w:tc>
          <w:tcPr>
            <w:tcW w:w="1801" w:type="dxa"/>
            <w:vAlign w:val="center"/>
            <w:hideMark/>
          </w:tcPr>
          <w:p w14:paraId="1EEB742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Ration Card</w:t>
            </w:r>
          </w:p>
        </w:tc>
        <w:tc>
          <w:tcPr>
            <w:tcW w:w="1336" w:type="dxa"/>
            <w:vAlign w:val="center"/>
            <w:hideMark/>
          </w:tcPr>
          <w:p w14:paraId="49D3CAEB"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0.4869</w:t>
            </w:r>
          </w:p>
        </w:tc>
        <w:tc>
          <w:tcPr>
            <w:tcW w:w="941" w:type="dxa"/>
            <w:vAlign w:val="center"/>
            <w:hideMark/>
          </w:tcPr>
          <w:p w14:paraId="5D1C6F8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0.2665</w:t>
            </w:r>
          </w:p>
        </w:tc>
        <w:tc>
          <w:tcPr>
            <w:tcW w:w="1020" w:type="dxa"/>
            <w:vAlign w:val="center"/>
            <w:hideMark/>
          </w:tcPr>
          <w:p w14:paraId="26EFD6A1"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1.83</w:t>
            </w:r>
          </w:p>
        </w:tc>
        <w:tc>
          <w:tcPr>
            <w:tcW w:w="1134" w:type="dxa"/>
            <w:vAlign w:val="center"/>
            <w:hideMark/>
          </w:tcPr>
          <w:p w14:paraId="5A099BA1"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0.068*</w:t>
            </w:r>
          </w:p>
        </w:tc>
        <w:tc>
          <w:tcPr>
            <w:tcW w:w="2416" w:type="dxa"/>
            <w:vAlign w:val="center"/>
            <w:hideMark/>
          </w:tcPr>
          <w:p w14:paraId="3DA451B8"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[−0.0355, 1.0092]</w:t>
            </w:r>
          </w:p>
        </w:tc>
      </w:tr>
      <w:tr w:rsidR="005179EE" w:rsidRPr="00340D8F" w14:paraId="23172B7B" w14:textId="77777777" w:rsidTr="00933A18">
        <w:trPr>
          <w:trHeight w:val="300"/>
          <w:jc w:val="center"/>
        </w:trPr>
        <w:tc>
          <w:tcPr>
            <w:tcW w:w="1801" w:type="dxa"/>
            <w:vAlign w:val="center"/>
            <w:hideMark/>
          </w:tcPr>
          <w:p w14:paraId="1E6F7795"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Age Group</w:t>
            </w:r>
          </w:p>
        </w:tc>
        <w:tc>
          <w:tcPr>
            <w:tcW w:w="1336" w:type="dxa"/>
            <w:vAlign w:val="center"/>
            <w:hideMark/>
          </w:tcPr>
          <w:p w14:paraId="354B60F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−0.1314</w:t>
            </w:r>
          </w:p>
        </w:tc>
        <w:tc>
          <w:tcPr>
            <w:tcW w:w="941" w:type="dxa"/>
            <w:vAlign w:val="center"/>
            <w:hideMark/>
          </w:tcPr>
          <w:p w14:paraId="27D3319B"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0.2434</w:t>
            </w:r>
          </w:p>
        </w:tc>
        <w:tc>
          <w:tcPr>
            <w:tcW w:w="1020" w:type="dxa"/>
            <w:vAlign w:val="center"/>
            <w:hideMark/>
          </w:tcPr>
          <w:p w14:paraId="6C22CD4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−0.54</w:t>
            </w:r>
          </w:p>
        </w:tc>
        <w:tc>
          <w:tcPr>
            <w:tcW w:w="1134" w:type="dxa"/>
            <w:vAlign w:val="center"/>
            <w:hideMark/>
          </w:tcPr>
          <w:p w14:paraId="0E2A82C0"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0.589</w:t>
            </w:r>
          </w:p>
        </w:tc>
        <w:tc>
          <w:tcPr>
            <w:tcW w:w="2416" w:type="dxa"/>
            <w:vAlign w:val="center"/>
            <w:hideMark/>
          </w:tcPr>
          <w:p w14:paraId="0FE6C4C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[−0.6085, 0.3457]</w:t>
            </w:r>
          </w:p>
        </w:tc>
      </w:tr>
      <w:tr w:rsidR="005179EE" w:rsidRPr="00340D8F" w14:paraId="2F6E7898" w14:textId="77777777" w:rsidTr="00933A18">
        <w:trPr>
          <w:trHeight w:val="300"/>
          <w:jc w:val="center"/>
        </w:trPr>
        <w:tc>
          <w:tcPr>
            <w:tcW w:w="1801" w:type="dxa"/>
            <w:vAlign w:val="center"/>
            <w:hideMark/>
          </w:tcPr>
          <w:p w14:paraId="4AEBE1D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Education</w:t>
            </w:r>
          </w:p>
        </w:tc>
        <w:tc>
          <w:tcPr>
            <w:tcW w:w="1336" w:type="dxa"/>
            <w:vAlign w:val="center"/>
            <w:hideMark/>
          </w:tcPr>
          <w:p w14:paraId="56435B2E"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0.1079</w:t>
            </w:r>
          </w:p>
        </w:tc>
        <w:tc>
          <w:tcPr>
            <w:tcW w:w="941" w:type="dxa"/>
            <w:vAlign w:val="center"/>
            <w:hideMark/>
          </w:tcPr>
          <w:p w14:paraId="710DD36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0.2545</w:t>
            </w:r>
          </w:p>
        </w:tc>
        <w:tc>
          <w:tcPr>
            <w:tcW w:w="1020" w:type="dxa"/>
            <w:vAlign w:val="center"/>
            <w:hideMark/>
          </w:tcPr>
          <w:p w14:paraId="3A73A1C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0.42</w:t>
            </w:r>
          </w:p>
        </w:tc>
        <w:tc>
          <w:tcPr>
            <w:tcW w:w="1134" w:type="dxa"/>
            <w:vAlign w:val="center"/>
            <w:hideMark/>
          </w:tcPr>
          <w:p w14:paraId="01134D0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0.671</w:t>
            </w:r>
          </w:p>
        </w:tc>
        <w:tc>
          <w:tcPr>
            <w:tcW w:w="2416" w:type="dxa"/>
            <w:vAlign w:val="center"/>
            <w:hideMark/>
          </w:tcPr>
          <w:p w14:paraId="5C7FD72B"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[−0.3909, 0.6067]</w:t>
            </w:r>
          </w:p>
        </w:tc>
      </w:tr>
      <w:tr w:rsidR="005179EE" w:rsidRPr="00340D8F" w14:paraId="74D54E1B" w14:textId="77777777" w:rsidTr="00933A18">
        <w:trPr>
          <w:trHeight w:val="300"/>
          <w:jc w:val="center"/>
        </w:trPr>
        <w:tc>
          <w:tcPr>
            <w:tcW w:w="1801" w:type="dxa"/>
            <w:vAlign w:val="center"/>
            <w:hideMark/>
          </w:tcPr>
          <w:p w14:paraId="3C153AB5"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Marital Status</w:t>
            </w:r>
          </w:p>
        </w:tc>
        <w:tc>
          <w:tcPr>
            <w:tcW w:w="1336" w:type="dxa"/>
            <w:vAlign w:val="center"/>
            <w:hideMark/>
          </w:tcPr>
          <w:p w14:paraId="157A034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0.4157</w:t>
            </w:r>
          </w:p>
        </w:tc>
        <w:tc>
          <w:tcPr>
            <w:tcW w:w="941" w:type="dxa"/>
            <w:vAlign w:val="center"/>
            <w:hideMark/>
          </w:tcPr>
          <w:p w14:paraId="04DC8640"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0.4283</w:t>
            </w:r>
          </w:p>
        </w:tc>
        <w:tc>
          <w:tcPr>
            <w:tcW w:w="1020" w:type="dxa"/>
            <w:vAlign w:val="center"/>
            <w:hideMark/>
          </w:tcPr>
          <w:p w14:paraId="1B16F55B"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0.97</w:t>
            </w:r>
          </w:p>
        </w:tc>
        <w:tc>
          <w:tcPr>
            <w:tcW w:w="1134" w:type="dxa"/>
            <w:vAlign w:val="center"/>
            <w:hideMark/>
          </w:tcPr>
          <w:p w14:paraId="5ACF6F0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0.332</w:t>
            </w:r>
          </w:p>
        </w:tc>
        <w:tc>
          <w:tcPr>
            <w:tcW w:w="2416" w:type="dxa"/>
            <w:vAlign w:val="center"/>
            <w:hideMark/>
          </w:tcPr>
          <w:p w14:paraId="62E48BD5"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[−0.4237, 1.2551]</w:t>
            </w:r>
          </w:p>
        </w:tc>
      </w:tr>
      <w:tr w:rsidR="005179EE" w:rsidRPr="00340D8F" w14:paraId="185DBDAA" w14:textId="77777777" w:rsidTr="00933A18">
        <w:trPr>
          <w:trHeight w:val="300"/>
          <w:jc w:val="center"/>
        </w:trPr>
        <w:tc>
          <w:tcPr>
            <w:tcW w:w="1801" w:type="dxa"/>
            <w:vAlign w:val="center"/>
            <w:hideMark/>
          </w:tcPr>
          <w:p w14:paraId="362258F2"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Children</w:t>
            </w:r>
          </w:p>
        </w:tc>
        <w:tc>
          <w:tcPr>
            <w:tcW w:w="1336" w:type="dxa"/>
            <w:vAlign w:val="center"/>
            <w:hideMark/>
          </w:tcPr>
          <w:p w14:paraId="5EBB0E8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−0.1035</w:t>
            </w:r>
          </w:p>
        </w:tc>
        <w:tc>
          <w:tcPr>
            <w:tcW w:w="941" w:type="dxa"/>
            <w:vAlign w:val="center"/>
            <w:hideMark/>
          </w:tcPr>
          <w:p w14:paraId="492A6B3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0.3599</w:t>
            </w:r>
          </w:p>
        </w:tc>
        <w:tc>
          <w:tcPr>
            <w:tcW w:w="1020" w:type="dxa"/>
            <w:vAlign w:val="center"/>
            <w:hideMark/>
          </w:tcPr>
          <w:p w14:paraId="7B5F68E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−0.29</w:t>
            </w:r>
          </w:p>
        </w:tc>
        <w:tc>
          <w:tcPr>
            <w:tcW w:w="1134" w:type="dxa"/>
            <w:vAlign w:val="center"/>
            <w:hideMark/>
          </w:tcPr>
          <w:p w14:paraId="16485CE8"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0.774</w:t>
            </w:r>
          </w:p>
        </w:tc>
        <w:tc>
          <w:tcPr>
            <w:tcW w:w="2416" w:type="dxa"/>
            <w:vAlign w:val="center"/>
            <w:hideMark/>
          </w:tcPr>
          <w:p w14:paraId="7120F4D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[−0.8089, 0.6018]</w:t>
            </w:r>
          </w:p>
        </w:tc>
      </w:tr>
      <w:tr w:rsidR="005179EE" w:rsidRPr="00340D8F" w14:paraId="2C8A2BDA" w14:textId="77777777" w:rsidTr="00933A18">
        <w:trPr>
          <w:trHeight w:val="300"/>
          <w:jc w:val="center"/>
        </w:trPr>
        <w:tc>
          <w:tcPr>
            <w:tcW w:w="1801" w:type="dxa"/>
            <w:vAlign w:val="center"/>
            <w:hideMark/>
          </w:tcPr>
          <w:p w14:paraId="5F41E96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Residence</w:t>
            </w:r>
          </w:p>
        </w:tc>
        <w:tc>
          <w:tcPr>
            <w:tcW w:w="1336" w:type="dxa"/>
            <w:vAlign w:val="center"/>
            <w:hideMark/>
          </w:tcPr>
          <w:p w14:paraId="7EA46C5C"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−0.6807</w:t>
            </w:r>
          </w:p>
        </w:tc>
        <w:tc>
          <w:tcPr>
            <w:tcW w:w="941" w:type="dxa"/>
            <w:vAlign w:val="center"/>
            <w:hideMark/>
          </w:tcPr>
          <w:p w14:paraId="04DDF1F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0.3582</w:t>
            </w:r>
          </w:p>
        </w:tc>
        <w:tc>
          <w:tcPr>
            <w:tcW w:w="1020" w:type="dxa"/>
            <w:vAlign w:val="center"/>
            <w:hideMark/>
          </w:tcPr>
          <w:p w14:paraId="51997EC1"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−1.90</w:t>
            </w:r>
          </w:p>
        </w:tc>
        <w:tc>
          <w:tcPr>
            <w:tcW w:w="1134" w:type="dxa"/>
            <w:vAlign w:val="center"/>
            <w:hideMark/>
          </w:tcPr>
          <w:p w14:paraId="08A09805"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0.057*</w:t>
            </w:r>
          </w:p>
        </w:tc>
        <w:tc>
          <w:tcPr>
            <w:tcW w:w="2416" w:type="dxa"/>
            <w:vAlign w:val="center"/>
            <w:hideMark/>
          </w:tcPr>
          <w:p w14:paraId="13F4AC7E"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[−1.3829, 0.0214]</w:t>
            </w:r>
          </w:p>
        </w:tc>
      </w:tr>
      <w:tr w:rsidR="005179EE" w:rsidRPr="00340D8F" w14:paraId="13533A5D" w14:textId="77777777" w:rsidTr="00933A18">
        <w:trPr>
          <w:trHeight w:val="300"/>
          <w:jc w:val="center"/>
        </w:trPr>
        <w:tc>
          <w:tcPr>
            <w:tcW w:w="1801" w:type="dxa"/>
            <w:vAlign w:val="center"/>
            <w:hideMark/>
          </w:tcPr>
          <w:p w14:paraId="4BC1080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Household Size</w:t>
            </w:r>
          </w:p>
        </w:tc>
        <w:tc>
          <w:tcPr>
            <w:tcW w:w="1336" w:type="dxa"/>
            <w:vAlign w:val="center"/>
            <w:hideMark/>
          </w:tcPr>
          <w:p w14:paraId="475D2F4F"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0.5602</w:t>
            </w:r>
          </w:p>
        </w:tc>
        <w:tc>
          <w:tcPr>
            <w:tcW w:w="941" w:type="dxa"/>
            <w:vAlign w:val="center"/>
            <w:hideMark/>
          </w:tcPr>
          <w:p w14:paraId="5CECC9D5"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0.2738</w:t>
            </w:r>
          </w:p>
        </w:tc>
        <w:tc>
          <w:tcPr>
            <w:tcW w:w="1020" w:type="dxa"/>
            <w:vAlign w:val="center"/>
            <w:hideMark/>
          </w:tcPr>
          <w:p w14:paraId="0307CBF2"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2.05</w:t>
            </w:r>
          </w:p>
        </w:tc>
        <w:tc>
          <w:tcPr>
            <w:tcW w:w="1134" w:type="dxa"/>
            <w:vAlign w:val="center"/>
            <w:hideMark/>
          </w:tcPr>
          <w:p w14:paraId="5D27B50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0.041**</w:t>
            </w:r>
          </w:p>
        </w:tc>
        <w:tc>
          <w:tcPr>
            <w:tcW w:w="2416" w:type="dxa"/>
            <w:vAlign w:val="center"/>
            <w:hideMark/>
          </w:tcPr>
          <w:p w14:paraId="57592E54"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[0.0237, 1.0968]</w:t>
            </w:r>
          </w:p>
        </w:tc>
      </w:tr>
      <w:tr w:rsidR="005179EE" w:rsidRPr="00340D8F" w14:paraId="7EFE961E" w14:textId="77777777" w:rsidTr="00933A18">
        <w:trPr>
          <w:trHeight w:val="300"/>
          <w:jc w:val="center"/>
        </w:trPr>
        <w:tc>
          <w:tcPr>
            <w:tcW w:w="1801" w:type="dxa"/>
            <w:tcBorders>
              <w:bottom w:val="single" w:sz="4" w:space="0" w:color="auto"/>
            </w:tcBorders>
            <w:vAlign w:val="center"/>
            <w:hideMark/>
          </w:tcPr>
          <w:p w14:paraId="7AF2C032"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Constant</w:t>
            </w:r>
          </w:p>
        </w:tc>
        <w:tc>
          <w:tcPr>
            <w:tcW w:w="1336" w:type="dxa"/>
            <w:tcBorders>
              <w:bottom w:val="single" w:sz="4" w:space="0" w:color="auto"/>
            </w:tcBorders>
            <w:vAlign w:val="center"/>
            <w:hideMark/>
          </w:tcPr>
          <w:p w14:paraId="4DC44A21"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−0.5527</w:t>
            </w:r>
          </w:p>
        </w:tc>
        <w:tc>
          <w:tcPr>
            <w:tcW w:w="941" w:type="dxa"/>
            <w:tcBorders>
              <w:bottom w:val="single" w:sz="4" w:space="0" w:color="auto"/>
            </w:tcBorders>
            <w:vAlign w:val="center"/>
            <w:hideMark/>
          </w:tcPr>
          <w:p w14:paraId="7E5CB98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0.5414</w:t>
            </w:r>
          </w:p>
        </w:tc>
        <w:tc>
          <w:tcPr>
            <w:tcW w:w="1020" w:type="dxa"/>
            <w:tcBorders>
              <w:bottom w:val="single" w:sz="4" w:space="0" w:color="auto"/>
            </w:tcBorders>
            <w:vAlign w:val="center"/>
            <w:hideMark/>
          </w:tcPr>
          <w:p w14:paraId="4645DB8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−1.02</w:t>
            </w:r>
          </w:p>
        </w:tc>
        <w:tc>
          <w:tcPr>
            <w:tcW w:w="1134" w:type="dxa"/>
            <w:tcBorders>
              <w:bottom w:val="single" w:sz="4" w:space="0" w:color="auto"/>
            </w:tcBorders>
            <w:vAlign w:val="center"/>
            <w:hideMark/>
          </w:tcPr>
          <w:p w14:paraId="0103136D"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0.307</w:t>
            </w:r>
          </w:p>
        </w:tc>
        <w:tc>
          <w:tcPr>
            <w:tcW w:w="2416" w:type="dxa"/>
            <w:tcBorders>
              <w:bottom w:val="single" w:sz="4" w:space="0" w:color="auto"/>
            </w:tcBorders>
            <w:vAlign w:val="center"/>
            <w:hideMark/>
          </w:tcPr>
          <w:p w14:paraId="6E0CE01C"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[−1.6137, 0.5084]</w:t>
            </w:r>
          </w:p>
        </w:tc>
      </w:tr>
      <w:tr w:rsidR="005179EE" w:rsidRPr="00340D8F" w14:paraId="5B043048" w14:textId="77777777" w:rsidTr="00933A18">
        <w:trPr>
          <w:trHeight w:val="300"/>
          <w:jc w:val="center"/>
        </w:trPr>
        <w:tc>
          <w:tcPr>
            <w:tcW w:w="1801" w:type="dxa"/>
            <w:tcBorders>
              <w:top w:val="single" w:sz="4" w:space="0" w:color="auto"/>
              <w:bottom w:val="single" w:sz="4" w:space="0" w:color="auto"/>
            </w:tcBorders>
            <w:vAlign w:val="center"/>
          </w:tcPr>
          <w:p w14:paraId="07D203B3"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Observations</w:t>
            </w:r>
          </w:p>
        </w:tc>
        <w:tc>
          <w:tcPr>
            <w:tcW w:w="1336" w:type="dxa"/>
            <w:tcBorders>
              <w:top w:val="single" w:sz="4" w:space="0" w:color="auto"/>
              <w:bottom w:val="single" w:sz="4" w:space="0" w:color="auto"/>
            </w:tcBorders>
            <w:vAlign w:val="center"/>
          </w:tcPr>
          <w:p w14:paraId="1EE494D0"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300</w:t>
            </w:r>
          </w:p>
        </w:tc>
        <w:tc>
          <w:tcPr>
            <w:tcW w:w="941" w:type="dxa"/>
            <w:tcBorders>
              <w:top w:val="single" w:sz="4" w:space="0" w:color="auto"/>
              <w:bottom w:val="single" w:sz="4" w:space="0" w:color="auto"/>
            </w:tcBorders>
            <w:vAlign w:val="center"/>
          </w:tcPr>
          <w:p w14:paraId="422DBE8A"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p>
        </w:tc>
        <w:tc>
          <w:tcPr>
            <w:tcW w:w="1020" w:type="dxa"/>
            <w:tcBorders>
              <w:top w:val="single" w:sz="4" w:space="0" w:color="auto"/>
              <w:bottom w:val="single" w:sz="4" w:space="0" w:color="auto"/>
            </w:tcBorders>
            <w:vAlign w:val="center"/>
          </w:tcPr>
          <w:p w14:paraId="6FF378D7"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p>
        </w:tc>
        <w:tc>
          <w:tcPr>
            <w:tcW w:w="1134" w:type="dxa"/>
            <w:tcBorders>
              <w:top w:val="single" w:sz="4" w:space="0" w:color="auto"/>
              <w:bottom w:val="single" w:sz="4" w:space="0" w:color="auto"/>
            </w:tcBorders>
            <w:vAlign w:val="center"/>
          </w:tcPr>
          <w:p w14:paraId="6A6FBF99"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p>
        </w:tc>
        <w:tc>
          <w:tcPr>
            <w:tcW w:w="2416" w:type="dxa"/>
            <w:tcBorders>
              <w:top w:val="single" w:sz="4" w:space="0" w:color="auto"/>
              <w:bottom w:val="single" w:sz="4" w:space="0" w:color="auto"/>
            </w:tcBorders>
            <w:vAlign w:val="center"/>
          </w:tcPr>
          <w:p w14:paraId="5C163536" w14:textId="77777777" w:rsidR="005179EE" w:rsidRPr="00340D8F" w:rsidRDefault="005179EE" w:rsidP="00933A18">
            <w:pPr>
              <w:spacing w:after="0" w:line="360" w:lineRule="auto"/>
              <w:jc w:val="center"/>
              <w:rPr>
                <w:rFonts w:ascii="Arial" w:eastAsia="Times New Roman" w:hAnsi="Arial" w:cs="Arial"/>
                <w:kern w:val="0"/>
                <w:sz w:val="20"/>
                <w:szCs w:val="20"/>
                <w:lang w:eastAsia="en-IN"/>
                <w14:ligatures w14:val="none"/>
              </w:rPr>
            </w:pPr>
          </w:p>
        </w:tc>
      </w:tr>
    </w:tbl>
    <w:p w14:paraId="4ABD27ED" w14:textId="2BC0D71D" w:rsidR="005179EE" w:rsidRPr="00340D8F" w:rsidRDefault="006B628A" w:rsidP="005179EE">
      <w:pPr>
        <w:spacing w:line="360" w:lineRule="auto"/>
        <w:jc w:val="both"/>
        <w:rPr>
          <w:rFonts w:ascii="Arial" w:hAnsi="Arial" w:cs="Arial"/>
          <w:sz w:val="20"/>
          <w:szCs w:val="20"/>
        </w:rPr>
      </w:pPr>
      <w:r>
        <w:rPr>
          <w:rFonts w:ascii="Arial" w:hAnsi="Arial" w:cs="Arial"/>
          <w:sz w:val="20"/>
          <w:szCs w:val="20"/>
        </w:rPr>
        <w:t xml:space="preserve">   </w:t>
      </w:r>
      <w:r w:rsidR="005179EE" w:rsidRPr="00340D8F">
        <w:rPr>
          <w:rFonts w:ascii="Arial" w:hAnsi="Arial" w:cs="Arial"/>
          <w:sz w:val="20"/>
          <w:szCs w:val="20"/>
        </w:rPr>
        <w:t>Source: Survey Data</w:t>
      </w:r>
    </w:p>
    <w:p w14:paraId="55B18CE8" w14:textId="77777777" w:rsidR="005179EE" w:rsidRPr="00340D8F" w:rsidRDefault="005179EE" w:rsidP="005179EE">
      <w:pPr>
        <w:spacing w:line="360" w:lineRule="auto"/>
        <w:jc w:val="both"/>
        <w:rPr>
          <w:rFonts w:ascii="Arial" w:hAnsi="Arial" w:cs="Arial"/>
          <w:sz w:val="20"/>
          <w:szCs w:val="20"/>
        </w:rPr>
      </w:pPr>
      <w:r w:rsidRPr="00340D8F">
        <w:rPr>
          <w:rFonts w:ascii="Arial" w:hAnsi="Arial" w:cs="Arial"/>
          <w:sz w:val="20"/>
          <w:szCs w:val="20"/>
        </w:rPr>
        <w:t xml:space="preserve">Within the current model, household size emerges as the only statistically significant determinant at the 5 per cent level. The positive coefficient suggests that smaller households are more likely to fall below the income threshold, potentially due to limited income pooling and fewer supplementary earners. Larger households may benefit from diversified income sources and shared expenditures, thereby reducing economic vulnerability. Place of residence is marginally significant at the 10 per cent level, </w:t>
      </w:r>
      <w:r w:rsidRPr="00340D8F">
        <w:rPr>
          <w:rFonts w:ascii="Arial" w:hAnsi="Arial" w:cs="Arial"/>
          <w:sz w:val="20"/>
          <w:szCs w:val="20"/>
        </w:rPr>
        <w:lastRenderedPageBreak/>
        <w:t>with urban residence associated with lower likelihood of income vulnerability. This finding reflects the continued urban–rural divide in access to digital platforms, infrastructure, and demand concentration. Ration card status also exhibits marginal significance, indicating that official poverty classifications may not fully capture the transitional and unstable income positions characteristic of gig workers.</w:t>
      </w:r>
    </w:p>
    <w:p w14:paraId="5FF62D84" w14:textId="1A4AAC25" w:rsidR="005179EE" w:rsidRPr="00340D8F" w:rsidRDefault="005179EE" w:rsidP="005179EE">
      <w:pPr>
        <w:spacing w:line="360" w:lineRule="auto"/>
        <w:jc w:val="both"/>
        <w:rPr>
          <w:rFonts w:ascii="Arial" w:hAnsi="Arial" w:cs="Arial"/>
          <w:sz w:val="20"/>
          <w:szCs w:val="20"/>
        </w:rPr>
      </w:pPr>
      <w:r w:rsidRPr="00340D8F">
        <w:rPr>
          <w:rFonts w:ascii="Arial" w:hAnsi="Arial" w:cs="Arial"/>
          <w:sz w:val="20"/>
          <w:szCs w:val="20"/>
        </w:rPr>
        <w:t>Other sociodemographic variables, including caste, religion, age group, educational attainment, marital status, and the presence of children, do not exhibit statistically significant associations in the analysis. This may indicate that gig economy earnings are shaped less by traditional demographic markers and more by market-driven and platform-mediated mechanisms. Overall, the analysis suggests that income vulnerability among women gig workers is influenced more by household composition and spatial location than by conventional socio-demographic characteristics. At the same time, the modest model fit underscores the need to integrate gig-specific variables, spatial controls, and dynamic income measures in future research. Policy responses should therefore extend beyond identity-based targeting and focus on strengthening household-level income security, bridging digital divides, and designing gig-specific social protection mechanisms tailored to the realities of platform-based employment.</w:t>
      </w:r>
    </w:p>
    <w:p w14:paraId="6B1355AE" w14:textId="2B99702A" w:rsidR="008A78FA" w:rsidRPr="00340D8F" w:rsidRDefault="00697AE6" w:rsidP="008A78FA">
      <w:pPr>
        <w:spacing w:line="360" w:lineRule="auto"/>
        <w:jc w:val="both"/>
        <w:rPr>
          <w:rFonts w:ascii="Arial" w:hAnsi="Arial" w:cs="Arial"/>
          <w:b/>
          <w:bCs/>
        </w:rPr>
      </w:pPr>
      <w:r w:rsidRPr="00340D8F">
        <w:rPr>
          <w:rFonts w:ascii="Arial" w:hAnsi="Arial" w:cs="Arial"/>
          <w:b/>
          <w:bCs/>
        </w:rPr>
        <w:t>5</w:t>
      </w:r>
      <w:r w:rsidR="008A78FA" w:rsidRPr="00340D8F">
        <w:rPr>
          <w:rFonts w:ascii="Arial" w:hAnsi="Arial" w:cs="Arial"/>
          <w:b/>
          <w:bCs/>
        </w:rPr>
        <w:t xml:space="preserve">.4 </w:t>
      </w:r>
      <w:r w:rsidR="003774F5" w:rsidRPr="00340D8F">
        <w:rPr>
          <w:rFonts w:ascii="Arial" w:hAnsi="Arial" w:cs="Arial"/>
          <w:b/>
          <w:bCs/>
        </w:rPr>
        <w:t>Association Between Family Income and Socioeconomic Factors: Chi-Square Analysis</w:t>
      </w:r>
    </w:p>
    <w:p w14:paraId="18B9BD19" w14:textId="77777777" w:rsidR="003774F5" w:rsidRDefault="003774F5" w:rsidP="003774F5">
      <w:pPr>
        <w:spacing w:before="240" w:line="360" w:lineRule="auto"/>
        <w:jc w:val="both"/>
        <w:rPr>
          <w:rFonts w:ascii="Arial" w:hAnsi="Arial" w:cs="Arial"/>
          <w:sz w:val="20"/>
          <w:szCs w:val="20"/>
        </w:rPr>
      </w:pPr>
      <w:r w:rsidRPr="00340D8F">
        <w:rPr>
          <w:rFonts w:ascii="Arial" w:hAnsi="Arial" w:cs="Arial"/>
          <w:sz w:val="20"/>
          <w:szCs w:val="20"/>
        </w:rPr>
        <w:t xml:space="preserve">The table presents the results of chi-square tests examining the bivariate associations between monthly family income and selected socio-economic characteristics of women engaged in the gig economy in Kerala. Monthly family income, dichotomized into below and above ₹25,000, is treated as the outcome variable, while caste, religion, ration card status, age group, educational qualification, marital status, presence of children, place of residence, household size, and household headship are considered explanatory factors. The chi-square test evaluates whether the observed differences in income distribution across categories of each variable are statistically significant or attributable to random variation. The results indicate that household size has a statistically significant association with income status (χ² = 3.70, p = 0.054), suggesting that women from smaller households are more likely to experience income vulnerability. This finding underscores the importance of household dependency structures and income-sharing arrangements in shaping economic outcomes among women gig workers. </w:t>
      </w:r>
    </w:p>
    <w:p w14:paraId="2051A8E5" w14:textId="77777777" w:rsidR="006B628A" w:rsidRDefault="006B628A" w:rsidP="003774F5">
      <w:pPr>
        <w:spacing w:before="240" w:line="360" w:lineRule="auto"/>
        <w:jc w:val="both"/>
        <w:rPr>
          <w:rFonts w:ascii="Arial" w:hAnsi="Arial" w:cs="Arial"/>
          <w:sz w:val="20"/>
          <w:szCs w:val="20"/>
        </w:rPr>
      </w:pPr>
    </w:p>
    <w:p w14:paraId="77AA05C6" w14:textId="77777777" w:rsidR="006B628A" w:rsidRDefault="006B628A" w:rsidP="003774F5">
      <w:pPr>
        <w:spacing w:before="240" w:line="360" w:lineRule="auto"/>
        <w:jc w:val="both"/>
        <w:rPr>
          <w:rFonts w:ascii="Arial" w:hAnsi="Arial" w:cs="Arial"/>
          <w:sz w:val="20"/>
          <w:szCs w:val="20"/>
        </w:rPr>
      </w:pPr>
    </w:p>
    <w:p w14:paraId="006C7F97" w14:textId="77777777" w:rsidR="006B628A" w:rsidRPr="00340D8F" w:rsidRDefault="006B628A" w:rsidP="003774F5">
      <w:pPr>
        <w:spacing w:before="240" w:line="360" w:lineRule="auto"/>
        <w:jc w:val="both"/>
        <w:rPr>
          <w:rFonts w:ascii="Arial" w:hAnsi="Arial" w:cs="Arial"/>
          <w:sz w:val="20"/>
          <w:szCs w:val="20"/>
        </w:rPr>
      </w:pPr>
    </w:p>
    <w:p w14:paraId="289834BC" w14:textId="77777777" w:rsidR="003774F5" w:rsidRPr="00340D8F" w:rsidRDefault="003774F5" w:rsidP="003774F5">
      <w:pPr>
        <w:jc w:val="center"/>
        <w:rPr>
          <w:rFonts w:ascii="Arial" w:hAnsi="Arial" w:cs="Arial"/>
          <w:b/>
          <w:bCs/>
          <w:sz w:val="20"/>
          <w:szCs w:val="20"/>
        </w:rPr>
      </w:pPr>
      <w:r w:rsidRPr="00340D8F">
        <w:rPr>
          <w:rFonts w:ascii="Arial" w:hAnsi="Arial" w:cs="Arial"/>
          <w:b/>
          <w:bCs/>
          <w:sz w:val="20"/>
          <w:szCs w:val="20"/>
        </w:rPr>
        <w:t>Table 4: Socioeconomic Variables and Their Association with Monthly Family Income</w:t>
      </w:r>
    </w:p>
    <w:tbl>
      <w:tblPr>
        <w:tblW w:w="8217" w:type="dxa"/>
        <w:jc w:val="center"/>
        <w:tblBorders>
          <w:top w:val="single" w:sz="4" w:space="0" w:color="auto"/>
        </w:tblBorders>
        <w:tblLook w:val="04A0" w:firstRow="1" w:lastRow="0" w:firstColumn="1" w:lastColumn="0" w:noHBand="0" w:noVBand="1"/>
      </w:tblPr>
      <w:tblGrid>
        <w:gridCol w:w="2689"/>
        <w:gridCol w:w="1842"/>
        <w:gridCol w:w="1276"/>
        <w:gridCol w:w="2410"/>
      </w:tblGrid>
      <w:tr w:rsidR="00110184" w:rsidRPr="00340D8F" w14:paraId="251AB6D9" w14:textId="77777777" w:rsidTr="00C3738C">
        <w:trPr>
          <w:trHeight w:val="570"/>
          <w:jc w:val="center"/>
        </w:trPr>
        <w:tc>
          <w:tcPr>
            <w:tcW w:w="2689" w:type="dxa"/>
            <w:tcBorders>
              <w:top w:val="single" w:sz="4" w:space="0" w:color="auto"/>
              <w:bottom w:val="single" w:sz="4" w:space="0" w:color="auto"/>
            </w:tcBorders>
            <w:vAlign w:val="center"/>
            <w:hideMark/>
          </w:tcPr>
          <w:p w14:paraId="722BE32A"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Variable</w:t>
            </w:r>
          </w:p>
        </w:tc>
        <w:tc>
          <w:tcPr>
            <w:tcW w:w="1842" w:type="dxa"/>
            <w:tcBorders>
              <w:top w:val="single" w:sz="4" w:space="0" w:color="auto"/>
              <w:bottom w:val="single" w:sz="4" w:space="0" w:color="auto"/>
            </w:tcBorders>
            <w:vAlign w:val="center"/>
            <w:hideMark/>
          </w:tcPr>
          <w:p w14:paraId="18B6BE6B"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χ² value</w:t>
            </w:r>
          </w:p>
        </w:tc>
        <w:tc>
          <w:tcPr>
            <w:tcW w:w="1276" w:type="dxa"/>
            <w:tcBorders>
              <w:top w:val="single" w:sz="4" w:space="0" w:color="auto"/>
              <w:bottom w:val="single" w:sz="4" w:space="0" w:color="auto"/>
            </w:tcBorders>
            <w:vAlign w:val="center"/>
            <w:hideMark/>
          </w:tcPr>
          <w:p w14:paraId="35B3C199"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p-value</w:t>
            </w:r>
          </w:p>
        </w:tc>
        <w:tc>
          <w:tcPr>
            <w:tcW w:w="2410" w:type="dxa"/>
            <w:tcBorders>
              <w:top w:val="single" w:sz="4" w:space="0" w:color="auto"/>
              <w:bottom w:val="single" w:sz="4" w:space="0" w:color="auto"/>
            </w:tcBorders>
            <w:vAlign w:val="center"/>
            <w:hideMark/>
          </w:tcPr>
          <w:p w14:paraId="4C16E34C" w14:textId="77777777" w:rsidR="003774F5" w:rsidRPr="00340D8F" w:rsidRDefault="003774F5" w:rsidP="00C3738C">
            <w:pPr>
              <w:spacing w:after="0" w:line="360" w:lineRule="auto"/>
              <w:jc w:val="center"/>
              <w:rPr>
                <w:rFonts w:ascii="Arial" w:eastAsia="Times New Roman" w:hAnsi="Arial" w:cs="Arial"/>
                <w:b/>
                <w:bCs/>
                <w:kern w:val="0"/>
                <w:sz w:val="20"/>
                <w:szCs w:val="20"/>
                <w:lang w:eastAsia="en-IN"/>
                <w14:ligatures w14:val="none"/>
              </w:rPr>
            </w:pPr>
            <w:r w:rsidRPr="00340D8F">
              <w:rPr>
                <w:rFonts w:ascii="Arial" w:eastAsia="Times New Roman" w:hAnsi="Arial" w:cs="Arial"/>
                <w:b/>
                <w:bCs/>
                <w:kern w:val="0"/>
                <w:sz w:val="20"/>
                <w:szCs w:val="20"/>
                <w:lang w:eastAsia="en-IN"/>
                <w14:ligatures w14:val="none"/>
              </w:rPr>
              <w:t>Statistical significance</w:t>
            </w:r>
          </w:p>
        </w:tc>
      </w:tr>
      <w:tr w:rsidR="00110184" w:rsidRPr="00340D8F" w14:paraId="398BD48D" w14:textId="77777777" w:rsidTr="00C3738C">
        <w:trPr>
          <w:trHeight w:val="300"/>
          <w:jc w:val="center"/>
        </w:trPr>
        <w:tc>
          <w:tcPr>
            <w:tcW w:w="2689" w:type="dxa"/>
            <w:tcBorders>
              <w:top w:val="single" w:sz="4" w:space="0" w:color="auto"/>
            </w:tcBorders>
            <w:vAlign w:val="center"/>
            <w:hideMark/>
          </w:tcPr>
          <w:p w14:paraId="0CE56D50"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Caste (SC / BC)</w:t>
            </w:r>
          </w:p>
        </w:tc>
        <w:tc>
          <w:tcPr>
            <w:tcW w:w="1842" w:type="dxa"/>
            <w:tcBorders>
              <w:top w:val="single" w:sz="4" w:space="0" w:color="auto"/>
            </w:tcBorders>
            <w:vAlign w:val="center"/>
            <w:hideMark/>
          </w:tcPr>
          <w:p w14:paraId="589F5EA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0.0035</w:t>
            </w:r>
          </w:p>
        </w:tc>
        <w:tc>
          <w:tcPr>
            <w:tcW w:w="1276" w:type="dxa"/>
            <w:tcBorders>
              <w:top w:val="single" w:sz="4" w:space="0" w:color="auto"/>
            </w:tcBorders>
            <w:vAlign w:val="center"/>
            <w:hideMark/>
          </w:tcPr>
          <w:p w14:paraId="74FFA05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0.953</w:t>
            </w:r>
          </w:p>
        </w:tc>
        <w:tc>
          <w:tcPr>
            <w:tcW w:w="2410" w:type="dxa"/>
            <w:tcBorders>
              <w:top w:val="single" w:sz="4" w:space="0" w:color="auto"/>
            </w:tcBorders>
            <w:vAlign w:val="center"/>
            <w:hideMark/>
          </w:tcPr>
          <w:p w14:paraId="0DB6D16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75F9DA1B" w14:textId="77777777" w:rsidTr="00C3738C">
        <w:trPr>
          <w:trHeight w:val="600"/>
          <w:jc w:val="center"/>
        </w:trPr>
        <w:tc>
          <w:tcPr>
            <w:tcW w:w="2689" w:type="dxa"/>
            <w:vAlign w:val="center"/>
            <w:hideMark/>
          </w:tcPr>
          <w:p w14:paraId="4465FC4A"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lastRenderedPageBreak/>
              <w:t>Religion (Islam / Hindu)</w:t>
            </w:r>
          </w:p>
        </w:tc>
        <w:tc>
          <w:tcPr>
            <w:tcW w:w="1842" w:type="dxa"/>
            <w:vAlign w:val="center"/>
            <w:hideMark/>
          </w:tcPr>
          <w:p w14:paraId="178C7F46"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1.6096</w:t>
            </w:r>
          </w:p>
        </w:tc>
        <w:tc>
          <w:tcPr>
            <w:tcW w:w="1276" w:type="dxa"/>
            <w:vAlign w:val="center"/>
            <w:hideMark/>
          </w:tcPr>
          <w:p w14:paraId="03FB527C"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0.205</w:t>
            </w:r>
          </w:p>
        </w:tc>
        <w:tc>
          <w:tcPr>
            <w:tcW w:w="2410" w:type="dxa"/>
            <w:vAlign w:val="center"/>
            <w:hideMark/>
          </w:tcPr>
          <w:p w14:paraId="5B981F6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4995221A" w14:textId="77777777" w:rsidTr="00C3738C">
        <w:trPr>
          <w:trHeight w:val="600"/>
          <w:jc w:val="center"/>
        </w:trPr>
        <w:tc>
          <w:tcPr>
            <w:tcW w:w="2689" w:type="dxa"/>
            <w:vAlign w:val="center"/>
            <w:hideMark/>
          </w:tcPr>
          <w:p w14:paraId="0D312B48"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Ration Card Status (APL / BPL)</w:t>
            </w:r>
          </w:p>
        </w:tc>
        <w:tc>
          <w:tcPr>
            <w:tcW w:w="1842" w:type="dxa"/>
            <w:vAlign w:val="center"/>
            <w:hideMark/>
          </w:tcPr>
          <w:p w14:paraId="32562B2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3.208</w:t>
            </w:r>
          </w:p>
        </w:tc>
        <w:tc>
          <w:tcPr>
            <w:tcW w:w="1276" w:type="dxa"/>
            <w:vAlign w:val="center"/>
            <w:hideMark/>
          </w:tcPr>
          <w:p w14:paraId="2EC2EB70"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0.073</w:t>
            </w:r>
          </w:p>
        </w:tc>
        <w:tc>
          <w:tcPr>
            <w:tcW w:w="2410" w:type="dxa"/>
            <w:vAlign w:val="center"/>
            <w:hideMark/>
          </w:tcPr>
          <w:p w14:paraId="06CEE0D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Marginally significant (10%)</w:t>
            </w:r>
          </w:p>
        </w:tc>
      </w:tr>
      <w:tr w:rsidR="00110184" w:rsidRPr="00340D8F" w14:paraId="47139B16" w14:textId="77777777" w:rsidTr="00C3738C">
        <w:trPr>
          <w:trHeight w:val="600"/>
          <w:jc w:val="center"/>
        </w:trPr>
        <w:tc>
          <w:tcPr>
            <w:tcW w:w="2689" w:type="dxa"/>
            <w:vAlign w:val="center"/>
            <w:hideMark/>
          </w:tcPr>
          <w:p w14:paraId="794A128A"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Age Group (Below 25 / Above 25)</w:t>
            </w:r>
          </w:p>
        </w:tc>
        <w:tc>
          <w:tcPr>
            <w:tcW w:w="1842" w:type="dxa"/>
            <w:vAlign w:val="center"/>
            <w:hideMark/>
          </w:tcPr>
          <w:p w14:paraId="29B622D5"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0.504</w:t>
            </w:r>
          </w:p>
        </w:tc>
        <w:tc>
          <w:tcPr>
            <w:tcW w:w="1276" w:type="dxa"/>
            <w:vAlign w:val="center"/>
            <w:hideMark/>
          </w:tcPr>
          <w:p w14:paraId="4B63120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0.478</w:t>
            </w:r>
          </w:p>
        </w:tc>
        <w:tc>
          <w:tcPr>
            <w:tcW w:w="2410" w:type="dxa"/>
            <w:vAlign w:val="center"/>
            <w:hideMark/>
          </w:tcPr>
          <w:p w14:paraId="32B78FC7"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18ED2289" w14:textId="77777777" w:rsidTr="00C3738C">
        <w:trPr>
          <w:trHeight w:val="1200"/>
          <w:jc w:val="center"/>
        </w:trPr>
        <w:tc>
          <w:tcPr>
            <w:tcW w:w="2689" w:type="dxa"/>
            <w:vAlign w:val="center"/>
            <w:hideMark/>
          </w:tcPr>
          <w:p w14:paraId="56317402" w14:textId="1D3CD9A6"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Educational Qualification (Up to +2 / Degree)</w:t>
            </w:r>
          </w:p>
        </w:tc>
        <w:tc>
          <w:tcPr>
            <w:tcW w:w="1842" w:type="dxa"/>
            <w:vAlign w:val="center"/>
            <w:hideMark/>
          </w:tcPr>
          <w:p w14:paraId="423C427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0.1037</w:t>
            </w:r>
          </w:p>
        </w:tc>
        <w:tc>
          <w:tcPr>
            <w:tcW w:w="1276" w:type="dxa"/>
            <w:vAlign w:val="center"/>
            <w:hideMark/>
          </w:tcPr>
          <w:p w14:paraId="1CCEFC51"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0.747</w:t>
            </w:r>
          </w:p>
        </w:tc>
        <w:tc>
          <w:tcPr>
            <w:tcW w:w="2410" w:type="dxa"/>
            <w:vAlign w:val="center"/>
            <w:hideMark/>
          </w:tcPr>
          <w:p w14:paraId="4BB2798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29180F74" w14:textId="77777777" w:rsidTr="00C3738C">
        <w:trPr>
          <w:trHeight w:val="600"/>
          <w:jc w:val="center"/>
        </w:trPr>
        <w:tc>
          <w:tcPr>
            <w:tcW w:w="2689" w:type="dxa"/>
            <w:vAlign w:val="center"/>
            <w:hideMark/>
          </w:tcPr>
          <w:p w14:paraId="5C52AA39"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Marital Status (Married / Single)</w:t>
            </w:r>
          </w:p>
        </w:tc>
        <w:tc>
          <w:tcPr>
            <w:tcW w:w="1842" w:type="dxa"/>
            <w:vAlign w:val="center"/>
            <w:hideMark/>
          </w:tcPr>
          <w:p w14:paraId="6A593F5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0.9623</w:t>
            </w:r>
          </w:p>
        </w:tc>
        <w:tc>
          <w:tcPr>
            <w:tcW w:w="1276" w:type="dxa"/>
            <w:vAlign w:val="center"/>
            <w:hideMark/>
          </w:tcPr>
          <w:p w14:paraId="7CE00FB9"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0.327</w:t>
            </w:r>
          </w:p>
        </w:tc>
        <w:tc>
          <w:tcPr>
            <w:tcW w:w="2410" w:type="dxa"/>
            <w:vAlign w:val="center"/>
            <w:hideMark/>
          </w:tcPr>
          <w:p w14:paraId="3AC8169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636B418D" w14:textId="77777777" w:rsidTr="00C3738C">
        <w:trPr>
          <w:trHeight w:val="300"/>
          <w:jc w:val="center"/>
        </w:trPr>
        <w:tc>
          <w:tcPr>
            <w:tcW w:w="2689" w:type="dxa"/>
            <w:vAlign w:val="center"/>
            <w:hideMark/>
          </w:tcPr>
          <w:p w14:paraId="1B159223"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Children (Yes / No)</w:t>
            </w:r>
          </w:p>
        </w:tc>
        <w:tc>
          <w:tcPr>
            <w:tcW w:w="1842" w:type="dxa"/>
            <w:vAlign w:val="center"/>
            <w:hideMark/>
          </w:tcPr>
          <w:p w14:paraId="2593F6A6"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0.1006</w:t>
            </w:r>
          </w:p>
        </w:tc>
        <w:tc>
          <w:tcPr>
            <w:tcW w:w="1276" w:type="dxa"/>
            <w:vAlign w:val="center"/>
            <w:hideMark/>
          </w:tcPr>
          <w:p w14:paraId="3869FF0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0.751</w:t>
            </w:r>
          </w:p>
        </w:tc>
        <w:tc>
          <w:tcPr>
            <w:tcW w:w="2410" w:type="dxa"/>
            <w:vAlign w:val="center"/>
            <w:hideMark/>
          </w:tcPr>
          <w:p w14:paraId="556A2070"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r w:rsidR="00110184" w:rsidRPr="00340D8F" w14:paraId="7E144A33" w14:textId="77777777" w:rsidTr="00C3738C">
        <w:trPr>
          <w:trHeight w:val="600"/>
          <w:jc w:val="center"/>
        </w:trPr>
        <w:tc>
          <w:tcPr>
            <w:tcW w:w="2689" w:type="dxa"/>
            <w:vAlign w:val="center"/>
            <w:hideMark/>
          </w:tcPr>
          <w:p w14:paraId="24BEA866"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Place of Residence (Urban / Rural)</w:t>
            </w:r>
          </w:p>
        </w:tc>
        <w:tc>
          <w:tcPr>
            <w:tcW w:w="1842" w:type="dxa"/>
            <w:vAlign w:val="center"/>
            <w:hideMark/>
          </w:tcPr>
          <w:p w14:paraId="414F134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2.7968</w:t>
            </w:r>
          </w:p>
        </w:tc>
        <w:tc>
          <w:tcPr>
            <w:tcW w:w="1276" w:type="dxa"/>
            <w:vAlign w:val="center"/>
            <w:hideMark/>
          </w:tcPr>
          <w:p w14:paraId="11A3ED9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0.094</w:t>
            </w:r>
          </w:p>
        </w:tc>
        <w:tc>
          <w:tcPr>
            <w:tcW w:w="2410" w:type="dxa"/>
            <w:vAlign w:val="center"/>
            <w:hideMark/>
          </w:tcPr>
          <w:p w14:paraId="58DF001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Marginally significant (10%)</w:t>
            </w:r>
          </w:p>
        </w:tc>
      </w:tr>
      <w:tr w:rsidR="00110184" w:rsidRPr="00340D8F" w14:paraId="659A9E04" w14:textId="77777777" w:rsidTr="00C3738C">
        <w:trPr>
          <w:trHeight w:val="600"/>
          <w:jc w:val="center"/>
        </w:trPr>
        <w:tc>
          <w:tcPr>
            <w:tcW w:w="2689" w:type="dxa"/>
            <w:vAlign w:val="center"/>
            <w:hideMark/>
          </w:tcPr>
          <w:p w14:paraId="6B6F756B"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Household Size (&lt;5 / &gt;5 members)</w:t>
            </w:r>
          </w:p>
        </w:tc>
        <w:tc>
          <w:tcPr>
            <w:tcW w:w="1842" w:type="dxa"/>
            <w:vAlign w:val="center"/>
            <w:hideMark/>
          </w:tcPr>
          <w:p w14:paraId="2DF8837B"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3.7024</w:t>
            </w:r>
          </w:p>
        </w:tc>
        <w:tc>
          <w:tcPr>
            <w:tcW w:w="1276" w:type="dxa"/>
            <w:vAlign w:val="center"/>
            <w:hideMark/>
          </w:tcPr>
          <w:p w14:paraId="31D8D80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0.054</w:t>
            </w:r>
          </w:p>
        </w:tc>
        <w:tc>
          <w:tcPr>
            <w:tcW w:w="2410" w:type="dxa"/>
            <w:vAlign w:val="center"/>
            <w:hideMark/>
          </w:tcPr>
          <w:p w14:paraId="66E47648"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Significant (5%)</w:t>
            </w:r>
          </w:p>
        </w:tc>
      </w:tr>
      <w:tr w:rsidR="00110184" w:rsidRPr="00340D8F" w14:paraId="32DBBB21" w14:textId="77777777" w:rsidTr="00C3738C">
        <w:trPr>
          <w:trHeight w:val="600"/>
          <w:jc w:val="center"/>
        </w:trPr>
        <w:tc>
          <w:tcPr>
            <w:tcW w:w="2689" w:type="dxa"/>
            <w:tcBorders>
              <w:bottom w:val="single" w:sz="4" w:space="0" w:color="auto"/>
            </w:tcBorders>
            <w:vAlign w:val="center"/>
            <w:hideMark/>
          </w:tcPr>
          <w:p w14:paraId="77ACF4F0" w14:textId="77777777" w:rsidR="003774F5" w:rsidRPr="00340D8F" w:rsidRDefault="003774F5" w:rsidP="00C3738C">
            <w:pPr>
              <w:spacing w:after="0" w:line="360" w:lineRule="auto"/>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Head of Household (Male / Female)</w:t>
            </w:r>
          </w:p>
        </w:tc>
        <w:tc>
          <w:tcPr>
            <w:tcW w:w="1842" w:type="dxa"/>
            <w:tcBorders>
              <w:bottom w:val="single" w:sz="4" w:space="0" w:color="auto"/>
            </w:tcBorders>
            <w:vAlign w:val="center"/>
            <w:hideMark/>
          </w:tcPr>
          <w:p w14:paraId="413D943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0.0085</w:t>
            </w:r>
          </w:p>
        </w:tc>
        <w:tc>
          <w:tcPr>
            <w:tcW w:w="1276" w:type="dxa"/>
            <w:tcBorders>
              <w:bottom w:val="single" w:sz="4" w:space="0" w:color="auto"/>
            </w:tcBorders>
            <w:vAlign w:val="center"/>
            <w:hideMark/>
          </w:tcPr>
          <w:p w14:paraId="726B297D"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0.926</w:t>
            </w:r>
          </w:p>
        </w:tc>
        <w:tc>
          <w:tcPr>
            <w:tcW w:w="2410" w:type="dxa"/>
            <w:tcBorders>
              <w:bottom w:val="single" w:sz="4" w:space="0" w:color="auto"/>
            </w:tcBorders>
            <w:vAlign w:val="center"/>
            <w:hideMark/>
          </w:tcPr>
          <w:p w14:paraId="14238CC2" w14:textId="77777777" w:rsidR="003774F5" w:rsidRPr="00340D8F" w:rsidRDefault="003774F5" w:rsidP="00C3738C">
            <w:pPr>
              <w:spacing w:after="0" w:line="360" w:lineRule="auto"/>
              <w:jc w:val="center"/>
              <w:rPr>
                <w:rFonts w:ascii="Arial" w:eastAsia="Times New Roman" w:hAnsi="Arial" w:cs="Arial"/>
                <w:kern w:val="0"/>
                <w:sz w:val="20"/>
                <w:szCs w:val="20"/>
                <w:lang w:eastAsia="en-IN"/>
                <w14:ligatures w14:val="none"/>
              </w:rPr>
            </w:pPr>
            <w:r w:rsidRPr="00340D8F">
              <w:rPr>
                <w:rFonts w:ascii="Arial" w:eastAsia="Times New Roman" w:hAnsi="Arial" w:cs="Arial"/>
                <w:kern w:val="0"/>
                <w:sz w:val="20"/>
                <w:szCs w:val="20"/>
                <w:lang w:eastAsia="en-IN"/>
                <w14:ligatures w14:val="none"/>
              </w:rPr>
              <w:t>Not significant</w:t>
            </w:r>
          </w:p>
        </w:tc>
      </w:tr>
    </w:tbl>
    <w:p w14:paraId="32A6B3DC" w14:textId="73946D55" w:rsidR="003774F5" w:rsidRPr="00340D8F" w:rsidRDefault="003774F5" w:rsidP="003774F5">
      <w:pPr>
        <w:spacing w:line="360" w:lineRule="auto"/>
        <w:jc w:val="both"/>
        <w:rPr>
          <w:rFonts w:ascii="Arial" w:hAnsi="Arial" w:cs="Arial"/>
          <w:sz w:val="20"/>
          <w:szCs w:val="20"/>
        </w:rPr>
      </w:pPr>
      <w:r w:rsidRPr="00340D8F">
        <w:rPr>
          <w:rFonts w:ascii="Arial" w:hAnsi="Arial" w:cs="Arial"/>
          <w:sz w:val="20"/>
          <w:szCs w:val="20"/>
        </w:rPr>
        <w:t xml:space="preserve">       Source: Survey Data</w:t>
      </w:r>
    </w:p>
    <w:p w14:paraId="404ED4B7" w14:textId="77777777" w:rsidR="003774F5" w:rsidRPr="00340D8F" w:rsidRDefault="003774F5" w:rsidP="003774F5">
      <w:pPr>
        <w:spacing w:line="360" w:lineRule="auto"/>
        <w:jc w:val="both"/>
        <w:rPr>
          <w:rFonts w:ascii="Arial" w:hAnsi="Arial" w:cs="Arial"/>
          <w:sz w:val="20"/>
          <w:szCs w:val="20"/>
        </w:rPr>
      </w:pPr>
      <w:r w:rsidRPr="00340D8F">
        <w:rPr>
          <w:rFonts w:ascii="Arial" w:hAnsi="Arial" w:cs="Arial"/>
          <w:sz w:val="20"/>
          <w:szCs w:val="20"/>
        </w:rPr>
        <w:t>Place of residence (χ² = 2.80, p = 0.094) and ration card status (χ² = 3.21, p = 0.073) show marginal significance, indicating that urban location and formal welfare classification may influence income levels, although these relationships do not reach conventional significance thresholds. These patterns suggest that spatial access to gig opportunities and inconsistencies in poverty identification mechanisms may contribute to income vulnerability. In contrast, variables such as caste, religion, age, education, marital status, presence of children, and household headship do not exhibit statistically significant associations with income. This implies that income vulnerability within the gig economy transcends traditional socio-demographic categories, reflecting the homogenizing and precarious nature of platform-based work. The use of the chi-square test is essential, as it provides a preliminary bivariate diagnostic prior to multivariate modelling. While logistic regression identifies the net effect of each variable after controlling for others, the chi-square test helps to understand simple associations and assess whether variables merit inclusion in the regression analysis. Moreover, consistency between chi-square results and logistic regression findings—particularly regarding household size and place of residence—enhances the robustness and credibility of the empirical results.</w:t>
      </w:r>
    </w:p>
    <w:p w14:paraId="660EE167" w14:textId="77777777" w:rsidR="006B628A" w:rsidRDefault="006B628A" w:rsidP="002A1132">
      <w:pPr>
        <w:spacing w:line="360" w:lineRule="auto"/>
        <w:jc w:val="both"/>
        <w:rPr>
          <w:rFonts w:ascii="Arial" w:hAnsi="Arial" w:cs="Arial"/>
          <w:b/>
          <w:bCs/>
        </w:rPr>
      </w:pPr>
    </w:p>
    <w:p w14:paraId="26FB8140" w14:textId="77777777" w:rsidR="006B628A" w:rsidRDefault="006B628A" w:rsidP="002A1132">
      <w:pPr>
        <w:spacing w:line="360" w:lineRule="auto"/>
        <w:jc w:val="both"/>
        <w:rPr>
          <w:rFonts w:ascii="Arial" w:hAnsi="Arial" w:cs="Arial"/>
          <w:b/>
          <w:bCs/>
        </w:rPr>
      </w:pPr>
    </w:p>
    <w:p w14:paraId="22948347" w14:textId="63EA1A30" w:rsidR="008A78FA" w:rsidRPr="00340D8F" w:rsidRDefault="00697AE6" w:rsidP="002A1132">
      <w:pPr>
        <w:spacing w:line="360" w:lineRule="auto"/>
        <w:jc w:val="both"/>
        <w:rPr>
          <w:rFonts w:ascii="Arial" w:hAnsi="Arial" w:cs="Arial"/>
          <w:b/>
          <w:bCs/>
        </w:rPr>
      </w:pPr>
      <w:r w:rsidRPr="00340D8F">
        <w:rPr>
          <w:rFonts w:ascii="Arial" w:hAnsi="Arial" w:cs="Arial"/>
          <w:b/>
          <w:bCs/>
        </w:rPr>
        <w:t>6</w:t>
      </w:r>
      <w:r w:rsidR="008A78FA" w:rsidRPr="00340D8F">
        <w:rPr>
          <w:rFonts w:ascii="Arial" w:hAnsi="Arial" w:cs="Arial"/>
          <w:b/>
          <w:bCs/>
        </w:rPr>
        <w:t xml:space="preserve"> MAJOR FINDINGS AND POLICY IMPLICATIONS </w:t>
      </w:r>
    </w:p>
    <w:p w14:paraId="45C35A85" w14:textId="77777777" w:rsidR="00B12C09" w:rsidRPr="00340D8F" w:rsidRDefault="00B12C09" w:rsidP="00B12C09">
      <w:pPr>
        <w:spacing w:line="360" w:lineRule="auto"/>
        <w:jc w:val="both"/>
        <w:rPr>
          <w:rFonts w:ascii="Arial" w:hAnsi="Arial" w:cs="Arial"/>
          <w:sz w:val="20"/>
          <w:szCs w:val="20"/>
        </w:rPr>
      </w:pPr>
      <w:r w:rsidRPr="00340D8F">
        <w:rPr>
          <w:rFonts w:ascii="Arial" w:hAnsi="Arial" w:cs="Arial"/>
          <w:sz w:val="20"/>
          <w:szCs w:val="20"/>
        </w:rPr>
        <w:lastRenderedPageBreak/>
        <w:t>First, the statistical significance of household size indicates that women from larger households are more likely to experience income vulnerability. This finding underscores the importance of family-sensitive policy design. Social protection measures should consider dependency burdens by linking benefits not only to individual workers but also to household composition. Targeted cash transfers, strengthened food security provisions, and accessible childcare support for gig-working women from larger families would help stabilise household consumption and reduce financial stress. In the context of Kerala’s decentralised governance framework, local self-government institutions can play a proactive role in developing district-level labour registries to formally recognise gig workers and connect them to appropriate welfare schemes.</w:t>
      </w:r>
    </w:p>
    <w:p w14:paraId="72748B76" w14:textId="77777777" w:rsidR="00B12C09" w:rsidRPr="00340D8F" w:rsidRDefault="00B12C09" w:rsidP="00B12C09">
      <w:pPr>
        <w:spacing w:line="360" w:lineRule="auto"/>
        <w:jc w:val="both"/>
        <w:rPr>
          <w:rFonts w:ascii="Arial" w:hAnsi="Arial" w:cs="Arial"/>
          <w:sz w:val="20"/>
          <w:szCs w:val="20"/>
        </w:rPr>
      </w:pPr>
      <w:r w:rsidRPr="00340D8F">
        <w:rPr>
          <w:rFonts w:ascii="Arial" w:hAnsi="Arial" w:cs="Arial"/>
          <w:sz w:val="20"/>
          <w:szCs w:val="20"/>
        </w:rPr>
        <w:t>Second, the near-significant effect of ration card status suggests that women already classified as economically vulnerable within the Public Distribution System are more likely to face income instability in gig employment. This highlights the need to integrate gig workers into existing welfare databases. Policymakers should facilitate automatic or simplified enrolment of women gig workers in subsidised food schemes, public health insurance programmes, and income support initiatives. Strengthening institutional convergence between labour departments and social welfare agencies would enhance policy outreach to economically fragile workers and minimise exclusion errors.</w:t>
      </w:r>
    </w:p>
    <w:p w14:paraId="751AA4DF" w14:textId="77777777" w:rsidR="00B12C09" w:rsidRPr="00340D8F" w:rsidRDefault="00B12C09" w:rsidP="00B12C09">
      <w:pPr>
        <w:spacing w:line="360" w:lineRule="auto"/>
        <w:jc w:val="both"/>
        <w:rPr>
          <w:rFonts w:ascii="Arial" w:hAnsi="Arial" w:cs="Arial"/>
          <w:sz w:val="20"/>
          <w:szCs w:val="20"/>
        </w:rPr>
      </w:pPr>
      <w:r w:rsidRPr="00340D8F">
        <w:rPr>
          <w:rFonts w:ascii="Arial" w:hAnsi="Arial" w:cs="Arial"/>
          <w:sz w:val="20"/>
          <w:szCs w:val="20"/>
        </w:rPr>
        <w:t>Third, the marginal significance of place of residence points to spatial disparities in income vulnerability. Women residing in rural or peri-urban areas may encounter constraints such as limited demand density, inadequate digital infrastructure, and restricted mobility options. Addressing these geographic inequalities requires sustained investment in digital connectivity, affordable transport systems, and the promotion of decentralised platform-based employment opportunities. Expanding access to digital literacy programmes and community-level skill development centres would further strengthen women’s capacity to secure stable and consistent earnings. The chi-square analysis of monthly income indicates that most socioeconomic variables are not statistically associated with income levels. However, household size exhibits a significant relationship, while place of residence and ration card status show marginal significance. The convergence of results from both the regression and chi-square analyses enhances the overall robustness and credibility of the findings.</w:t>
      </w:r>
    </w:p>
    <w:p w14:paraId="1ED98B1A" w14:textId="7C877EDB" w:rsidR="00B12C09" w:rsidRPr="00340D8F" w:rsidRDefault="00B12C09" w:rsidP="00B12C09">
      <w:pPr>
        <w:spacing w:line="360" w:lineRule="auto"/>
        <w:jc w:val="both"/>
        <w:rPr>
          <w:rFonts w:ascii="Arial" w:hAnsi="Arial" w:cs="Arial"/>
          <w:sz w:val="20"/>
          <w:szCs w:val="20"/>
        </w:rPr>
      </w:pPr>
      <w:r w:rsidRPr="00340D8F">
        <w:rPr>
          <w:rFonts w:ascii="Arial" w:hAnsi="Arial" w:cs="Arial"/>
          <w:sz w:val="20"/>
          <w:szCs w:val="20"/>
        </w:rPr>
        <w:t>Fourth, the absence of statistically significant effects for caste, religion, age, education, marital status, and number of children suggests that income vulnerability in the gig economy transcends conventional social categories. This pattern implies that precarity is embedded in the structural features of platform-based work rather than being exclusively shaped by traditional markers of social disadvantage. Accordingly, the introduction of universal labour standards for gig workers is essential. These should include minimum earnings guarantees, transparent payment systems, grievance redress mechanisms, accident insurance, maternity benefits, pension provisions, and comprehensive health coverage. Given the gender-specific constraints identified in the analysis, the provision of safe working environments and accessible childcare services is critical to ensuring sustained female participation in gig employment.</w:t>
      </w:r>
    </w:p>
    <w:p w14:paraId="1ABA1D2B" w14:textId="77777777" w:rsidR="00B12C09" w:rsidRPr="00340D8F" w:rsidRDefault="00B12C09" w:rsidP="00B12C09">
      <w:pPr>
        <w:spacing w:line="360" w:lineRule="auto"/>
        <w:jc w:val="both"/>
        <w:rPr>
          <w:rFonts w:ascii="Arial" w:hAnsi="Arial" w:cs="Arial"/>
          <w:sz w:val="20"/>
          <w:szCs w:val="20"/>
        </w:rPr>
      </w:pPr>
      <w:r w:rsidRPr="00340D8F">
        <w:rPr>
          <w:rFonts w:ascii="Arial" w:hAnsi="Arial" w:cs="Arial"/>
          <w:sz w:val="20"/>
          <w:szCs w:val="20"/>
        </w:rPr>
        <w:lastRenderedPageBreak/>
        <w:t xml:space="preserve">Fifth, although education does not emerge as a statistically significant predictor of income vulnerability, this finding should not be interpreted as diminishing the importance of human capital. Instead, it may reflect the limited returns to formal education within certain segments of platform work. Policymakers should therefore promote skill diversification and sectoral mobility through advanced digital training, financial literacy initiatives, and entrepreneurship development programmes tailored to women gig workers. Institutional support from organisations such as the Kerala Academy for Skills Excellence and </w:t>
      </w:r>
      <w:proofErr w:type="spellStart"/>
      <w:r w:rsidRPr="00340D8F">
        <w:rPr>
          <w:rFonts w:ascii="Arial" w:hAnsi="Arial" w:cs="Arial"/>
          <w:sz w:val="20"/>
          <w:szCs w:val="20"/>
        </w:rPr>
        <w:t>Kudumbashree</w:t>
      </w:r>
      <w:proofErr w:type="spellEnd"/>
      <w:r w:rsidRPr="00340D8F">
        <w:rPr>
          <w:rFonts w:ascii="Arial" w:hAnsi="Arial" w:cs="Arial"/>
          <w:sz w:val="20"/>
          <w:szCs w:val="20"/>
        </w:rPr>
        <w:t xml:space="preserve"> can be strategically aligned to enhance digital competencies and entrepreneurial capabilities among women engaged in platform-based activities.</w:t>
      </w:r>
    </w:p>
    <w:p w14:paraId="205A4A70" w14:textId="66A0030D" w:rsidR="00B12C09" w:rsidRPr="00340D8F" w:rsidRDefault="00B12C09" w:rsidP="002A1132">
      <w:pPr>
        <w:spacing w:line="360" w:lineRule="auto"/>
        <w:jc w:val="both"/>
        <w:rPr>
          <w:rFonts w:ascii="Arial" w:hAnsi="Arial" w:cs="Arial"/>
          <w:sz w:val="20"/>
          <w:szCs w:val="20"/>
        </w:rPr>
      </w:pPr>
      <w:r w:rsidRPr="00340D8F">
        <w:rPr>
          <w:rFonts w:ascii="Arial" w:hAnsi="Arial" w:cs="Arial"/>
          <w:sz w:val="20"/>
          <w:szCs w:val="20"/>
        </w:rPr>
        <w:t>Finally, the overall pattern of results underscores the need for a comprehensive regulatory framework governing gig work. The Government of Kerala can take a leading role by establishing a dedicated welfare board for platform workers, mandating aggregator registration, and designing contributory social security mechanisms suited to the flexible nature of gig employment. Formal recognition of gig workers as a distinct labour category would represent a significant step toward reducing income volatility and strengthening economic security. Furthermore, systematic data collection and continuous monitoring of the gig workforce are essential. Integrating gender-disaggregated gig employment statistics into state labour surveys would facilitate evidence-based policymaking and support the development of more inclusive labour market strategies.</w:t>
      </w:r>
    </w:p>
    <w:p w14:paraId="0551EB15" w14:textId="1876CB19" w:rsidR="008A78FA" w:rsidRPr="00340D8F" w:rsidRDefault="00A12230" w:rsidP="002A1132">
      <w:pPr>
        <w:spacing w:line="360" w:lineRule="auto"/>
        <w:jc w:val="both"/>
        <w:rPr>
          <w:rFonts w:ascii="Arial" w:hAnsi="Arial" w:cs="Arial"/>
          <w:sz w:val="20"/>
          <w:szCs w:val="20"/>
        </w:rPr>
      </w:pPr>
      <w:r w:rsidRPr="00340D8F">
        <w:rPr>
          <w:rFonts w:ascii="Arial" w:hAnsi="Arial" w:cs="Arial"/>
          <w:b/>
          <w:bCs/>
        </w:rPr>
        <w:t>6</w:t>
      </w:r>
      <w:r w:rsidR="002A1132" w:rsidRPr="00340D8F">
        <w:rPr>
          <w:rFonts w:ascii="Arial" w:hAnsi="Arial" w:cs="Arial"/>
          <w:b/>
          <w:bCs/>
        </w:rPr>
        <w:t xml:space="preserve"> </w:t>
      </w:r>
      <w:proofErr w:type="gramStart"/>
      <w:r w:rsidR="008A78FA" w:rsidRPr="00340D8F">
        <w:rPr>
          <w:rFonts w:ascii="Arial" w:hAnsi="Arial" w:cs="Arial"/>
          <w:b/>
          <w:bCs/>
        </w:rPr>
        <w:t>CONCLUSION</w:t>
      </w:r>
      <w:proofErr w:type="gramEnd"/>
      <w:r w:rsidR="000E6BB1" w:rsidRPr="00340D8F">
        <w:rPr>
          <w:rFonts w:ascii="Arial" w:hAnsi="Arial" w:cs="Arial"/>
          <w:b/>
          <w:bCs/>
        </w:rPr>
        <w:t xml:space="preserve"> </w:t>
      </w:r>
    </w:p>
    <w:p w14:paraId="04D77ACA" w14:textId="44AC658B" w:rsidR="00D209A6" w:rsidRPr="00340D8F" w:rsidRDefault="00695F63" w:rsidP="002A1132">
      <w:pPr>
        <w:spacing w:line="360" w:lineRule="auto"/>
        <w:jc w:val="both"/>
        <w:rPr>
          <w:rFonts w:ascii="Arial" w:hAnsi="Arial" w:cs="Arial"/>
          <w:sz w:val="20"/>
          <w:szCs w:val="20"/>
        </w:rPr>
      </w:pPr>
      <w:r w:rsidRPr="00340D8F">
        <w:rPr>
          <w:rFonts w:ascii="Arial" w:hAnsi="Arial" w:cs="Arial"/>
          <w:sz w:val="20"/>
          <w:szCs w:val="20"/>
        </w:rPr>
        <w:t>In conclusion, this study examined the socioeconomic characteristics of women participating in Kerala’s gig economy and analysed the determinants of income vulnerability using a binary logistic regression framework. Based on primary survey evidence, the findings contribute to a more nuanced understanding of how structural and household-level factors shape economic insecurity within emerging platform-based and informal work arrangements. The analysis demonstrates that women engaged in gig work in Kerala do not constitute a socially homogeneous group defined by caste, religion, or marital status. Instead, income vulnerability is more strongly associated with household composition and spatial location. In particular, women belonging to larger households and those residing in rural areas exhibit greater exposure to income insecurity. These patterns indicate that the gig economy, despite being widely characterized as flexible and accessible, does not inherently mitigate pre-existing socioeconomic disparities. Rather, it may replicate or intensify structural disadvantages rooted in household-level resource constraints and regional inequalities. Efforts to enhance the economic resilience of women gig workers must move beyond individual-level characteristics and address structural constraints. Policy measures such as income stabilization mechanisms, improved digital infrastructure in rural regions, and expanded access to social protection schemes could reduce vulnerability. Strengthening institutional support systems and integrating gig workers into broader labour welfare frameworks are essential to ensure that participation in platform-based work leads to sustainable and secure livelihoods rather than persistent precarity. Overall, the study underscores the need to situate women’s gig work within a broader socioeconomic context. By identifying the structural determinants of income vulnerability, it provides an empirical foundation for designing inclusive labour and social policies that promote equity and long-term economic security in Kerala’s evolving gig economy.</w:t>
      </w:r>
    </w:p>
    <w:p w14:paraId="1C943579" w14:textId="77777777" w:rsidR="008B792E" w:rsidRPr="008B792E" w:rsidRDefault="008B792E" w:rsidP="008B792E">
      <w:pPr>
        <w:spacing w:after="0" w:line="240" w:lineRule="auto"/>
        <w:rPr>
          <w:rFonts w:ascii="Arial" w:eastAsia="Calibri" w:hAnsi="Arial" w:cs="Arial"/>
          <w:b/>
          <w:lang w:val="en-US"/>
          <w14:ligatures w14:val="none"/>
        </w:rPr>
      </w:pPr>
      <w:bookmarkStart w:id="1" w:name="_Hlk198031404"/>
      <w:r w:rsidRPr="008B792E">
        <w:rPr>
          <w:rFonts w:ascii="Arial" w:eastAsia="Calibri" w:hAnsi="Arial" w:cs="Arial"/>
          <w:b/>
          <w:lang w:val="en-US"/>
          <w14:ligatures w14:val="none"/>
        </w:rPr>
        <w:lastRenderedPageBreak/>
        <w:t xml:space="preserve">Consent </w:t>
      </w:r>
      <w:bookmarkStart w:id="2" w:name="_GoBack"/>
      <w:bookmarkEnd w:id="2"/>
    </w:p>
    <w:p w14:paraId="24F064D5" w14:textId="7CD434A0" w:rsidR="008B792E" w:rsidRPr="008B792E" w:rsidRDefault="008B792E" w:rsidP="008B792E">
      <w:pPr>
        <w:spacing w:after="0" w:line="240" w:lineRule="auto"/>
        <w:rPr>
          <w:rFonts w:ascii="Arial" w:eastAsia="Calibri" w:hAnsi="Arial" w:cs="Arial"/>
          <w:highlight w:val="yellow"/>
          <w:lang w:val="en-US"/>
          <w14:ligatures w14:val="none"/>
        </w:rPr>
      </w:pPr>
      <w:r w:rsidRPr="008B792E">
        <w:rPr>
          <w:rFonts w:ascii="Arial" w:eastAsia="Calibri" w:hAnsi="Arial" w:cs="Arial"/>
          <w:lang w:val="en-US"/>
          <w14:ligatures w14:val="none"/>
        </w:rPr>
        <w:t>As per international standards or university standards, Participants’ written consent has been collected and preserved by the author(s).</w:t>
      </w:r>
    </w:p>
    <w:p w14:paraId="3568B3AE" w14:textId="77777777" w:rsidR="008B792E" w:rsidRDefault="008B792E" w:rsidP="00E10334">
      <w:pPr>
        <w:spacing w:after="0" w:line="240" w:lineRule="auto"/>
        <w:rPr>
          <w:rFonts w:ascii="Arial" w:eastAsia="Calibri" w:hAnsi="Arial" w:cs="Arial"/>
          <w:b/>
          <w:highlight w:val="yellow"/>
          <w:lang w:val="en-US"/>
          <w14:ligatures w14:val="none"/>
        </w:rPr>
      </w:pPr>
    </w:p>
    <w:p w14:paraId="56AE1F99" w14:textId="35591433" w:rsidR="00E10334" w:rsidRPr="00F41397" w:rsidRDefault="00E10334" w:rsidP="00E10334">
      <w:pPr>
        <w:spacing w:after="0" w:line="240" w:lineRule="auto"/>
        <w:rPr>
          <w:rFonts w:ascii="Arial" w:eastAsia="Calibri" w:hAnsi="Arial" w:cs="Arial"/>
          <w:b/>
          <w:highlight w:val="yellow"/>
          <w:lang w:val="en-US"/>
          <w14:ligatures w14:val="none"/>
        </w:rPr>
      </w:pPr>
      <w:r w:rsidRPr="00F41397">
        <w:rPr>
          <w:rFonts w:ascii="Arial" w:eastAsia="Calibri" w:hAnsi="Arial" w:cs="Arial"/>
          <w:b/>
          <w:highlight w:val="yellow"/>
          <w:lang w:val="en-US"/>
          <w14:ligatures w14:val="none"/>
        </w:rPr>
        <w:t>Disclaimer (Artificial intelligence)</w:t>
      </w:r>
    </w:p>
    <w:p w14:paraId="70FF0D44" w14:textId="77777777" w:rsidR="00E10334" w:rsidRPr="00340D8F" w:rsidRDefault="00E10334" w:rsidP="00E10334">
      <w:pPr>
        <w:spacing w:after="0" w:line="240" w:lineRule="auto"/>
        <w:rPr>
          <w:rFonts w:ascii="Arial" w:eastAsia="Calibri" w:hAnsi="Arial" w:cs="Arial"/>
          <w:highlight w:val="yellow"/>
          <w:lang w:val="en-US"/>
          <w14:ligatures w14:val="none"/>
        </w:rPr>
      </w:pPr>
    </w:p>
    <w:p w14:paraId="03ACDDFF" w14:textId="77777777" w:rsidR="00E10334" w:rsidRPr="00340D8F" w:rsidRDefault="00E10334" w:rsidP="00E10334">
      <w:pPr>
        <w:spacing w:after="0" w:line="240" w:lineRule="auto"/>
        <w:rPr>
          <w:rFonts w:ascii="Arial" w:eastAsia="Calibri" w:hAnsi="Arial" w:cs="Arial"/>
          <w:highlight w:val="yellow"/>
          <w:lang w:val="en-US"/>
          <w14:ligatures w14:val="none"/>
        </w:rPr>
      </w:pPr>
      <w:r w:rsidRPr="00340D8F">
        <w:rPr>
          <w:rFonts w:ascii="Arial" w:eastAsia="Calibri" w:hAnsi="Arial" w:cs="Arial"/>
          <w:highlight w:val="yellow"/>
          <w:lang w:val="en-US"/>
          <w14:ligatures w14:val="none"/>
        </w:rPr>
        <w:t>Author(s) hereby declare that NO generative AI technologies such as Large Language Models (</w:t>
      </w:r>
      <w:proofErr w:type="spellStart"/>
      <w:r w:rsidRPr="00340D8F">
        <w:rPr>
          <w:rFonts w:ascii="Arial" w:eastAsia="Calibri" w:hAnsi="Arial" w:cs="Arial"/>
          <w:highlight w:val="yellow"/>
          <w:lang w:val="en-US"/>
          <w14:ligatures w14:val="none"/>
        </w:rPr>
        <w:t>ChatGPT</w:t>
      </w:r>
      <w:proofErr w:type="spellEnd"/>
      <w:r w:rsidRPr="00340D8F">
        <w:rPr>
          <w:rFonts w:ascii="Arial" w:eastAsia="Calibri" w:hAnsi="Arial" w:cs="Arial"/>
          <w:highlight w:val="yellow"/>
          <w:lang w:val="en-US"/>
          <w14:ligatures w14:val="none"/>
        </w:rPr>
        <w:t xml:space="preserve">, COPILOT, etc.) and text-to-image generators have been used during the writing or editing of this manuscript. </w:t>
      </w:r>
    </w:p>
    <w:bookmarkEnd w:id="1"/>
    <w:p w14:paraId="5ED0805B" w14:textId="199A379D" w:rsidR="002A415E" w:rsidRPr="00340D8F" w:rsidRDefault="0059717B" w:rsidP="0059717B">
      <w:pPr>
        <w:spacing w:before="240" w:after="0" w:line="360" w:lineRule="auto"/>
        <w:jc w:val="both"/>
        <w:rPr>
          <w:rFonts w:ascii="Arial" w:hAnsi="Arial" w:cs="Arial"/>
          <w:b/>
          <w:bCs/>
        </w:rPr>
      </w:pPr>
      <w:r w:rsidRPr="00340D8F">
        <w:rPr>
          <w:rFonts w:ascii="Arial" w:hAnsi="Arial" w:cs="Arial"/>
          <w:b/>
          <w:bCs/>
        </w:rPr>
        <w:t xml:space="preserve">REFERENCES </w:t>
      </w:r>
    </w:p>
    <w:p w14:paraId="175D85D7" w14:textId="213401F8" w:rsidR="00C93A68" w:rsidRPr="00E93CF3" w:rsidRDefault="00C93A68" w:rsidP="00E93CF3">
      <w:pPr>
        <w:pStyle w:val="ListParagraph"/>
        <w:numPr>
          <w:ilvl w:val="0"/>
          <w:numId w:val="4"/>
        </w:numPr>
        <w:spacing w:before="240" w:after="0" w:line="360" w:lineRule="auto"/>
        <w:jc w:val="both"/>
        <w:rPr>
          <w:rFonts w:ascii="Arial" w:hAnsi="Arial" w:cs="Arial"/>
          <w:sz w:val="20"/>
          <w:szCs w:val="20"/>
        </w:rPr>
      </w:pPr>
      <w:r w:rsidRPr="00E93CF3">
        <w:rPr>
          <w:rFonts w:ascii="Arial" w:hAnsi="Arial" w:cs="Arial"/>
          <w:sz w:val="20"/>
          <w:szCs w:val="20"/>
        </w:rPr>
        <w:t xml:space="preserve">Agrawal, D., &amp; </w:t>
      </w:r>
      <w:proofErr w:type="spellStart"/>
      <w:r w:rsidRPr="00E93CF3">
        <w:rPr>
          <w:rFonts w:ascii="Arial" w:hAnsi="Arial" w:cs="Arial"/>
          <w:sz w:val="20"/>
          <w:szCs w:val="20"/>
        </w:rPr>
        <w:t>Bhukya</w:t>
      </w:r>
      <w:proofErr w:type="spellEnd"/>
      <w:r w:rsidRPr="00E93CF3">
        <w:rPr>
          <w:rFonts w:ascii="Arial" w:hAnsi="Arial" w:cs="Arial"/>
          <w:sz w:val="20"/>
          <w:szCs w:val="20"/>
        </w:rPr>
        <w:t xml:space="preserve">, R. (2022). Effects of the gig economy on the workplace: A contemporary Indian perspective study. </w:t>
      </w:r>
      <w:r w:rsidRPr="00E93CF3">
        <w:rPr>
          <w:rFonts w:ascii="Arial" w:hAnsi="Arial" w:cs="Arial"/>
          <w:i/>
          <w:iCs/>
          <w:sz w:val="20"/>
          <w:szCs w:val="20"/>
        </w:rPr>
        <w:t>International Journal of Health Sciences</w:t>
      </w:r>
      <w:r w:rsidRPr="00E93CF3">
        <w:rPr>
          <w:rFonts w:ascii="Arial" w:hAnsi="Arial" w:cs="Arial"/>
          <w:sz w:val="20"/>
          <w:szCs w:val="20"/>
        </w:rPr>
        <w:t xml:space="preserve">, </w:t>
      </w:r>
      <w:r w:rsidRPr="00E93CF3">
        <w:rPr>
          <w:rFonts w:ascii="Arial" w:hAnsi="Arial" w:cs="Arial"/>
          <w:i/>
          <w:iCs/>
          <w:sz w:val="20"/>
          <w:szCs w:val="20"/>
        </w:rPr>
        <w:t>(III)</w:t>
      </w:r>
      <w:r w:rsidRPr="00E93CF3">
        <w:rPr>
          <w:rFonts w:ascii="Arial" w:hAnsi="Arial" w:cs="Arial"/>
          <w:sz w:val="20"/>
          <w:szCs w:val="20"/>
        </w:rPr>
        <w:t>, 2701–2718.</w:t>
      </w:r>
    </w:p>
    <w:p w14:paraId="79E44DF6" w14:textId="4E5018A9" w:rsidR="00C93A68" w:rsidRPr="00E93CF3" w:rsidRDefault="00C93A68" w:rsidP="00E93CF3">
      <w:pPr>
        <w:pStyle w:val="ListParagraph"/>
        <w:numPr>
          <w:ilvl w:val="0"/>
          <w:numId w:val="4"/>
        </w:numPr>
        <w:spacing w:after="0" w:line="360" w:lineRule="auto"/>
        <w:jc w:val="both"/>
        <w:rPr>
          <w:rFonts w:ascii="Arial" w:hAnsi="Arial" w:cs="Arial"/>
          <w:sz w:val="20"/>
          <w:szCs w:val="20"/>
        </w:rPr>
      </w:pPr>
      <w:proofErr w:type="spellStart"/>
      <w:r w:rsidRPr="00E93CF3">
        <w:rPr>
          <w:rFonts w:ascii="Arial" w:hAnsi="Arial" w:cs="Arial"/>
          <w:sz w:val="20"/>
          <w:szCs w:val="20"/>
        </w:rPr>
        <w:t>Alacovska</w:t>
      </w:r>
      <w:proofErr w:type="spellEnd"/>
      <w:r w:rsidRPr="00E93CF3">
        <w:rPr>
          <w:rFonts w:ascii="Arial" w:hAnsi="Arial" w:cs="Arial"/>
          <w:sz w:val="20"/>
          <w:szCs w:val="20"/>
        </w:rPr>
        <w:t xml:space="preserve">, A., Bucher, E., &amp; </w:t>
      </w:r>
      <w:proofErr w:type="spellStart"/>
      <w:r w:rsidRPr="00E93CF3">
        <w:rPr>
          <w:rFonts w:ascii="Arial" w:hAnsi="Arial" w:cs="Arial"/>
          <w:sz w:val="20"/>
          <w:szCs w:val="20"/>
        </w:rPr>
        <w:t>Fieseler</w:t>
      </w:r>
      <w:proofErr w:type="spellEnd"/>
      <w:r w:rsidRPr="00E93CF3">
        <w:rPr>
          <w:rFonts w:ascii="Arial" w:hAnsi="Arial" w:cs="Arial"/>
          <w:sz w:val="20"/>
          <w:szCs w:val="20"/>
        </w:rPr>
        <w:t xml:space="preserve">, C. (2024). A relational work perspective on the gig economy: Doing creative work on digital labour platforms. </w:t>
      </w:r>
      <w:r w:rsidRPr="00E93CF3">
        <w:rPr>
          <w:rFonts w:ascii="Arial" w:hAnsi="Arial" w:cs="Arial"/>
          <w:i/>
          <w:iCs/>
          <w:sz w:val="20"/>
          <w:szCs w:val="20"/>
        </w:rPr>
        <w:t>Work, Employment and Society, 38</w:t>
      </w:r>
      <w:r w:rsidRPr="00E93CF3">
        <w:rPr>
          <w:rFonts w:ascii="Arial" w:hAnsi="Arial" w:cs="Arial"/>
          <w:sz w:val="20"/>
          <w:szCs w:val="20"/>
        </w:rPr>
        <w:t>(1), 161–179.</w:t>
      </w:r>
    </w:p>
    <w:p w14:paraId="468FD3CC" w14:textId="75A11D86"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Becker, G. S. (1964). </w:t>
      </w:r>
      <w:r w:rsidRPr="00E93CF3">
        <w:rPr>
          <w:rFonts w:ascii="Arial" w:hAnsi="Arial" w:cs="Arial"/>
          <w:i/>
          <w:iCs/>
          <w:sz w:val="20"/>
          <w:szCs w:val="20"/>
        </w:rPr>
        <w:t>Human capital: A theoretical and empirical analysis, with special reference to education</w:t>
      </w:r>
      <w:r w:rsidRPr="00E93CF3">
        <w:rPr>
          <w:rFonts w:ascii="Arial" w:hAnsi="Arial" w:cs="Arial"/>
          <w:sz w:val="20"/>
          <w:szCs w:val="20"/>
        </w:rPr>
        <w:t>. University of Chicago Press.</w:t>
      </w:r>
    </w:p>
    <w:p w14:paraId="16BD15A6" w14:textId="1FC17051" w:rsidR="00C93A68" w:rsidRPr="00E93CF3" w:rsidRDefault="00C93A68" w:rsidP="00E93CF3">
      <w:pPr>
        <w:pStyle w:val="ListParagraph"/>
        <w:numPr>
          <w:ilvl w:val="0"/>
          <w:numId w:val="4"/>
        </w:numPr>
        <w:spacing w:line="360" w:lineRule="auto"/>
        <w:jc w:val="both"/>
        <w:rPr>
          <w:rFonts w:ascii="Arial" w:hAnsi="Arial" w:cs="Arial"/>
          <w:sz w:val="20"/>
          <w:szCs w:val="20"/>
        </w:rPr>
      </w:pPr>
      <w:r w:rsidRPr="00E93CF3">
        <w:rPr>
          <w:rFonts w:ascii="Arial" w:hAnsi="Arial" w:cs="Arial"/>
          <w:sz w:val="20"/>
          <w:szCs w:val="20"/>
        </w:rPr>
        <w:t xml:space="preserve">Chakrabarti, S. (2006). Income vulnerability and social protection. </w:t>
      </w:r>
      <w:r w:rsidRPr="00E93CF3">
        <w:rPr>
          <w:rFonts w:ascii="Arial" w:hAnsi="Arial" w:cs="Arial"/>
          <w:i/>
          <w:iCs/>
          <w:sz w:val="20"/>
          <w:szCs w:val="20"/>
        </w:rPr>
        <w:t>Journal of Social Policy, 35</w:t>
      </w:r>
      <w:r w:rsidRPr="00E93CF3">
        <w:rPr>
          <w:rFonts w:ascii="Arial" w:hAnsi="Arial" w:cs="Arial"/>
          <w:sz w:val="20"/>
          <w:szCs w:val="20"/>
        </w:rPr>
        <w:t>(2), 301–318.</w:t>
      </w:r>
    </w:p>
    <w:p w14:paraId="6EF4414A" w14:textId="7CDD9D3C"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Chaudhary, R. (2021). India’s emerging gig economy: Shaping the future of work for women. </w:t>
      </w:r>
      <w:r w:rsidRPr="00E93CF3">
        <w:rPr>
          <w:rFonts w:ascii="Arial" w:hAnsi="Arial" w:cs="Arial"/>
          <w:i/>
          <w:iCs/>
          <w:sz w:val="20"/>
          <w:szCs w:val="20"/>
        </w:rPr>
        <w:t>Georgetown Journal of Asian Affairs, 7</w:t>
      </w:r>
      <w:r w:rsidRPr="00E93CF3">
        <w:rPr>
          <w:rFonts w:ascii="Arial" w:hAnsi="Arial" w:cs="Arial"/>
          <w:sz w:val="20"/>
          <w:szCs w:val="20"/>
        </w:rPr>
        <w:t>, 50–57.</w:t>
      </w:r>
    </w:p>
    <w:p w14:paraId="2B79B8BB" w14:textId="71907FAA" w:rsidR="00C93A68" w:rsidRPr="00E93CF3" w:rsidRDefault="00C93A68" w:rsidP="00E93CF3">
      <w:pPr>
        <w:pStyle w:val="ListParagraph"/>
        <w:numPr>
          <w:ilvl w:val="0"/>
          <w:numId w:val="4"/>
        </w:numPr>
        <w:spacing w:after="0" w:line="360" w:lineRule="auto"/>
        <w:jc w:val="both"/>
        <w:rPr>
          <w:rFonts w:ascii="Arial" w:hAnsi="Arial" w:cs="Arial"/>
          <w:sz w:val="20"/>
          <w:szCs w:val="20"/>
        </w:rPr>
      </w:pPr>
      <w:proofErr w:type="spellStart"/>
      <w:r w:rsidRPr="00E93CF3">
        <w:rPr>
          <w:rFonts w:ascii="Arial" w:hAnsi="Arial" w:cs="Arial"/>
          <w:sz w:val="20"/>
          <w:szCs w:val="20"/>
        </w:rPr>
        <w:t>Chengodan</w:t>
      </w:r>
      <w:proofErr w:type="spellEnd"/>
      <w:r w:rsidRPr="00E93CF3">
        <w:rPr>
          <w:rFonts w:ascii="Arial" w:hAnsi="Arial" w:cs="Arial"/>
          <w:sz w:val="20"/>
          <w:szCs w:val="20"/>
        </w:rPr>
        <w:t xml:space="preserve">, N., &amp; </w:t>
      </w:r>
      <w:proofErr w:type="spellStart"/>
      <w:r w:rsidRPr="00E93CF3">
        <w:rPr>
          <w:rFonts w:ascii="Arial" w:hAnsi="Arial" w:cs="Arial"/>
          <w:sz w:val="20"/>
          <w:szCs w:val="20"/>
        </w:rPr>
        <w:t>Jamsheer</w:t>
      </w:r>
      <w:proofErr w:type="spellEnd"/>
      <w:r w:rsidRPr="00E93CF3">
        <w:rPr>
          <w:rFonts w:ascii="Arial" w:hAnsi="Arial" w:cs="Arial"/>
          <w:sz w:val="20"/>
          <w:szCs w:val="20"/>
        </w:rPr>
        <w:t xml:space="preserve">, T. P. (2025). Assessing the challenges faced by women gig workers in the Malappuram district of Kerala, India: Logistic regression approach. </w:t>
      </w:r>
      <w:r w:rsidRPr="00E93CF3">
        <w:rPr>
          <w:rFonts w:ascii="Arial" w:hAnsi="Arial" w:cs="Arial"/>
          <w:i/>
          <w:iCs/>
          <w:sz w:val="20"/>
          <w:szCs w:val="20"/>
        </w:rPr>
        <w:t>South Asian Journal of Social Studies and Economics, 22</w:t>
      </w:r>
      <w:r w:rsidRPr="00E93CF3">
        <w:rPr>
          <w:rFonts w:ascii="Arial" w:hAnsi="Arial" w:cs="Arial"/>
          <w:sz w:val="20"/>
          <w:szCs w:val="20"/>
        </w:rPr>
        <w:t>(12), 222–233.</w:t>
      </w:r>
    </w:p>
    <w:p w14:paraId="77B0B9B8" w14:textId="0FFE215B"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Doeringer, P. B., &amp; </w:t>
      </w:r>
      <w:proofErr w:type="spellStart"/>
      <w:r w:rsidRPr="00E93CF3">
        <w:rPr>
          <w:rFonts w:ascii="Arial" w:hAnsi="Arial" w:cs="Arial"/>
          <w:sz w:val="20"/>
          <w:szCs w:val="20"/>
        </w:rPr>
        <w:t>Piore</w:t>
      </w:r>
      <w:proofErr w:type="spellEnd"/>
      <w:r w:rsidRPr="00E93CF3">
        <w:rPr>
          <w:rFonts w:ascii="Arial" w:hAnsi="Arial" w:cs="Arial"/>
          <w:sz w:val="20"/>
          <w:szCs w:val="20"/>
        </w:rPr>
        <w:t xml:space="preserve">, M. J. (1971). </w:t>
      </w:r>
      <w:r w:rsidRPr="00E93CF3">
        <w:rPr>
          <w:rFonts w:ascii="Arial" w:hAnsi="Arial" w:cs="Arial"/>
          <w:i/>
          <w:iCs/>
          <w:sz w:val="20"/>
          <w:szCs w:val="20"/>
        </w:rPr>
        <w:t xml:space="preserve">Internal </w:t>
      </w:r>
      <w:proofErr w:type="spellStart"/>
      <w:r w:rsidRPr="00E93CF3">
        <w:rPr>
          <w:rFonts w:ascii="Arial" w:hAnsi="Arial" w:cs="Arial"/>
          <w:i/>
          <w:iCs/>
          <w:sz w:val="20"/>
          <w:szCs w:val="20"/>
        </w:rPr>
        <w:t>labor</w:t>
      </w:r>
      <w:proofErr w:type="spellEnd"/>
      <w:r w:rsidRPr="00E93CF3">
        <w:rPr>
          <w:rFonts w:ascii="Arial" w:hAnsi="Arial" w:cs="Arial"/>
          <w:i/>
          <w:iCs/>
          <w:sz w:val="20"/>
          <w:szCs w:val="20"/>
        </w:rPr>
        <w:t xml:space="preserve"> markets and manpower analysis</w:t>
      </w:r>
      <w:r w:rsidRPr="00E93CF3">
        <w:rPr>
          <w:rFonts w:ascii="Arial" w:hAnsi="Arial" w:cs="Arial"/>
          <w:sz w:val="20"/>
          <w:szCs w:val="20"/>
        </w:rPr>
        <w:t>. Heath Lexington Books.</w:t>
      </w:r>
    </w:p>
    <w:p w14:paraId="51D1B53D" w14:textId="5B366925"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Elson, D. (1999). </w:t>
      </w:r>
      <w:proofErr w:type="spellStart"/>
      <w:r w:rsidRPr="00E93CF3">
        <w:rPr>
          <w:rFonts w:ascii="Arial" w:hAnsi="Arial" w:cs="Arial"/>
          <w:sz w:val="20"/>
          <w:szCs w:val="20"/>
        </w:rPr>
        <w:t>Labor</w:t>
      </w:r>
      <w:proofErr w:type="spellEnd"/>
      <w:r w:rsidRPr="00E93CF3">
        <w:rPr>
          <w:rFonts w:ascii="Arial" w:hAnsi="Arial" w:cs="Arial"/>
          <w:sz w:val="20"/>
          <w:szCs w:val="20"/>
        </w:rPr>
        <w:t xml:space="preserve"> markets as gendered institutions: Equality, efficiency, and empowerment issues. </w:t>
      </w:r>
      <w:r w:rsidRPr="00E93CF3">
        <w:rPr>
          <w:rFonts w:ascii="Arial" w:hAnsi="Arial" w:cs="Arial"/>
          <w:i/>
          <w:iCs/>
          <w:sz w:val="20"/>
          <w:szCs w:val="20"/>
        </w:rPr>
        <w:t>World Development, 27</w:t>
      </w:r>
      <w:r w:rsidRPr="00E93CF3">
        <w:rPr>
          <w:rFonts w:ascii="Arial" w:hAnsi="Arial" w:cs="Arial"/>
          <w:sz w:val="20"/>
          <w:szCs w:val="20"/>
        </w:rPr>
        <w:t>(3), 611–627.</w:t>
      </w:r>
    </w:p>
    <w:p w14:paraId="7522C67D" w14:textId="21D32A01"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Ghosh, A., Ramachandran, R., &amp; Zaidi, M. (2021). Women workers in the gig economy in India: An exploratory study. </w:t>
      </w:r>
      <w:r w:rsidRPr="00E93CF3">
        <w:rPr>
          <w:rFonts w:ascii="Arial" w:hAnsi="Arial" w:cs="Arial"/>
          <w:i/>
          <w:iCs/>
          <w:sz w:val="20"/>
          <w:szCs w:val="20"/>
        </w:rPr>
        <w:t>SSRN Electronic Journal</w:t>
      </w:r>
      <w:r w:rsidRPr="00E93CF3">
        <w:rPr>
          <w:rFonts w:ascii="Arial" w:hAnsi="Arial" w:cs="Arial"/>
          <w:sz w:val="20"/>
          <w:szCs w:val="20"/>
        </w:rPr>
        <w:t>. https://doi.org/10.2139/ssrn.3944205</w:t>
      </w:r>
    </w:p>
    <w:p w14:paraId="5225A7BD" w14:textId="6361BE38"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Harris, B. (2017). Uber, Lyft, and regulating the sharing economy. </w:t>
      </w:r>
      <w:r w:rsidRPr="00E93CF3">
        <w:rPr>
          <w:rFonts w:ascii="Arial" w:hAnsi="Arial" w:cs="Arial"/>
          <w:i/>
          <w:iCs/>
          <w:sz w:val="20"/>
          <w:szCs w:val="20"/>
        </w:rPr>
        <w:t>Case Western Reserve Law Review, 68</w:t>
      </w:r>
      <w:r w:rsidRPr="00E93CF3">
        <w:rPr>
          <w:rFonts w:ascii="Arial" w:hAnsi="Arial" w:cs="Arial"/>
          <w:sz w:val="20"/>
          <w:szCs w:val="20"/>
        </w:rPr>
        <w:t>(3), 865–895.</w:t>
      </w:r>
    </w:p>
    <w:p w14:paraId="09A0E118" w14:textId="243BC737"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Joseph, K. J. (2021). Platform economy and the Kerala model: Opportunities and challenges. </w:t>
      </w:r>
      <w:r w:rsidRPr="00E93CF3">
        <w:rPr>
          <w:rFonts w:ascii="Arial" w:hAnsi="Arial" w:cs="Arial"/>
          <w:i/>
          <w:iCs/>
          <w:sz w:val="20"/>
          <w:szCs w:val="20"/>
        </w:rPr>
        <w:t>Economic and Political Weekly, 56</w:t>
      </w:r>
      <w:r w:rsidRPr="00E93CF3">
        <w:rPr>
          <w:rFonts w:ascii="Arial" w:hAnsi="Arial" w:cs="Arial"/>
          <w:sz w:val="20"/>
          <w:szCs w:val="20"/>
        </w:rPr>
        <w:t>(34), 45–52.</w:t>
      </w:r>
    </w:p>
    <w:p w14:paraId="7BE80A9D" w14:textId="0363BBA9"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Kannan, K. P., Pillai, P. R., &amp; </w:t>
      </w:r>
      <w:proofErr w:type="spellStart"/>
      <w:r w:rsidRPr="00E93CF3">
        <w:rPr>
          <w:rFonts w:ascii="Arial" w:hAnsi="Arial" w:cs="Arial"/>
          <w:sz w:val="20"/>
          <w:szCs w:val="20"/>
        </w:rPr>
        <w:t>Sathyapalan</w:t>
      </w:r>
      <w:proofErr w:type="spellEnd"/>
      <w:r w:rsidRPr="00E93CF3">
        <w:rPr>
          <w:rFonts w:ascii="Arial" w:hAnsi="Arial" w:cs="Arial"/>
          <w:sz w:val="20"/>
          <w:szCs w:val="20"/>
        </w:rPr>
        <w:t xml:space="preserve">, S. (1991). </w:t>
      </w:r>
      <w:r w:rsidRPr="00E93CF3">
        <w:rPr>
          <w:rFonts w:ascii="Arial" w:hAnsi="Arial" w:cs="Arial"/>
          <w:i/>
          <w:iCs/>
          <w:sz w:val="20"/>
          <w:szCs w:val="20"/>
        </w:rPr>
        <w:t>Kerala’s development experience: Economic and social perspectives</w:t>
      </w:r>
      <w:r w:rsidRPr="00E93CF3">
        <w:rPr>
          <w:rFonts w:ascii="Arial" w:hAnsi="Arial" w:cs="Arial"/>
          <w:sz w:val="20"/>
          <w:szCs w:val="20"/>
        </w:rPr>
        <w:t>. Institute of Social Sciences.</w:t>
      </w:r>
    </w:p>
    <w:p w14:paraId="0FEC3262" w14:textId="6F873428"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proofErr w:type="spellStart"/>
      <w:r w:rsidRPr="00E93CF3">
        <w:rPr>
          <w:rFonts w:ascii="Arial" w:hAnsi="Arial" w:cs="Arial"/>
          <w:sz w:val="20"/>
          <w:szCs w:val="20"/>
        </w:rPr>
        <w:t>Karunakaran</w:t>
      </w:r>
      <w:proofErr w:type="spellEnd"/>
      <w:r w:rsidRPr="00E93CF3">
        <w:rPr>
          <w:rFonts w:ascii="Arial" w:hAnsi="Arial" w:cs="Arial"/>
          <w:sz w:val="20"/>
          <w:szCs w:val="20"/>
        </w:rPr>
        <w:t xml:space="preserve">, N. (2025). The gig economy in India. </w:t>
      </w:r>
      <w:r w:rsidRPr="00E93CF3">
        <w:rPr>
          <w:rFonts w:ascii="Arial" w:hAnsi="Arial" w:cs="Arial"/>
          <w:i/>
          <w:iCs/>
          <w:sz w:val="20"/>
          <w:szCs w:val="20"/>
        </w:rPr>
        <w:t>Journal of Management Research and Analysis, 12</w:t>
      </w:r>
      <w:r w:rsidRPr="00E93CF3">
        <w:rPr>
          <w:rFonts w:ascii="Arial" w:hAnsi="Arial" w:cs="Arial"/>
          <w:sz w:val="20"/>
          <w:szCs w:val="20"/>
        </w:rPr>
        <w:t xml:space="preserve">(1), 67–73. </w:t>
      </w:r>
      <w:hyperlink r:id="rId8" w:tgtFrame="_new" w:history="1">
        <w:r w:rsidRPr="00E93CF3">
          <w:rPr>
            <w:rStyle w:val="Hyperlink"/>
            <w:rFonts w:ascii="Arial" w:hAnsi="Arial" w:cs="Arial"/>
            <w:sz w:val="20"/>
            <w:szCs w:val="20"/>
          </w:rPr>
          <w:t>https://doi.org/10.18231/j.jmra.2025.012</w:t>
        </w:r>
      </w:hyperlink>
    </w:p>
    <w:p w14:paraId="73558B20" w14:textId="39778B4E"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proofErr w:type="spellStart"/>
      <w:r w:rsidRPr="00E93CF3">
        <w:rPr>
          <w:rFonts w:ascii="Arial" w:hAnsi="Arial" w:cs="Arial"/>
          <w:sz w:val="20"/>
          <w:szCs w:val="20"/>
        </w:rPr>
        <w:t>Kasliwal</w:t>
      </w:r>
      <w:proofErr w:type="spellEnd"/>
      <w:r w:rsidRPr="00E93CF3">
        <w:rPr>
          <w:rFonts w:ascii="Arial" w:hAnsi="Arial" w:cs="Arial"/>
          <w:sz w:val="20"/>
          <w:szCs w:val="20"/>
        </w:rPr>
        <w:t xml:space="preserve">, R. (2020). </w:t>
      </w:r>
      <w:r w:rsidRPr="00E93CF3">
        <w:rPr>
          <w:rFonts w:ascii="Arial" w:hAnsi="Arial" w:cs="Arial"/>
          <w:i/>
          <w:iCs/>
          <w:sz w:val="20"/>
          <w:szCs w:val="20"/>
        </w:rPr>
        <w:t>Gender and the gig economy: A qualitative study of gig platforms for women workers</w:t>
      </w:r>
      <w:r w:rsidRPr="00E93CF3">
        <w:rPr>
          <w:rFonts w:ascii="Arial" w:hAnsi="Arial" w:cs="Arial"/>
          <w:sz w:val="20"/>
          <w:szCs w:val="20"/>
        </w:rPr>
        <w:t xml:space="preserve"> (ORF Issue Brief No. 359). Observer Research Foundation.</w:t>
      </w:r>
    </w:p>
    <w:p w14:paraId="33C74D4D" w14:textId="3920E303"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lastRenderedPageBreak/>
        <w:t>Katz, L. F., &amp; Krueger, A. B. (2019). The rise and nature of alternative work arrangements in the United</w:t>
      </w:r>
      <w:r w:rsidR="00E93CF3">
        <w:rPr>
          <w:rFonts w:ascii="Arial" w:hAnsi="Arial" w:cs="Arial"/>
          <w:sz w:val="20"/>
          <w:szCs w:val="20"/>
        </w:rPr>
        <w:t xml:space="preserve"> </w:t>
      </w:r>
      <w:r w:rsidRPr="00E93CF3">
        <w:rPr>
          <w:rFonts w:ascii="Arial" w:hAnsi="Arial" w:cs="Arial"/>
          <w:sz w:val="20"/>
          <w:szCs w:val="20"/>
        </w:rPr>
        <w:t xml:space="preserve">States, 1995–2015. </w:t>
      </w:r>
      <w:r w:rsidRPr="00E93CF3">
        <w:rPr>
          <w:rFonts w:ascii="Arial" w:hAnsi="Arial" w:cs="Arial"/>
          <w:i/>
          <w:iCs/>
          <w:sz w:val="20"/>
          <w:szCs w:val="20"/>
        </w:rPr>
        <w:t>ILR Review, 72</w:t>
      </w:r>
      <w:r w:rsidRPr="00E93CF3">
        <w:rPr>
          <w:rFonts w:ascii="Arial" w:hAnsi="Arial" w:cs="Arial"/>
          <w:sz w:val="20"/>
          <w:szCs w:val="20"/>
        </w:rPr>
        <w:t>(2), 382–416.</w:t>
      </w:r>
    </w:p>
    <w:p w14:paraId="7FED546B" w14:textId="3B33A95B"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Leela, M. H., </w:t>
      </w:r>
      <w:proofErr w:type="spellStart"/>
      <w:r w:rsidRPr="00E93CF3">
        <w:rPr>
          <w:rFonts w:ascii="Arial" w:hAnsi="Arial" w:cs="Arial"/>
          <w:sz w:val="20"/>
          <w:szCs w:val="20"/>
        </w:rPr>
        <w:t>Nakkeeran</w:t>
      </w:r>
      <w:proofErr w:type="spellEnd"/>
      <w:r w:rsidRPr="00E93CF3">
        <w:rPr>
          <w:rFonts w:ascii="Arial" w:hAnsi="Arial" w:cs="Arial"/>
          <w:sz w:val="20"/>
          <w:szCs w:val="20"/>
        </w:rPr>
        <w:t xml:space="preserve">, I., </w:t>
      </w:r>
      <w:proofErr w:type="spellStart"/>
      <w:r w:rsidRPr="00E93CF3">
        <w:rPr>
          <w:rFonts w:ascii="Arial" w:hAnsi="Arial" w:cs="Arial"/>
          <w:sz w:val="20"/>
          <w:szCs w:val="20"/>
        </w:rPr>
        <w:t>Jayaprada</w:t>
      </w:r>
      <w:proofErr w:type="spellEnd"/>
      <w:r w:rsidRPr="00E93CF3">
        <w:rPr>
          <w:rFonts w:ascii="Arial" w:hAnsi="Arial" w:cs="Arial"/>
          <w:sz w:val="20"/>
          <w:szCs w:val="20"/>
        </w:rPr>
        <w:t xml:space="preserve">, N., Singh, A., &amp; Shankar Narayan, P. B. (2025). Gendered experience and safety challenges among women gig workers. </w:t>
      </w:r>
      <w:r w:rsidRPr="00E93CF3">
        <w:rPr>
          <w:rFonts w:ascii="Arial" w:hAnsi="Arial" w:cs="Arial"/>
          <w:i/>
          <w:iCs/>
          <w:sz w:val="20"/>
          <w:szCs w:val="20"/>
        </w:rPr>
        <w:t>European Economic Letters, 15</w:t>
      </w:r>
      <w:r w:rsidRPr="00E93CF3">
        <w:rPr>
          <w:rFonts w:ascii="Arial" w:hAnsi="Arial" w:cs="Arial"/>
          <w:sz w:val="20"/>
          <w:szCs w:val="20"/>
        </w:rPr>
        <w:t>(4), 1153–1162.</w:t>
      </w:r>
    </w:p>
    <w:p w14:paraId="4ECC77B8" w14:textId="547AF9D5"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Liang, C., Hong, Y., Gu, B., &amp; Peng, J. (2018). Gender wage gap in online gig economy and gender differences in job preferences (Working Paper No. 18-03). </w:t>
      </w:r>
      <w:r w:rsidRPr="00E93CF3">
        <w:rPr>
          <w:rFonts w:ascii="Arial" w:hAnsi="Arial" w:cs="Arial"/>
          <w:i/>
          <w:iCs/>
          <w:sz w:val="20"/>
          <w:szCs w:val="20"/>
        </w:rPr>
        <w:t>NET Institute Working Paper Series</w:t>
      </w:r>
      <w:r w:rsidRPr="00E93CF3">
        <w:rPr>
          <w:rFonts w:ascii="Arial" w:hAnsi="Arial" w:cs="Arial"/>
          <w:sz w:val="20"/>
          <w:szCs w:val="20"/>
        </w:rPr>
        <w:t xml:space="preserve">. </w:t>
      </w:r>
      <w:hyperlink r:id="rId9" w:history="1">
        <w:r w:rsidRPr="00E93CF3">
          <w:rPr>
            <w:rStyle w:val="Hyperlink"/>
            <w:rFonts w:ascii="Arial" w:hAnsi="Arial" w:cs="Arial"/>
            <w:sz w:val="20"/>
            <w:szCs w:val="20"/>
          </w:rPr>
          <w:t>https://papers.ssrn.com/sol3/papers.cfm?abstract_id=3266249</w:t>
        </w:r>
      </w:hyperlink>
    </w:p>
    <w:p w14:paraId="1519A896" w14:textId="4B7863FD"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Mehta, B. S. (2023). Changing nature of work and the gig economy: Theory and debate. </w:t>
      </w:r>
      <w:r w:rsidRPr="00E93CF3">
        <w:rPr>
          <w:rFonts w:ascii="Arial" w:hAnsi="Arial" w:cs="Arial"/>
          <w:i/>
          <w:iCs/>
          <w:sz w:val="20"/>
          <w:szCs w:val="20"/>
        </w:rPr>
        <w:t>FIIB Business Review, 12</w:t>
      </w:r>
      <w:r w:rsidRPr="00E93CF3">
        <w:rPr>
          <w:rFonts w:ascii="Arial" w:hAnsi="Arial" w:cs="Arial"/>
          <w:sz w:val="20"/>
          <w:szCs w:val="20"/>
        </w:rPr>
        <w:t xml:space="preserve">(3), 227–237. </w:t>
      </w:r>
      <w:hyperlink r:id="rId10" w:tgtFrame="_new" w:history="1">
        <w:r w:rsidRPr="00E93CF3">
          <w:rPr>
            <w:rStyle w:val="Hyperlink"/>
            <w:rFonts w:ascii="Arial" w:hAnsi="Arial" w:cs="Arial"/>
            <w:sz w:val="20"/>
            <w:szCs w:val="20"/>
          </w:rPr>
          <w:t>https://doi.org/10.1177/23197145231174321</w:t>
        </w:r>
      </w:hyperlink>
    </w:p>
    <w:p w14:paraId="146534B2" w14:textId="2A8126B3"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NITI Aayog. (2022). NITI Aayog pitches for incentives to draw more women into gig economy. </w:t>
      </w:r>
      <w:r w:rsidRPr="00E93CF3">
        <w:rPr>
          <w:rFonts w:ascii="Arial" w:hAnsi="Arial" w:cs="Arial"/>
          <w:i/>
          <w:iCs/>
          <w:sz w:val="20"/>
          <w:szCs w:val="20"/>
        </w:rPr>
        <w:t>The Indian Express</w:t>
      </w:r>
      <w:r w:rsidRPr="00E93CF3">
        <w:rPr>
          <w:rFonts w:ascii="Arial" w:hAnsi="Arial" w:cs="Arial"/>
          <w:sz w:val="20"/>
          <w:szCs w:val="20"/>
        </w:rPr>
        <w:t xml:space="preserve">. </w:t>
      </w:r>
      <w:hyperlink r:id="rId11" w:tgtFrame="_new" w:history="1">
        <w:r w:rsidRPr="00E93CF3">
          <w:rPr>
            <w:rStyle w:val="Hyperlink"/>
            <w:rFonts w:ascii="Arial" w:hAnsi="Arial" w:cs="Arial"/>
            <w:sz w:val="20"/>
            <w:szCs w:val="20"/>
          </w:rPr>
          <w:t>https://indianexpress.com</w:t>
        </w:r>
      </w:hyperlink>
    </w:p>
    <w:p w14:paraId="09A35EF8" w14:textId="77777777" w:rsidR="00C93A68" w:rsidRPr="00E93CF3" w:rsidRDefault="00C93A68" w:rsidP="00E93CF3">
      <w:pPr>
        <w:pStyle w:val="ListParagraph"/>
        <w:numPr>
          <w:ilvl w:val="0"/>
          <w:numId w:val="4"/>
        </w:numPr>
        <w:spacing w:line="360" w:lineRule="auto"/>
        <w:jc w:val="both"/>
        <w:rPr>
          <w:rFonts w:ascii="Arial" w:hAnsi="Arial" w:cs="Arial"/>
          <w:sz w:val="20"/>
          <w:szCs w:val="20"/>
        </w:rPr>
      </w:pPr>
      <w:proofErr w:type="spellStart"/>
      <w:r w:rsidRPr="00E93CF3">
        <w:rPr>
          <w:rFonts w:ascii="Arial" w:hAnsi="Arial" w:cs="Arial"/>
          <w:sz w:val="20"/>
          <w:szCs w:val="20"/>
        </w:rPr>
        <w:t>Oommen</w:t>
      </w:r>
      <w:proofErr w:type="spellEnd"/>
      <w:r w:rsidRPr="00E93CF3">
        <w:rPr>
          <w:rFonts w:ascii="Arial" w:hAnsi="Arial" w:cs="Arial"/>
          <w:sz w:val="20"/>
          <w:szCs w:val="20"/>
        </w:rPr>
        <w:t xml:space="preserve">, M. A. (2008). Reforms and the Kerala model. </w:t>
      </w:r>
      <w:r w:rsidRPr="00E93CF3">
        <w:rPr>
          <w:rFonts w:ascii="Arial" w:hAnsi="Arial" w:cs="Arial"/>
          <w:i/>
          <w:iCs/>
          <w:sz w:val="20"/>
          <w:szCs w:val="20"/>
        </w:rPr>
        <w:t>Economic and Political Weekly, 43</w:t>
      </w:r>
      <w:r w:rsidRPr="00E93CF3">
        <w:rPr>
          <w:rFonts w:ascii="Arial" w:hAnsi="Arial" w:cs="Arial"/>
          <w:sz w:val="20"/>
          <w:szCs w:val="20"/>
        </w:rPr>
        <w:t>(2), 22–25.</w:t>
      </w:r>
    </w:p>
    <w:p w14:paraId="5B7EFC73" w14:textId="10410C07"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Panwar, S., Singh, D., &amp; </w:t>
      </w:r>
      <w:proofErr w:type="spellStart"/>
      <w:r w:rsidRPr="00E93CF3">
        <w:rPr>
          <w:rFonts w:ascii="Arial" w:hAnsi="Arial" w:cs="Arial"/>
          <w:sz w:val="20"/>
          <w:szCs w:val="20"/>
        </w:rPr>
        <w:t>Chaduhary</w:t>
      </w:r>
      <w:proofErr w:type="spellEnd"/>
      <w:r w:rsidRPr="00E93CF3">
        <w:rPr>
          <w:rFonts w:ascii="Arial" w:hAnsi="Arial" w:cs="Arial"/>
          <w:sz w:val="20"/>
          <w:szCs w:val="20"/>
        </w:rPr>
        <w:t xml:space="preserve">, T. (2024). An interdisciplinary analysis of Indian gig economy with a focus on women workers. </w:t>
      </w:r>
      <w:r w:rsidRPr="00E93CF3">
        <w:rPr>
          <w:rFonts w:ascii="Arial" w:hAnsi="Arial" w:cs="Arial"/>
          <w:i/>
          <w:iCs/>
          <w:sz w:val="20"/>
          <w:szCs w:val="20"/>
        </w:rPr>
        <w:t>Educational Administration: Theory and Practice, 30</w:t>
      </w:r>
      <w:r w:rsidRPr="00E93CF3">
        <w:rPr>
          <w:rFonts w:ascii="Arial" w:hAnsi="Arial" w:cs="Arial"/>
          <w:sz w:val="20"/>
          <w:szCs w:val="20"/>
        </w:rPr>
        <w:t>(4), 10332–10336.</w:t>
      </w:r>
    </w:p>
    <w:p w14:paraId="31A7B600" w14:textId="65072594" w:rsidR="00C93A68" w:rsidRPr="00E93CF3" w:rsidRDefault="00C93A68" w:rsidP="00E93CF3">
      <w:pPr>
        <w:pStyle w:val="ListParagraph"/>
        <w:numPr>
          <w:ilvl w:val="0"/>
          <w:numId w:val="4"/>
        </w:numPr>
        <w:spacing w:after="0" w:line="360" w:lineRule="auto"/>
        <w:jc w:val="both"/>
        <w:rPr>
          <w:rFonts w:ascii="Arial" w:hAnsi="Arial" w:cs="Arial"/>
          <w:sz w:val="20"/>
          <w:szCs w:val="20"/>
        </w:rPr>
      </w:pPr>
      <w:proofErr w:type="spellStart"/>
      <w:r w:rsidRPr="00E93CF3">
        <w:rPr>
          <w:rFonts w:ascii="Arial" w:hAnsi="Arial" w:cs="Arial"/>
          <w:sz w:val="20"/>
          <w:szCs w:val="20"/>
        </w:rPr>
        <w:t>Parayil</w:t>
      </w:r>
      <w:proofErr w:type="spellEnd"/>
      <w:r w:rsidRPr="00E93CF3">
        <w:rPr>
          <w:rFonts w:ascii="Arial" w:hAnsi="Arial" w:cs="Arial"/>
          <w:sz w:val="20"/>
          <w:szCs w:val="20"/>
        </w:rPr>
        <w:t xml:space="preserve">, G. (1996). The “Kerala model” of development: Development and sustainability in the Third World. </w:t>
      </w:r>
      <w:r w:rsidRPr="00E93CF3">
        <w:rPr>
          <w:rFonts w:ascii="Arial" w:hAnsi="Arial" w:cs="Arial"/>
          <w:i/>
          <w:iCs/>
          <w:sz w:val="20"/>
          <w:szCs w:val="20"/>
        </w:rPr>
        <w:t>Third World Quarterly, 17</w:t>
      </w:r>
      <w:r w:rsidRPr="00E93CF3">
        <w:rPr>
          <w:rFonts w:ascii="Arial" w:hAnsi="Arial" w:cs="Arial"/>
          <w:sz w:val="20"/>
          <w:szCs w:val="20"/>
        </w:rPr>
        <w:t xml:space="preserve">(5), 941–957. </w:t>
      </w:r>
      <w:hyperlink r:id="rId12" w:tgtFrame="_new" w:history="1">
        <w:r w:rsidRPr="00E93CF3">
          <w:rPr>
            <w:rStyle w:val="Hyperlink"/>
            <w:rFonts w:ascii="Arial" w:hAnsi="Arial" w:cs="Arial"/>
            <w:sz w:val="20"/>
            <w:szCs w:val="20"/>
          </w:rPr>
          <w:t>https://doi.org/10.1080/01436599615105</w:t>
        </w:r>
      </w:hyperlink>
    </w:p>
    <w:p w14:paraId="09FDD8E6" w14:textId="3C14D91B"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Raj, A., &amp; Yadav, P. (2026). Deciphering the attrition of women in the gig economy in a developing economy. </w:t>
      </w:r>
      <w:r w:rsidRPr="00E93CF3">
        <w:rPr>
          <w:rFonts w:ascii="Arial" w:hAnsi="Arial" w:cs="Arial"/>
          <w:i/>
          <w:iCs/>
          <w:sz w:val="20"/>
          <w:szCs w:val="20"/>
        </w:rPr>
        <w:t>International Journal of Organizational Analysis</w:t>
      </w:r>
      <w:r w:rsidRPr="00E93CF3">
        <w:rPr>
          <w:rFonts w:ascii="Arial" w:hAnsi="Arial" w:cs="Arial"/>
          <w:sz w:val="20"/>
          <w:szCs w:val="20"/>
        </w:rPr>
        <w:t>. Advance online publication.</w:t>
      </w:r>
    </w:p>
    <w:p w14:paraId="6A769A30" w14:textId="5C1914A1"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Ramachandran, R., Singh, A., &amp; </w:t>
      </w:r>
      <w:proofErr w:type="spellStart"/>
      <w:r w:rsidRPr="00E93CF3">
        <w:rPr>
          <w:rFonts w:ascii="Arial" w:hAnsi="Arial" w:cs="Arial"/>
          <w:sz w:val="20"/>
          <w:szCs w:val="20"/>
        </w:rPr>
        <w:t>Narain</w:t>
      </w:r>
      <w:proofErr w:type="spellEnd"/>
      <w:r w:rsidRPr="00E93CF3">
        <w:rPr>
          <w:rFonts w:ascii="Arial" w:hAnsi="Arial" w:cs="Arial"/>
          <w:sz w:val="20"/>
          <w:szCs w:val="20"/>
        </w:rPr>
        <w:t xml:space="preserve">, N. (2021). The gig economy in India: A study of platform workers’ experiences. </w:t>
      </w:r>
      <w:r w:rsidRPr="00E93CF3">
        <w:rPr>
          <w:rFonts w:ascii="Arial" w:hAnsi="Arial" w:cs="Arial"/>
          <w:i/>
          <w:iCs/>
          <w:sz w:val="20"/>
          <w:szCs w:val="20"/>
        </w:rPr>
        <w:t>Journal of Labour Research, 42</w:t>
      </w:r>
      <w:r w:rsidRPr="00E93CF3">
        <w:rPr>
          <w:rFonts w:ascii="Arial" w:hAnsi="Arial" w:cs="Arial"/>
          <w:sz w:val="20"/>
          <w:szCs w:val="20"/>
        </w:rPr>
        <w:t xml:space="preserve">(3), 289–310. </w:t>
      </w:r>
      <w:hyperlink r:id="rId13" w:history="1">
        <w:r w:rsidR="00E0234A" w:rsidRPr="00E93CF3">
          <w:rPr>
            <w:rStyle w:val="Hyperlink"/>
            <w:rFonts w:ascii="Arial" w:hAnsi="Arial" w:cs="Arial"/>
            <w:sz w:val="20"/>
            <w:szCs w:val="20"/>
          </w:rPr>
          <w:t>https://doi.org/10.1007/s12122-021-09322-7</w:t>
        </w:r>
      </w:hyperlink>
    </w:p>
    <w:p w14:paraId="63060AD6" w14:textId="65F4FB50"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Rani, U., &amp; </w:t>
      </w:r>
      <w:proofErr w:type="spellStart"/>
      <w:r w:rsidRPr="00E93CF3">
        <w:rPr>
          <w:rFonts w:ascii="Arial" w:hAnsi="Arial" w:cs="Arial"/>
          <w:sz w:val="20"/>
          <w:szCs w:val="20"/>
        </w:rPr>
        <w:t>Furrer</w:t>
      </w:r>
      <w:proofErr w:type="spellEnd"/>
      <w:r w:rsidRPr="00E93CF3">
        <w:rPr>
          <w:rFonts w:ascii="Arial" w:hAnsi="Arial" w:cs="Arial"/>
          <w:sz w:val="20"/>
          <w:szCs w:val="20"/>
        </w:rPr>
        <w:t xml:space="preserve">, M. (2021). Digital labour platforms and new forms of flexible work in developing countries: Algorithmic management of work and workers. </w:t>
      </w:r>
      <w:r w:rsidRPr="00E93CF3">
        <w:rPr>
          <w:rFonts w:ascii="Arial" w:hAnsi="Arial" w:cs="Arial"/>
          <w:i/>
          <w:iCs/>
          <w:sz w:val="20"/>
          <w:szCs w:val="20"/>
        </w:rPr>
        <w:t>Competition &amp; Change, 25</w:t>
      </w:r>
      <w:r w:rsidRPr="00E93CF3">
        <w:rPr>
          <w:rFonts w:ascii="Arial" w:hAnsi="Arial" w:cs="Arial"/>
          <w:sz w:val="20"/>
          <w:szCs w:val="20"/>
        </w:rPr>
        <w:t>(2), 212–236.</w:t>
      </w:r>
    </w:p>
    <w:p w14:paraId="79DAA70E" w14:textId="58561538"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Rani, U., </w:t>
      </w:r>
      <w:proofErr w:type="spellStart"/>
      <w:r w:rsidRPr="00E93CF3">
        <w:rPr>
          <w:rFonts w:ascii="Arial" w:hAnsi="Arial" w:cs="Arial"/>
          <w:sz w:val="20"/>
          <w:szCs w:val="20"/>
        </w:rPr>
        <w:t>Dhir</w:t>
      </w:r>
      <w:proofErr w:type="spellEnd"/>
      <w:r w:rsidRPr="00E93CF3">
        <w:rPr>
          <w:rFonts w:ascii="Arial" w:hAnsi="Arial" w:cs="Arial"/>
          <w:sz w:val="20"/>
          <w:szCs w:val="20"/>
        </w:rPr>
        <w:t xml:space="preserve">, R. K., &amp; </w:t>
      </w:r>
      <w:proofErr w:type="spellStart"/>
      <w:r w:rsidRPr="00E93CF3">
        <w:rPr>
          <w:rFonts w:ascii="Arial" w:hAnsi="Arial" w:cs="Arial"/>
          <w:sz w:val="20"/>
          <w:szCs w:val="20"/>
        </w:rPr>
        <w:t>Gobel</w:t>
      </w:r>
      <w:proofErr w:type="spellEnd"/>
      <w:r w:rsidRPr="00E93CF3">
        <w:rPr>
          <w:rFonts w:ascii="Arial" w:hAnsi="Arial" w:cs="Arial"/>
          <w:sz w:val="20"/>
          <w:szCs w:val="20"/>
        </w:rPr>
        <w:t xml:space="preserve">, N. (2022). Work on online labour platforms: Does formal education matter? In U. Huws &amp; A. </w:t>
      </w:r>
      <w:proofErr w:type="spellStart"/>
      <w:r w:rsidRPr="00E93CF3">
        <w:rPr>
          <w:rFonts w:ascii="Arial" w:hAnsi="Arial" w:cs="Arial"/>
          <w:sz w:val="20"/>
          <w:szCs w:val="20"/>
        </w:rPr>
        <w:t>Surie</w:t>
      </w:r>
      <w:proofErr w:type="spellEnd"/>
      <w:r w:rsidRPr="00E93CF3">
        <w:rPr>
          <w:rFonts w:ascii="Arial" w:hAnsi="Arial" w:cs="Arial"/>
          <w:sz w:val="20"/>
          <w:szCs w:val="20"/>
        </w:rPr>
        <w:t xml:space="preserve"> (Eds.), </w:t>
      </w:r>
      <w:proofErr w:type="spellStart"/>
      <w:r w:rsidRPr="00E93CF3">
        <w:rPr>
          <w:rFonts w:ascii="Arial" w:hAnsi="Arial" w:cs="Arial"/>
          <w:i/>
          <w:iCs/>
          <w:sz w:val="20"/>
          <w:szCs w:val="20"/>
        </w:rPr>
        <w:t>Platformization</w:t>
      </w:r>
      <w:proofErr w:type="spellEnd"/>
      <w:r w:rsidRPr="00E93CF3">
        <w:rPr>
          <w:rFonts w:ascii="Arial" w:hAnsi="Arial" w:cs="Arial"/>
          <w:i/>
          <w:iCs/>
          <w:sz w:val="20"/>
          <w:szCs w:val="20"/>
        </w:rPr>
        <w:t xml:space="preserve"> and informality: Pathways of change, alteration and transformation</w:t>
      </w:r>
      <w:r w:rsidRPr="00E93CF3">
        <w:rPr>
          <w:rFonts w:ascii="Arial" w:hAnsi="Arial" w:cs="Arial"/>
          <w:sz w:val="20"/>
          <w:szCs w:val="20"/>
        </w:rPr>
        <w:t>. Routledge.</w:t>
      </w:r>
    </w:p>
    <w:p w14:paraId="5447B2D4" w14:textId="6620641B" w:rsidR="00C93A68" w:rsidRPr="00E93CF3" w:rsidRDefault="00C93A68" w:rsidP="00E93CF3">
      <w:pPr>
        <w:pStyle w:val="ListParagraph"/>
        <w:numPr>
          <w:ilvl w:val="0"/>
          <w:numId w:val="4"/>
        </w:numPr>
        <w:spacing w:after="0" w:line="360" w:lineRule="auto"/>
        <w:jc w:val="both"/>
        <w:rPr>
          <w:rFonts w:ascii="Arial" w:hAnsi="Arial" w:cs="Arial"/>
          <w:sz w:val="20"/>
          <w:szCs w:val="20"/>
        </w:rPr>
      </w:pPr>
      <w:proofErr w:type="spellStart"/>
      <w:r w:rsidRPr="00E93CF3">
        <w:rPr>
          <w:rFonts w:ascii="Arial" w:hAnsi="Arial" w:cs="Arial"/>
          <w:sz w:val="20"/>
          <w:szCs w:val="20"/>
        </w:rPr>
        <w:t>Rosca</w:t>
      </w:r>
      <w:proofErr w:type="spellEnd"/>
      <w:r w:rsidRPr="00E93CF3">
        <w:rPr>
          <w:rFonts w:ascii="Arial" w:hAnsi="Arial" w:cs="Arial"/>
          <w:sz w:val="20"/>
          <w:szCs w:val="20"/>
        </w:rPr>
        <w:t xml:space="preserve">, M. (2025). Digital work: An overview of current definitions, evolution and dimensions. In </w:t>
      </w:r>
      <w:r w:rsidRPr="00E93CF3">
        <w:rPr>
          <w:rFonts w:ascii="Arial" w:hAnsi="Arial" w:cs="Arial"/>
          <w:i/>
          <w:iCs/>
          <w:sz w:val="20"/>
          <w:szCs w:val="20"/>
        </w:rPr>
        <w:t xml:space="preserve">Proceedings of the Central and Eastern European </w:t>
      </w:r>
      <w:proofErr w:type="spellStart"/>
      <w:r w:rsidRPr="00E93CF3">
        <w:rPr>
          <w:rFonts w:ascii="Arial" w:hAnsi="Arial" w:cs="Arial"/>
          <w:i/>
          <w:iCs/>
          <w:sz w:val="20"/>
          <w:szCs w:val="20"/>
        </w:rPr>
        <w:t>eDem</w:t>
      </w:r>
      <w:proofErr w:type="spellEnd"/>
      <w:r w:rsidRPr="00E93CF3">
        <w:rPr>
          <w:rFonts w:ascii="Arial" w:hAnsi="Arial" w:cs="Arial"/>
          <w:i/>
          <w:iCs/>
          <w:sz w:val="20"/>
          <w:szCs w:val="20"/>
        </w:rPr>
        <w:t xml:space="preserve"> and </w:t>
      </w:r>
      <w:proofErr w:type="spellStart"/>
      <w:r w:rsidRPr="00E93CF3">
        <w:rPr>
          <w:rFonts w:ascii="Arial" w:hAnsi="Arial" w:cs="Arial"/>
          <w:i/>
          <w:iCs/>
          <w:sz w:val="20"/>
          <w:szCs w:val="20"/>
        </w:rPr>
        <w:t>eGov</w:t>
      </w:r>
      <w:proofErr w:type="spellEnd"/>
      <w:r w:rsidRPr="00E93CF3">
        <w:rPr>
          <w:rFonts w:ascii="Arial" w:hAnsi="Arial" w:cs="Arial"/>
          <w:i/>
          <w:iCs/>
          <w:sz w:val="20"/>
          <w:szCs w:val="20"/>
        </w:rPr>
        <w:t xml:space="preserve"> Days 2025</w:t>
      </w:r>
      <w:r w:rsidRPr="00E93CF3">
        <w:rPr>
          <w:rFonts w:ascii="Arial" w:hAnsi="Arial" w:cs="Arial"/>
          <w:sz w:val="20"/>
          <w:szCs w:val="20"/>
        </w:rPr>
        <w:t xml:space="preserve"> (pp. 117–125).</w:t>
      </w:r>
    </w:p>
    <w:p w14:paraId="5DA45AD6" w14:textId="77777777" w:rsidR="00C93A68" w:rsidRPr="00E93CF3" w:rsidRDefault="00C93A68" w:rsidP="00E93CF3">
      <w:pPr>
        <w:pStyle w:val="ListParagraph"/>
        <w:numPr>
          <w:ilvl w:val="0"/>
          <w:numId w:val="4"/>
        </w:numPr>
        <w:spacing w:line="360" w:lineRule="auto"/>
        <w:jc w:val="both"/>
        <w:rPr>
          <w:rFonts w:ascii="Arial" w:hAnsi="Arial" w:cs="Arial"/>
          <w:sz w:val="20"/>
          <w:szCs w:val="20"/>
        </w:rPr>
      </w:pPr>
      <w:r w:rsidRPr="00E93CF3">
        <w:rPr>
          <w:rFonts w:ascii="Arial" w:hAnsi="Arial" w:cs="Arial"/>
          <w:sz w:val="20"/>
          <w:szCs w:val="20"/>
        </w:rPr>
        <w:t xml:space="preserve">Sen, A. (1999). </w:t>
      </w:r>
      <w:r w:rsidRPr="00E93CF3">
        <w:rPr>
          <w:rFonts w:ascii="Arial" w:hAnsi="Arial" w:cs="Arial"/>
          <w:i/>
          <w:iCs/>
          <w:sz w:val="20"/>
          <w:szCs w:val="20"/>
        </w:rPr>
        <w:t>Development as freedom</w:t>
      </w:r>
      <w:r w:rsidRPr="00E93CF3">
        <w:rPr>
          <w:rFonts w:ascii="Arial" w:hAnsi="Arial" w:cs="Arial"/>
          <w:sz w:val="20"/>
          <w:szCs w:val="20"/>
        </w:rPr>
        <w:t>. Oxford University Press.</w:t>
      </w:r>
    </w:p>
    <w:p w14:paraId="053DAC32" w14:textId="2F6A5F3E" w:rsidR="00C93A68" w:rsidRPr="00E93CF3" w:rsidRDefault="00C93A68" w:rsidP="00E93CF3">
      <w:pPr>
        <w:pStyle w:val="ListParagraph"/>
        <w:numPr>
          <w:ilvl w:val="0"/>
          <w:numId w:val="4"/>
        </w:numPr>
        <w:spacing w:after="0" w:line="360" w:lineRule="auto"/>
        <w:jc w:val="both"/>
        <w:rPr>
          <w:rFonts w:ascii="Arial" w:hAnsi="Arial" w:cs="Arial"/>
          <w:sz w:val="20"/>
          <w:szCs w:val="20"/>
        </w:rPr>
      </w:pPr>
      <w:r w:rsidRPr="00E93CF3">
        <w:rPr>
          <w:rFonts w:ascii="Arial" w:hAnsi="Arial" w:cs="Arial"/>
          <w:sz w:val="20"/>
          <w:szCs w:val="20"/>
        </w:rPr>
        <w:t xml:space="preserve">Sen, S., &amp; </w:t>
      </w:r>
      <w:proofErr w:type="spellStart"/>
      <w:r w:rsidRPr="00E93CF3">
        <w:rPr>
          <w:rFonts w:ascii="Arial" w:hAnsi="Arial" w:cs="Arial"/>
          <w:sz w:val="20"/>
          <w:szCs w:val="20"/>
        </w:rPr>
        <w:t>Kalita</w:t>
      </w:r>
      <w:proofErr w:type="spellEnd"/>
      <w:r w:rsidRPr="00E93CF3">
        <w:rPr>
          <w:rFonts w:ascii="Arial" w:hAnsi="Arial" w:cs="Arial"/>
          <w:sz w:val="20"/>
          <w:szCs w:val="20"/>
        </w:rPr>
        <w:t xml:space="preserve">, M. (2025). The gig economy and women: Participation factors and reproductive health impacts. </w:t>
      </w:r>
      <w:r w:rsidRPr="00E93CF3">
        <w:rPr>
          <w:rFonts w:ascii="Arial" w:hAnsi="Arial" w:cs="Arial"/>
          <w:i/>
          <w:iCs/>
          <w:sz w:val="20"/>
          <w:szCs w:val="20"/>
        </w:rPr>
        <w:t>South Asian Journal of Social Studies and Economics, 22</w:t>
      </w:r>
      <w:r w:rsidRPr="00E93CF3">
        <w:rPr>
          <w:rFonts w:ascii="Arial" w:hAnsi="Arial" w:cs="Arial"/>
          <w:sz w:val="20"/>
          <w:szCs w:val="20"/>
        </w:rPr>
        <w:t>(10), 362–373.</w:t>
      </w:r>
    </w:p>
    <w:p w14:paraId="2A03B595" w14:textId="37E04E19"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t xml:space="preserve">Sundararajan, A. (2016). </w:t>
      </w:r>
      <w:r w:rsidRPr="00E93CF3">
        <w:rPr>
          <w:rFonts w:ascii="Arial" w:hAnsi="Arial" w:cs="Arial"/>
          <w:i/>
          <w:iCs/>
          <w:sz w:val="20"/>
          <w:szCs w:val="20"/>
        </w:rPr>
        <w:t>The sharing economy: The end of employment and the rise of crowd-based capitalism</w:t>
      </w:r>
      <w:r w:rsidRPr="00E93CF3">
        <w:rPr>
          <w:rFonts w:ascii="Arial" w:hAnsi="Arial" w:cs="Arial"/>
          <w:sz w:val="20"/>
          <w:szCs w:val="20"/>
        </w:rPr>
        <w:t>. MIT Press.</w:t>
      </w:r>
    </w:p>
    <w:p w14:paraId="6B59F08A" w14:textId="01985CF3" w:rsidR="00C93A68" w:rsidRPr="00E93CF3" w:rsidRDefault="00C93A68" w:rsidP="00E93CF3">
      <w:pPr>
        <w:pStyle w:val="ListParagraph"/>
        <w:numPr>
          <w:ilvl w:val="0"/>
          <w:numId w:val="4"/>
        </w:numPr>
        <w:spacing w:after="0" w:line="360" w:lineRule="auto"/>
        <w:jc w:val="both"/>
        <w:rPr>
          <w:rFonts w:ascii="Arial" w:hAnsi="Arial" w:cs="Arial"/>
          <w:i/>
          <w:iCs/>
          <w:sz w:val="20"/>
          <w:szCs w:val="20"/>
        </w:rPr>
      </w:pPr>
      <w:r w:rsidRPr="00E93CF3">
        <w:rPr>
          <w:rFonts w:ascii="Arial" w:hAnsi="Arial" w:cs="Arial"/>
          <w:sz w:val="20"/>
          <w:szCs w:val="20"/>
        </w:rPr>
        <w:lastRenderedPageBreak/>
        <w:t xml:space="preserve">Verma, M. K. (2025). Gender and work: Women in India’s gig economy. </w:t>
      </w:r>
      <w:r w:rsidRPr="00E93CF3">
        <w:rPr>
          <w:rFonts w:ascii="Arial" w:hAnsi="Arial" w:cs="Arial"/>
          <w:i/>
          <w:iCs/>
          <w:sz w:val="20"/>
          <w:szCs w:val="20"/>
        </w:rPr>
        <w:t>IJSAT–International Journal on Science and Technology, 16</w:t>
      </w:r>
      <w:r w:rsidRPr="00E93CF3">
        <w:rPr>
          <w:rFonts w:ascii="Arial" w:hAnsi="Arial" w:cs="Arial"/>
          <w:sz w:val="20"/>
          <w:szCs w:val="20"/>
        </w:rPr>
        <w:t>(4).</w:t>
      </w:r>
    </w:p>
    <w:p w14:paraId="6F108430" w14:textId="77777777" w:rsidR="002D1F76" w:rsidRPr="00340D8F" w:rsidRDefault="002D1F76" w:rsidP="00DB4131">
      <w:pPr>
        <w:spacing w:line="360" w:lineRule="auto"/>
        <w:jc w:val="both"/>
        <w:rPr>
          <w:rFonts w:ascii="Arial" w:hAnsi="Arial" w:cs="Arial"/>
          <w:sz w:val="20"/>
          <w:szCs w:val="20"/>
        </w:rPr>
      </w:pPr>
    </w:p>
    <w:sectPr w:rsidR="002D1F76" w:rsidRPr="00340D8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8074" w14:textId="77777777" w:rsidR="0031044C" w:rsidRDefault="0031044C" w:rsidP="000F76EB">
      <w:pPr>
        <w:spacing w:after="0" w:line="240" w:lineRule="auto"/>
      </w:pPr>
      <w:r>
        <w:separator/>
      </w:r>
    </w:p>
  </w:endnote>
  <w:endnote w:type="continuationSeparator" w:id="0">
    <w:p w14:paraId="7216E15C" w14:textId="77777777" w:rsidR="0031044C" w:rsidRDefault="0031044C"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434EB" w14:textId="77777777" w:rsidR="00D9372A" w:rsidRDefault="00D93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585E" w14:textId="77777777" w:rsidR="00D9372A" w:rsidRDefault="00D93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2E801" w14:textId="77777777" w:rsidR="0031044C" w:rsidRDefault="0031044C" w:rsidP="000F76EB">
      <w:pPr>
        <w:spacing w:after="0" w:line="240" w:lineRule="auto"/>
      </w:pPr>
      <w:r>
        <w:separator/>
      </w:r>
    </w:p>
  </w:footnote>
  <w:footnote w:type="continuationSeparator" w:id="0">
    <w:p w14:paraId="1191C474" w14:textId="77777777" w:rsidR="0031044C" w:rsidRDefault="0031044C"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FF60" w14:textId="2D36C442" w:rsidR="00D9372A" w:rsidRDefault="0031044C">
    <w:pPr>
      <w:pStyle w:val="Header"/>
    </w:pPr>
    <w:r>
      <w:rPr>
        <w:noProof/>
      </w:rPr>
      <w:pict w14:anchorId="0FAE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126D" w14:textId="1781B011" w:rsidR="00D9372A" w:rsidRDefault="0031044C">
    <w:pPr>
      <w:pStyle w:val="Header"/>
    </w:pPr>
    <w:r>
      <w:rPr>
        <w:noProof/>
      </w:rPr>
      <w:pict w14:anchorId="1C91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E239" w14:textId="69E7D335" w:rsidR="00D9372A" w:rsidRDefault="0031044C">
    <w:pPr>
      <w:pStyle w:val="Header"/>
    </w:pPr>
    <w:r>
      <w:rPr>
        <w:noProof/>
      </w:rPr>
      <w:pict w14:anchorId="39862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C01AA"/>
    <w:multiLevelType w:val="multilevel"/>
    <w:tmpl w:val="FC2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E4A1B"/>
    <w:multiLevelType w:val="multilevel"/>
    <w:tmpl w:val="555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135BF"/>
    <w:multiLevelType w:val="hybridMultilevel"/>
    <w:tmpl w:val="570CCB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253C3"/>
    <w:rsid w:val="00030349"/>
    <w:rsid w:val="0003107B"/>
    <w:rsid w:val="00034823"/>
    <w:rsid w:val="00043EF7"/>
    <w:rsid w:val="000455D8"/>
    <w:rsid w:val="000629AA"/>
    <w:rsid w:val="000C0FA5"/>
    <w:rsid w:val="000D4AEE"/>
    <w:rsid w:val="000D5573"/>
    <w:rsid w:val="000E0CD0"/>
    <w:rsid w:val="000E2B17"/>
    <w:rsid w:val="000E6BB1"/>
    <w:rsid w:val="000F76EB"/>
    <w:rsid w:val="00110184"/>
    <w:rsid w:val="00144909"/>
    <w:rsid w:val="001451A9"/>
    <w:rsid w:val="001617E1"/>
    <w:rsid w:val="00175D97"/>
    <w:rsid w:val="0018085E"/>
    <w:rsid w:val="00185FC5"/>
    <w:rsid w:val="00191033"/>
    <w:rsid w:val="001A3AAD"/>
    <w:rsid w:val="001A50E1"/>
    <w:rsid w:val="001A56EA"/>
    <w:rsid w:val="001A69C3"/>
    <w:rsid w:val="001B3AD1"/>
    <w:rsid w:val="001B71BC"/>
    <w:rsid w:val="001C51F1"/>
    <w:rsid w:val="001C5C7D"/>
    <w:rsid w:val="001D43AD"/>
    <w:rsid w:val="001E125D"/>
    <w:rsid w:val="001F2F3E"/>
    <w:rsid w:val="00202D2C"/>
    <w:rsid w:val="00215722"/>
    <w:rsid w:val="00221B22"/>
    <w:rsid w:val="00222C82"/>
    <w:rsid w:val="00225533"/>
    <w:rsid w:val="00232C6A"/>
    <w:rsid w:val="0023379E"/>
    <w:rsid w:val="00235C1B"/>
    <w:rsid w:val="00262573"/>
    <w:rsid w:val="002663F6"/>
    <w:rsid w:val="00266F16"/>
    <w:rsid w:val="00273010"/>
    <w:rsid w:val="002A1132"/>
    <w:rsid w:val="002A415E"/>
    <w:rsid w:val="002A6150"/>
    <w:rsid w:val="002B00DD"/>
    <w:rsid w:val="002B3121"/>
    <w:rsid w:val="002B7AB5"/>
    <w:rsid w:val="002B7F28"/>
    <w:rsid w:val="002C689E"/>
    <w:rsid w:val="002C78FD"/>
    <w:rsid w:val="002D1F76"/>
    <w:rsid w:val="002D26E0"/>
    <w:rsid w:val="002D422D"/>
    <w:rsid w:val="002E0A26"/>
    <w:rsid w:val="002E73F0"/>
    <w:rsid w:val="002F2D48"/>
    <w:rsid w:val="002F6D04"/>
    <w:rsid w:val="0031044C"/>
    <w:rsid w:val="00312E10"/>
    <w:rsid w:val="00316400"/>
    <w:rsid w:val="00317278"/>
    <w:rsid w:val="00323BD2"/>
    <w:rsid w:val="00331F1D"/>
    <w:rsid w:val="00340D8F"/>
    <w:rsid w:val="00361671"/>
    <w:rsid w:val="00366B14"/>
    <w:rsid w:val="00367C28"/>
    <w:rsid w:val="003717AE"/>
    <w:rsid w:val="00373EE8"/>
    <w:rsid w:val="003774F5"/>
    <w:rsid w:val="00380434"/>
    <w:rsid w:val="003844B9"/>
    <w:rsid w:val="003878E2"/>
    <w:rsid w:val="003977A8"/>
    <w:rsid w:val="003A5CF4"/>
    <w:rsid w:val="003C0BFC"/>
    <w:rsid w:val="003D5B6A"/>
    <w:rsid w:val="003D642D"/>
    <w:rsid w:val="003E0295"/>
    <w:rsid w:val="003E3E3B"/>
    <w:rsid w:val="003F69FE"/>
    <w:rsid w:val="00403910"/>
    <w:rsid w:val="00422608"/>
    <w:rsid w:val="00422C6F"/>
    <w:rsid w:val="00432791"/>
    <w:rsid w:val="00445B06"/>
    <w:rsid w:val="00455369"/>
    <w:rsid w:val="0046049F"/>
    <w:rsid w:val="00463549"/>
    <w:rsid w:val="0046746D"/>
    <w:rsid w:val="004726F2"/>
    <w:rsid w:val="00491737"/>
    <w:rsid w:val="00494326"/>
    <w:rsid w:val="00494516"/>
    <w:rsid w:val="004A6152"/>
    <w:rsid w:val="004B081A"/>
    <w:rsid w:val="004B2654"/>
    <w:rsid w:val="004B4ECD"/>
    <w:rsid w:val="004B56CE"/>
    <w:rsid w:val="004C2859"/>
    <w:rsid w:val="004E73DA"/>
    <w:rsid w:val="00511073"/>
    <w:rsid w:val="0051190C"/>
    <w:rsid w:val="005179EE"/>
    <w:rsid w:val="0052057F"/>
    <w:rsid w:val="0052532F"/>
    <w:rsid w:val="00533583"/>
    <w:rsid w:val="0054509A"/>
    <w:rsid w:val="00550A44"/>
    <w:rsid w:val="00551884"/>
    <w:rsid w:val="005536A2"/>
    <w:rsid w:val="005568EE"/>
    <w:rsid w:val="005571C5"/>
    <w:rsid w:val="005601B8"/>
    <w:rsid w:val="00575B7E"/>
    <w:rsid w:val="00583830"/>
    <w:rsid w:val="00584A49"/>
    <w:rsid w:val="005904AE"/>
    <w:rsid w:val="0059188D"/>
    <w:rsid w:val="0059717B"/>
    <w:rsid w:val="00597C15"/>
    <w:rsid w:val="005A7EFE"/>
    <w:rsid w:val="005D065F"/>
    <w:rsid w:val="005E3110"/>
    <w:rsid w:val="005F1FD5"/>
    <w:rsid w:val="0061348F"/>
    <w:rsid w:val="006177EA"/>
    <w:rsid w:val="00620C9B"/>
    <w:rsid w:val="00622126"/>
    <w:rsid w:val="00626787"/>
    <w:rsid w:val="00642AC9"/>
    <w:rsid w:val="00650FB2"/>
    <w:rsid w:val="006567AC"/>
    <w:rsid w:val="0066096C"/>
    <w:rsid w:val="0066614D"/>
    <w:rsid w:val="00680FEF"/>
    <w:rsid w:val="006926B6"/>
    <w:rsid w:val="006955A0"/>
    <w:rsid w:val="00695F63"/>
    <w:rsid w:val="006966FD"/>
    <w:rsid w:val="00697AE6"/>
    <w:rsid w:val="006A06EA"/>
    <w:rsid w:val="006A7535"/>
    <w:rsid w:val="006B2B5D"/>
    <w:rsid w:val="006B2E13"/>
    <w:rsid w:val="006B5EA6"/>
    <w:rsid w:val="006B628A"/>
    <w:rsid w:val="006B7264"/>
    <w:rsid w:val="006D0F75"/>
    <w:rsid w:val="006F1079"/>
    <w:rsid w:val="0071142B"/>
    <w:rsid w:val="00724365"/>
    <w:rsid w:val="00726474"/>
    <w:rsid w:val="0073518E"/>
    <w:rsid w:val="00736132"/>
    <w:rsid w:val="00742972"/>
    <w:rsid w:val="007533DF"/>
    <w:rsid w:val="007601BD"/>
    <w:rsid w:val="00761999"/>
    <w:rsid w:val="00773E3F"/>
    <w:rsid w:val="00775173"/>
    <w:rsid w:val="00776F1D"/>
    <w:rsid w:val="00787827"/>
    <w:rsid w:val="00792935"/>
    <w:rsid w:val="007A4D57"/>
    <w:rsid w:val="007B29F0"/>
    <w:rsid w:val="007B2F7F"/>
    <w:rsid w:val="007C0FD9"/>
    <w:rsid w:val="007C2E38"/>
    <w:rsid w:val="007C703E"/>
    <w:rsid w:val="007D3D00"/>
    <w:rsid w:val="007F10CB"/>
    <w:rsid w:val="007F1D34"/>
    <w:rsid w:val="00806308"/>
    <w:rsid w:val="00807669"/>
    <w:rsid w:val="00810513"/>
    <w:rsid w:val="00825DB4"/>
    <w:rsid w:val="0082793E"/>
    <w:rsid w:val="008326A4"/>
    <w:rsid w:val="008438D8"/>
    <w:rsid w:val="00852F03"/>
    <w:rsid w:val="00857DD0"/>
    <w:rsid w:val="008624AE"/>
    <w:rsid w:val="0086322D"/>
    <w:rsid w:val="0087336E"/>
    <w:rsid w:val="008A78FA"/>
    <w:rsid w:val="008B510A"/>
    <w:rsid w:val="008B792E"/>
    <w:rsid w:val="008D6822"/>
    <w:rsid w:val="008E1DB6"/>
    <w:rsid w:val="008E34EC"/>
    <w:rsid w:val="008F6F65"/>
    <w:rsid w:val="009016E4"/>
    <w:rsid w:val="00904193"/>
    <w:rsid w:val="00905C2D"/>
    <w:rsid w:val="009150C1"/>
    <w:rsid w:val="00917560"/>
    <w:rsid w:val="009428CA"/>
    <w:rsid w:val="00950894"/>
    <w:rsid w:val="00952FE4"/>
    <w:rsid w:val="009B6F1F"/>
    <w:rsid w:val="009E7CF5"/>
    <w:rsid w:val="009F7DDA"/>
    <w:rsid w:val="00A020D7"/>
    <w:rsid w:val="00A021C5"/>
    <w:rsid w:val="00A0779C"/>
    <w:rsid w:val="00A12230"/>
    <w:rsid w:val="00A12A99"/>
    <w:rsid w:val="00A13C84"/>
    <w:rsid w:val="00A21DB4"/>
    <w:rsid w:val="00A252D3"/>
    <w:rsid w:val="00A34952"/>
    <w:rsid w:val="00A365D2"/>
    <w:rsid w:val="00A453C4"/>
    <w:rsid w:val="00A506D9"/>
    <w:rsid w:val="00A56ADF"/>
    <w:rsid w:val="00A6594F"/>
    <w:rsid w:val="00A73483"/>
    <w:rsid w:val="00A7738A"/>
    <w:rsid w:val="00A80C5E"/>
    <w:rsid w:val="00AB07B5"/>
    <w:rsid w:val="00AC0A74"/>
    <w:rsid w:val="00AD55B1"/>
    <w:rsid w:val="00AD6E77"/>
    <w:rsid w:val="00AF1EEC"/>
    <w:rsid w:val="00AF217B"/>
    <w:rsid w:val="00AF67F9"/>
    <w:rsid w:val="00B03F36"/>
    <w:rsid w:val="00B12C09"/>
    <w:rsid w:val="00B25968"/>
    <w:rsid w:val="00B32812"/>
    <w:rsid w:val="00B36840"/>
    <w:rsid w:val="00B45634"/>
    <w:rsid w:val="00B5139C"/>
    <w:rsid w:val="00B63B26"/>
    <w:rsid w:val="00B67278"/>
    <w:rsid w:val="00B67692"/>
    <w:rsid w:val="00B70CEC"/>
    <w:rsid w:val="00B71374"/>
    <w:rsid w:val="00B8215E"/>
    <w:rsid w:val="00BA086B"/>
    <w:rsid w:val="00BA6CAC"/>
    <w:rsid w:val="00BD3447"/>
    <w:rsid w:val="00BE129F"/>
    <w:rsid w:val="00BE2653"/>
    <w:rsid w:val="00BF24E0"/>
    <w:rsid w:val="00C01857"/>
    <w:rsid w:val="00C11A6C"/>
    <w:rsid w:val="00C22E25"/>
    <w:rsid w:val="00C30245"/>
    <w:rsid w:val="00C40AC9"/>
    <w:rsid w:val="00C51BE0"/>
    <w:rsid w:val="00C7476E"/>
    <w:rsid w:val="00C93A68"/>
    <w:rsid w:val="00C93F05"/>
    <w:rsid w:val="00C96180"/>
    <w:rsid w:val="00CA4042"/>
    <w:rsid w:val="00CA436B"/>
    <w:rsid w:val="00CA4B8D"/>
    <w:rsid w:val="00CA6C18"/>
    <w:rsid w:val="00CC1F42"/>
    <w:rsid w:val="00CC4107"/>
    <w:rsid w:val="00CE5335"/>
    <w:rsid w:val="00CF67EE"/>
    <w:rsid w:val="00CF77BD"/>
    <w:rsid w:val="00D0385F"/>
    <w:rsid w:val="00D10F14"/>
    <w:rsid w:val="00D152E5"/>
    <w:rsid w:val="00D17547"/>
    <w:rsid w:val="00D17776"/>
    <w:rsid w:val="00D209A6"/>
    <w:rsid w:val="00D21347"/>
    <w:rsid w:val="00D21C33"/>
    <w:rsid w:val="00D308B1"/>
    <w:rsid w:val="00D335EA"/>
    <w:rsid w:val="00D4796C"/>
    <w:rsid w:val="00D50CEF"/>
    <w:rsid w:val="00D65E99"/>
    <w:rsid w:val="00D66FB4"/>
    <w:rsid w:val="00D71F71"/>
    <w:rsid w:val="00D7383C"/>
    <w:rsid w:val="00D759DA"/>
    <w:rsid w:val="00D90791"/>
    <w:rsid w:val="00D9372A"/>
    <w:rsid w:val="00D95B96"/>
    <w:rsid w:val="00DB05DB"/>
    <w:rsid w:val="00DB4131"/>
    <w:rsid w:val="00DB5CC8"/>
    <w:rsid w:val="00DC2830"/>
    <w:rsid w:val="00DD20FD"/>
    <w:rsid w:val="00DD2E11"/>
    <w:rsid w:val="00DE41E7"/>
    <w:rsid w:val="00E0234A"/>
    <w:rsid w:val="00E04BB1"/>
    <w:rsid w:val="00E10334"/>
    <w:rsid w:val="00E10CE8"/>
    <w:rsid w:val="00E112E8"/>
    <w:rsid w:val="00E1742E"/>
    <w:rsid w:val="00E23360"/>
    <w:rsid w:val="00E26B95"/>
    <w:rsid w:val="00E3463E"/>
    <w:rsid w:val="00E42BAC"/>
    <w:rsid w:val="00E4401F"/>
    <w:rsid w:val="00E512AC"/>
    <w:rsid w:val="00E55E4B"/>
    <w:rsid w:val="00E63B56"/>
    <w:rsid w:val="00E87686"/>
    <w:rsid w:val="00E9324A"/>
    <w:rsid w:val="00E93CF3"/>
    <w:rsid w:val="00EA22EC"/>
    <w:rsid w:val="00EB6250"/>
    <w:rsid w:val="00EC12A8"/>
    <w:rsid w:val="00EC22EF"/>
    <w:rsid w:val="00EC412D"/>
    <w:rsid w:val="00F10F62"/>
    <w:rsid w:val="00F11624"/>
    <w:rsid w:val="00F178F8"/>
    <w:rsid w:val="00F37D09"/>
    <w:rsid w:val="00F40BDD"/>
    <w:rsid w:val="00F41397"/>
    <w:rsid w:val="00F634CF"/>
    <w:rsid w:val="00F656A8"/>
    <w:rsid w:val="00F66A6E"/>
    <w:rsid w:val="00F679DB"/>
    <w:rsid w:val="00F71DFB"/>
    <w:rsid w:val="00F85973"/>
    <w:rsid w:val="00F94A50"/>
    <w:rsid w:val="00FA4D5B"/>
    <w:rsid w:val="00FA5F0C"/>
    <w:rsid w:val="00FC680D"/>
    <w:rsid w:val="00FC761E"/>
    <w:rsid w:val="00FC7F0F"/>
    <w:rsid w:val="00FD4716"/>
    <w:rsid w:val="00FD5255"/>
    <w:rsid w:val="00FD5D43"/>
    <w:rsid w:val="00FE26A1"/>
    <w:rsid w:val="00FF59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31/j.jmra.2025.012" TargetMode="External"/><Relationship Id="rId13" Type="http://schemas.openxmlformats.org/officeDocument/2006/relationships/hyperlink" Target="https://doi.org/10.1007/s12122-021-09322-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080/0143659961510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expres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2319714523117432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apers.ssrn.com/sol3/papers.cfm?abstract_id=3266249"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Frequency of Female Gig Workers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Online Teaching</c:v>
                </c:pt>
                <c:pt idx="1">
                  <c:v>Content Creation</c:v>
                </c:pt>
                <c:pt idx="2">
                  <c:v>Beauty &amp; Wellness Services</c:v>
                </c:pt>
                <c:pt idx="3">
                  <c:v>Graphic Design</c:v>
                </c:pt>
                <c:pt idx="4">
                  <c:v>Video Editing</c:v>
                </c:pt>
                <c:pt idx="5">
                  <c:v>Tailoring</c:v>
                </c:pt>
                <c:pt idx="6">
                  <c:v>Home Baking</c:v>
                </c:pt>
              </c:strCache>
            </c:strRef>
          </c:cat>
          <c:val>
            <c:numRef>
              <c:f>Sheet2!$B$2:$B$8</c:f>
              <c:numCache>
                <c:formatCode>General</c:formatCode>
                <c:ptCount val="7"/>
                <c:pt idx="0">
                  <c:v>78</c:v>
                </c:pt>
                <c:pt idx="1">
                  <c:v>46</c:v>
                </c:pt>
                <c:pt idx="2">
                  <c:v>34</c:v>
                </c:pt>
                <c:pt idx="3">
                  <c:v>28</c:v>
                </c:pt>
                <c:pt idx="4">
                  <c:v>42</c:v>
                </c:pt>
                <c:pt idx="5">
                  <c:v>39</c:v>
                </c:pt>
                <c:pt idx="6">
                  <c:v>33</c:v>
                </c:pt>
              </c:numCache>
            </c:numRef>
          </c:val>
          <c:extLst>
            <c:ext xmlns:c16="http://schemas.microsoft.com/office/drawing/2014/chart" uri="{C3380CC4-5D6E-409C-BE32-E72D297353CC}">
              <c16:uniqueId val="{00000000-F4C7-4899-A1CF-FC75D300B661}"/>
            </c:ext>
          </c:extLst>
        </c:ser>
        <c:ser>
          <c:idx val="1"/>
          <c:order val="1"/>
          <c:tx>
            <c:strRef>
              <c:f>Sheet2!$C$1</c:f>
              <c:strCache>
                <c:ptCount val="1"/>
                <c:pt idx="0">
                  <c:v>Percentage </c:v>
                </c:pt>
              </c:strCache>
            </c:strRef>
          </c:tx>
          <c:spPr>
            <a:solidFill>
              <a:schemeClr val="accent2"/>
            </a:solidFill>
            <a:ln>
              <a:noFill/>
            </a:ln>
            <a:effectLst/>
            <a:sp3d/>
          </c:spPr>
          <c:invertIfNegative val="0"/>
          <c:dLbls>
            <c:dLbl>
              <c:idx val="0"/>
              <c:layout>
                <c:manualLayout>
                  <c:x val="1.0126681949566431E-2"/>
                  <c:y val="0"/>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0936708860759482E-2"/>
                      <c:h val="5.447745168217609E-2"/>
                    </c:manualLayout>
                  </c15:layout>
                </c:ext>
                <c:ext xmlns:c16="http://schemas.microsoft.com/office/drawing/2014/chart" uri="{C3380CC4-5D6E-409C-BE32-E72D297353CC}">
                  <c16:uniqueId val="{00000001-F4C7-4899-A1CF-FC75D300B661}"/>
                </c:ext>
              </c:extLst>
            </c:dLbl>
            <c:dLbl>
              <c:idx val="1"/>
              <c:layout>
                <c:manualLayout>
                  <c:x val="1.51898734177214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C7-4899-A1CF-FC75D300B661}"/>
                </c:ext>
              </c:extLst>
            </c:dLbl>
            <c:dLbl>
              <c:idx val="2"/>
              <c:layout>
                <c:manualLayout>
                  <c:x val="1.2658227848101219E-2"/>
                  <c:y val="-4.54545454545462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C7-4899-A1CF-FC75D300B661}"/>
                </c:ext>
              </c:extLst>
            </c:dLbl>
            <c:dLbl>
              <c:idx val="3"/>
              <c:layout>
                <c:manualLayout>
                  <c:x val="1.5189873417721518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C7-4899-A1CF-FC75D300B661}"/>
                </c:ext>
              </c:extLst>
            </c:dLbl>
            <c:dLbl>
              <c:idx val="4"/>
              <c:layout>
                <c:manualLayout>
                  <c:x val="1.01265822784809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C7-4899-A1CF-FC75D300B661}"/>
                </c:ext>
              </c:extLst>
            </c:dLbl>
            <c:dLbl>
              <c:idx val="5"/>
              <c:layout>
                <c:manualLayout>
                  <c:x val="1.0126582278481013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C7-4899-A1CF-FC75D300B661}"/>
                </c:ext>
              </c:extLst>
            </c:dLbl>
            <c:dLbl>
              <c:idx val="6"/>
              <c:layout>
                <c:manualLayout>
                  <c:x val="1.7721518987341586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C7-4899-A1CF-FC75D300B6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Online Teaching</c:v>
                </c:pt>
                <c:pt idx="1">
                  <c:v>Content Creation</c:v>
                </c:pt>
                <c:pt idx="2">
                  <c:v>Beauty &amp; Wellness Services</c:v>
                </c:pt>
                <c:pt idx="3">
                  <c:v>Graphic Design</c:v>
                </c:pt>
                <c:pt idx="4">
                  <c:v>Video Editing</c:v>
                </c:pt>
                <c:pt idx="5">
                  <c:v>Tailoring</c:v>
                </c:pt>
                <c:pt idx="6">
                  <c:v>Home Baking</c:v>
                </c:pt>
              </c:strCache>
            </c:strRef>
          </c:cat>
          <c:val>
            <c:numRef>
              <c:f>Sheet2!$C$2:$C$8</c:f>
              <c:numCache>
                <c:formatCode>General</c:formatCode>
                <c:ptCount val="7"/>
                <c:pt idx="0">
                  <c:v>26</c:v>
                </c:pt>
                <c:pt idx="1">
                  <c:v>15.3</c:v>
                </c:pt>
                <c:pt idx="2">
                  <c:v>11.3</c:v>
                </c:pt>
                <c:pt idx="3">
                  <c:v>9.3000000000000007</c:v>
                </c:pt>
                <c:pt idx="4">
                  <c:v>14</c:v>
                </c:pt>
                <c:pt idx="5">
                  <c:v>13</c:v>
                </c:pt>
                <c:pt idx="6">
                  <c:v>11</c:v>
                </c:pt>
              </c:numCache>
            </c:numRef>
          </c:val>
          <c:extLst>
            <c:ext xmlns:c16="http://schemas.microsoft.com/office/drawing/2014/chart" uri="{C3380CC4-5D6E-409C-BE32-E72D297353CC}">
              <c16:uniqueId val="{00000008-F4C7-4899-A1CF-FC75D300B661}"/>
            </c:ext>
          </c:extLst>
        </c:ser>
        <c:dLbls>
          <c:showLegendKey val="0"/>
          <c:showVal val="1"/>
          <c:showCatName val="0"/>
          <c:showSerName val="0"/>
          <c:showPercent val="0"/>
          <c:showBubbleSize val="0"/>
        </c:dLbls>
        <c:gapWidth val="150"/>
        <c:shape val="box"/>
        <c:axId val="1389211120"/>
        <c:axId val="1389218320"/>
        <c:axId val="0"/>
      </c:bar3DChart>
      <c:catAx>
        <c:axId val="138921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9218320"/>
        <c:crosses val="autoZero"/>
        <c:auto val="1"/>
        <c:lblAlgn val="ctr"/>
        <c:lblOffset val="100"/>
        <c:noMultiLvlLbl val="0"/>
      </c:catAx>
      <c:valAx>
        <c:axId val="138921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921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18</Pages>
  <Words>7874</Words>
  <Characters>44887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199</cp:revision>
  <dcterms:created xsi:type="dcterms:W3CDTF">2025-08-05T01:13:00Z</dcterms:created>
  <dcterms:modified xsi:type="dcterms:W3CDTF">2026-03-04T11:23:00Z</dcterms:modified>
</cp:coreProperties>
</file>