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4EFC7" w14:textId="4FFA0C46" w:rsidR="005F7C01" w:rsidRDefault="003E08CC" w:rsidP="003E08CC">
      <w:pPr>
        <w:jc w:val="center"/>
        <w:rPr>
          <w:rFonts w:ascii="Arial" w:hAnsi="Arial" w:cs="Arial"/>
          <w:b/>
          <w:bCs/>
          <w:sz w:val="22"/>
          <w:szCs w:val="22"/>
        </w:rPr>
      </w:pPr>
      <w:r w:rsidRPr="003E08CC">
        <w:rPr>
          <w:rFonts w:ascii="Arial" w:hAnsi="Arial" w:cs="Arial"/>
          <w:b/>
          <w:bCs/>
          <w:sz w:val="22"/>
          <w:szCs w:val="22"/>
        </w:rPr>
        <w:t>Trends in Production and Export Potential of Cabbage in India: A Growth and Stability Analysis</w:t>
      </w:r>
    </w:p>
    <w:p w14:paraId="5CB43FBE" w14:textId="77777777" w:rsidR="00502C47" w:rsidRPr="007D2E9E" w:rsidRDefault="00502C47" w:rsidP="00095432">
      <w:pPr>
        <w:jc w:val="both"/>
        <w:rPr>
          <w:rFonts w:ascii="Arial" w:hAnsi="Arial" w:cs="Arial"/>
          <w:b/>
          <w:bCs/>
          <w:sz w:val="22"/>
          <w:szCs w:val="22"/>
        </w:rPr>
      </w:pPr>
    </w:p>
    <w:p w14:paraId="1302779F" w14:textId="6AEBFC24" w:rsidR="00095432" w:rsidRPr="007D2E9E" w:rsidRDefault="00095432" w:rsidP="00095432">
      <w:pPr>
        <w:jc w:val="both"/>
        <w:rPr>
          <w:rFonts w:ascii="Arial" w:hAnsi="Arial" w:cs="Arial"/>
          <w:b/>
          <w:sz w:val="22"/>
          <w:szCs w:val="22"/>
        </w:rPr>
      </w:pPr>
      <w:r w:rsidRPr="007D2E9E">
        <w:rPr>
          <w:rFonts w:ascii="Arial" w:hAnsi="Arial" w:cs="Arial"/>
          <w:b/>
          <w:bCs/>
          <w:sz w:val="22"/>
          <w:szCs w:val="22"/>
        </w:rPr>
        <w:t>Abstract</w:t>
      </w:r>
    </w:p>
    <w:p w14:paraId="29A31E76" w14:textId="13220A6A" w:rsidR="00166C3C" w:rsidRPr="003F3780" w:rsidRDefault="004131A4" w:rsidP="003F3780">
      <w:pPr>
        <w:pStyle w:val="NormalWeb"/>
        <w:rPr>
          <w:rFonts w:eastAsia="Times New Roman"/>
          <w:kern w:val="0"/>
          <w14:ligatures w14:val="none"/>
        </w:rPr>
      </w:pPr>
      <w:r>
        <w:rPr>
          <w:rFonts w:ascii="Arial" w:hAnsi="Arial" w:cs="Arial"/>
          <w:sz w:val="20"/>
          <w:szCs w:val="20"/>
        </w:rPr>
        <w:tab/>
      </w:r>
      <w:r w:rsidR="003F3780" w:rsidRPr="003F3780">
        <w:rPr>
          <w:rFonts w:ascii="Arial" w:eastAsia="Times New Roman" w:hAnsi="Arial" w:cs="Arial"/>
          <w:kern w:val="0"/>
          <w:sz w:val="20"/>
          <w:szCs w:val="20"/>
          <w14:ligatures w14:val="none"/>
        </w:rPr>
        <w:t>India’s horticulture sector plays a major role in the economy, contributing about one-third of agricultural GVA, with vegetables dominating production and exports due to favorable climatic diversity. Among vegetables, cabbage (</w:t>
      </w:r>
      <w:r w:rsidR="003F3780" w:rsidRPr="003F3780">
        <w:rPr>
          <w:rFonts w:ascii="Arial" w:eastAsia="Times New Roman" w:hAnsi="Arial" w:cs="Arial"/>
          <w:i/>
          <w:iCs/>
          <w:kern w:val="0"/>
          <w:sz w:val="20"/>
          <w:szCs w:val="20"/>
          <w14:ligatures w14:val="none"/>
        </w:rPr>
        <w:t>Brassica oleracea</w:t>
      </w:r>
      <w:r w:rsidR="003F3780" w:rsidRPr="003F3780">
        <w:rPr>
          <w:rFonts w:ascii="Arial" w:eastAsia="Times New Roman" w:hAnsi="Arial" w:cs="Arial"/>
          <w:kern w:val="0"/>
          <w:sz w:val="20"/>
          <w:szCs w:val="20"/>
          <w14:ligatures w14:val="none"/>
        </w:rPr>
        <w:t xml:space="preserve"> var. </w:t>
      </w:r>
      <w:proofErr w:type="spellStart"/>
      <w:r w:rsidR="003F3780" w:rsidRPr="003F3780">
        <w:rPr>
          <w:rFonts w:ascii="Arial" w:eastAsia="Times New Roman" w:hAnsi="Arial" w:cs="Arial"/>
          <w:i/>
          <w:iCs/>
          <w:kern w:val="0"/>
          <w:sz w:val="20"/>
          <w:szCs w:val="20"/>
          <w14:ligatures w14:val="none"/>
        </w:rPr>
        <w:t>capitata</w:t>
      </w:r>
      <w:proofErr w:type="spellEnd"/>
      <w:r w:rsidR="003F3780" w:rsidRPr="003F3780">
        <w:rPr>
          <w:rFonts w:ascii="Arial" w:eastAsia="Times New Roman" w:hAnsi="Arial" w:cs="Arial"/>
          <w:kern w:val="0"/>
          <w:sz w:val="20"/>
          <w:szCs w:val="20"/>
          <w14:ligatures w14:val="none"/>
        </w:rPr>
        <w:t>) is an important, nutrient-rich cash crop with significant health benefits and global importance in food security.</w:t>
      </w:r>
      <w:r w:rsidR="003F3780">
        <w:rPr>
          <w:rFonts w:eastAsia="Times New Roman"/>
          <w:kern w:val="0"/>
          <w14:ligatures w14:val="none"/>
        </w:rPr>
        <w:t xml:space="preserve"> </w:t>
      </w:r>
      <w:r w:rsidR="00FE0756" w:rsidRPr="00FE0756">
        <w:rPr>
          <w:rFonts w:ascii="Arial" w:hAnsi="Arial" w:cs="Arial"/>
          <w:sz w:val="20"/>
          <w:szCs w:val="20"/>
        </w:rPr>
        <w:t>The present study examined the production and export performance of cabbage in India using secondary data obtained from various governmental departmental repositories and official websites</w:t>
      </w:r>
      <w:r w:rsidR="008F430C" w:rsidRPr="008F430C">
        <w:rPr>
          <w:rFonts w:ascii="Arial" w:hAnsi="Arial" w:cs="Arial"/>
          <w:sz w:val="20"/>
          <w:szCs w:val="20"/>
        </w:rPr>
        <w:t>. Statistical techniques like mean, standard deviation, CV (Coefficient of variation), regression and CAGR (Compound Annual Growth Rate) were applied for analysis. Cabbage has contributed a 4.92 % share of the mean aggregate production of Indian vegetables over the last ten years. Although India contributed 8.29% share of global cabbage production with a CAGR of 1.65 % over the last 10 years (2014-15 to 2024-25), ranked 2nd after China, but the share of global cabbage exports was estimated at only 0.10 % over the same period. The major destinations for cabbage export from India were emerging markets like Vietnam and Poland showing positive trends indicating opportunities for growth of export. Hence, India has to explore more export markets without sacrificing domestic demand. The lower growth rate (CAGR) of productivity (0.14 %) of cabbage compared to the area (2.60</w:t>
      </w:r>
      <w:r w:rsidR="008001E9">
        <w:rPr>
          <w:rFonts w:ascii="Arial" w:hAnsi="Arial" w:cs="Arial"/>
          <w:sz w:val="20"/>
          <w:szCs w:val="20"/>
        </w:rPr>
        <w:t xml:space="preserve"> </w:t>
      </w:r>
      <w:r w:rsidR="008F430C" w:rsidRPr="008F430C">
        <w:rPr>
          <w:rFonts w:ascii="Arial" w:hAnsi="Arial" w:cs="Arial"/>
          <w:sz w:val="20"/>
          <w:szCs w:val="20"/>
        </w:rPr>
        <w:t xml:space="preserve">%) over two decades (2000-01 to 2024-25) harnesses technological breakthroughs. Two major cabbage producing states, </w:t>
      </w:r>
      <w:r w:rsidR="008F430C" w:rsidRPr="006B28C4">
        <w:rPr>
          <w:rFonts w:ascii="Arial" w:hAnsi="Arial" w:cs="Arial"/>
          <w:i/>
          <w:sz w:val="20"/>
          <w:szCs w:val="20"/>
        </w:rPr>
        <w:t>viz</w:t>
      </w:r>
      <w:r w:rsidR="008F430C" w:rsidRPr="008F430C">
        <w:rPr>
          <w:rFonts w:ascii="Arial" w:hAnsi="Arial" w:cs="Arial"/>
          <w:sz w:val="20"/>
          <w:szCs w:val="20"/>
        </w:rPr>
        <w:t xml:space="preserve">. West Bengal and Odisha accounted 34.45 % of national production. </w:t>
      </w:r>
      <w:r w:rsidR="00FE0756" w:rsidRPr="00FE0756">
        <w:rPr>
          <w:rFonts w:ascii="Arial" w:hAnsi="Arial" w:cs="Arial"/>
          <w:sz w:val="20"/>
          <w:szCs w:val="20"/>
        </w:rPr>
        <w:t>In terms of productivity, West Bengal (28.35 t/ha) and Uttar Pradesh (27.98 t/ha) ranked highest in the country. Therefore, priority should be given to enhancing productivity through technological advancement, alongside the development of adequate market infrastructure and improvements in post-harvest management, particularly processing, to strengthen the overall production and export potential of cabbage</w:t>
      </w:r>
      <w:r w:rsidR="008F430C" w:rsidRPr="008F430C">
        <w:rPr>
          <w:rFonts w:ascii="Arial" w:hAnsi="Arial" w:cs="Arial"/>
          <w:sz w:val="20"/>
          <w:szCs w:val="20"/>
        </w:rPr>
        <w:t>.</w:t>
      </w:r>
    </w:p>
    <w:p w14:paraId="0D8F3D11" w14:textId="4A22EDEE" w:rsidR="00CD09DB" w:rsidRDefault="00CD09DB" w:rsidP="00F35C0E">
      <w:pPr>
        <w:spacing w:line="360" w:lineRule="auto"/>
        <w:jc w:val="both"/>
        <w:rPr>
          <w:rFonts w:ascii="Arial" w:hAnsi="Arial" w:cs="Arial"/>
          <w:sz w:val="20"/>
          <w:szCs w:val="20"/>
        </w:rPr>
      </w:pPr>
      <w:r w:rsidRPr="00576424">
        <w:rPr>
          <w:rFonts w:ascii="Arial" w:hAnsi="Arial" w:cs="Arial"/>
          <w:b/>
          <w:sz w:val="20"/>
          <w:szCs w:val="20"/>
        </w:rPr>
        <w:t>Keywords:</w:t>
      </w:r>
      <w:r w:rsidR="00454A94" w:rsidRPr="00F35C0E">
        <w:rPr>
          <w:rFonts w:ascii="Arial" w:hAnsi="Arial" w:cs="Arial"/>
          <w:sz w:val="20"/>
          <w:szCs w:val="20"/>
        </w:rPr>
        <w:t xml:space="preserve"> </w:t>
      </w:r>
      <w:r w:rsidR="005F7C01" w:rsidRPr="00F35C0E">
        <w:rPr>
          <w:rFonts w:ascii="Arial" w:hAnsi="Arial" w:cs="Arial"/>
          <w:sz w:val="20"/>
          <w:szCs w:val="20"/>
        </w:rPr>
        <w:t xml:space="preserve">Cabbage, </w:t>
      </w:r>
      <w:r w:rsidR="00454A94" w:rsidRPr="00F35C0E">
        <w:rPr>
          <w:rFonts w:ascii="Arial" w:hAnsi="Arial" w:cs="Arial"/>
          <w:sz w:val="20"/>
          <w:szCs w:val="20"/>
        </w:rPr>
        <w:t>CAGR, export</w:t>
      </w:r>
      <w:r w:rsidR="005F7C01" w:rsidRPr="00F35C0E">
        <w:rPr>
          <w:rFonts w:ascii="Arial" w:hAnsi="Arial" w:cs="Arial"/>
          <w:sz w:val="20"/>
          <w:szCs w:val="20"/>
        </w:rPr>
        <w:t xml:space="preserve"> </w:t>
      </w:r>
      <w:r w:rsidR="0096696A" w:rsidRPr="00F35C0E">
        <w:rPr>
          <w:rFonts w:ascii="Arial" w:hAnsi="Arial" w:cs="Arial"/>
          <w:sz w:val="20"/>
          <w:szCs w:val="20"/>
        </w:rPr>
        <w:t xml:space="preserve">potential, instability, </w:t>
      </w:r>
      <w:r w:rsidR="005F7C01" w:rsidRPr="00F35C0E">
        <w:rPr>
          <w:rFonts w:ascii="Arial" w:hAnsi="Arial" w:cs="Arial"/>
          <w:sz w:val="20"/>
          <w:szCs w:val="20"/>
        </w:rPr>
        <w:t xml:space="preserve">trend </w:t>
      </w:r>
    </w:p>
    <w:p w14:paraId="390EAC49" w14:textId="77777777" w:rsidR="00FD2E4F" w:rsidRPr="00F35C0E" w:rsidRDefault="00FD2E4F" w:rsidP="00F35C0E">
      <w:pPr>
        <w:spacing w:line="360" w:lineRule="auto"/>
        <w:jc w:val="both"/>
        <w:rPr>
          <w:rFonts w:ascii="Arial" w:hAnsi="Arial" w:cs="Arial"/>
          <w:sz w:val="20"/>
          <w:szCs w:val="20"/>
        </w:rPr>
      </w:pPr>
    </w:p>
    <w:p w14:paraId="1D5BA8C3" w14:textId="77777777" w:rsidR="007F03A3" w:rsidRPr="007D2E9E" w:rsidRDefault="007F03A3" w:rsidP="003900A7">
      <w:pPr>
        <w:pStyle w:val="ListParagraph"/>
        <w:numPr>
          <w:ilvl w:val="0"/>
          <w:numId w:val="1"/>
        </w:numPr>
        <w:tabs>
          <w:tab w:val="left" w:pos="360"/>
        </w:tabs>
        <w:spacing w:line="360" w:lineRule="auto"/>
        <w:jc w:val="both"/>
        <w:rPr>
          <w:rFonts w:ascii="Arial" w:hAnsi="Arial" w:cs="Arial"/>
          <w:b/>
          <w:bCs/>
          <w:sz w:val="22"/>
          <w:szCs w:val="22"/>
        </w:rPr>
      </w:pPr>
      <w:r w:rsidRPr="007D2E9E">
        <w:rPr>
          <w:rFonts w:ascii="Arial" w:hAnsi="Arial" w:cs="Arial"/>
          <w:b/>
          <w:bCs/>
          <w:sz w:val="22"/>
          <w:szCs w:val="22"/>
        </w:rPr>
        <w:t>Introduction</w:t>
      </w:r>
    </w:p>
    <w:p w14:paraId="647DD999" w14:textId="2F50C082" w:rsidR="00C754F5" w:rsidRPr="00FE0756" w:rsidRDefault="00FE0756" w:rsidP="00FE0756">
      <w:pPr>
        <w:pStyle w:val="ListParagraph"/>
        <w:spacing w:before="100" w:beforeAutospacing="1" w:after="100" w:afterAutospacing="1" w:line="240" w:lineRule="auto"/>
        <w:ind w:left="360"/>
        <w:rPr>
          <w:rFonts w:ascii="Arial" w:eastAsia="Times New Roman" w:hAnsi="Arial" w:cs="Arial"/>
          <w:kern w:val="0"/>
          <w:sz w:val="20"/>
          <w:szCs w:val="20"/>
          <w14:ligatures w14:val="none"/>
        </w:rPr>
      </w:pPr>
      <w:r w:rsidRPr="00FE0756">
        <w:rPr>
          <w:rFonts w:ascii="Arial" w:eastAsia="Times New Roman" w:hAnsi="Arial" w:cs="Arial"/>
          <w:kern w:val="0"/>
          <w:sz w:val="20"/>
          <w:szCs w:val="20"/>
          <w14:ligatures w14:val="none"/>
        </w:rPr>
        <w:t>Globally, India ranks as the second-largest producer of horticultural crops. The horticulture sector contributes approximately 33% to agriculture’s Gross Value Added (GVA), thereby making a substantial contribution to the Indian economy</w:t>
      </w:r>
      <w:r w:rsidR="00C754F5" w:rsidRPr="00FE0756">
        <w:rPr>
          <w:rFonts w:ascii="Arial" w:hAnsi="Arial" w:cs="Arial"/>
          <w:sz w:val="20"/>
          <w:szCs w:val="20"/>
        </w:rPr>
        <w:t xml:space="preserve"> (</w:t>
      </w:r>
      <w:proofErr w:type="spellStart"/>
      <w:r w:rsidR="00D66AE4" w:rsidRPr="00FE0756">
        <w:rPr>
          <w:rFonts w:ascii="Arial" w:hAnsi="Arial" w:cs="Arial"/>
          <w:sz w:val="20"/>
          <w:szCs w:val="20"/>
        </w:rPr>
        <w:t>Gurindapali</w:t>
      </w:r>
      <w:proofErr w:type="spellEnd"/>
      <w:r w:rsidR="00D66AE4" w:rsidRPr="00FE0756">
        <w:rPr>
          <w:rFonts w:ascii="Arial" w:hAnsi="Arial" w:cs="Arial"/>
          <w:sz w:val="20"/>
          <w:szCs w:val="20"/>
        </w:rPr>
        <w:t xml:space="preserve"> and Shende, 2022 and </w:t>
      </w:r>
      <w:r w:rsidR="00C754F5" w:rsidRPr="00FE0756">
        <w:rPr>
          <w:rFonts w:ascii="Arial" w:hAnsi="Arial" w:cs="Arial"/>
          <w:sz w:val="20"/>
          <w:szCs w:val="20"/>
        </w:rPr>
        <w:t xml:space="preserve">Horticultural statistics at a glance, 2023). On the other hand, vegetables alone constitute 59.79% of the production share in GVA of horticulture and national export earnings from the vegetable sector is Rs.7378.14 crore (Horticultural Statistics at a Glance 2023 &amp; Agricultural Statistics at a Glance 2024-25). India is the world’s largest producer, exporter and consumer of vegetables, known as the ‘basket of vegetables’ (APEDA </w:t>
      </w:r>
      <w:proofErr w:type="spellStart"/>
      <w:r w:rsidR="00C754F5" w:rsidRPr="00FE0756">
        <w:rPr>
          <w:rFonts w:ascii="Arial" w:hAnsi="Arial" w:cs="Arial"/>
          <w:sz w:val="20"/>
          <w:szCs w:val="20"/>
        </w:rPr>
        <w:t>agri</w:t>
      </w:r>
      <w:proofErr w:type="spellEnd"/>
      <w:r w:rsidR="00C754F5" w:rsidRPr="00FE0756">
        <w:rPr>
          <w:rFonts w:ascii="Arial" w:hAnsi="Arial" w:cs="Arial"/>
          <w:sz w:val="20"/>
          <w:szCs w:val="20"/>
        </w:rPr>
        <w:t>-Xchange)</w:t>
      </w:r>
      <w:r w:rsidR="00D66AE4" w:rsidRPr="00FE0756">
        <w:rPr>
          <w:rFonts w:ascii="Arial" w:hAnsi="Arial" w:cs="Arial"/>
          <w:sz w:val="20"/>
          <w:szCs w:val="20"/>
        </w:rPr>
        <w:t xml:space="preserve"> and over the years, vegetable production in the country has increased considerably, enhancing the supply of vegetables for consumers (Vanitha </w:t>
      </w:r>
      <w:r w:rsidR="00D66AE4" w:rsidRPr="00FE0756">
        <w:rPr>
          <w:rFonts w:ascii="Arial" w:hAnsi="Arial" w:cs="Arial"/>
          <w:i/>
          <w:iCs/>
          <w:sz w:val="20"/>
          <w:szCs w:val="20"/>
        </w:rPr>
        <w:t>et al.,</w:t>
      </w:r>
      <w:r w:rsidR="00D66AE4" w:rsidRPr="00FE0756">
        <w:rPr>
          <w:rFonts w:ascii="Arial" w:hAnsi="Arial" w:cs="Arial"/>
          <w:sz w:val="20"/>
          <w:szCs w:val="20"/>
        </w:rPr>
        <w:t xml:space="preserve"> 2021 and Gupta </w:t>
      </w:r>
      <w:r w:rsidR="00D66AE4" w:rsidRPr="00FE0756">
        <w:rPr>
          <w:rFonts w:ascii="Arial" w:hAnsi="Arial" w:cs="Arial"/>
          <w:i/>
          <w:sz w:val="20"/>
          <w:szCs w:val="20"/>
        </w:rPr>
        <w:t>et al.</w:t>
      </w:r>
      <w:r w:rsidR="00D66AE4" w:rsidRPr="00FE0756">
        <w:rPr>
          <w:rFonts w:ascii="Arial" w:hAnsi="Arial" w:cs="Arial"/>
          <w:sz w:val="20"/>
          <w:szCs w:val="20"/>
        </w:rPr>
        <w:t>, 2025)</w:t>
      </w:r>
      <w:r w:rsidR="00C754F5" w:rsidRPr="00FE0756">
        <w:rPr>
          <w:rFonts w:ascii="Arial" w:hAnsi="Arial" w:cs="Arial"/>
          <w:sz w:val="20"/>
          <w:szCs w:val="20"/>
        </w:rPr>
        <w:t xml:space="preserve"> The diversified climate of India is conducive to a variety of vegetable cultivation. The major vegetables which are cultivated in India are potato, onion, tomato, brinjal, cabbage, cauliflower, okra, peas, radish, bottle gourd (</w:t>
      </w:r>
      <w:r w:rsidR="00D66AE4" w:rsidRPr="00FE0756">
        <w:rPr>
          <w:rFonts w:ascii="Arial" w:hAnsi="Arial" w:cs="Arial"/>
          <w:sz w:val="20"/>
          <w:szCs w:val="20"/>
        </w:rPr>
        <w:t xml:space="preserve">Kumar </w:t>
      </w:r>
      <w:r w:rsidR="00D66AE4" w:rsidRPr="00FE0756">
        <w:rPr>
          <w:rFonts w:ascii="Arial" w:hAnsi="Arial" w:cs="Arial"/>
          <w:i/>
          <w:iCs/>
          <w:sz w:val="20"/>
          <w:szCs w:val="20"/>
        </w:rPr>
        <w:t>et al.,</w:t>
      </w:r>
      <w:r w:rsidR="00D66AE4" w:rsidRPr="00FE0756">
        <w:rPr>
          <w:rFonts w:ascii="Arial" w:hAnsi="Arial" w:cs="Arial"/>
          <w:sz w:val="20"/>
          <w:szCs w:val="20"/>
        </w:rPr>
        <w:t xml:space="preserve"> 2023</w:t>
      </w:r>
      <w:r w:rsidR="00C754F5" w:rsidRPr="00FE0756">
        <w:rPr>
          <w:rFonts w:ascii="Arial" w:hAnsi="Arial" w:cs="Arial"/>
          <w:sz w:val="20"/>
          <w:szCs w:val="20"/>
        </w:rPr>
        <w:t>).</w:t>
      </w:r>
    </w:p>
    <w:p w14:paraId="30ECBBB0" w14:textId="1CFCC24E" w:rsidR="00DD1934" w:rsidRPr="00656910" w:rsidRDefault="00D66AE4" w:rsidP="00DD1934">
      <w:pPr>
        <w:spacing w:line="360" w:lineRule="auto"/>
        <w:jc w:val="both"/>
        <w:rPr>
          <w:rFonts w:ascii="Arial" w:hAnsi="Arial" w:cs="Arial"/>
          <w:sz w:val="20"/>
          <w:szCs w:val="20"/>
          <w:highlight w:val="yellow"/>
        </w:rPr>
      </w:pPr>
      <w:r w:rsidRPr="00C343C0">
        <w:rPr>
          <w:rFonts w:ascii="Arial" w:hAnsi="Arial" w:cs="Arial"/>
          <w:sz w:val="20"/>
          <w:szCs w:val="20"/>
        </w:rPr>
        <w:t>Among the major vegetable crops cultivated in India, cabbage (</w:t>
      </w:r>
      <w:r w:rsidRPr="00C343C0">
        <w:rPr>
          <w:rFonts w:ascii="Arial" w:hAnsi="Arial" w:cs="Arial"/>
          <w:i/>
          <w:iCs/>
          <w:sz w:val="20"/>
          <w:szCs w:val="20"/>
        </w:rPr>
        <w:t>Brassica oleracea</w:t>
      </w:r>
      <w:r w:rsidRPr="00C343C0">
        <w:rPr>
          <w:rFonts w:ascii="Arial" w:hAnsi="Arial" w:cs="Arial"/>
          <w:sz w:val="20"/>
          <w:szCs w:val="20"/>
        </w:rPr>
        <w:t xml:space="preserve"> var. </w:t>
      </w:r>
      <w:proofErr w:type="spellStart"/>
      <w:r w:rsidRPr="00C343C0">
        <w:rPr>
          <w:rFonts w:ascii="Arial" w:hAnsi="Arial" w:cs="Arial"/>
          <w:i/>
          <w:iCs/>
          <w:sz w:val="20"/>
          <w:szCs w:val="20"/>
        </w:rPr>
        <w:t>capitata</w:t>
      </w:r>
      <w:proofErr w:type="spellEnd"/>
      <w:r w:rsidRPr="00C343C0">
        <w:rPr>
          <w:rFonts w:ascii="Arial" w:hAnsi="Arial" w:cs="Arial"/>
          <w:sz w:val="20"/>
          <w:szCs w:val="20"/>
        </w:rPr>
        <w:t xml:space="preserve">) is an important Cole crop belonging to the family Brassicaceae (Das </w:t>
      </w:r>
      <w:r w:rsidRPr="00C343C0">
        <w:rPr>
          <w:rFonts w:ascii="Arial" w:hAnsi="Arial" w:cs="Arial"/>
          <w:i/>
          <w:iCs/>
          <w:sz w:val="20"/>
          <w:szCs w:val="20"/>
        </w:rPr>
        <w:t>et al</w:t>
      </w:r>
      <w:r w:rsidRPr="00C343C0">
        <w:rPr>
          <w:rFonts w:ascii="Arial" w:hAnsi="Arial" w:cs="Arial"/>
          <w:sz w:val="20"/>
          <w:szCs w:val="20"/>
        </w:rPr>
        <w:t xml:space="preserve">., 2024). Cabbage </w:t>
      </w:r>
      <w:r w:rsidR="00C754F5" w:rsidRPr="00C343C0">
        <w:rPr>
          <w:rFonts w:ascii="Arial" w:hAnsi="Arial" w:cs="Arial"/>
          <w:sz w:val="20"/>
          <w:szCs w:val="20"/>
        </w:rPr>
        <w:t xml:space="preserve">is </w:t>
      </w:r>
      <w:r w:rsidRPr="00C343C0">
        <w:rPr>
          <w:rFonts w:ascii="Arial" w:hAnsi="Arial" w:cs="Arial"/>
          <w:sz w:val="20"/>
          <w:szCs w:val="20"/>
        </w:rPr>
        <w:t xml:space="preserve">being </w:t>
      </w:r>
      <w:r w:rsidR="00C754F5" w:rsidRPr="00C343C0">
        <w:rPr>
          <w:rFonts w:ascii="Arial" w:hAnsi="Arial" w:cs="Arial"/>
          <w:sz w:val="20"/>
          <w:szCs w:val="20"/>
        </w:rPr>
        <w:t>consumed by people all over the world.</w:t>
      </w:r>
      <w:r w:rsidRPr="00C343C0">
        <w:rPr>
          <w:rFonts w:ascii="Arial" w:hAnsi="Arial" w:cs="Arial"/>
          <w:sz w:val="20"/>
          <w:szCs w:val="20"/>
        </w:rPr>
        <w:t xml:space="preserve"> </w:t>
      </w:r>
      <w:r w:rsidR="005D4480" w:rsidRPr="00C022A6">
        <w:rPr>
          <w:rFonts w:ascii="Arial" w:hAnsi="Arial" w:cs="Arial"/>
          <w:sz w:val="20"/>
          <w:szCs w:val="20"/>
        </w:rPr>
        <w:t xml:space="preserve">Cabbage is considered as a valuable cash crop in the vegetable industry and </w:t>
      </w:r>
      <w:r w:rsidR="005D4480" w:rsidRPr="00C022A6">
        <w:rPr>
          <w:rFonts w:ascii="Arial" w:hAnsi="Arial" w:cs="Arial"/>
          <w:sz w:val="20"/>
          <w:szCs w:val="20"/>
        </w:rPr>
        <w:lastRenderedPageBreak/>
        <w:t xml:space="preserve">also plays an important role in strengthening global food security (Parmer </w:t>
      </w:r>
      <w:r w:rsidR="005D4480" w:rsidRPr="00C022A6">
        <w:rPr>
          <w:rFonts w:ascii="Arial" w:hAnsi="Arial" w:cs="Arial"/>
          <w:i/>
          <w:iCs/>
          <w:sz w:val="20"/>
          <w:szCs w:val="20"/>
        </w:rPr>
        <w:t>et al.,</w:t>
      </w:r>
      <w:r w:rsidR="005D4480" w:rsidRPr="00C022A6">
        <w:rPr>
          <w:rFonts w:ascii="Arial" w:hAnsi="Arial" w:cs="Arial"/>
          <w:sz w:val="20"/>
          <w:szCs w:val="20"/>
        </w:rPr>
        <w:t xml:space="preserve"> 2025). </w:t>
      </w:r>
      <w:r w:rsidRPr="00C022A6">
        <w:rPr>
          <w:rFonts w:ascii="Arial" w:hAnsi="Arial" w:cs="Arial"/>
          <w:sz w:val="20"/>
          <w:szCs w:val="20"/>
        </w:rPr>
        <w:t>Brassica</w:t>
      </w:r>
      <w:r w:rsidRPr="00C343C0">
        <w:rPr>
          <w:rFonts w:ascii="Arial" w:hAnsi="Arial" w:cs="Arial"/>
          <w:sz w:val="20"/>
          <w:szCs w:val="20"/>
        </w:rPr>
        <w:t xml:space="preserve"> products have gained considerable attention owing to their nutritional benefits and preventive properties against cancer (Islam </w:t>
      </w:r>
      <w:r w:rsidRPr="00C343C0">
        <w:rPr>
          <w:rFonts w:ascii="Arial" w:hAnsi="Arial" w:cs="Arial"/>
          <w:i/>
          <w:iCs/>
          <w:sz w:val="20"/>
          <w:szCs w:val="20"/>
        </w:rPr>
        <w:t>et al.,</w:t>
      </w:r>
      <w:r w:rsidRPr="00C343C0">
        <w:rPr>
          <w:rFonts w:ascii="Arial" w:hAnsi="Arial" w:cs="Arial"/>
          <w:sz w:val="20"/>
          <w:szCs w:val="20"/>
        </w:rPr>
        <w:t xml:space="preserve"> 2024).</w:t>
      </w:r>
      <w:r w:rsidR="00C754F5" w:rsidRPr="00C343C0">
        <w:rPr>
          <w:rFonts w:ascii="Arial" w:hAnsi="Arial" w:cs="Arial"/>
          <w:sz w:val="20"/>
          <w:szCs w:val="20"/>
        </w:rPr>
        <w:t xml:space="preserve"> Cabbage originated from </w:t>
      </w:r>
      <w:r w:rsidR="00DD1934" w:rsidRPr="00C343C0">
        <w:rPr>
          <w:rFonts w:ascii="Arial" w:hAnsi="Arial" w:cs="Arial"/>
          <w:sz w:val="20"/>
          <w:szCs w:val="20"/>
        </w:rPr>
        <w:t>Europe (</w:t>
      </w:r>
      <w:proofErr w:type="spellStart"/>
      <w:r w:rsidRPr="00C343C0">
        <w:rPr>
          <w:rFonts w:ascii="Arial" w:hAnsi="Arial" w:cs="Arial"/>
          <w:sz w:val="20"/>
          <w:szCs w:val="20"/>
        </w:rPr>
        <w:t>Maggioni</w:t>
      </w:r>
      <w:proofErr w:type="spellEnd"/>
      <w:r w:rsidRPr="00C343C0">
        <w:rPr>
          <w:rFonts w:ascii="Arial" w:hAnsi="Arial" w:cs="Arial"/>
          <w:sz w:val="20"/>
          <w:szCs w:val="20"/>
        </w:rPr>
        <w:t xml:space="preserve"> </w:t>
      </w:r>
      <w:r w:rsidRPr="00C343C0">
        <w:rPr>
          <w:rFonts w:ascii="Arial" w:hAnsi="Arial" w:cs="Arial"/>
          <w:i/>
          <w:iCs/>
          <w:sz w:val="20"/>
          <w:szCs w:val="20"/>
        </w:rPr>
        <w:t>et al.</w:t>
      </w:r>
      <w:r w:rsidRPr="00C343C0">
        <w:rPr>
          <w:rFonts w:ascii="Arial" w:hAnsi="Arial" w:cs="Arial"/>
          <w:sz w:val="20"/>
          <w:szCs w:val="20"/>
        </w:rPr>
        <w:t>, 2010</w:t>
      </w:r>
      <w:r w:rsidR="00C754F5" w:rsidRPr="00C343C0">
        <w:rPr>
          <w:rFonts w:ascii="Arial" w:hAnsi="Arial" w:cs="Arial"/>
          <w:sz w:val="20"/>
          <w:szCs w:val="20"/>
        </w:rPr>
        <w:t xml:space="preserve">) and it spread through colonization and trade to different parts of the world. </w:t>
      </w:r>
      <w:r w:rsidRPr="00C343C0">
        <w:rPr>
          <w:rFonts w:ascii="Arial" w:hAnsi="Arial" w:cs="Arial"/>
          <w:sz w:val="20"/>
          <w:szCs w:val="20"/>
        </w:rPr>
        <w:t>Cabbage</w:t>
      </w:r>
      <w:r w:rsidR="00C754F5" w:rsidRPr="00C343C0">
        <w:rPr>
          <w:rFonts w:ascii="Arial" w:hAnsi="Arial" w:cs="Arial"/>
          <w:sz w:val="20"/>
          <w:szCs w:val="20"/>
        </w:rPr>
        <w:t xml:space="preserve"> leaves wrapped together are used as vegetables as well as in salads and the presence of </w:t>
      </w:r>
      <w:proofErr w:type="spellStart"/>
      <w:r w:rsidRPr="00C343C0">
        <w:rPr>
          <w:rFonts w:ascii="Arial" w:hAnsi="Arial" w:cs="Arial"/>
          <w:sz w:val="20"/>
          <w:szCs w:val="20"/>
        </w:rPr>
        <w:t>glucosinolates</w:t>
      </w:r>
      <w:proofErr w:type="spellEnd"/>
      <w:r w:rsidR="00C754F5" w:rsidRPr="00C343C0">
        <w:rPr>
          <w:rFonts w:ascii="Arial" w:hAnsi="Arial" w:cs="Arial"/>
          <w:sz w:val="20"/>
          <w:szCs w:val="20"/>
        </w:rPr>
        <w:t xml:space="preserve"> in it </w:t>
      </w:r>
      <w:r w:rsidR="00193A46" w:rsidRPr="00C343C0">
        <w:rPr>
          <w:rFonts w:ascii="Arial" w:hAnsi="Arial" w:cs="Arial"/>
          <w:sz w:val="20"/>
          <w:szCs w:val="20"/>
        </w:rPr>
        <w:t xml:space="preserve">caused </w:t>
      </w:r>
      <w:r w:rsidR="00C754F5" w:rsidRPr="00C343C0">
        <w:rPr>
          <w:rFonts w:ascii="Arial" w:hAnsi="Arial" w:cs="Arial"/>
          <w:sz w:val="20"/>
          <w:szCs w:val="20"/>
        </w:rPr>
        <w:t>strong nutritional value (</w:t>
      </w:r>
      <w:r w:rsidR="00193A46" w:rsidRPr="00C343C0">
        <w:rPr>
          <w:rFonts w:ascii="Arial" w:hAnsi="Arial" w:cs="Arial"/>
          <w:sz w:val="20"/>
          <w:szCs w:val="20"/>
        </w:rPr>
        <w:t>(</w:t>
      </w:r>
      <w:proofErr w:type="spellStart"/>
      <w:r w:rsidR="00193A46" w:rsidRPr="00C343C0">
        <w:rPr>
          <w:rFonts w:ascii="Arial" w:hAnsi="Arial" w:cs="Arial"/>
          <w:sz w:val="20"/>
          <w:szCs w:val="20"/>
        </w:rPr>
        <w:t>Cartea</w:t>
      </w:r>
      <w:proofErr w:type="spellEnd"/>
      <w:r w:rsidR="00193A46" w:rsidRPr="00C343C0">
        <w:rPr>
          <w:rFonts w:ascii="Arial" w:hAnsi="Arial" w:cs="Arial"/>
          <w:sz w:val="20"/>
          <w:szCs w:val="20"/>
        </w:rPr>
        <w:t xml:space="preserve">, </w:t>
      </w:r>
      <w:r w:rsidR="00193A46" w:rsidRPr="00C343C0">
        <w:rPr>
          <w:rFonts w:ascii="Arial" w:hAnsi="Arial" w:cs="Arial"/>
          <w:i/>
          <w:iCs/>
          <w:sz w:val="20"/>
          <w:szCs w:val="20"/>
        </w:rPr>
        <w:t>et al</w:t>
      </w:r>
      <w:r w:rsidR="00193A46" w:rsidRPr="00C343C0">
        <w:rPr>
          <w:rFonts w:ascii="Arial" w:hAnsi="Arial" w:cs="Arial"/>
          <w:sz w:val="20"/>
          <w:szCs w:val="20"/>
        </w:rPr>
        <w:t>., 2010).</w:t>
      </w:r>
      <w:r w:rsidR="00C754F5" w:rsidRPr="00C343C0">
        <w:rPr>
          <w:rFonts w:ascii="Arial" w:hAnsi="Arial" w:cs="Arial"/>
          <w:sz w:val="20"/>
          <w:szCs w:val="20"/>
        </w:rPr>
        <w:t>). Cabbage has many medicinal properties, such as it helps in digestive system disorders, blood cholesterol, etc. (</w:t>
      </w:r>
      <w:r w:rsidR="00193A46" w:rsidRPr="00C343C0">
        <w:rPr>
          <w:rFonts w:ascii="Arial" w:hAnsi="Arial" w:cs="Arial"/>
          <w:sz w:val="20"/>
          <w:szCs w:val="20"/>
        </w:rPr>
        <w:t xml:space="preserve">Fahey </w:t>
      </w:r>
      <w:r w:rsidR="00193A46" w:rsidRPr="00C343C0">
        <w:rPr>
          <w:rFonts w:ascii="Arial" w:hAnsi="Arial" w:cs="Arial"/>
          <w:i/>
          <w:iCs/>
          <w:sz w:val="20"/>
          <w:szCs w:val="20"/>
        </w:rPr>
        <w:t>et al</w:t>
      </w:r>
      <w:r w:rsidR="00193A46" w:rsidRPr="00C343C0">
        <w:rPr>
          <w:rFonts w:ascii="Arial" w:hAnsi="Arial" w:cs="Arial"/>
          <w:sz w:val="20"/>
          <w:szCs w:val="20"/>
        </w:rPr>
        <w:t>., 2001</w:t>
      </w:r>
      <w:r w:rsidR="00C754F5" w:rsidRPr="00C343C0">
        <w:rPr>
          <w:rFonts w:ascii="Arial" w:hAnsi="Arial" w:cs="Arial"/>
          <w:sz w:val="20"/>
          <w:szCs w:val="20"/>
        </w:rPr>
        <w:t>). Cabbage as a vegetable also prevents or cures human health related disorders or diseases (</w:t>
      </w:r>
      <w:proofErr w:type="spellStart"/>
      <w:r w:rsidR="00193A46" w:rsidRPr="00C343C0">
        <w:rPr>
          <w:rFonts w:ascii="Arial" w:hAnsi="Arial" w:cs="Arial"/>
          <w:sz w:val="20"/>
          <w:szCs w:val="20"/>
        </w:rPr>
        <w:t>Podsędek</w:t>
      </w:r>
      <w:proofErr w:type="spellEnd"/>
      <w:r w:rsidR="00193A46" w:rsidRPr="00C343C0">
        <w:rPr>
          <w:rFonts w:ascii="Arial" w:hAnsi="Arial" w:cs="Arial"/>
          <w:sz w:val="20"/>
          <w:szCs w:val="20"/>
        </w:rPr>
        <w:t>, A., 2007</w:t>
      </w:r>
      <w:r w:rsidR="00C754F5" w:rsidRPr="00C343C0">
        <w:rPr>
          <w:rFonts w:ascii="Arial" w:hAnsi="Arial" w:cs="Arial"/>
          <w:sz w:val="20"/>
          <w:szCs w:val="20"/>
        </w:rPr>
        <w:t>). Cabbage is also rich in vitamins A, C, and K, as well as fiber and water (</w:t>
      </w:r>
      <w:proofErr w:type="spellStart"/>
      <w:r w:rsidR="00193A46" w:rsidRPr="00C343C0">
        <w:rPr>
          <w:rFonts w:ascii="Arial" w:hAnsi="Arial" w:cs="Arial"/>
          <w:sz w:val="20"/>
          <w:szCs w:val="20"/>
        </w:rPr>
        <w:t>Cartea</w:t>
      </w:r>
      <w:proofErr w:type="spellEnd"/>
      <w:r w:rsidR="00193A46" w:rsidRPr="00C343C0">
        <w:rPr>
          <w:rFonts w:ascii="Arial" w:hAnsi="Arial" w:cs="Arial"/>
          <w:sz w:val="20"/>
          <w:szCs w:val="20"/>
        </w:rPr>
        <w:t>, M.E.</w:t>
      </w:r>
      <w:r w:rsidR="00193A46" w:rsidRPr="00C343C0">
        <w:rPr>
          <w:rFonts w:ascii="Arial" w:hAnsi="Arial" w:cs="Arial"/>
          <w:i/>
          <w:iCs/>
          <w:sz w:val="20"/>
          <w:szCs w:val="20"/>
        </w:rPr>
        <w:t xml:space="preserve"> et al</w:t>
      </w:r>
      <w:r w:rsidR="00193A46" w:rsidRPr="00C343C0">
        <w:rPr>
          <w:rFonts w:ascii="Arial" w:hAnsi="Arial" w:cs="Arial"/>
          <w:sz w:val="20"/>
          <w:szCs w:val="20"/>
        </w:rPr>
        <w:t>., 2010</w:t>
      </w:r>
      <w:r w:rsidR="00C754F5" w:rsidRPr="00C343C0">
        <w:rPr>
          <w:rFonts w:ascii="Arial" w:hAnsi="Arial" w:cs="Arial"/>
          <w:sz w:val="20"/>
          <w:szCs w:val="20"/>
        </w:rPr>
        <w:t>)</w:t>
      </w:r>
      <w:r w:rsidR="00193A46" w:rsidRPr="00C343C0">
        <w:rPr>
          <w:rFonts w:ascii="Arial" w:hAnsi="Arial" w:cs="Arial"/>
          <w:sz w:val="20"/>
          <w:szCs w:val="20"/>
        </w:rPr>
        <w:t xml:space="preserve"> and also serves as an important source of phytonutrients in the human diet (</w:t>
      </w:r>
      <w:proofErr w:type="spellStart"/>
      <w:r w:rsidR="00193A46" w:rsidRPr="00C343C0">
        <w:rPr>
          <w:rFonts w:ascii="Arial" w:hAnsi="Arial" w:cs="Arial"/>
          <w:sz w:val="20"/>
          <w:szCs w:val="20"/>
        </w:rPr>
        <w:t>Anupriya</w:t>
      </w:r>
      <w:proofErr w:type="spellEnd"/>
      <w:r w:rsidR="00193A46" w:rsidRPr="00C343C0">
        <w:rPr>
          <w:rFonts w:ascii="Arial" w:hAnsi="Arial" w:cs="Arial"/>
          <w:sz w:val="20"/>
          <w:szCs w:val="20"/>
        </w:rPr>
        <w:t xml:space="preserve"> </w:t>
      </w:r>
      <w:r w:rsidR="00193A46" w:rsidRPr="00C343C0">
        <w:rPr>
          <w:rFonts w:ascii="Arial" w:hAnsi="Arial" w:cs="Arial"/>
          <w:i/>
          <w:iCs/>
          <w:sz w:val="20"/>
          <w:szCs w:val="20"/>
        </w:rPr>
        <w:t>et al</w:t>
      </w:r>
      <w:r w:rsidR="00193A46" w:rsidRPr="00C343C0">
        <w:rPr>
          <w:rFonts w:ascii="Arial" w:hAnsi="Arial" w:cs="Arial"/>
          <w:sz w:val="20"/>
          <w:szCs w:val="20"/>
        </w:rPr>
        <w:t>., 2025).</w:t>
      </w:r>
      <w:r w:rsidR="00DD1934">
        <w:rPr>
          <w:rFonts w:ascii="Arial" w:hAnsi="Arial" w:cs="Arial"/>
          <w:sz w:val="20"/>
          <w:szCs w:val="20"/>
        </w:rPr>
        <w:t xml:space="preserve"> </w:t>
      </w:r>
    </w:p>
    <w:p w14:paraId="3A4AA679" w14:textId="350337A2" w:rsidR="007F03A3" w:rsidRPr="00C343C0" w:rsidRDefault="007F03A3" w:rsidP="003C74AA">
      <w:pPr>
        <w:spacing w:line="360" w:lineRule="auto"/>
        <w:ind w:firstLine="720"/>
        <w:jc w:val="both"/>
        <w:rPr>
          <w:rFonts w:ascii="Arial" w:hAnsi="Arial" w:cs="Arial"/>
          <w:sz w:val="20"/>
          <w:szCs w:val="20"/>
        </w:rPr>
      </w:pPr>
      <w:r w:rsidRPr="00C343C0">
        <w:rPr>
          <w:rFonts w:ascii="Arial" w:hAnsi="Arial" w:cs="Arial"/>
          <w:sz w:val="20"/>
          <w:szCs w:val="20"/>
        </w:rPr>
        <w:t>Among vegetables, India is the 2nd largest producer of cabbage after China, producing 8.29 % of total global production during 2024-25</w:t>
      </w:r>
      <w:r w:rsidRPr="00C343C0">
        <w:rPr>
          <w:rFonts w:ascii="Arial" w:hAnsi="Arial" w:cs="Arial"/>
          <w:color w:val="000000" w:themeColor="text1"/>
          <w:sz w:val="20"/>
          <w:szCs w:val="20"/>
        </w:rPr>
        <w:t xml:space="preserve"> </w:t>
      </w:r>
      <w:r w:rsidRPr="00C343C0">
        <w:rPr>
          <w:rFonts w:ascii="Arial" w:hAnsi="Arial" w:cs="Arial"/>
          <w:sz w:val="20"/>
          <w:szCs w:val="20"/>
        </w:rPr>
        <w:t>with a mean production of 9150.90 million kg, 4.92 % of total vegetable production in 2024-25 (</w:t>
      </w:r>
      <w:r w:rsidR="00193A46" w:rsidRPr="00C343C0">
        <w:rPr>
          <w:rFonts w:ascii="Arial" w:hAnsi="Arial" w:cs="Arial"/>
          <w:sz w:val="20"/>
          <w:szCs w:val="20"/>
        </w:rPr>
        <w:t>FAOSTAT, 2024</w:t>
      </w:r>
      <w:r w:rsidRPr="00C343C0">
        <w:rPr>
          <w:rFonts w:ascii="Arial" w:hAnsi="Arial" w:cs="Arial"/>
          <w:sz w:val="20"/>
          <w:szCs w:val="20"/>
        </w:rPr>
        <w:t xml:space="preserve">). The other principal producers are Russia, South Korea, Ukraine, Indonesia, Japan, United States, Poland and Vietnam. Though </w:t>
      </w:r>
      <w:r w:rsidR="00C754F5" w:rsidRPr="00C343C0">
        <w:rPr>
          <w:rFonts w:ascii="Arial" w:hAnsi="Arial" w:cs="Arial"/>
          <w:sz w:val="20"/>
          <w:szCs w:val="20"/>
        </w:rPr>
        <w:t xml:space="preserve">the </w:t>
      </w:r>
      <w:r w:rsidRPr="00C343C0">
        <w:rPr>
          <w:rFonts w:ascii="Arial" w:hAnsi="Arial" w:cs="Arial"/>
          <w:sz w:val="20"/>
          <w:szCs w:val="20"/>
        </w:rPr>
        <w:t xml:space="preserve">production and area of cabbage in India is </w:t>
      </w:r>
      <w:r w:rsidR="00C754F5" w:rsidRPr="00C343C0">
        <w:rPr>
          <w:rFonts w:ascii="Arial" w:hAnsi="Arial" w:cs="Arial"/>
          <w:sz w:val="20"/>
          <w:szCs w:val="20"/>
        </w:rPr>
        <w:t>2nd highest after China,</w:t>
      </w:r>
      <w:r w:rsidRPr="00C343C0">
        <w:rPr>
          <w:rFonts w:ascii="Arial" w:hAnsi="Arial" w:cs="Arial"/>
          <w:sz w:val="20"/>
          <w:szCs w:val="20"/>
        </w:rPr>
        <w:t xml:space="preserve"> but its productivity is lower than that of leading producers particularly China and South Korea (FAOSTAT, 20</w:t>
      </w:r>
      <w:r w:rsidR="00193A46" w:rsidRPr="00C343C0">
        <w:rPr>
          <w:rFonts w:ascii="Arial" w:hAnsi="Arial" w:cs="Arial"/>
          <w:sz w:val="20"/>
          <w:szCs w:val="20"/>
        </w:rPr>
        <w:t>24</w:t>
      </w:r>
      <w:r w:rsidRPr="00C343C0">
        <w:rPr>
          <w:rFonts w:ascii="Arial" w:hAnsi="Arial" w:cs="Arial"/>
          <w:sz w:val="20"/>
          <w:szCs w:val="20"/>
        </w:rPr>
        <w:t xml:space="preserve">). </w:t>
      </w:r>
      <w:r w:rsidR="00FE0756" w:rsidRPr="00FE0756">
        <w:rPr>
          <w:rFonts w:ascii="Arial" w:hAnsi="Arial" w:cs="Arial"/>
          <w:sz w:val="20"/>
          <w:szCs w:val="20"/>
        </w:rPr>
        <w:t>Low productivity is primarily attributed to the cultivation of traditional varieties, coupled with suboptimal production and crop protection practices, inadequate post-harvest handling techniques, and volatility in output market prices</w:t>
      </w:r>
      <w:r w:rsidRPr="00C343C0">
        <w:rPr>
          <w:rFonts w:ascii="Arial" w:hAnsi="Arial" w:cs="Arial"/>
          <w:sz w:val="20"/>
          <w:szCs w:val="20"/>
        </w:rPr>
        <w:t xml:space="preserve"> (</w:t>
      </w:r>
      <w:r w:rsidR="00193A46" w:rsidRPr="00C343C0">
        <w:rPr>
          <w:rFonts w:ascii="Arial" w:hAnsi="Arial" w:cs="Arial"/>
          <w:sz w:val="20"/>
          <w:szCs w:val="20"/>
        </w:rPr>
        <w:t>Weinberger and Lumpkin, 2007</w:t>
      </w:r>
      <w:r w:rsidRPr="00C343C0">
        <w:rPr>
          <w:rFonts w:ascii="Arial" w:hAnsi="Arial" w:cs="Arial"/>
          <w:sz w:val="20"/>
          <w:szCs w:val="20"/>
        </w:rPr>
        <w:t>). In India,</w:t>
      </w:r>
      <w:r w:rsidR="00C754F5" w:rsidRPr="00C343C0">
        <w:rPr>
          <w:rFonts w:ascii="Arial" w:hAnsi="Arial" w:cs="Arial"/>
          <w:sz w:val="20"/>
          <w:szCs w:val="20"/>
        </w:rPr>
        <w:t xml:space="preserve"> the </w:t>
      </w:r>
      <w:r w:rsidRPr="00C343C0">
        <w:rPr>
          <w:rFonts w:ascii="Arial" w:hAnsi="Arial" w:cs="Arial"/>
          <w:sz w:val="20"/>
          <w:szCs w:val="20"/>
        </w:rPr>
        <w:t>major cabbage producing states are West Bengal, Odisha, Madhya Pradesh, Gujarat, Bihar, Assam and in terms of production (000’MT) their national share is 22.68%, 12.41%, 10.47%, 8.28%, 7.66% and 7.22% respectively (</w:t>
      </w:r>
      <w:r w:rsidR="00C343C0" w:rsidRPr="00C343C0">
        <w:rPr>
          <w:rFonts w:ascii="Arial" w:hAnsi="Arial" w:cs="Arial"/>
          <w:sz w:val="20"/>
          <w:szCs w:val="20"/>
        </w:rPr>
        <w:t>Singh</w:t>
      </w:r>
      <w:r w:rsidR="00C343C0" w:rsidRPr="00C343C0">
        <w:rPr>
          <w:rFonts w:ascii="Arial" w:hAnsi="Arial" w:cs="Arial"/>
          <w:i/>
          <w:iCs/>
          <w:sz w:val="20"/>
          <w:szCs w:val="20"/>
        </w:rPr>
        <w:t xml:space="preserve"> et al</w:t>
      </w:r>
      <w:r w:rsidR="00C343C0" w:rsidRPr="00C343C0">
        <w:rPr>
          <w:rFonts w:ascii="Arial" w:hAnsi="Arial" w:cs="Arial"/>
          <w:sz w:val="20"/>
          <w:szCs w:val="20"/>
        </w:rPr>
        <w:t>., 2023</w:t>
      </w:r>
      <w:r w:rsidRPr="00C343C0">
        <w:rPr>
          <w:rFonts w:ascii="Arial" w:hAnsi="Arial" w:cs="Arial"/>
          <w:sz w:val="20"/>
          <w:szCs w:val="20"/>
        </w:rPr>
        <w:t>). NAFED, ICAR and its various crop research institutes are involved for its improvement (</w:t>
      </w:r>
      <w:r w:rsidR="00C343C0" w:rsidRPr="00C343C0">
        <w:rPr>
          <w:rFonts w:ascii="Arial" w:hAnsi="Arial" w:cs="Arial"/>
          <w:sz w:val="20"/>
          <w:szCs w:val="20"/>
        </w:rPr>
        <w:t>ICAR, 2022-23</w:t>
      </w:r>
      <w:r w:rsidRPr="00C343C0">
        <w:rPr>
          <w:rFonts w:ascii="Arial" w:hAnsi="Arial" w:cs="Arial"/>
          <w:sz w:val="20"/>
          <w:szCs w:val="20"/>
        </w:rPr>
        <w:t>).</w:t>
      </w:r>
    </w:p>
    <w:p w14:paraId="5CE15628" w14:textId="35BED4CB" w:rsidR="007F03A3" w:rsidRPr="000D13B9" w:rsidRDefault="007F03A3" w:rsidP="003C74AA">
      <w:pPr>
        <w:spacing w:line="360" w:lineRule="auto"/>
        <w:ind w:firstLine="450"/>
        <w:jc w:val="both"/>
        <w:rPr>
          <w:rFonts w:ascii="Arial" w:hAnsi="Arial" w:cs="Arial"/>
          <w:sz w:val="20"/>
          <w:szCs w:val="20"/>
        </w:rPr>
      </w:pPr>
      <w:r w:rsidRPr="00C343C0">
        <w:rPr>
          <w:rFonts w:ascii="Arial" w:hAnsi="Arial" w:cs="Arial"/>
          <w:sz w:val="20"/>
          <w:szCs w:val="20"/>
        </w:rPr>
        <w:t>In India</w:t>
      </w:r>
      <w:r w:rsidR="00C754F5" w:rsidRPr="00C343C0">
        <w:rPr>
          <w:rFonts w:ascii="Arial" w:hAnsi="Arial" w:cs="Arial"/>
          <w:sz w:val="20"/>
          <w:szCs w:val="20"/>
        </w:rPr>
        <w:t>,</w:t>
      </w:r>
      <w:r w:rsidRPr="00C343C0">
        <w:rPr>
          <w:rFonts w:ascii="Arial" w:hAnsi="Arial" w:cs="Arial"/>
          <w:sz w:val="20"/>
          <w:szCs w:val="20"/>
        </w:rPr>
        <w:t xml:space="preserve"> several wholesale markets</w:t>
      </w:r>
      <w:r w:rsidR="00C754F5" w:rsidRPr="00C343C0">
        <w:rPr>
          <w:rFonts w:ascii="Arial" w:hAnsi="Arial" w:cs="Arial"/>
          <w:sz w:val="20"/>
          <w:szCs w:val="20"/>
        </w:rPr>
        <w:t>,</w:t>
      </w:r>
      <w:r w:rsidRPr="00C343C0">
        <w:rPr>
          <w:rFonts w:ascii="Arial" w:hAnsi="Arial" w:cs="Arial"/>
          <w:sz w:val="20"/>
          <w:szCs w:val="20"/>
        </w:rPr>
        <w:t xml:space="preserve"> particularly </w:t>
      </w:r>
      <w:r w:rsidR="00C754F5" w:rsidRPr="00C343C0">
        <w:rPr>
          <w:rFonts w:ascii="Arial" w:hAnsi="Arial" w:cs="Arial"/>
          <w:sz w:val="20"/>
          <w:szCs w:val="20"/>
        </w:rPr>
        <w:t xml:space="preserve">in </w:t>
      </w:r>
      <w:r w:rsidRPr="00C343C0">
        <w:rPr>
          <w:rFonts w:ascii="Arial" w:hAnsi="Arial" w:cs="Arial"/>
          <w:sz w:val="20"/>
          <w:szCs w:val="20"/>
        </w:rPr>
        <w:t>West Bengal and Odisha, are organized for national trading of cabbage (</w:t>
      </w:r>
      <w:r w:rsidR="00C343C0" w:rsidRPr="00C343C0">
        <w:rPr>
          <w:rFonts w:ascii="Arial" w:hAnsi="Arial" w:cs="Arial"/>
          <w:sz w:val="20"/>
          <w:szCs w:val="20"/>
        </w:rPr>
        <w:t>Ministry of Agriculture &amp; Farmers Welfare, 2022-23</w:t>
      </w:r>
      <w:r w:rsidRPr="00C343C0">
        <w:rPr>
          <w:rFonts w:ascii="Arial" w:hAnsi="Arial" w:cs="Arial"/>
          <w:sz w:val="20"/>
          <w:szCs w:val="20"/>
        </w:rPr>
        <w:t>). The export earning</w:t>
      </w:r>
      <w:r w:rsidR="00C754F5" w:rsidRPr="00C343C0">
        <w:rPr>
          <w:rFonts w:ascii="Arial" w:hAnsi="Arial" w:cs="Arial"/>
          <w:sz w:val="20"/>
          <w:szCs w:val="20"/>
        </w:rPr>
        <w:t>s</w:t>
      </w:r>
      <w:r w:rsidRPr="00C343C0">
        <w:rPr>
          <w:rFonts w:ascii="Arial" w:hAnsi="Arial" w:cs="Arial"/>
          <w:sz w:val="20"/>
          <w:szCs w:val="20"/>
        </w:rPr>
        <w:t xml:space="preserve"> of India from cabbage is 2.19 million USD during 2024-25 (DGCI&amp;S, Kolkata). Hence, it is pertinent to study the dormant potentiality of cabbage production and export by India. The study aimed to investigate how Indian cabbage performed in terms of production and export growth in domestic and global markets.</w:t>
      </w:r>
    </w:p>
    <w:p w14:paraId="4BB33371" w14:textId="77777777" w:rsidR="007F03A3" w:rsidRPr="007D2E9E" w:rsidRDefault="007F03A3" w:rsidP="001F740B">
      <w:pPr>
        <w:pStyle w:val="ListParagraph"/>
        <w:numPr>
          <w:ilvl w:val="0"/>
          <w:numId w:val="1"/>
        </w:numPr>
        <w:spacing w:line="360" w:lineRule="auto"/>
        <w:ind w:left="450" w:hanging="450"/>
        <w:jc w:val="both"/>
        <w:rPr>
          <w:rFonts w:ascii="Arial" w:hAnsi="Arial" w:cs="Arial"/>
          <w:b/>
          <w:bCs/>
          <w:sz w:val="22"/>
          <w:szCs w:val="22"/>
        </w:rPr>
      </w:pPr>
      <w:r w:rsidRPr="007D2E9E">
        <w:rPr>
          <w:rFonts w:ascii="Arial" w:hAnsi="Arial" w:cs="Arial"/>
          <w:b/>
          <w:bCs/>
          <w:sz w:val="22"/>
          <w:szCs w:val="22"/>
        </w:rPr>
        <w:t>Materials and Methods</w:t>
      </w:r>
    </w:p>
    <w:p w14:paraId="00013152" w14:textId="0C4DB2FF" w:rsidR="00C343C0" w:rsidRPr="003900A7" w:rsidRDefault="00FF13CD" w:rsidP="00C343C0">
      <w:pPr>
        <w:spacing w:line="360" w:lineRule="auto"/>
        <w:ind w:firstLine="450"/>
        <w:jc w:val="both"/>
        <w:rPr>
          <w:rFonts w:ascii="Arial" w:hAnsi="Arial" w:cs="Arial"/>
          <w:sz w:val="20"/>
          <w:szCs w:val="20"/>
        </w:rPr>
      </w:pPr>
      <w:r>
        <w:rPr>
          <w:rFonts w:ascii="Arial" w:hAnsi="Arial" w:cs="Arial"/>
          <w:sz w:val="20"/>
          <w:szCs w:val="20"/>
        </w:rPr>
        <w:tab/>
      </w:r>
      <w:r w:rsidR="00C754F5" w:rsidRPr="00C754F5">
        <w:rPr>
          <w:rFonts w:ascii="Arial" w:hAnsi="Arial" w:cs="Arial"/>
          <w:sz w:val="20"/>
          <w:szCs w:val="20"/>
        </w:rPr>
        <w:t xml:space="preserve">The study was carried out based on secondary data. The required information related to area, production, productivity and export were collected from different government institutions, viz. Agriculture and Horticulture Department of the Government of West Bengal, Department of Economics and Statistics etc. and also sourcing from important websites viz. www.indiasat.com, www.tridge.com, www.agristat.com, as well as official websites of Horticulture board of India and Department of Agriculture and Farmers Welfare of </w:t>
      </w:r>
      <w:r w:rsidR="00C754F5" w:rsidRPr="003900A7">
        <w:rPr>
          <w:rFonts w:ascii="Arial" w:hAnsi="Arial" w:cs="Arial"/>
          <w:sz w:val="20"/>
          <w:szCs w:val="20"/>
        </w:rPr>
        <w:t>India to satisfy the specific objectives.</w:t>
      </w:r>
      <w:r w:rsidR="00C343C0" w:rsidRPr="003900A7">
        <w:rPr>
          <w:rFonts w:ascii="Arial" w:hAnsi="Arial" w:cs="Arial"/>
          <w:sz w:val="20"/>
          <w:szCs w:val="20"/>
        </w:rPr>
        <w:t xml:space="preserve"> The study focused on analyzing the trend, growth and stability of cabbage production and </w:t>
      </w:r>
      <w:r w:rsidR="003900A7" w:rsidRPr="003900A7">
        <w:rPr>
          <w:rFonts w:ascii="Arial" w:hAnsi="Arial" w:cs="Arial"/>
          <w:sz w:val="20"/>
          <w:szCs w:val="20"/>
        </w:rPr>
        <w:t>export in</w:t>
      </w:r>
      <w:r w:rsidR="00C343C0" w:rsidRPr="003900A7">
        <w:rPr>
          <w:rFonts w:ascii="Arial" w:hAnsi="Arial" w:cs="Arial"/>
          <w:sz w:val="20"/>
          <w:szCs w:val="20"/>
        </w:rPr>
        <w:t xml:space="preserve"> India. </w:t>
      </w:r>
    </w:p>
    <w:p w14:paraId="4F1562F1" w14:textId="458B423B" w:rsidR="00C343C0" w:rsidRPr="003900A7" w:rsidRDefault="007F03A3" w:rsidP="00E97C7C">
      <w:pPr>
        <w:spacing w:line="360" w:lineRule="auto"/>
        <w:jc w:val="both"/>
        <w:rPr>
          <w:rFonts w:ascii="Arial" w:hAnsi="Arial" w:cs="Arial"/>
          <w:sz w:val="20"/>
          <w:szCs w:val="20"/>
        </w:rPr>
      </w:pPr>
      <w:r w:rsidRPr="003900A7">
        <w:rPr>
          <w:rFonts w:ascii="Arial" w:hAnsi="Arial" w:cs="Arial"/>
          <w:b/>
          <w:bCs/>
          <w:sz w:val="20"/>
          <w:szCs w:val="20"/>
        </w:rPr>
        <w:lastRenderedPageBreak/>
        <w:t>2.1 Analytical techniques</w:t>
      </w:r>
      <w:r w:rsidRPr="003900A7">
        <w:rPr>
          <w:rFonts w:ascii="Arial" w:hAnsi="Arial" w:cs="Arial"/>
          <w:sz w:val="20"/>
          <w:szCs w:val="20"/>
        </w:rPr>
        <w:t xml:space="preserve">: </w:t>
      </w:r>
      <w:r w:rsidR="00FE0756" w:rsidRPr="00FE0756">
        <w:rPr>
          <w:rFonts w:ascii="Arial" w:hAnsi="Arial" w:cs="Arial"/>
          <w:sz w:val="20"/>
          <w:szCs w:val="20"/>
        </w:rPr>
        <w:t>Simple descriptive statistical measures, including the mean, standard deviation, coefficient of variation (CV), and percentages, were employed for data analysis</w:t>
      </w:r>
      <w:r w:rsidRPr="003900A7">
        <w:rPr>
          <w:rFonts w:ascii="Arial" w:hAnsi="Arial" w:cs="Arial"/>
          <w:sz w:val="20"/>
          <w:szCs w:val="20"/>
        </w:rPr>
        <w:t xml:space="preserve">. </w:t>
      </w:r>
      <w:r w:rsidR="00C343C0" w:rsidRPr="003900A7">
        <w:rPr>
          <w:rFonts w:ascii="Arial" w:hAnsi="Arial" w:cs="Arial"/>
          <w:sz w:val="20"/>
          <w:szCs w:val="20"/>
        </w:rPr>
        <w:t>Mean was used to determine the average level of area, production, and productivity of cabbage during the study period.</w:t>
      </w:r>
      <w:r w:rsidR="00E97C7C" w:rsidRPr="003900A7">
        <w:rPr>
          <w:rFonts w:ascii="Arial" w:hAnsi="Arial" w:cs="Arial"/>
          <w:sz w:val="20"/>
          <w:szCs w:val="20"/>
        </w:rPr>
        <w:t xml:space="preserve"> Whereas s</w:t>
      </w:r>
      <w:r w:rsidR="00C343C0" w:rsidRPr="003900A7">
        <w:rPr>
          <w:rFonts w:ascii="Arial" w:hAnsi="Arial" w:cs="Arial"/>
          <w:sz w:val="20"/>
          <w:szCs w:val="20"/>
        </w:rPr>
        <w:t>tandard deviation (SD) measured the dispersion of the data from the mean value.</w:t>
      </w:r>
    </w:p>
    <w:p w14:paraId="4D7DB086" w14:textId="1607ED8E" w:rsidR="00C343C0" w:rsidRPr="003900A7" w:rsidRDefault="00E97C7C" w:rsidP="00FD2E4F">
      <w:pPr>
        <w:spacing w:line="360" w:lineRule="auto"/>
        <w:jc w:val="both"/>
        <w:rPr>
          <w:rFonts w:ascii="Arial" w:hAnsi="Arial" w:cs="Arial"/>
          <w:sz w:val="20"/>
          <w:szCs w:val="20"/>
        </w:rPr>
      </w:pPr>
      <w:r w:rsidRPr="003900A7">
        <w:rPr>
          <w:rFonts w:ascii="Arial" w:hAnsi="Arial" w:cs="Arial"/>
          <w:b/>
          <w:sz w:val="20"/>
          <w:szCs w:val="20"/>
        </w:rPr>
        <w:t>2.1.1</w:t>
      </w:r>
      <w:r w:rsidRPr="003900A7">
        <w:rPr>
          <w:rFonts w:ascii="Arial" w:hAnsi="Arial" w:cs="Arial"/>
          <w:sz w:val="20"/>
          <w:szCs w:val="20"/>
        </w:rPr>
        <w:t xml:space="preserve"> </w:t>
      </w:r>
      <w:r w:rsidRPr="003900A7">
        <w:rPr>
          <w:rFonts w:ascii="Arial" w:hAnsi="Arial" w:cs="Arial"/>
          <w:b/>
          <w:sz w:val="20"/>
          <w:szCs w:val="20"/>
        </w:rPr>
        <w:t xml:space="preserve">Coefficient of Variation (CV): It </w:t>
      </w:r>
      <w:r w:rsidRPr="003900A7">
        <w:rPr>
          <w:rFonts w:ascii="Arial" w:hAnsi="Arial" w:cs="Arial"/>
          <w:sz w:val="20"/>
          <w:szCs w:val="20"/>
        </w:rPr>
        <w:t>was used to assess the relative instability in area, production and productivity of cabbage cultivation.</w:t>
      </w:r>
    </w:p>
    <w:p w14:paraId="7ACFFC00" w14:textId="0A2CFEA0" w:rsidR="00E97C7C" w:rsidRPr="003900A7" w:rsidRDefault="00E97C7C" w:rsidP="00FD2E4F">
      <w:pPr>
        <w:spacing w:line="360" w:lineRule="auto"/>
        <w:jc w:val="both"/>
        <w:rPr>
          <w:rFonts w:ascii="Arial" w:hAnsi="Arial" w:cs="Arial"/>
          <w:sz w:val="20"/>
          <w:szCs w:val="20"/>
        </w:rPr>
      </w:pPr>
      <w:r w:rsidRPr="003900A7">
        <w:rPr>
          <w:rFonts w:ascii="Arial" w:eastAsia="Times New Roman" w:hAnsi="Arial" w:cs="Arial"/>
          <w:kern w:val="0"/>
          <w:sz w:val="20"/>
          <w:szCs w:val="20"/>
          <w14:ligatures w14:val="none"/>
        </w:rPr>
        <w:t>The coefficient of variation was calculated using the following formula</w:t>
      </w:r>
    </w:p>
    <w:p w14:paraId="180375E0" w14:textId="7B3104FB" w:rsidR="00E97C7C" w:rsidRPr="003900A7" w:rsidRDefault="00E97C7C" w:rsidP="00E97C7C">
      <w:pPr>
        <w:pStyle w:val="ListParagraph"/>
        <w:spacing w:after="0" w:line="240" w:lineRule="auto"/>
        <w:rPr>
          <w:rFonts w:ascii="Arial" w:eastAsia="Times New Roman" w:hAnsi="Arial" w:cs="Arial"/>
          <w:i/>
          <w:kern w:val="0"/>
          <w:sz w:val="20"/>
          <w:szCs w:val="20"/>
          <w14:ligatures w14:val="none"/>
        </w:rPr>
      </w:pPr>
      <m:oMathPara>
        <m:oMath>
          <m:r>
            <m:rPr>
              <m:sty m:val="p"/>
            </m:rPr>
            <w:rPr>
              <w:rFonts w:ascii="Cambria Math" w:eastAsia="Times New Roman" w:hAnsi="Cambria Math" w:cs="Arial"/>
              <w:kern w:val="0"/>
              <w:sz w:val="20"/>
              <w:szCs w:val="20"/>
              <w14:ligatures w14:val="none"/>
            </w:rPr>
            <m:t>CV=</m:t>
          </m:r>
          <m:f>
            <m:fPr>
              <m:ctrlPr>
                <w:rPr>
                  <w:rFonts w:ascii="Cambria Math" w:eastAsia="Times New Roman" w:hAnsi="Cambria Math" w:cs="Arial"/>
                  <w:iCs/>
                  <w:kern w:val="0"/>
                  <w:sz w:val="20"/>
                  <w:szCs w:val="20"/>
                  <w14:ligatures w14:val="none"/>
                </w:rPr>
              </m:ctrlPr>
            </m:fPr>
            <m:num>
              <m:r>
                <m:rPr>
                  <m:sty m:val="p"/>
                </m:rPr>
                <w:rPr>
                  <w:rFonts w:ascii="Cambria Math" w:eastAsia="Times New Roman" w:hAnsi="Cambria Math" w:cs="Arial"/>
                  <w:kern w:val="0"/>
                  <w:sz w:val="20"/>
                  <w:szCs w:val="20"/>
                  <w14:ligatures w14:val="none"/>
                </w:rPr>
                <m:t>SD</m:t>
              </m:r>
            </m:num>
            <m:den>
              <m:r>
                <m:rPr>
                  <m:sty m:val="p"/>
                </m:rPr>
                <w:rPr>
                  <w:rFonts w:ascii="Cambria Math" w:eastAsia="Times New Roman" w:hAnsi="Cambria Math" w:cs="Arial"/>
                  <w:kern w:val="0"/>
                  <w:sz w:val="20"/>
                  <w:szCs w:val="20"/>
                  <w14:ligatures w14:val="none"/>
                </w:rPr>
                <m:t>Mean</m:t>
              </m:r>
            </m:den>
          </m:f>
          <m:r>
            <m:rPr>
              <m:sty m:val="p"/>
            </m:rPr>
            <w:rPr>
              <w:rFonts w:ascii="Cambria Math" w:eastAsia="Times New Roman" w:hAnsi="Cambria Math" w:cs="Arial"/>
              <w:kern w:val="0"/>
              <w:sz w:val="20"/>
              <w:szCs w:val="20"/>
              <w14:ligatures w14:val="none"/>
            </w:rPr>
            <m:t>×</m:t>
          </m:r>
          <m:r>
            <w:rPr>
              <w:rFonts w:ascii="Cambria Math" w:eastAsia="Times New Roman" w:hAnsi="Cambria Math" w:cs="Arial"/>
              <w:kern w:val="0"/>
              <w:sz w:val="20"/>
              <w:szCs w:val="20"/>
              <w14:ligatures w14:val="none"/>
            </w:rPr>
            <m:t>100</m:t>
          </m:r>
        </m:oMath>
      </m:oMathPara>
    </w:p>
    <w:p w14:paraId="22990E9E" w14:textId="77777777" w:rsidR="00E97C7C" w:rsidRPr="003900A7" w:rsidRDefault="00E97C7C" w:rsidP="00E97C7C">
      <w:pPr>
        <w:pStyle w:val="ListParagraph"/>
        <w:spacing w:after="0" w:line="240" w:lineRule="auto"/>
        <w:rPr>
          <w:rFonts w:ascii="Arial" w:eastAsia="Times New Roman" w:hAnsi="Arial" w:cs="Arial"/>
          <w:i/>
          <w:kern w:val="0"/>
          <w:sz w:val="20"/>
          <w:szCs w:val="20"/>
          <w14:ligatures w14:val="none"/>
        </w:rPr>
      </w:pPr>
    </w:p>
    <w:p w14:paraId="493113C3" w14:textId="57CDDF2D" w:rsidR="00E97C7C" w:rsidRPr="003900A7" w:rsidRDefault="00E97C7C" w:rsidP="00E97C7C">
      <w:pPr>
        <w:spacing w:line="360" w:lineRule="auto"/>
        <w:jc w:val="both"/>
        <w:rPr>
          <w:rFonts w:ascii="Arial" w:hAnsi="Arial" w:cs="Arial"/>
          <w:sz w:val="20"/>
          <w:szCs w:val="20"/>
        </w:rPr>
      </w:pPr>
      <w:r w:rsidRPr="003900A7">
        <w:rPr>
          <w:rFonts w:ascii="Arial" w:eastAsia="Times New Roman" w:hAnsi="Arial" w:cs="Arial"/>
          <w:kern w:val="0"/>
          <w:sz w:val="20"/>
          <w:szCs w:val="20"/>
          <w14:ligatures w14:val="none"/>
        </w:rPr>
        <w:t>A lower CV value indicates greater stability, while a higher CV value reflects greater variability in the data</w:t>
      </w:r>
    </w:p>
    <w:p w14:paraId="1E1D7222" w14:textId="4CCB4ACD" w:rsidR="007F03A3" w:rsidRPr="003900A7" w:rsidRDefault="007F03A3" w:rsidP="007F03A3">
      <w:pPr>
        <w:spacing w:line="360" w:lineRule="auto"/>
        <w:jc w:val="both"/>
        <w:rPr>
          <w:rFonts w:ascii="Arial" w:hAnsi="Arial" w:cs="Arial"/>
          <w:sz w:val="20"/>
          <w:szCs w:val="20"/>
        </w:rPr>
      </w:pPr>
      <w:r w:rsidRPr="003900A7">
        <w:rPr>
          <w:rFonts w:ascii="Arial" w:hAnsi="Arial" w:cs="Arial"/>
          <w:b/>
          <w:bCs/>
          <w:sz w:val="20"/>
          <w:szCs w:val="20"/>
        </w:rPr>
        <w:t>2.</w:t>
      </w:r>
      <w:r w:rsidR="00E97C7C" w:rsidRPr="003900A7">
        <w:rPr>
          <w:rFonts w:ascii="Arial" w:hAnsi="Arial" w:cs="Arial"/>
          <w:b/>
          <w:bCs/>
          <w:sz w:val="20"/>
          <w:szCs w:val="20"/>
        </w:rPr>
        <w:t>1.</w:t>
      </w:r>
      <w:r w:rsidRPr="003900A7">
        <w:rPr>
          <w:rFonts w:ascii="Arial" w:hAnsi="Arial" w:cs="Arial"/>
          <w:b/>
          <w:bCs/>
          <w:sz w:val="20"/>
          <w:szCs w:val="20"/>
        </w:rPr>
        <w:t>2 Compound Annual Growth Rate (CAGR)</w:t>
      </w:r>
      <w:r w:rsidRPr="003900A7">
        <w:rPr>
          <w:rFonts w:ascii="Arial" w:hAnsi="Arial" w:cs="Arial"/>
          <w:sz w:val="20"/>
          <w:szCs w:val="20"/>
        </w:rPr>
        <w:t xml:space="preserve">: </w:t>
      </w:r>
      <w:r w:rsidR="00E97C7C" w:rsidRPr="003900A7">
        <w:rPr>
          <w:rFonts w:ascii="Arial" w:hAnsi="Arial" w:cs="Arial"/>
          <w:sz w:val="20"/>
          <w:szCs w:val="20"/>
        </w:rPr>
        <w:t xml:space="preserve">To inspect the trend in cabbage production, productivity, Compound Annual Growth Rate (CAGR) was employed. </w:t>
      </w:r>
      <w:r w:rsidRPr="003900A7">
        <w:rPr>
          <w:rFonts w:ascii="Arial" w:hAnsi="Arial" w:cs="Arial"/>
          <w:sz w:val="20"/>
          <w:szCs w:val="20"/>
        </w:rPr>
        <w:t xml:space="preserve">The CAGR in area, production and productivity of cabbage was estimated by using the exponential growth function of the following form; </w:t>
      </w:r>
      <m:oMath>
        <m:r>
          <m:rPr>
            <m:sty m:val="p"/>
          </m:rPr>
          <w:rPr>
            <w:rFonts w:ascii="Cambria Math" w:hAnsi="Cambria Math" w:cs="Arial"/>
            <w:sz w:val="20"/>
            <w:szCs w:val="20"/>
          </w:rPr>
          <m:t>Y=a</m:t>
        </m:r>
        <m:sSup>
          <m:sSupPr>
            <m:ctrlPr>
              <w:rPr>
                <w:rFonts w:ascii="Cambria Math" w:hAnsi="Cambria Math" w:cs="Arial"/>
                <w:iCs/>
                <w:sz w:val="20"/>
                <w:szCs w:val="20"/>
              </w:rPr>
            </m:ctrlPr>
          </m:sSupPr>
          <m:e>
            <m:r>
              <m:rPr>
                <m:sty m:val="p"/>
              </m:rPr>
              <w:rPr>
                <w:rFonts w:ascii="Cambria Math" w:hAnsi="Cambria Math" w:cs="Arial"/>
                <w:sz w:val="20"/>
                <w:szCs w:val="20"/>
              </w:rPr>
              <m:t>b</m:t>
            </m:r>
          </m:e>
          <m:sup>
            <m:r>
              <m:rPr>
                <m:sty m:val="p"/>
              </m:rPr>
              <w:rPr>
                <w:rFonts w:ascii="Cambria Math" w:hAnsi="Cambria Math" w:cs="Arial"/>
                <w:sz w:val="20"/>
                <w:szCs w:val="20"/>
              </w:rPr>
              <m:t>t</m:t>
            </m:r>
          </m:sup>
        </m:sSup>
        <m:sSup>
          <m:sSupPr>
            <m:ctrlPr>
              <w:rPr>
                <w:rFonts w:ascii="Cambria Math" w:hAnsi="Cambria Math" w:cs="Arial"/>
                <w:iCs/>
                <w:sz w:val="20"/>
                <w:szCs w:val="20"/>
              </w:rPr>
            </m:ctrlPr>
          </m:sSupPr>
          <m:e>
            <m:r>
              <m:rPr>
                <m:sty m:val="p"/>
              </m:rPr>
              <w:rPr>
                <w:rFonts w:ascii="Cambria Math" w:hAnsi="Cambria Math" w:cs="Arial"/>
                <w:sz w:val="20"/>
                <w:szCs w:val="20"/>
              </w:rPr>
              <m:t>e</m:t>
            </m:r>
          </m:e>
          <m:sup>
            <m:r>
              <m:rPr>
                <m:sty m:val="p"/>
              </m:rPr>
              <w:rPr>
                <w:rFonts w:ascii="Cambria Math" w:hAnsi="Cambria Math" w:cs="Arial"/>
                <w:sz w:val="20"/>
                <w:szCs w:val="20"/>
              </w:rPr>
              <m:t>u</m:t>
            </m:r>
          </m:sup>
        </m:sSup>
      </m:oMath>
    </w:p>
    <w:p w14:paraId="6AB0366D" w14:textId="77777777" w:rsidR="007F03A3" w:rsidRPr="003900A7" w:rsidRDefault="007F03A3" w:rsidP="007F03A3">
      <w:pPr>
        <w:spacing w:line="360" w:lineRule="auto"/>
        <w:jc w:val="both"/>
        <w:rPr>
          <w:rFonts w:ascii="Arial" w:hAnsi="Arial" w:cs="Arial"/>
          <w:sz w:val="20"/>
          <w:szCs w:val="20"/>
        </w:rPr>
      </w:pPr>
      <w:r w:rsidRPr="003900A7">
        <w:rPr>
          <w:rFonts w:ascii="Arial" w:hAnsi="Arial" w:cs="Arial"/>
          <w:sz w:val="20"/>
          <w:szCs w:val="20"/>
        </w:rPr>
        <w:t>Where, Y is dependent variable (area/production/productivity), a = intercept term, b = (1+r) and ‘r’ is the compound growth rate, t = time trend, u = Random error term</w:t>
      </w:r>
    </w:p>
    <w:p w14:paraId="0524D6A8" w14:textId="77777777" w:rsidR="007F03A3" w:rsidRPr="003900A7" w:rsidRDefault="007F03A3" w:rsidP="007F03A3">
      <w:pPr>
        <w:spacing w:line="360" w:lineRule="auto"/>
        <w:jc w:val="both"/>
        <w:rPr>
          <w:rFonts w:ascii="Arial" w:hAnsi="Arial" w:cs="Arial"/>
          <w:sz w:val="20"/>
          <w:szCs w:val="20"/>
        </w:rPr>
      </w:pPr>
      <w:r w:rsidRPr="003900A7">
        <w:rPr>
          <w:rFonts w:ascii="Arial" w:hAnsi="Arial" w:cs="Arial"/>
          <w:sz w:val="20"/>
          <w:szCs w:val="20"/>
        </w:rPr>
        <w:t xml:space="preserve">The above model in the Logarithmic form is expressed as: </w:t>
      </w:r>
      <m:oMath>
        <m:func>
          <m:funcPr>
            <m:ctrlPr>
              <w:rPr>
                <w:rFonts w:ascii="Cambria Math" w:hAnsi="Cambria Math" w:cs="Arial"/>
                <w:iCs/>
                <w:sz w:val="20"/>
                <w:szCs w:val="20"/>
              </w:rPr>
            </m:ctrlPr>
          </m:funcPr>
          <m:fName>
            <m:r>
              <m:rPr>
                <m:sty m:val="p"/>
              </m:rPr>
              <w:rPr>
                <w:rFonts w:ascii="Cambria Math" w:hAnsi="Cambria Math" w:cs="Arial"/>
                <w:sz w:val="20"/>
                <w:szCs w:val="20"/>
              </w:rPr>
              <m:t>ln</m:t>
            </m:r>
          </m:fName>
          <m:e>
            <m:r>
              <m:rPr>
                <m:sty m:val="p"/>
              </m:rPr>
              <w:rPr>
                <w:rFonts w:ascii="Cambria Math" w:hAnsi="Cambria Math" w:cs="Arial"/>
                <w:sz w:val="20"/>
                <w:szCs w:val="20"/>
              </w:rPr>
              <m:t>Y</m:t>
            </m:r>
          </m:e>
        </m:func>
        <m:r>
          <m:rPr>
            <m:sty m:val="p"/>
          </m:rPr>
          <w:rPr>
            <w:rFonts w:ascii="Cambria Math" w:hAnsi="Cambria Math" w:cs="Arial"/>
            <w:sz w:val="20"/>
            <w:szCs w:val="20"/>
          </w:rPr>
          <m:t>=</m:t>
        </m:r>
        <m:func>
          <m:funcPr>
            <m:ctrlPr>
              <w:rPr>
                <w:rFonts w:ascii="Cambria Math" w:hAnsi="Cambria Math" w:cs="Arial"/>
                <w:iCs/>
                <w:sz w:val="20"/>
                <w:szCs w:val="20"/>
              </w:rPr>
            </m:ctrlPr>
          </m:funcPr>
          <m:fName>
            <m:r>
              <m:rPr>
                <m:sty m:val="p"/>
              </m:rPr>
              <w:rPr>
                <w:rFonts w:ascii="Cambria Math" w:hAnsi="Cambria Math" w:cs="Arial"/>
                <w:sz w:val="20"/>
                <w:szCs w:val="20"/>
              </w:rPr>
              <m:t>ln</m:t>
            </m:r>
          </m:fName>
          <m:e>
            <m:r>
              <m:rPr>
                <m:sty m:val="p"/>
              </m:rPr>
              <w:rPr>
                <w:rFonts w:ascii="Cambria Math" w:hAnsi="Cambria Math" w:cs="Arial"/>
                <w:sz w:val="20"/>
                <w:szCs w:val="20"/>
              </w:rPr>
              <m:t>a</m:t>
            </m:r>
          </m:e>
        </m:func>
        <m:r>
          <m:rPr>
            <m:sty m:val="p"/>
          </m:rPr>
          <w:rPr>
            <w:rFonts w:ascii="Cambria Math" w:hAnsi="Cambria Math" w:cs="Arial"/>
            <w:sz w:val="20"/>
            <w:szCs w:val="20"/>
          </w:rPr>
          <m:t>+t ln⁡b+u</m:t>
        </m:r>
      </m:oMath>
    </w:p>
    <w:p w14:paraId="714BA373" w14:textId="265651AB" w:rsidR="007F03A3" w:rsidRPr="003900A7" w:rsidRDefault="007F03A3" w:rsidP="007F03A3">
      <w:pPr>
        <w:spacing w:line="360" w:lineRule="auto"/>
        <w:jc w:val="both"/>
        <w:rPr>
          <w:rFonts w:ascii="Arial" w:hAnsi="Arial" w:cs="Arial"/>
          <w:sz w:val="20"/>
          <w:szCs w:val="20"/>
        </w:rPr>
      </w:pPr>
      <w:r w:rsidRPr="003900A7">
        <w:rPr>
          <w:rFonts w:ascii="Arial" w:hAnsi="Arial" w:cs="Arial"/>
          <w:sz w:val="20"/>
          <w:szCs w:val="20"/>
        </w:rPr>
        <w:t xml:space="preserve">ln a and ln b values were obtained using the methods of ordinary least squares and per cent CAGR was computed using the following relationship; </w:t>
      </w:r>
      <m:oMath>
        <m:r>
          <m:rPr>
            <m:sty m:val="p"/>
          </m:rPr>
          <w:rPr>
            <w:rFonts w:ascii="Cambria Math" w:hAnsi="Cambria Math" w:cs="Arial"/>
            <w:sz w:val="20"/>
            <w:szCs w:val="20"/>
          </w:rPr>
          <m:t>%</m:t>
        </m:r>
        <m:r>
          <m:rPr>
            <m:nor/>
          </m:rPr>
          <w:rPr>
            <w:rFonts w:ascii="Arial" w:hAnsi="Arial" w:cs="Arial"/>
            <w:sz w:val="20"/>
            <w:szCs w:val="20"/>
          </w:rPr>
          <m:t>CAGR</m:t>
        </m:r>
        <m:r>
          <w:rPr>
            <w:rFonts w:ascii="Cambria Math" w:hAnsi="Cambria Math" w:cs="Arial"/>
            <w:sz w:val="20"/>
            <w:szCs w:val="20"/>
          </w:rPr>
          <m:t>=(</m:t>
        </m:r>
        <m:r>
          <m:rPr>
            <m:nor/>
          </m:rPr>
          <w:rPr>
            <w:rFonts w:ascii="Arial" w:hAnsi="Arial" w:cs="Arial"/>
            <w:sz w:val="20"/>
            <w:szCs w:val="20"/>
          </w:rPr>
          <m:t xml:space="preserve">Antilog of </m:t>
        </m:r>
        <m:r>
          <w:rPr>
            <w:rFonts w:ascii="Cambria Math" w:hAnsi="Cambria Math" w:cs="Arial"/>
            <w:sz w:val="20"/>
            <w:szCs w:val="20"/>
          </w:rPr>
          <m:t>(</m:t>
        </m:r>
        <m:r>
          <m:rPr>
            <m:sty m:val="p"/>
          </m:rPr>
          <w:rPr>
            <w:rFonts w:ascii="Cambria Math" w:hAnsi="Cambria Math" w:cs="Arial"/>
            <w:sz w:val="20"/>
            <w:szCs w:val="20"/>
          </w:rPr>
          <m:t>ln</m:t>
        </m:r>
        <m:r>
          <w:rPr>
            <w:rFonts w:ascii="Cambria Math" w:hAnsi="Cambria Math" w:cs="Arial"/>
            <w:sz w:val="20"/>
            <w:szCs w:val="20"/>
          </w:rPr>
          <m:t>⁡</m:t>
        </m:r>
        <m:r>
          <m:rPr>
            <m:sty m:val="p"/>
          </m:rPr>
          <w:rPr>
            <w:rFonts w:ascii="Cambria Math" w:hAnsi="Cambria Math" w:cs="Arial"/>
            <w:sz w:val="20"/>
            <w:szCs w:val="20"/>
          </w:rPr>
          <m:t>b</m:t>
        </m:r>
        <m:r>
          <w:rPr>
            <w:rFonts w:ascii="Cambria Math" w:hAnsi="Cambria Math" w:cs="Arial"/>
            <w:sz w:val="20"/>
            <w:szCs w:val="20"/>
          </w:rPr>
          <m:t>)-1)×100</m:t>
        </m:r>
      </m:oMath>
      <w:r w:rsidRPr="003900A7">
        <w:rPr>
          <w:rFonts w:ascii="Arial" w:hAnsi="Arial" w:cs="Arial"/>
          <w:sz w:val="20"/>
          <w:szCs w:val="20"/>
        </w:rPr>
        <w:t>.</w:t>
      </w:r>
    </w:p>
    <w:p w14:paraId="70CEE3D6" w14:textId="0B523EFE" w:rsidR="003900A7" w:rsidRPr="003900A7" w:rsidRDefault="003900A7" w:rsidP="003900A7">
      <w:pPr>
        <w:spacing w:line="360" w:lineRule="auto"/>
        <w:jc w:val="both"/>
        <w:rPr>
          <w:rFonts w:ascii="Arial" w:hAnsi="Arial" w:cs="Arial"/>
          <w:b/>
          <w:bCs/>
          <w:sz w:val="20"/>
          <w:szCs w:val="20"/>
        </w:rPr>
      </w:pPr>
      <w:r w:rsidRPr="003900A7">
        <w:rPr>
          <w:rFonts w:ascii="Arial" w:hAnsi="Arial" w:cs="Arial"/>
          <w:b/>
          <w:bCs/>
          <w:sz w:val="20"/>
          <w:szCs w:val="20"/>
        </w:rPr>
        <w:t xml:space="preserve">2.1.3 Significance Test of Growth Rate: </w:t>
      </w:r>
      <w:r w:rsidRPr="003900A7">
        <w:rPr>
          <w:rFonts w:ascii="Arial" w:hAnsi="Arial" w:cs="Arial"/>
          <w:sz w:val="20"/>
          <w:szCs w:val="20"/>
        </w:rPr>
        <w:t>To test whether the estimated growth rates were statistically significant, the student’s t-test was applied. The significance of the regression coefficient was tested using the following formula</w:t>
      </w:r>
    </w:p>
    <w:p w14:paraId="4C078A38" w14:textId="2149AE1D" w:rsidR="003900A7" w:rsidRPr="003900A7" w:rsidRDefault="003900A7" w:rsidP="003900A7">
      <w:pPr>
        <w:pStyle w:val="NoSpacing"/>
        <w:spacing w:line="360" w:lineRule="auto"/>
        <w:rPr>
          <w:rFonts w:ascii="Arial" w:hAnsi="Arial" w:cs="Arial"/>
          <w:sz w:val="20"/>
        </w:rPr>
      </w:pPr>
      <m:oMathPara>
        <m:oMath>
          <m:r>
            <w:rPr>
              <w:rFonts w:ascii="Cambria Math" w:hAnsi="Cambria Math"/>
            </w:rPr>
            <m:t>t=</m:t>
          </m:r>
          <m:f>
            <m:fPr>
              <m:ctrlPr>
                <w:rPr>
                  <w:rFonts w:ascii="Cambria Math" w:hAnsi="Cambria Math"/>
                </w:rPr>
              </m:ctrlPr>
            </m:fPr>
            <m:num>
              <m:r>
                <w:rPr>
                  <w:rFonts w:ascii="Cambria Math" w:hAnsi="Cambria Math"/>
                </w:rPr>
                <m:t>b</m:t>
              </m:r>
            </m:num>
            <m:den>
              <m:r>
                <w:rPr>
                  <w:rFonts w:ascii="Cambria Math" w:hAnsi="Cambria Math"/>
                </w:rPr>
                <m:t>SE(b)</m:t>
              </m:r>
            </m:den>
          </m:f>
          <m:r>
            <m:rPr>
              <m:sty m:val="p"/>
            </m:rPr>
            <w:rPr>
              <w:rFonts w:ascii="Cambria Math" w:hAnsi="Cambria Math"/>
            </w:rPr>
            <w:br/>
          </m:r>
        </m:oMath>
      </m:oMathPara>
      <w:r>
        <w:rPr>
          <w:rFonts w:ascii="Arial" w:hAnsi="Arial" w:cs="Arial"/>
          <w:sz w:val="20"/>
        </w:rPr>
        <w:tab/>
      </w:r>
      <w:r w:rsidRPr="003900A7">
        <w:rPr>
          <w:rFonts w:ascii="Arial" w:hAnsi="Arial" w:cs="Arial"/>
          <w:sz w:val="20"/>
        </w:rPr>
        <w:t xml:space="preserve">Where, </w:t>
      </w:r>
      <m:oMath>
        <m:r>
          <w:rPr>
            <w:rFonts w:ascii="Cambria Math" w:hAnsi="Cambria Math" w:cs="Arial"/>
            <w:sz w:val="20"/>
          </w:rPr>
          <m:t>b</m:t>
        </m:r>
      </m:oMath>
      <w:r w:rsidRPr="003900A7">
        <w:rPr>
          <w:rFonts w:ascii="Arial" w:hAnsi="Arial" w:cs="Arial"/>
          <w:sz w:val="20"/>
        </w:rPr>
        <w:t xml:space="preserve">= Estimated regression coefficient, </w:t>
      </w:r>
      <m:oMath>
        <m:r>
          <w:rPr>
            <w:rFonts w:ascii="Cambria Math" w:hAnsi="Cambria Math" w:cs="Arial"/>
            <w:sz w:val="20"/>
          </w:rPr>
          <m:t>SE(b)</m:t>
        </m:r>
      </m:oMath>
      <w:r w:rsidRPr="003900A7">
        <w:rPr>
          <w:rFonts w:ascii="Arial" w:hAnsi="Arial" w:cs="Arial"/>
          <w:sz w:val="20"/>
        </w:rPr>
        <w:t>= Standard error of the coefficient</w:t>
      </w:r>
    </w:p>
    <w:p w14:paraId="5887C1DF" w14:textId="395D9A38" w:rsidR="003900A7" w:rsidRDefault="003900A7" w:rsidP="003900A7">
      <w:pPr>
        <w:pStyle w:val="NoSpacing"/>
        <w:spacing w:line="360" w:lineRule="auto"/>
        <w:rPr>
          <w:rFonts w:ascii="Arial" w:hAnsi="Arial" w:cs="Arial"/>
          <w:sz w:val="20"/>
        </w:rPr>
      </w:pPr>
      <w:r w:rsidRPr="003900A7">
        <w:rPr>
          <w:rFonts w:ascii="Arial" w:hAnsi="Arial" w:cs="Arial"/>
          <w:sz w:val="20"/>
        </w:rPr>
        <w:t>The calculated t-value was compared with the tabulated t-value at the 1% or 5% level of significance.</w:t>
      </w:r>
    </w:p>
    <w:p w14:paraId="56F21CDA" w14:textId="77777777" w:rsidR="003900A7" w:rsidRPr="003900A7" w:rsidRDefault="003900A7" w:rsidP="003900A7">
      <w:pPr>
        <w:pStyle w:val="NoSpacing"/>
        <w:spacing w:line="360" w:lineRule="auto"/>
        <w:rPr>
          <w:rFonts w:ascii="Arial" w:hAnsi="Arial" w:cs="Arial"/>
          <w:sz w:val="20"/>
        </w:rPr>
      </w:pPr>
    </w:p>
    <w:p w14:paraId="2914B79F" w14:textId="77777777" w:rsidR="005414BE" w:rsidRDefault="007F03A3" w:rsidP="00740196">
      <w:pPr>
        <w:pStyle w:val="ListParagraph"/>
        <w:numPr>
          <w:ilvl w:val="0"/>
          <w:numId w:val="1"/>
        </w:numPr>
        <w:spacing w:line="360" w:lineRule="auto"/>
        <w:jc w:val="both"/>
        <w:rPr>
          <w:rFonts w:ascii="Arial" w:hAnsi="Arial" w:cs="Arial"/>
          <w:b/>
          <w:bCs/>
          <w:sz w:val="22"/>
          <w:szCs w:val="22"/>
        </w:rPr>
      </w:pPr>
      <w:r w:rsidRPr="00740196">
        <w:rPr>
          <w:rFonts w:ascii="Arial" w:hAnsi="Arial" w:cs="Arial"/>
          <w:b/>
          <w:bCs/>
          <w:sz w:val="22"/>
          <w:szCs w:val="22"/>
        </w:rPr>
        <w:t>Results and Discussion</w:t>
      </w:r>
    </w:p>
    <w:p w14:paraId="7F718542" w14:textId="77777777" w:rsidR="00CF2BCE" w:rsidRDefault="005414BE" w:rsidP="005414BE">
      <w:pPr>
        <w:spacing w:line="360" w:lineRule="auto"/>
        <w:jc w:val="both"/>
        <w:rPr>
          <w:rFonts w:ascii="Arial" w:hAnsi="Arial" w:cs="Arial"/>
          <w:b/>
          <w:bCs/>
          <w:sz w:val="20"/>
          <w:szCs w:val="20"/>
        </w:rPr>
      </w:pPr>
      <w:r w:rsidRPr="00740196">
        <w:rPr>
          <w:rFonts w:ascii="Arial" w:hAnsi="Arial" w:cs="Arial"/>
          <w:b/>
          <w:bCs/>
          <w:sz w:val="20"/>
          <w:szCs w:val="20"/>
        </w:rPr>
        <w:t>3.1 Status of cabbage production and extent of export</w:t>
      </w:r>
    </w:p>
    <w:p w14:paraId="13E247B8" w14:textId="7ABB875F" w:rsidR="00740196" w:rsidRPr="005414BE" w:rsidRDefault="00FD2E4F" w:rsidP="005414BE">
      <w:pPr>
        <w:spacing w:line="360" w:lineRule="auto"/>
        <w:jc w:val="both"/>
        <w:rPr>
          <w:rFonts w:ascii="Arial" w:hAnsi="Arial" w:cs="Arial"/>
          <w:b/>
          <w:bCs/>
          <w:sz w:val="22"/>
          <w:szCs w:val="22"/>
        </w:rPr>
      </w:pPr>
      <w:r w:rsidRPr="00740196">
        <w:rPr>
          <w:rFonts w:ascii="Arial" w:hAnsi="Arial" w:cs="Arial"/>
          <w:noProof/>
          <w:sz w:val="20"/>
          <w:szCs w:val="20"/>
        </w:rPr>
        <w:lastRenderedPageBreak/>
        <w:drawing>
          <wp:anchor distT="0" distB="0" distL="114300" distR="114300" simplePos="0" relativeHeight="251661312" behindDoc="0" locked="0" layoutInCell="1" allowOverlap="1" wp14:anchorId="2E033319" wp14:editId="1CF534F1">
            <wp:simplePos x="0" y="0"/>
            <wp:positionH relativeFrom="margin">
              <wp:posOffset>301957</wp:posOffset>
            </wp:positionH>
            <wp:positionV relativeFrom="paragraph">
              <wp:posOffset>1412268</wp:posOffset>
            </wp:positionV>
            <wp:extent cx="5033010" cy="2369185"/>
            <wp:effectExtent l="0" t="0" r="15240" b="12065"/>
            <wp:wrapTopAndBottom/>
            <wp:docPr id="1832077733" name="Chart 1">
              <a:extLst xmlns:a="http://schemas.openxmlformats.org/drawingml/2006/main">
                <a:ext uri="{FF2B5EF4-FFF2-40B4-BE49-F238E27FC236}">
                  <a16:creationId xmlns:a16="http://schemas.microsoft.com/office/drawing/2014/main" id="{5546629B-205C-D3C0-11F2-0B9BB1AB5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CF2BCE">
        <w:rPr>
          <w:rFonts w:ascii="Arial" w:hAnsi="Arial" w:cs="Arial"/>
          <w:sz w:val="20"/>
          <w:szCs w:val="20"/>
        </w:rPr>
        <w:tab/>
      </w:r>
      <w:r w:rsidR="00FE0756" w:rsidRPr="00FE0756">
        <w:rPr>
          <w:rFonts w:ascii="Arial" w:hAnsi="Arial" w:cs="Arial"/>
          <w:sz w:val="20"/>
          <w:szCs w:val="20"/>
        </w:rPr>
        <w:t xml:space="preserve">Data on the area and production shares of different horticultural sectors in India over a thirteen-year period (2011–12 to 2024–25) were </w:t>
      </w:r>
      <w:proofErr w:type="spellStart"/>
      <w:r w:rsidR="00FE0756" w:rsidRPr="00FE0756">
        <w:rPr>
          <w:rFonts w:ascii="Arial" w:hAnsi="Arial" w:cs="Arial"/>
          <w:sz w:val="20"/>
          <w:szCs w:val="20"/>
        </w:rPr>
        <w:t>utilised</w:t>
      </w:r>
      <w:proofErr w:type="spellEnd"/>
      <w:r w:rsidR="00FE0756" w:rsidRPr="00FE0756">
        <w:rPr>
          <w:rFonts w:ascii="Arial" w:hAnsi="Arial" w:cs="Arial"/>
          <w:sz w:val="20"/>
          <w:szCs w:val="20"/>
        </w:rPr>
        <w:t xml:space="preserve"> to evaluate the proportional contribution of vegetables, as illustrated in Fig. 1. The analysis revealed that vegetables constituted the largest share of the average horticultural area during the specified period (39.71%), followed by fruits (26.11%), spices (15.23%), and plantation crops (15.36%)</w:t>
      </w:r>
      <w:bookmarkStart w:id="0" w:name="_GoBack"/>
      <w:bookmarkEnd w:id="0"/>
      <w:r w:rsidR="005414BE" w:rsidRPr="00740196">
        <w:rPr>
          <w:rFonts w:ascii="Arial" w:hAnsi="Arial" w:cs="Arial"/>
          <w:sz w:val="20"/>
          <w:szCs w:val="20"/>
        </w:rPr>
        <w:t xml:space="preserve">. Similarly, in production, vegetables dominated with </w:t>
      </w:r>
      <w:r w:rsidR="00CF2BCE">
        <w:rPr>
          <w:rFonts w:ascii="Arial" w:hAnsi="Arial" w:cs="Arial"/>
          <w:sz w:val="20"/>
          <w:szCs w:val="20"/>
        </w:rPr>
        <w:t xml:space="preserve">a </w:t>
      </w:r>
      <w:r w:rsidR="005414BE" w:rsidRPr="00740196">
        <w:rPr>
          <w:rFonts w:ascii="Arial" w:hAnsi="Arial" w:cs="Arial"/>
          <w:sz w:val="20"/>
          <w:szCs w:val="20"/>
        </w:rPr>
        <w:t>59.51 % share</w:t>
      </w:r>
      <w:r w:rsidR="00CF2BCE">
        <w:rPr>
          <w:rFonts w:ascii="Arial" w:hAnsi="Arial" w:cs="Arial"/>
          <w:sz w:val="20"/>
          <w:szCs w:val="20"/>
        </w:rPr>
        <w:t>,</w:t>
      </w:r>
      <w:r w:rsidR="005414BE" w:rsidRPr="00740196">
        <w:rPr>
          <w:rFonts w:ascii="Arial" w:hAnsi="Arial" w:cs="Arial"/>
          <w:sz w:val="20"/>
          <w:szCs w:val="20"/>
        </w:rPr>
        <w:t xml:space="preserve"> followed by fruits (31.14 %), spices (2.88 %) and plantation crops (5.40 %).</w:t>
      </w:r>
      <w:r>
        <w:t xml:space="preserve"> </w:t>
      </w:r>
    </w:p>
    <w:p w14:paraId="2774046D" w14:textId="77777777" w:rsidR="00FD2E4F" w:rsidRDefault="0096696A" w:rsidP="00FD2E4F">
      <w:pPr>
        <w:spacing w:line="276" w:lineRule="auto"/>
        <w:jc w:val="both"/>
        <w:rPr>
          <w:sz w:val="20"/>
        </w:rPr>
      </w:pPr>
      <w:r w:rsidRPr="00740196">
        <w:rPr>
          <w:rFonts w:ascii="Arial" w:hAnsi="Arial" w:cs="Arial"/>
          <w:sz w:val="20"/>
          <w:szCs w:val="20"/>
        </w:rPr>
        <w:t xml:space="preserve"> </w:t>
      </w:r>
      <w:r w:rsidR="00D53C2E">
        <w:rPr>
          <w:sz w:val="20"/>
          <w:szCs w:val="20"/>
        </w:rPr>
        <w:t xml:space="preserve">                                                                                                          </w:t>
      </w:r>
      <w:r w:rsidR="0042024E">
        <w:rPr>
          <w:sz w:val="20"/>
          <w:szCs w:val="20"/>
        </w:rPr>
        <w:t xml:space="preserve">  </w:t>
      </w:r>
      <w:r w:rsidR="00AE2D99">
        <w:rPr>
          <w:sz w:val="20"/>
          <w:szCs w:val="20"/>
        </w:rPr>
        <w:t xml:space="preserve">     </w:t>
      </w:r>
      <w:r w:rsidR="00FD2E4F">
        <w:rPr>
          <w:sz w:val="20"/>
          <w:szCs w:val="20"/>
        </w:rPr>
        <w:t xml:space="preserve">                        </w:t>
      </w:r>
      <w:r w:rsidR="007F03A3" w:rsidRPr="00FD2E4F">
        <w:rPr>
          <w:sz w:val="20"/>
        </w:rPr>
        <w:t>Source: www.indiastat.com</w:t>
      </w:r>
    </w:p>
    <w:p w14:paraId="35941039" w14:textId="0C3F1AA0" w:rsidR="00FD2E4F" w:rsidRPr="00FD2E4F" w:rsidRDefault="00412CDD" w:rsidP="00FD2E4F">
      <w:pPr>
        <w:pStyle w:val="NoSpacing"/>
        <w:spacing w:line="276" w:lineRule="auto"/>
        <w:jc w:val="center"/>
        <w:rPr>
          <w:rFonts w:ascii="Arial" w:hAnsi="Arial" w:cs="Arial"/>
          <w:b/>
          <w:sz w:val="20"/>
        </w:rPr>
      </w:pPr>
      <w:r w:rsidRPr="00FD2E4F">
        <w:rPr>
          <w:rFonts w:ascii="Arial" w:hAnsi="Arial" w:cs="Arial"/>
          <w:b/>
          <w:sz w:val="20"/>
        </w:rPr>
        <w:t>Fig. 1. Mean share of different sectors of horticulture in area and</w:t>
      </w:r>
    </w:p>
    <w:p w14:paraId="32475EF8" w14:textId="6038CD5F" w:rsidR="00412CDD" w:rsidRDefault="00412CDD" w:rsidP="00FD2E4F">
      <w:pPr>
        <w:pStyle w:val="NoSpacing"/>
        <w:jc w:val="center"/>
        <w:rPr>
          <w:rFonts w:ascii="Arial" w:hAnsi="Arial" w:cs="Arial"/>
          <w:b/>
          <w:sz w:val="20"/>
        </w:rPr>
      </w:pPr>
      <w:r w:rsidRPr="00FD2E4F">
        <w:rPr>
          <w:rFonts w:ascii="Arial" w:hAnsi="Arial" w:cs="Arial"/>
          <w:b/>
          <w:sz w:val="20"/>
        </w:rPr>
        <w:t>production in India over last thirteen years</w:t>
      </w:r>
    </w:p>
    <w:p w14:paraId="7E2BAB72" w14:textId="77777777" w:rsidR="00FD2E4F" w:rsidRPr="00FD2E4F" w:rsidRDefault="00FD2E4F" w:rsidP="00FD2E4F">
      <w:pPr>
        <w:pStyle w:val="NoSpacing"/>
        <w:jc w:val="center"/>
        <w:rPr>
          <w:rFonts w:ascii="Arial" w:hAnsi="Arial" w:cs="Arial"/>
          <w:b/>
          <w:sz w:val="20"/>
        </w:rPr>
      </w:pPr>
    </w:p>
    <w:p w14:paraId="748D8187" w14:textId="77777777" w:rsidR="00FD2E4F" w:rsidRPr="00740196" w:rsidRDefault="00FD2E4F" w:rsidP="00FD2E4F">
      <w:pPr>
        <w:spacing w:line="360" w:lineRule="auto"/>
        <w:jc w:val="both"/>
        <w:rPr>
          <w:rFonts w:ascii="Arial" w:hAnsi="Arial" w:cs="Arial"/>
          <w:sz w:val="20"/>
          <w:szCs w:val="20"/>
        </w:rPr>
      </w:pPr>
      <w:r w:rsidRPr="00740196">
        <w:rPr>
          <w:rFonts w:ascii="Arial" w:hAnsi="Arial" w:cs="Arial"/>
          <w:sz w:val="20"/>
          <w:szCs w:val="20"/>
        </w:rPr>
        <w:t>Although vegetables ranked 1</w:t>
      </w:r>
      <w:r w:rsidRPr="00740196">
        <w:rPr>
          <w:rFonts w:ascii="Arial" w:hAnsi="Arial" w:cs="Arial"/>
          <w:sz w:val="20"/>
          <w:szCs w:val="20"/>
          <w:vertAlign w:val="superscript"/>
        </w:rPr>
        <w:t>st</w:t>
      </w:r>
      <w:r w:rsidRPr="00740196">
        <w:rPr>
          <w:rFonts w:ascii="Arial" w:hAnsi="Arial" w:cs="Arial"/>
          <w:sz w:val="20"/>
          <w:szCs w:val="20"/>
        </w:rPr>
        <w:t xml:space="preserve"> in terms of area and production among the horticultural sectors, the growth rate (CAGR) of vegetables</w:t>
      </w:r>
      <w:r>
        <w:rPr>
          <w:rFonts w:ascii="Arial" w:hAnsi="Arial" w:cs="Arial"/>
          <w:sz w:val="20"/>
          <w:szCs w:val="20"/>
        </w:rPr>
        <w:t xml:space="preserve"> was estimated at</w:t>
      </w:r>
      <w:r w:rsidRPr="00740196">
        <w:rPr>
          <w:rFonts w:ascii="Arial" w:hAnsi="Arial" w:cs="Arial"/>
          <w:sz w:val="20"/>
          <w:szCs w:val="20"/>
        </w:rPr>
        <w:t xml:space="preserve"> only 1.87 % and 2.47 % in area and production respectively, which is lower than flowers (3.21 % area, 6.22 % production) but higher than fruits (0.40 % area, 3.07 % production) (Table 1). This indicates </w:t>
      </w:r>
      <w:r>
        <w:rPr>
          <w:rFonts w:ascii="Arial" w:hAnsi="Arial" w:cs="Arial"/>
          <w:sz w:val="20"/>
          <w:szCs w:val="20"/>
        </w:rPr>
        <w:t xml:space="preserve">a </w:t>
      </w:r>
      <w:r w:rsidRPr="00740196">
        <w:rPr>
          <w:rFonts w:ascii="Arial" w:hAnsi="Arial" w:cs="Arial"/>
          <w:sz w:val="20"/>
          <w:szCs w:val="20"/>
        </w:rPr>
        <w:t xml:space="preserve">balanced expansion in </w:t>
      </w:r>
      <w:r>
        <w:rPr>
          <w:rFonts w:ascii="Arial" w:hAnsi="Arial" w:cs="Arial"/>
          <w:sz w:val="20"/>
          <w:szCs w:val="20"/>
        </w:rPr>
        <w:t xml:space="preserve">the </w:t>
      </w:r>
      <w:r w:rsidRPr="00740196">
        <w:rPr>
          <w:rFonts w:ascii="Arial" w:hAnsi="Arial" w:cs="Arial"/>
          <w:sz w:val="20"/>
          <w:szCs w:val="20"/>
        </w:rPr>
        <w:t>vegetable sector, with scope for cabbage as a key contributor.</w:t>
      </w:r>
    </w:p>
    <w:p w14:paraId="511A370C" w14:textId="17C9FAB4" w:rsidR="00412CDD" w:rsidRPr="00412CDD" w:rsidRDefault="007F03A3" w:rsidP="005D48B1">
      <w:pPr>
        <w:pStyle w:val="NoSpacing"/>
        <w:spacing w:line="276" w:lineRule="auto"/>
        <w:jc w:val="center"/>
        <w:rPr>
          <w:rFonts w:ascii="Arial" w:hAnsi="Arial" w:cs="Arial"/>
          <w:b/>
          <w:sz w:val="20"/>
        </w:rPr>
      </w:pPr>
      <w:r w:rsidRPr="00412CDD">
        <w:rPr>
          <w:rFonts w:ascii="Arial" w:hAnsi="Arial" w:cs="Arial"/>
          <w:b/>
          <w:sz w:val="20"/>
        </w:rPr>
        <w:t>Table 1</w:t>
      </w:r>
      <w:r w:rsidR="00412CDD" w:rsidRPr="00412CDD">
        <w:rPr>
          <w:rFonts w:ascii="Arial" w:hAnsi="Arial" w:cs="Arial"/>
          <w:b/>
          <w:sz w:val="20"/>
        </w:rPr>
        <w:t>.</w:t>
      </w:r>
      <w:r w:rsidRPr="00412CDD">
        <w:rPr>
          <w:rFonts w:ascii="Arial" w:hAnsi="Arial" w:cs="Arial"/>
          <w:b/>
          <w:sz w:val="20"/>
        </w:rPr>
        <w:t xml:space="preserve"> Trend in growth (CAGR) of different sectors of </w:t>
      </w:r>
      <w:r w:rsidR="00412CDD">
        <w:rPr>
          <w:rFonts w:ascii="Arial" w:hAnsi="Arial" w:cs="Arial"/>
          <w:b/>
          <w:sz w:val="20"/>
        </w:rPr>
        <w:t>h</w:t>
      </w:r>
      <w:r w:rsidRPr="00412CDD">
        <w:rPr>
          <w:rFonts w:ascii="Arial" w:hAnsi="Arial" w:cs="Arial"/>
          <w:b/>
          <w:sz w:val="20"/>
        </w:rPr>
        <w:t>orticulture in area and production</w:t>
      </w:r>
    </w:p>
    <w:p w14:paraId="5D2EFD57" w14:textId="5E3EE72E" w:rsidR="007F03A3" w:rsidRDefault="007F03A3" w:rsidP="005D48B1">
      <w:pPr>
        <w:pStyle w:val="NoSpacing"/>
        <w:spacing w:line="276" w:lineRule="auto"/>
        <w:jc w:val="center"/>
        <w:rPr>
          <w:rFonts w:ascii="Arial" w:hAnsi="Arial" w:cs="Arial"/>
          <w:b/>
          <w:sz w:val="20"/>
        </w:rPr>
      </w:pPr>
      <w:r w:rsidRPr="00412CDD">
        <w:rPr>
          <w:rFonts w:ascii="Arial" w:hAnsi="Arial" w:cs="Arial"/>
          <w:b/>
          <w:sz w:val="20"/>
        </w:rPr>
        <w:t>over last 13 years (from 2011-12 to 2024-25)</w:t>
      </w:r>
    </w:p>
    <w:p w14:paraId="2E37BBD5" w14:textId="77777777" w:rsidR="00412CDD" w:rsidRPr="00412CDD" w:rsidRDefault="00412CDD" w:rsidP="00412CDD">
      <w:pPr>
        <w:pStyle w:val="NoSpacing"/>
        <w:jc w:val="center"/>
        <w:rPr>
          <w:rFonts w:ascii="Arial" w:hAnsi="Arial" w:cs="Arial"/>
          <w:b/>
          <w:sz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1576"/>
        <w:gridCol w:w="2186"/>
        <w:gridCol w:w="661"/>
        <w:gridCol w:w="1272"/>
      </w:tblGrid>
      <w:tr w:rsidR="007F03A3" w:rsidRPr="0042024E" w14:paraId="0220619C" w14:textId="77777777" w:rsidTr="00412CDD">
        <w:trPr>
          <w:jc w:val="center"/>
        </w:trPr>
        <w:tc>
          <w:tcPr>
            <w:tcW w:w="0" w:type="auto"/>
            <w:vMerge w:val="restart"/>
            <w:vAlign w:val="center"/>
          </w:tcPr>
          <w:p w14:paraId="6EB9CF5D"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Sectors</w:t>
            </w:r>
          </w:p>
        </w:tc>
        <w:tc>
          <w:tcPr>
            <w:tcW w:w="0" w:type="auto"/>
            <w:gridSpan w:val="2"/>
            <w:tcBorders>
              <w:top w:val="single" w:sz="4" w:space="0" w:color="auto"/>
              <w:bottom w:val="single" w:sz="4" w:space="0" w:color="auto"/>
            </w:tcBorders>
            <w:vAlign w:val="center"/>
          </w:tcPr>
          <w:p w14:paraId="69551E0A"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Mean</w:t>
            </w:r>
          </w:p>
        </w:tc>
        <w:tc>
          <w:tcPr>
            <w:tcW w:w="0" w:type="auto"/>
            <w:gridSpan w:val="2"/>
            <w:tcBorders>
              <w:top w:val="single" w:sz="4" w:space="0" w:color="auto"/>
              <w:bottom w:val="single" w:sz="4" w:space="0" w:color="auto"/>
            </w:tcBorders>
            <w:vAlign w:val="center"/>
          </w:tcPr>
          <w:p w14:paraId="016E5E32"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CAGR (%)</w:t>
            </w:r>
          </w:p>
        </w:tc>
      </w:tr>
      <w:tr w:rsidR="007F03A3" w:rsidRPr="0042024E" w14:paraId="1FF66BC1" w14:textId="77777777" w:rsidTr="00412CDD">
        <w:trPr>
          <w:jc w:val="center"/>
        </w:trPr>
        <w:tc>
          <w:tcPr>
            <w:tcW w:w="0" w:type="auto"/>
            <w:vMerge/>
            <w:tcBorders>
              <w:bottom w:val="single" w:sz="4" w:space="0" w:color="auto"/>
            </w:tcBorders>
            <w:vAlign w:val="center"/>
          </w:tcPr>
          <w:p w14:paraId="2F4D4F0D" w14:textId="77777777" w:rsidR="007F03A3" w:rsidRPr="00412CDD" w:rsidRDefault="007F03A3" w:rsidP="00412CDD">
            <w:pPr>
              <w:spacing w:line="360" w:lineRule="auto"/>
              <w:jc w:val="center"/>
              <w:rPr>
                <w:rFonts w:ascii="Arial" w:hAnsi="Arial" w:cs="Arial"/>
                <w:b/>
                <w:sz w:val="20"/>
                <w:szCs w:val="20"/>
              </w:rPr>
            </w:pPr>
          </w:p>
        </w:tc>
        <w:tc>
          <w:tcPr>
            <w:tcW w:w="0" w:type="auto"/>
            <w:tcBorders>
              <w:top w:val="single" w:sz="4" w:space="0" w:color="auto"/>
              <w:bottom w:val="single" w:sz="4" w:space="0" w:color="auto"/>
            </w:tcBorders>
            <w:vAlign w:val="center"/>
          </w:tcPr>
          <w:p w14:paraId="43DE7F99" w14:textId="58BD0203"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Area</w:t>
            </w:r>
            <w:r w:rsidR="00CD7A2D" w:rsidRPr="00412CDD">
              <w:rPr>
                <w:rFonts w:ascii="Arial" w:hAnsi="Arial" w:cs="Arial"/>
                <w:b/>
                <w:sz w:val="20"/>
                <w:szCs w:val="20"/>
              </w:rPr>
              <w:t xml:space="preserve"> (</w:t>
            </w:r>
            <w:r w:rsidR="00137D8D" w:rsidRPr="00412CDD">
              <w:rPr>
                <w:rFonts w:ascii="Arial" w:hAnsi="Arial" w:cs="Arial"/>
                <w:b/>
                <w:sz w:val="20"/>
                <w:szCs w:val="20"/>
              </w:rPr>
              <w:t>000</w:t>
            </w:r>
            <w:r w:rsidR="003900A7">
              <w:rPr>
                <w:rFonts w:ascii="Arial" w:hAnsi="Arial" w:cs="Arial"/>
                <w:b/>
                <w:sz w:val="20"/>
                <w:szCs w:val="20"/>
              </w:rPr>
              <w:t>'</w:t>
            </w:r>
            <w:r w:rsidR="00CD7A2D" w:rsidRPr="00412CDD">
              <w:rPr>
                <w:rFonts w:ascii="Arial" w:hAnsi="Arial" w:cs="Arial"/>
                <w:b/>
                <w:sz w:val="20"/>
                <w:szCs w:val="20"/>
              </w:rPr>
              <w:t xml:space="preserve"> ha.)</w:t>
            </w:r>
          </w:p>
        </w:tc>
        <w:tc>
          <w:tcPr>
            <w:tcW w:w="0" w:type="auto"/>
            <w:tcBorders>
              <w:top w:val="single" w:sz="4" w:space="0" w:color="auto"/>
              <w:bottom w:val="single" w:sz="4" w:space="0" w:color="auto"/>
            </w:tcBorders>
            <w:vAlign w:val="center"/>
          </w:tcPr>
          <w:p w14:paraId="49D1E1EB" w14:textId="202A47BC"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Production</w:t>
            </w:r>
            <w:r w:rsidR="00CD7A2D" w:rsidRPr="00412CDD">
              <w:rPr>
                <w:rFonts w:ascii="Arial" w:hAnsi="Arial" w:cs="Arial"/>
                <w:b/>
                <w:sz w:val="20"/>
                <w:szCs w:val="20"/>
              </w:rPr>
              <w:t xml:space="preserve"> (</w:t>
            </w:r>
            <w:r w:rsidR="00137D8D" w:rsidRPr="00412CDD">
              <w:rPr>
                <w:rFonts w:ascii="Arial" w:hAnsi="Arial" w:cs="Arial"/>
                <w:b/>
                <w:sz w:val="20"/>
                <w:szCs w:val="20"/>
              </w:rPr>
              <w:t>000</w:t>
            </w:r>
            <w:r w:rsidR="003900A7">
              <w:rPr>
                <w:rFonts w:ascii="Arial" w:hAnsi="Arial" w:cs="Arial"/>
                <w:b/>
                <w:sz w:val="20"/>
                <w:szCs w:val="20"/>
              </w:rPr>
              <w:t>'</w:t>
            </w:r>
            <w:r w:rsidR="00CD7A2D" w:rsidRPr="00412CDD">
              <w:rPr>
                <w:rFonts w:ascii="Arial" w:hAnsi="Arial" w:cs="Arial"/>
                <w:b/>
                <w:sz w:val="20"/>
                <w:szCs w:val="20"/>
              </w:rPr>
              <w:t xml:space="preserve"> MT)</w:t>
            </w:r>
          </w:p>
        </w:tc>
        <w:tc>
          <w:tcPr>
            <w:tcW w:w="0" w:type="auto"/>
            <w:tcBorders>
              <w:top w:val="single" w:sz="4" w:space="0" w:color="auto"/>
              <w:bottom w:val="single" w:sz="4" w:space="0" w:color="auto"/>
            </w:tcBorders>
            <w:vAlign w:val="center"/>
          </w:tcPr>
          <w:p w14:paraId="13D4C18D"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Area</w:t>
            </w:r>
          </w:p>
        </w:tc>
        <w:tc>
          <w:tcPr>
            <w:tcW w:w="0" w:type="auto"/>
            <w:tcBorders>
              <w:top w:val="single" w:sz="4" w:space="0" w:color="auto"/>
              <w:bottom w:val="single" w:sz="4" w:space="0" w:color="auto"/>
            </w:tcBorders>
            <w:vAlign w:val="center"/>
          </w:tcPr>
          <w:p w14:paraId="6411F525"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Production</w:t>
            </w:r>
          </w:p>
        </w:tc>
      </w:tr>
      <w:tr w:rsidR="007F03A3" w:rsidRPr="0042024E" w14:paraId="1C098CD1" w14:textId="77777777" w:rsidTr="001A53CF">
        <w:trPr>
          <w:jc w:val="center"/>
        </w:trPr>
        <w:tc>
          <w:tcPr>
            <w:tcW w:w="0" w:type="auto"/>
            <w:tcBorders>
              <w:top w:val="single" w:sz="4" w:space="0" w:color="auto"/>
              <w:bottom w:val="nil"/>
            </w:tcBorders>
          </w:tcPr>
          <w:p w14:paraId="4B908063"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Fruits</w:t>
            </w:r>
          </w:p>
        </w:tc>
        <w:tc>
          <w:tcPr>
            <w:tcW w:w="0" w:type="auto"/>
            <w:tcBorders>
              <w:top w:val="single" w:sz="4" w:space="0" w:color="auto"/>
              <w:bottom w:val="nil"/>
            </w:tcBorders>
          </w:tcPr>
          <w:p w14:paraId="019A356D"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6763.14</w:t>
            </w:r>
          </w:p>
        </w:tc>
        <w:tc>
          <w:tcPr>
            <w:tcW w:w="0" w:type="auto"/>
            <w:tcBorders>
              <w:top w:val="single" w:sz="4" w:space="0" w:color="auto"/>
              <w:bottom w:val="nil"/>
            </w:tcBorders>
          </w:tcPr>
          <w:p w14:paraId="140059D0"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97066.57</w:t>
            </w:r>
          </w:p>
        </w:tc>
        <w:tc>
          <w:tcPr>
            <w:tcW w:w="0" w:type="auto"/>
            <w:tcBorders>
              <w:top w:val="single" w:sz="4" w:space="0" w:color="auto"/>
              <w:bottom w:val="nil"/>
            </w:tcBorders>
          </w:tcPr>
          <w:p w14:paraId="6C82316A"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0.40</w:t>
            </w:r>
          </w:p>
        </w:tc>
        <w:tc>
          <w:tcPr>
            <w:tcW w:w="0" w:type="auto"/>
            <w:tcBorders>
              <w:top w:val="single" w:sz="4" w:space="0" w:color="auto"/>
              <w:bottom w:val="nil"/>
            </w:tcBorders>
          </w:tcPr>
          <w:p w14:paraId="59AEA55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3.07</w:t>
            </w:r>
          </w:p>
        </w:tc>
      </w:tr>
      <w:tr w:rsidR="007F03A3" w:rsidRPr="0042024E" w14:paraId="7B21D3B7" w14:textId="77777777" w:rsidTr="001A53CF">
        <w:trPr>
          <w:jc w:val="center"/>
        </w:trPr>
        <w:tc>
          <w:tcPr>
            <w:tcW w:w="0" w:type="auto"/>
            <w:tcBorders>
              <w:top w:val="nil"/>
            </w:tcBorders>
          </w:tcPr>
          <w:p w14:paraId="356BE6B9"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Vegetables</w:t>
            </w:r>
          </w:p>
        </w:tc>
        <w:tc>
          <w:tcPr>
            <w:tcW w:w="0" w:type="auto"/>
            <w:tcBorders>
              <w:top w:val="nil"/>
            </w:tcBorders>
          </w:tcPr>
          <w:p w14:paraId="077F14E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10281.07</w:t>
            </w:r>
          </w:p>
        </w:tc>
        <w:tc>
          <w:tcPr>
            <w:tcW w:w="0" w:type="auto"/>
            <w:tcBorders>
              <w:top w:val="nil"/>
            </w:tcBorders>
          </w:tcPr>
          <w:p w14:paraId="3151EFFC"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185376.80</w:t>
            </w:r>
          </w:p>
        </w:tc>
        <w:tc>
          <w:tcPr>
            <w:tcW w:w="0" w:type="auto"/>
            <w:tcBorders>
              <w:top w:val="nil"/>
            </w:tcBorders>
          </w:tcPr>
          <w:p w14:paraId="2F70590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1.87</w:t>
            </w:r>
          </w:p>
        </w:tc>
        <w:tc>
          <w:tcPr>
            <w:tcW w:w="0" w:type="auto"/>
            <w:tcBorders>
              <w:top w:val="nil"/>
            </w:tcBorders>
          </w:tcPr>
          <w:p w14:paraId="04137FFE"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2.47</w:t>
            </w:r>
          </w:p>
        </w:tc>
      </w:tr>
      <w:tr w:rsidR="007F03A3" w:rsidRPr="0042024E" w14:paraId="00C7E9C5" w14:textId="77777777" w:rsidTr="00950867">
        <w:trPr>
          <w:jc w:val="center"/>
        </w:trPr>
        <w:tc>
          <w:tcPr>
            <w:tcW w:w="0" w:type="auto"/>
          </w:tcPr>
          <w:p w14:paraId="5BC40645"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Flowers</w:t>
            </w:r>
          </w:p>
        </w:tc>
        <w:tc>
          <w:tcPr>
            <w:tcW w:w="0" w:type="auto"/>
          </w:tcPr>
          <w:p w14:paraId="0A316966"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292.50</w:t>
            </w:r>
          </w:p>
        </w:tc>
        <w:tc>
          <w:tcPr>
            <w:tcW w:w="0" w:type="auto"/>
          </w:tcPr>
          <w:p w14:paraId="24A529D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2620.14</w:t>
            </w:r>
          </w:p>
        </w:tc>
        <w:tc>
          <w:tcPr>
            <w:tcW w:w="0" w:type="auto"/>
          </w:tcPr>
          <w:p w14:paraId="6F4341B8"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3.21</w:t>
            </w:r>
          </w:p>
        </w:tc>
        <w:tc>
          <w:tcPr>
            <w:tcW w:w="0" w:type="auto"/>
          </w:tcPr>
          <w:p w14:paraId="023D3286"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6.22</w:t>
            </w:r>
          </w:p>
        </w:tc>
      </w:tr>
      <w:tr w:rsidR="007F03A3" w:rsidRPr="0042024E" w14:paraId="15CA9E0A" w14:textId="77777777" w:rsidTr="00950867">
        <w:trPr>
          <w:jc w:val="center"/>
        </w:trPr>
        <w:tc>
          <w:tcPr>
            <w:tcW w:w="0" w:type="auto"/>
          </w:tcPr>
          <w:p w14:paraId="105FC8B1"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Aromatic &amp; medicinal plants</w:t>
            </w:r>
          </w:p>
        </w:tc>
        <w:tc>
          <w:tcPr>
            <w:tcW w:w="0" w:type="auto"/>
          </w:tcPr>
          <w:p w14:paraId="45A2F986"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650.50</w:t>
            </w:r>
          </w:p>
        </w:tc>
        <w:tc>
          <w:tcPr>
            <w:tcW w:w="0" w:type="auto"/>
          </w:tcPr>
          <w:p w14:paraId="184B5E7C"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793.29</w:t>
            </w:r>
          </w:p>
        </w:tc>
        <w:tc>
          <w:tcPr>
            <w:tcW w:w="0" w:type="auto"/>
          </w:tcPr>
          <w:p w14:paraId="1E7467B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3.46</w:t>
            </w:r>
          </w:p>
        </w:tc>
        <w:tc>
          <w:tcPr>
            <w:tcW w:w="0" w:type="auto"/>
          </w:tcPr>
          <w:p w14:paraId="72BB481E"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0.40</w:t>
            </w:r>
          </w:p>
        </w:tc>
      </w:tr>
      <w:tr w:rsidR="007F03A3" w:rsidRPr="0042024E" w14:paraId="60E22CE8" w14:textId="77777777" w:rsidTr="00950867">
        <w:trPr>
          <w:jc w:val="center"/>
        </w:trPr>
        <w:tc>
          <w:tcPr>
            <w:tcW w:w="0" w:type="auto"/>
          </w:tcPr>
          <w:p w14:paraId="191D91EB"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Plantation crops</w:t>
            </w:r>
          </w:p>
        </w:tc>
        <w:tc>
          <w:tcPr>
            <w:tcW w:w="0" w:type="auto"/>
          </w:tcPr>
          <w:p w14:paraId="1E73A543"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3976.43</w:t>
            </w:r>
          </w:p>
        </w:tc>
        <w:tc>
          <w:tcPr>
            <w:tcW w:w="0" w:type="auto"/>
          </w:tcPr>
          <w:p w14:paraId="5597BA5B"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16834.64</w:t>
            </w:r>
          </w:p>
        </w:tc>
        <w:tc>
          <w:tcPr>
            <w:tcW w:w="0" w:type="auto"/>
          </w:tcPr>
          <w:p w14:paraId="38D505AF"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1.82</w:t>
            </w:r>
          </w:p>
        </w:tc>
        <w:tc>
          <w:tcPr>
            <w:tcW w:w="0" w:type="auto"/>
          </w:tcPr>
          <w:p w14:paraId="5F47CF2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0.71</w:t>
            </w:r>
          </w:p>
        </w:tc>
      </w:tr>
      <w:tr w:rsidR="007F03A3" w:rsidRPr="0042024E" w14:paraId="323533D5" w14:textId="77777777" w:rsidTr="00950867">
        <w:trPr>
          <w:jc w:val="center"/>
        </w:trPr>
        <w:tc>
          <w:tcPr>
            <w:tcW w:w="0" w:type="auto"/>
          </w:tcPr>
          <w:p w14:paraId="5FE1AD27"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Spices</w:t>
            </w:r>
          </w:p>
        </w:tc>
        <w:tc>
          <w:tcPr>
            <w:tcW w:w="0" w:type="auto"/>
          </w:tcPr>
          <w:p w14:paraId="6FBC881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3944.21</w:t>
            </w:r>
          </w:p>
        </w:tc>
        <w:tc>
          <w:tcPr>
            <w:tcW w:w="0" w:type="auto"/>
          </w:tcPr>
          <w:p w14:paraId="2EBD827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8966.93</w:t>
            </w:r>
          </w:p>
        </w:tc>
        <w:tc>
          <w:tcPr>
            <w:tcW w:w="0" w:type="auto"/>
          </w:tcPr>
          <w:p w14:paraId="374209C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2.90</w:t>
            </w:r>
          </w:p>
        </w:tc>
        <w:tc>
          <w:tcPr>
            <w:tcW w:w="0" w:type="auto"/>
          </w:tcPr>
          <w:p w14:paraId="7B7E2A9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5.54</w:t>
            </w:r>
          </w:p>
        </w:tc>
      </w:tr>
      <w:tr w:rsidR="007F03A3" w:rsidRPr="0042024E" w14:paraId="080BCE20" w14:textId="77777777" w:rsidTr="00950867">
        <w:trPr>
          <w:jc w:val="center"/>
        </w:trPr>
        <w:tc>
          <w:tcPr>
            <w:tcW w:w="0" w:type="auto"/>
          </w:tcPr>
          <w:p w14:paraId="3E123CC8"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Total horticultural crops</w:t>
            </w:r>
          </w:p>
        </w:tc>
        <w:tc>
          <w:tcPr>
            <w:tcW w:w="0" w:type="auto"/>
          </w:tcPr>
          <w:p w14:paraId="5CB2ACA8"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25910.43</w:t>
            </w:r>
          </w:p>
        </w:tc>
        <w:tc>
          <w:tcPr>
            <w:tcW w:w="0" w:type="auto"/>
          </w:tcPr>
          <w:p w14:paraId="4D96875E"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311790.50</w:t>
            </w:r>
          </w:p>
        </w:tc>
        <w:tc>
          <w:tcPr>
            <w:tcW w:w="0" w:type="auto"/>
          </w:tcPr>
          <w:p w14:paraId="22D3EEED"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1.67</w:t>
            </w:r>
          </w:p>
        </w:tc>
        <w:tc>
          <w:tcPr>
            <w:tcW w:w="0" w:type="auto"/>
          </w:tcPr>
          <w:p w14:paraId="3781C268"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2.66</w:t>
            </w:r>
          </w:p>
        </w:tc>
      </w:tr>
    </w:tbl>
    <w:p w14:paraId="47EF59E5" w14:textId="5462CEC2" w:rsidR="007F03A3" w:rsidRPr="00AE2D99" w:rsidRDefault="001A53CF" w:rsidP="007F03A3">
      <w:pPr>
        <w:spacing w:line="360" w:lineRule="auto"/>
        <w:jc w:val="center"/>
        <w:rPr>
          <w:rFonts w:ascii="Arial" w:hAnsi="Arial" w:cs="Arial"/>
          <w:sz w:val="18"/>
          <w:szCs w:val="18"/>
        </w:rPr>
      </w:pPr>
      <w:r w:rsidRPr="00740196">
        <w:rPr>
          <w:rFonts w:ascii="Arial" w:hAnsi="Arial" w:cs="Arial"/>
          <w:b/>
          <w:bCs/>
          <w:sz w:val="20"/>
          <w:szCs w:val="20"/>
        </w:rPr>
        <w:lastRenderedPageBreak/>
        <w:t xml:space="preserve">                                                           </w:t>
      </w:r>
      <w:r w:rsidR="00174BAE">
        <w:rPr>
          <w:rFonts w:ascii="Arial" w:hAnsi="Arial" w:cs="Arial"/>
          <w:b/>
          <w:bCs/>
          <w:sz w:val="20"/>
          <w:szCs w:val="20"/>
        </w:rPr>
        <w:t xml:space="preserve">                 </w:t>
      </w:r>
      <w:r w:rsidRPr="00740196">
        <w:rPr>
          <w:rFonts w:ascii="Arial" w:hAnsi="Arial" w:cs="Arial"/>
          <w:b/>
          <w:bCs/>
          <w:sz w:val="20"/>
          <w:szCs w:val="20"/>
        </w:rPr>
        <w:t xml:space="preserve"> </w:t>
      </w:r>
      <w:r w:rsidR="00AE2D99">
        <w:rPr>
          <w:rFonts w:ascii="Arial" w:hAnsi="Arial" w:cs="Arial"/>
          <w:b/>
          <w:bCs/>
          <w:sz w:val="20"/>
          <w:szCs w:val="20"/>
        </w:rPr>
        <w:t xml:space="preserve">     </w:t>
      </w:r>
      <w:r w:rsidR="00137D8D">
        <w:rPr>
          <w:rFonts w:ascii="Arial" w:hAnsi="Arial" w:cs="Arial"/>
          <w:b/>
          <w:bCs/>
          <w:sz w:val="20"/>
          <w:szCs w:val="20"/>
        </w:rPr>
        <w:t xml:space="preserve">                        </w:t>
      </w:r>
      <w:r w:rsidR="007F03A3" w:rsidRPr="00AE2D99">
        <w:rPr>
          <w:rFonts w:ascii="Arial" w:hAnsi="Arial" w:cs="Arial"/>
          <w:sz w:val="18"/>
          <w:szCs w:val="18"/>
        </w:rPr>
        <w:t>Source: www.indiastat.com</w:t>
      </w:r>
    </w:p>
    <w:p w14:paraId="41BA2378" w14:textId="7D41788D" w:rsidR="0096696A" w:rsidRPr="00740196" w:rsidRDefault="0096696A" w:rsidP="0096696A">
      <w:pPr>
        <w:spacing w:line="360" w:lineRule="auto"/>
        <w:jc w:val="both"/>
        <w:rPr>
          <w:rFonts w:ascii="Arial" w:hAnsi="Arial" w:cs="Arial"/>
          <w:sz w:val="20"/>
          <w:szCs w:val="20"/>
        </w:rPr>
      </w:pPr>
      <w:r w:rsidRPr="00740196">
        <w:rPr>
          <w:rFonts w:ascii="Arial" w:hAnsi="Arial" w:cs="Arial"/>
          <w:sz w:val="20"/>
          <w:szCs w:val="20"/>
        </w:rPr>
        <w:t>The ten years (2014-15 to 2024-25) data of the production of major vegetables produced in India was used to assess the trend in production of major vegetable</w:t>
      </w:r>
      <w:r w:rsidR="00E32919">
        <w:rPr>
          <w:rFonts w:ascii="Arial" w:hAnsi="Arial" w:cs="Arial"/>
          <w:sz w:val="20"/>
          <w:szCs w:val="20"/>
        </w:rPr>
        <w:t>s</w:t>
      </w:r>
      <w:r w:rsidRPr="00740196">
        <w:rPr>
          <w:rFonts w:ascii="Arial" w:hAnsi="Arial" w:cs="Arial"/>
          <w:sz w:val="20"/>
          <w:szCs w:val="20"/>
        </w:rPr>
        <w:t xml:space="preserve">, presented through Table 2. The major vegetables of India are potato, onion, tomato, brinjal, cabbage, cauliflower, okra, peas, radish, bottle gourd, etc. It was revealed that major contribution to the total mean production of vegetables of India shared by potato (27.43 %) followed by onion (13.15 %) and tomato (10.41 %), altogether constituted 51% of total vegetable production in India. Whereas cabbage only contributed 4.92% of total vegetable production with a growth rate (CAGR) of 2.01, significant at </w:t>
      </w:r>
      <w:r w:rsidR="006455B1">
        <w:rPr>
          <w:rFonts w:ascii="Arial" w:hAnsi="Arial" w:cs="Arial"/>
          <w:sz w:val="20"/>
          <w:szCs w:val="20"/>
        </w:rPr>
        <w:t xml:space="preserve">the </w:t>
      </w:r>
      <w:r w:rsidRPr="00740196">
        <w:rPr>
          <w:rFonts w:ascii="Arial" w:hAnsi="Arial" w:cs="Arial"/>
          <w:sz w:val="20"/>
          <w:szCs w:val="20"/>
        </w:rPr>
        <w:t>1 % level, found to be lower compared to all other vegetables except brinjal. The results inferred that cabbage production could be augmented over the years to increase the export potential without sacrificing domestic demand.</w:t>
      </w:r>
    </w:p>
    <w:p w14:paraId="1493094B" w14:textId="69BB7D24" w:rsidR="007F03A3" w:rsidRPr="00740196" w:rsidRDefault="007F03A3" w:rsidP="007F03A3">
      <w:pPr>
        <w:spacing w:line="360" w:lineRule="auto"/>
        <w:jc w:val="both"/>
        <w:rPr>
          <w:rFonts w:ascii="Arial" w:hAnsi="Arial" w:cs="Arial"/>
          <w:b/>
          <w:bCs/>
          <w:sz w:val="20"/>
          <w:szCs w:val="20"/>
        </w:rPr>
      </w:pPr>
      <w:r w:rsidRPr="00740196">
        <w:rPr>
          <w:rFonts w:ascii="Arial" w:hAnsi="Arial" w:cs="Arial"/>
          <w:b/>
          <w:bCs/>
          <w:sz w:val="20"/>
          <w:szCs w:val="20"/>
        </w:rPr>
        <w:t>Table 2</w:t>
      </w:r>
      <w:r w:rsidR="00412CDD">
        <w:rPr>
          <w:rFonts w:ascii="Arial" w:hAnsi="Arial" w:cs="Arial"/>
          <w:b/>
          <w:bCs/>
          <w:sz w:val="20"/>
          <w:szCs w:val="20"/>
        </w:rPr>
        <w:t>.</w:t>
      </w:r>
      <w:r w:rsidRPr="00740196">
        <w:rPr>
          <w:rFonts w:ascii="Arial" w:hAnsi="Arial" w:cs="Arial"/>
          <w:b/>
          <w:bCs/>
          <w:sz w:val="20"/>
          <w:szCs w:val="20"/>
        </w:rPr>
        <w:t xml:space="preserve"> Trend in production of major vegetables over last </w:t>
      </w:r>
      <w:r w:rsidR="00412CDD">
        <w:rPr>
          <w:rFonts w:ascii="Arial" w:hAnsi="Arial" w:cs="Arial"/>
          <w:b/>
          <w:bCs/>
          <w:sz w:val="20"/>
          <w:szCs w:val="20"/>
        </w:rPr>
        <w:t>ten</w:t>
      </w:r>
      <w:r w:rsidRPr="00740196">
        <w:rPr>
          <w:rFonts w:ascii="Arial" w:hAnsi="Arial" w:cs="Arial"/>
          <w:b/>
          <w:bCs/>
          <w:sz w:val="20"/>
          <w:szCs w:val="20"/>
        </w:rPr>
        <w:t xml:space="preserve"> years in India (2014-15 to 2024-25)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2186"/>
        <w:gridCol w:w="984"/>
        <w:gridCol w:w="1172"/>
        <w:gridCol w:w="717"/>
        <w:gridCol w:w="928"/>
      </w:tblGrid>
      <w:tr w:rsidR="007F03A3" w:rsidRPr="00412CDD" w14:paraId="4B2D809E" w14:textId="77777777" w:rsidTr="00412CDD">
        <w:trPr>
          <w:jc w:val="center"/>
        </w:trPr>
        <w:tc>
          <w:tcPr>
            <w:tcW w:w="0" w:type="auto"/>
            <w:vMerge w:val="restart"/>
            <w:tcBorders>
              <w:top w:val="single" w:sz="4" w:space="0" w:color="auto"/>
              <w:bottom w:val="single" w:sz="4" w:space="0" w:color="auto"/>
            </w:tcBorders>
            <w:vAlign w:val="center"/>
          </w:tcPr>
          <w:p w14:paraId="67D84215"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Vegetables</w:t>
            </w:r>
          </w:p>
        </w:tc>
        <w:tc>
          <w:tcPr>
            <w:tcW w:w="0" w:type="auto"/>
            <w:gridSpan w:val="2"/>
            <w:tcBorders>
              <w:top w:val="single" w:sz="4" w:space="0" w:color="auto"/>
              <w:bottom w:val="single" w:sz="4" w:space="0" w:color="auto"/>
            </w:tcBorders>
            <w:vAlign w:val="center"/>
          </w:tcPr>
          <w:p w14:paraId="6E6C168A"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Mean</w:t>
            </w:r>
          </w:p>
        </w:tc>
        <w:tc>
          <w:tcPr>
            <w:tcW w:w="0" w:type="auto"/>
            <w:vMerge w:val="restart"/>
            <w:tcBorders>
              <w:top w:val="single" w:sz="4" w:space="0" w:color="auto"/>
              <w:bottom w:val="single" w:sz="4" w:space="0" w:color="auto"/>
            </w:tcBorders>
            <w:vAlign w:val="center"/>
          </w:tcPr>
          <w:p w14:paraId="43A99016"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CAGR (%)</w:t>
            </w:r>
          </w:p>
        </w:tc>
        <w:tc>
          <w:tcPr>
            <w:tcW w:w="0" w:type="auto"/>
            <w:vMerge w:val="restart"/>
            <w:tcBorders>
              <w:top w:val="single" w:sz="4" w:space="0" w:color="auto"/>
              <w:bottom w:val="single" w:sz="4" w:space="0" w:color="auto"/>
            </w:tcBorders>
            <w:vAlign w:val="center"/>
          </w:tcPr>
          <w:p w14:paraId="5B0981D2"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R</w:t>
            </w:r>
            <w:r w:rsidRPr="00412CDD">
              <w:rPr>
                <w:rFonts w:ascii="Arial" w:hAnsi="Arial" w:cs="Arial"/>
                <w:b/>
                <w:sz w:val="20"/>
                <w:szCs w:val="20"/>
                <w:vertAlign w:val="superscript"/>
              </w:rPr>
              <w:t>2</w:t>
            </w:r>
          </w:p>
        </w:tc>
        <w:tc>
          <w:tcPr>
            <w:tcW w:w="0" w:type="auto"/>
            <w:vMerge w:val="restart"/>
            <w:tcBorders>
              <w:top w:val="single" w:sz="4" w:space="0" w:color="auto"/>
              <w:bottom w:val="single" w:sz="4" w:space="0" w:color="auto"/>
            </w:tcBorders>
            <w:vAlign w:val="center"/>
          </w:tcPr>
          <w:p w14:paraId="16C6295D"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P-value</w:t>
            </w:r>
          </w:p>
        </w:tc>
      </w:tr>
      <w:tr w:rsidR="007F03A3" w:rsidRPr="00412CDD" w14:paraId="36A2ACED" w14:textId="77777777" w:rsidTr="00412CDD">
        <w:trPr>
          <w:jc w:val="center"/>
        </w:trPr>
        <w:tc>
          <w:tcPr>
            <w:tcW w:w="0" w:type="auto"/>
            <w:vMerge/>
            <w:tcBorders>
              <w:top w:val="single" w:sz="4" w:space="0" w:color="auto"/>
              <w:bottom w:val="single" w:sz="4" w:space="0" w:color="auto"/>
            </w:tcBorders>
            <w:vAlign w:val="center"/>
          </w:tcPr>
          <w:p w14:paraId="2BAC1134" w14:textId="77777777" w:rsidR="007F03A3" w:rsidRPr="00412CDD" w:rsidRDefault="007F03A3" w:rsidP="00412CDD">
            <w:pPr>
              <w:spacing w:line="360" w:lineRule="auto"/>
              <w:jc w:val="center"/>
              <w:rPr>
                <w:rFonts w:ascii="Arial" w:hAnsi="Arial" w:cs="Arial"/>
                <w:b/>
                <w:sz w:val="20"/>
                <w:szCs w:val="20"/>
              </w:rPr>
            </w:pPr>
          </w:p>
        </w:tc>
        <w:tc>
          <w:tcPr>
            <w:tcW w:w="0" w:type="auto"/>
            <w:tcBorders>
              <w:top w:val="single" w:sz="4" w:space="0" w:color="auto"/>
              <w:bottom w:val="single" w:sz="4" w:space="0" w:color="auto"/>
            </w:tcBorders>
            <w:vAlign w:val="center"/>
          </w:tcPr>
          <w:p w14:paraId="031CCFA3" w14:textId="7D1BA42E"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Production</w:t>
            </w:r>
            <w:r w:rsidR="00B14963" w:rsidRPr="00412CDD">
              <w:rPr>
                <w:rFonts w:ascii="Arial" w:hAnsi="Arial" w:cs="Arial"/>
                <w:b/>
                <w:sz w:val="20"/>
                <w:szCs w:val="20"/>
              </w:rPr>
              <w:t xml:space="preserve"> (000</w:t>
            </w:r>
            <w:r w:rsidR="003900A7">
              <w:rPr>
                <w:rFonts w:ascii="Arial" w:hAnsi="Arial" w:cs="Arial"/>
                <w:b/>
                <w:sz w:val="20"/>
                <w:szCs w:val="20"/>
              </w:rPr>
              <w:t>'</w:t>
            </w:r>
            <w:r w:rsidR="00B14963" w:rsidRPr="00412CDD">
              <w:rPr>
                <w:rFonts w:ascii="Arial" w:hAnsi="Arial" w:cs="Arial"/>
                <w:b/>
                <w:sz w:val="20"/>
                <w:szCs w:val="20"/>
              </w:rPr>
              <w:t xml:space="preserve"> MT)</w:t>
            </w:r>
          </w:p>
        </w:tc>
        <w:tc>
          <w:tcPr>
            <w:tcW w:w="0" w:type="auto"/>
            <w:tcBorders>
              <w:top w:val="single" w:sz="4" w:space="0" w:color="auto"/>
              <w:bottom w:val="single" w:sz="4" w:space="0" w:color="auto"/>
            </w:tcBorders>
            <w:vAlign w:val="center"/>
          </w:tcPr>
          <w:p w14:paraId="0356483B" w14:textId="77777777" w:rsidR="007F03A3" w:rsidRPr="00412CDD" w:rsidRDefault="007F03A3" w:rsidP="00412CDD">
            <w:pPr>
              <w:spacing w:line="360" w:lineRule="auto"/>
              <w:jc w:val="center"/>
              <w:rPr>
                <w:rFonts w:ascii="Arial" w:hAnsi="Arial" w:cs="Arial"/>
                <w:b/>
                <w:sz w:val="20"/>
                <w:szCs w:val="20"/>
              </w:rPr>
            </w:pPr>
            <w:r w:rsidRPr="00412CDD">
              <w:rPr>
                <w:rFonts w:ascii="Arial" w:hAnsi="Arial" w:cs="Arial"/>
                <w:b/>
                <w:sz w:val="20"/>
                <w:szCs w:val="20"/>
              </w:rPr>
              <w:t>% share</w:t>
            </w:r>
          </w:p>
        </w:tc>
        <w:tc>
          <w:tcPr>
            <w:tcW w:w="0" w:type="auto"/>
            <w:vMerge/>
            <w:tcBorders>
              <w:top w:val="single" w:sz="4" w:space="0" w:color="auto"/>
              <w:bottom w:val="single" w:sz="4" w:space="0" w:color="auto"/>
            </w:tcBorders>
            <w:vAlign w:val="center"/>
          </w:tcPr>
          <w:p w14:paraId="201DB2C4" w14:textId="77777777" w:rsidR="007F03A3" w:rsidRPr="00412CDD" w:rsidRDefault="007F03A3" w:rsidP="00412CDD">
            <w:pPr>
              <w:spacing w:line="360" w:lineRule="auto"/>
              <w:jc w:val="center"/>
              <w:rPr>
                <w:rFonts w:ascii="Arial" w:hAnsi="Arial" w:cs="Arial"/>
                <w:b/>
                <w:sz w:val="20"/>
                <w:szCs w:val="20"/>
              </w:rPr>
            </w:pPr>
          </w:p>
        </w:tc>
        <w:tc>
          <w:tcPr>
            <w:tcW w:w="0" w:type="auto"/>
            <w:vMerge/>
            <w:tcBorders>
              <w:top w:val="single" w:sz="4" w:space="0" w:color="auto"/>
              <w:bottom w:val="single" w:sz="4" w:space="0" w:color="auto"/>
            </w:tcBorders>
            <w:vAlign w:val="center"/>
          </w:tcPr>
          <w:p w14:paraId="2E5FBD92" w14:textId="77777777" w:rsidR="007F03A3" w:rsidRPr="00412CDD" w:rsidRDefault="007F03A3" w:rsidP="00412CDD">
            <w:pPr>
              <w:spacing w:line="360" w:lineRule="auto"/>
              <w:jc w:val="center"/>
              <w:rPr>
                <w:rFonts w:ascii="Arial" w:hAnsi="Arial" w:cs="Arial"/>
                <w:b/>
                <w:sz w:val="20"/>
                <w:szCs w:val="20"/>
              </w:rPr>
            </w:pPr>
          </w:p>
        </w:tc>
        <w:tc>
          <w:tcPr>
            <w:tcW w:w="0" w:type="auto"/>
            <w:vMerge/>
            <w:tcBorders>
              <w:top w:val="single" w:sz="4" w:space="0" w:color="auto"/>
              <w:bottom w:val="single" w:sz="4" w:space="0" w:color="auto"/>
            </w:tcBorders>
            <w:vAlign w:val="center"/>
          </w:tcPr>
          <w:p w14:paraId="29F8535C" w14:textId="77777777" w:rsidR="007F03A3" w:rsidRPr="00412CDD" w:rsidRDefault="007F03A3" w:rsidP="00412CDD">
            <w:pPr>
              <w:spacing w:line="360" w:lineRule="auto"/>
              <w:jc w:val="center"/>
              <w:rPr>
                <w:rFonts w:ascii="Arial" w:hAnsi="Arial" w:cs="Arial"/>
                <w:b/>
                <w:sz w:val="20"/>
                <w:szCs w:val="20"/>
              </w:rPr>
            </w:pPr>
          </w:p>
        </w:tc>
      </w:tr>
      <w:tr w:rsidR="007F03A3" w:rsidRPr="00174BAE" w14:paraId="0B3BFBAA" w14:textId="77777777" w:rsidTr="00377A88">
        <w:trPr>
          <w:jc w:val="center"/>
        </w:trPr>
        <w:tc>
          <w:tcPr>
            <w:tcW w:w="0" w:type="auto"/>
            <w:tcBorders>
              <w:top w:val="single" w:sz="4" w:space="0" w:color="auto"/>
              <w:bottom w:val="nil"/>
            </w:tcBorders>
          </w:tcPr>
          <w:p w14:paraId="19D0E0A5"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Potato</w:t>
            </w:r>
          </w:p>
        </w:tc>
        <w:tc>
          <w:tcPr>
            <w:tcW w:w="0" w:type="auto"/>
            <w:tcBorders>
              <w:top w:val="single" w:sz="4" w:space="0" w:color="auto"/>
              <w:bottom w:val="nil"/>
            </w:tcBorders>
          </w:tcPr>
          <w:p w14:paraId="7D46E25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52710.05</w:t>
            </w:r>
          </w:p>
        </w:tc>
        <w:tc>
          <w:tcPr>
            <w:tcW w:w="0" w:type="auto"/>
            <w:tcBorders>
              <w:top w:val="single" w:sz="4" w:space="0" w:color="auto"/>
              <w:bottom w:val="nil"/>
            </w:tcBorders>
          </w:tcPr>
          <w:p w14:paraId="23654F77"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27.43</w:t>
            </w:r>
          </w:p>
        </w:tc>
        <w:tc>
          <w:tcPr>
            <w:tcW w:w="0" w:type="auto"/>
            <w:tcBorders>
              <w:top w:val="single" w:sz="4" w:space="0" w:color="auto"/>
              <w:bottom w:val="nil"/>
            </w:tcBorders>
          </w:tcPr>
          <w:p w14:paraId="00A63C76"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2.28</w:t>
            </w:r>
            <w:r w:rsidRPr="00174BAE">
              <w:rPr>
                <w:rFonts w:ascii="Arial" w:hAnsi="Arial" w:cs="Arial"/>
                <w:sz w:val="20"/>
                <w:szCs w:val="20"/>
                <w:vertAlign w:val="superscript"/>
              </w:rPr>
              <w:t>***</w:t>
            </w:r>
          </w:p>
        </w:tc>
        <w:tc>
          <w:tcPr>
            <w:tcW w:w="0" w:type="auto"/>
            <w:tcBorders>
              <w:top w:val="single" w:sz="4" w:space="0" w:color="auto"/>
              <w:bottom w:val="nil"/>
            </w:tcBorders>
          </w:tcPr>
          <w:p w14:paraId="046A1F23"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0.819</w:t>
            </w:r>
          </w:p>
        </w:tc>
        <w:tc>
          <w:tcPr>
            <w:tcW w:w="0" w:type="auto"/>
            <w:tcBorders>
              <w:top w:val="single" w:sz="4" w:space="0" w:color="auto"/>
              <w:bottom w:val="nil"/>
            </w:tcBorders>
          </w:tcPr>
          <w:p w14:paraId="763931E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7DB90B57" w14:textId="77777777" w:rsidTr="00377A88">
        <w:trPr>
          <w:jc w:val="center"/>
        </w:trPr>
        <w:tc>
          <w:tcPr>
            <w:tcW w:w="0" w:type="auto"/>
            <w:tcBorders>
              <w:top w:val="nil"/>
            </w:tcBorders>
          </w:tcPr>
          <w:p w14:paraId="17325857"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 xml:space="preserve">Onion </w:t>
            </w:r>
          </w:p>
        </w:tc>
        <w:tc>
          <w:tcPr>
            <w:tcW w:w="0" w:type="auto"/>
            <w:tcBorders>
              <w:top w:val="nil"/>
            </w:tcBorders>
          </w:tcPr>
          <w:p w14:paraId="0173C233"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25275.61</w:t>
            </w:r>
          </w:p>
        </w:tc>
        <w:tc>
          <w:tcPr>
            <w:tcW w:w="0" w:type="auto"/>
            <w:tcBorders>
              <w:top w:val="nil"/>
            </w:tcBorders>
          </w:tcPr>
          <w:p w14:paraId="50EDC1A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13.15</w:t>
            </w:r>
          </w:p>
        </w:tc>
        <w:tc>
          <w:tcPr>
            <w:tcW w:w="0" w:type="auto"/>
            <w:tcBorders>
              <w:top w:val="nil"/>
            </w:tcBorders>
          </w:tcPr>
          <w:p w14:paraId="4C2B9E3B"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4.98</w:t>
            </w:r>
            <w:r w:rsidRPr="00174BAE">
              <w:rPr>
                <w:rFonts w:ascii="Arial" w:hAnsi="Arial" w:cs="Arial"/>
                <w:sz w:val="20"/>
                <w:szCs w:val="20"/>
                <w:vertAlign w:val="superscript"/>
              </w:rPr>
              <w:t>**</w:t>
            </w:r>
          </w:p>
        </w:tc>
        <w:tc>
          <w:tcPr>
            <w:tcW w:w="0" w:type="auto"/>
            <w:tcBorders>
              <w:top w:val="nil"/>
            </w:tcBorders>
          </w:tcPr>
          <w:p w14:paraId="40620BF5"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0.700</w:t>
            </w:r>
          </w:p>
        </w:tc>
        <w:tc>
          <w:tcPr>
            <w:tcW w:w="0" w:type="auto"/>
            <w:tcBorders>
              <w:top w:val="nil"/>
            </w:tcBorders>
          </w:tcPr>
          <w:p w14:paraId="0C719DA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0.001</w:t>
            </w:r>
          </w:p>
        </w:tc>
      </w:tr>
      <w:tr w:rsidR="007F03A3" w:rsidRPr="00174BAE" w14:paraId="0817E90E" w14:textId="77777777" w:rsidTr="00377A88">
        <w:trPr>
          <w:jc w:val="center"/>
        </w:trPr>
        <w:tc>
          <w:tcPr>
            <w:tcW w:w="0" w:type="auto"/>
          </w:tcPr>
          <w:p w14:paraId="3EF5115A"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Tomato</w:t>
            </w:r>
          </w:p>
        </w:tc>
        <w:tc>
          <w:tcPr>
            <w:tcW w:w="0" w:type="auto"/>
          </w:tcPr>
          <w:p w14:paraId="5AA7703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20013.97</w:t>
            </w:r>
          </w:p>
        </w:tc>
        <w:tc>
          <w:tcPr>
            <w:tcW w:w="0" w:type="auto"/>
          </w:tcPr>
          <w:p w14:paraId="648851C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10.41</w:t>
            </w:r>
          </w:p>
        </w:tc>
        <w:tc>
          <w:tcPr>
            <w:tcW w:w="0" w:type="auto"/>
          </w:tcPr>
          <w:p w14:paraId="5CB740A6"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2.39</w:t>
            </w:r>
            <w:r w:rsidRPr="00174BAE">
              <w:rPr>
                <w:rFonts w:ascii="Arial" w:hAnsi="Arial" w:cs="Arial"/>
                <w:sz w:val="20"/>
                <w:szCs w:val="20"/>
                <w:vertAlign w:val="superscript"/>
              </w:rPr>
              <w:t>*</w:t>
            </w:r>
          </w:p>
        </w:tc>
        <w:tc>
          <w:tcPr>
            <w:tcW w:w="0" w:type="auto"/>
          </w:tcPr>
          <w:p w14:paraId="7D3800F5"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0.518</w:t>
            </w:r>
          </w:p>
        </w:tc>
        <w:tc>
          <w:tcPr>
            <w:tcW w:w="0" w:type="auto"/>
          </w:tcPr>
          <w:p w14:paraId="6889C358"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0.012</w:t>
            </w:r>
          </w:p>
        </w:tc>
      </w:tr>
      <w:tr w:rsidR="007F03A3" w:rsidRPr="00174BAE" w14:paraId="381A6D56" w14:textId="77777777" w:rsidTr="00377A88">
        <w:trPr>
          <w:jc w:val="center"/>
        </w:trPr>
        <w:tc>
          <w:tcPr>
            <w:tcW w:w="0" w:type="auto"/>
          </w:tcPr>
          <w:p w14:paraId="185468A6"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Brinjal</w:t>
            </w:r>
          </w:p>
        </w:tc>
        <w:tc>
          <w:tcPr>
            <w:tcW w:w="0" w:type="auto"/>
          </w:tcPr>
          <w:p w14:paraId="793F625F"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12752.06</w:t>
            </w:r>
          </w:p>
        </w:tc>
        <w:tc>
          <w:tcPr>
            <w:tcW w:w="0" w:type="auto"/>
          </w:tcPr>
          <w:p w14:paraId="0FADCDF3"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6.64</w:t>
            </w:r>
          </w:p>
        </w:tc>
        <w:tc>
          <w:tcPr>
            <w:tcW w:w="0" w:type="auto"/>
          </w:tcPr>
          <w:p w14:paraId="19C2AB70"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0.23</w:t>
            </w:r>
            <w:r w:rsidRPr="00174BAE">
              <w:rPr>
                <w:rFonts w:ascii="Arial" w:hAnsi="Arial" w:cs="Arial"/>
                <w:sz w:val="20"/>
                <w:szCs w:val="20"/>
                <w:vertAlign w:val="superscript"/>
              </w:rPr>
              <w:t>***</w:t>
            </w:r>
          </w:p>
        </w:tc>
        <w:tc>
          <w:tcPr>
            <w:tcW w:w="0" w:type="auto"/>
          </w:tcPr>
          <w:p w14:paraId="5C379817"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0.746</w:t>
            </w:r>
          </w:p>
        </w:tc>
        <w:tc>
          <w:tcPr>
            <w:tcW w:w="0" w:type="auto"/>
          </w:tcPr>
          <w:p w14:paraId="5BD2913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5F8048B1" w14:textId="77777777" w:rsidTr="00377A88">
        <w:trPr>
          <w:jc w:val="center"/>
        </w:trPr>
        <w:tc>
          <w:tcPr>
            <w:tcW w:w="0" w:type="auto"/>
          </w:tcPr>
          <w:p w14:paraId="68E13B1B"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Cabbage</w:t>
            </w:r>
          </w:p>
        </w:tc>
        <w:tc>
          <w:tcPr>
            <w:tcW w:w="0" w:type="auto"/>
          </w:tcPr>
          <w:p w14:paraId="23A563DC"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9451.88</w:t>
            </w:r>
          </w:p>
        </w:tc>
        <w:tc>
          <w:tcPr>
            <w:tcW w:w="0" w:type="auto"/>
          </w:tcPr>
          <w:p w14:paraId="1AF4BBBA"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4.92</w:t>
            </w:r>
          </w:p>
        </w:tc>
        <w:tc>
          <w:tcPr>
            <w:tcW w:w="0" w:type="auto"/>
          </w:tcPr>
          <w:p w14:paraId="39D28904"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2.01</w:t>
            </w:r>
            <w:r w:rsidRPr="00174BAE">
              <w:rPr>
                <w:rFonts w:ascii="Arial" w:hAnsi="Arial" w:cs="Arial"/>
                <w:sz w:val="20"/>
                <w:szCs w:val="20"/>
                <w:vertAlign w:val="superscript"/>
              </w:rPr>
              <w:t>***</w:t>
            </w:r>
          </w:p>
        </w:tc>
        <w:tc>
          <w:tcPr>
            <w:tcW w:w="0" w:type="auto"/>
          </w:tcPr>
          <w:p w14:paraId="5CDF2C01"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0.970</w:t>
            </w:r>
          </w:p>
        </w:tc>
        <w:tc>
          <w:tcPr>
            <w:tcW w:w="0" w:type="auto"/>
          </w:tcPr>
          <w:p w14:paraId="78A7FC20"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69481B7B" w14:textId="77777777" w:rsidTr="00377A88">
        <w:trPr>
          <w:jc w:val="center"/>
        </w:trPr>
        <w:tc>
          <w:tcPr>
            <w:tcW w:w="0" w:type="auto"/>
          </w:tcPr>
          <w:p w14:paraId="57718BE3"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Cauliflower</w:t>
            </w:r>
          </w:p>
        </w:tc>
        <w:tc>
          <w:tcPr>
            <w:tcW w:w="0" w:type="auto"/>
          </w:tcPr>
          <w:p w14:paraId="3A10584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9056.90</w:t>
            </w:r>
          </w:p>
        </w:tc>
        <w:tc>
          <w:tcPr>
            <w:tcW w:w="0" w:type="auto"/>
          </w:tcPr>
          <w:p w14:paraId="2017B3A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4.71</w:t>
            </w:r>
          </w:p>
        </w:tc>
        <w:tc>
          <w:tcPr>
            <w:tcW w:w="0" w:type="auto"/>
          </w:tcPr>
          <w:p w14:paraId="4854AE71"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2.58</w:t>
            </w:r>
            <w:r w:rsidRPr="00174BAE">
              <w:rPr>
                <w:rFonts w:ascii="Arial" w:hAnsi="Arial" w:cs="Arial"/>
                <w:sz w:val="20"/>
                <w:szCs w:val="20"/>
                <w:vertAlign w:val="superscript"/>
              </w:rPr>
              <w:t>***</w:t>
            </w:r>
          </w:p>
        </w:tc>
        <w:tc>
          <w:tcPr>
            <w:tcW w:w="0" w:type="auto"/>
          </w:tcPr>
          <w:p w14:paraId="73B5008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0.968</w:t>
            </w:r>
          </w:p>
        </w:tc>
        <w:tc>
          <w:tcPr>
            <w:tcW w:w="0" w:type="auto"/>
          </w:tcPr>
          <w:p w14:paraId="01E27FA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6F2AD89C" w14:textId="77777777" w:rsidTr="00377A88">
        <w:trPr>
          <w:jc w:val="center"/>
        </w:trPr>
        <w:tc>
          <w:tcPr>
            <w:tcW w:w="0" w:type="auto"/>
          </w:tcPr>
          <w:p w14:paraId="0E533A85"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Okra</w:t>
            </w:r>
          </w:p>
        </w:tc>
        <w:tc>
          <w:tcPr>
            <w:tcW w:w="0" w:type="auto"/>
          </w:tcPr>
          <w:p w14:paraId="29F8BBF6"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6516.57</w:t>
            </w:r>
          </w:p>
        </w:tc>
        <w:tc>
          <w:tcPr>
            <w:tcW w:w="0" w:type="auto"/>
          </w:tcPr>
          <w:p w14:paraId="464F965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3.39</w:t>
            </w:r>
          </w:p>
        </w:tc>
        <w:tc>
          <w:tcPr>
            <w:tcW w:w="0" w:type="auto"/>
          </w:tcPr>
          <w:p w14:paraId="7646AC57"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3.03</w:t>
            </w:r>
            <w:r w:rsidRPr="00174BAE">
              <w:rPr>
                <w:rFonts w:ascii="Arial" w:hAnsi="Arial" w:cs="Arial"/>
                <w:sz w:val="20"/>
                <w:szCs w:val="20"/>
                <w:vertAlign w:val="superscript"/>
              </w:rPr>
              <w:t>***</w:t>
            </w:r>
          </w:p>
        </w:tc>
        <w:tc>
          <w:tcPr>
            <w:tcW w:w="0" w:type="auto"/>
          </w:tcPr>
          <w:p w14:paraId="104E7CA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0.953</w:t>
            </w:r>
          </w:p>
        </w:tc>
        <w:tc>
          <w:tcPr>
            <w:tcW w:w="0" w:type="auto"/>
          </w:tcPr>
          <w:p w14:paraId="2E1177BA"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46A9E9DC" w14:textId="77777777" w:rsidTr="00377A88">
        <w:trPr>
          <w:jc w:val="center"/>
        </w:trPr>
        <w:tc>
          <w:tcPr>
            <w:tcW w:w="0" w:type="auto"/>
          </w:tcPr>
          <w:p w14:paraId="59C4C1CC"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Peas</w:t>
            </w:r>
          </w:p>
        </w:tc>
        <w:tc>
          <w:tcPr>
            <w:tcW w:w="0" w:type="auto"/>
          </w:tcPr>
          <w:p w14:paraId="6C4B82F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5819.69</w:t>
            </w:r>
          </w:p>
        </w:tc>
        <w:tc>
          <w:tcPr>
            <w:tcW w:w="0" w:type="auto"/>
          </w:tcPr>
          <w:p w14:paraId="27EBAE4C"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3.03</w:t>
            </w:r>
          </w:p>
        </w:tc>
        <w:tc>
          <w:tcPr>
            <w:tcW w:w="0" w:type="auto"/>
          </w:tcPr>
          <w:p w14:paraId="178A6391"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4.30</w:t>
            </w:r>
            <w:r w:rsidRPr="00174BAE">
              <w:rPr>
                <w:rFonts w:ascii="Arial" w:hAnsi="Arial" w:cs="Arial"/>
                <w:sz w:val="20"/>
                <w:szCs w:val="20"/>
                <w:vertAlign w:val="superscript"/>
              </w:rPr>
              <w:t>***</w:t>
            </w:r>
          </w:p>
        </w:tc>
        <w:tc>
          <w:tcPr>
            <w:tcW w:w="0" w:type="auto"/>
          </w:tcPr>
          <w:p w14:paraId="331A6FD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0.977</w:t>
            </w:r>
          </w:p>
        </w:tc>
        <w:tc>
          <w:tcPr>
            <w:tcW w:w="0" w:type="auto"/>
          </w:tcPr>
          <w:p w14:paraId="1842685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4809A750" w14:textId="77777777" w:rsidTr="00377A88">
        <w:trPr>
          <w:jc w:val="center"/>
        </w:trPr>
        <w:tc>
          <w:tcPr>
            <w:tcW w:w="0" w:type="auto"/>
          </w:tcPr>
          <w:p w14:paraId="7F7D7A5B"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Radish</w:t>
            </w:r>
          </w:p>
        </w:tc>
        <w:tc>
          <w:tcPr>
            <w:tcW w:w="0" w:type="auto"/>
          </w:tcPr>
          <w:p w14:paraId="0BCBE24F"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3051.75</w:t>
            </w:r>
          </w:p>
        </w:tc>
        <w:tc>
          <w:tcPr>
            <w:tcW w:w="0" w:type="auto"/>
          </w:tcPr>
          <w:p w14:paraId="27B59DE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1.59</w:t>
            </w:r>
          </w:p>
        </w:tc>
        <w:tc>
          <w:tcPr>
            <w:tcW w:w="0" w:type="auto"/>
          </w:tcPr>
          <w:p w14:paraId="7D76AEE1"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3.70</w:t>
            </w:r>
            <w:r w:rsidRPr="00174BAE">
              <w:rPr>
                <w:rFonts w:ascii="Arial" w:hAnsi="Arial" w:cs="Arial"/>
                <w:sz w:val="20"/>
                <w:szCs w:val="20"/>
                <w:vertAlign w:val="superscript"/>
              </w:rPr>
              <w:t>**</w:t>
            </w:r>
          </w:p>
        </w:tc>
        <w:tc>
          <w:tcPr>
            <w:tcW w:w="0" w:type="auto"/>
          </w:tcPr>
          <w:p w14:paraId="4D1FEE6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0.646</w:t>
            </w:r>
          </w:p>
        </w:tc>
        <w:tc>
          <w:tcPr>
            <w:tcW w:w="0" w:type="auto"/>
          </w:tcPr>
          <w:p w14:paraId="5D094785"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0.002</w:t>
            </w:r>
          </w:p>
        </w:tc>
      </w:tr>
      <w:tr w:rsidR="007F03A3" w:rsidRPr="00174BAE" w14:paraId="129E2BE0" w14:textId="77777777" w:rsidTr="00377A88">
        <w:trPr>
          <w:jc w:val="center"/>
        </w:trPr>
        <w:tc>
          <w:tcPr>
            <w:tcW w:w="0" w:type="auto"/>
          </w:tcPr>
          <w:p w14:paraId="3564746A"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Bottle Gourd</w:t>
            </w:r>
          </w:p>
        </w:tc>
        <w:tc>
          <w:tcPr>
            <w:tcW w:w="0" w:type="auto"/>
          </w:tcPr>
          <w:p w14:paraId="69D2E3D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3043.82</w:t>
            </w:r>
          </w:p>
        </w:tc>
        <w:tc>
          <w:tcPr>
            <w:tcW w:w="0" w:type="auto"/>
          </w:tcPr>
          <w:p w14:paraId="5A7CA1E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1.58</w:t>
            </w:r>
          </w:p>
        </w:tc>
        <w:tc>
          <w:tcPr>
            <w:tcW w:w="0" w:type="auto"/>
          </w:tcPr>
          <w:p w14:paraId="7A5CD89C"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8.89</w:t>
            </w:r>
            <w:r w:rsidRPr="00174BAE">
              <w:rPr>
                <w:rFonts w:ascii="Arial" w:hAnsi="Arial" w:cs="Arial"/>
                <w:sz w:val="20"/>
                <w:szCs w:val="20"/>
                <w:vertAlign w:val="superscript"/>
              </w:rPr>
              <w:t>***</w:t>
            </w:r>
          </w:p>
        </w:tc>
        <w:tc>
          <w:tcPr>
            <w:tcW w:w="0" w:type="auto"/>
          </w:tcPr>
          <w:p w14:paraId="56EEDED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0.928</w:t>
            </w:r>
          </w:p>
        </w:tc>
        <w:tc>
          <w:tcPr>
            <w:tcW w:w="0" w:type="auto"/>
          </w:tcPr>
          <w:p w14:paraId="24E8D0C7"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183005E2" w14:textId="77777777" w:rsidTr="00174BAE">
        <w:trPr>
          <w:trHeight w:val="162"/>
          <w:jc w:val="center"/>
        </w:trPr>
        <w:tc>
          <w:tcPr>
            <w:tcW w:w="0" w:type="auto"/>
          </w:tcPr>
          <w:p w14:paraId="5905F216"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Total vegetables</w:t>
            </w:r>
          </w:p>
        </w:tc>
        <w:tc>
          <w:tcPr>
            <w:tcW w:w="0" w:type="auto"/>
          </w:tcPr>
          <w:p w14:paraId="54251B4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192169.60</w:t>
            </w:r>
          </w:p>
        </w:tc>
        <w:tc>
          <w:tcPr>
            <w:tcW w:w="0" w:type="auto"/>
          </w:tcPr>
          <w:p w14:paraId="2E94FC4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100</w:t>
            </w:r>
          </w:p>
        </w:tc>
        <w:tc>
          <w:tcPr>
            <w:tcW w:w="0" w:type="auto"/>
          </w:tcPr>
          <w:p w14:paraId="249E8563"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2.39</w:t>
            </w:r>
            <w:r w:rsidRPr="00174BAE">
              <w:rPr>
                <w:rFonts w:ascii="Arial" w:hAnsi="Arial" w:cs="Arial"/>
                <w:sz w:val="20"/>
                <w:szCs w:val="20"/>
                <w:vertAlign w:val="superscript"/>
              </w:rPr>
              <w:t>***</w:t>
            </w:r>
          </w:p>
        </w:tc>
        <w:tc>
          <w:tcPr>
            <w:tcW w:w="0" w:type="auto"/>
          </w:tcPr>
          <w:p w14:paraId="706FE1C8"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0.931</w:t>
            </w:r>
          </w:p>
        </w:tc>
        <w:tc>
          <w:tcPr>
            <w:tcW w:w="0" w:type="auto"/>
          </w:tcPr>
          <w:p w14:paraId="0F35A60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bl>
    <w:p w14:paraId="055E7BAF" w14:textId="138CD104" w:rsidR="007F03A3" w:rsidRPr="00FF1033" w:rsidRDefault="007F03A3" w:rsidP="00AE2D99">
      <w:pPr>
        <w:spacing w:line="360" w:lineRule="auto"/>
        <w:jc w:val="center"/>
        <w:rPr>
          <w:rFonts w:ascii="Arial" w:hAnsi="Arial" w:cs="Arial"/>
          <w:sz w:val="18"/>
          <w:szCs w:val="18"/>
        </w:rPr>
      </w:pPr>
      <w:r w:rsidRPr="00FF1033">
        <w:rPr>
          <w:rFonts w:ascii="Arial" w:hAnsi="Arial" w:cs="Arial"/>
          <w:sz w:val="18"/>
          <w:szCs w:val="18"/>
        </w:rPr>
        <w:t>Source: Horticultural Statistics at a Glance 2021 and Agricultural statistics at a glance 2024</w:t>
      </w:r>
    </w:p>
    <w:p w14:paraId="06789455" w14:textId="3CF42863" w:rsidR="0096696A" w:rsidRPr="00740196" w:rsidRDefault="00A264A0" w:rsidP="0096696A">
      <w:pPr>
        <w:spacing w:line="360" w:lineRule="auto"/>
        <w:jc w:val="both"/>
        <w:rPr>
          <w:rFonts w:ascii="Arial" w:hAnsi="Arial" w:cs="Arial"/>
          <w:sz w:val="20"/>
          <w:szCs w:val="20"/>
        </w:rPr>
      </w:pPr>
      <w:r w:rsidRPr="00740196">
        <w:rPr>
          <w:rFonts w:ascii="Arial" w:hAnsi="Arial" w:cs="Arial"/>
          <w:sz w:val="20"/>
          <w:szCs w:val="20"/>
        </w:rPr>
        <w:tab/>
      </w:r>
      <w:r w:rsidR="0096696A" w:rsidRPr="00740196">
        <w:rPr>
          <w:rFonts w:ascii="Arial" w:hAnsi="Arial" w:cs="Arial"/>
          <w:sz w:val="20"/>
          <w:szCs w:val="20"/>
        </w:rPr>
        <w:t xml:space="preserve">The global export performance of India in cabbage was explored with the data on </w:t>
      </w:r>
      <w:r w:rsidR="00E32919">
        <w:rPr>
          <w:rFonts w:ascii="Arial" w:hAnsi="Arial" w:cs="Arial"/>
          <w:sz w:val="20"/>
          <w:szCs w:val="20"/>
        </w:rPr>
        <w:t xml:space="preserve">the </w:t>
      </w:r>
      <w:r w:rsidR="0096696A" w:rsidRPr="00740196">
        <w:rPr>
          <w:rFonts w:ascii="Arial" w:hAnsi="Arial" w:cs="Arial"/>
          <w:sz w:val="20"/>
          <w:szCs w:val="20"/>
        </w:rPr>
        <w:t xml:space="preserve">value of cabbage exports over the last 10 years (2014-15 to 2024-25) were used to analyse the growth in export potential, presented in table 3. It was found that China and United </w:t>
      </w:r>
      <w:r w:rsidR="00A53E00">
        <w:rPr>
          <w:rFonts w:ascii="Arial" w:hAnsi="Arial" w:cs="Arial"/>
          <w:sz w:val="20"/>
          <w:szCs w:val="20"/>
        </w:rPr>
        <w:t>S</w:t>
      </w:r>
      <w:r w:rsidR="0096696A" w:rsidRPr="00740196">
        <w:rPr>
          <w:rFonts w:ascii="Arial" w:hAnsi="Arial" w:cs="Arial"/>
          <w:sz w:val="20"/>
          <w:szCs w:val="20"/>
        </w:rPr>
        <w:t>tates were the leading global exporter</w:t>
      </w:r>
      <w:r w:rsidR="00A53E00">
        <w:rPr>
          <w:rFonts w:ascii="Arial" w:hAnsi="Arial" w:cs="Arial"/>
          <w:sz w:val="20"/>
          <w:szCs w:val="20"/>
        </w:rPr>
        <w:t xml:space="preserve">s </w:t>
      </w:r>
      <w:r w:rsidR="0096696A" w:rsidRPr="00740196">
        <w:rPr>
          <w:rFonts w:ascii="Arial" w:hAnsi="Arial" w:cs="Arial"/>
          <w:sz w:val="20"/>
          <w:szCs w:val="20"/>
        </w:rPr>
        <w:t>of cabbage accounting 34.09 and 19.06 respectively, altogether constitute around 53% of the total value of global export. But it is disheartening to note that India could only contribute a very negligible share (0.10%) of global export value. But in terms of trend</w:t>
      </w:r>
      <w:r w:rsidR="00A53E00">
        <w:rPr>
          <w:rFonts w:ascii="Arial" w:hAnsi="Arial" w:cs="Arial"/>
          <w:sz w:val="20"/>
          <w:szCs w:val="20"/>
        </w:rPr>
        <w:t>s</w:t>
      </w:r>
      <w:r w:rsidR="0096696A" w:rsidRPr="00740196">
        <w:rPr>
          <w:rFonts w:ascii="Arial" w:hAnsi="Arial" w:cs="Arial"/>
          <w:sz w:val="20"/>
          <w:szCs w:val="20"/>
        </w:rPr>
        <w:t xml:space="preserve"> in export, </w:t>
      </w:r>
      <w:r w:rsidR="00A53E00">
        <w:rPr>
          <w:rFonts w:ascii="Arial" w:hAnsi="Arial" w:cs="Arial"/>
          <w:sz w:val="20"/>
          <w:szCs w:val="20"/>
        </w:rPr>
        <w:t xml:space="preserve">the </w:t>
      </w:r>
      <w:r w:rsidR="0096696A" w:rsidRPr="00740196">
        <w:rPr>
          <w:rFonts w:ascii="Arial" w:hAnsi="Arial" w:cs="Arial"/>
          <w:sz w:val="20"/>
          <w:szCs w:val="20"/>
        </w:rPr>
        <w:t xml:space="preserve">compound annual growth rate of export (5.07%) of cabbage </w:t>
      </w:r>
      <w:r w:rsidR="00A53E00">
        <w:rPr>
          <w:rFonts w:ascii="Arial" w:hAnsi="Arial" w:cs="Arial"/>
          <w:sz w:val="20"/>
          <w:szCs w:val="20"/>
        </w:rPr>
        <w:t>from</w:t>
      </w:r>
      <w:r w:rsidR="0096696A" w:rsidRPr="00740196">
        <w:rPr>
          <w:rFonts w:ascii="Arial" w:hAnsi="Arial" w:cs="Arial"/>
          <w:sz w:val="20"/>
          <w:szCs w:val="20"/>
        </w:rPr>
        <w:t xml:space="preserve"> India </w:t>
      </w:r>
      <w:r w:rsidR="00A53E00">
        <w:rPr>
          <w:rFonts w:ascii="Arial" w:hAnsi="Arial" w:cs="Arial"/>
          <w:sz w:val="20"/>
          <w:szCs w:val="20"/>
        </w:rPr>
        <w:t>was shown</w:t>
      </w:r>
      <w:r w:rsidR="0096696A" w:rsidRPr="00740196">
        <w:rPr>
          <w:rFonts w:ascii="Arial" w:hAnsi="Arial" w:cs="Arial"/>
          <w:sz w:val="20"/>
          <w:szCs w:val="20"/>
        </w:rPr>
        <w:t xml:space="preserve"> to be much higher than China (0.33%) and </w:t>
      </w:r>
      <w:r w:rsidR="00A53E00">
        <w:rPr>
          <w:rFonts w:ascii="Arial" w:hAnsi="Arial" w:cs="Arial"/>
          <w:sz w:val="20"/>
          <w:szCs w:val="20"/>
        </w:rPr>
        <w:t xml:space="preserve">the </w:t>
      </w:r>
      <w:r w:rsidR="0096696A" w:rsidRPr="00740196">
        <w:rPr>
          <w:rFonts w:ascii="Arial" w:hAnsi="Arial" w:cs="Arial"/>
          <w:sz w:val="20"/>
          <w:szCs w:val="20"/>
        </w:rPr>
        <w:t>United States (-4.50%). It indicate</w:t>
      </w:r>
      <w:r w:rsidR="004131A4">
        <w:rPr>
          <w:rFonts w:ascii="Arial" w:hAnsi="Arial" w:cs="Arial"/>
          <w:sz w:val="20"/>
          <w:szCs w:val="20"/>
        </w:rPr>
        <w:t>s</w:t>
      </w:r>
      <w:r w:rsidR="0096696A" w:rsidRPr="00740196">
        <w:rPr>
          <w:rFonts w:ascii="Arial" w:hAnsi="Arial" w:cs="Arial"/>
          <w:sz w:val="20"/>
          <w:szCs w:val="20"/>
        </w:rPr>
        <w:t xml:space="preserve"> that global export of cabbage from India </w:t>
      </w:r>
      <w:r w:rsidR="00A53E00">
        <w:rPr>
          <w:rFonts w:ascii="Arial" w:hAnsi="Arial" w:cs="Arial"/>
          <w:sz w:val="20"/>
          <w:szCs w:val="20"/>
        </w:rPr>
        <w:t>has been</w:t>
      </w:r>
      <w:r w:rsidR="0096696A" w:rsidRPr="00740196">
        <w:rPr>
          <w:rFonts w:ascii="Arial" w:hAnsi="Arial" w:cs="Arial"/>
          <w:sz w:val="20"/>
          <w:szCs w:val="20"/>
        </w:rPr>
        <w:t xml:space="preserve"> increasing over the years. But the variation in stability of growth of export</w:t>
      </w:r>
      <w:r w:rsidR="00A53E00">
        <w:rPr>
          <w:rFonts w:ascii="Arial" w:hAnsi="Arial" w:cs="Arial"/>
          <w:sz w:val="20"/>
          <w:szCs w:val="20"/>
        </w:rPr>
        <w:t>s</w:t>
      </w:r>
      <w:r w:rsidR="0096696A" w:rsidRPr="00740196">
        <w:rPr>
          <w:rFonts w:ascii="Arial" w:hAnsi="Arial" w:cs="Arial"/>
          <w:sz w:val="20"/>
          <w:szCs w:val="20"/>
        </w:rPr>
        <w:t xml:space="preserve"> </w:t>
      </w:r>
      <w:r w:rsidR="00A53E00">
        <w:rPr>
          <w:rFonts w:ascii="Arial" w:hAnsi="Arial" w:cs="Arial"/>
          <w:sz w:val="20"/>
          <w:szCs w:val="20"/>
        </w:rPr>
        <w:t>was</w:t>
      </w:r>
      <w:r w:rsidR="0096696A" w:rsidRPr="00740196">
        <w:rPr>
          <w:rFonts w:ascii="Arial" w:hAnsi="Arial" w:cs="Arial"/>
          <w:sz w:val="20"/>
          <w:szCs w:val="20"/>
        </w:rPr>
        <w:t xml:space="preserve"> observed to be 15.79%</w:t>
      </w:r>
      <w:r w:rsidR="00A53E00">
        <w:rPr>
          <w:rFonts w:ascii="Arial" w:hAnsi="Arial" w:cs="Arial"/>
          <w:sz w:val="20"/>
          <w:szCs w:val="20"/>
        </w:rPr>
        <w:t>,</w:t>
      </w:r>
      <w:r w:rsidR="0096696A" w:rsidRPr="00740196">
        <w:rPr>
          <w:rFonts w:ascii="Arial" w:hAnsi="Arial" w:cs="Arial"/>
          <w:sz w:val="20"/>
          <w:szCs w:val="20"/>
        </w:rPr>
        <w:t xml:space="preserve"> which was almost similar to China (16.10%) and slightly higher than </w:t>
      </w:r>
      <w:r w:rsidR="00A53E00">
        <w:rPr>
          <w:rFonts w:ascii="Arial" w:hAnsi="Arial" w:cs="Arial"/>
          <w:sz w:val="20"/>
          <w:szCs w:val="20"/>
        </w:rPr>
        <w:t xml:space="preserve">the </w:t>
      </w:r>
      <w:r w:rsidR="0096696A" w:rsidRPr="00740196">
        <w:rPr>
          <w:rFonts w:ascii="Arial" w:hAnsi="Arial" w:cs="Arial"/>
          <w:sz w:val="20"/>
          <w:szCs w:val="20"/>
        </w:rPr>
        <w:t xml:space="preserve">United States (10.05%). It indicated that </w:t>
      </w:r>
      <w:r w:rsidR="00A53E00">
        <w:rPr>
          <w:rFonts w:ascii="Arial" w:hAnsi="Arial" w:cs="Arial"/>
          <w:sz w:val="20"/>
          <w:szCs w:val="20"/>
        </w:rPr>
        <w:t xml:space="preserve">the </w:t>
      </w:r>
      <w:r w:rsidR="0096696A" w:rsidRPr="00740196">
        <w:rPr>
          <w:rFonts w:ascii="Arial" w:hAnsi="Arial" w:cs="Arial"/>
          <w:sz w:val="20"/>
          <w:szCs w:val="20"/>
        </w:rPr>
        <w:t xml:space="preserve">growth of </w:t>
      </w:r>
      <w:r w:rsidR="00A53E00">
        <w:rPr>
          <w:rFonts w:ascii="Arial" w:hAnsi="Arial" w:cs="Arial"/>
          <w:sz w:val="20"/>
          <w:szCs w:val="20"/>
        </w:rPr>
        <w:t xml:space="preserve">the </w:t>
      </w:r>
      <w:r w:rsidR="0096696A" w:rsidRPr="00740196">
        <w:rPr>
          <w:rFonts w:ascii="Arial" w:hAnsi="Arial" w:cs="Arial"/>
          <w:sz w:val="20"/>
          <w:szCs w:val="20"/>
        </w:rPr>
        <w:t xml:space="preserve">export of cabbage from India was more stable than </w:t>
      </w:r>
      <w:r w:rsidR="00A53E00">
        <w:rPr>
          <w:rFonts w:ascii="Arial" w:hAnsi="Arial" w:cs="Arial"/>
          <w:sz w:val="20"/>
          <w:szCs w:val="20"/>
        </w:rPr>
        <w:t xml:space="preserve">in </w:t>
      </w:r>
      <w:r w:rsidR="0096696A" w:rsidRPr="00740196">
        <w:rPr>
          <w:rFonts w:ascii="Arial" w:hAnsi="Arial" w:cs="Arial"/>
          <w:sz w:val="20"/>
          <w:szCs w:val="20"/>
        </w:rPr>
        <w:t xml:space="preserve">most of the major exported countries.  Hence, India has to increase the </w:t>
      </w:r>
      <w:r w:rsidR="0096696A" w:rsidRPr="00740196">
        <w:rPr>
          <w:rFonts w:ascii="Arial" w:hAnsi="Arial" w:cs="Arial"/>
          <w:sz w:val="20"/>
          <w:szCs w:val="20"/>
        </w:rPr>
        <w:lastRenderedPageBreak/>
        <w:t xml:space="preserve">volume </w:t>
      </w:r>
      <w:r w:rsidR="00A53E00">
        <w:rPr>
          <w:rFonts w:ascii="Arial" w:hAnsi="Arial" w:cs="Arial"/>
          <w:sz w:val="20"/>
          <w:szCs w:val="20"/>
        </w:rPr>
        <w:t xml:space="preserve">of </w:t>
      </w:r>
      <w:r w:rsidR="0096696A" w:rsidRPr="00740196">
        <w:rPr>
          <w:rFonts w:ascii="Arial" w:hAnsi="Arial" w:cs="Arial"/>
          <w:sz w:val="20"/>
          <w:szCs w:val="20"/>
        </w:rPr>
        <w:t>export of cabbage by searching more export markets without sacrificing domestic demand. Hence, India needs to stress on improving cabbage export through expansion in production, augmentation in productivity and value addition traits.</w:t>
      </w:r>
    </w:p>
    <w:p w14:paraId="2D57C39C" w14:textId="79D2F6F6" w:rsidR="00412CDD" w:rsidRPr="00412CDD" w:rsidRDefault="007F03A3" w:rsidP="005D48B1">
      <w:pPr>
        <w:pStyle w:val="NoSpacing"/>
        <w:spacing w:line="276" w:lineRule="auto"/>
        <w:jc w:val="center"/>
        <w:rPr>
          <w:rFonts w:ascii="Arial" w:hAnsi="Arial" w:cs="Arial"/>
          <w:b/>
          <w:sz w:val="20"/>
          <w:szCs w:val="20"/>
        </w:rPr>
      </w:pPr>
      <w:r w:rsidRPr="00412CDD">
        <w:rPr>
          <w:rFonts w:ascii="Arial" w:hAnsi="Arial" w:cs="Arial"/>
          <w:b/>
          <w:sz w:val="20"/>
          <w:szCs w:val="20"/>
        </w:rPr>
        <w:t>Table 3</w:t>
      </w:r>
      <w:r w:rsidR="00412CDD" w:rsidRPr="00412CDD">
        <w:rPr>
          <w:rFonts w:ascii="Arial" w:hAnsi="Arial" w:cs="Arial"/>
          <w:b/>
          <w:sz w:val="20"/>
          <w:szCs w:val="20"/>
        </w:rPr>
        <w:t>.</w:t>
      </w:r>
      <w:r w:rsidRPr="00412CDD">
        <w:rPr>
          <w:rFonts w:ascii="Arial" w:hAnsi="Arial" w:cs="Arial"/>
          <w:b/>
          <w:sz w:val="20"/>
          <w:szCs w:val="20"/>
        </w:rPr>
        <w:t xml:space="preserve"> Global export performance of </w:t>
      </w:r>
      <w:r w:rsidR="00412CDD" w:rsidRPr="00412CDD">
        <w:rPr>
          <w:rFonts w:ascii="Arial" w:hAnsi="Arial" w:cs="Arial"/>
          <w:b/>
          <w:sz w:val="20"/>
          <w:szCs w:val="20"/>
        </w:rPr>
        <w:t xml:space="preserve">major </w:t>
      </w:r>
      <w:r w:rsidRPr="00412CDD">
        <w:rPr>
          <w:rFonts w:ascii="Arial" w:hAnsi="Arial" w:cs="Arial"/>
          <w:b/>
          <w:sz w:val="20"/>
          <w:szCs w:val="20"/>
        </w:rPr>
        <w:t>cabbage</w:t>
      </w:r>
      <w:r w:rsidR="00412CDD" w:rsidRPr="00412CDD">
        <w:rPr>
          <w:rFonts w:ascii="Arial" w:hAnsi="Arial" w:cs="Arial"/>
          <w:b/>
          <w:sz w:val="20"/>
          <w:szCs w:val="20"/>
        </w:rPr>
        <w:t xml:space="preserve"> producing countries</w:t>
      </w:r>
      <w:r w:rsidRPr="00412CDD">
        <w:rPr>
          <w:rFonts w:ascii="Arial" w:hAnsi="Arial" w:cs="Arial"/>
          <w:b/>
          <w:sz w:val="20"/>
          <w:szCs w:val="20"/>
        </w:rPr>
        <w:t xml:space="preserve"> </w:t>
      </w:r>
      <w:r w:rsidR="007747EE" w:rsidRPr="00412CDD">
        <w:rPr>
          <w:rFonts w:ascii="Arial" w:hAnsi="Arial" w:cs="Arial"/>
          <w:b/>
          <w:sz w:val="20"/>
          <w:szCs w:val="20"/>
        </w:rPr>
        <w:t>over</w:t>
      </w:r>
    </w:p>
    <w:p w14:paraId="7A47C872" w14:textId="53913EE3" w:rsidR="007F03A3" w:rsidRDefault="007747EE" w:rsidP="005D48B1">
      <w:pPr>
        <w:pStyle w:val="NoSpacing"/>
        <w:spacing w:line="276" w:lineRule="auto"/>
        <w:jc w:val="center"/>
        <w:rPr>
          <w:rFonts w:ascii="Arial" w:hAnsi="Arial" w:cs="Arial"/>
          <w:b/>
          <w:sz w:val="20"/>
          <w:szCs w:val="20"/>
        </w:rPr>
      </w:pPr>
      <w:r w:rsidRPr="00412CDD">
        <w:rPr>
          <w:rFonts w:ascii="Arial" w:hAnsi="Arial" w:cs="Arial"/>
          <w:b/>
          <w:sz w:val="20"/>
          <w:szCs w:val="20"/>
        </w:rPr>
        <w:t xml:space="preserve">last ten years </w:t>
      </w:r>
      <w:r w:rsidR="00105212" w:rsidRPr="00412CDD">
        <w:rPr>
          <w:rFonts w:ascii="Arial" w:hAnsi="Arial" w:cs="Arial"/>
          <w:b/>
          <w:sz w:val="20"/>
          <w:szCs w:val="20"/>
        </w:rPr>
        <w:t xml:space="preserve">from </w:t>
      </w:r>
      <w:r w:rsidRPr="00412CDD">
        <w:rPr>
          <w:rFonts w:ascii="Arial" w:hAnsi="Arial" w:cs="Arial"/>
          <w:b/>
          <w:sz w:val="20"/>
          <w:szCs w:val="20"/>
        </w:rPr>
        <w:t>2014-15 to 2024-25</w:t>
      </w:r>
      <w:r w:rsidR="00105212" w:rsidRPr="00412CDD">
        <w:rPr>
          <w:rFonts w:ascii="Arial" w:hAnsi="Arial" w:cs="Arial"/>
          <w:b/>
          <w:sz w:val="20"/>
          <w:szCs w:val="20"/>
        </w:rPr>
        <w:t xml:space="preserve"> (</w:t>
      </w:r>
      <w:r w:rsidR="0007575F" w:rsidRPr="00412CDD">
        <w:rPr>
          <w:rFonts w:ascii="Arial" w:hAnsi="Arial" w:cs="Arial"/>
          <w:b/>
          <w:sz w:val="20"/>
          <w:szCs w:val="20"/>
        </w:rPr>
        <w:t>v</w:t>
      </w:r>
      <w:r w:rsidR="00105212" w:rsidRPr="00412CDD">
        <w:rPr>
          <w:rFonts w:ascii="Arial" w:hAnsi="Arial" w:cs="Arial"/>
          <w:b/>
          <w:sz w:val="20"/>
          <w:szCs w:val="20"/>
        </w:rPr>
        <w:t>alue in Million USD</w:t>
      </w:r>
      <w:r w:rsidR="0007575F" w:rsidRPr="00412CDD">
        <w:rPr>
          <w:rFonts w:ascii="Arial" w:hAnsi="Arial" w:cs="Arial"/>
          <w:b/>
          <w:sz w:val="20"/>
          <w:szCs w:val="20"/>
        </w:rPr>
        <w:t>)</w:t>
      </w:r>
    </w:p>
    <w:p w14:paraId="06265FBD" w14:textId="77777777" w:rsidR="00412CDD" w:rsidRPr="00412CDD" w:rsidRDefault="00412CDD" w:rsidP="00412CDD">
      <w:pPr>
        <w:pStyle w:val="NoSpacing"/>
        <w:jc w:val="center"/>
        <w:rPr>
          <w:rFonts w:ascii="Arial" w:hAnsi="Arial" w:cs="Arial"/>
          <w:b/>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962"/>
        <w:gridCol w:w="861"/>
        <w:gridCol w:w="1172"/>
        <w:gridCol w:w="983"/>
      </w:tblGrid>
      <w:tr w:rsidR="007F03A3" w:rsidRPr="00412CDD" w14:paraId="0B3C1105" w14:textId="77777777" w:rsidTr="001A53CF">
        <w:trPr>
          <w:jc w:val="center"/>
        </w:trPr>
        <w:tc>
          <w:tcPr>
            <w:tcW w:w="0" w:type="auto"/>
            <w:tcBorders>
              <w:bottom w:val="single" w:sz="4" w:space="0" w:color="auto"/>
            </w:tcBorders>
          </w:tcPr>
          <w:p w14:paraId="2EE1BC6B" w14:textId="77777777" w:rsidR="007F03A3" w:rsidRPr="00412CDD" w:rsidRDefault="007F03A3" w:rsidP="00EB5C70">
            <w:pPr>
              <w:spacing w:line="360" w:lineRule="auto"/>
              <w:rPr>
                <w:rFonts w:ascii="Arial" w:hAnsi="Arial" w:cs="Arial"/>
                <w:b/>
                <w:sz w:val="20"/>
                <w:szCs w:val="20"/>
              </w:rPr>
            </w:pPr>
            <w:r w:rsidRPr="00412CDD">
              <w:rPr>
                <w:rFonts w:ascii="Arial" w:hAnsi="Arial" w:cs="Arial"/>
                <w:b/>
                <w:sz w:val="20"/>
                <w:szCs w:val="20"/>
              </w:rPr>
              <w:t>Country</w:t>
            </w:r>
          </w:p>
        </w:tc>
        <w:tc>
          <w:tcPr>
            <w:tcW w:w="0" w:type="auto"/>
            <w:tcBorders>
              <w:bottom w:val="single" w:sz="4" w:space="0" w:color="auto"/>
            </w:tcBorders>
          </w:tcPr>
          <w:p w14:paraId="25062A37" w14:textId="77777777" w:rsidR="007F03A3" w:rsidRPr="00412CDD" w:rsidRDefault="007F03A3" w:rsidP="00950867">
            <w:pPr>
              <w:spacing w:line="360" w:lineRule="auto"/>
              <w:jc w:val="center"/>
              <w:rPr>
                <w:rFonts w:ascii="Arial" w:hAnsi="Arial" w:cs="Arial"/>
                <w:b/>
                <w:sz w:val="20"/>
                <w:szCs w:val="20"/>
              </w:rPr>
            </w:pPr>
            <w:r w:rsidRPr="00412CDD">
              <w:rPr>
                <w:rFonts w:ascii="Arial" w:hAnsi="Arial" w:cs="Arial"/>
                <w:b/>
                <w:sz w:val="20"/>
                <w:szCs w:val="20"/>
              </w:rPr>
              <w:t xml:space="preserve">Mean export value </w:t>
            </w:r>
          </w:p>
        </w:tc>
        <w:tc>
          <w:tcPr>
            <w:tcW w:w="0" w:type="auto"/>
            <w:tcBorders>
              <w:bottom w:val="single" w:sz="4" w:space="0" w:color="auto"/>
            </w:tcBorders>
          </w:tcPr>
          <w:p w14:paraId="788E558C" w14:textId="77777777" w:rsidR="007F03A3" w:rsidRPr="00412CDD" w:rsidRDefault="007F03A3" w:rsidP="00950867">
            <w:pPr>
              <w:spacing w:line="360" w:lineRule="auto"/>
              <w:jc w:val="center"/>
              <w:rPr>
                <w:rFonts w:ascii="Arial" w:hAnsi="Arial" w:cs="Arial"/>
                <w:b/>
                <w:sz w:val="20"/>
                <w:szCs w:val="20"/>
              </w:rPr>
            </w:pPr>
            <w:r w:rsidRPr="00412CDD">
              <w:rPr>
                <w:rFonts w:ascii="Arial" w:hAnsi="Arial" w:cs="Arial"/>
                <w:b/>
                <w:sz w:val="20"/>
                <w:szCs w:val="20"/>
              </w:rPr>
              <w:t>CV (%)</w:t>
            </w:r>
          </w:p>
        </w:tc>
        <w:tc>
          <w:tcPr>
            <w:tcW w:w="0" w:type="auto"/>
            <w:tcBorders>
              <w:bottom w:val="single" w:sz="4" w:space="0" w:color="auto"/>
            </w:tcBorders>
          </w:tcPr>
          <w:p w14:paraId="0774C656" w14:textId="77777777" w:rsidR="007F03A3" w:rsidRPr="00412CDD" w:rsidRDefault="007F03A3" w:rsidP="00950867">
            <w:pPr>
              <w:spacing w:line="360" w:lineRule="auto"/>
              <w:jc w:val="center"/>
              <w:rPr>
                <w:rFonts w:ascii="Arial" w:hAnsi="Arial" w:cs="Arial"/>
                <w:b/>
                <w:sz w:val="20"/>
                <w:szCs w:val="20"/>
              </w:rPr>
            </w:pPr>
            <w:r w:rsidRPr="00412CDD">
              <w:rPr>
                <w:rFonts w:ascii="Arial" w:hAnsi="Arial" w:cs="Arial"/>
                <w:b/>
                <w:sz w:val="20"/>
                <w:szCs w:val="20"/>
              </w:rPr>
              <w:t>CAGR (%)</w:t>
            </w:r>
          </w:p>
        </w:tc>
        <w:tc>
          <w:tcPr>
            <w:tcW w:w="0" w:type="auto"/>
            <w:tcBorders>
              <w:bottom w:val="single" w:sz="4" w:space="0" w:color="auto"/>
            </w:tcBorders>
          </w:tcPr>
          <w:p w14:paraId="25E98911" w14:textId="77777777" w:rsidR="007F03A3" w:rsidRPr="00412CDD" w:rsidRDefault="007F03A3" w:rsidP="00950867">
            <w:pPr>
              <w:spacing w:line="360" w:lineRule="auto"/>
              <w:jc w:val="center"/>
              <w:rPr>
                <w:rFonts w:ascii="Arial" w:hAnsi="Arial" w:cs="Arial"/>
                <w:b/>
                <w:sz w:val="20"/>
                <w:szCs w:val="20"/>
              </w:rPr>
            </w:pPr>
            <w:r w:rsidRPr="00412CDD">
              <w:rPr>
                <w:rFonts w:ascii="Arial" w:hAnsi="Arial" w:cs="Arial"/>
                <w:b/>
                <w:sz w:val="20"/>
                <w:szCs w:val="20"/>
              </w:rPr>
              <w:t>P- value</w:t>
            </w:r>
          </w:p>
        </w:tc>
      </w:tr>
      <w:tr w:rsidR="007F03A3" w:rsidRPr="007F308D" w14:paraId="5B9A060A" w14:textId="77777777" w:rsidTr="001A53CF">
        <w:trPr>
          <w:jc w:val="center"/>
        </w:trPr>
        <w:tc>
          <w:tcPr>
            <w:tcW w:w="0" w:type="auto"/>
            <w:tcBorders>
              <w:top w:val="single" w:sz="4" w:space="0" w:color="auto"/>
              <w:bottom w:val="nil"/>
            </w:tcBorders>
            <w:vAlign w:val="center"/>
          </w:tcPr>
          <w:p w14:paraId="1A659701"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China</w:t>
            </w:r>
          </w:p>
        </w:tc>
        <w:tc>
          <w:tcPr>
            <w:tcW w:w="0" w:type="auto"/>
            <w:tcBorders>
              <w:top w:val="single" w:sz="4" w:space="0" w:color="auto"/>
              <w:bottom w:val="nil"/>
            </w:tcBorders>
          </w:tcPr>
          <w:p w14:paraId="465EBEF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553.98 (34.09%)</w:t>
            </w:r>
          </w:p>
        </w:tc>
        <w:tc>
          <w:tcPr>
            <w:tcW w:w="0" w:type="auto"/>
            <w:tcBorders>
              <w:top w:val="single" w:sz="4" w:space="0" w:color="auto"/>
              <w:bottom w:val="nil"/>
            </w:tcBorders>
          </w:tcPr>
          <w:p w14:paraId="3BD07C5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16.10</w:t>
            </w:r>
          </w:p>
        </w:tc>
        <w:tc>
          <w:tcPr>
            <w:tcW w:w="0" w:type="auto"/>
            <w:tcBorders>
              <w:top w:val="single" w:sz="4" w:space="0" w:color="auto"/>
              <w:bottom w:val="nil"/>
            </w:tcBorders>
          </w:tcPr>
          <w:p w14:paraId="483E1BE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0.33</w:t>
            </w:r>
          </w:p>
        </w:tc>
        <w:tc>
          <w:tcPr>
            <w:tcW w:w="0" w:type="auto"/>
            <w:tcBorders>
              <w:top w:val="single" w:sz="4" w:space="0" w:color="auto"/>
              <w:bottom w:val="nil"/>
            </w:tcBorders>
          </w:tcPr>
          <w:p w14:paraId="11C2072D"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0.503</w:t>
            </w:r>
          </w:p>
        </w:tc>
      </w:tr>
      <w:tr w:rsidR="007F03A3" w:rsidRPr="007F308D" w14:paraId="5BDF7BD9" w14:textId="77777777" w:rsidTr="001A53CF">
        <w:trPr>
          <w:jc w:val="center"/>
        </w:trPr>
        <w:tc>
          <w:tcPr>
            <w:tcW w:w="0" w:type="auto"/>
            <w:tcBorders>
              <w:top w:val="nil"/>
            </w:tcBorders>
            <w:vAlign w:val="center"/>
          </w:tcPr>
          <w:p w14:paraId="3EE68C6B"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India</w:t>
            </w:r>
          </w:p>
        </w:tc>
        <w:tc>
          <w:tcPr>
            <w:tcW w:w="0" w:type="auto"/>
            <w:tcBorders>
              <w:top w:val="nil"/>
            </w:tcBorders>
          </w:tcPr>
          <w:p w14:paraId="2DA5B618"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1.71 (0.10%)</w:t>
            </w:r>
          </w:p>
        </w:tc>
        <w:tc>
          <w:tcPr>
            <w:tcW w:w="0" w:type="auto"/>
            <w:tcBorders>
              <w:top w:val="nil"/>
            </w:tcBorders>
          </w:tcPr>
          <w:p w14:paraId="49478CA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15.79</w:t>
            </w:r>
          </w:p>
        </w:tc>
        <w:tc>
          <w:tcPr>
            <w:tcW w:w="0" w:type="auto"/>
            <w:tcBorders>
              <w:top w:val="nil"/>
            </w:tcBorders>
          </w:tcPr>
          <w:p w14:paraId="58EC1658"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5.07</w:t>
            </w:r>
          </w:p>
        </w:tc>
        <w:tc>
          <w:tcPr>
            <w:tcW w:w="0" w:type="auto"/>
            <w:tcBorders>
              <w:top w:val="nil"/>
            </w:tcBorders>
          </w:tcPr>
          <w:p w14:paraId="74221DD5"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0.177</w:t>
            </w:r>
          </w:p>
        </w:tc>
      </w:tr>
      <w:tr w:rsidR="007F03A3" w:rsidRPr="007F308D" w14:paraId="23A449C8" w14:textId="77777777" w:rsidTr="001A53CF">
        <w:trPr>
          <w:jc w:val="center"/>
        </w:trPr>
        <w:tc>
          <w:tcPr>
            <w:tcW w:w="0" w:type="auto"/>
            <w:vAlign w:val="center"/>
          </w:tcPr>
          <w:p w14:paraId="279F1D42"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Russia</w:t>
            </w:r>
          </w:p>
        </w:tc>
        <w:tc>
          <w:tcPr>
            <w:tcW w:w="0" w:type="auto"/>
          </w:tcPr>
          <w:p w14:paraId="1E32364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2.37 (0.14%)</w:t>
            </w:r>
          </w:p>
        </w:tc>
        <w:tc>
          <w:tcPr>
            <w:tcW w:w="0" w:type="auto"/>
          </w:tcPr>
          <w:p w14:paraId="07584E2F"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7.65</w:t>
            </w:r>
          </w:p>
        </w:tc>
        <w:tc>
          <w:tcPr>
            <w:tcW w:w="0" w:type="auto"/>
          </w:tcPr>
          <w:p w14:paraId="61BC0A2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-0.24</w:t>
            </w:r>
          </w:p>
        </w:tc>
        <w:tc>
          <w:tcPr>
            <w:tcW w:w="0" w:type="auto"/>
          </w:tcPr>
          <w:p w14:paraId="05DDA8E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0.698</w:t>
            </w:r>
          </w:p>
        </w:tc>
      </w:tr>
      <w:tr w:rsidR="007F03A3" w:rsidRPr="007F308D" w14:paraId="1444A2F2" w14:textId="77777777" w:rsidTr="001A53CF">
        <w:trPr>
          <w:jc w:val="center"/>
        </w:trPr>
        <w:tc>
          <w:tcPr>
            <w:tcW w:w="0" w:type="auto"/>
            <w:vAlign w:val="center"/>
          </w:tcPr>
          <w:p w14:paraId="70AF3E2B"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South Korea</w:t>
            </w:r>
          </w:p>
        </w:tc>
        <w:tc>
          <w:tcPr>
            <w:tcW w:w="0" w:type="auto"/>
          </w:tcPr>
          <w:p w14:paraId="0DF0E08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20.20 (1.24%)</w:t>
            </w:r>
          </w:p>
        </w:tc>
        <w:tc>
          <w:tcPr>
            <w:tcW w:w="0" w:type="auto"/>
          </w:tcPr>
          <w:p w14:paraId="6CE2338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17.32</w:t>
            </w:r>
          </w:p>
        </w:tc>
        <w:tc>
          <w:tcPr>
            <w:tcW w:w="0" w:type="auto"/>
          </w:tcPr>
          <w:p w14:paraId="3CE0448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-0.78</w:t>
            </w:r>
          </w:p>
        </w:tc>
        <w:tc>
          <w:tcPr>
            <w:tcW w:w="0" w:type="auto"/>
          </w:tcPr>
          <w:p w14:paraId="02B27BD1"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0.740</w:t>
            </w:r>
          </w:p>
        </w:tc>
      </w:tr>
      <w:tr w:rsidR="007F03A3" w:rsidRPr="007F308D" w14:paraId="33A1988B" w14:textId="77777777" w:rsidTr="001A53CF">
        <w:trPr>
          <w:jc w:val="center"/>
        </w:trPr>
        <w:tc>
          <w:tcPr>
            <w:tcW w:w="0" w:type="auto"/>
            <w:vAlign w:val="center"/>
          </w:tcPr>
          <w:p w14:paraId="282BE33A"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Ukraine</w:t>
            </w:r>
          </w:p>
        </w:tc>
        <w:tc>
          <w:tcPr>
            <w:tcW w:w="0" w:type="auto"/>
          </w:tcPr>
          <w:p w14:paraId="36B8F33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1.76 (0.10%)</w:t>
            </w:r>
          </w:p>
        </w:tc>
        <w:tc>
          <w:tcPr>
            <w:tcW w:w="0" w:type="auto"/>
          </w:tcPr>
          <w:p w14:paraId="7057B2A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44.13</w:t>
            </w:r>
          </w:p>
        </w:tc>
        <w:tc>
          <w:tcPr>
            <w:tcW w:w="0" w:type="auto"/>
          </w:tcPr>
          <w:p w14:paraId="6F6DFF3E"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-2.55</w:t>
            </w:r>
          </w:p>
        </w:tc>
        <w:tc>
          <w:tcPr>
            <w:tcW w:w="0" w:type="auto"/>
          </w:tcPr>
          <w:p w14:paraId="69E5E57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0.936</w:t>
            </w:r>
          </w:p>
        </w:tc>
      </w:tr>
      <w:tr w:rsidR="007F03A3" w:rsidRPr="007F308D" w14:paraId="5F818646" w14:textId="77777777" w:rsidTr="001A53CF">
        <w:trPr>
          <w:jc w:val="center"/>
        </w:trPr>
        <w:tc>
          <w:tcPr>
            <w:tcW w:w="0" w:type="auto"/>
            <w:vAlign w:val="center"/>
          </w:tcPr>
          <w:p w14:paraId="5965E5CF"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Indonesia</w:t>
            </w:r>
          </w:p>
        </w:tc>
        <w:tc>
          <w:tcPr>
            <w:tcW w:w="0" w:type="auto"/>
          </w:tcPr>
          <w:p w14:paraId="352E23D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9.00 (0.55%)</w:t>
            </w:r>
          </w:p>
        </w:tc>
        <w:tc>
          <w:tcPr>
            <w:tcW w:w="0" w:type="auto"/>
          </w:tcPr>
          <w:p w14:paraId="4620FF2A"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17.60</w:t>
            </w:r>
          </w:p>
        </w:tc>
        <w:tc>
          <w:tcPr>
            <w:tcW w:w="0" w:type="auto"/>
          </w:tcPr>
          <w:p w14:paraId="7AE9B9D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4.62</w:t>
            </w:r>
          </w:p>
        </w:tc>
        <w:tc>
          <w:tcPr>
            <w:tcW w:w="0" w:type="auto"/>
          </w:tcPr>
          <w:p w14:paraId="738C1153"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0.242</w:t>
            </w:r>
          </w:p>
        </w:tc>
      </w:tr>
      <w:tr w:rsidR="007F03A3" w:rsidRPr="007F308D" w14:paraId="470B6977" w14:textId="77777777" w:rsidTr="001A53CF">
        <w:trPr>
          <w:jc w:val="center"/>
        </w:trPr>
        <w:tc>
          <w:tcPr>
            <w:tcW w:w="0" w:type="auto"/>
            <w:vAlign w:val="center"/>
          </w:tcPr>
          <w:p w14:paraId="070925A4"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Japan</w:t>
            </w:r>
          </w:p>
        </w:tc>
        <w:tc>
          <w:tcPr>
            <w:tcW w:w="0" w:type="auto"/>
          </w:tcPr>
          <w:p w14:paraId="04F5C1E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2.35 (0.14%)</w:t>
            </w:r>
          </w:p>
        </w:tc>
        <w:tc>
          <w:tcPr>
            <w:tcW w:w="0" w:type="auto"/>
          </w:tcPr>
          <w:p w14:paraId="631B51D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31.50</w:t>
            </w:r>
          </w:p>
        </w:tc>
        <w:tc>
          <w:tcPr>
            <w:tcW w:w="0" w:type="auto"/>
          </w:tcPr>
          <w:p w14:paraId="2A1E958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8.64</w:t>
            </w:r>
          </w:p>
        </w:tc>
        <w:tc>
          <w:tcPr>
            <w:tcW w:w="0" w:type="auto"/>
          </w:tcPr>
          <w:p w14:paraId="725BCE6F"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0.516</w:t>
            </w:r>
          </w:p>
        </w:tc>
      </w:tr>
      <w:tr w:rsidR="007F03A3" w:rsidRPr="007F308D" w14:paraId="0D842433" w14:textId="77777777" w:rsidTr="001A53CF">
        <w:trPr>
          <w:jc w:val="center"/>
        </w:trPr>
        <w:tc>
          <w:tcPr>
            <w:tcW w:w="0" w:type="auto"/>
            <w:vAlign w:val="center"/>
          </w:tcPr>
          <w:p w14:paraId="1BD9DEDD"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United States</w:t>
            </w:r>
          </w:p>
        </w:tc>
        <w:tc>
          <w:tcPr>
            <w:tcW w:w="0" w:type="auto"/>
          </w:tcPr>
          <w:p w14:paraId="1047759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309.73 (19.06%)</w:t>
            </w:r>
          </w:p>
        </w:tc>
        <w:tc>
          <w:tcPr>
            <w:tcW w:w="0" w:type="auto"/>
          </w:tcPr>
          <w:p w14:paraId="2076E94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10.05</w:t>
            </w:r>
          </w:p>
        </w:tc>
        <w:tc>
          <w:tcPr>
            <w:tcW w:w="0" w:type="auto"/>
          </w:tcPr>
          <w:p w14:paraId="0CDF8D2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-4.50</w:t>
            </w:r>
          </w:p>
        </w:tc>
        <w:tc>
          <w:tcPr>
            <w:tcW w:w="0" w:type="auto"/>
          </w:tcPr>
          <w:p w14:paraId="7736D48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0.445</w:t>
            </w:r>
          </w:p>
        </w:tc>
      </w:tr>
      <w:tr w:rsidR="007F03A3" w:rsidRPr="007F308D" w14:paraId="6FAB5D57" w14:textId="77777777" w:rsidTr="001A53CF">
        <w:trPr>
          <w:jc w:val="center"/>
        </w:trPr>
        <w:tc>
          <w:tcPr>
            <w:tcW w:w="0" w:type="auto"/>
            <w:vAlign w:val="center"/>
          </w:tcPr>
          <w:p w14:paraId="216D7466"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Poland</w:t>
            </w:r>
          </w:p>
        </w:tc>
        <w:tc>
          <w:tcPr>
            <w:tcW w:w="0" w:type="auto"/>
          </w:tcPr>
          <w:p w14:paraId="7F17258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32.71 (2.01%)</w:t>
            </w:r>
          </w:p>
        </w:tc>
        <w:tc>
          <w:tcPr>
            <w:tcW w:w="0" w:type="auto"/>
          </w:tcPr>
          <w:p w14:paraId="36086A6A"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19.83</w:t>
            </w:r>
          </w:p>
        </w:tc>
        <w:tc>
          <w:tcPr>
            <w:tcW w:w="0" w:type="auto"/>
          </w:tcPr>
          <w:p w14:paraId="7BE7366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9.08</w:t>
            </w:r>
          </w:p>
        </w:tc>
        <w:tc>
          <w:tcPr>
            <w:tcW w:w="0" w:type="auto"/>
          </w:tcPr>
          <w:p w14:paraId="701EFBB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0.285</w:t>
            </w:r>
          </w:p>
        </w:tc>
      </w:tr>
      <w:tr w:rsidR="007F03A3" w:rsidRPr="007F308D" w14:paraId="2395061B" w14:textId="77777777" w:rsidTr="001A53CF">
        <w:trPr>
          <w:jc w:val="center"/>
        </w:trPr>
        <w:tc>
          <w:tcPr>
            <w:tcW w:w="0" w:type="auto"/>
            <w:vAlign w:val="center"/>
          </w:tcPr>
          <w:p w14:paraId="1C28C5EC"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Vietnam</w:t>
            </w:r>
          </w:p>
        </w:tc>
        <w:tc>
          <w:tcPr>
            <w:tcW w:w="0" w:type="auto"/>
          </w:tcPr>
          <w:p w14:paraId="633DB73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9.85 (0.60%)</w:t>
            </w:r>
          </w:p>
        </w:tc>
        <w:tc>
          <w:tcPr>
            <w:tcW w:w="0" w:type="auto"/>
          </w:tcPr>
          <w:p w14:paraId="51A99F1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31.84</w:t>
            </w:r>
          </w:p>
        </w:tc>
        <w:tc>
          <w:tcPr>
            <w:tcW w:w="0" w:type="auto"/>
          </w:tcPr>
          <w:p w14:paraId="734898A8"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14.02</w:t>
            </w:r>
          </w:p>
        </w:tc>
        <w:tc>
          <w:tcPr>
            <w:tcW w:w="0" w:type="auto"/>
          </w:tcPr>
          <w:p w14:paraId="43154F6E"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0.051</w:t>
            </w:r>
          </w:p>
        </w:tc>
      </w:tr>
      <w:tr w:rsidR="007F03A3" w:rsidRPr="007F308D" w14:paraId="5C1D6EDA" w14:textId="77777777" w:rsidTr="001A53CF">
        <w:trPr>
          <w:jc w:val="center"/>
        </w:trPr>
        <w:tc>
          <w:tcPr>
            <w:tcW w:w="0" w:type="auto"/>
            <w:vAlign w:val="center"/>
          </w:tcPr>
          <w:p w14:paraId="2717F6CD"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World</w:t>
            </w:r>
          </w:p>
        </w:tc>
        <w:tc>
          <w:tcPr>
            <w:tcW w:w="0" w:type="auto"/>
          </w:tcPr>
          <w:p w14:paraId="5D63EAC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1624.83 (100%)</w:t>
            </w:r>
          </w:p>
        </w:tc>
        <w:tc>
          <w:tcPr>
            <w:tcW w:w="0" w:type="auto"/>
          </w:tcPr>
          <w:p w14:paraId="5D32484E"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15.08</w:t>
            </w:r>
          </w:p>
        </w:tc>
        <w:tc>
          <w:tcPr>
            <w:tcW w:w="0" w:type="auto"/>
          </w:tcPr>
          <w:p w14:paraId="6D0CAFC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-5.14</w:t>
            </w:r>
          </w:p>
        </w:tc>
        <w:tc>
          <w:tcPr>
            <w:tcW w:w="0" w:type="auto"/>
          </w:tcPr>
          <w:p w14:paraId="1AC03E2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0.488</w:t>
            </w:r>
          </w:p>
        </w:tc>
      </w:tr>
    </w:tbl>
    <w:p w14:paraId="703297BB" w14:textId="728C17DC" w:rsidR="007F03A3" w:rsidRPr="007F308D" w:rsidRDefault="007747EE" w:rsidP="007F03A3">
      <w:pPr>
        <w:spacing w:line="360" w:lineRule="auto"/>
        <w:jc w:val="center"/>
        <w:rPr>
          <w:rFonts w:ascii="Arial" w:hAnsi="Arial" w:cs="Arial"/>
          <w:sz w:val="18"/>
          <w:szCs w:val="18"/>
        </w:rPr>
      </w:pPr>
      <w:r w:rsidRPr="00740196">
        <w:rPr>
          <w:rFonts w:ascii="Arial" w:hAnsi="Arial" w:cs="Arial"/>
          <w:bCs/>
          <w:sz w:val="20"/>
          <w:szCs w:val="20"/>
        </w:rPr>
        <w:t xml:space="preserve">                                         </w:t>
      </w:r>
      <w:r w:rsidR="007F308D">
        <w:rPr>
          <w:rFonts w:ascii="Arial" w:hAnsi="Arial" w:cs="Arial"/>
          <w:bCs/>
          <w:sz w:val="20"/>
          <w:szCs w:val="20"/>
        </w:rPr>
        <w:t xml:space="preserve">                                  </w:t>
      </w:r>
      <w:r w:rsidR="007F03A3" w:rsidRPr="007F308D">
        <w:rPr>
          <w:rFonts w:ascii="Arial" w:hAnsi="Arial" w:cs="Arial"/>
          <w:bCs/>
          <w:sz w:val="18"/>
          <w:szCs w:val="18"/>
        </w:rPr>
        <w:t>Source:</w:t>
      </w:r>
      <w:r w:rsidR="00A75D75" w:rsidRPr="007F308D">
        <w:rPr>
          <w:rFonts w:ascii="Arial" w:hAnsi="Arial" w:cs="Arial"/>
          <w:sz w:val="18"/>
          <w:szCs w:val="18"/>
        </w:rPr>
        <w:t xml:space="preserve"> www.apeda.gov.in</w:t>
      </w:r>
    </w:p>
    <w:p w14:paraId="6F0B1ABA" w14:textId="09337DE6" w:rsidR="001F740B" w:rsidRPr="00740196" w:rsidRDefault="007F03A3" w:rsidP="007F03A3">
      <w:pPr>
        <w:spacing w:line="360" w:lineRule="auto"/>
        <w:jc w:val="both"/>
        <w:rPr>
          <w:rFonts w:ascii="Arial" w:hAnsi="Arial" w:cs="Arial"/>
          <w:sz w:val="20"/>
          <w:szCs w:val="20"/>
        </w:rPr>
      </w:pPr>
      <w:r w:rsidRPr="00740196">
        <w:rPr>
          <w:rFonts w:ascii="Arial" w:hAnsi="Arial" w:cs="Arial"/>
          <w:b/>
          <w:bCs/>
          <w:sz w:val="20"/>
          <w:szCs w:val="20"/>
        </w:rPr>
        <w:t>3.2 Global position of cabbage production and trend</w:t>
      </w:r>
      <w:r w:rsidRPr="00740196">
        <w:rPr>
          <w:rFonts w:ascii="Arial" w:hAnsi="Arial" w:cs="Arial"/>
          <w:sz w:val="20"/>
          <w:szCs w:val="20"/>
        </w:rPr>
        <w:t xml:space="preserve"> </w:t>
      </w:r>
    </w:p>
    <w:p w14:paraId="397EB591" w14:textId="0002A29E" w:rsidR="00A264A0" w:rsidRPr="00740196" w:rsidRDefault="001F740B" w:rsidP="00A264A0">
      <w:pPr>
        <w:spacing w:line="360" w:lineRule="auto"/>
        <w:jc w:val="both"/>
        <w:rPr>
          <w:rFonts w:ascii="Arial" w:hAnsi="Arial" w:cs="Arial"/>
          <w:sz w:val="20"/>
          <w:szCs w:val="20"/>
        </w:rPr>
      </w:pPr>
      <w:r w:rsidRPr="00740196">
        <w:rPr>
          <w:rFonts w:ascii="Arial" w:hAnsi="Arial" w:cs="Arial"/>
          <w:sz w:val="20"/>
          <w:szCs w:val="20"/>
        </w:rPr>
        <w:tab/>
      </w:r>
      <w:r w:rsidR="00FE0756" w:rsidRPr="00FE0756">
        <w:rPr>
          <w:rFonts w:ascii="Arial" w:hAnsi="Arial" w:cs="Arial"/>
          <w:sz w:val="20"/>
          <w:szCs w:val="20"/>
        </w:rPr>
        <w:t>To assess the trend and performance of cabbage production in India relative to the major cabbage-producing countries, the Compound Annual Growth Rate (CAGR) approach was employed. The production performance of the leading cabbage-producing countries was evaluated using data spanning the last ten years (2014–15 to 2024–25), as presented in Table 4</w:t>
      </w:r>
      <w:r w:rsidR="00A264A0" w:rsidRPr="00740196">
        <w:rPr>
          <w:rFonts w:ascii="Arial" w:hAnsi="Arial" w:cs="Arial"/>
          <w:sz w:val="20"/>
          <w:szCs w:val="20"/>
        </w:rPr>
        <w:t xml:space="preserve">. The Table shows that the major cabbage producing countries are China, India, Russia, South Korea, Ukraine, Indonesia, Japan, United States, Poland and Vietnam. India occupied 2nd position by contributing 8.29% of total global production (110329.10 million kg) followed by Russia and South Korea. Whereas, China </w:t>
      </w:r>
      <w:r w:rsidR="00A53E00">
        <w:rPr>
          <w:rFonts w:ascii="Arial" w:hAnsi="Arial" w:cs="Arial"/>
          <w:sz w:val="20"/>
          <w:szCs w:val="20"/>
        </w:rPr>
        <w:t xml:space="preserve">was </w:t>
      </w:r>
      <w:r w:rsidR="00A264A0" w:rsidRPr="00740196">
        <w:rPr>
          <w:rFonts w:ascii="Arial" w:hAnsi="Arial" w:cs="Arial"/>
          <w:sz w:val="20"/>
          <w:szCs w:val="20"/>
        </w:rPr>
        <w:t xml:space="preserve">found to be the leading contributor (31.23 %) of total global production. In terms of growth rate (CAGR), India occupied a </w:t>
      </w:r>
      <w:r w:rsidR="00443898">
        <w:rPr>
          <w:rFonts w:ascii="Arial" w:hAnsi="Arial" w:cs="Arial"/>
          <w:sz w:val="20"/>
          <w:szCs w:val="20"/>
        </w:rPr>
        <w:t>better</w:t>
      </w:r>
      <w:r w:rsidR="00A264A0" w:rsidRPr="00740196">
        <w:rPr>
          <w:rFonts w:ascii="Arial" w:hAnsi="Arial" w:cs="Arial"/>
          <w:sz w:val="20"/>
          <w:szCs w:val="20"/>
        </w:rPr>
        <w:t xml:space="preserve"> position compared to China (1.15 %), Russia (-2.56 %), Ukraine (-2.65 %), Poland (-4.19 %) and Japan (-0.14). Over the same period, India achieved 1.65% compound annual growth rate in cabbage production, higher than the global growth rate (0.29 %). The trend in cabbage production in India revealed significant at </w:t>
      </w:r>
      <w:r w:rsidR="00A53E00">
        <w:rPr>
          <w:rFonts w:ascii="Arial" w:hAnsi="Arial" w:cs="Arial"/>
          <w:sz w:val="20"/>
          <w:szCs w:val="20"/>
        </w:rPr>
        <w:t xml:space="preserve">the </w:t>
      </w:r>
      <w:r w:rsidR="00A264A0" w:rsidRPr="00740196">
        <w:rPr>
          <w:rFonts w:ascii="Arial" w:hAnsi="Arial" w:cs="Arial"/>
          <w:sz w:val="20"/>
          <w:szCs w:val="20"/>
        </w:rPr>
        <w:t>1% level of probability</w:t>
      </w:r>
      <w:r w:rsidRPr="00740196">
        <w:rPr>
          <w:rFonts w:ascii="Arial" w:hAnsi="Arial" w:cs="Arial"/>
          <w:sz w:val="20"/>
          <w:szCs w:val="20"/>
        </w:rPr>
        <w:t xml:space="preserve">. </w:t>
      </w:r>
      <w:r w:rsidR="00A264A0" w:rsidRPr="00740196">
        <w:rPr>
          <w:rFonts w:ascii="Arial" w:hAnsi="Arial" w:cs="Arial"/>
          <w:sz w:val="20"/>
          <w:szCs w:val="20"/>
        </w:rPr>
        <w:t>But the variation of cabbage production in India over the said period revealed 5.36%</w:t>
      </w:r>
      <w:r w:rsidR="00F53000">
        <w:rPr>
          <w:rFonts w:ascii="Arial" w:hAnsi="Arial" w:cs="Arial"/>
          <w:sz w:val="20"/>
          <w:szCs w:val="20"/>
        </w:rPr>
        <w:t>,</w:t>
      </w:r>
      <w:r w:rsidR="00A264A0" w:rsidRPr="00740196">
        <w:rPr>
          <w:rFonts w:ascii="Arial" w:hAnsi="Arial" w:cs="Arial"/>
          <w:sz w:val="20"/>
          <w:szCs w:val="20"/>
        </w:rPr>
        <w:t xml:space="preserve"> which was slightly higher than China but lower than most of the major cabbage producing countries. The above findings inferred that India has more stability in production with</w:t>
      </w:r>
      <w:r w:rsidR="00F53000">
        <w:rPr>
          <w:rFonts w:ascii="Arial" w:hAnsi="Arial" w:cs="Arial"/>
          <w:sz w:val="20"/>
          <w:szCs w:val="20"/>
        </w:rPr>
        <w:t xml:space="preserve"> a</w:t>
      </w:r>
      <w:r w:rsidR="00A264A0" w:rsidRPr="00740196">
        <w:rPr>
          <w:rFonts w:ascii="Arial" w:hAnsi="Arial" w:cs="Arial"/>
          <w:sz w:val="20"/>
          <w:szCs w:val="20"/>
        </w:rPr>
        <w:t xml:space="preserve"> </w:t>
      </w:r>
      <w:r w:rsidR="00443898">
        <w:rPr>
          <w:rFonts w:ascii="Arial" w:hAnsi="Arial" w:cs="Arial"/>
          <w:sz w:val="20"/>
          <w:szCs w:val="20"/>
        </w:rPr>
        <w:t>positive</w:t>
      </w:r>
      <w:r w:rsidR="00A264A0" w:rsidRPr="00740196">
        <w:rPr>
          <w:rFonts w:ascii="Arial" w:hAnsi="Arial" w:cs="Arial"/>
          <w:sz w:val="20"/>
          <w:szCs w:val="20"/>
        </w:rPr>
        <w:t xml:space="preserve"> growth rate (Fig. 2) over the period compared to other major producing countries except China and Indonesia. </w:t>
      </w:r>
    </w:p>
    <w:p w14:paraId="044BF7DD" w14:textId="77777777" w:rsidR="005D48B1" w:rsidRPr="005D48B1" w:rsidRDefault="007F03A3" w:rsidP="005D48B1">
      <w:pPr>
        <w:pStyle w:val="NoSpacing"/>
        <w:spacing w:line="276" w:lineRule="auto"/>
        <w:jc w:val="center"/>
        <w:rPr>
          <w:rFonts w:ascii="Arial" w:hAnsi="Arial" w:cs="Arial"/>
          <w:b/>
          <w:sz w:val="20"/>
        </w:rPr>
      </w:pPr>
      <w:r w:rsidRPr="005D48B1">
        <w:rPr>
          <w:rFonts w:ascii="Arial" w:hAnsi="Arial" w:cs="Arial"/>
          <w:b/>
          <w:sz w:val="20"/>
        </w:rPr>
        <w:t>Table 4</w:t>
      </w:r>
      <w:r w:rsidR="00412CDD" w:rsidRPr="005D48B1">
        <w:rPr>
          <w:rFonts w:ascii="Arial" w:hAnsi="Arial" w:cs="Arial"/>
          <w:b/>
          <w:sz w:val="20"/>
        </w:rPr>
        <w:t>.</w:t>
      </w:r>
      <w:r w:rsidRPr="005D48B1">
        <w:rPr>
          <w:rFonts w:ascii="Arial" w:hAnsi="Arial" w:cs="Arial"/>
          <w:b/>
          <w:sz w:val="20"/>
        </w:rPr>
        <w:t xml:space="preserve"> Global production</w:t>
      </w:r>
      <w:r w:rsidR="007D3955" w:rsidRPr="005D48B1">
        <w:rPr>
          <w:rFonts w:ascii="Arial" w:hAnsi="Arial" w:cs="Arial"/>
          <w:b/>
          <w:sz w:val="20"/>
        </w:rPr>
        <w:t xml:space="preserve"> </w:t>
      </w:r>
      <w:r w:rsidRPr="005D48B1">
        <w:rPr>
          <w:rFonts w:ascii="Arial" w:hAnsi="Arial" w:cs="Arial"/>
          <w:b/>
          <w:sz w:val="20"/>
        </w:rPr>
        <w:t xml:space="preserve">performance of </w:t>
      </w:r>
      <w:r w:rsidR="005D48B1" w:rsidRPr="005D48B1">
        <w:rPr>
          <w:rFonts w:ascii="Arial" w:hAnsi="Arial" w:cs="Arial"/>
          <w:b/>
          <w:sz w:val="20"/>
        </w:rPr>
        <w:t xml:space="preserve">major </w:t>
      </w:r>
      <w:r w:rsidRPr="005D48B1">
        <w:rPr>
          <w:rFonts w:ascii="Arial" w:hAnsi="Arial" w:cs="Arial"/>
          <w:b/>
          <w:sz w:val="20"/>
        </w:rPr>
        <w:t>cabbage</w:t>
      </w:r>
      <w:r w:rsidR="005D48B1" w:rsidRPr="005D48B1">
        <w:rPr>
          <w:rFonts w:ascii="Arial" w:hAnsi="Arial" w:cs="Arial"/>
          <w:b/>
          <w:sz w:val="20"/>
        </w:rPr>
        <w:t xml:space="preserve"> producing countries</w:t>
      </w:r>
    </w:p>
    <w:p w14:paraId="3AE2884F" w14:textId="5C1F5190" w:rsidR="007F03A3" w:rsidRDefault="0007575F" w:rsidP="005D48B1">
      <w:pPr>
        <w:pStyle w:val="NoSpacing"/>
        <w:spacing w:line="276" w:lineRule="auto"/>
        <w:jc w:val="center"/>
        <w:rPr>
          <w:rFonts w:ascii="Arial" w:hAnsi="Arial" w:cs="Arial"/>
          <w:b/>
          <w:sz w:val="20"/>
          <w:szCs w:val="20"/>
        </w:rPr>
      </w:pPr>
      <w:r w:rsidRPr="005D48B1">
        <w:rPr>
          <w:rFonts w:ascii="Arial" w:hAnsi="Arial" w:cs="Arial"/>
          <w:b/>
          <w:sz w:val="20"/>
        </w:rPr>
        <w:t xml:space="preserve">from </w:t>
      </w:r>
      <w:r w:rsidR="007747EE" w:rsidRPr="005D48B1">
        <w:rPr>
          <w:rFonts w:ascii="Arial" w:hAnsi="Arial" w:cs="Arial"/>
          <w:b/>
          <w:sz w:val="20"/>
        </w:rPr>
        <w:t>2014-15 to 2024-25</w:t>
      </w:r>
      <w:r w:rsidR="005D48B1">
        <w:rPr>
          <w:rFonts w:ascii="Arial" w:hAnsi="Arial" w:cs="Arial"/>
          <w:b/>
          <w:sz w:val="20"/>
        </w:rPr>
        <w:t xml:space="preserve"> </w:t>
      </w:r>
      <w:r w:rsidR="005D48B1">
        <w:rPr>
          <w:rFonts w:ascii="Arial" w:hAnsi="Arial" w:cs="Arial"/>
          <w:b/>
          <w:sz w:val="20"/>
          <w:szCs w:val="20"/>
        </w:rPr>
        <w:t>(qty. in Million Kg.)</w:t>
      </w:r>
    </w:p>
    <w:p w14:paraId="3888E51E" w14:textId="77777777" w:rsidR="005D48B1" w:rsidRPr="005D48B1" w:rsidRDefault="005D48B1" w:rsidP="005D48B1">
      <w:pPr>
        <w:pStyle w:val="NoSpacing"/>
        <w:jc w:val="center"/>
        <w:rPr>
          <w:rFonts w:ascii="Arial" w:hAnsi="Arial" w:cs="Arial"/>
          <w:b/>
          <w:sz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918"/>
        <w:gridCol w:w="861"/>
        <w:gridCol w:w="1172"/>
        <w:gridCol w:w="983"/>
      </w:tblGrid>
      <w:tr w:rsidR="007F03A3" w:rsidRPr="005D48B1" w14:paraId="71DB5713" w14:textId="77777777" w:rsidTr="001A53CF">
        <w:trPr>
          <w:jc w:val="center"/>
        </w:trPr>
        <w:tc>
          <w:tcPr>
            <w:tcW w:w="0" w:type="auto"/>
            <w:tcBorders>
              <w:top w:val="single" w:sz="4" w:space="0" w:color="auto"/>
              <w:bottom w:val="single" w:sz="4" w:space="0" w:color="auto"/>
            </w:tcBorders>
          </w:tcPr>
          <w:p w14:paraId="1F940044" w14:textId="77777777" w:rsidR="007F03A3" w:rsidRPr="005D48B1" w:rsidRDefault="007F03A3" w:rsidP="00EB5C70">
            <w:pPr>
              <w:spacing w:line="360" w:lineRule="auto"/>
              <w:rPr>
                <w:rFonts w:ascii="Arial" w:hAnsi="Arial" w:cs="Arial"/>
                <w:b/>
                <w:sz w:val="20"/>
                <w:szCs w:val="20"/>
              </w:rPr>
            </w:pPr>
            <w:r w:rsidRPr="005D48B1">
              <w:rPr>
                <w:rFonts w:ascii="Arial" w:hAnsi="Arial" w:cs="Arial"/>
                <w:b/>
                <w:sz w:val="20"/>
                <w:szCs w:val="20"/>
              </w:rPr>
              <w:t>Country</w:t>
            </w:r>
          </w:p>
        </w:tc>
        <w:tc>
          <w:tcPr>
            <w:tcW w:w="0" w:type="auto"/>
            <w:tcBorders>
              <w:top w:val="single" w:sz="4" w:space="0" w:color="auto"/>
              <w:bottom w:val="single" w:sz="4" w:space="0" w:color="auto"/>
            </w:tcBorders>
          </w:tcPr>
          <w:p w14:paraId="0BDAE1B6" w14:textId="77777777" w:rsidR="007F03A3" w:rsidRPr="005D48B1" w:rsidRDefault="007F03A3" w:rsidP="00950867">
            <w:pPr>
              <w:spacing w:line="360" w:lineRule="auto"/>
              <w:jc w:val="center"/>
              <w:rPr>
                <w:rFonts w:ascii="Arial" w:hAnsi="Arial" w:cs="Arial"/>
                <w:b/>
                <w:color w:val="000000" w:themeColor="text1"/>
                <w:sz w:val="20"/>
                <w:szCs w:val="20"/>
              </w:rPr>
            </w:pPr>
            <w:r w:rsidRPr="005D48B1">
              <w:rPr>
                <w:rFonts w:ascii="Arial" w:hAnsi="Arial" w:cs="Arial"/>
                <w:b/>
                <w:color w:val="000000" w:themeColor="text1"/>
                <w:sz w:val="20"/>
                <w:szCs w:val="20"/>
              </w:rPr>
              <w:t>Mean</w:t>
            </w:r>
          </w:p>
        </w:tc>
        <w:tc>
          <w:tcPr>
            <w:tcW w:w="0" w:type="auto"/>
            <w:tcBorders>
              <w:top w:val="single" w:sz="4" w:space="0" w:color="auto"/>
              <w:bottom w:val="single" w:sz="4" w:space="0" w:color="auto"/>
            </w:tcBorders>
          </w:tcPr>
          <w:p w14:paraId="6711AEA6" w14:textId="77777777" w:rsidR="007F03A3" w:rsidRPr="005D48B1" w:rsidRDefault="007F03A3" w:rsidP="00950867">
            <w:pPr>
              <w:spacing w:line="360" w:lineRule="auto"/>
              <w:jc w:val="center"/>
              <w:rPr>
                <w:rFonts w:ascii="Arial" w:hAnsi="Arial" w:cs="Arial"/>
                <w:b/>
                <w:sz w:val="20"/>
                <w:szCs w:val="20"/>
                <w:highlight w:val="yellow"/>
              </w:rPr>
            </w:pPr>
            <w:r w:rsidRPr="005D48B1">
              <w:rPr>
                <w:rFonts w:ascii="Arial" w:hAnsi="Arial" w:cs="Arial"/>
                <w:b/>
                <w:sz w:val="20"/>
                <w:szCs w:val="20"/>
              </w:rPr>
              <w:t>CV (%)</w:t>
            </w:r>
          </w:p>
        </w:tc>
        <w:tc>
          <w:tcPr>
            <w:tcW w:w="0" w:type="auto"/>
            <w:tcBorders>
              <w:top w:val="single" w:sz="4" w:space="0" w:color="auto"/>
              <w:bottom w:val="single" w:sz="4" w:space="0" w:color="auto"/>
            </w:tcBorders>
          </w:tcPr>
          <w:p w14:paraId="2C66049A" w14:textId="77777777" w:rsidR="007F03A3" w:rsidRPr="005D48B1" w:rsidRDefault="007F03A3" w:rsidP="00950867">
            <w:pPr>
              <w:spacing w:line="360" w:lineRule="auto"/>
              <w:jc w:val="center"/>
              <w:rPr>
                <w:rFonts w:ascii="Arial" w:hAnsi="Arial" w:cs="Arial"/>
                <w:b/>
                <w:color w:val="000000" w:themeColor="text1"/>
                <w:sz w:val="20"/>
                <w:szCs w:val="20"/>
              </w:rPr>
            </w:pPr>
            <w:r w:rsidRPr="005D48B1">
              <w:rPr>
                <w:rFonts w:ascii="Arial" w:hAnsi="Arial" w:cs="Arial"/>
                <w:b/>
                <w:color w:val="000000" w:themeColor="text1"/>
                <w:sz w:val="20"/>
                <w:szCs w:val="20"/>
              </w:rPr>
              <w:t>CAGR (%)</w:t>
            </w:r>
          </w:p>
        </w:tc>
        <w:tc>
          <w:tcPr>
            <w:tcW w:w="0" w:type="auto"/>
            <w:tcBorders>
              <w:top w:val="single" w:sz="4" w:space="0" w:color="auto"/>
              <w:bottom w:val="single" w:sz="4" w:space="0" w:color="auto"/>
            </w:tcBorders>
          </w:tcPr>
          <w:p w14:paraId="60CB49CE" w14:textId="77777777" w:rsidR="007F03A3" w:rsidRPr="005D48B1" w:rsidRDefault="007F03A3" w:rsidP="00950867">
            <w:pPr>
              <w:spacing w:line="360" w:lineRule="auto"/>
              <w:jc w:val="center"/>
              <w:rPr>
                <w:rFonts w:ascii="Arial" w:hAnsi="Arial" w:cs="Arial"/>
                <w:b/>
                <w:sz w:val="20"/>
                <w:szCs w:val="20"/>
              </w:rPr>
            </w:pPr>
            <w:r w:rsidRPr="005D48B1">
              <w:rPr>
                <w:rFonts w:ascii="Arial" w:hAnsi="Arial" w:cs="Arial"/>
                <w:b/>
                <w:sz w:val="20"/>
                <w:szCs w:val="20"/>
              </w:rPr>
              <w:t>P- value</w:t>
            </w:r>
          </w:p>
        </w:tc>
      </w:tr>
      <w:tr w:rsidR="007F03A3" w:rsidRPr="0007575F" w14:paraId="5654E9DE" w14:textId="77777777" w:rsidTr="001A53CF">
        <w:trPr>
          <w:jc w:val="center"/>
        </w:trPr>
        <w:tc>
          <w:tcPr>
            <w:tcW w:w="0" w:type="auto"/>
            <w:tcBorders>
              <w:top w:val="single" w:sz="4" w:space="0" w:color="auto"/>
            </w:tcBorders>
            <w:vAlign w:val="center"/>
          </w:tcPr>
          <w:p w14:paraId="06A85BAF"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China</w:t>
            </w:r>
          </w:p>
        </w:tc>
        <w:tc>
          <w:tcPr>
            <w:tcW w:w="0" w:type="auto"/>
            <w:tcBorders>
              <w:top w:val="single" w:sz="4" w:space="0" w:color="auto"/>
            </w:tcBorders>
          </w:tcPr>
          <w:p w14:paraId="03D1EBB8"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34451.82 (31.23%)</w:t>
            </w:r>
          </w:p>
        </w:tc>
        <w:tc>
          <w:tcPr>
            <w:tcW w:w="0" w:type="auto"/>
            <w:tcBorders>
              <w:top w:val="single" w:sz="4" w:space="0" w:color="auto"/>
            </w:tcBorders>
            <w:vAlign w:val="bottom"/>
          </w:tcPr>
          <w:p w14:paraId="274CAC97"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3.99</w:t>
            </w:r>
          </w:p>
        </w:tc>
        <w:tc>
          <w:tcPr>
            <w:tcW w:w="0" w:type="auto"/>
            <w:tcBorders>
              <w:top w:val="single" w:sz="4" w:space="0" w:color="auto"/>
            </w:tcBorders>
          </w:tcPr>
          <w:p w14:paraId="4385DFEB"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1.15</w:t>
            </w:r>
            <w:r w:rsidRPr="0007575F">
              <w:rPr>
                <w:rFonts w:ascii="Arial" w:hAnsi="Arial" w:cs="Arial"/>
                <w:color w:val="000000" w:themeColor="text1"/>
                <w:sz w:val="20"/>
                <w:szCs w:val="20"/>
                <w:vertAlign w:val="superscript"/>
              </w:rPr>
              <w:t>***</w:t>
            </w:r>
          </w:p>
        </w:tc>
        <w:tc>
          <w:tcPr>
            <w:tcW w:w="0" w:type="auto"/>
            <w:tcBorders>
              <w:top w:val="single" w:sz="4" w:space="0" w:color="auto"/>
            </w:tcBorders>
          </w:tcPr>
          <w:p w14:paraId="01EC03A8"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0.0002</w:t>
            </w:r>
          </w:p>
        </w:tc>
      </w:tr>
      <w:tr w:rsidR="007F03A3" w:rsidRPr="0007575F" w14:paraId="43E47E1D" w14:textId="77777777" w:rsidTr="001A53CF">
        <w:trPr>
          <w:jc w:val="center"/>
        </w:trPr>
        <w:tc>
          <w:tcPr>
            <w:tcW w:w="0" w:type="auto"/>
            <w:vAlign w:val="center"/>
          </w:tcPr>
          <w:p w14:paraId="129CDF71"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India</w:t>
            </w:r>
          </w:p>
        </w:tc>
        <w:tc>
          <w:tcPr>
            <w:tcW w:w="0" w:type="auto"/>
          </w:tcPr>
          <w:p w14:paraId="2734AAD9"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9150.90 (8.29%)</w:t>
            </w:r>
          </w:p>
        </w:tc>
        <w:tc>
          <w:tcPr>
            <w:tcW w:w="0" w:type="auto"/>
            <w:vAlign w:val="bottom"/>
          </w:tcPr>
          <w:p w14:paraId="2A8B1489"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5.36</w:t>
            </w:r>
          </w:p>
        </w:tc>
        <w:tc>
          <w:tcPr>
            <w:tcW w:w="0" w:type="auto"/>
          </w:tcPr>
          <w:p w14:paraId="349F8D1C"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1.65</w:t>
            </w:r>
            <w:r w:rsidRPr="0007575F">
              <w:rPr>
                <w:rFonts w:ascii="Arial" w:hAnsi="Arial" w:cs="Arial"/>
                <w:color w:val="000000" w:themeColor="text1"/>
                <w:sz w:val="20"/>
                <w:szCs w:val="20"/>
                <w:vertAlign w:val="superscript"/>
              </w:rPr>
              <w:t>***</w:t>
            </w:r>
          </w:p>
        </w:tc>
        <w:tc>
          <w:tcPr>
            <w:tcW w:w="0" w:type="auto"/>
          </w:tcPr>
          <w:p w14:paraId="67F52DA2"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0.0001</w:t>
            </w:r>
          </w:p>
        </w:tc>
      </w:tr>
      <w:tr w:rsidR="007F03A3" w:rsidRPr="0007575F" w14:paraId="01066D8A" w14:textId="77777777" w:rsidTr="001A53CF">
        <w:trPr>
          <w:jc w:val="center"/>
        </w:trPr>
        <w:tc>
          <w:tcPr>
            <w:tcW w:w="0" w:type="auto"/>
            <w:vAlign w:val="center"/>
          </w:tcPr>
          <w:p w14:paraId="2FC6E558"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Russia</w:t>
            </w:r>
          </w:p>
        </w:tc>
        <w:tc>
          <w:tcPr>
            <w:tcW w:w="0" w:type="auto"/>
          </w:tcPr>
          <w:p w14:paraId="7C592D64"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2784.54 (2.52%)</w:t>
            </w:r>
          </w:p>
        </w:tc>
        <w:tc>
          <w:tcPr>
            <w:tcW w:w="0" w:type="auto"/>
            <w:vAlign w:val="bottom"/>
          </w:tcPr>
          <w:p w14:paraId="042F6006"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17.04</w:t>
            </w:r>
          </w:p>
        </w:tc>
        <w:tc>
          <w:tcPr>
            <w:tcW w:w="0" w:type="auto"/>
          </w:tcPr>
          <w:p w14:paraId="2883820D"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-2.56</w:t>
            </w:r>
            <w:r w:rsidRPr="0007575F">
              <w:rPr>
                <w:rFonts w:ascii="Arial" w:hAnsi="Arial" w:cs="Arial"/>
                <w:color w:val="000000" w:themeColor="text1"/>
                <w:sz w:val="20"/>
                <w:szCs w:val="20"/>
                <w:vertAlign w:val="superscript"/>
              </w:rPr>
              <w:t>**</w:t>
            </w:r>
          </w:p>
        </w:tc>
        <w:tc>
          <w:tcPr>
            <w:tcW w:w="0" w:type="auto"/>
          </w:tcPr>
          <w:p w14:paraId="5820E538"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0.0015</w:t>
            </w:r>
          </w:p>
        </w:tc>
      </w:tr>
      <w:tr w:rsidR="007F03A3" w:rsidRPr="0007575F" w14:paraId="22A11FDE" w14:textId="77777777" w:rsidTr="001A53CF">
        <w:trPr>
          <w:jc w:val="center"/>
        </w:trPr>
        <w:tc>
          <w:tcPr>
            <w:tcW w:w="0" w:type="auto"/>
            <w:vAlign w:val="center"/>
          </w:tcPr>
          <w:p w14:paraId="6EA4F297"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South Korea</w:t>
            </w:r>
          </w:p>
        </w:tc>
        <w:tc>
          <w:tcPr>
            <w:tcW w:w="0" w:type="auto"/>
          </w:tcPr>
          <w:p w14:paraId="48FB722F"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2497.27 (2.26%)</w:t>
            </w:r>
          </w:p>
        </w:tc>
        <w:tc>
          <w:tcPr>
            <w:tcW w:w="0" w:type="auto"/>
            <w:vAlign w:val="bottom"/>
          </w:tcPr>
          <w:p w14:paraId="715846AB"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9.52</w:t>
            </w:r>
          </w:p>
        </w:tc>
        <w:tc>
          <w:tcPr>
            <w:tcW w:w="0" w:type="auto"/>
          </w:tcPr>
          <w:p w14:paraId="629C06E7"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0.08</w:t>
            </w:r>
            <w:r w:rsidRPr="0007575F">
              <w:rPr>
                <w:rFonts w:ascii="Arial" w:hAnsi="Arial" w:cs="Arial"/>
                <w:color w:val="000000" w:themeColor="text1"/>
                <w:sz w:val="20"/>
                <w:szCs w:val="20"/>
                <w:vertAlign w:val="superscript"/>
              </w:rPr>
              <w:t>NS</w:t>
            </w:r>
          </w:p>
        </w:tc>
        <w:tc>
          <w:tcPr>
            <w:tcW w:w="0" w:type="auto"/>
          </w:tcPr>
          <w:p w14:paraId="16C1C4A1"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0.6771</w:t>
            </w:r>
          </w:p>
        </w:tc>
      </w:tr>
      <w:tr w:rsidR="007F03A3" w:rsidRPr="0007575F" w14:paraId="3A33F0A4" w14:textId="77777777" w:rsidTr="001A53CF">
        <w:trPr>
          <w:jc w:val="center"/>
        </w:trPr>
        <w:tc>
          <w:tcPr>
            <w:tcW w:w="0" w:type="auto"/>
            <w:vAlign w:val="center"/>
          </w:tcPr>
          <w:p w14:paraId="1A505726"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Ukraine</w:t>
            </w:r>
          </w:p>
        </w:tc>
        <w:tc>
          <w:tcPr>
            <w:tcW w:w="0" w:type="auto"/>
          </w:tcPr>
          <w:p w14:paraId="172C1BEF"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1717.27 (1.56%)</w:t>
            </w:r>
          </w:p>
        </w:tc>
        <w:tc>
          <w:tcPr>
            <w:tcW w:w="0" w:type="auto"/>
            <w:vAlign w:val="bottom"/>
          </w:tcPr>
          <w:p w14:paraId="12384C1C"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8.58</w:t>
            </w:r>
          </w:p>
        </w:tc>
        <w:tc>
          <w:tcPr>
            <w:tcW w:w="0" w:type="auto"/>
          </w:tcPr>
          <w:p w14:paraId="14CC8F10"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-2.65</w:t>
            </w:r>
            <w:r w:rsidRPr="0007575F">
              <w:rPr>
                <w:rFonts w:ascii="Arial" w:hAnsi="Arial" w:cs="Arial"/>
                <w:color w:val="000000" w:themeColor="text1"/>
                <w:sz w:val="20"/>
                <w:szCs w:val="20"/>
                <w:vertAlign w:val="superscript"/>
              </w:rPr>
              <w:t>*</w:t>
            </w:r>
          </w:p>
        </w:tc>
        <w:tc>
          <w:tcPr>
            <w:tcW w:w="0" w:type="auto"/>
          </w:tcPr>
          <w:p w14:paraId="069917D5"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0.0249</w:t>
            </w:r>
          </w:p>
        </w:tc>
      </w:tr>
      <w:tr w:rsidR="007F03A3" w:rsidRPr="0007575F" w14:paraId="4C4FAC0A" w14:textId="77777777" w:rsidTr="001A53CF">
        <w:trPr>
          <w:jc w:val="center"/>
        </w:trPr>
        <w:tc>
          <w:tcPr>
            <w:tcW w:w="0" w:type="auto"/>
            <w:vAlign w:val="center"/>
          </w:tcPr>
          <w:p w14:paraId="75A38822"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Indonesia</w:t>
            </w:r>
          </w:p>
        </w:tc>
        <w:tc>
          <w:tcPr>
            <w:tcW w:w="0" w:type="auto"/>
          </w:tcPr>
          <w:p w14:paraId="1DAA8846"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1442.72 (1.31%)</w:t>
            </w:r>
          </w:p>
        </w:tc>
        <w:tc>
          <w:tcPr>
            <w:tcW w:w="0" w:type="auto"/>
            <w:vAlign w:val="bottom"/>
          </w:tcPr>
          <w:p w14:paraId="323AAC17"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2.63</w:t>
            </w:r>
          </w:p>
        </w:tc>
        <w:tc>
          <w:tcPr>
            <w:tcW w:w="0" w:type="auto"/>
          </w:tcPr>
          <w:p w14:paraId="0FE8ACD9"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-0.55</w:t>
            </w:r>
            <w:r w:rsidRPr="0007575F">
              <w:rPr>
                <w:rFonts w:ascii="Arial" w:hAnsi="Arial" w:cs="Arial"/>
                <w:color w:val="000000" w:themeColor="text1"/>
                <w:sz w:val="20"/>
                <w:szCs w:val="20"/>
                <w:vertAlign w:val="superscript"/>
              </w:rPr>
              <w:t>NS</w:t>
            </w:r>
          </w:p>
        </w:tc>
        <w:tc>
          <w:tcPr>
            <w:tcW w:w="0" w:type="auto"/>
          </w:tcPr>
          <w:p w14:paraId="6C3BC70A"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0.3162</w:t>
            </w:r>
          </w:p>
        </w:tc>
      </w:tr>
      <w:tr w:rsidR="007F03A3" w:rsidRPr="0007575F" w14:paraId="434937AA" w14:textId="77777777" w:rsidTr="001A53CF">
        <w:trPr>
          <w:jc w:val="center"/>
        </w:trPr>
        <w:tc>
          <w:tcPr>
            <w:tcW w:w="0" w:type="auto"/>
            <w:vAlign w:val="center"/>
          </w:tcPr>
          <w:p w14:paraId="2787DA92"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Japan</w:t>
            </w:r>
          </w:p>
        </w:tc>
        <w:tc>
          <w:tcPr>
            <w:tcW w:w="0" w:type="auto"/>
          </w:tcPr>
          <w:p w14:paraId="21D8CBD6"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1455.45 (1.40%)</w:t>
            </w:r>
          </w:p>
        </w:tc>
        <w:tc>
          <w:tcPr>
            <w:tcW w:w="0" w:type="auto"/>
            <w:vAlign w:val="bottom"/>
          </w:tcPr>
          <w:p w14:paraId="15109E72"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1.58</w:t>
            </w:r>
          </w:p>
        </w:tc>
        <w:tc>
          <w:tcPr>
            <w:tcW w:w="0" w:type="auto"/>
          </w:tcPr>
          <w:p w14:paraId="399B3CC1"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-0.14</w:t>
            </w:r>
            <w:r w:rsidRPr="0007575F">
              <w:rPr>
                <w:rFonts w:ascii="Arial" w:hAnsi="Arial" w:cs="Arial"/>
                <w:color w:val="000000" w:themeColor="text1"/>
                <w:sz w:val="20"/>
                <w:szCs w:val="20"/>
                <w:vertAlign w:val="superscript"/>
              </w:rPr>
              <w:t>NS</w:t>
            </w:r>
          </w:p>
        </w:tc>
        <w:tc>
          <w:tcPr>
            <w:tcW w:w="0" w:type="auto"/>
          </w:tcPr>
          <w:p w14:paraId="13767A94"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0.6436</w:t>
            </w:r>
          </w:p>
        </w:tc>
      </w:tr>
      <w:tr w:rsidR="007F03A3" w:rsidRPr="0007575F" w14:paraId="1C99B26A" w14:textId="77777777" w:rsidTr="001A53CF">
        <w:trPr>
          <w:jc w:val="center"/>
        </w:trPr>
        <w:tc>
          <w:tcPr>
            <w:tcW w:w="0" w:type="auto"/>
            <w:vAlign w:val="center"/>
          </w:tcPr>
          <w:p w14:paraId="6AE93B90"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United States</w:t>
            </w:r>
          </w:p>
        </w:tc>
        <w:tc>
          <w:tcPr>
            <w:tcW w:w="0" w:type="auto"/>
          </w:tcPr>
          <w:p w14:paraId="109EF61B"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982.09 (0.89%)</w:t>
            </w:r>
          </w:p>
        </w:tc>
        <w:tc>
          <w:tcPr>
            <w:tcW w:w="0" w:type="auto"/>
            <w:vAlign w:val="bottom"/>
          </w:tcPr>
          <w:p w14:paraId="3D5427C6"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6.20</w:t>
            </w:r>
          </w:p>
        </w:tc>
        <w:tc>
          <w:tcPr>
            <w:tcW w:w="0" w:type="auto"/>
          </w:tcPr>
          <w:p w14:paraId="6086B916"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-0.24</w:t>
            </w:r>
            <w:r w:rsidRPr="0007575F">
              <w:rPr>
                <w:rFonts w:ascii="Arial" w:hAnsi="Arial" w:cs="Arial"/>
                <w:color w:val="000000" w:themeColor="text1"/>
                <w:sz w:val="20"/>
                <w:szCs w:val="20"/>
                <w:vertAlign w:val="superscript"/>
              </w:rPr>
              <w:t>NS</w:t>
            </w:r>
          </w:p>
        </w:tc>
        <w:tc>
          <w:tcPr>
            <w:tcW w:w="0" w:type="auto"/>
          </w:tcPr>
          <w:p w14:paraId="2B7758E2"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0.8594</w:t>
            </w:r>
          </w:p>
        </w:tc>
      </w:tr>
      <w:tr w:rsidR="007F03A3" w:rsidRPr="0007575F" w14:paraId="15F135C5" w14:textId="77777777" w:rsidTr="001A53CF">
        <w:trPr>
          <w:jc w:val="center"/>
        </w:trPr>
        <w:tc>
          <w:tcPr>
            <w:tcW w:w="0" w:type="auto"/>
            <w:vAlign w:val="center"/>
          </w:tcPr>
          <w:p w14:paraId="4F5E5DF4"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Poland</w:t>
            </w:r>
          </w:p>
        </w:tc>
        <w:tc>
          <w:tcPr>
            <w:tcW w:w="0" w:type="auto"/>
          </w:tcPr>
          <w:p w14:paraId="7247447C"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911.00 (0.82%)</w:t>
            </w:r>
          </w:p>
        </w:tc>
        <w:tc>
          <w:tcPr>
            <w:tcW w:w="0" w:type="auto"/>
            <w:vAlign w:val="bottom"/>
          </w:tcPr>
          <w:p w14:paraId="331B4A00"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20.24</w:t>
            </w:r>
          </w:p>
        </w:tc>
        <w:tc>
          <w:tcPr>
            <w:tcW w:w="0" w:type="auto"/>
          </w:tcPr>
          <w:p w14:paraId="38F2ACB4"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-4.19</w:t>
            </w:r>
            <w:r w:rsidRPr="0007575F">
              <w:rPr>
                <w:rFonts w:ascii="Arial" w:hAnsi="Arial" w:cs="Arial"/>
                <w:color w:val="000000" w:themeColor="text1"/>
                <w:sz w:val="20"/>
                <w:szCs w:val="20"/>
                <w:vertAlign w:val="superscript"/>
              </w:rPr>
              <w:t>**</w:t>
            </w:r>
          </w:p>
        </w:tc>
        <w:tc>
          <w:tcPr>
            <w:tcW w:w="0" w:type="auto"/>
          </w:tcPr>
          <w:p w14:paraId="50D852E7"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0.0010</w:t>
            </w:r>
          </w:p>
        </w:tc>
      </w:tr>
      <w:tr w:rsidR="007F03A3" w:rsidRPr="0007575F" w14:paraId="2AA4DB5A" w14:textId="77777777" w:rsidTr="001A53CF">
        <w:trPr>
          <w:jc w:val="center"/>
        </w:trPr>
        <w:tc>
          <w:tcPr>
            <w:tcW w:w="0" w:type="auto"/>
            <w:vAlign w:val="center"/>
          </w:tcPr>
          <w:p w14:paraId="61A895D7"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Vietnam</w:t>
            </w:r>
          </w:p>
        </w:tc>
        <w:tc>
          <w:tcPr>
            <w:tcW w:w="0" w:type="auto"/>
          </w:tcPr>
          <w:p w14:paraId="1B8939B1"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995.54 (0.90%)</w:t>
            </w:r>
          </w:p>
        </w:tc>
        <w:tc>
          <w:tcPr>
            <w:tcW w:w="0" w:type="auto"/>
            <w:vAlign w:val="bottom"/>
          </w:tcPr>
          <w:p w14:paraId="7A76F3F1"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12.57</w:t>
            </w:r>
          </w:p>
        </w:tc>
        <w:tc>
          <w:tcPr>
            <w:tcW w:w="0" w:type="auto"/>
          </w:tcPr>
          <w:p w14:paraId="4079710B"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3.05</w:t>
            </w:r>
            <w:r w:rsidRPr="0007575F">
              <w:rPr>
                <w:rFonts w:ascii="Arial" w:hAnsi="Arial" w:cs="Arial"/>
                <w:color w:val="000000" w:themeColor="text1"/>
                <w:sz w:val="20"/>
                <w:szCs w:val="20"/>
                <w:vertAlign w:val="superscript"/>
              </w:rPr>
              <w:t>***</w:t>
            </w:r>
          </w:p>
        </w:tc>
        <w:tc>
          <w:tcPr>
            <w:tcW w:w="0" w:type="auto"/>
          </w:tcPr>
          <w:p w14:paraId="0DF27CA7"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0.0001</w:t>
            </w:r>
          </w:p>
        </w:tc>
      </w:tr>
      <w:tr w:rsidR="007F03A3" w:rsidRPr="0007575F" w14:paraId="22584777" w14:textId="77777777" w:rsidTr="001A53CF">
        <w:trPr>
          <w:jc w:val="center"/>
        </w:trPr>
        <w:tc>
          <w:tcPr>
            <w:tcW w:w="0" w:type="auto"/>
            <w:vAlign w:val="center"/>
          </w:tcPr>
          <w:p w14:paraId="117FC684"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World</w:t>
            </w:r>
          </w:p>
        </w:tc>
        <w:tc>
          <w:tcPr>
            <w:tcW w:w="0" w:type="auto"/>
          </w:tcPr>
          <w:p w14:paraId="6DEF7FFB"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110329.10 (100%)</w:t>
            </w:r>
          </w:p>
        </w:tc>
        <w:tc>
          <w:tcPr>
            <w:tcW w:w="0" w:type="auto"/>
            <w:vAlign w:val="bottom"/>
          </w:tcPr>
          <w:p w14:paraId="180DABB5"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15.44</w:t>
            </w:r>
          </w:p>
        </w:tc>
        <w:tc>
          <w:tcPr>
            <w:tcW w:w="0" w:type="auto"/>
          </w:tcPr>
          <w:p w14:paraId="5F810B67" w14:textId="77777777" w:rsidR="007F03A3" w:rsidRPr="0007575F" w:rsidRDefault="007F03A3" w:rsidP="00950867">
            <w:pPr>
              <w:spacing w:line="360" w:lineRule="auto"/>
              <w:jc w:val="center"/>
              <w:rPr>
                <w:rFonts w:ascii="Arial" w:hAnsi="Arial" w:cs="Arial"/>
                <w:sz w:val="20"/>
                <w:szCs w:val="20"/>
                <w:vertAlign w:val="superscript"/>
              </w:rPr>
            </w:pPr>
            <w:r w:rsidRPr="0007575F">
              <w:rPr>
                <w:rFonts w:ascii="Arial" w:hAnsi="Arial" w:cs="Arial"/>
                <w:sz w:val="20"/>
                <w:szCs w:val="20"/>
              </w:rPr>
              <w:t>0.29</w:t>
            </w:r>
            <w:r w:rsidRPr="0007575F">
              <w:rPr>
                <w:rFonts w:ascii="Arial" w:hAnsi="Arial" w:cs="Arial"/>
                <w:sz w:val="20"/>
                <w:szCs w:val="20"/>
                <w:vertAlign w:val="superscript"/>
              </w:rPr>
              <w:t>NS</w:t>
            </w:r>
          </w:p>
        </w:tc>
        <w:tc>
          <w:tcPr>
            <w:tcW w:w="0" w:type="auto"/>
          </w:tcPr>
          <w:p w14:paraId="749F67A6"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0.8302</w:t>
            </w:r>
          </w:p>
        </w:tc>
      </w:tr>
    </w:tbl>
    <w:p w14:paraId="2FBA52F5" w14:textId="3D562387" w:rsidR="007F03A3" w:rsidRPr="00740196" w:rsidRDefault="00A264A0" w:rsidP="007F03A3">
      <w:pPr>
        <w:spacing w:line="360" w:lineRule="auto"/>
        <w:jc w:val="center"/>
        <w:rPr>
          <w:rFonts w:ascii="Arial" w:hAnsi="Arial" w:cs="Arial"/>
          <w:color w:val="000000" w:themeColor="text1"/>
          <w:sz w:val="20"/>
          <w:szCs w:val="20"/>
        </w:rPr>
      </w:pPr>
      <w:r w:rsidRPr="00740196">
        <w:rPr>
          <w:rFonts w:ascii="Arial" w:hAnsi="Arial" w:cs="Arial"/>
          <w:noProof/>
          <w:sz w:val="20"/>
          <w:szCs w:val="20"/>
        </w:rPr>
        <w:drawing>
          <wp:anchor distT="0" distB="0" distL="114300" distR="114300" simplePos="0" relativeHeight="251660288" behindDoc="1" locked="0" layoutInCell="1" allowOverlap="1" wp14:anchorId="6F4525AC" wp14:editId="61335CFB">
            <wp:simplePos x="0" y="0"/>
            <wp:positionH relativeFrom="margin">
              <wp:align>center</wp:align>
            </wp:positionH>
            <wp:positionV relativeFrom="paragraph">
              <wp:posOffset>246380</wp:posOffset>
            </wp:positionV>
            <wp:extent cx="5438775" cy="2707640"/>
            <wp:effectExtent l="0" t="0" r="9525" b="16510"/>
            <wp:wrapTopAndBottom/>
            <wp:docPr id="1012970348" name="Chart 1">
              <a:extLst xmlns:a="http://schemas.openxmlformats.org/drawingml/2006/main">
                <a:ext uri="{FF2B5EF4-FFF2-40B4-BE49-F238E27FC236}">
                  <a16:creationId xmlns:a16="http://schemas.microsoft.com/office/drawing/2014/main" id="{1047C394-42B5-D1AA-4307-52CCC6767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740196">
        <w:rPr>
          <w:rFonts w:ascii="Arial" w:hAnsi="Arial" w:cs="Arial"/>
          <w:sz w:val="20"/>
          <w:szCs w:val="20"/>
        </w:rPr>
        <w:t xml:space="preserve">                                                                       </w:t>
      </w:r>
      <w:r w:rsidR="0007575F">
        <w:rPr>
          <w:rFonts w:ascii="Arial" w:hAnsi="Arial" w:cs="Arial"/>
          <w:sz w:val="20"/>
          <w:szCs w:val="20"/>
        </w:rPr>
        <w:t xml:space="preserve">       </w:t>
      </w:r>
      <w:r w:rsidR="007F03A3" w:rsidRPr="0007575F">
        <w:rPr>
          <w:rFonts w:ascii="Arial" w:hAnsi="Arial" w:cs="Arial"/>
          <w:bCs/>
          <w:sz w:val="18"/>
          <w:szCs w:val="18"/>
        </w:rPr>
        <w:t>Source</w:t>
      </w:r>
      <w:r w:rsidR="007F03A3" w:rsidRPr="0007575F">
        <w:rPr>
          <w:rFonts w:ascii="Arial" w:hAnsi="Arial" w:cs="Arial"/>
          <w:b/>
          <w:bCs/>
          <w:sz w:val="18"/>
          <w:szCs w:val="18"/>
        </w:rPr>
        <w:t>:</w:t>
      </w:r>
      <w:r w:rsidR="007F03A3" w:rsidRPr="0007575F">
        <w:rPr>
          <w:rFonts w:ascii="Arial" w:hAnsi="Arial" w:cs="Arial"/>
          <w:sz w:val="18"/>
          <w:szCs w:val="18"/>
        </w:rPr>
        <w:t xml:space="preserve"> </w:t>
      </w:r>
      <w:hyperlink r:id="rId9" w:history="1">
        <w:r w:rsidR="007F03A3" w:rsidRPr="0007575F">
          <w:rPr>
            <w:rStyle w:val="Hyperlink"/>
            <w:rFonts w:ascii="Arial" w:hAnsi="Arial" w:cs="Arial"/>
            <w:color w:val="000000" w:themeColor="text1"/>
            <w:sz w:val="18"/>
            <w:szCs w:val="18"/>
            <w:u w:val="none"/>
          </w:rPr>
          <w:t>www.tridge.com</w:t>
        </w:r>
      </w:hyperlink>
    </w:p>
    <w:p w14:paraId="0D37C415" w14:textId="5B5A62B2" w:rsidR="007F03A3" w:rsidRDefault="007F03A3" w:rsidP="00A264A0">
      <w:pPr>
        <w:spacing w:line="360" w:lineRule="auto"/>
        <w:jc w:val="both"/>
        <w:rPr>
          <w:rFonts w:ascii="Arial" w:hAnsi="Arial" w:cs="Arial"/>
          <w:sz w:val="18"/>
          <w:szCs w:val="18"/>
        </w:rPr>
      </w:pPr>
      <w:r w:rsidRPr="00282EBA">
        <w:rPr>
          <w:rFonts w:ascii="Arial" w:hAnsi="Arial" w:cs="Arial"/>
          <w:sz w:val="18"/>
          <w:szCs w:val="18"/>
        </w:rPr>
        <w:t xml:space="preserve">. </w:t>
      </w:r>
      <w:r w:rsidR="00A264A0" w:rsidRPr="00282EBA">
        <w:rPr>
          <w:rFonts w:ascii="Arial" w:hAnsi="Arial" w:cs="Arial"/>
          <w:sz w:val="18"/>
          <w:szCs w:val="18"/>
        </w:rPr>
        <w:t xml:space="preserve">                                                                                         </w:t>
      </w:r>
      <w:r w:rsidR="00282EBA">
        <w:rPr>
          <w:rFonts w:ascii="Arial" w:hAnsi="Arial" w:cs="Arial"/>
          <w:sz w:val="18"/>
          <w:szCs w:val="18"/>
        </w:rPr>
        <w:t xml:space="preserve">                                             </w:t>
      </w:r>
      <w:r w:rsidRPr="00282EBA">
        <w:rPr>
          <w:rFonts w:ascii="Arial" w:hAnsi="Arial" w:cs="Arial"/>
          <w:bCs/>
          <w:sz w:val="18"/>
          <w:szCs w:val="18"/>
        </w:rPr>
        <w:t>Source</w:t>
      </w:r>
      <w:r w:rsidRPr="00282EBA">
        <w:rPr>
          <w:rFonts w:ascii="Arial" w:hAnsi="Arial" w:cs="Arial"/>
          <w:b/>
          <w:bCs/>
          <w:sz w:val="18"/>
          <w:szCs w:val="18"/>
        </w:rPr>
        <w:t>:</w:t>
      </w:r>
      <w:r w:rsidRPr="00282EBA">
        <w:rPr>
          <w:rFonts w:ascii="Arial" w:hAnsi="Arial" w:cs="Arial"/>
          <w:sz w:val="18"/>
          <w:szCs w:val="18"/>
        </w:rPr>
        <w:t xml:space="preserve"> www.indiastat.com</w:t>
      </w:r>
    </w:p>
    <w:p w14:paraId="131AFC59" w14:textId="68C23DFE" w:rsidR="005D48B1" w:rsidRPr="00544403" w:rsidRDefault="005D48B1" w:rsidP="005D48B1">
      <w:pPr>
        <w:spacing w:line="360" w:lineRule="auto"/>
        <w:jc w:val="center"/>
        <w:rPr>
          <w:rFonts w:ascii="Arial" w:hAnsi="Arial" w:cs="Arial"/>
          <w:b/>
          <w:sz w:val="20"/>
          <w:szCs w:val="18"/>
        </w:rPr>
      </w:pPr>
      <w:r w:rsidRPr="00544403">
        <w:rPr>
          <w:rFonts w:ascii="Arial" w:hAnsi="Arial" w:cs="Arial"/>
          <w:b/>
          <w:sz w:val="20"/>
          <w:szCs w:val="18"/>
        </w:rPr>
        <w:t>Fig. 2: Trend in cabbage production of India</w:t>
      </w:r>
    </w:p>
    <w:p w14:paraId="59FEA7CC" w14:textId="3276E35A" w:rsidR="001F740B" w:rsidRPr="00740196" w:rsidRDefault="007F03A3" w:rsidP="007F03A3">
      <w:pPr>
        <w:spacing w:line="360" w:lineRule="auto"/>
        <w:jc w:val="both"/>
        <w:rPr>
          <w:rFonts w:ascii="Arial" w:hAnsi="Arial" w:cs="Arial"/>
          <w:sz w:val="20"/>
          <w:szCs w:val="20"/>
        </w:rPr>
      </w:pPr>
      <w:r w:rsidRPr="00740196">
        <w:rPr>
          <w:rFonts w:ascii="Arial" w:hAnsi="Arial" w:cs="Arial"/>
          <w:b/>
          <w:bCs/>
          <w:sz w:val="20"/>
          <w:szCs w:val="20"/>
        </w:rPr>
        <w:t>3.3 Area, production and productivity of cabbage in India and their trend</w:t>
      </w:r>
      <w:r w:rsidR="00150E53">
        <w:rPr>
          <w:rFonts w:ascii="Arial" w:hAnsi="Arial" w:cs="Arial"/>
          <w:b/>
          <w:bCs/>
          <w:sz w:val="20"/>
          <w:szCs w:val="20"/>
        </w:rPr>
        <w:t>s</w:t>
      </w:r>
    </w:p>
    <w:p w14:paraId="15F80EC8" w14:textId="2A4F716D" w:rsidR="007F03A3" w:rsidRPr="00740196" w:rsidRDefault="001F740B" w:rsidP="007F03A3">
      <w:pPr>
        <w:spacing w:line="360" w:lineRule="auto"/>
        <w:jc w:val="both"/>
        <w:rPr>
          <w:rFonts w:ascii="Arial" w:hAnsi="Arial" w:cs="Arial"/>
          <w:sz w:val="20"/>
          <w:szCs w:val="20"/>
        </w:rPr>
      </w:pPr>
      <w:r w:rsidRPr="00740196">
        <w:rPr>
          <w:rFonts w:ascii="Arial" w:hAnsi="Arial" w:cs="Arial"/>
          <w:sz w:val="20"/>
          <w:szCs w:val="20"/>
        </w:rPr>
        <w:tab/>
      </w:r>
      <w:r w:rsidR="007F03A3" w:rsidRPr="00740196">
        <w:rPr>
          <w:rFonts w:ascii="Arial" w:hAnsi="Arial" w:cs="Arial"/>
          <w:sz w:val="20"/>
          <w:szCs w:val="20"/>
        </w:rPr>
        <w:t>To examine the performance of India in cabbage production and growth in area, production and productivity, the last twenty-five years (2000-01 to 2024-25) w</w:t>
      </w:r>
      <w:r w:rsidR="00F53000">
        <w:rPr>
          <w:rFonts w:ascii="Arial" w:hAnsi="Arial" w:cs="Arial"/>
          <w:sz w:val="20"/>
          <w:szCs w:val="20"/>
        </w:rPr>
        <w:t>ere</w:t>
      </w:r>
      <w:r w:rsidR="007F03A3" w:rsidRPr="00740196">
        <w:rPr>
          <w:rFonts w:ascii="Arial" w:hAnsi="Arial" w:cs="Arial"/>
          <w:sz w:val="20"/>
          <w:szCs w:val="20"/>
        </w:rPr>
        <w:t xml:space="preserve"> analyzed and shown in Table 5. The estimated mean area, production and productivity of cabbage over the said period were found </w:t>
      </w:r>
      <w:r w:rsidR="00F53000">
        <w:rPr>
          <w:rFonts w:ascii="Arial" w:hAnsi="Arial" w:cs="Arial"/>
          <w:sz w:val="20"/>
          <w:szCs w:val="20"/>
        </w:rPr>
        <w:t xml:space="preserve">at </w:t>
      </w:r>
      <w:r w:rsidR="007F03A3" w:rsidRPr="00740196">
        <w:rPr>
          <w:rFonts w:ascii="Arial" w:hAnsi="Arial" w:cs="Arial"/>
          <w:sz w:val="20"/>
          <w:szCs w:val="20"/>
        </w:rPr>
        <w:t xml:space="preserve">350.40 thousand ha., 7900.69 thousand ton and 22.48 ton/ha., respectively. However, the growth rate (CAGR) of area expansion, production and productivity was estimated as 2.60%, 2.73% and 0.14% respectively, which are all significant at </w:t>
      </w:r>
      <w:r w:rsidR="00F53000">
        <w:rPr>
          <w:rFonts w:ascii="Arial" w:hAnsi="Arial" w:cs="Arial"/>
          <w:sz w:val="20"/>
          <w:szCs w:val="20"/>
        </w:rPr>
        <w:t xml:space="preserve">the </w:t>
      </w:r>
      <w:r w:rsidR="007F03A3" w:rsidRPr="00740196">
        <w:rPr>
          <w:rFonts w:ascii="Arial" w:hAnsi="Arial" w:cs="Arial"/>
          <w:sz w:val="20"/>
          <w:szCs w:val="20"/>
        </w:rPr>
        <w:t xml:space="preserve">1 % level of probability. Whereas, the instability index (CV) was observed to be highest in production with 22.29% variation followed by area (20.80%). However, </w:t>
      </w:r>
      <w:r w:rsidR="00F53000">
        <w:rPr>
          <w:rFonts w:ascii="Arial" w:hAnsi="Arial" w:cs="Arial"/>
          <w:sz w:val="20"/>
          <w:szCs w:val="20"/>
        </w:rPr>
        <w:t xml:space="preserve">the </w:t>
      </w:r>
      <w:r w:rsidR="007F03A3" w:rsidRPr="00740196">
        <w:rPr>
          <w:rFonts w:ascii="Arial" w:hAnsi="Arial" w:cs="Arial"/>
          <w:sz w:val="20"/>
          <w:szCs w:val="20"/>
        </w:rPr>
        <w:t xml:space="preserve">instability index for </w:t>
      </w:r>
      <w:r w:rsidR="007F03A3" w:rsidRPr="00740196">
        <w:rPr>
          <w:rFonts w:ascii="Arial" w:hAnsi="Arial" w:cs="Arial"/>
          <w:sz w:val="20"/>
          <w:szCs w:val="20"/>
        </w:rPr>
        <w:lastRenderedPageBreak/>
        <w:t>productivity was estimated at 2.67% indicat</w:t>
      </w:r>
      <w:r w:rsidR="00F53000">
        <w:rPr>
          <w:rFonts w:ascii="Arial" w:hAnsi="Arial" w:cs="Arial"/>
          <w:sz w:val="20"/>
          <w:szCs w:val="20"/>
        </w:rPr>
        <w:t>ing</w:t>
      </w:r>
      <w:r w:rsidR="007F03A3" w:rsidRPr="00740196">
        <w:rPr>
          <w:rFonts w:ascii="Arial" w:hAnsi="Arial" w:cs="Arial"/>
          <w:sz w:val="20"/>
          <w:szCs w:val="20"/>
        </w:rPr>
        <w:t xml:space="preserve"> that the continuity in productivity enhancement was more stable than area and production. Further, the linear trend lines of area and production (Fig. 3) also revealed that the growth of both area and production of cabbage was </w:t>
      </w:r>
      <w:r w:rsidR="00F53000">
        <w:rPr>
          <w:rFonts w:ascii="Arial" w:hAnsi="Arial" w:cs="Arial"/>
          <w:sz w:val="20"/>
          <w:szCs w:val="20"/>
        </w:rPr>
        <w:t>on a</w:t>
      </w:r>
      <w:r w:rsidR="007F03A3" w:rsidRPr="00740196">
        <w:rPr>
          <w:rFonts w:ascii="Arial" w:hAnsi="Arial" w:cs="Arial"/>
          <w:sz w:val="20"/>
          <w:szCs w:val="20"/>
        </w:rPr>
        <w:t xml:space="preserve"> positive trend with R² of 0.899 and 0.937 respectively. It was also noticed that the annual growth rate (CAGR) for both area</w:t>
      </w:r>
      <w:r w:rsidR="00F53000">
        <w:rPr>
          <w:rFonts w:ascii="Arial" w:hAnsi="Arial" w:cs="Arial"/>
          <w:sz w:val="20"/>
          <w:szCs w:val="20"/>
        </w:rPr>
        <w:t>s</w:t>
      </w:r>
      <w:r w:rsidR="007F03A3" w:rsidRPr="00740196">
        <w:rPr>
          <w:rFonts w:ascii="Arial" w:hAnsi="Arial" w:cs="Arial"/>
          <w:sz w:val="20"/>
          <w:szCs w:val="20"/>
        </w:rPr>
        <w:t xml:space="preserve"> and production was almost identical. Another important finding underscoring steady expansion driven more by area than yield gains. The low productivity growth (0.14 % CAGR) compared to </w:t>
      </w:r>
      <w:r w:rsidR="00F53000">
        <w:rPr>
          <w:rFonts w:ascii="Arial" w:hAnsi="Arial" w:cs="Arial"/>
          <w:sz w:val="20"/>
          <w:szCs w:val="20"/>
        </w:rPr>
        <w:t xml:space="preserve">the </w:t>
      </w:r>
      <w:r w:rsidR="007F03A3" w:rsidRPr="00740196">
        <w:rPr>
          <w:rFonts w:ascii="Arial" w:hAnsi="Arial" w:cs="Arial"/>
          <w:sz w:val="20"/>
          <w:szCs w:val="20"/>
        </w:rPr>
        <w:t>area (2.60 %) harnesses the need for technological breakthrough</w:t>
      </w:r>
      <w:r w:rsidR="00F53000">
        <w:rPr>
          <w:rFonts w:ascii="Arial" w:hAnsi="Arial" w:cs="Arial"/>
          <w:sz w:val="20"/>
          <w:szCs w:val="20"/>
        </w:rPr>
        <w:t>s</w:t>
      </w:r>
      <w:r w:rsidR="007F03A3" w:rsidRPr="00740196">
        <w:rPr>
          <w:rFonts w:ascii="Arial" w:hAnsi="Arial" w:cs="Arial"/>
          <w:sz w:val="20"/>
          <w:szCs w:val="20"/>
        </w:rPr>
        <w:t xml:space="preserve"> to </w:t>
      </w:r>
      <w:r w:rsidR="00DD1934">
        <w:rPr>
          <w:rFonts w:ascii="Arial" w:hAnsi="Arial" w:cs="Arial"/>
          <w:sz w:val="20"/>
          <w:szCs w:val="20"/>
        </w:rPr>
        <w:t>enhance</w:t>
      </w:r>
      <w:r w:rsidR="007F03A3" w:rsidRPr="00740196">
        <w:rPr>
          <w:rFonts w:ascii="Arial" w:hAnsi="Arial" w:cs="Arial"/>
          <w:sz w:val="20"/>
          <w:szCs w:val="20"/>
        </w:rPr>
        <w:t xml:space="preserve"> future output.</w:t>
      </w:r>
    </w:p>
    <w:p w14:paraId="685BC281" w14:textId="0231287E" w:rsidR="007F03A3" w:rsidRPr="00740196" w:rsidRDefault="007F03A3" w:rsidP="007F03A3">
      <w:pPr>
        <w:spacing w:line="360" w:lineRule="auto"/>
        <w:jc w:val="both"/>
        <w:rPr>
          <w:rFonts w:ascii="Arial" w:hAnsi="Arial" w:cs="Arial"/>
          <w:b/>
          <w:bCs/>
          <w:sz w:val="20"/>
          <w:szCs w:val="20"/>
        </w:rPr>
      </w:pPr>
      <w:r w:rsidRPr="00740196">
        <w:rPr>
          <w:rFonts w:ascii="Arial" w:hAnsi="Arial" w:cs="Arial"/>
          <w:b/>
          <w:bCs/>
          <w:sz w:val="20"/>
          <w:szCs w:val="20"/>
        </w:rPr>
        <w:t>Table 5</w:t>
      </w:r>
      <w:r w:rsidR="00544403">
        <w:rPr>
          <w:rFonts w:ascii="Arial" w:hAnsi="Arial" w:cs="Arial"/>
          <w:b/>
          <w:bCs/>
          <w:sz w:val="20"/>
          <w:szCs w:val="20"/>
        </w:rPr>
        <w:t>.</w:t>
      </w:r>
      <w:r w:rsidRPr="00740196">
        <w:rPr>
          <w:rFonts w:ascii="Arial" w:hAnsi="Arial" w:cs="Arial"/>
          <w:b/>
          <w:bCs/>
          <w:sz w:val="20"/>
          <w:szCs w:val="20"/>
        </w:rPr>
        <w:t xml:space="preserve"> </w:t>
      </w:r>
      <w:r w:rsidR="00805027">
        <w:rPr>
          <w:rFonts w:ascii="Arial" w:hAnsi="Arial" w:cs="Arial"/>
          <w:b/>
          <w:bCs/>
          <w:sz w:val="20"/>
          <w:szCs w:val="20"/>
        </w:rPr>
        <w:t xml:space="preserve">Trend in </w:t>
      </w:r>
      <w:r w:rsidRPr="00740196">
        <w:rPr>
          <w:rFonts w:ascii="Arial" w:hAnsi="Arial" w:cs="Arial"/>
          <w:b/>
          <w:bCs/>
          <w:sz w:val="20"/>
          <w:szCs w:val="20"/>
        </w:rPr>
        <w:t>Area, production and productivity of cabbage in India from 2000-01 to 2024-25</w:t>
      </w:r>
      <w:r w:rsidR="00805027">
        <w:rPr>
          <w:rFonts w:ascii="Arial" w:hAnsi="Arial" w:cs="Arial"/>
          <w:b/>
          <w:bCs/>
          <w:sz w:val="20"/>
          <w:szCs w:val="20"/>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1576"/>
        <w:gridCol w:w="2186"/>
        <w:gridCol w:w="2194"/>
      </w:tblGrid>
      <w:tr w:rsidR="007F03A3" w:rsidRPr="00544403" w14:paraId="5BFAF503" w14:textId="77777777" w:rsidTr="001A53CF">
        <w:trPr>
          <w:trHeight w:val="332"/>
          <w:jc w:val="center"/>
        </w:trPr>
        <w:tc>
          <w:tcPr>
            <w:tcW w:w="0" w:type="auto"/>
            <w:tcBorders>
              <w:bottom w:val="single" w:sz="4" w:space="0" w:color="auto"/>
            </w:tcBorders>
            <w:vAlign w:val="center"/>
            <w:hideMark/>
          </w:tcPr>
          <w:p w14:paraId="2341C361" w14:textId="77777777" w:rsidR="007F03A3" w:rsidRPr="00544403" w:rsidRDefault="007F03A3" w:rsidP="00516745">
            <w:pPr>
              <w:spacing w:after="160"/>
              <w:rPr>
                <w:rFonts w:ascii="Arial" w:hAnsi="Arial" w:cs="Arial"/>
                <w:b/>
                <w:sz w:val="20"/>
                <w:szCs w:val="20"/>
              </w:rPr>
            </w:pPr>
            <w:r w:rsidRPr="00544403">
              <w:rPr>
                <w:rFonts w:ascii="Arial" w:hAnsi="Arial" w:cs="Arial"/>
                <w:b/>
                <w:sz w:val="20"/>
                <w:szCs w:val="20"/>
              </w:rPr>
              <w:t>Particulars</w:t>
            </w:r>
          </w:p>
        </w:tc>
        <w:tc>
          <w:tcPr>
            <w:tcW w:w="0" w:type="auto"/>
            <w:tcBorders>
              <w:bottom w:val="single" w:sz="4" w:space="0" w:color="auto"/>
            </w:tcBorders>
            <w:vAlign w:val="center"/>
            <w:hideMark/>
          </w:tcPr>
          <w:p w14:paraId="2CF12506" w14:textId="00C8C720" w:rsidR="007F03A3" w:rsidRPr="00544403" w:rsidRDefault="007F03A3" w:rsidP="001A53CF">
            <w:pPr>
              <w:spacing w:after="160"/>
              <w:jc w:val="center"/>
              <w:rPr>
                <w:rFonts w:ascii="Arial" w:hAnsi="Arial" w:cs="Arial"/>
                <w:b/>
                <w:sz w:val="20"/>
                <w:szCs w:val="20"/>
              </w:rPr>
            </w:pPr>
            <w:r w:rsidRPr="00544403">
              <w:rPr>
                <w:rFonts w:ascii="Arial" w:hAnsi="Arial" w:cs="Arial"/>
                <w:b/>
                <w:sz w:val="20"/>
                <w:szCs w:val="20"/>
              </w:rPr>
              <w:t>Area</w:t>
            </w:r>
            <w:r w:rsidR="00DF6F17" w:rsidRPr="00544403">
              <w:rPr>
                <w:rFonts w:ascii="Arial" w:hAnsi="Arial" w:cs="Arial"/>
                <w:b/>
                <w:sz w:val="20"/>
                <w:szCs w:val="20"/>
              </w:rPr>
              <w:t xml:space="preserve"> (000</w:t>
            </w:r>
            <w:r w:rsidR="006455B1">
              <w:rPr>
                <w:rFonts w:ascii="Arial" w:hAnsi="Arial" w:cs="Arial"/>
                <w:b/>
                <w:sz w:val="20"/>
                <w:szCs w:val="20"/>
              </w:rPr>
              <w:t>'</w:t>
            </w:r>
            <w:r w:rsidR="00DF6F17" w:rsidRPr="00544403">
              <w:rPr>
                <w:rFonts w:ascii="Arial" w:hAnsi="Arial" w:cs="Arial"/>
                <w:b/>
                <w:sz w:val="20"/>
                <w:szCs w:val="20"/>
              </w:rPr>
              <w:t xml:space="preserve"> ha.)</w:t>
            </w:r>
          </w:p>
        </w:tc>
        <w:tc>
          <w:tcPr>
            <w:tcW w:w="0" w:type="auto"/>
            <w:tcBorders>
              <w:bottom w:val="single" w:sz="4" w:space="0" w:color="auto"/>
            </w:tcBorders>
            <w:vAlign w:val="center"/>
            <w:hideMark/>
          </w:tcPr>
          <w:p w14:paraId="3A262747" w14:textId="5A5F3E6B" w:rsidR="007F03A3" w:rsidRPr="00544403" w:rsidRDefault="007F03A3" w:rsidP="001A53CF">
            <w:pPr>
              <w:spacing w:after="160"/>
              <w:jc w:val="center"/>
              <w:rPr>
                <w:rFonts w:ascii="Arial" w:hAnsi="Arial" w:cs="Arial"/>
                <w:b/>
                <w:sz w:val="20"/>
                <w:szCs w:val="20"/>
              </w:rPr>
            </w:pPr>
            <w:r w:rsidRPr="00544403">
              <w:rPr>
                <w:rFonts w:ascii="Arial" w:hAnsi="Arial" w:cs="Arial"/>
                <w:b/>
                <w:sz w:val="20"/>
                <w:szCs w:val="20"/>
              </w:rPr>
              <w:t>Production</w:t>
            </w:r>
            <w:r w:rsidR="00DF6F17" w:rsidRPr="00544403">
              <w:rPr>
                <w:rFonts w:ascii="Arial" w:hAnsi="Arial" w:cs="Arial"/>
                <w:b/>
                <w:sz w:val="20"/>
                <w:szCs w:val="20"/>
              </w:rPr>
              <w:t xml:space="preserve"> (000</w:t>
            </w:r>
            <w:r w:rsidR="006455B1">
              <w:rPr>
                <w:rFonts w:ascii="Arial" w:hAnsi="Arial" w:cs="Arial"/>
                <w:b/>
                <w:sz w:val="20"/>
                <w:szCs w:val="20"/>
              </w:rPr>
              <w:t>'</w:t>
            </w:r>
            <w:r w:rsidR="00DF6F17" w:rsidRPr="00544403">
              <w:rPr>
                <w:rFonts w:ascii="Arial" w:hAnsi="Arial" w:cs="Arial"/>
                <w:b/>
                <w:sz w:val="20"/>
                <w:szCs w:val="20"/>
              </w:rPr>
              <w:t xml:space="preserve"> MT)</w:t>
            </w:r>
          </w:p>
        </w:tc>
        <w:tc>
          <w:tcPr>
            <w:tcW w:w="0" w:type="auto"/>
            <w:tcBorders>
              <w:bottom w:val="single" w:sz="4" w:space="0" w:color="auto"/>
            </w:tcBorders>
            <w:vAlign w:val="center"/>
            <w:hideMark/>
          </w:tcPr>
          <w:p w14:paraId="64BDAF4C" w14:textId="394CE81C" w:rsidR="007F03A3" w:rsidRPr="00544403" w:rsidRDefault="007F03A3" w:rsidP="001A53CF">
            <w:pPr>
              <w:spacing w:after="160"/>
              <w:jc w:val="center"/>
              <w:rPr>
                <w:rFonts w:ascii="Arial" w:hAnsi="Arial" w:cs="Arial"/>
                <w:b/>
                <w:sz w:val="20"/>
                <w:szCs w:val="20"/>
              </w:rPr>
            </w:pPr>
            <w:r w:rsidRPr="00544403">
              <w:rPr>
                <w:rFonts w:ascii="Arial" w:hAnsi="Arial" w:cs="Arial"/>
                <w:b/>
                <w:sz w:val="20"/>
                <w:szCs w:val="20"/>
              </w:rPr>
              <w:t>Productivity</w:t>
            </w:r>
            <w:r w:rsidR="00DF6F17" w:rsidRPr="00544403">
              <w:rPr>
                <w:rFonts w:ascii="Arial" w:hAnsi="Arial" w:cs="Arial"/>
                <w:b/>
                <w:sz w:val="20"/>
                <w:szCs w:val="20"/>
              </w:rPr>
              <w:t xml:space="preserve"> (MT/ha.)</w:t>
            </w:r>
          </w:p>
        </w:tc>
      </w:tr>
      <w:tr w:rsidR="007F03A3" w:rsidRPr="001620D7" w14:paraId="19BCEDD1" w14:textId="77777777" w:rsidTr="001A53CF">
        <w:trPr>
          <w:trHeight w:val="323"/>
          <w:jc w:val="center"/>
        </w:trPr>
        <w:tc>
          <w:tcPr>
            <w:tcW w:w="0" w:type="auto"/>
            <w:tcBorders>
              <w:top w:val="single" w:sz="4" w:space="0" w:color="auto"/>
              <w:bottom w:val="nil"/>
            </w:tcBorders>
          </w:tcPr>
          <w:p w14:paraId="45965E57" w14:textId="2757A1E7" w:rsidR="007F03A3" w:rsidRPr="001620D7" w:rsidRDefault="001A53CF" w:rsidP="00950867">
            <w:pPr>
              <w:spacing w:line="360" w:lineRule="auto"/>
              <w:rPr>
                <w:rFonts w:ascii="Arial" w:hAnsi="Arial" w:cs="Arial"/>
                <w:sz w:val="20"/>
                <w:szCs w:val="20"/>
              </w:rPr>
            </w:pPr>
            <w:r w:rsidRPr="001620D7">
              <w:rPr>
                <w:rFonts w:ascii="Arial" w:hAnsi="Arial" w:cs="Arial"/>
                <w:sz w:val="20"/>
                <w:szCs w:val="20"/>
              </w:rPr>
              <w:t>M</w:t>
            </w:r>
            <w:r w:rsidR="007F03A3" w:rsidRPr="001620D7">
              <w:rPr>
                <w:rFonts w:ascii="Arial" w:hAnsi="Arial" w:cs="Arial"/>
                <w:sz w:val="20"/>
                <w:szCs w:val="20"/>
              </w:rPr>
              <w:t>ean</w:t>
            </w:r>
          </w:p>
        </w:tc>
        <w:tc>
          <w:tcPr>
            <w:tcW w:w="0" w:type="auto"/>
            <w:tcBorders>
              <w:top w:val="single" w:sz="4" w:space="0" w:color="auto"/>
              <w:bottom w:val="nil"/>
            </w:tcBorders>
          </w:tcPr>
          <w:p w14:paraId="34ADF8D0"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350.40</w:t>
            </w:r>
          </w:p>
        </w:tc>
        <w:tc>
          <w:tcPr>
            <w:tcW w:w="0" w:type="auto"/>
            <w:tcBorders>
              <w:top w:val="single" w:sz="4" w:space="0" w:color="auto"/>
              <w:bottom w:val="nil"/>
            </w:tcBorders>
          </w:tcPr>
          <w:p w14:paraId="112F08CD"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7900.69</w:t>
            </w:r>
          </w:p>
        </w:tc>
        <w:tc>
          <w:tcPr>
            <w:tcW w:w="0" w:type="auto"/>
            <w:tcBorders>
              <w:top w:val="single" w:sz="4" w:space="0" w:color="auto"/>
              <w:bottom w:val="nil"/>
            </w:tcBorders>
          </w:tcPr>
          <w:p w14:paraId="54714DA7"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22.48</w:t>
            </w:r>
          </w:p>
        </w:tc>
      </w:tr>
      <w:tr w:rsidR="007F03A3" w:rsidRPr="001620D7" w14:paraId="5D899E00" w14:textId="77777777" w:rsidTr="001A53CF">
        <w:trPr>
          <w:trHeight w:val="323"/>
          <w:jc w:val="center"/>
        </w:trPr>
        <w:tc>
          <w:tcPr>
            <w:tcW w:w="0" w:type="auto"/>
            <w:tcBorders>
              <w:top w:val="nil"/>
              <w:bottom w:val="nil"/>
            </w:tcBorders>
          </w:tcPr>
          <w:p w14:paraId="7FFC1ED9" w14:textId="77777777" w:rsidR="007F03A3" w:rsidRPr="001620D7" w:rsidRDefault="007F03A3" w:rsidP="00950867">
            <w:pPr>
              <w:spacing w:line="360" w:lineRule="auto"/>
              <w:rPr>
                <w:rFonts w:ascii="Arial" w:hAnsi="Arial" w:cs="Arial"/>
                <w:sz w:val="20"/>
                <w:szCs w:val="20"/>
              </w:rPr>
            </w:pPr>
            <w:r w:rsidRPr="001620D7">
              <w:rPr>
                <w:rFonts w:ascii="Arial" w:hAnsi="Arial" w:cs="Arial"/>
                <w:sz w:val="20"/>
                <w:szCs w:val="20"/>
              </w:rPr>
              <w:t>SD</w:t>
            </w:r>
          </w:p>
        </w:tc>
        <w:tc>
          <w:tcPr>
            <w:tcW w:w="0" w:type="auto"/>
            <w:tcBorders>
              <w:top w:val="nil"/>
              <w:bottom w:val="nil"/>
            </w:tcBorders>
          </w:tcPr>
          <w:p w14:paraId="06386651"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72.87</w:t>
            </w:r>
          </w:p>
        </w:tc>
        <w:tc>
          <w:tcPr>
            <w:tcW w:w="0" w:type="auto"/>
            <w:tcBorders>
              <w:top w:val="nil"/>
              <w:bottom w:val="nil"/>
            </w:tcBorders>
          </w:tcPr>
          <w:p w14:paraId="3CB9F217"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1761.13</w:t>
            </w:r>
          </w:p>
        </w:tc>
        <w:tc>
          <w:tcPr>
            <w:tcW w:w="0" w:type="auto"/>
            <w:tcBorders>
              <w:top w:val="nil"/>
              <w:bottom w:val="nil"/>
            </w:tcBorders>
          </w:tcPr>
          <w:p w14:paraId="44892CD4"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0.60</w:t>
            </w:r>
          </w:p>
        </w:tc>
      </w:tr>
      <w:tr w:rsidR="007F03A3" w:rsidRPr="001620D7" w14:paraId="401A1FD2" w14:textId="77777777" w:rsidTr="001A53CF">
        <w:trPr>
          <w:trHeight w:val="323"/>
          <w:jc w:val="center"/>
        </w:trPr>
        <w:tc>
          <w:tcPr>
            <w:tcW w:w="0" w:type="auto"/>
            <w:tcBorders>
              <w:top w:val="nil"/>
            </w:tcBorders>
          </w:tcPr>
          <w:p w14:paraId="037F4FCE" w14:textId="77777777" w:rsidR="007F03A3" w:rsidRPr="001620D7" w:rsidRDefault="007F03A3" w:rsidP="00950867">
            <w:pPr>
              <w:spacing w:line="360" w:lineRule="auto"/>
              <w:rPr>
                <w:rFonts w:ascii="Arial" w:hAnsi="Arial" w:cs="Arial"/>
                <w:sz w:val="20"/>
                <w:szCs w:val="20"/>
              </w:rPr>
            </w:pPr>
            <w:r w:rsidRPr="001620D7">
              <w:rPr>
                <w:rFonts w:ascii="Arial" w:hAnsi="Arial" w:cs="Arial"/>
                <w:sz w:val="20"/>
                <w:szCs w:val="20"/>
              </w:rPr>
              <w:t>CV (%)</w:t>
            </w:r>
          </w:p>
        </w:tc>
        <w:tc>
          <w:tcPr>
            <w:tcW w:w="0" w:type="auto"/>
            <w:tcBorders>
              <w:top w:val="nil"/>
            </w:tcBorders>
            <w:vAlign w:val="bottom"/>
          </w:tcPr>
          <w:p w14:paraId="4625313B"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color w:val="000000"/>
                <w:sz w:val="20"/>
                <w:szCs w:val="20"/>
              </w:rPr>
              <w:t>20.80</w:t>
            </w:r>
          </w:p>
        </w:tc>
        <w:tc>
          <w:tcPr>
            <w:tcW w:w="0" w:type="auto"/>
            <w:tcBorders>
              <w:top w:val="nil"/>
            </w:tcBorders>
            <w:vAlign w:val="bottom"/>
          </w:tcPr>
          <w:p w14:paraId="1BDE8265"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color w:val="000000"/>
                <w:sz w:val="20"/>
                <w:szCs w:val="20"/>
              </w:rPr>
              <w:t>22.29</w:t>
            </w:r>
          </w:p>
        </w:tc>
        <w:tc>
          <w:tcPr>
            <w:tcW w:w="0" w:type="auto"/>
            <w:tcBorders>
              <w:top w:val="nil"/>
            </w:tcBorders>
            <w:vAlign w:val="bottom"/>
          </w:tcPr>
          <w:p w14:paraId="423D2DFD"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color w:val="000000"/>
                <w:sz w:val="20"/>
                <w:szCs w:val="20"/>
              </w:rPr>
              <w:t>2.67</w:t>
            </w:r>
          </w:p>
        </w:tc>
      </w:tr>
      <w:tr w:rsidR="007F03A3" w:rsidRPr="001620D7" w14:paraId="458649EB" w14:textId="77777777" w:rsidTr="001A53CF">
        <w:trPr>
          <w:trHeight w:val="323"/>
          <w:jc w:val="center"/>
        </w:trPr>
        <w:tc>
          <w:tcPr>
            <w:tcW w:w="0" w:type="auto"/>
          </w:tcPr>
          <w:p w14:paraId="45439E1F" w14:textId="77777777" w:rsidR="007F03A3" w:rsidRPr="001620D7" w:rsidRDefault="007F03A3" w:rsidP="00950867">
            <w:pPr>
              <w:spacing w:line="360" w:lineRule="auto"/>
              <w:rPr>
                <w:rFonts w:ascii="Arial" w:hAnsi="Arial" w:cs="Arial"/>
                <w:sz w:val="20"/>
                <w:szCs w:val="20"/>
                <w:vertAlign w:val="superscript"/>
              </w:rPr>
            </w:pPr>
            <w:r w:rsidRPr="001620D7">
              <w:rPr>
                <w:rFonts w:ascii="Arial" w:hAnsi="Arial" w:cs="Arial"/>
                <w:sz w:val="20"/>
                <w:szCs w:val="20"/>
              </w:rPr>
              <w:t>R²</w:t>
            </w:r>
          </w:p>
        </w:tc>
        <w:tc>
          <w:tcPr>
            <w:tcW w:w="0" w:type="auto"/>
          </w:tcPr>
          <w:p w14:paraId="4E15D524"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0.899</w:t>
            </w:r>
          </w:p>
        </w:tc>
        <w:tc>
          <w:tcPr>
            <w:tcW w:w="0" w:type="auto"/>
          </w:tcPr>
          <w:p w14:paraId="369EA3AA"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0.937</w:t>
            </w:r>
          </w:p>
        </w:tc>
        <w:tc>
          <w:tcPr>
            <w:tcW w:w="0" w:type="auto"/>
          </w:tcPr>
          <w:p w14:paraId="7EF98593"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0.430</w:t>
            </w:r>
          </w:p>
        </w:tc>
      </w:tr>
      <w:tr w:rsidR="007F03A3" w:rsidRPr="001620D7" w14:paraId="107D6E36" w14:textId="77777777" w:rsidTr="001A53CF">
        <w:trPr>
          <w:trHeight w:val="323"/>
          <w:jc w:val="center"/>
        </w:trPr>
        <w:tc>
          <w:tcPr>
            <w:tcW w:w="0" w:type="auto"/>
          </w:tcPr>
          <w:p w14:paraId="4BCE9D67" w14:textId="77777777" w:rsidR="007F03A3" w:rsidRPr="001620D7" w:rsidRDefault="007F03A3" w:rsidP="00950867">
            <w:pPr>
              <w:spacing w:line="360" w:lineRule="auto"/>
              <w:rPr>
                <w:rFonts w:ascii="Arial" w:hAnsi="Arial" w:cs="Arial"/>
                <w:sz w:val="20"/>
                <w:szCs w:val="20"/>
              </w:rPr>
            </w:pPr>
            <w:r w:rsidRPr="001620D7">
              <w:rPr>
                <w:rFonts w:ascii="Arial" w:hAnsi="Arial" w:cs="Arial"/>
                <w:sz w:val="20"/>
                <w:szCs w:val="20"/>
              </w:rPr>
              <w:t>CAGR (%)</w:t>
            </w:r>
          </w:p>
        </w:tc>
        <w:tc>
          <w:tcPr>
            <w:tcW w:w="0" w:type="auto"/>
          </w:tcPr>
          <w:p w14:paraId="50795AE0" w14:textId="77777777" w:rsidR="007F03A3" w:rsidRPr="001620D7" w:rsidRDefault="007F03A3" w:rsidP="00950867">
            <w:pPr>
              <w:spacing w:line="360" w:lineRule="auto"/>
              <w:jc w:val="center"/>
              <w:rPr>
                <w:rFonts w:ascii="Arial" w:hAnsi="Arial" w:cs="Arial"/>
                <w:sz w:val="20"/>
                <w:szCs w:val="20"/>
                <w:vertAlign w:val="superscript"/>
              </w:rPr>
            </w:pPr>
            <w:r w:rsidRPr="001620D7">
              <w:rPr>
                <w:rFonts w:ascii="Arial" w:hAnsi="Arial" w:cs="Arial"/>
                <w:sz w:val="20"/>
                <w:szCs w:val="20"/>
              </w:rPr>
              <w:t>2.60</w:t>
            </w:r>
            <w:r w:rsidRPr="001620D7">
              <w:rPr>
                <w:rFonts w:ascii="Arial" w:hAnsi="Arial" w:cs="Arial"/>
                <w:sz w:val="20"/>
                <w:szCs w:val="20"/>
                <w:vertAlign w:val="superscript"/>
              </w:rPr>
              <w:t>***</w:t>
            </w:r>
          </w:p>
        </w:tc>
        <w:tc>
          <w:tcPr>
            <w:tcW w:w="0" w:type="auto"/>
          </w:tcPr>
          <w:p w14:paraId="5AA010C6" w14:textId="77777777" w:rsidR="007F03A3" w:rsidRPr="001620D7" w:rsidRDefault="007F03A3" w:rsidP="00950867">
            <w:pPr>
              <w:spacing w:line="360" w:lineRule="auto"/>
              <w:jc w:val="center"/>
              <w:rPr>
                <w:rFonts w:ascii="Arial" w:hAnsi="Arial" w:cs="Arial"/>
                <w:sz w:val="20"/>
                <w:szCs w:val="20"/>
                <w:vertAlign w:val="superscript"/>
              </w:rPr>
            </w:pPr>
            <w:r w:rsidRPr="001620D7">
              <w:rPr>
                <w:rFonts w:ascii="Arial" w:hAnsi="Arial" w:cs="Arial"/>
                <w:sz w:val="20"/>
                <w:szCs w:val="20"/>
              </w:rPr>
              <w:t>2.73</w:t>
            </w:r>
            <w:r w:rsidRPr="001620D7">
              <w:rPr>
                <w:rFonts w:ascii="Arial" w:hAnsi="Arial" w:cs="Arial"/>
                <w:sz w:val="20"/>
                <w:szCs w:val="20"/>
                <w:vertAlign w:val="superscript"/>
              </w:rPr>
              <w:t>***</w:t>
            </w:r>
          </w:p>
        </w:tc>
        <w:tc>
          <w:tcPr>
            <w:tcW w:w="0" w:type="auto"/>
          </w:tcPr>
          <w:p w14:paraId="49B06E1F" w14:textId="77777777" w:rsidR="007F03A3" w:rsidRPr="001620D7" w:rsidRDefault="007F03A3" w:rsidP="00950867">
            <w:pPr>
              <w:spacing w:line="360" w:lineRule="auto"/>
              <w:jc w:val="center"/>
              <w:rPr>
                <w:rFonts w:ascii="Arial" w:hAnsi="Arial" w:cs="Arial"/>
                <w:sz w:val="20"/>
                <w:szCs w:val="20"/>
                <w:vertAlign w:val="superscript"/>
              </w:rPr>
            </w:pPr>
            <w:r w:rsidRPr="001620D7">
              <w:rPr>
                <w:rFonts w:ascii="Arial" w:hAnsi="Arial" w:cs="Arial"/>
                <w:sz w:val="20"/>
                <w:szCs w:val="20"/>
              </w:rPr>
              <w:t>0.14</w:t>
            </w:r>
            <w:r w:rsidRPr="001620D7">
              <w:rPr>
                <w:rFonts w:ascii="Arial" w:hAnsi="Arial" w:cs="Arial"/>
                <w:sz w:val="20"/>
                <w:szCs w:val="20"/>
                <w:vertAlign w:val="superscript"/>
              </w:rPr>
              <w:t>***</w:t>
            </w:r>
          </w:p>
        </w:tc>
      </w:tr>
    </w:tbl>
    <w:p w14:paraId="36F9C404" w14:textId="2A1643F1" w:rsidR="007F03A3" w:rsidRPr="00740196" w:rsidRDefault="001620D7" w:rsidP="007F03A3">
      <w:pPr>
        <w:spacing w:line="360" w:lineRule="auto"/>
        <w:jc w:val="center"/>
        <w:rPr>
          <w:rFonts w:ascii="Arial" w:hAnsi="Arial" w:cs="Arial"/>
          <w:sz w:val="20"/>
          <w:szCs w:val="20"/>
        </w:rPr>
      </w:pPr>
      <w:r w:rsidRPr="00740196">
        <w:rPr>
          <w:rFonts w:ascii="Arial" w:hAnsi="Arial" w:cs="Arial"/>
          <w:bCs/>
          <w:noProof/>
          <w:sz w:val="20"/>
          <w:szCs w:val="20"/>
        </w:rPr>
        <w:drawing>
          <wp:anchor distT="0" distB="0" distL="114300" distR="114300" simplePos="0" relativeHeight="251659264" behindDoc="1" locked="0" layoutInCell="1" allowOverlap="1" wp14:anchorId="3E338CFF" wp14:editId="0F916D44">
            <wp:simplePos x="0" y="0"/>
            <wp:positionH relativeFrom="margin">
              <wp:posOffset>341630</wp:posOffset>
            </wp:positionH>
            <wp:positionV relativeFrom="paragraph">
              <wp:posOffset>426085</wp:posOffset>
            </wp:positionV>
            <wp:extent cx="5239385" cy="3323590"/>
            <wp:effectExtent l="0" t="0" r="18415" b="10160"/>
            <wp:wrapTopAndBottom/>
            <wp:docPr id="430310534" name="Chart 1">
              <a:extLst xmlns:a="http://schemas.openxmlformats.org/drawingml/2006/main">
                <a:ext uri="{FF2B5EF4-FFF2-40B4-BE49-F238E27FC236}">
                  <a16:creationId xmlns:a16="http://schemas.microsoft.com/office/drawing/2014/main" id="{E94DED94-D6AF-4B42-CD67-415AE313F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A264A0" w:rsidRPr="00740196">
        <w:rPr>
          <w:rFonts w:ascii="Arial" w:hAnsi="Arial" w:cs="Arial"/>
          <w:sz w:val="20"/>
          <w:szCs w:val="20"/>
        </w:rPr>
        <w:t xml:space="preserve">                                         </w:t>
      </w:r>
      <w:r w:rsidR="007E6FDC">
        <w:rPr>
          <w:rFonts w:ascii="Arial" w:hAnsi="Arial" w:cs="Arial"/>
          <w:sz w:val="20"/>
          <w:szCs w:val="20"/>
        </w:rPr>
        <w:t xml:space="preserve">                                           </w:t>
      </w:r>
      <w:r w:rsidR="007F03A3" w:rsidRPr="001620D7">
        <w:rPr>
          <w:rFonts w:ascii="Arial" w:hAnsi="Arial" w:cs="Arial"/>
          <w:bCs/>
          <w:sz w:val="18"/>
          <w:szCs w:val="18"/>
        </w:rPr>
        <w:t>Source</w:t>
      </w:r>
      <w:r w:rsidR="007F03A3" w:rsidRPr="001620D7">
        <w:rPr>
          <w:rFonts w:ascii="Arial" w:hAnsi="Arial" w:cs="Arial"/>
          <w:b/>
          <w:bCs/>
          <w:sz w:val="18"/>
          <w:szCs w:val="18"/>
        </w:rPr>
        <w:t>:</w:t>
      </w:r>
      <w:r w:rsidR="00166C3C" w:rsidRPr="001620D7">
        <w:rPr>
          <w:rFonts w:ascii="Arial" w:hAnsi="Arial" w:cs="Arial"/>
          <w:sz w:val="18"/>
          <w:szCs w:val="18"/>
        </w:rPr>
        <w:t xml:space="preserve"> www.indiastat.com</w:t>
      </w:r>
    </w:p>
    <w:p w14:paraId="4F50F8FA" w14:textId="4A982491" w:rsidR="007F03A3" w:rsidRPr="00216EB9" w:rsidRDefault="00216EB9" w:rsidP="00216EB9">
      <w:pPr>
        <w:spacing w:line="360" w:lineRule="auto"/>
        <w:jc w:val="center"/>
        <w:rPr>
          <w:rFonts w:ascii="Arial" w:hAnsi="Arial" w:cs="Arial"/>
          <w:sz w:val="18"/>
          <w:szCs w:val="18"/>
        </w:rPr>
      </w:pPr>
      <w:r>
        <w:rPr>
          <w:rFonts w:ascii="Arial" w:hAnsi="Arial" w:cs="Arial"/>
          <w:bCs/>
          <w:sz w:val="18"/>
          <w:szCs w:val="18"/>
        </w:rPr>
        <w:t xml:space="preserve">                                                                                                                            </w:t>
      </w:r>
      <w:r w:rsidR="007F03A3" w:rsidRPr="00216EB9">
        <w:rPr>
          <w:rFonts w:ascii="Arial" w:hAnsi="Arial" w:cs="Arial"/>
          <w:bCs/>
          <w:sz w:val="18"/>
          <w:szCs w:val="18"/>
        </w:rPr>
        <w:t>Source</w:t>
      </w:r>
      <w:r w:rsidR="007F03A3" w:rsidRPr="00216EB9">
        <w:rPr>
          <w:rFonts w:ascii="Arial" w:hAnsi="Arial" w:cs="Arial"/>
          <w:b/>
          <w:bCs/>
          <w:sz w:val="18"/>
          <w:szCs w:val="18"/>
        </w:rPr>
        <w:t>:</w:t>
      </w:r>
      <w:r w:rsidR="007F03A3" w:rsidRPr="00216EB9">
        <w:rPr>
          <w:rFonts w:ascii="Arial" w:hAnsi="Arial" w:cs="Arial"/>
          <w:sz w:val="18"/>
          <w:szCs w:val="18"/>
        </w:rPr>
        <w:t xml:space="preserve"> www.indiastat.com</w:t>
      </w:r>
    </w:p>
    <w:p w14:paraId="022B6235" w14:textId="6956169B" w:rsidR="00544403" w:rsidRPr="00544403" w:rsidRDefault="00544403" w:rsidP="00544403">
      <w:pPr>
        <w:spacing w:line="360" w:lineRule="auto"/>
        <w:jc w:val="center"/>
        <w:rPr>
          <w:rFonts w:ascii="Arial" w:hAnsi="Arial" w:cs="Arial"/>
          <w:b/>
          <w:bCs/>
          <w:sz w:val="20"/>
          <w:szCs w:val="20"/>
        </w:rPr>
      </w:pPr>
      <w:r w:rsidRPr="00544403">
        <w:rPr>
          <w:rFonts w:ascii="Arial" w:hAnsi="Arial" w:cs="Arial"/>
          <w:b/>
          <w:bCs/>
          <w:sz w:val="20"/>
          <w:szCs w:val="20"/>
        </w:rPr>
        <w:t>Fig. 3</w:t>
      </w:r>
      <w:r>
        <w:rPr>
          <w:rFonts w:ascii="Arial" w:hAnsi="Arial" w:cs="Arial"/>
          <w:b/>
          <w:bCs/>
          <w:sz w:val="20"/>
          <w:szCs w:val="20"/>
        </w:rPr>
        <w:t>.</w:t>
      </w:r>
      <w:r w:rsidRPr="00544403">
        <w:rPr>
          <w:rFonts w:ascii="Arial" w:hAnsi="Arial" w:cs="Arial"/>
          <w:b/>
          <w:bCs/>
          <w:sz w:val="20"/>
          <w:szCs w:val="20"/>
        </w:rPr>
        <w:t xml:space="preserve"> Trend in Area and production of cabbage in India from 2000-01 to 2024-25</w:t>
      </w:r>
    </w:p>
    <w:p w14:paraId="2343511B" w14:textId="23AF3952" w:rsidR="001F740B" w:rsidRPr="00740196" w:rsidRDefault="007F03A3" w:rsidP="007F03A3">
      <w:pPr>
        <w:spacing w:line="360" w:lineRule="auto"/>
        <w:jc w:val="both"/>
        <w:rPr>
          <w:rFonts w:ascii="Arial" w:hAnsi="Arial" w:cs="Arial"/>
          <w:sz w:val="20"/>
          <w:szCs w:val="20"/>
        </w:rPr>
      </w:pPr>
      <w:r w:rsidRPr="00740196">
        <w:rPr>
          <w:rFonts w:ascii="Arial" w:hAnsi="Arial" w:cs="Arial"/>
          <w:b/>
          <w:bCs/>
          <w:sz w:val="20"/>
          <w:szCs w:val="20"/>
        </w:rPr>
        <w:t>3.4 State-wise contribution in</w:t>
      </w:r>
      <w:r w:rsidR="00544403">
        <w:rPr>
          <w:rFonts w:ascii="Arial" w:hAnsi="Arial" w:cs="Arial"/>
          <w:b/>
          <w:bCs/>
          <w:sz w:val="20"/>
          <w:szCs w:val="20"/>
        </w:rPr>
        <w:t xml:space="preserve"> area and</w:t>
      </w:r>
      <w:r w:rsidRPr="00740196">
        <w:rPr>
          <w:rFonts w:ascii="Arial" w:hAnsi="Arial" w:cs="Arial"/>
          <w:b/>
          <w:bCs/>
          <w:sz w:val="20"/>
          <w:szCs w:val="20"/>
        </w:rPr>
        <w:t xml:space="preserve"> production</w:t>
      </w:r>
      <w:r w:rsidR="00805027">
        <w:rPr>
          <w:rFonts w:ascii="Arial" w:hAnsi="Arial" w:cs="Arial"/>
          <w:b/>
          <w:bCs/>
          <w:sz w:val="20"/>
          <w:szCs w:val="20"/>
        </w:rPr>
        <w:t xml:space="preserve"> </w:t>
      </w:r>
      <w:r w:rsidR="00544403">
        <w:rPr>
          <w:rFonts w:ascii="Arial" w:hAnsi="Arial" w:cs="Arial"/>
          <w:b/>
          <w:bCs/>
          <w:sz w:val="20"/>
          <w:szCs w:val="20"/>
        </w:rPr>
        <w:t xml:space="preserve">of cabbage </w:t>
      </w:r>
      <w:r w:rsidR="00805027">
        <w:rPr>
          <w:rFonts w:ascii="Arial" w:hAnsi="Arial" w:cs="Arial"/>
          <w:b/>
          <w:bCs/>
          <w:sz w:val="20"/>
          <w:szCs w:val="20"/>
        </w:rPr>
        <w:t xml:space="preserve">and </w:t>
      </w:r>
      <w:r w:rsidR="00544403">
        <w:rPr>
          <w:rFonts w:ascii="Arial" w:hAnsi="Arial" w:cs="Arial"/>
          <w:b/>
          <w:bCs/>
          <w:sz w:val="20"/>
          <w:szCs w:val="20"/>
        </w:rPr>
        <w:t xml:space="preserve">their </w:t>
      </w:r>
      <w:r w:rsidR="00805027">
        <w:rPr>
          <w:rFonts w:ascii="Arial" w:hAnsi="Arial" w:cs="Arial"/>
          <w:b/>
          <w:bCs/>
          <w:sz w:val="20"/>
          <w:szCs w:val="20"/>
        </w:rPr>
        <w:t xml:space="preserve">trend </w:t>
      </w:r>
      <w:r w:rsidRPr="00740196">
        <w:rPr>
          <w:rFonts w:ascii="Arial" w:hAnsi="Arial" w:cs="Arial"/>
          <w:sz w:val="20"/>
          <w:szCs w:val="20"/>
        </w:rPr>
        <w:t xml:space="preserve"> </w:t>
      </w:r>
    </w:p>
    <w:p w14:paraId="5EAD38D2" w14:textId="4D7BB175" w:rsidR="00A264A0" w:rsidRPr="00740196" w:rsidRDefault="001F740B" w:rsidP="00A264A0">
      <w:pPr>
        <w:spacing w:line="360" w:lineRule="auto"/>
        <w:jc w:val="both"/>
        <w:rPr>
          <w:rFonts w:ascii="Arial" w:hAnsi="Arial" w:cs="Arial"/>
          <w:sz w:val="20"/>
          <w:szCs w:val="20"/>
        </w:rPr>
      </w:pPr>
      <w:r w:rsidRPr="00740196">
        <w:rPr>
          <w:rFonts w:ascii="Arial" w:hAnsi="Arial" w:cs="Arial"/>
          <w:sz w:val="20"/>
          <w:szCs w:val="20"/>
        </w:rPr>
        <w:lastRenderedPageBreak/>
        <w:tab/>
      </w:r>
      <w:r w:rsidR="007F03A3" w:rsidRPr="00740196">
        <w:rPr>
          <w:rFonts w:ascii="Arial" w:hAnsi="Arial" w:cs="Arial"/>
          <w:sz w:val="20"/>
          <w:szCs w:val="20"/>
        </w:rPr>
        <w:t xml:space="preserve">The mean contribution of </w:t>
      </w:r>
      <w:r w:rsidR="00F53000">
        <w:rPr>
          <w:rFonts w:ascii="Arial" w:hAnsi="Arial" w:cs="Arial"/>
          <w:sz w:val="20"/>
          <w:szCs w:val="20"/>
        </w:rPr>
        <w:t xml:space="preserve">the </w:t>
      </w:r>
      <w:r w:rsidR="007F03A3" w:rsidRPr="00740196">
        <w:rPr>
          <w:rFonts w:ascii="Arial" w:hAnsi="Arial" w:cs="Arial"/>
          <w:sz w:val="20"/>
          <w:szCs w:val="20"/>
        </w:rPr>
        <w:t xml:space="preserve">major cabbage producing states in terms of area, production and productivity from 2014-15 to 2024-25 was estimated and presented in Table 6. </w:t>
      </w:r>
      <w:r w:rsidRPr="00740196">
        <w:rPr>
          <w:rFonts w:ascii="Arial" w:hAnsi="Arial" w:cs="Arial"/>
          <w:sz w:val="20"/>
          <w:szCs w:val="20"/>
        </w:rPr>
        <w:t xml:space="preserve">It was observed </w:t>
      </w:r>
      <w:r w:rsidR="00A264A0" w:rsidRPr="00740196">
        <w:rPr>
          <w:rFonts w:ascii="Arial" w:hAnsi="Arial" w:cs="Arial"/>
          <w:sz w:val="20"/>
          <w:szCs w:val="20"/>
        </w:rPr>
        <w:t>that West Bengal, Odisha and Madhya Pradesh occupied 1</w:t>
      </w:r>
      <w:r w:rsidR="00A264A0" w:rsidRPr="00740196">
        <w:rPr>
          <w:rFonts w:ascii="Arial" w:hAnsi="Arial" w:cs="Arial"/>
          <w:sz w:val="20"/>
          <w:szCs w:val="20"/>
          <w:vertAlign w:val="superscript"/>
        </w:rPr>
        <w:t>st</w:t>
      </w:r>
      <w:r w:rsidR="00A264A0" w:rsidRPr="00740196">
        <w:rPr>
          <w:rFonts w:ascii="Arial" w:hAnsi="Arial" w:cs="Arial"/>
          <w:sz w:val="20"/>
          <w:szCs w:val="20"/>
        </w:rPr>
        <w:t>, 2</w:t>
      </w:r>
      <w:r w:rsidR="00A264A0" w:rsidRPr="00740196">
        <w:rPr>
          <w:rFonts w:ascii="Arial" w:hAnsi="Arial" w:cs="Arial"/>
          <w:sz w:val="20"/>
          <w:szCs w:val="20"/>
          <w:vertAlign w:val="superscript"/>
        </w:rPr>
        <w:t>nd</w:t>
      </w:r>
      <w:r w:rsidR="00A264A0" w:rsidRPr="00740196">
        <w:rPr>
          <w:rFonts w:ascii="Arial" w:hAnsi="Arial" w:cs="Arial"/>
          <w:sz w:val="20"/>
          <w:szCs w:val="20"/>
        </w:rPr>
        <w:t xml:space="preserve"> and 3</w:t>
      </w:r>
      <w:r w:rsidR="00A264A0" w:rsidRPr="00740196">
        <w:rPr>
          <w:rFonts w:ascii="Arial" w:hAnsi="Arial" w:cs="Arial"/>
          <w:sz w:val="20"/>
          <w:szCs w:val="20"/>
          <w:vertAlign w:val="superscript"/>
        </w:rPr>
        <w:t>rd</w:t>
      </w:r>
      <w:r w:rsidR="00A264A0" w:rsidRPr="00740196">
        <w:rPr>
          <w:rFonts w:ascii="Arial" w:hAnsi="Arial" w:cs="Arial"/>
          <w:sz w:val="20"/>
          <w:szCs w:val="20"/>
        </w:rPr>
        <w:t xml:space="preserve"> position</w:t>
      </w:r>
      <w:r w:rsidR="00F53000">
        <w:rPr>
          <w:rFonts w:ascii="Arial" w:hAnsi="Arial" w:cs="Arial"/>
          <w:sz w:val="20"/>
          <w:szCs w:val="20"/>
        </w:rPr>
        <w:t>s</w:t>
      </w:r>
      <w:r w:rsidR="00A264A0" w:rsidRPr="00740196">
        <w:rPr>
          <w:rFonts w:ascii="Arial" w:hAnsi="Arial" w:cs="Arial"/>
          <w:sz w:val="20"/>
          <w:szCs w:val="20"/>
        </w:rPr>
        <w:t xml:space="preserve"> respectively in terms of cabbage production</w:t>
      </w:r>
      <w:r w:rsidR="00A2427C">
        <w:rPr>
          <w:rFonts w:ascii="Arial" w:hAnsi="Arial" w:cs="Arial"/>
          <w:sz w:val="20"/>
          <w:szCs w:val="20"/>
        </w:rPr>
        <w:t xml:space="preserve"> might be due the congenial climatic and soil condition</w:t>
      </w:r>
      <w:r w:rsidR="00A264A0" w:rsidRPr="00740196">
        <w:rPr>
          <w:rFonts w:ascii="Arial" w:hAnsi="Arial" w:cs="Arial"/>
          <w:sz w:val="20"/>
          <w:szCs w:val="20"/>
        </w:rPr>
        <w:t>. Whereas, in terms of area</w:t>
      </w:r>
      <w:r w:rsidR="00F53000">
        <w:rPr>
          <w:rFonts w:ascii="Arial" w:hAnsi="Arial" w:cs="Arial"/>
          <w:sz w:val="20"/>
          <w:szCs w:val="20"/>
        </w:rPr>
        <w:t>,</w:t>
      </w:r>
      <w:r w:rsidR="00A264A0" w:rsidRPr="00740196">
        <w:rPr>
          <w:rFonts w:ascii="Arial" w:hAnsi="Arial" w:cs="Arial"/>
          <w:sz w:val="20"/>
          <w:szCs w:val="20"/>
        </w:rPr>
        <w:t xml:space="preserve"> West Bengal, Bihar and Odisha ranked 1</w:t>
      </w:r>
      <w:r w:rsidR="00A264A0" w:rsidRPr="00740196">
        <w:rPr>
          <w:rFonts w:ascii="Arial" w:hAnsi="Arial" w:cs="Arial"/>
          <w:sz w:val="20"/>
          <w:szCs w:val="20"/>
          <w:vertAlign w:val="superscript"/>
        </w:rPr>
        <w:t>st</w:t>
      </w:r>
      <w:r w:rsidR="00A264A0" w:rsidRPr="00740196">
        <w:rPr>
          <w:rFonts w:ascii="Arial" w:hAnsi="Arial" w:cs="Arial"/>
          <w:sz w:val="20"/>
          <w:szCs w:val="20"/>
        </w:rPr>
        <w:t>, 2</w:t>
      </w:r>
      <w:r w:rsidR="00A264A0" w:rsidRPr="00740196">
        <w:rPr>
          <w:rFonts w:ascii="Arial" w:hAnsi="Arial" w:cs="Arial"/>
          <w:sz w:val="20"/>
          <w:szCs w:val="20"/>
          <w:vertAlign w:val="superscript"/>
        </w:rPr>
        <w:t>nd</w:t>
      </w:r>
      <w:r w:rsidR="00A264A0" w:rsidRPr="00740196">
        <w:rPr>
          <w:rFonts w:ascii="Arial" w:hAnsi="Arial" w:cs="Arial"/>
          <w:sz w:val="20"/>
          <w:szCs w:val="20"/>
        </w:rPr>
        <w:t xml:space="preserve"> and 3</w:t>
      </w:r>
      <w:r w:rsidR="00A264A0" w:rsidRPr="00740196">
        <w:rPr>
          <w:rFonts w:ascii="Arial" w:hAnsi="Arial" w:cs="Arial"/>
          <w:sz w:val="20"/>
          <w:szCs w:val="20"/>
          <w:vertAlign w:val="superscript"/>
        </w:rPr>
        <w:t>rd</w:t>
      </w:r>
      <w:r w:rsidR="00A264A0" w:rsidRPr="00740196">
        <w:rPr>
          <w:rFonts w:ascii="Arial" w:hAnsi="Arial" w:cs="Arial"/>
          <w:sz w:val="20"/>
          <w:szCs w:val="20"/>
        </w:rPr>
        <w:t xml:space="preserve"> position respectively. However, in terms of productivity</w:t>
      </w:r>
      <w:r w:rsidR="00F53000">
        <w:rPr>
          <w:rFonts w:ascii="Arial" w:hAnsi="Arial" w:cs="Arial"/>
          <w:sz w:val="20"/>
          <w:szCs w:val="20"/>
        </w:rPr>
        <w:t>,</w:t>
      </w:r>
      <w:r w:rsidR="00A264A0" w:rsidRPr="00740196">
        <w:rPr>
          <w:rFonts w:ascii="Arial" w:hAnsi="Arial" w:cs="Arial"/>
          <w:sz w:val="20"/>
          <w:szCs w:val="20"/>
        </w:rPr>
        <w:t xml:space="preserve"> West Bengal, Uttar Pradesh and Odisha took the leading positions. On the contrary, in terms of annual growth rate (CAGR) of area and production, Uttar Pradesh </w:t>
      </w:r>
      <w:r w:rsidR="00F53000">
        <w:rPr>
          <w:rFonts w:ascii="Arial" w:hAnsi="Arial" w:cs="Arial"/>
          <w:sz w:val="20"/>
          <w:szCs w:val="20"/>
        </w:rPr>
        <w:t>was revealed</w:t>
      </w:r>
      <w:r w:rsidR="00A264A0" w:rsidRPr="00740196">
        <w:rPr>
          <w:rFonts w:ascii="Arial" w:hAnsi="Arial" w:cs="Arial"/>
          <w:sz w:val="20"/>
          <w:szCs w:val="20"/>
        </w:rPr>
        <w:t xml:space="preserve"> to be the pioneer, accounting 8.6% and 19.42% respectively</w:t>
      </w:r>
      <w:r w:rsidR="00F53000">
        <w:rPr>
          <w:rFonts w:ascii="Arial" w:hAnsi="Arial" w:cs="Arial"/>
          <w:sz w:val="20"/>
          <w:szCs w:val="20"/>
        </w:rPr>
        <w:t>,</w:t>
      </w:r>
      <w:r w:rsidR="00A264A0" w:rsidRPr="00740196">
        <w:rPr>
          <w:rFonts w:ascii="Arial" w:hAnsi="Arial" w:cs="Arial"/>
          <w:sz w:val="20"/>
          <w:szCs w:val="20"/>
        </w:rPr>
        <w:t xml:space="preserve"> followed by Madhya Pradesh (8.79% and 6.15% respectively) and Gujarat (2.21% and 2.90% respectively). Whereas,</w:t>
      </w:r>
      <w:r w:rsidR="00F53000">
        <w:rPr>
          <w:rFonts w:ascii="Arial" w:hAnsi="Arial" w:cs="Arial"/>
          <w:sz w:val="20"/>
          <w:szCs w:val="20"/>
        </w:rPr>
        <w:t xml:space="preserve"> the </w:t>
      </w:r>
      <w:r w:rsidR="00A264A0" w:rsidRPr="00740196">
        <w:rPr>
          <w:rFonts w:ascii="Arial" w:hAnsi="Arial" w:cs="Arial"/>
          <w:sz w:val="20"/>
          <w:szCs w:val="20"/>
        </w:rPr>
        <w:t>trend in growth rate of area and production of West Bengal in cabbage cultivation revealed less than 1% for both instead of having 1</w:t>
      </w:r>
      <w:r w:rsidR="00A264A0" w:rsidRPr="00740196">
        <w:rPr>
          <w:rFonts w:ascii="Arial" w:hAnsi="Arial" w:cs="Arial"/>
          <w:sz w:val="20"/>
          <w:szCs w:val="20"/>
          <w:vertAlign w:val="superscript"/>
        </w:rPr>
        <w:t>st</w:t>
      </w:r>
      <w:r w:rsidR="00A264A0" w:rsidRPr="00740196">
        <w:rPr>
          <w:rFonts w:ascii="Arial" w:hAnsi="Arial" w:cs="Arial"/>
          <w:sz w:val="20"/>
          <w:szCs w:val="20"/>
        </w:rPr>
        <w:t xml:space="preserve"> position in mean area, production and productivity. The above finding inferred that Uttar Pradesh, Madhya Pradesh and Gujarat were to be the most innovators for enhancement of growth of area expansion and production</w:t>
      </w:r>
      <w:r w:rsidR="005D4480">
        <w:rPr>
          <w:rFonts w:ascii="Arial" w:hAnsi="Arial" w:cs="Arial"/>
          <w:sz w:val="20"/>
          <w:szCs w:val="20"/>
        </w:rPr>
        <w:t>.</w:t>
      </w:r>
    </w:p>
    <w:p w14:paraId="0A458994" w14:textId="078FFC21" w:rsidR="007F03A3" w:rsidRPr="00740196" w:rsidRDefault="007F03A3" w:rsidP="00BB787E">
      <w:pPr>
        <w:spacing w:line="360" w:lineRule="auto"/>
        <w:jc w:val="center"/>
        <w:rPr>
          <w:rFonts w:ascii="Arial" w:hAnsi="Arial" w:cs="Arial"/>
          <w:b/>
          <w:bCs/>
          <w:sz w:val="20"/>
          <w:szCs w:val="20"/>
        </w:rPr>
      </w:pPr>
      <w:r w:rsidRPr="00740196">
        <w:rPr>
          <w:rFonts w:ascii="Arial" w:hAnsi="Arial" w:cs="Arial"/>
          <w:b/>
          <w:bCs/>
          <w:sz w:val="20"/>
          <w:szCs w:val="20"/>
        </w:rPr>
        <w:t>Table 6</w:t>
      </w:r>
      <w:r w:rsidR="00544403">
        <w:rPr>
          <w:rFonts w:ascii="Arial" w:hAnsi="Arial" w:cs="Arial"/>
          <w:b/>
          <w:bCs/>
          <w:sz w:val="20"/>
          <w:szCs w:val="20"/>
        </w:rPr>
        <w:t>.</w:t>
      </w:r>
      <w:r w:rsidRPr="00740196">
        <w:rPr>
          <w:rFonts w:ascii="Arial" w:hAnsi="Arial" w:cs="Arial"/>
          <w:b/>
          <w:bCs/>
          <w:sz w:val="20"/>
          <w:szCs w:val="20"/>
        </w:rPr>
        <w:t xml:space="preserve"> Contribution of major cabbage producing state</w:t>
      </w:r>
      <w:r w:rsidR="00544403">
        <w:rPr>
          <w:rFonts w:ascii="Arial" w:hAnsi="Arial" w:cs="Arial"/>
          <w:b/>
          <w:bCs/>
          <w:sz w:val="20"/>
          <w:szCs w:val="20"/>
        </w:rPr>
        <w:t>s</w:t>
      </w:r>
      <w:r w:rsidRPr="00740196">
        <w:rPr>
          <w:rFonts w:ascii="Arial" w:hAnsi="Arial" w:cs="Arial"/>
          <w:b/>
          <w:bCs/>
          <w:sz w:val="20"/>
          <w:szCs w:val="20"/>
        </w:rPr>
        <w:t xml:space="preserve"> in terms of area, production and productivity </w:t>
      </w:r>
      <w:r w:rsidR="00544403">
        <w:rPr>
          <w:rFonts w:ascii="Arial" w:hAnsi="Arial" w:cs="Arial"/>
          <w:b/>
          <w:bCs/>
          <w:sz w:val="20"/>
          <w:szCs w:val="20"/>
        </w:rPr>
        <w:t>over</w:t>
      </w:r>
      <w:r w:rsidRPr="00740196">
        <w:rPr>
          <w:rFonts w:ascii="Arial" w:hAnsi="Arial" w:cs="Arial"/>
          <w:b/>
          <w:bCs/>
          <w:sz w:val="20"/>
          <w:szCs w:val="20"/>
        </w:rPr>
        <w:t xml:space="preserve"> last </w:t>
      </w:r>
      <w:r w:rsidR="00544403">
        <w:rPr>
          <w:rFonts w:ascii="Arial" w:hAnsi="Arial" w:cs="Arial"/>
          <w:b/>
          <w:bCs/>
          <w:sz w:val="20"/>
          <w:szCs w:val="20"/>
        </w:rPr>
        <w:t>ten</w:t>
      </w:r>
      <w:r w:rsidRPr="00740196">
        <w:rPr>
          <w:rFonts w:ascii="Arial" w:hAnsi="Arial" w:cs="Arial"/>
          <w:b/>
          <w:bCs/>
          <w:sz w:val="20"/>
          <w:szCs w:val="20"/>
        </w:rPr>
        <w:t xml:space="preserve"> years</w:t>
      </w:r>
      <w:r w:rsidR="00A264A0" w:rsidRPr="00740196">
        <w:rPr>
          <w:rFonts w:ascii="Arial" w:hAnsi="Arial" w:cs="Arial"/>
          <w:b/>
          <w:bCs/>
          <w:sz w:val="20"/>
          <w:szCs w:val="20"/>
        </w:rPr>
        <w:t xml:space="preserve"> (2014-15 to 2024-25)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584"/>
        <w:gridCol w:w="1807"/>
        <w:gridCol w:w="1372"/>
        <w:gridCol w:w="717"/>
        <w:gridCol w:w="1272"/>
      </w:tblGrid>
      <w:tr w:rsidR="007F03A3" w:rsidRPr="00BB787E" w14:paraId="40885423" w14:textId="77777777" w:rsidTr="006455B1">
        <w:trPr>
          <w:jc w:val="center"/>
        </w:trPr>
        <w:tc>
          <w:tcPr>
            <w:tcW w:w="0" w:type="auto"/>
            <w:vMerge w:val="restart"/>
            <w:tcBorders>
              <w:top w:val="single" w:sz="4" w:space="0" w:color="auto"/>
              <w:bottom w:val="single" w:sz="4" w:space="0" w:color="auto"/>
            </w:tcBorders>
            <w:vAlign w:val="center"/>
          </w:tcPr>
          <w:p w14:paraId="28BBA9B1" w14:textId="77777777" w:rsidR="007F03A3" w:rsidRP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State</w:t>
            </w:r>
          </w:p>
        </w:tc>
        <w:tc>
          <w:tcPr>
            <w:tcW w:w="0" w:type="auto"/>
            <w:gridSpan w:val="3"/>
            <w:tcBorders>
              <w:top w:val="single" w:sz="4" w:space="0" w:color="auto"/>
              <w:bottom w:val="single" w:sz="4" w:space="0" w:color="auto"/>
            </w:tcBorders>
            <w:vAlign w:val="center"/>
          </w:tcPr>
          <w:p w14:paraId="4269A43F" w14:textId="77777777" w:rsidR="007F03A3" w:rsidRP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Mean</w:t>
            </w:r>
          </w:p>
        </w:tc>
        <w:tc>
          <w:tcPr>
            <w:tcW w:w="0" w:type="auto"/>
            <w:gridSpan w:val="2"/>
            <w:tcBorders>
              <w:top w:val="single" w:sz="4" w:space="0" w:color="auto"/>
              <w:bottom w:val="single" w:sz="4" w:space="0" w:color="auto"/>
            </w:tcBorders>
            <w:vAlign w:val="center"/>
          </w:tcPr>
          <w:p w14:paraId="69CEE086" w14:textId="77777777" w:rsidR="007F03A3" w:rsidRP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CAGR (%)</w:t>
            </w:r>
          </w:p>
        </w:tc>
      </w:tr>
      <w:tr w:rsidR="007F03A3" w:rsidRPr="00BB787E" w14:paraId="442A8EB3" w14:textId="77777777" w:rsidTr="006455B1">
        <w:trPr>
          <w:jc w:val="center"/>
        </w:trPr>
        <w:tc>
          <w:tcPr>
            <w:tcW w:w="0" w:type="auto"/>
            <w:vMerge/>
            <w:tcBorders>
              <w:top w:val="single" w:sz="4" w:space="0" w:color="auto"/>
              <w:bottom w:val="single" w:sz="4" w:space="0" w:color="auto"/>
            </w:tcBorders>
            <w:vAlign w:val="center"/>
          </w:tcPr>
          <w:p w14:paraId="4910AC4A" w14:textId="77777777" w:rsidR="007F03A3" w:rsidRPr="006455B1" w:rsidRDefault="007F03A3" w:rsidP="006455B1">
            <w:pPr>
              <w:spacing w:line="276" w:lineRule="auto"/>
              <w:jc w:val="center"/>
              <w:rPr>
                <w:rFonts w:ascii="Arial" w:hAnsi="Arial" w:cs="Arial"/>
                <w:b/>
                <w:sz w:val="20"/>
                <w:szCs w:val="20"/>
              </w:rPr>
            </w:pPr>
          </w:p>
        </w:tc>
        <w:tc>
          <w:tcPr>
            <w:tcW w:w="0" w:type="auto"/>
            <w:tcBorders>
              <w:top w:val="single" w:sz="4" w:space="0" w:color="auto"/>
              <w:bottom w:val="single" w:sz="4" w:space="0" w:color="auto"/>
            </w:tcBorders>
            <w:vAlign w:val="center"/>
          </w:tcPr>
          <w:p w14:paraId="0F4B14CE" w14:textId="77777777" w:rsid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Area</w:t>
            </w:r>
            <w:r w:rsidR="00BD3D26" w:rsidRPr="006455B1">
              <w:rPr>
                <w:rFonts w:ascii="Arial" w:hAnsi="Arial" w:cs="Arial"/>
                <w:b/>
                <w:sz w:val="20"/>
                <w:szCs w:val="20"/>
              </w:rPr>
              <w:t xml:space="preserve"> </w:t>
            </w:r>
          </w:p>
          <w:p w14:paraId="1FAE6A1A" w14:textId="2E4B06A8" w:rsidR="007F03A3" w:rsidRPr="006455B1" w:rsidRDefault="00BD3D26" w:rsidP="006455B1">
            <w:pPr>
              <w:spacing w:line="276" w:lineRule="auto"/>
              <w:jc w:val="center"/>
              <w:rPr>
                <w:rFonts w:ascii="Arial" w:hAnsi="Arial" w:cs="Arial"/>
                <w:b/>
                <w:sz w:val="20"/>
                <w:szCs w:val="20"/>
              </w:rPr>
            </w:pPr>
            <w:r w:rsidRPr="006455B1">
              <w:rPr>
                <w:rFonts w:ascii="Arial" w:hAnsi="Arial" w:cs="Arial"/>
                <w:b/>
                <w:sz w:val="20"/>
                <w:szCs w:val="20"/>
              </w:rPr>
              <w:t>(</w:t>
            </w:r>
            <w:r w:rsidR="003D7514" w:rsidRPr="006455B1">
              <w:rPr>
                <w:rFonts w:ascii="Arial" w:hAnsi="Arial" w:cs="Arial"/>
                <w:b/>
                <w:sz w:val="20"/>
                <w:szCs w:val="20"/>
              </w:rPr>
              <w:t>000</w:t>
            </w:r>
            <w:r w:rsidR="006455B1">
              <w:rPr>
                <w:rFonts w:ascii="Arial" w:hAnsi="Arial" w:cs="Arial"/>
                <w:b/>
                <w:sz w:val="20"/>
                <w:szCs w:val="20"/>
              </w:rPr>
              <w:t>'</w:t>
            </w:r>
            <w:r w:rsidR="003D7514" w:rsidRPr="006455B1">
              <w:rPr>
                <w:rFonts w:ascii="Arial" w:hAnsi="Arial" w:cs="Arial"/>
                <w:b/>
                <w:sz w:val="20"/>
                <w:szCs w:val="20"/>
              </w:rPr>
              <w:t xml:space="preserve"> ha.)</w:t>
            </w:r>
          </w:p>
        </w:tc>
        <w:tc>
          <w:tcPr>
            <w:tcW w:w="0" w:type="auto"/>
            <w:tcBorders>
              <w:top w:val="single" w:sz="4" w:space="0" w:color="auto"/>
              <w:bottom w:val="single" w:sz="4" w:space="0" w:color="auto"/>
            </w:tcBorders>
            <w:vAlign w:val="center"/>
          </w:tcPr>
          <w:p w14:paraId="6C9F173A" w14:textId="77777777" w:rsid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Production</w:t>
            </w:r>
            <w:r w:rsidR="003D7514" w:rsidRPr="006455B1">
              <w:rPr>
                <w:rFonts w:ascii="Arial" w:hAnsi="Arial" w:cs="Arial"/>
                <w:b/>
                <w:sz w:val="20"/>
                <w:szCs w:val="20"/>
              </w:rPr>
              <w:t xml:space="preserve"> </w:t>
            </w:r>
          </w:p>
          <w:p w14:paraId="01292B69" w14:textId="5C6A1471" w:rsidR="007F03A3" w:rsidRPr="006455B1" w:rsidRDefault="003D7514" w:rsidP="006455B1">
            <w:pPr>
              <w:spacing w:line="276" w:lineRule="auto"/>
              <w:jc w:val="center"/>
              <w:rPr>
                <w:rFonts w:ascii="Arial" w:hAnsi="Arial" w:cs="Arial"/>
                <w:b/>
                <w:sz w:val="20"/>
                <w:szCs w:val="20"/>
              </w:rPr>
            </w:pPr>
            <w:r w:rsidRPr="006455B1">
              <w:rPr>
                <w:rFonts w:ascii="Arial" w:hAnsi="Arial" w:cs="Arial"/>
                <w:b/>
                <w:sz w:val="20"/>
                <w:szCs w:val="20"/>
              </w:rPr>
              <w:t>(000</w:t>
            </w:r>
            <w:r w:rsidR="006455B1">
              <w:rPr>
                <w:rFonts w:ascii="Arial" w:hAnsi="Arial" w:cs="Arial"/>
                <w:b/>
                <w:sz w:val="20"/>
                <w:szCs w:val="20"/>
              </w:rPr>
              <w:t>'</w:t>
            </w:r>
            <w:r w:rsidRPr="006455B1">
              <w:rPr>
                <w:rFonts w:ascii="Arial" w:hAnsi="Arial" w:cs="Arial"/>
                <w:b/>
                <w:sz w:val="20"/>
                <w:szCs w:val="20"/>
              </w:rPr>
              <w:t xml:space="preserve"> MT)</w:t>
            </w:r>
          </w:p>
        </w:tc>
        <w:tc>
          <w:tcPr>
            <w:tcW w:w="0" w:type="auto"/>
            <w:tcBorders>
              <w:top w:val="single" w:sz="4" w:space="0" w:color="auto"/>
              <w:bottom w:val="single" w:sz="4" w:space="0" w:color="auto"/>
            </w:tcBorders>
            <w:vAlign w:val="center"/>
          </w:tcPr>
          <w:p w14:paraId="4D91A9C2" w14:textId="77777777" w:rsid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Productivity</w:t>
            </w:r>
            <w:r w:rsidR="003D7514" w:rsidRPr="006455B1">
              <w:rPr>
                <w:rFonts w:ascii="Arial" w:hAnsi="Arial" w:cs="Arial"/>
                <w:b/>
                <w:sz w:val="20"/>
                <w:szCs w:val="20"/>
              </w:rPr>
              <w:t xml:space="preserve"> </w:t>
            </w:r>
          </w:p>
          <w:p w14:paraId="237304F5" w14:textId="4E69D809" w:rsidR="007F03A3" w:rsidRPr="006455B1" w:rsidRDefault="003D7514" w:rsidP="006455B1">
            <w:pPr>
              <w:spacing w:line="276" w:lineRule="auto"/>
              <w:jc w:val="center"/>
              <w:rPr>
                <w:rFonts w:ascii="Arial" w:hAnsi="Arial" w:cs="Arial"/>
                <w:b/>
                <w:sz w:val="20"/>
                <w:szCs w:val="20"/>
              </w:rPr>
            </w:pPr>
            <w:r w:rsidRPr="006455B1">
              <w:rPr>
                <w:rFonts w:ascii="Arial" w:hAnsi="Arial" w:cs="Arial"/>
                <w:b/>
                <w:sz w:val="20"/>
                <w:szCs w:val="20"/>
              </w:rPr>
              <w:t>(MT/ha.)</w:t>
            </w:r>
          </w:p>
        </w:tc>
        <w:tc>
          <w:tcPr>
            <w:tcW w:w="0" w:type="auto"/>
            <w:tcBorders>
              <w:top w:val="single" w:sz="4" w:space="0" w:color="auto"/>
              <w:bottom w:val="single" w:sz="4" w:space="0" w:color="auto"/>
            </w:tcBorders>
            <w:vAlign w:val="center"/>
          </w:tcPr>
          <w:p w14:paraId="0E91EC1F" w14:textId="77777777" w:rsidR="007F03A3" w:rsidRP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Area</w:t>
            </w:r>
          </w:p>
        </w:tc>
        <w:tc>
          <w:tcPr>
            <w:tcW w:w="0" w:type="auto"/>
            <w:tcBorders>
              <w:top w:val="single" w:sz="4" w:space="0" w:color="auto"/>
              <w:bottom w:val="single" w:sz="4" w:space="0" w:color="auto"/>
            </w:tcBorders>
            <w:vAlign w:val="center"/>
          </w:tcPr>
          <w:p w14:paraId="0F1C1A53" w14:textId="77777777" w:rsidR="007F03A3" w:rsidRPr="006455B1" w:rsidRDefault="007F03A3" w:rsidP="006455B1">
            <w:pPr>
              <w:spacing w:line="276" w:lineRule="auto"/>
              <w:jc w:val="center"/>
              <w:rPr>
                <w:rFonts w:ascii="Arial" w:hAnsi="Arial" w:cs="Arial"/>
                <w:b/>
                <w:sz w:val="20"/>
                <w:szCs w:val="20"/>
              </w:rPr>
            </w:pPr>
            <w:r w:rsidRPr="006455B1">
              <w:rPr>
                <w:rFonts w:ascii="Arial" w:hAnsi="Arial" w:cs="Arial"/>
                <w:b/>
                <w:sz w:val="20"/>
                <w:szCs w:val="20"/>
              </w:rPr>
              <w:t>Production</w:t>
            </w:r>
          </w:p>
        </w:tc>
      </w:tr>
      <w:tr w:rsidR="007F03A3" w:rsidRPr="00BB787E" w14:paraId="2BBE05C6" w14:textId="77777777" w:rsidTr="001A53CF">
        <w:trPr>
          <w:jc w:val="center"/>
        </w:trPr>
        <w:tc>
          <w:tcPr>
            <w:tcW w:w="0" w:type="auto"/>
            <w:tcBorders>
              <w:top w:val="single" w:sz="4" w:space="0" w:color="auto"/>
              <w:bottom w:val="nil"/>
            </w:tcBorders>
          </w:tcPr>
          <w:p w14:paraId="2FB12F20"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West Bengal</w:t>
            </w:r>
          </w:p>
        </w:tc>
        <w:tc>
          <w:tcPr>
            <w:tcW w:w="0" w:type="auto"/>
            <w:tcBorders>
              <w:top w:val="single" w:sz="4" w:space="0" w:color="auto"/>
              <w:bottom w:val="nil"/>
            </w:tcBorders>
          </w:tcPr>
          <w:p w14:paraId="3B69A25C" w14:textId="3C528F94"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81.91</w:t>
            </w:r>
            <w:r w:rsidR="00A9612E">
              <w:rPr>
                <w:rFonts w:ascii="Arial" w:hAnsi="Arial" w:cs="Arial"/>
                <w:sz w:val="20"/>
                <w:szCs w:val="20"/>
              </w:rPr>
              <w:t xml:space="preserve"> (</w:t>
            </w:r>
            <w:r w:rsidR="00B90CA4">
              <w:rPr>
                <w:rFonts w:ascii="Arial" w:hAnsi="Arial" w:cs="Arial"/>
                <w:sz w:val="20"/>
                <w:szCs w:val="20"/>
              </w:rPr>
              <w:t>19.85%)</w:t>
            </w:r>
          </w:p>
        </w:tc>
        <w:tc>
          <w:tcPr>
            <w:tcW w:w="0" w:type="auto"/>
            <w:tcBorders>
              <w:top w:val="single" w:sz="4" w:space="0" w:color="auto"/>
              <w:bottom w:val="nil"/>
            </w:tcBorders>
          </w:tcPr>
          <w:p w14:paraId="5E86850D" w14:textId="50FFA7A0"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2321.26</w:t>
            </w:r>
            <w:r w:rsidR="00CD2515">
              <w:rPr>
                <w:rFonts w:ascii="Arial" w:hAnsi="Arial" w:cs="Arial"/>
                <w:sz w:val="20"/>
                <w:szCs w:val="20"/>
              </w:rPr>
              <w:t xml:space="preserve"> (24.55%)</w:t>
            </w:r>
          </w:p>
        </w:tc>
        <w:tc>
          <w:tcPr>
            <w:tcW w:w="0" w:type="auto"/>
            <w:tcBorders>
              <w:top w:val="single" w:sz="4" w:space="0" w:color="auto"/>
              <w:bottom w:val="nil"/>
            </w:tcBorders>
          </w:tcPr>
          <w:p w14:paraId="69AB378F" w14:textId="368A057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28.35</w:t>
            </w:r>
            <w:r w:rsidR="00F830BD">
              <w:rPr>
                <w:rFonts w:ascii="Arial" w:hAnsi="Arial" w:cs="Arial"/>
                <w:sz w:val="20"/>
                <w:szCs w:val="20"/>
              </w:rPr>
              <w:t xml:space="preserve"> </w:t>
            </w:r>
          </w:p>
        </w:tc>
        <w:tc>
          <w:tcPr>
            <w:tcW w:w="0" w:type="auto"/>
            <w:tcBorders>
              <w:top w:val="single" w:sz="4" w:space="0" w:color="auto"/>
              <w:bottom w:val="nil"/>
            </w:tcBorders>
          </w:tcPr>
          <w:p w14:paraId="687F621B"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0.79</w:t>
            </w:r>
          </w:p>
        </w:tc>
        <w:tc>
          <w:tcPr>
            <w:tcW w:w="0" w:type="auto"/>
            <w:tcBorders>
              <w:top w:val="single" w:sz="4" w:space="0" w:color="auto"/>
              <w:bottom w:val="nil"/>
            </w:tcBorders>
          </w:tcPr>
          <w:p w14:paraId="79E39AF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0.78</w:t>
            </w:r>
          </w:p>
        </w:tc>
      </w:tr>
      <w:tr w:rsidR="007F03A3" w:rsidRPr="00BB787E" w14:paraId="3C13600E" w14:textId="77777777" w:rsidTr="001A53CF">
        <w:trPr>
          <w:jc w:val="center"/>
        </w:trPr>
        <w:tc>
          <w:tcPr>
            <w:tcW w:w="0" w:type="auto"/>
            <w:tcBorders>
              <w:top w:val="nil"/>
            </w:tcBorders>
          </w:tcPr>
          <w:p w14:paraId="33F04E61"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Odisha</w:t>
            </w:r>
          </w:p>
        </w:tc>
        <w:tc>
          <w:tcPr>
            <w:tcW w:w="0" w:type="auto"/>
            <w:tcBorders>
              <w:top w:val="nil"/>
            </w:tcBorders>
          </w:tcPr>
          <w:p w14:paraId="24FBA3BA" w14:textId="04375FE5"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40.53</w:t>
            </w:r>
            <w:r w:rsidR="00B90CA4">
              <w:rPr>
                <w:rFonts w:ascii="Arial" w:hAnsi="Arial" w:cs="Arial"/>
                <w:sz w:val="20"/>
                <w:szCs w:val="20"/>
              </w:rPr>
              <w:t xml:space="preserve"> (9.82%)</w:t>
            </w:r>
          </w:p>
        </w:tc>
        <w:tc>
          <w:tcPr>
            <w:tcW w:w="0" w:type="auto"/>
            <w:tcBorders>
              <w:top w:val="nil"/>
            </w:tcBorders>
          </w:tcPr>
          <w:p w14:paraId="64C4CACB" w14:textId="5E38D26A"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1120.86</w:t>
            </w:r>
            <w:r w:rsidR="00CD2515">
              <w:rPr>
                <w:rFonts w:ascii="Arial" w:hAnsi="Arial" w:cs="Arial"/>
                <w:sz w:val="20"/>
                <w:szCs w:val="20"/>
              </w:rPr>
              <w:t xml:space="preserve"> (11.85%)</w:t>
            </w:r>
          </w:p>
        </w:tc>
        <w:tc>
          <w:tcPr>
            <w:tcW w:w="0" w:type="auto"/>
            <w:tcBorders>
              <w:top w:val="nil"/>
            </w:tcBorders>
          </w:tcPr>
          <w:p w14:paraId="6CA4BEBC"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27.67</w:t>
            </w:r>
          </w:p>
        </w:tc>
        <w:tc>
          <w:tcPr>
            <w:tcW w:w="0" w:type="auto"/>
            <w:tcBorders>
              <w:top w:val="nil"/>
            </w:tcBorders>
          </w:tcPr>
          <w:p w14:paraId="07362F35"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1.60</w:t>
            </w:r>
          </w:p>
        </w:tc>
        <w:tc>
          <w:tcPr>
            <w:tcW w:w="0" w:type="auto"/>
            <w:tcBorders>
              <w:top w:val="nil"/>
            </w:tcBorders>
          </w:tcPr>
          <w:p w14:paraId="44BDAFF0"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1.33</w:t>
            </w:r>
          </w:p>
        </w:tc>
      </w:tr>
      <w:tr w:rsidR="007F03A3" w:rsidRPr="00BB787E" w14:paraId="5BA6BE0E" w14:textId="77777777" w:rsidTr="001A53CF">
        <w:trPr>
          <w:jc w:val="center"/>
        </w:trPr>
        <w:tc>
          <w:tcPr>
            <w:tcW w:w="0" w:type="auto"/>
          </w:tcPr>
          <w:p w14:paraId="4E58D912"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Madhya Pradesh</w:t>
            </w:r>
          </w:p>
        </w:tc>
        <w:tc>
          <w:tcPr>
            <w:tcW w:w="0" w:type="auto"/>
          </w:tcPr>
          <w:p w14:paraId="418C552A" w14:textId="7B440E81"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34.75</w:t>
            </w:r>
            <w:r w:rsidR="00B90CA4">
              <w:rPr>
                <w:rFonts w:ascii="Arial" w:hAnsi="Arial" w:cs="Arial"/>
                <w:sz w:val="20"/>
                <w:szCs w:val="20"/>
              </w:rPr>
              <w:t xml:space="preserve"> (8.42%)</w:t>
            </w:r>
          </w:p>
        </w:tc>
        <w:tc>
          <w:tcPr>
            <w:tcW w:w="0" w:type="auto"/>
          </w:tcPr>
          <w:p w14:paraId="3FAC0CFE" w14:textId="480EADEB"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816.77</w:t>
            </w:r>
            <w:r w:rsidR="00CD2515">
              <w:rPr>
                <w:rFonts w:ascii="Arial" w:hAnsi="Arial" w:cs="Arial"/>
                <w:sz w:val="20"/>
                <w:szCs w:val="20"/>
              </w:rPr>
              <w:t xml:space="preserve"> (</w:t>
            </w:r>
            <w:r w:rsidR="00212800">
              <w:rPr>
                <w:rFonts w:ascii="Arial" w:hAnsi="Arial" w:cs="Arial"/>
                <w:sz w:val="20"/>
                <w:szCs w:val="20"/>
              </w:rPr>
              <w:t>8.64%)</w:t>
            </w:r>
          </w:p>
        </w:tc>
        <w:tc>
          <w:tcPr>
            <w:tcW w:w="0" w:type="auto"/>
          </w:tcPr>
          <w:p w14:paraId="467B32DB"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23.64</w:t>
            </w:r>
          </w:p>
        </w:tc>
        <w:tc>
          <w:tcPr>
            <w:tcW w:w="0" w:type="auto"/>
          </w:tcPr>
          <w:p w14:paraId="7F5AD971"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8.79</w:t>
            </w:r>
          </w:p>
        </w:tc>
        <w:tc>
          <w:tcPr>
            <w:tcW w:w="0" w:type="auto"/>
          </w:tcPr>
          <w:p w14:paraId="5B54B4B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6.15</w:t>
            </w:r>
          </w:p>
        </w:tc>
      </w:tr>
      <w:tr w:rsidR="007F03A3" w:rsidRPr="00BB787E" w14:paraId="4A6C3927" w14:textId="77777777" w:rsidTr="001A53CF">
        <w:trPr>
          <w:jc w:val="center"/>
        </w:trPr>
        <w:tc>
          <w:tcPr>
            <w:tcW w:w="0" w:type="auto"/>
          </w:tcPr>
          <w:p w14:paraId="26D6018B"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Bihar</w:t>
            </w:r>
          </w:p>
        </w:tc>
        <w:tc>
          <w:tcPr>
            <w:tcW w:w="0" w:type="auto"/>
          </w:tcPr>
          <w:p w14:paraId="7B05FEE5" w14:textId="4C3B4B8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40.92</w:t>
            </w:r>
            <w:r w:rsidR="00B90CA4">
              <w:rPr>
                <w:rFonts w:ascii="Arial" w:hAnsi="Arial" w:cs="Arial"/>
                <w:sz w:val="20"/>
                <w:szCs w:val="20"/>
              </w:rPr>
              <w:t xml:space="preserve"> (9.92%)</w:t>
            </w:r>
          </w:p>
        </w:tc>
        <w:tc>
          <w:tcPr>
            <w:tcW w:w="0" w:type="auto"/>
          </w:tcPr>
          <w:p w14:paraId="30108962" w14:textId="2B32178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721.44</w:t>
            </w:r>
            <w:r w:rsidR="00212800">
              <w:rPr>
                <w:rFonts w:ascii="Arial" w:hAnsi="Arial" w:cs="Arial"/>
                <w:sz w:val="20"/>
                <w:szCs w:val="20"/>
              </w:rPr>
              <w:t xml:space="preserve"> (7.63%)</w:t>
            </w:r>
          </w:p>
        </w:tc>
        <w:tc>
          <w:tcPr>
            <w:tcW w:w="0" w:type="auto"/>
          </w:tcPr>
          <w:p w14:paraId="0573478D"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17.63</w:t>
            </w:r>
          </w:p>
        </w:tc>
        <w:tc>
          <w:tcPr>
            <w:tcW w:w="0" w:type="auto"/>
          </w:tcPr>
          <w:p w14:paraId="328CA29F"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0.91</w:t>
            </w:r>
          </w:p>
        </w:tc>
        <w:tc>
          <w:tcPr>
            <w:tcW w:w="0" w:type="auto"/>
          </w:tcPr>
          <w:p w14:paraId="584782A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1.49</w:t>
            </w:r>
          </w:p>
        </w:tc>
      </w:tr>
      <w:tr w:rsidR="007F03A3" w:rsidRPr="00BB787E" w14:paraId="5007BD9E" w14:textId="77777777" w:rsidTr="001A53CF">
        <w:trPr>
          <w:jc w:val="center"/>
        </w:trPr>
        <w:tc>
          <w:tcPr>
            <w:tcW w:w="0" w:type="auto"/>
          </w:tcPr>
          <w:p w14:paraId="34D96A01"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Gujarat</w:t>
            </w:r>
          </w:p>
        </w:tc>
        <w:tc>
          <w:tcPr>
            <w:tcW w:w="0" w:type="auto"/>
          </w:tcPr>
          <w:p w14:paraId="13C4843A" w14:textId="64949888"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32.49</w:t>
            </w:r>
            <w:r w:rsidR="00B90CA4">
              <w:rPr>
                <w:rFonts w:ascii="Arial" w:hAnsi="Arial" w:cs="Arial"/>
                <w:sz w:val="20"/>
                <w:szCs w:val="20"/>
              </w:rPr>
              <w:t xml:space="preserve"> (7.87%)</w:t>
            </w:r>
          </w:p>
        </w:tc>
        <w:tc>
          <w:tcPr>
            <w:tcW w:w="0" w:type="auto"/>
          </w:tcPr>
          <w:p w14:paraId="75117311" w14:textId="0899A520"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722.8</w:t>
            </w:r>
            <w:r w:rsidR="00212800">
              <w:rPr>
                <w:rFonts w:ascii="Arial" w:hAnsi="Arial" w:cs="Arial"/>
                <w:sz w:val="20"/>
                <w:szCs w:val="20"/>
              </w:rPr>
              <w:t>1 (7.64%)</w:t>
            </w:r>
          </w:p>
        </w:tc>
        <w:tc>
          <w:tcPr>
            <w:tcW w:w="0" w:type="auto"/>
          </w:tcPr>
          <w:p w14:paraId="397856C0"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22.22</w:t>
            </w:r>
          </w:p>
        </w:tc>
        <w:tc>
          <w:tcPr>
            <w:tcW w:w="0" w:type="auto"/>
          </w:tcPr>
          <w:p w14:paraId="58A4DC17"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2.21</w:t>
            </w:r>
          </w:p>
        </w:tc>
        <w:tc>
          <w:tcPr>
            <w:tcW w:w="0" w:type="auto"/>
          </w:tcPr>
          <w:p w14:paraId="479C3E1D"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2.90</w:t>
            </w:r>
          </w:p>
        </w:tc>
      </w:tr>
      <w:tr w:rsidR="007F03A3" w:rsidRPr="00BB787E" w14:paraId="6959D64D" w14:textId="77777777" w:rsidTr="001A53CF">
        <w:trPr>
          <w:jc w:val="center"/>
        </w:trPr>
        <w:tc>
          <w:tcPr>
            <w:tcW w:w="0" w:type="auto"/>
          </w:tcPr>
          <w:p w14:paraId="5402437E"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Assam</w:t>
            </w:r>
          </w:p>
        </w:tc>
        <w:tc>
          <w:tcPr>
            <w:tcW w:w="0" w:type="auto"/>
          </w:tcPr>
          <w:p w14:paraId="75E42498" w14:textId="57889B2D"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33.77</w:t>
            </w:r>
            <w:r w:rsidR="00B90CA4">
              <w:rPr>
                <w:rFonts w:ascii="Arial" w:hAnsi="Arial" w:cs="Arial"/>
                <w:sz w:val="20"/>
                <w:szCs w:val="20"/>
              </w:rPr>
              <w:t xml:space="preserve"> (8.18%)</w:t>
            </w:r>
          </w:p>
        </w:tc>
        <w:tc>
          <w:tcPr>
            <w:tcW w:w="0" w:type="auto"/>
          </w:tcPr>
          <w:p w14:paraId="4C5CC3AB" w14:textId="3E56CB7E"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717.12</w:t>
            </w:r>
            <w:r w:rsidR="00212800">
              <w:rPr>
                <w:rFonts w:ascii="Arial" w:hAnsi="Arial" w:cs="Arial"/>
                <w:sz w:val="20"/>
                <w:szCs w:val="20"/>
              </w:rPr>
              <w:t xml:space="preserve"> (7.58%)</w:t>
            </w:r>
          </w:p>
        </w:tc>
        <w:tc>
          <w:tcPr>
            <w:tcW w:w="0" w:type="auto"/>
          </w:tcPr>
          <w:p w14:paraId="1DCB590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21.22</w:t>
            </w:r>
          </w:p>
        </w:tc>
        <w:tc>
          <w:tcPr>
            <w:tcW w:w="0" w:type="auto"/>
          </w:tcPr>
          <w:p w14:paraId="1D243113"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0.93</w:t>
            </w:r>
          </w:p>
        </w:tc>
        <w:tc>
          <w:tcPr>
            <w:tcW w:w="0" w:type="auto"/>
          </w:tcPr>
          <w:p w14:paraId="107B683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1.21</w:t>
            </w:r>
          </w:p>
        </w:tc>
      </w:tr>
      <w:tr w:rsidR="007F03A3" w:rsidRPr="00BB787E" w14:paraId="089A8E8D" w14:textId="77777777" w:rsidTr="001A53CF">
        <w:trPr>
          <w:jc w:val="center"/>
        </w:trPr>
        <w:tc>
          <w:tcPr>
            <w:tcW w:w="0" w:type="auto"/>
          </w:tcPr>
          <w:p w14:paraId="367F3D63"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Chhattisgarh</w:t>
            </w:r>
          </w:p>
        </w:tc>
        <w:tc>
          <w:tcPr>
            <w:tcW w:w="0" w:type="auto"/>
          </w:tcPr>
          <w:p w14:paraId="4A62CAA4" w14:textId="770AE8A9"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21.68</w:t>
            </w:r>
            <w:r w:rsidR="00B90CA4">
              <w:rPr>
                <w:rFonts w:ascii="Arial" w:hAnsi="Arial" w:cs="Arial"/>
                <w:sz w:val="20"/>
                <w:szCs w:val="20"/>
              </w:rPr>
              <w:t xml:space="preserve"> (5.25%)</w:t>
            </w:r>
          </w:p>
        </w:tc>
        <w:tc>
          <w:tcPr>
            <w:tcW w:w="0" w:type="auto"/>
          </w:tcPr>
          <w:p w14:paraId="4B04E0F3" w14:textId="2783B706"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408.83</w:t>
            </w:r>
            <w:r w:rsidR="00212800">
              <w:rPr>
                <w:rFonts w:ascii="Arial" w:hAnsi="Arial" w:cs="Arial"/>
                <w:sz w:val="20"/>
                <w:szCs w:val="20"/>
              </w:rPr>
              <w:t xml:space="preserve"> (</w:t>
            </w:r>
            <w:r w:rsidR="00F830BD">
              <w:rPr>
                <w:rFonts w:ascii="Arial" w:hAnsi="Arial" w:cs="Arial"/>
                <w:sz w:val="20"/>
                <w:szCs w:val="20"/>
              </w:rPr>
              <w:t>4.32%)</w:t>
            </w:r>
          </w:p>
        </w:tc>
        <w:tc>
          <w:tcPr>
            <w:tcW w:w="0" w:type="auto"/>
          </w:tcPr>
          <w:p w14:paraId="1536AF49"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18.82</w:t>
            </w:r>
          </w:p>
        </w:tc>
        <w:tc>
          <w:tcPr>
            <w:tcW w:w="0" w:type="auto"/>
          </w:tcPr>
          <w:p w14:paraId="6DEF314C"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0.24</w:t>
            </w:r>
          </w:p>
        </w:tc>
        <w:tc>
          <w:tcPr>
            <w:tcW w:w="0" w:type="auto"/>
          </w:tcPr>
          <w:p w14:paraId="0C433024"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0.59</w:t>
            </w:r>
          </w:p>
        </w:tc>
      </w:tr>
      <w:tr w:rsidR="007F03A3" w:rsidRPr="00BB787E" w14:paraId="26EDA6CC" w14:textId="77777777" w:rsidTr="001A53CF">
        <w:trPr>
          <w:jc w:val="center"/>
        </w:trPr>
        <w:tc>
          <w:tcPr>
            <w:tcW w:w="0" w:type="auto"/>
          </w:tcPr>
          <w:p w14:paraId="2C5B76EA"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Jharkhand</w:t>
            </w:r>
          </w:p>
        </w:tc>
        <w:tc>
          <w:tcPr>
            <w:tcW w:w="0" w:type="auto"/>
          </w:tcPr>
          <w:p w14:paraId="4BEDB19E" w14:textId="55DDF1A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22.65</w:t>
            </w:r>
            <w:r w:rsidR="00B90CA4">
              <w:rPr>
                <w:rFonts w:ascii="Arial" w:hAnsi="Arial" w:cs="Arial"/>
                <w:sz w:val="20"/>
                <w:szCs w:val="20"/>
              </w:rPr>
              <w:t xml:space="preserve"> (</w:t>
            </w:r>
            <w:r w:rsidR="001D7FEE">
              <w:rPr>
                <w:rFonts w:ascii="Arial" w:hAnsi="Arial" w:cs="Arial"/>
                <w:sz w:val="20"/>
                <w:szCs w:val="20"/>
              </w:rPr>
              <w:t>5.49%)</w:t>
            </w:r>
          </w:p>
        </w:tc>
        <w:tc>
          <w:tcPr>
            <w:tcW w:w="0" w:type="auto"/>
          </w:tcPr>
          <w:p w14:paraId="78C3E697" w14:textId="4BFD388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349.65</w:t>
            </w:r>
            <w:r w:rsidR="00F830BD">
              <w:rPr>
                <w:rFonts w:ascii="Arial" w:hAnsi="Arial" w:cs="Arial"/>
                <w:sz w:val="20"/>
                <w:szCs w:val="20"/>
              </w:rPr>
              <w:t xml:space="preserve"> (3.70%)</w:t>
            </w:r>
          </w:p>
        </w:tc>
        <w:tc>
          <w:tcPr>
            <w:tcW w:w="0" w:type="auto"/>
          </w:tcPr>
          <w:p w14:paraId="0E723A27"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15.78</w:t>
            </w:r>
          </w:p>
        </w:tc>
        <w:tc>
          <w:tcPr>
            <w:tcW w:w="0" w:type="auto"/>
          </w:tcPr>
          <w:p w14:paraId="4F2D910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0.79</w:t>
            </w:r>
          </w:p>
        </w:tc>
        <w:tc>
          <w:tcPr>
            <w:tcW w:w="0" w:type="auto"/>
          </w:tcPr>
          <w:p w14:paraId="2222AA5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-3.22</w:t>
            </w:r>
          </w:p>
        </w:tc>
      </w:tr>
      <w:tr w:rsidR="007F03A3" w:rsidRPr="00BB787E" w14:paraId="23971660" w14:textId="77777777" w:rsidTr="001A53CF">
        <w:trPr>
          <w:jc w:val="center"/>
        </w:trPr>
        <w:tc>
          <w:tcPr>
            <w:tcW w:w="0" w:type="auto"/>
          </w:tcPr>
          <w:p w14:paraId="062495C3"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Haryana</w:t>
            </w:r>
          </w:p>
        </w:tc>
        <w:tc>
          <w:tcPr>
            <w:tcW w:w="0" w:type="auto"/>
          </w:tcPr>
          <w:p w14:paraId="44920F6A" w14:textId="39050E92"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17.47</w:t>
            </w:r>
            <w:r w:rsidR="001D7FEE">
              <w:rPr>
                <w:rFonts w:ascii="Arial" w:hAnsi="Arial" w:cs="Arial"/>
                <w:sz w:val="20"/>
                <w:szCs w:val="20"/>
              </w:rPr>
              <w:t xml:space="preserve"> (4.23%)</w:t>
            </w:r>
          </w:p>
        </w:tc>
        <w:tc>
          <w:tcPr>
            <w:tcW w:w="0" w:type="auto"/>
          </w:tcPr>
          <w:p w14:paraId="32662A7A" w14:textId="23625484"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315.23</w:t>
            </w:r>
            <w:r w:rsidR="00F830BD">
              <w:rPr>
                <w:rFonts w:ascii="Arial" w:hAnsi="Arial" w:cs="Arial"/>
                <w:sz w:val="20"/>
                <w:szCs w:val="20"/>
              </w:rPr>
              <w:t xml:space="preserve"> (3.33%)</w:t>
            </w:r>
          </w:p>
        </w:tc>
        <w:tc>
          <w:tcPr>
            <w:tcW w:w="0" w:type="auto"/>
          </w:tcPr>
          <w:p w14:paraId="1478636A"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18.56</w:t>
            </w:r>
          </w:p>
        </w:tc>
        <w:tc>
          <w:tcPr>
            <w:tcW w:w="0" w:type="auto"/>
          </w:tcPr>
          <w:p w14:paraId="698A8BDB"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-0.93</w:t>
            </w:r>
          </w:p>
        </w:tc>
        <w:tc>
          <w:tcPr>
            <w:tcW w:w="0" w:type="auto"/>
          </w:tcPr>
          <w:p w14:paraId="0324532A"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2.55</w:t>
            </w:r>
          </w:p>
        </w:tc>
      </w:tr>
      <w:tr w:rsidR="007F03A3" w:rsidRPr="00BB787E" w14:paraId="21B0E43D" w14:textId="77777777" w:rsidTr="001A53CF">
        <w:trPr>
          <w:jc w:val="center"/>
        </w:trPr>
        <w:tc>
          <w:tcPr>
            <w:tcW w:w="0" w:type="auto"/>
          </w:tcPr>
          <w:p w14:paraId="7642297B"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Uttar Pradesh</w:t>
            </w:r>
          </w:p>
        </w:tc>
        <w:tc>
          <w:tcPr>
            <w:tcW w:w="0" w:type="auto"/>
          </w:tcPr>
          <w:p w14:paraId="633E44E6" w14:textId="48A2ACCA"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9.52</w:t>
            </w:r>
            <w:r w:rsidR="001D7FEE">
              <w:rPr>
                <w:rFonts w:ascii="Arial" w:hAnsi="Arial" w:cs="Arial"/>
                <w:sz w:val="20"/>
                <w:szCs w:val="20"/>
              </w:rPr>
              <w:t xml:space="preserve"> (2.31%) </w:t>
            </w:r>
          </w:p>
        </w:tc>
        <w:tc>
          <w:tcPr>
            <w:tcW w:w="0" w:type="auto"/>
          </w:tcPr>
          <w:p w14:paraId="66E61713" w14:textId="30D8D105"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326.90</w:t>
            </w:r>
            <w:r w:rsidR="00F830BD">
              <w:rPr>
                <w:rFonts w:ascii="Arial" w:hAnsi="Arial" w:cs="Arial"/>
                <w:sz w:val="20"/>
                <w:szCs w:val="20"/>
              </w:rPr>
              <w:t xml:space="preserve"> (3.46%)</w:t>
            </w:r>
          </w:p>
        </w:tc>
        <w:tc>
          <w:tcPr>
            <w:tcW w:w="0" w:type="auto"/>
          </w:tcPr>
          <w:p w14:paraId="241026D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27.98</w:t>
            </w:r>
          </w:p>
        </w:tc>
        <w:tc>
          <w:tcPr>
            <w:tcW w:w="0" w:type="auto"/>
          </w:tcPr>
          <w:p w14:paraId="1AAEF860"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18.65</w:t>
            </w:r>
          </w:p>
        </w:tc>
        <w:tc>
          <w:tcPr>
            <w:tcW w:w="0" w:type="auto"/>
          </w:tcPr>
          <w:p w14:paraId="457B2E6D"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19.42</w:t>
            </w:r>
          </w:p>
        </w:tc>
      </w:tr>
      <w:tr w:rsidR="00752BA7" w:rsidRPr="00BB787E" w14:paraId="148D5EB9" w14:textId="77777777" w:rsidTr="001A53CF">
        <w:trPr>
          <w:jc w:val="center"/>
        </w:trPr>
        <w:tc>
          <w:tcPr>
            <w:tcW w:w="0" w:type="auto"/>
          </w:tcPr>
          <w:p w14:paraId="3041F3F5" w14:textId="78B0D58C" w:rsidR="00752BA7" w:rsidRPr="00BB787E" w:rsidRDefault="00752BA7"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India</w:t>
            </w:r>
          </w:p>
        </w:tc>
        <w:tc>
          <w:tcPr>
            <w:tcW w:w="0" w:type="auto"/>
          </w:tcPr>
          <w:p w14:paraId="6D38C363" w14:textId="2762F408" w:rsidR="00752BA7" w:rsidRPr="00BB787E" w:rsidRDefault="004F4FEC" w:rsidP="007F03A3">
            <w:pPr>
              <w:spacing w:line="276" w:lineRule="auto"/>
              <w:jc w:val="center"/>
              <w:rPr>
                <w:rFonts w:ascii="Arial" w:hAnsi="Arial" w:cs="Arial"/>
                <w:sz w:val="20"/>
                <w:szCs w:val="20"/>
              </w:rPr>
            </w:pPr>
            <w:r>
              <w:rPr>
                <w:rFonts w:ascii="Arial" w:hAnsi="Arial" w:cs="Arial"/>
                <w:sz w:val="20"/>
                <w:szCs w:val="20"/>
              </w:rPr>
              <w:t>412.69</w:t>
            </w:r>
            <w:r w:rsidR="001D7FEE">
              <w:rPr>
                <w:rFonts w:ascii="Arial" w:hAnsi="Arial" w:cs="Arial"/>
                <w:sz w:val="20"/>
                <w:szCs w:val="20"/>
              </w:rPr>
              <w:t xml:space="preserve"> (100%)</w:t>
            </w:r>
          </w:p>
        </w:tc>
        <w:tc>
          <w:tcPr>
            <w:tcW w:w="0" w:type="auto"/>
          </w:tcPr>
          <w:p w14:paraId="35AC8E73" w14:textId="4F136802" w:rsidR="00752BA7" w:rsidRPr="00BB787E" w:rsidRDefault="00043460" w:rsidP="007F03A3">
            <w:pPr>
              <w:spacing w:line="276" w:lineRule="auto"/>
              <w:jc w:val="center"/>
              <w:rPr>
                <w:rFonts w:ascii="Arial" w:hAnsi="Arial" w:cs="Arial"/>
                <w:sz w:val="20"/>
                <w:szCs w:val="20"/>
              </w:rPr>
            </w:pPr>
            <w:r>
              <w:rPr>
                <w:rFonts w:ascii="Arial" w:hAnsi="Arial" w:cs="Arial"/>
                <w:sz w:val="20"/>
                <w:szCs w:val="20"/>
              </w:rPr>
              <w:t>9455.94</w:t>
            </w:r>
            <w:r w:rsidR="00F830BD">
              <w:rPr>
                <w:rFonts w:ascii="Arial" w:hAnsi="Arial" w:cs="Arial"/>
                <w:sz w:val="20"/>
                <w:szCs w:val="20"/>
              </w:rPr>
              <w:t xml:space="preserve"> (100%)</w:t>
            </w:r>
          </w:p>
        </w:tc>
        <w:tc>
          <w:tcPr>
            <w:tcW w:w="0" w:type="auto"/>
          </w:tcPr>
          <w:p w14:paraId="37E19164" w14:textId="41159C6A" w:rsidR="00752BA7" w:rsidRPr="00BB787E" w:rsidRDefault="00043460" w:rsidP="007F03A3">
            <w:pPr>
              <w:spacing w:line="276" w:lineRule="auto"/>
              <w:jc w:val="center"/>
              <w:rPr>
                <w:rFonts w:ascii="Arial" w:hAnsi="Arial" w:cs="Arial"/>
                <w:sz w:val="20"/>
                <w:szCs w:val="20"/>
              </w:rPr>
            </w:pPr>
            <w:r>
              <w:rPr>
                <w:rFonts w:ascii="Arial" w:hAnsi="Arial" w:cs="Arial"/>
                <w:sz w:val="20"/>
                <w:szCs w:val="20"/>
              </w:rPr>
              <w:t>22.90</w:t>
            </w:r>
          </w:p>
        </w:tc>
        <w:tc>
          <w:tcPr>
            <w:tcW w:w="0" w:type="auto"/>
          </w:tcPr>
          <w:p w14:paraId="63938B55" w14:textId="565A5C1A" w:rsidR="00752BA7" w:rsidRPr="00BB787E" w:rsidRDefault="0056786F" w:rsidP="007F03A3">
            <w:pPr>
              <w:spacing w:line="276" w:lineRule="auto"/>
              <w:jc w:val="center"/>
              <w:rPr>
                <w:rFonts w:ascii="Arial" w:hAnsi="Arial" w:cs="Arial"/>
                <w:sz w:val="20"/>
                <w:szCs w:val="20"/>
              </w:rPr>
            </w:pPr>
            <w:r>
              <w:rPr>
                <w:rFonts w:ascii="Arial" w:hAnsi="Arial" w:cs="Arial"/>
                <w:sz w:val="20"/>
                <w:szCs w:val="20"/>
              </w:rPr>
              <w:t>1.65</w:t>
            </w:r>
          </w:p>
        </w:tc>
        <w:tc>
          <w:tcPr>
            <w:tcW w:w="0" w:type="auto"/>
          </w:tcPr>
          <w:p w14:paraId="2E552C33" w14:textId="27AA49BC" w:rsidR="00752BA7" w:rsidRPr="00BB787E" w:rsidRDefault="00C4196C" w:rsidP="007F03A3">
            <w:pPr>
              <w:spacing w:line="276" w:lineRule="auto"/>
              <w:jc w:val="center"/>
              <w:rPr>
                <w:rFonts w:ascii="Arial" w:hAnsi="Arial" w:cs="Arial"/>
                <w:sz w:val="20"/>
                <w:szCs w:val="20"/>
              </w:rPr>
            </w:pPr>
            <w:r>
              <w:rPr>
                <w:rFonts w:ascii="Arial" w:hAnsi="Arial" w:cs="Arial"/>
                <w:sz w:val="20"/>
                <w:szCs w:val="20"/>
              </w:rPr>
              <w:t>2.05</w:t>
            </w:r>
          </w:p>
        </w:tc>
      </w:tr>
    </w:tbl>
    <w:p w14:paraId="1A30CD6E" w14:textId="2946AD3F" w:rsidR="007F03A3" w:rsidRPr="00740196" w:rsidRDefault="00A264A0" w:rsidP="007F03A3">
      <w:pPr>
        <w:spacing w:line="360" w:lineRule="auto"/>
        <w:jc w:val="center"/>
        <w:rPr>
          <w:rFonts w:ascii="Arial" w:hAnsi="Arial" w:cs="Arial"/>
          <w:sz w:val="20"/>
          <w:szCs w:val="20"/>
        </w:rPr>
      </w:pPr>
      <w:r w:rsidRPr="00740196">
        <w:rPr>
          <w:rFonts w:ascii="Arial" w:hAnsi="Arial" w:cs="Arial"/>
          <w:b/>
          <w:bCs/>
          <w:sz w:val="20"/>
          <w:szCs w:val="20"/>
        </w:rPr>
        <w:t xml:space="preserve">                                                                      </w:t>
      </w:r>
      <w:r w:rsidR="00BB787E">
        <w:rPr>
          <w:rFonts w:ascii="Arial" w:hAnsi="Arial" w:cs="Arial"/>
          <w:b/>
          <w:bCs/>
          <w:sz w:val="20"/>
          <w:szCs w:val="20"/>
        </w:rPr>
        <w:t xml:space="preserve">              </w:t>
      </w:r>
      <w:r w:rsidR="00F034EC">
        <w:rPr>
          <w:rFonts w:ascii="Arial" w:hAnsi="Arial" w:cs="Arial"/>
          <w:b/>
          <w:bCs/>
          <w:sz w:val="20"/>
          <w:szCs w:val="20"/>
        </w:rPr>
        <w:t xml:space="preserve">                       </w:t>
      </w:r>
      <w:r w:rsidR="007F03A3" w:rsidRPr="00BB787E">
        <w:rPr>
          <w:rFonts w:ascii="Arial" w:hAnsi="Arial" w:cs="Arial"/>
          <w:bCs/>
          <w:sz w:val="18"/>
          <w:szCs w:val="18"/>
        </w:rPr>
        <w:t>Source:</w:t>
      </w:r>
      <w:r w:rsidR="007F03A3" w:rsidRPr="00BB787E">
        <w:rPr>
          <w:rFonts w:ascii="Arial" w:hAnsi="Arial" w:cs="Arial"/>
          <w:sz w:val="18"/>
          <w:szCs w:val="18"/>
        </w:rPr>
        <w:t xml:space="preserve"> www.indiastat.com</w:t>
      </w:r>
    </w:p>
    <w:p w14:paraId="2873C1F8" w14:textId="6EBF1787" w:rsidR="00E274FE" w:rsidRPr="00BE3882" w:rsidRDefault="007F03A3" w:rsidP="00BE3882">
      <w:pPr>
        <w:pStyle w:val="ListParagraph"/>
        <w:numPr>
          <w:ilvl w:val="0"/>
          <w:numId w:val="1"/>
        </w:numPr>
        <w:spacing w:line="360" w:lineRule="auto"/>
        <w:jc w:val="both"/>
        <w:rPr>
          <w:rFonts w:ascii="Arial" w:hAnsi="Arial" w:cs="Arial"/>
          <w:b/>
          <w:bCs/>
          <w:sz w:val="22"/>
          <w:szCs w:val="22"/>
        </w:rPr>
      </w:pPr>
      <w:r w:rsidRPr="00BE3882">
        <w:rPr>
          <w:rFonts w:ascii="Arial" w:hAnsi="Arial" w:cs="Arial"/>
          <w:b/>
          <w:bCs/>
          <w:sz w:val="22"/>
          <w:szCs w:val="22"/>
        </w:rPr>
        <w:t>Conclusion</w:t>
      </w:r>
    </w:p>
    <w:p w14:paraId="1498AFF4" w14:textId="1F30A574" w:rsidR="00633304" w:rsidRPr="00373D7F" w:rsidRDefault="00BE3882" w:rsidP="00BE3882">
      <w:pPr>
        <w:spacing w:line="360" w:lineRule="auto"/>
        <w:jc w:val="both"/>
        <w:rPr>
          <w:rFonts w:ascii="Arial" w:hAnsi="Arial" w:cs="Arial"/>
          <w:sz w:val="20"/>
          <w:szCs w:val="20"/>
        </w:rPr>
      </w:pPr>
      <w:r w:rsidRPr="00BE3882">
        <w:rPr>
          <w:rFonts w:ascii="Arial" w:hAnsi="Arial" w:cs="Arial"/>
          <w:sz w:val="20"/>
          <w:szCs w:val="20"/>
        </w:rPr>
        <w:tab/>
      </w:r>
      <w:r w:rsidR="00FE0756" w:rsidRPr="00FE0756">
        <w:rPr>
          <w:rFonts w:ascii="Arial" w:hAnsi="Arial" w:cs="Arial"/>
          <w:sz w:val="20"/>
          <w:szCs w:val="20"/>
        </w:rPr>
        <w:t>India accounted for approximately 8% of the world’s total cabbage production over the past decade. Furthermore, the compound annual growth rate (CAGR) of cabbage production in India during this period was higher than that of most other producing countries. Among the major vegetables cultivated in India, cabbage ranks fifth, contributing 4.92% of the total vegetable production on average over the period 2014–15 to 2024–25</w:t>
      </w:r>
      <w:r w:rsidR="0069786C" w:rsidRPr="00BE3882">
        <w:rPr>
          <w:rFonts w:ascii="Arial" w:hAnsi="Arial" w:cs="Arial"/>
          <w:sz w:val="20"/>
          <w:szCs w:val="20"/>
        </w:rPr>
        <w:t xml:space="preserve">. </w:t>
      </w:r>
      <w:r w:rsidR="00E01559" w:rsidRPr="00BE3882">
        <w:rPr>
          <w:rFonts w:ascii="Arial" w:hAnsi="Arial" w:cs="Arial"/>
          <w:sz w:val="20"/>
          <w:szCs w:val="20"/>
        </w:rPr>
        <w:t xml:space="preserve">India’s contribution </w:t>
      </w:r>
      <w:r w:rsidR="00D56C8C" w:rsidRPr="00BE3882">
        <w:rPr>
          <w:rFonts w:ascii="Arial" w:hAnsi="Arial" w:cs="Arial"/>
          <w:sz w:val="20"/>
          <w:szCs w:val="20"/>
        </w:rPr>
        <w:t xml:space="preserve">to the total </w:t>
      </w:r>
      <w:r w:rsidR="0085422E" w:rsidRPr="00BE3882">
        <w:rPr>
          <w:rFonts w:ascii="Arial" w:hAnsi="Arial" w:cs="Arial"/>
          <w:sz w:val="20"/>
          <w:szCs w:val="20"/>
        </w:rPr>
        <w:t xml:space="preserve">global </w:t>
      </w:r>
      <w:r w:rsidR="00D56C8C" w:rsidRPr="00BE3882">
        <w:rPr>
          <w:rFonts w:ascii="Arial" w:hAnsi="Arial" w:cs="Arial"/>
          <w:sz w:val="20"/>
          <w:szCs w:val="20"/>
        </w:rPr>
        <w:t>export</w:t>
      </w:r>
      <w:r w:rsidR="0085422E" w:rsidRPr="00BE3882">
        <w:rPr>
          <w:rFonts w:ascii="Arial" w:hAnsi="Arial" w:cs="Arial"/>
          <w:sz w:val="20"/>
          <w:szCs w:val="20"/>
        </w:rPr>
        <w:t xml:space="preserve"> of cabbage </w:t>
      </w:r>
      <w:r w:rsidR="009A0210" w:rsidRPr="00BE3882">
        <w:rPr>
          <w:rFonts w:ascii="Arial" w:hAnsi="Arial" w:cs="Arial"/>
          <w:sz w:val="20"/>
          <w:szCs w:val="20"/>
        </w:rPr>
        <w:t>both in terms of quantity and value revealed very low (</w:t>
      </w:r>
      <w:r w:rsidR="0001682D" w:rsidRPr="00BE3882">
        <w:rPr>
          <w:rFonts w:ascii="Arial" w:hAnsi="Arial" w:cs="Arial"/>
          <w:sz w:val="20"/>
          <w:szCs w:val="20"/>
        </w:rPr>
        <w:t xml:space="preserve">8.29% of </w:t>
      </w:r>
      <w:r w:rsidR="00CD60DE" w:rsidRPr="00BE3882">
        <w:rPr>
          <w:rFonts w:ascii="Arial" w:hAnsi="Arial" w:cs="Arial"/>
          <w:sz w:val="20"/>
          <w:szCs w:val="20"/>
        </w:rPr>
        <w:t>the quantity and 0.10% of value)</w:t>
      </w:r>
      <w:r w:rsidR="0067099C" w:rsidRPr="00BE3882">
        <w:rPr>
          <w:rFonts w:ascii="Arial" w:hAnsi="Arial" w:cs="Arial"/>
          <w:sz w:val="20"/>
          <w:szCs w:val="20"/>
        </w:rPr>
        <w:t xml:space="preserve">. </w:t>
      </w:r>
      <w:r w:rsidR="00354B86" w:rsidRPr="00BE3882">
        <w:rPr>
          <w:rFonts w:ascii="Arial" w:hAnsi="Arial" w:cs="Arial"/>
          <w:sz w:val="20"/>
          <w:szCs w:val="20"/>
        </w:rPr>
        <w:t xml:space="preserve">Although export quantities were relatively very low compared to major global exporters, the rising trend </w:t>
      </w:r>
      <w:r w:rsidR="004334CA">
        <w:rPr>
          <w:rFonts w:ascii="Arial" w:hAnsi="Arial" w:cs="Arial"/>
          <w:sz w:val="20"/>
          <w:szCs w:val="20"/>
        </w:rPr>
        <w:t>in</w:t>
      </w:r>
      <w:r w:rsidR="00354B86" w:rsidRPr="00BE3882">
        <w:rPr>
          <w:rFonts w:ascii="Arial" w:hAnsi="Arial" w:cs="Arial"/>
          <w:sz w:val="20"/>
          <w:szCs w:val="20"/>
        </w:rPr>
        <w:t xml:space="preserve"> export value </w:t>
      </w:r>
      <w:r w:rsidR="004334CA" w:rsidRPr="00BE3882">
        <w:rPr>
          <w:rFonts w:ascii="Arial" w:hAnsi="Arial" w:cs="Arial"/>
          <w:sz w:val="20"/>
          <w:szCs w:val="20"/>
        </w:rPr>
        <w:t>indicat</w:t>
      </w:r>
      <w:r w:rsidR="004334CA">
        <w:rPr>
          <w:rFonts w:ascii="Arial" w:hAnsi="Arial" w:cs="Arial"/>
          <w:sz w:val="20"/>
          <w:szCs w:val="20"/>
        </w:rPr>
        <w:t>es</w:t>
      </w:r>
      <w:r w:rsidR="004334CA" w:rsidRPr="00BE3882">
        <w:rPr>
          <w:rFonts w:ascii="Arial" w:hAnsi="Arial" w:cs="Arial"/>
          <w:sz w:val="20"/>
          <w:szCs w:val="20"/>
        </w:rPr>
        <w:t xml:space="preserve"> considerable</w:t>
      </w:r>
      <w:r w:rsidR="00354B86" w:rsidRPr="00BE3882">
        <w:rPr>
          <w:rFonts w:ascii="Arial" w:hAnsi="Arial" w:cs="Arial"/>
          <w:sz w:val="20"/>
          <w:szCs w:val="20"/>
        </w:rPr>
        <w:t xml:space="preserve"> scope for growth in international markets.</w:t>
      </w:r>
      <w:r w:rsidR="00665014" w:rsidRPr="00BE3882">
        <w:rPr>
          <w:rFonts w:ascii="Arial" w:hAnsi="Arial" w:cs="Arial"/>
          <w:sz w:val="20"/>
          <w:szCs w:val="20"/>
        </w:rPr>
        <w:t xml:space="preserve"> </w:t>
      </w:r>
      <w:r w:rsidR="004334CA" w:rsidRPr="004334CA">
        <w:rPr>
          <w:rFonts w:ascii="Arial" w:hAnsi="Arial" w:cs="Arial"/>
          <w:sz w:val="20"/>
          <w:szCs w:val="20"/>
        </w:rPr>
        <w:t xml:space="preserve">In India over the last 24 years, a positive trend in the area, production and productivity of cabbage cultivation was found with an estimated growth rate (CAGR) of 2.60%, 2.73% </w:t>
      </w:r>
      <w:r w:rsidR="004334CA" w:rsidRPr="004334CA">
        <w:rPr>
          <w:rFonts w:ascii="Arial" w:hAnsi="Arial" w:cs="Arial"/>
          <w:sz w:val="20"/>
          <w:szCs w:val="20"/>
        </w:rPr>
        <w:lastRenderedPageBreak/>
        <w:t>and 0.14% respectively</w:t>
      </w:r>
      <w:r w:rsidR="00253DCE">
        <w:rPr>
          <w:rFonts w:ascii="Arial" w:hAnsi="Arial" w:cs="Arial"/>
          <w:sz w:val="20"/>
          <w:szCs w:val="20"/>
        </w:rPr>
        <w:t xml:space="preserve">. However, </w:t>
      </w:r>
      <w:r w:rsidR="00253DCE" w:rsidRPr="00BE3882">
        <w:rPr>
          <w:rFonts w:ascii="Arial" w:hAnsi="Arial" w:cs="Arial"/>
          <w:sz w:val="20"/>
          <w:szCs w:val="20"/>
        </w:rPr>
        <w:t>the</w:t>
      </w:r>
      <w:r w:rsidR="00C62E68" w:rsidRPr="00BE3882">
        <w:rPr>
          <w:rFonts w:ascii="Arial" w:hAnsi="Arial" w:cs="Arial"/>
          <w:sz w:val="20"/>
          <w:szCs w:val="20"/>
        </w:rPr>
        <w:t xml:space="preserve"> instability in growth of production reve</w:t>
      </w:r>
      <w:r w:rsidR="003674BE" w:rsidRPr="00BE3882">
        <w:rPr>
          <w:rFonts w:ascii="Arial" w:hAnsi="Arial" w:cs="Arial"/>
          <w:sz w:val="20"/>
          <w:szCs w:val="20"/>
        </w:rPr>
        <w:t>a</w:t>
      </w:r>
      <w:r w:rsidR="00C62E68" w:rsidRPr="00BE3882">
        <w:rPr>
          <w:rFonts w:ascii="Arial" w:hAnsi="Arial" w:cs="Arial"/>
          <w:sz w:val="20"/>
          <w:szCs w:val="20"/>
        </w:rPr>
        <w:t xml:space="preserve">led </w:t>
      </w:r>
      <w:r w:rsidR="003674BE" w:rsidRPr="00BE3882">
        <w:rPr>
          <w:rFonts w:ascii="Arial" w:hAnsi="Arial" w:cs="Arial"/>
          <w:sz w:val="20"/>
          <w:szCs w:val="20"/>
        </w:rPr>
        <w:t xml:space="preserve">much higher than productivity. </w:t>
      </w:r>
      <w:r w:rsidR="00BE5C91" w:rsidRPr="00BE3882">
        <w:rPr>
          <w:rFonts w:ascii="Arial" w:hAnsi="Arial" w:cs="Arial"/>
          <w:sz w:val="20"/>
          <w:szCs w:val="20"/>
        </w:rPr>
        <w:t>West Bengal, Odisha, Madhya Pradesh</w:t>
      </w:r>
      <w:r w:rsidR="00C128B8" w:rsidRPr="00BE3882">
        <w:rPr>
          <w:rFonts w:ascii="Arial" w:hAnsi="Arial" w:cs="Arial"/>
          <w:sz w:val="20"/>
          <w:szCs w:val="20"/>
        </w:rPr>
        <w:t xml:space="preserve"> </w:t>
      </w:r>
      <w:r w:rsidR="00253DCE">
        <w:rPr>
          <w:rFonts w:ascii="Arial" w:hAnsi="Arial" w:cs="Arial"/>
          <w:sz w:val="20"/>
          <w:szCs w:val="20"/>
        </w:rPr>
        <w:t>al</w:t>
      </w:r>
      <w:r w:rsidR="00393B7C" w:rsidRPr="00BE3882">
        <w:rPr>
          <w:rFonts w:ascii="Arial" w:hAnsi="Arial" w:cs="Arial"/>
          <w:sz w:val="20"/>
          <w:szCs w:val="20"/>
        </w:rPr>
        <w:t xml:space="preserve">together contributed around 45% of </w:t>
      </w:r>
      <w:r w:rsidR="004334CA">
        <w:rPr>
          <w:rFonts w:ascii="Arial" w:hAnsi="Arial" w:cs="Arial"/>
          <w:sz w:val="20"/>
          <w:szCs w:val="20"/>
        </w:rPr>
        <w:t xml:space="preserve">the </w:t>
      </w:r>
      <w:r w:rsidR="00393B7C" w:rsidRPr="00BE3882">
        <w:rPr>
          <w:rFonts w:ascii="Arial" w:hAnsi="Arial" w:cs="Arial"/>
          <w:sz w:val="20"/>
          <w:szCs w:val="20"/>
        </w:rPr>
        <w:t xml:space="preserve">total </w:t>
      </w:r>
      <w:r w:rsidR="000335C9" w:rsidRPr="00BE3882">
        <w:rPr>
          <w:rFonts w:ascii="Arial" w:hAnsi="Arial" w:cs="Arial"/>
          <w:sz w:val="20"/>
          <w:szCs w:val="20"/>
        </w:rPr>
        <w:t>cabbage production</w:t>
      </w:r>
      <w:r w:rsidR="00253DCE">
        <w:rPr>
          <w:rFonts w:ascii="Arial" w:hAnsi="Arial" w:cs="Arial"/>
          <w:sz w:val="20"/>
          <w:szCs w:val="20"/>
        </w:rPr>
        <w:t xml:space="preserve"> of India</w:t>
      </w:r>
      <w:r w:rsidR="004334CA">
        <w:rPr>
          <w:rFonts w:ascii="Arial" w:hAnsi="Arial" w:cs="Arial"/>
          <w:sz w:val="20"/>
          <w:szCs w:val="20"/>
        </w:rPr>
        <w:t>. However,</w:t>
      </w:r>
      <w:r w:rsidR="000335C9" w:rsidRPr="00BE3882">
        <w:rPr>
          <w:rFonts w:ascii="Arial" w:hAnsi="Arial" w:cs="Arial"/>
          <w:sz w:val="20"/>
          <w:szCs w:val="20"/>
        </w:rPr>
        <w:t xml:space="preserve"> in terms of productivity</w:t>
      </w:r>
      <w:r w:rsidR="00253DCE">
        <w:rPr>
          <w:rFonts w:ascii="Arial" w:hAnsi="Arial" w:cs="Arial"/>
          <w:sz w:val="20"/>
          <w:szCs w:val="20"/>
        </w:rPr>
        <w:t>,</w:t>
      </w:r>
      <w:r w:rsidR="000335C9" w:rsidRPr="00BE3882">
        <w:rPr>
          <w:rFonts w:ascii="Arial" w:hAnsi="Arial" w:cs="Arial"/>
          <w:sz w:val="20"/>
          <w:szCs w:val="20"/>
        </w:rPr>
        <w:t xml:space="preserve"> </w:t>
      </w:r>
      <w:r w:rsidR="00D61227" w:rsidRPr="00BE3882">
        <w:rPr>
          <w:rFonts w:ascii="Arial" w:hAnsi="Arial" w:cs="Arial"/>
          <w:sz w:val="20"/>
          <w:szCs w:val="20"/>
        </w:rPr>
        <w:t xml:space="preserve">West Bengal, Odisha and Uttar Pradesh </w:t>
      </w:r>
      <w:r w:rsidR="00AA2699" w:rsidRPr="00BE3882">
        <w:rPr>
          <w:rFonts w:ascii="Arial" w:hAnsi="Arial" w:cs="Arial"/>
          <w:sz w:val="20"/>
          <w:szCs w:val="20"/>
        </w:rPr>
        <w:t>took the leading position</w:t>
      </w:r>
      <w:r w:rsidR="004334CA">
        <w:rPr>
          <w:rFonts w:ascii="Arial" w:hAnsi="Arial" w:cs="Arial"/>
          <w:sz w:val="20"/>
          <w:szCs w:val="20"/>
        </w:rPr>
        <w:t>s</w:t>
      </w:r>
      <w:r w:rsidR="00E91230" w:rsidRPr="00BE3882">
        <w:rPr>
          <w:rFonts w:ascii="Arial" w:hAnsi="Arial" w:cs="Arial"/>
          <w:sz w:val="20"/>
          <w:szCs w:val="20"/>
        </w:rPr>
        <w:t xml:space="preserve">. </w:t>
      </w:r>
      <w:r w:rsidR="00354B86" w:rsidRPr="00BE3882">
        <w:rPr>
          <w:rFonts w:ascii="Arial" w:hAnsi="Arial" w:cs="Arial"/>
          <w:sz w:val="20"/>
          <w:szCs w:val="20"/>
        </w:rPr>
        <w:t xml:space="preserve">However, challenges such as low productivity, dependence on conventional cultivation methods, inadequate post-harvest management, and price volatility hinder the sector from achieving its full potential. </w:t>
      </w:r>
      <w:r w:rsidR="00E91230" w:rsidRPr="00BE3882">
        <w:rPr>
          <w:rFonts w:ascii="Arial" w:hAnsi="Arial" w:cs="Arial"/>
          <w:sz w:val="20"/>
          <w:szCs w:val="20"/>
        </w:rPr>
        <w:t xml:space="preserve">Hence, </w:t>
      </w:r>
      <w:r w:rsidR="006557BC" w:rsidRPr="00BE3882">
        <w:rPr>
          <w:rFonts w:ascii="Arial" w:hAnsi="Arial" w:cs="Arial"/>
          <w:sz w:val="20"/>
          <w:szCs w:val="20"/>
        </w:rPr>
        <w:t xml:space="preserve">to </w:t>
      </w:r>
      <w:r w:rsidR="0073242D" w:rsidRPr="00BE3882">
        <w:rPr>
          <w:rFonts w:ascii="Arial" w:hAnsi="Arial" w:cs="Arial"/>
          <w:sz w:val="20"/>
          <w:szCs w:val="20"/>
        </w:rPr>
        <w:t xml:space="preserve">enhance </w:t>
      </w:r>
      <w:r w:rsidR="006557BC" w:rsidRPr="00BE3882">
        <w:rPr>
          <w:rFonts w:ascii="Arial" w:hAnsi="Arial" w:cs="Arial"/>
          <w:sz w:val="20"/>
          <w:szCs w:val="20"/>
        </w:rPr>
        <w:t xml:space="preserve">the </w:t>
      </w:r>
      <w:r w:rsidR="0073242D" w:rsidRPr="00BE3882">
        <w:rPr>
          <w:rFonts w:ascii="Arial" w:hAnsi="Arial" w:cs="Arial"/>
          <w:sz w:val="20"/>
          <w:szCs w:val="20"/>
        </w:rPr>
        <w:t xml:space="preserve">domestic availability and global competitiveness </w:t>
      </w:r>
      <w:r w:rsidR="00E91230" w:rsidRPr="00BE3882">
        <w:rPr>
          <w:rFonts w:ascii="Arial" w:hAnsi="Arial" w:cs="Arial"/>
          <w:sz w:val="20"/>
          <w:szCs w:val="20"/>
        </w:rPr>
        <w:t>of cabbage</w:t>
      </w:r>
      <w:r w:rsidR="006557BC" w:rsidRPr="00BE3882">
        <w:rPr>
          <w:rFonts w:ascii="Arial" w:hAnsi="Arial" w:cs="Arial"/>
          <w:sz w:val="20"/>
          <w:szCs w:val="20"/>
        </w:rPr>
        <w:t xml:space="preserve"> production and export</w:t>
      </w:r>
      <w:r w:rsidR="005C2147" w:rsidRPr="00BE3882">
        <w:rPr>
          <w:rFonts w:ascii="Arial" w:hAnsi="Arial" w:cs="Arial"/>
          <w:sz w:val="20"/>
          <w:szCs w:val="20"/>
        </w:rPr>
        <w:t xml:space="preserve">, the vertical expansion </w:t>
      </w:r>
      <w:r w:rsidR="00857E9F">
        <w:rPr>
          <w:rFonts w:ascii="Arial" w:hAnsi="Arial" w:cs="Arial"/>
          <w:sz w:val="20"/>
          <w:szCs w:val="20"/>
        </w:rPr>
        <w:t xml:space="preserve">of </w:t>
      </w:r>
      <w:r w:rsidR="00857E9F" w:rsidRPr="00BE3882">
        <w:rPr>
          <w:rFonts w:ascii="Arial" w:hAnsi="Arial" w:cs="Arial"/>
          <w:sz w:val="20"/>
          <w:szCs w:val="20"/>
        </w:rPr>
        <w:t xml:space="preserve">cabbage cultivation by </w:t>
      </w:r>
      <w:r w:rsidR="00857E9F">
        <w:rPr>
          <w:rFonts w:ascii="Arial" w:hAnsi="Arial" w:cs="Arial"/>
          <w:sz w:val="20"/>
          <w:szCs w:val="20"/>
        </w:rPr>
        <w:t xml:space="preserve">the </w:t>
      </w:r>
      <w:r w:rsidR="00857E9F" w:rsidRPr="00BE3882">
        <w:rPr>
          <w:rFonts w:ascii="Arial" w:hAnsi="Arial" w:cs="Arial"/>
          <w:sz w:val="20"/>
          <w:szCs w:val="20"/>
        </w:rPr>
        <w:t>adoption of improved variety</w:t>
      </w:r>
      <w:r w:rsidR="00857E9F">
        <w:rPr>
          <w:rFonts w:ascii="Arial" w:hAnsi="Arial" w:cs="Arial"/>
          <w:sz w:val="20"/>
          <w:szCs w:val="20"/>
        </w:rPr>
        <w:t xml:space="preserve"> as well as </w:t>
      </w:r>
      <w:r w:rsidR="00857E9F" w:rsidRPr="00BE3882">
        <w:rPr>
          <w:rFonts w:ascii="Arial" w:hAnsi="Arial" w:cs="Arial"/>
          <w:sz w:val="20"/>
          <w:szCs w:val="20"/>
        </w:rPr>
        <w:t xml:space="preserve">horizontal expansion of </w:t>
      </w:r>
      <w:r w:rsidR="00857E9F">
        <w:rPr>
          <w:rFonts w:ascii="Arial" w:hAnsi="Arial" w:cs="Arial"/>
          <w:sz w:val="20"/>
          <w:szCs w:val="20"/>
        </w:rPr>
        <w:t xml:space="preserve">the </w:t>
      </w:r>
      <w:r w:rsidR="00857E9F" w:rsidRPr="00BE3882">
        <w:rPr>
          <w:rFonts w:ascii="Arial" w:hAnsi="Arial" w:cs="Arial"/>
          <w:sz w:val="20"/>
          <w:szCs w:val="20"/>
        </w:rPr>
        <w:t xml:space="preserve">cultivation area </w:t>
      </w:r>
      <w:r w:rsidR="00857E9F">
        <w:rPr>
          <w:rFonts w:ascii="Arial" w:hAnsi="Arial" w:cs="Arial"/>
          <w:sz w:val="20"/>
          <w:szCs w:val="20"/>
        </w:rPr>
        <w:t>for production improvement</w:t>
      </w:r>
      <w:r w:rsidR="00373D7F" w:rsidRPr="00BE3882">
        <w:rPr>
          <w:rFonts w:ascii="Arial" w:hAnsi="Arial" w:cs="Arial"/>
          <w:sz w:val="20"/>
          <w:szCs w:val="20"/>
        </w:rPr>
        <w:t>, scientific</w:t>
      </w:r>
      <w:r w:rsidR="00FA2538" w:rsidRPr="00BE3882">
        <w:rPr>
          <w:rFonts w:ascii="Arial" w:hAnsi="Arial" w:cs="Arial"/>
          <w:sz w:val="20"/>
          <w:szCs w:val="20"/>
        </w:rPr>
        <w:t xml:space="preserve"> agronomic and plant protection practices to boost </w:t>
      </w:r>
      <w:r w:rsidRPr="00BE3882">
        <w:rPr>
          <w:rFonts w:ascii="Arial" w:hAnsi="Arial" w:cs="Arial"/>
          <w:sz w:val="20"/>
          <w:szCs w:val="20"/>
        </w:rPr>
        <w:t>productivity, development</w:t>
      </w:r>
      <w:r w:rsidR="00FA2538" w:rsidRPr="00BE3882">
        <w:rPr>
          <w:rFonts w:ascii="Arial" w:hAnsi="Arial" w:cs="Arial"/>
          <w:sz w:val="20"/>
          <w:szCs w:val="20"/>
        </w:rPr>
        <w:t xml:space="preserve"> of post-harvest infrastructure</w:t>
      </w:r>
      <w:r w:rsidR="00F932BD" w:rsidRPr="00BE3882">
        <w:rPr>
          <w:rFonts w:ascii="Arial" w:hAnsi="Arial" w:cs="Arial"/>
          <w:sz w:val="20"/>
          <w:szCs w:val="20"/>
        </w:rPr>
        <w:t>s particularly for processing</w:t>
      </w:r>
      <w:r w:rsidR="004334CA">
        <w:rPr>
          <w:rFonts w:ascii="Arial" w:hAnsi="Arial" w:cs="Arial"/>
          <w:sz w:val="20"/>
          <w:szCs w:val="20"/>
        </w:rPr>
        <w:t>,</w:t>
      </w:r>
      <w:r w:rsidR="00857E9F">
        <w:rPr>
          <w:rFonts w:ascii="Arial" w:hAnsi="Arial" w:cs="Arial"/>
          <w:sz w:val="20"/>
          <w:szCs w:val="20"/>
        </w:rPr>
        <w:t xml:space="preserve"> quality management at per with international standard, international market promotion </w:t>
      </w:r>
      <w:r w:rsidR="00405E3F" w:rsidRPr="00BE3882">
        <w:rPr>
          <w:rFonts w:ascii="Arial" w:hAnsi="Arial" w:cs="Arial"/>
          <w:sz w:val="20"/>
          <w:szCs w:val="20"/>
        </w:rPr>
        <w:t>are highly</w:t>
      </w:r>
      <w:r w:rsidR="00175647">
        <w:rPr>
          <w:rFonts w:ascii="Arial" w:hAnsi="Arial" w:cs="Arial"/>
          <w:sz w:val="20"/>
          <w:szCs w:val="20"/>
        </w:rPr>
        <w:t xml:space="preserve"> crucial to be</w:t>
      </w:r>
      <w:r w:rsidR="004334CA">
        <w:rPr>
          <w:rFonts w:ascii="Arial" w:hAnsi="Arial" w:cs="Arial"/>
          <w:sz w:val="20"/>
          <w:szCs w:val="20"/>
        </w:rPr>
        <w:t xml:space="preserve"> </w:t>
      </w:r>
      <w:r w:rsidR="004334CA" w:rsidRPr="004334CA">
        <w:rPr>
          <w:rFonts w:ascii="Arial" w:hAnsi="Arial" w:cs="Arial"/>
          <w:sz w:val="20"/>
          <w:szCs w:val="20"/>
        </w:rPr>
        <w:t>strengthened</w:t>
      </w:r>
      <w:r w:rsidR="004334CA">
        <w:rPr>
          <w:rFonts w:ascii="Arial" w:hAnsi="Arial" w:cs="Arial"/>
          <w:sz w:val="20"/>
          <w:szCs w:val="20"/>
        </w:rPr>
        <w:t>.</w:t>
      </w:r>
      <w:r w:rsidR="00857E9F">
        <w:rPr>
          <w:rFonts w:ascii="Arial" w:hAnsi="Arial" w:cs="Arial"/>
          <w:sz w:val="20"/>
          <w:szCs w:val="20"/>
        </w:rPr>
        <w:t xml:space="preserve"> Further arrangement of </w:t>
      </w:r>
      <w:r w:rsidR="00FB27D2">
        <w:rPr>
          <w:rFonts w:ascii="Arial" w:hAnsi="Arial" w:cs="Arial"/>
          <w:sz w:val="20"/>
          <w:szCs w:val="20"/>
        </w:rPr>
        <w:t>farmers</w:t>
      </w:r>
      <w:r w:rsidR="00090E89">
        <w:rPr>
          <w:rFonts w:ascii="Arial" w:hAnsi="Arial" w:cs="Arial"/>
          <w:sz w:val="20"/>
          <w:szCs w:val="20"/>
        </w:rPr>
        <w:t>'</w:t>
      </w:r>
      <w:r w:rsidR="00FB27D2">
        <w:rPr>
          <w:rFonts w:ascii="Arial" w:hAnsi="Arial" w:cs="Arial"/>
          <w:sz w:val="20"/>
          <w:szCs w:val="20"/>
        </w:rPr>
        <w:t xml:space="preserve"> </w:t>
      </w:r>
      <w:r w:rsidR="00857E9F">
        <w:rPr>
          <w:rFonts w:ascii="Arial" w:hAnsi="Arial" w:cs="Arial"/>
          <w:sz w:val="20"/>
          <w:szCs w:val="20"/>
        </w:rPr>
        <w:t xml:space="preserve">training </w:t>
      </w:r>
      <w:r w:rsidR="00FB27D2">
        <w:rPr>
          <w:rFonts w:ascii="Arial" w:hAnsi="Arial" w:cs="Arial"/>
          <w:sz w:val="20"/>
          <w:szCs w:val="20"/>
        </w:rPr>
        <w:t>for scientific cultivation, pest and nutrient management; creation of Agri-export zone along with requi</w:t>
      </w:r>
      <w:r w:rsidR="00090E89">
        <w:rPr>
          <w:rFonts w:ascii="Arial" w:hAnsi="Arial" w:cs="Arial"/>
          <w:sz w:val="20"/>
          <w:szCs w:val="20"/>
        </w:rPr>
        <w:t>red</w:t>
      </w:r>
      <w:r w:rsidR="00FB27D2">
        <w:rPr>
          <w:rFonts w:ascii="Arial" w:hAnsi="Arial" w:cs="Arial"/>
          <w:sz w:val="20"/>
          <w:szCs w:val="20"/>
        </w:rPr>
        <w:t xml:space="preserve"> </w:t>
      </w:r>
      <w:r w:rsidR="00090E89">
        <w:rPr>
          <w:rFonts w:ascii="Arial" w:hAnsi="Arial" w:cs="Arial"/>
          <w:sz w:val="20"/>
          <w:szCs w:val="20"/>
        </w:rPr>
        <w:t>export-oriented</w:t>
      </w:r>
      <w:r w:rsidR="00FB27D2">
        <w:rPr>
          <w:rFonts w:ascii="Arial" w:hAnsi="Arial" w:cs="Arial"/>
          <w:sz w:val="20"/>
          <w:szCs w:val="20"/>
        </w:rPr>
        <w:t xml:space="preserve"> infrastructure development, motivation and financial support to exporters might lead to </w:t>
      </w:r>
      <w:r w:rsidR="00090E89">
        <w:rPr>
          <w:rFonts w:ascii="Arial" w:hAnsi="Arial" w:cs="Arial"/>
          <w:sz w:val="20"/>
          <w:szCs w:val="20"/>
        </w:rPr>
        <w:t>augmenting the</w:t>
      </w:r>
      <w:r w:rsidR="00FB27D2">
        <w:rPr>
          <w:rFonts w:ascii="Arial" w:hAnsi="Arial" w:cs="Arial"/>
          <w:sz w:val="20"/>
          <w:szCs w:val="20"/>
        </w:rPr>
        <w:t xml:space="preserve"> export potential of cabbage from India.</w:t>
      </w:r>
    </w:p>
    <w:p w14:paraId="3E8D1861" w14:textId="45ED1130" w:rsidR="00846446" w:rsidRDefault="00846446" w:rsidP="00A75D75">
      <w:pPr>
        <w:spacing w:line="360" w:lineRule="auto"/>
        <w:jc w:val="both"/>
        <w:rPr>
          <w:rFonts w:ascii="Arial" w:hAnsi="Arial" w:cs="Arial"/>
          <w:sz w:val="20"/>
          <w:szCs w:val="20"/>
        </w:rPr>
      </w:pPr>
    </w:p>
    <w:p w14:paraId="193C3549" w14:textId="48612DD4" w:rsidR="00846446" w:rsidRPr="003F3780" w:rsidRDefault="00846446" w:rsidP="00846446">
      <w:pPr>
        <w:spacing w:after="0" w:line="240" w:lineRule="auto"/>
        <w:rPr>
          <w:rFonts w:ascii="Times New Roman" w:eastAsia="Calibri" w:hAnsi="Times New Roman" w:cs="Times New Roman"/>
          <w:b/>
          <w:sz w:val="22"/>
          <w:szCs w:val="22"/>
          <w14:ligatures w14:val="none"/>
        </w:rPr>
      </w:pPr>
      <w:bookmarkStart w:id="1" w:name="_Hlk198031404"/>
      <w:bookmarkStart w:id="2" w:name="_Hlk219125673"/>
      <w:r w:rsidRPr="003F3780">
        <w:rPr>
          <w:rFonts w:ascii="Times New Roman" w:eastAsia="Calibri" w:hAnsi="Times New Roman" w:cs="Times New Roman"/>
          <w:b/>
          <w:sz w:val="22"/>
          <w:szCs w:val="22"/>
          <w14:ligatures w14:val="none"/>
        </w:rPr>
        <w:t xml:space="preserve">Disclaimer (Artificial </w:t>
      </w:r>
      <w:r w:rsidR="00544403" w:rsidRPr="003F3780">
        <w:rPr>
          <w:rFonts w:ascii="Times New Roman" w:eastAsia="Calibri" w:hAnsi="Times New Roman" w:cs="Times New Roman"/>
          <w:b/>
          <w:sz w:val="22"/>
          <w:szCs w:val="22"/>
          <w14:ligatures w14:val="none"/>
        </w:rPr>
        <w:t>I</w:t>
      </w:r>
      <w:r w:rsidRPr="003F3780">
        <w:rPr>
          <w:rFonts w:ascii="Times New Roman" w:eastAsia="Calibri" w:hAnsi="Times New Roman" w:cs="Times New Roman"/>
          <w:b/>
          <w:sz w:val="22"/>
          <w:szCs w:val="22"/>
          <w14:ligatures w14:val="none"/>
        </w:rPr>
        <w:t>ntelligence)</w:t>
      </w:r>
    </w:p>
    <w:p w14:paraId="35D4ECDD" w14:textId="77777777" w:rsidR="00846446" w:rsidRPr="00544403" w:rsidRDefault="00846446" w:rsidP="00846446">
      <w:pPr>
        <w:spacing w:after="0" w:line="240" w:lineRule="auto"/>
        <w:rPr>
          <w:rFonts w:ascii="Times New Roman" w:eastAsia="Calibri" w:hAnsi="Times New Roman" w:cs="Times New Roman"/>
          <w:sz w:val="22"/>
          <w:szCs w:val="22"/>
          <w14:ligatures w14:val="none"/>
        </w:rPr>
      </w:pPr>
    </w:p>
    <w:p w14:paraId="448FAEBB" w14:textId="77777777" w:rsidR="00846446" w:rsidRPr="00544403" w:rsidRDefault="00846446" w:rsidP="00846446">
      <w:pPr>
        <w:spacing w:after="0" w:line="240" w:lineRule="auto"/>
        <w:rPr>
          <w:rFonts w:ascii="Times New Roman" w:eastAsia="Calibri" w:hAnsi="Times New Roman" w:cs="Times New Roman"/>
          <w:sz w:val="22"/>
          <w:szCs w:val="22"/>
          <w14:ligatures w14:val="none"/>
        </w:rPr>
      </w:pPr>
      <w:r w:rsidRPr="00544403">
        <w:rPr>
          <w:rFonts w:ascii="Times New Roman" w:eastAsia="Calibri" w:hAnsi="Times New Roman" w:cs="Times New Roman"/>
          <w:sz w:val="22"/>
          <w:szCs w:val="22"/>
          <w14:ligatures w14:val="none"/>
        </w:rPr>
        <w:t>Author(s) hereby declare that NO generative AI technologies such as Large Language Models (</w:t>
      </w:r>
      <w:proofErr w:type="spellStart"/>
      <w:r w:rsidRPr="00544403">
        <w:rPr>
          <w:rFonts w:ascii="Times New Roman" w:eastAsia="Calibri" w:hAnsi="Times New Roman" w:cs="Times New Roman"/>
          <w:sz w:val="22"/>
          <w:szCs w:val="22"/>
          <w14:ligatures w14:val="none"/>
        </w:rPr>
        <w:t>ChatGPT</w:t>
      </w:r>
      <w:proofErr w:type="spellEnd"/>
      <w:r w:rsidRPr="00544403">
        <w:rPr>
          <w:rFonts w:ascii="Times New Roman" w:eastAsia="Calibri" w:hAnsi="Times New Roman" w:cs="Times New Roman"/>
          <w:sz w:val="22"/>
          <w:szCs w:val="22"/>
          <w14:ligatures w14:val="none"/>
        </w:rPr>
        <w:t xml:space="preserve">, COPILOT, etc.) and text-to-image generators have been used during the writing or editing of this manuscript. </w:t>
      </w:r>
    </w:p>
    <w:bookmarkEnd w:id="1"/>
    <w:p w14:paraId="572F0A9B" w14:textId="77777777" w:rsidR="00846446" w:rsidRPr="00846446" w:rsidRDefault="00846446" w:rsidP="00846446">
      <w:pPr>
        <w:spacing w:after="200" w:line="276" w:lineRule="auto"/>
        <w:rPr>
          <w:rFonts w:ascii="Calibri" w:eastAsia="Calibri" w:hAnsi="Calibri" w:cs="Times New Roman"/>
          <w:kern w:val="0"/>
          <w:sz w:val="28"/>
          <w:szCs w:val="22"/>
          <w14:ligatures w14:val="none"/>
        </w:rPr>
      </w:pPr>
    </w:p>
    <w:bookmarkEnd w:id="2"/>
    <w:p w14:paraId="32B93102" w14:textId="77777777" w:rsidR="00846446" w:rsidRPr="00656910" w:rsidRDefault="00846446" w:rsidP="00A75D75">
      <w:pPr>
        <w:spacing w:line="360" w:lineRule="auto"/>
        <w:jc w:val="both"/>
        <w:rPr>
          <w:rFonts w:ascii="Arial" w:hAnsi="Arial" w:cs="Arial"/>
          <w:sz w:val="20"/>
          <w:szCs w:val="20"/>
        </w:rPr>
      </w:pPr>
    </w:p>
    <w:p w14:paraId="69C23AFC" w14:textId="6D618AF2" w:rsidR="00642C37" w:rsidRPr="007D2E9E" w:rsidRDefault="00642C37" w:rsidP="00642C37">
      <w:pPr>
        <w:spacing w:line="360" w:lineRule="auto"/>
        <w:jc w:val="both"/>
        <w:rPr>
          <w:rFonts w:ascii="Arial" w:hAnsi="Arial" w:cs="Arial"/>
          <w:sz w:val="22"/>
          <w:szCs w:val="22"/>
        </w:rPr>
      </w:pPr>
      <w:r w:rsidRPr="007D2E9E">
        <w:rPr>
          <w:rFonts w:ascii="Arial" w:hAnsi="Arial" w:cs="Arial"/>
          <w:b/>
          <w:bCs/>
          <w:sz w:val="22"/>
          <w:szCs w:val="22"/>
        </w:rPr>
        <w:t>References</w:t>
      </w:r>
      <w:r w:rsidRPr="007D2E9E">
        <w:rPr>
          <w:rFonts w:ascii="Arial" w:hAnsi="Arial" w:cs="Arial"/>
          <w:sz w:val="22"/>
          <w:szCs w:val="22"/>
        </w:rPr>
        <w:t xml:space="preserve"> </w:t>
      </w:r>
      <w:r w:rsidR="001F740B" w:rsidRPr="007D2E9E">
        <w:rPr>
          <w:rFonts w:ascii="Arial" w:hAnsi="Arial" w:cs="Arial"/>
          <w:sz w:val="22"/>
          <w:szCs w:val="22"/>
        </w:rPr>
        <w:t xml:space="preserve"> </w:t>
      </w:r>
    </w:p>
    <w:p w14:paraId="2762277D" w14:textId="22DCFB8B" w:rsidR="00183C2F" w:rsidRPr="00183C2F" w:rsidRDefault="005D4480" w:rsidP="00183C2F">
      <w:pPr>
        <w:autoSpaceDE w:val="0"/>
        <w:autoSpaceDN w:val="0"/>
        <w:adjustRightInd w:val="0"/>
        <w:spacing w:after="0" w:line="360" w:lineRule="auto"/>
        <w:ind w:left="540" w:hanging="540"/>
        <w:jc w:val="both"/>
        <w:rPr>
          <w:rFonts w:ascii="Arial" w:hAnsi="Arial" w:cs="Arial"/>
          <w:sz w:val="20"/>
        </w:rPr>
      </w:pPr>
      <w:r w:rsidRPr="005D4480">
        <w:rPr>
          <w:rFonts w:ascii="Arial" w:eastAsia="TimesNewRomanPSMT" w:hAnsi="Arial" w:cs="Arial"/>
          <w:kern w:val="0"/>
          <w:sz w:val="20"/>
          <w:szCs w:val="20"/>
        </w:rPr>
        <w:t>Agricultural Statistics at a Glance (2024-25)</w:t>
      </w:r>
      <w:r w:rsidR="003B39C3">
        <w:rPr>
          <w:rFonts w:ascii="Arial" w:eastAsia="TimesNewRomanPSMT" w:hAnsi="Arial" w:cs="Arial"/>
          <w:kern w:val="0"/>
          <w:sz w:val="20"/>
          <w:szCs w:val="20"/>
        </w:rPr>
        <w:t>,</w:t>
      </w:r>
      <w:r w:rsidRPr="005D4480">
        <w:rPr>
          <w:rFonts w:ascii="Arial" w:eastAsia="TimesNewRomanPSMT" w:hAnsi="Arial" w:cs="Arial"/>
          <w:kern w:val="0"/>
          <w:sz w:val="20"/>
          <w:szCs w:val="20"/>
        </w:rPr>
        <w:t xml:space="preserve"> Government of India, Ministry of Agriculture &amp; Farmers Welfare, Department of Agriculture, &amp; Farmers Welfare Economics, Statistics and Evaluation Division.</w:t>
      </w:r>
      <w:r w:rsidR="00183C2F">
        <w:rPr>
          <w:rFonts w:ascii="Arial" w:eastAsia="TimesNewRomanPSMT" w:hAnsi="Arial" w:cs="Arial"/>
          <w:kern w:val="0"/>
          <w:sz w:val="20"/>
          <w:szCs w:val="20"/>
        </w:rPr>
        <w:t xml:space="preserve"> </w:t>
      </w:r>
      <w:hyperlink r:id="rId11" w:history="1">
        <w:r w:rsidR="00183C2F" w:rsidRPr="00183C2F">
          <w:rPr>
            <w:rStyle w:val="Hyperlink"/>
            <w:rFonts w:ascii="Arial" w:hAnsi="Arial" w:cs="Arial"/>
            <w:color w:val="auto"/>
            <w:sz w:val="20"/>
            <w:u w:val="none"/>
          </w:rPr>
          <w:t>https://nccd.gov.in/uploads/Agricultural_Statisitcs_at_a_Glance_2024_25_11da3cd37d.pdf</w:t>
        </w:r>
      </w:hyperlink>
    </w:p>
    <w:p w14:paraId="24050A9E" w14:textId="3B73305C"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proofErr w:type="spellStart"/>
      <w:r>
        <w:rPr>
          <w:rFonts w:ascii="Arial" w:eastAsia="TimesNewRomanPSMT" w:hAnsi="Arial" w:cs="Arial"/>
          <w:kern w:val="0"/>
          <w:sz w:val="20"/>
          <w:szCs w:val="20"/>
        </w:rPr>
        <w:t>A</w:t>
      </w:r>
      <w:r w:rsidRPr="005D4480">
        <w:rPr>
          <w:rFonts w:ascii="Arial" w:eastAsia="TimesNewRomanPSMT" w:hAnsi="Arial" w:cs="Arial"/>
          <w:kern w:val="0"/>
          <w:sz w:val="20"/>
          <w:szCs w:val="20"/>
        </w:rPr>
        <w:t>nupriya</w:t>
      </w:r>
      <w:proofErr w:type="spellEnd"/>
      <w:r w:rsidRPr="005D4480">
        <w:rPr>
          <w:rFonts w:ascii="Arial" w:eastAsia="TimesNewRomanPSMT" w:hAnsi="Arial" w:cs="Arial"/>
          <w:kern w:val="0"/>
          <w:sz w:val="20"/>
          <w:szCs w:val="20"/>
        </w:rPr>
        <w:t xml:space="preserve">, </w:t>
      </w:r>
      <w:r>
        <w:rPr>
          <w:rFonts w:ascii="Arial" w:eastAsia="TimesNewRomanPSMT" w:hAnsi="Arial" w:cs="Arial"/>
          <w:kern w:val="0"/>
          <w:sz w:val="20"/>
          <w:szCs w:val="20"/>
        </w:rPr>
        <w:t>D</w:t>
      </w:r>
      <w:r w:rsidRPr="005D4480">
        <w:rPr>
          <w:rFonts w:ascii="Arial" w:eastAsia="TimesNewRomanPSMT" w:hAnsi="Arial" w:cs="Arial"/>
          <w:kern w:val="0"/>
          <w:sz w:val="20"/>
          <w:szCs w:val="20"/>
        </w:rPr>
        <w:t xml:space="preserve">. K., </w:t>
      </w:r>
      <w:r>
        <w:rPr>
          <w:rFonts w:ascii="Arial" w:eastAsia="TimesNewRomanPSMT" w:hAnsi="Arial" w:cs="Arial"/>
          <w:kern w:val="0"/>
          <w:sz w:val="20"/>
          <w:szCs w:val="20"/>
        </w:rPr>
        <w:t>K</w:t>
      </w:r>
      <w:r w:rsidRPr="005D4480">
        <w:rPr>
          <w:rFonts w:ascii="Arial" w:eastAsia="TimesNewRomanPSMT" w:hAnsi="Arial" w:cs="Arial"/>
          <w:kern w:val="0"/>
          <w:sz w:val="20"/>
          <w:szCs w:val="20"/>
        </w:rPr>
        <w:t xml:space="preserve">umar, </w:t>
      </w:r>
      <w:r>
        <w:rPr>
          <w:rFonts w:ascii="Arial" w:eastAsia="TimesNewRomanPSMT" w:hAnsi="Arial" w:cs="Arial"/>
          <w:kern w:val="0"/>
          <w:sz w:val="20"/>
          <w:szCs w:val="20"/>
        </w:rPr>
        <w:t>R</w:t>
      </w:r>
      <w:r w:rsidRPr="005D4480">
        <w:rPr>
          <w:rFonts w:ascii="Arial" w:eastAsia="TimesNewRomanPSMT" w:hAnsi="Arial" w:cs="Arial"/>
          <w:kern w:val="0"/>
          <w:sz w:val="20"/>
          <w:szCs w:val="20"/>
        </w:rPr>
        <w:t xml:space="preserve">., </w:t>
      </w:r>
      <w:r>
        <w:rPr>
          <w:rFonts w:ascii="Arial" w:eastAsia="TimesNewRomanPSMT" w:hAnsi="Arial" w:cs="Arial"/>
          <w:kern w:val="0"/>
          <w:sz w:val="20"/>
          <w:szCs w:val="20"/>
        </w:rPr>
        <w:t>D</w:t>
      </w:r>
      <w:r w:rsidRPr="005D4480">
        <w:rPr>
          <w:rFonts w:ascii="Arial" w:eastAsia="TimesNewRomanPSMT" w:hAnsi="Arial" w:cs="Arial"/>
          <w:kern w:val="0"/>
          <w:sz w:val="20"/>
          <w:szCs w:val="20"/>
        </w:rPr>
        <w:t xml:space="preserve">ogra, </w:t>
      </w:r>
      <w:r w:rsidR="00183C2F">
        <w:rPr>
          <w:rFonts w:ascii="Arial" w:eastAsia="TimesNewRomanPSMT" w:hAnsi="Arial" w:cs="Arial"/>
          <w:kern w:val="0"/>
          <w:sz w:val="20"/>
          <w:szCs w:val="20"/>
        </w:rPr>
        <w:t>R</w:t>
      </w:r>
      <w:r w:rsidRPr="005D4480">
        <w:rPr>
          <w:rFonts w:ascii="Arial" w:eastAsia="TimesNewRomanPSMT" w:hAnsi="Arial" w:cs="Arial"/>
          <w:kern w:val="0"/>
          <w:sz w:val="20"/>
          <w:szCs w:val="20"/>
        </w:rPr>
        <w:t xml:space="preserve">. </w:t>
      </w:r>
      <w:r w:rsidR="00183C2F">
        <w:rPr>
          <w:rFonts w:ascii="Arial" w:eastAsia="TimesNewRomanPSMT" w:hAnsi="Arial" w:cs="Arial"/>
          <w:kern w:val="0"/>
          <w:sz w:val="20"/>
          <w:szCs w:val="20"/>
        </w:rPr>
        <w:t>K</w:t>
      </w:r>
      <w:r w:rsidRPr="005D4480">
        <w:rPr>
          <w:rFonts w:ascii="Arial" w:eastAsia="TimesNewRomanPSMT" w:hAnsi="Arial" w:cs="Arial"/>
          <w:kern w:val="0"/>
          <w:sz w:val="20"/>
          <w:szCs w:val="20"/>
        </w:rPr>
        <w:t xml:space="preserve">., </w:t>
      </w:r>
      <w:r>
        <w:rPr>
          <w:rFonts w:ascii="Arial" w:eastAsia="TimesNewRomanPSMT" w:hAnsi="Arial" w:cs="Arial"/>
          <w:kern w:val="0"/>
          <w:sz w:val="20"/>
          <w:szCs w:val="20"/>
        </w:rPr>
        <w:t>P</w:t>
      </w:r>
      <w:r w:rsidRPr="005D4480">
        <w:rPr>
          <w:rFonts w:ascii="Arial" w:eastAsia="TimesNewRomanPSMT" w:hAnsi="Arial" w:cs="Arial"/>
          <w:kern w:val="0"/>
          <w:sz w:val="20"/>
          <w:szCs w:val="20"/>
        </w:rPr>
        <w:t xml:space="preserve">arkash, </w:t>
      </w:r>
      <w:r w:rsidR="00183C2F">
        <w:rPr>
          <w:rFonts w:ascii="Arial" w:eastAsia="TimesNewRomanPSMT" w:hAnsi="Arial" w:cs="Arial"/>
          <w:kern w:val="0"/>
          <w:sz w:val="20"/>
          <w:szCs w:val="20"/>
        </w:rPr>
        <w:t>C</w:t>
      </w:r>
      <w:r w:rsidRPr="005D4480">
        <w:rPr>
          <w:rFonts w:ascii="Arial" w:eastAsia="TimesNewRomanPSMT" w:hAnsi="Arial" w:cs="Arial"/>
          <w:kern w:val="0"/>
          <w:sz w:val="20"/>
          <w:szCs w:val="20"/>
        </w:rPr>
        <w:t xml:space="preserve">., </w:t>
      </w:r>
      <w:r>
        <w:rPr>
          <w:rFonts w:ascii="Arial" w:eastAsia="TimesNewRomanPSMT" w:hAnsi="Arial" w:cs="Arial"/>
          <w:kern w:val="0"/>
          <w:sz w:val="20"/>
          <w:szCs w:val="20"/>
        </w:rPr>
        <w:t>K</w:t>
      </w:r>
      <w:r w:rsidRPr="005D4480">
        <w:rPr>
          <w:rFonts w:ascii="Arial" w:eastAsia="TimesNewRomanPSMT" w:hAnsi="Arial" w:cs="Arial"/>
          <w:kern w:val="0"/>
          <w:sz w:val="20"/>
          <w:szCs w:val="20"/>
        </w:rPr>
        <w:t xml:space="preserve">umar, </w:t>
      </w:r>
      <w:r w:rsidR="00183C2F">
        <w:rPr>
          <w:rFonts w:ascii="Arial" w:eastAsia="TimesNewRomanPSMT" w:hAnsi="Arial" w:cs="Arial"/>
          <w:kern w:val="0"/>
          <w:sz w:val="20"/>
          <w:szCs w:val="20"/>
        </w:rPr>
        <w:t>S</w:t>
      </w:r>
      <w:r w:rsidRPr="005D4480">
        <w:rPr>
          <w:rFonts w:ascii="Arial" w:eastAsia="TimesNewRomanPSMT" w:hAnsi="Arial" w:cs="Arial"/>
          <w:kern w:val="0"/>
          <w:sz w:val="20"/>
          <w:szCs w:val="20"/>
        </w:rPr>
        <w:t xml:space="preserve">., &amp; </w:t>
      </w:r>
      <w:r>
        <w:rPr>
          <w:rFonts w:ascii="Arial" w:eastAsia="TimesNewRomanPSMT" w:hAnsi="Arial" w:cs="Arial"/>
          <w:kern w:val="0"/>
          <w:sz w:val="20"/>
          <w:szCs w:val="20"/>
        </w:rPr>
        <w:t>S</w:t>
      </w:r>
      <w:r w:rsidRPr="005D4480">
        <w:rPr>
          <w:rFonts w:ascii="Arial" w:eastAsia="TimesNewRomanPSMT" w:hAnsi="Arial" w:cs="Arial"/>
          <w:kern w:val="0"/>
          <w:sz w:val="20"/>
          <w:szCs w:val="20"/>
        </w:rPr>
        <w:t xml:space="preserve">ingh, </w:t>
      </w:r>
      <w:r w:rsidR="00183C2F">
        <w:rPr>
          <w:rFonts w:ascii="Arial" w:eastAsia="TimesNewRomanPSMT" w:hAnsi="Arial" w:cs="Arial"/>
          <w:kern w:val="0"/>
          <w:sz w:val="20"/>
          <w:szCs w:val="20"/>
        </w:rPr>
        <w:t>J</w:t>
      </w:r>
      <w:r w:rsidRPr="005D4480">
        <w:rPr>
          <w:rFonts w:ascii="Arial" w:eastAsia="TimesNewRomanPSMT" w:hAnsi="Arial" w:cs="Arial"/>
          <w:kern w:val="0"/>
          <w:sz w:val="20"/>
          <w:szCs w:val="20"/>
        </w:rPr>
        <w:t>. (2025)</w:t>
      </w:r>
      <w:r w:rsidR="00183C2F">
        <w:rPr>
          <w:rFonts w:ascii="Arial" w:eastAsia="TimesNewRomanPSMT" w:hAnsi="Arial" w:cs="Arial"/>
          <w:kern w:val="0"/>
          <w:sz w:val="20"/>
          <w:szCs w:val="20"/>
        </w:rPr>
        <w:t>,</w:t>
      </w:r>
      <w:r w:rsidRPr="005D4480">
        <w:rPr>
          <w:rFonts w:ascii="Arial" w:eastAsia="TimesNewRomanPSMT" w:hAnsi="Arial" w:cs="Arial"/>
          <w:kern w:val="0"/>
          <w:sz w:val="20"/>
          <w:szCs w:val="20"/>
        </w:rPr>
        <w:t xml:space="preserve"> Evaluation of cabbage (Brassica oleracea) hybrids for round the year production in low hill conditions of Himachal Pradesh</w:t>
      </w:r>
      <w:r w:rsidR="00183C2F">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5D4480">
        <w:rPr>
          <w:rFonts w:ascii="Arial" w:eastAsia="TimesNewRomanPSMT" w:hAnsi="Arial" w:cs="Arial"/>
          <w:i/>
          <w:kern w:val="0"/>
          <w:sz w:val="20"/>
          <w:szCs w:val="20"/>
        </w:rPr>
        <w:t>Indian Journal of Agricultural Sciences</w:t>
      </w:r>
      <w:r w:rsidRPr="005D4480">
        <w:rPr>
          <w:rFonts w:ascii="Arial" w:eastAsia="TimesNewRomanPSMT" w:hAnsi="Arial" w:cs="Arial"/>
          <w:kern w:val="0"/>
          <w:sz w:val="20"/>
          <w:szCs w:val="20"/>
        </w:rPr>
        <w:t>, 95(6), 722-727.</w:t>
      </w:r>
      <w:r w:rsidR="00E93C8D">
        <w:rPr>
          <w:rFonts w:ascii="Arial" w:eastAsia="TimesNewRomanPSMT" w:hAnsi="Arial" w:cs="Arial"/>
          <w:kern w:val="0"/>
          <w:sz w:val="20"/>
          <w:szCs w:val="20"/>
        </w:rPr>
        <w:t xml:space="preserve"> </w:t>
      </w:r>
      <w:r w:rsidR="00E93C8D" w:rsidRPr="00E93C8D">
        <w:rPr>
          <w:rFonts w:ascii="Arial" w:eastAsia="TimesNewRomanPSMT" w:hAnsi="Arial" w:cs="Arial"/>
          <w:kern w:val="0"/>
          <w:sz w:val="20"/>
          <w:szCs w:val="20"/>
        </w:rPr>
        <w:t>https://doi.org/10.56093/ijas.v95i6.153316</w:t>
      </w:r>
    </w:p>
    <w:p w14:paraId="70751ED2" w14:textId="21690704"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proofErr w:type="spellStart"/>
      <w:r w:rsidRPr="005D4480">
        <w:rPr>
          <w:rFonts w:ascii="Arial" w:eastAsia="TimesNewRomanPSMT" w:hAnsi="Arial" w:cs="Arial"/>
          <w:kern w:val="0"/>
          <w:sz w:val="20"/>
          <w:szCs w:val="20"/>
        </w:rPr>
        <w:t>Birthal</w:t>
      </w:r>
      <w:proofErr w:type="spellEnd"/>
      <w:r w:rsidRPr="005D4480">
        <w:rPr>
          <w:rFonts w:ascii="Arial" w:eastAsia="TimesNewRomanPSMT" w:hAnsi="Arial" w:cs="Arial"/>
          <w:kern w:val="0"/>
          <w:sz w:val="20"/>
          <w:szCs w:val="20"/>
        </w:rPr>
        <w:t xml:space="preserve">, P. S., Joshi, P. K., Roy, D., &amp; </w:t>
      </w:r>
      <w:proofErr w:type="spellStart"/>
      <w:r w:rsidRPr="005D4480">
        <w:rPr>
          <w:rFonts w:ascii="Arial" w:eastAsia="TimesNewRomanPSMT" w:hAnsi="Arial" w:cs="Arial"/>
          <w:kern w:val="0"/>
          <w:sz w:val="20"/>
          <w:szCs w:val="20"/>
        </w:rPr>
        <w:t>Thorat</w:t>
      </w:r>
      <w:proofErr w:type="spellEnd"/>
      <w:r w:rsidRPr="005D4480">
        <w:rPr>
          <w:rFonts w:ascii="Arial" w:eastAsia="TimesNewRomanPSMT" w:hAnsi="Arial" w:cs="Arial"/>
          <w:kern w:val="0"/>
          <w:sz w:val="20"/>
          <w:szCs w:val="20"/>
        </w:rPr>
        <w:t>, A. (2013)</w:t>
      </w:r>
      <w:r w:rsidR="00F47327">
        <w:rPr>
          <w:rFonts w:ascii="Arial" w:eastAsia="TimesNewRomanPSMT" w:hAnsi="Arial" w:cs="Arial"/>
          <w:kern w:val="0"/>
          <w:sz w:val="20"/>
          <w:szCs w:val="20"/>
        </w:rPr>
        <w:t>,</w:t>
      </w:r>
      <w:r w:rsidRPr="005D4480">
        <w:rPr>
          <w:rFonts w:ascii="Arial" w:eastAsia="TimesNewRomanPSMT" w:hAnsi="Arial" w:cs="Arial"/>
          <w:kern w:val="0"/>
          <w:sz w:val="20"/>
          <w:szCs w:val="20"/>
        </w:rPr>
        <w:t xml:space="preserve"> Diversification in Indian agriculture toward high</w:t>
      </w:r>
      <w:r w:rsidRPr="005D4480">
        <w:rPr>
          <w:rFonts w:ascii="Cambria Math" w:eastAsia="TimesNewRomanPSMT" w:hAnsi="Cambria Math" w:cs="Cambria Math"/>
          <w:kern w:val="0"/>
          <w:sz w:val="20"/>
          <w:szCs w:val="20"/>
        </w:rPr>
        <w:t>‐</w:t>
      </w:r>
      <w:r w:rsidRPr="005D4480">
        <w:rPr>
          <w:rFonts w:ascii="Arial" w:eastAsia="TimesNewRomanPSMT" w:hAnsi="Arial" w:cs="Arial"/>
          <w:kern w:val="0"/>
          <w:sz w:val="20"/>
          <w:szCs w:val="20"/>
        </w:rPr>
        <w:t>value crops: The role of small farmers</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Canadian Journal of Agricultural Economics</w:t>
      </w:r>
      <w:r w:rsidR="00C05E41">
        <w:rPr>
          <w:rFonts w:ascii="Arial" w:eastAsia="TimesNewRomanPSMT" w:hAnsi="Arial" w:cs="Arial"/>
          <w:i/>
          <w:kern w:val="0"/>
          <w:sz w:val="20"/>
          <w:szCs w:val="20"/>
        </w:rPr>
        <w:t xml:space="preserve"> </w:t>
      </w:r>
      <w:r w:rsidRPr="00C05E41">
        <w:rPr>
          <w:rFonts w:ascii="Arial" w:eastAsia="TimesNewRomanPSMT" w:hAnsi="Arial" w:cs="Arial"/>
          <w:i/>
          <w:kern w:val="0"/>
          <w:sz w:val="20"/>
          <w:szCs w:val="20"/>
        </w:rPr>
        <w:t>/</w:t>
      </w:r>
      <w:r w:rsidR="00C05E41">
        <w:rPr>
          <w:rFonts w:ascii="Arial" w:eastAsia="TimesNewRomanPSMT" w:hAnsi="Arial" w:cs="Arial"/>
          <w:i/>
          <w:kern w:val="0"/>
          <w:sz w:val="20"/>
          <w:szCs w:val="20"/>
        </w:rPr>
        <w:t xml:space="preserve"> </w:t>
      </w:r>
      <w:r w:rsidRPr="00C05E41">
        <w:rPr>
          <w:rFonts w:ascii="Arial" w:eastAsia="TimesNewRomanPSMT" w:hAnsi="Arial" w:cs="Arial"/>
          <w:i/>
          <w:kern w:val="0"/>
          <w:sz w:val="20"/>
          <w:szCs w:val="20"/>
        </w:rPr>
        <w:t xml:space="preserve">Revue </w:t>
      </w:r>
      <w:proofErr w:type="spellStart"/>
      <w:r w:rsidRPr="00C05E41">
        <w:rPr>
          <w:rFonts w:ascii="Arial" w:eastAsia="TimesNewRomanPSMT" w:hAnsi="Arial" w:cs="Arial"/>
          <w:i/>
          <w:kern w:val="0"/>
          <w:sz w:val="20"/>
          <w:szCs w:val="20"/>
        </w:rPr>
        <w:t>canadienne</w:t>
      </w:r>
      <w:proofErr w:type="spellEnd"/>
      <w:r w:rsidRPr="00C05E41">
        <w:rPr>
          <w:rFonts w:ascii="Arial" w:eastAsia="TimesNewRomanPSMT" w:hAnsi="Arial" w:cs="Arial"/>
          <w:i/>
          <w:kern w:val="0"/>
          <w:sz w:val="20"/>
          <w:szCs w:val="20"/>
        </w:rPr>
        <w:t xml:space="preserve"> </w:t>
      </w:r>
      <w:proofErr w:type="spellStart"/>
      <w:r w:rsidRPr="00C05E41">
        <w:rPr>
          <w:rFonts w:ascii="Arial" w:eastAsia="TimesNewRomanPSMT" w:hAnsi="Arial" w:cs="Arial"/>
          <w:i/>
          <w:kern w:val="0"/>
          <w:sz w:val="20"/>
          <w:szCs w:val="20"/>
        </w:rPr>
        <w:t>d'agroeconomie</w:t>
      </w:r>
      <w:proofErr w:type="spellEnd"/>
      <w:r w:rsidRPr="005D4480">
        <w:rPr>
          <w:rFonts w:ascii="Arial" w:eastAsia="TimesNewRomanPSMT" w:hAnsi="Arial" w:cs="Arial"/>
          <w:kern w:val="0"/>
          <w:sz w:val="20"/>
          <w:szCs w:val="20"/>
        </w:rPr>
        <w:t>, 61(1), 61-91.</w:t>
      </w:r>
      <w:r w:rsidR="00E93C8D">
        <w:rPr>
          <w:rFonts w:ascii="Arial" w:eastAsia="TimesNewRomanPSMT" w:hAnsi="Arial" w:cs="Arial"/>
          <w:kern w:val="0"/>
          <w:sz w:val="20"/>
          <w:szCs w:val="20"/>
        </w:rPr>
        <w:t xml:space="preserve"> </w:t>
      </w:r>
      <w:r w:rsidR="00E93C8D" w:rsidRPr="00E93C8D">
        <w:rPr>
          <w:rFonts w:ascii="Arial" w:eastAsia="TimesNewRomanPSMT" w:hAnsi="Arial" w:cs="Arial"/>
          <w:kern w:val="0"/>
          <w:sz w:val="20"/>
          <w:szCs w:val="20"/>
        </w:rPr>
        <w:t>https://doi.org/10.1111/j.1744-7976.2012.01258.x</w:t>
      </w:r>
    </w:p>
    <w:p w14:paraId="582C4CCF" w14:textId="645163A8"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proofErr w:type="spellStart"/>
      <w:r w:rsidRPr="005D4480">
        <w:rPr>
          <w:rFonts w:ascii="Arial" w:eastAsia="TimesNewRomanPSMT" w:hAnsi="Arial" w:cs="Arial"/>
          <w:kern w:val="0"/>
          <w:sz w:val="20"/>
          <w:szCs w:val="20"/>
        </w:rPr>
        <w:t>Cartea</w:t>
      </w:r>
      <w:proofErr w:type="spellEnd"/>
      <w:r w:rsidRPr="005D4480">
        <w:rPr>
          <w:rFonts w:ascii="Arial" w:eastAsia="TimesNewRomanPSMT" w:hAnsi="Arial" w:cs="Arial"/>
          <w:kern w:val="0"/>
          <w:sz w:val="20"/>
          <w:szCs w:val="20"/>
        </w:rPr>
        <w:t xml:space="preserve">, M. E., Francisco, M., </w:t>
      </w:r>
      <w:proofErr w:type="spellStart"/>
      <w:r w:rsidRPr="005D4480">
        <w:rPr>
          <w:rFonts w:ascii="Arial" w:eastAsia="TimesNewRomanPSMT" w:hAnsi="Arial" w:cs="Arial"/>
          <w:kern w:val="0"/>
          <w:sz w:val="20"/>
          <w:szCs w:val="20"/>
        </w:rPr>
        <w:t>Soengas</w:t>
      </w:r>
      <w:proofErr w:type="spellEnd"/>
      <w:r w:rsidRPr="005D4480">
        <w:rPr>
          <w:rFonts w:ascii="Arial" w:eastAsia="TimesNewRomanPSMT" w:hAnsi="Arial" w:cs="Arial"/>
          <w:kern w:val="0"/>
          <w:sz w:val="20"/>
          <w:szCs w:val="20"/>
        </w:rPr>
        <w:t>, P., &amp; Velasco, P. (2010)</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Phenolic compounds in Brassica vegetables. Molecules, 16(1), 251-280.</w:t>
      </w:r>
      <w:r w:rsidR="00E93C8D">
        <w:rPr>
          <w:rFonts w:ascii="Arial" w:eastAsia="TimesNewRomanPSMT" w:hAnsi="Arial" w:cs="Arial"/>
          <w:kern w:val="0"/>
          <w:sz w:val="20"/>
          <w:szCs w:val="20"/>
        </w:rPr>
        <w:t xml:space="preserve"> </w:t>
      </w:r>
      <w:r w:rsidR="00E93C8D" w:rsidRPr="00E93C8D">
        <w:rPr>
          <w:rFonts w:ascii="Arial" w:eastAsia="TimesNewRomanPSMT" w:hAnsi="Arial" w:cs="Arial"/>
          <w:kern w:val="0"/>
          <w:sz w:val="20"/>
          <w:szCs w:val="20"/>
        </w:rPr>
        <w:t>https://doi.org/10.3390/molecules16010251</w:t>
      </w:r>
    </w:p>
    <w:p w14:paraId="368B780B" w14:textId="5A96206B"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lastRenderedPageBreak/>
        <w:t>Das, K. S., Kumar, R. K., Mishra, B., &amp; Sahoo, S. K. (2024)</w:t>
      </w:r>
      <w:r w:rsidR="00C05E41">
        <w:rPr>
          <w:rFonts w:ascii="Arial" w:eastAsia="TimesNewRomanPSMT" w:hAnsi="Arial" w:cs="Arial"/>
          <w:kern w:val="0"/>
          <w:sz w:val="20"/>
          <w:szCs w:val="20"/>
        </w:rPr>
        <w:t xml:space="preserve">, </w:t>
      </w:r>
      <w:r w:rsidRPr="005D4480">
        <w:rPr>
          <w:rFonts w:ascii="Arial" w:eastAsia="TimesNewRomanPSMT" w:hAnsi="Arial" w:cs="Arial"/>
          <w:kern w:val="0"/>
          <w:sz w:val="20"/>
          <w:szCs w:val="20"/>
        </w:rPr>
        <w:t xml:space="preserve">Adoption of cabbage cultivation technology by the farmers of </w:t>
      </w:r>
      <w:proofErr w:type="spellStart"/>
      <w:r w:rsidRPr="005D4480">
        <w:rPr>
          <w:rFonts w:ascii="Arial" w:eastAsia="TimesNewRomanPSMT" w:hAnsi="Arial" w:cs="Arial"/>
          <w:kern w:val="0"/>
          <w:sz w:val="20"/>
          <w:szCs w:val="20"/>
        </w:rPr>
        <w:t>Khordha</w:t>
      </w:r>
      <w:proofErr w:type="spellEnd"/>
      <w:r w:rsidRPr="005D4480">
        <w:rPr>
          <w:rFonts w:ascii="Arial" w:eastAsia="TimesNewRomanPSMT" w:hAnsi="Arial" w:cs="Arial"/>
          <w:kern w:val="0"/>
          <w:sz w:val="20"/>
          <w:szCs w:val="20"/>
        </w:rPr>
        <w:t xml:space="preserve"> district of Odisha, India</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Asian Journal of Agricultural Extension, Economics &amp; Sociology</w:t>
      </w:r>
      <w:r w:rsidRPr="005D4480">
        <w:rPr>
          <w:rFonts w:ascii="Arial" w:eastAsia="TimesNewRomanPSMT" w:hAnsi="Arial" w:cs="Arial"/>
          <w:kern w:val="0"/>
          <w:sz w:val="20"/>
          <w:szCs w:val="20"/>
        </w:rPr>
        <w:t>, 42(4), 115-122.</w:t>
      </w:r>
      <w:r w:rsidR="00E93C8D">
        <w:rPr>
          <w:rFonts w:ascii="Arial" w:eastAsia="TimesNewRomanPSMT" w:hAnsi="Arial" w:cs="Arial"/>
          <w:kern w:val="0"/>
          <w:sz w:val="20"/>
          <w:szCs w:val="20"/>
        </w:rPr>
        <w:t xml:space="preserve"> </w:t>
      </w:r>
      <w:r w:rsidR="00E93C8D" w:rsidRPr="00E93C8D">
        <w:rPr>
          <w:rFonts w:ascii="Arial" w:eastAsia="TimesNewRomanPSMT" w:hAnsi="Arial" w:cs="Arial"/>
          <w:kern w:val="0"/>
          <w:sz w:val="20"/>
          <w:szCs w:val="20"/>
        </w:rPr>
        <w:t>https://doi.org/10.9734/AJAEES/2024/v42i42401</w:t>
      </w:r>
    </w:p>
    <w:p w14:paraId="2B4E896C" w14:textId="77777777" w:rsidR="00E93C8D"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 xml:space="preserve">Fahey, J. W., </w:t>
      </w:r>
      <w:proofErr w:type="spellStart"/>
      <w:r w:rsidRPr="005D4480">
        <w:rPr>
          <w:rFonts w:ascii="Arial" w:eastAsia="TimesNewRomanPSMT" w:hAnsi="Arial" w:cs="Arial"/>
          <w:kern w:val="0"/>
          <w:sz w:val="20"/>
          <w:szCs w:val="20"/>
        </w:rPr>
        <w:t>Zalcmann</w:t>
      </w:r>
      <w:proofErr w:type="spellEnd"/>
      <w:r w:rsidRPr="005D4480">
        <w:rPr>
          <w:rFonts w:ascii="Arial" w:eastAsia="TimesNewRomanPSMT" w:hAnsi="Arial" w:cs="Arial"/>
          <w:kern w:val="0"/>
          <w:sz w:val="20"/>
          <w:szCs w:val="20"/>
        </w:rPr>
        <w:t xml:space="preserve">, A. T., &amp; </w:t>
      </w:r>
      <w:proofErr w:type="spellStart"/>
      <w:r w:rsidRPr="005D4480">
        <w:rPr>
          <w:rFonts w:ascii="Arial" w:eastAsia="TimesNewRomanPSMT" w:hAnsi="Arial" w:cs="Arial"/>
          <w:kern w:val="0"/>
          <w:sz w:val="20"/>
          <w:szCs w:val="20"/>
        </w:rPr>
        <w:t>Talalay</w:t>
      </w:r>
      <w:proofErr w:type="spellEnd"/>
      <w:r w:rsidRPr="005D4480">
        <w:rPr>
          <w:rFonts w:ascii="Arial" w:eastAsia="TimesNewRomanPSMT" w:hAnsi="Arial" w:cs="Arial"/>
          <w:kern w:val="0"/>
          <w:sz w:val="20"/>
          <w:szCs w:val="20"/>
        </w:rPr>
        <w:t>, P. (2001)</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The chemical diversity and distribution of </w:t>
      </w:r>
      <w:proofErr w:type="spellStart"/>
      <w:r w:rsidRPr="005D4480">
        <w:rPr>
          <w:rFonts w:ascii="Arial" w:eastAsia="TimesNewRomanPSMT" w:hAnsi="Arial" w:cs="Arial"/>
          <w:kern w:val="0"/>
          <w:sz w:val="20"/>
          <w:szCs w:val="20"/>
        </w:rPr>
        <w:t>glucosinolates</w:t>
      </w:r>
      <w:proofErr w:type="spellEnd"/>
      <w:r w:rsidRPr="005D4480">
        <w:rPr>
          <w:rFonts w:ascii="Arial" w:eastAsia="TimesNewRomanPSMT" w:hAnsi="Arial" w:cs="Arial"/>
          <w:kern w:val="0"/>
          <w:sz w:val="20"/>
          <w:szCs w:val="20"/>
        </w:rPr>
        <w:t xml:space="preserve"> and isothiocyanates among plants</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Phytochemistry</w:t>
      </w:r>
      <w:r w:rsidRPr="005D4480">
        <w:rPr>
          <w:rFonts w:ascii="Arial" w:eastAsia="TimesNewRomanPSMT" w:hAnsi="Arial" w:cs="Arial"/>
          <w:kern w:val="0"/>
          <w:sz w:val="20"/>
          <w:szCs w:val="20"/>
        </w:rPr>
        <w:t>, 56(1), 5-51.</w:t>
      </w:r>
      <w:r w:rsidR="00E93C8D">
        <w:rPr>
          <w:rFonts w:ascii="Arial" w:eastAsia="TimesNewRomanPSMT" w:hAnsi="Arial" w:cs="Arial"/>
          <w:kern w:val="0"/>
          <w:sz w:val="20"/>
          <w:szCs w:val="20"/>
        </w:rPr>
        <w:t xml:space="preserve"> </w:t>
      </w:r>
    </w:p>
    <w:p w14:paraId="1F89057B" w14:textId="68DC498D" w:rsidR="005D4480" w:rsidRPr="005D4480" w:rsidRDefault="00E93C8D"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Pr>
          <w:rFonts w:ascii="Arial" w:eastAsia="TimesNewRomanPSMT" w:hAnsi="Arial" w:cs="Arial"/>
          <w:kern w:val="0"/>
          <w:sz w:val="20"/>
          <w:szCs w:val="20"/>
        </w:rPr>
        <w:t xml:space="preserve">          </w:t>
      </w:r>
      <w:r w:rsidRPr="00E93C8D">
        <w:rPr>
          <w:rFonts w:ascii="Arial" w:eastAsia="TimesNewRomanPSMT" w:hAnsi="Arial" w:cs="Arial"/>
          <w:kern w:val="0"/>
          <w:sz w:val="20"/>
          <w:szCs w:val="20"/>
        </w:rPr>
        <w:t>https://www.sciencedirect.com/science/article/pii/S0031942200003162</w:t>
      </w:r>
    </w:p>
    <w:p w14:paraId="66A3FE19" w14:textId="5EB7B3FF"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 xml:space="preserve">Gupta, S., </w:t>
      </w:r>
      <w:proofErr w:type="spellStart"/>
      <w:r w:rsidRPr="005D4480">
        <w:rPr>
          <w:rFonts w:ascii="Arial" w:eastAsia="TimesNewRomanPSMT" w:hAnsi="Arial" w:cs="Arial"/>
          <w:kern w:val="0"/>
          <w:sz w:val="20"/>
          <w:szCs w:val="20"/>
        </w:rPr>
        <w:t>Devegowda</w:t>
      </w:r>
      <w:proofErr w:type="spellEnd"/>
      <w:r w:rsidRPr="005D4480">
        <w:rPr>
          <w:rFonts w:ascii="Arial" w:eastAsia="TimesNewRomanPSMT" w:hAnsi="Arial" w:cs="Arial"/>
          <w:kern w:val="0"/>
          <w:sz w:val="20"/>
          <w:szCs w:val="20"/>
        </w:rPr>
        <w:t xml:space="preserve">, S. R., </w:t>
      </w:r>
      <w:proofErr w:type="spellStart"/>
      <w:r w:rsidRPr="005D4480">
        <w:rPr>
          <w:rFonts w:ascii="Arial" w:eastAsia="TimesNewRomanPSMT" w:hAnsi="Arial" w:cs="Arial"/>
          <w:kern w:val="0"/>
          <w:sz w:val="20"/>
          <w:szCs w:val="20"/>
        </w:rPr>
        <w:t>Yarazari</w:t>
      </w:r>
      <w:proofErr w:type="spellEnd"/>
      <w:r w:rsidRPr="005D4480">
        <w:rPr>
          <w:rFonts w:ascii="Arial" w:eastAsia="TimesNewRomanPSMT" w:hAnsi="Arial" w:cs="Arial"/>
          <w:kern w:val="0"/>
          <w:sz w:val="20"/>
          <w:szCs w:val="20"/>
        </w:rPr>
        <w:t>, S. P., Chaudhary, J., &amp; Kumar, A. (2025)</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An economic analysis of growth and instability of vegetable production in Eastern India</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Agricultural Reviews</w:t>
      </w:r>
      <w:r w:rsidRPr="005D4480">
        <w:rPr>
          <w:rFonts w:ascii="Arial" w:eastAsia="TimesNewRomanPSMT" w:hAnsi="Arial" w:cs="Arial"/>
          <w:kern w:val="0"/>
          <w:sz w:val="20"/>
          <w:szCs w:val="20"/>
        </w:rPr>
        <w:t>, 46(3), 483-491.</w:t>
      </w:r>
      <w:r w:rsidR="00B2171F">
        <w:rPr>
          <w:rFonts w:ascii="Arial" w:eastAsia="TimesNewRomanPSMT" w:hAnsi="Arial" w:cs="Arial"/>
          <w:kern w:val="0"/>
          <w:sz w:val="20"/>
          <w:szCs w:val="20"/>
        </w:rPr>
        <w:t xml:space="preserve"> </w:t>
      </w:r>
      <w:r w:rsidR="00B2171F" w:rsidRPr="00B2171F">
        <w:rPr>
          <w:rFonts w:ascii="Arial" w:eastAsia="TimesNewRomanPSMT" w:hAnsi="Arial" w:cs="Arial"/>
          <w:kern w:val="0"/>
          <w:sz w:val="20"/>
          <w:szCs w:val="20"/>
        </w:rPr>
        <w:t>https://doi.org/</w:t>
      </w:r>
      <w:hyperlink r:id="rId12" w:tgtFrame="_blank" w:history="1">
        <w:r w:rsidR="00B2171F" w:rsidRPr="00B2171F">
          <w:rPr>
            <w:rStyle w:val="Hyperlink"/>
            <w:rFonts w:ascii="Arial" w:hAnsi="Arial" w:cs="Arial"/>
            <w:color w:val="auto"/>
            <w:sz w:val="20"/>
            <w:szCs w:val="20"/>
            <w:u w:val="none"/>
            <w:shd w:val="clear" w:color="auto" w:fill="FFFFFF"/>
          </w:rPr>
          <w:t>10.18805/</w:t>
        </w:r>
        <w:proofErr w:type="gramStart"/>
        <w:r w:rsidR="00B2171F" w:rsidRPr="00B2171F">
          <w:rPr>
            <w:rStyle w:val="Hyperlink"/>
            <w:rFonts w:ascii="Arial" w:hAnsi="Arial" w:cs="Arial"/>
            <w:color w:val="auto"/>
            <w:sz w:val="20"/>
            <w:szCs w:val="20"/>
            <w:u w:val="none"/>
            <w:shd w:val="clear" w:color="auto" w:fill="FFFFFF"/>
          </w:rPr>
          <w:t>ag.R</w:t>
        </w:r>
        <w:proofErr w:type="gramEnd"/>
        <w:r w:rsidR="00B2171F" w:rsidRPr="00B2171F">
          <w:rPr>
            <w:rStyle w:val="Hyperlink"/>
            <w:rFonts w:ascii="Arial" w:hAnsi="Arial" w:cs="Arial"/>
            <w:color w:val="auto"/>
            <w:sz w:val="20"/>
            <w:szCs w:val="20"/>
            <w:u w:val="none"/>
            <w:shd w:val="clear" w:color="auto" w:fill="FFFFFF"/>
          </w:rPr>
          <w:t>-2691</w:t>
        </w:r>
      </w:hyperlink>
    </w:p>
    <w:p w14:paraId="3C57EAAF" w14:textId="40641F5E"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proofErr w:type="spellStart"/>
      <w:r w:rsidRPr="005D4480">
        <w:rPr>
          <w:rFonts w:ascii="Arial" w:eastAsia="TimesNewRomanPSMT" w:hAnsi="Arial" w:cs="Arial"/>
          <w:kern w:val="0"/>
          <w:sz w:val="20"/>
          <w:szCs w:val="20"/>
        </w:rPr>
        <w:t>Gurindapali</w:t>
      </w:r>
      <w:proofErr w:type="spellEnd"/>
      <w:r w:rsidRPr="005D4480">
        <w:rPr>
          <w:rFonts w:ascii="Arial" w:eastAsia="TimesNewRomanPSMT" w:hAnsi="Arial" w:cs="Arial"/>
          <w:kern w:val="0"/>
          <w:sz w:val="20"/>
          <w:szCs w:val="20"/>
        </w:rPr>
        <w:t>, S., &amp; Shende, N. V. (2022)</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Export performance of major </w:t>
      </w:r>
      <w:proofErr w:type="spellStart"/>
      <w:r w:rsidRPr="005D4480">
        <w:rPr>
          <w:rFonts w:ascii="Arial" w:eastAsia="TimesNewRomanPSMT" w:hAnsi="Arial" w:cs="Arial"/>
          <w:kern w:val="0"/>
          <w:sz w:val="20"/>
          <w:szCs w:val="20"/>
        </w:rPr>
        <w:t>cole</w:t>
      </w:r>
      <w:proofErr w:type="spellEnd"/>
      <w:r w:rsidRPr="005D4480">
        <w:rPr>
          <w:rFonts w:ascii="Arial" w:eastAsia="TimesNewRomanPSMT" w:hAnsi="Arial" w:cs="Arial"/>
          <w:kern w:val="0"/>
          <w:sz w:val="20"/>
          <w:szCs w:val="20"/>
        </w:rPr>
        <w:t xml:space="preserve"> crops in India.</w:t>
      </w:r>
      <w:r w:rsidR="00B2171F">
        <w:rPr>
          <w:rFonts w:ascii="Arial" w:eastAsia="TimesNewRomanPSMT" w:hAnsi="Arial" w:cs="Arial"/>
          <w:kern w:val="0"/>
          <w:sz w:val="20"/>
          <w:szCs w:val="20"/>
        </w:rPr>
        <w:t xml:space="preserve"> </w:t>
      </w:r>
      <w:r w:rsidR="00B2171F" w:rsidRPr="00B2171F">
        <w:rPr>
          <w:rFonts w:ascii="Arial" w:eastAsia="TimesNewRomanPSMT" w:hAnsi="Arial" w:cs="Arial"/>
          <w:i/>
          <w:kern w:val="0"/>
          <w:sz w:val="20"/>
          <w:szCs w:val="20"/>
        </w:rPr>
        <w:t>International Journal of Agricultural Sciences</w:t>
      </w:r>
      <w:r w:rsidR="00B2171F">
        <w:rPr>
          <w:rFonts w:ascii="Arial" w:eastAsia="TimesNewRomanPSMT" w:hAnsi="Arial" w:cs="Arial"/>
          <w:kern w:val="0"/>
          <w:sz w:val="20"/>
          <w:szCs w:val="20"/>
        </w:rPr>
        <w:t>, 18(1),</w:t>
      </w:r>
      <w:r w:rsidRPr="00B2171F">
        <w:rPr>
          <w:rFonts w:ascii="Arial" w:eastAsia="TimesNewRomanPSMT" w:hAnsi="Arial" w:cs="Arial"/>
          <w:kern w:val="0"/>
          <w:sz w:val="20"/>
          <w:szCs w:val="20"/>
        </w:rPr>
        <w:t xml:space="preserve"> </w:t>
      </w:r>
      <w:r w:rsidRPr="005D4480">
        <w:rPr>
          <w:rFonts w:ascii="Arial" w:eastAsia="TimesNewRomanPSMT" w:hAnsi="Arial" w:cs="Arial"/>
          <w:kern w:val="0"/>
          <w:sz w:val="20"/>
          <w:szCs w:val="20"/>
        </w:rPr>
        <w:t>138-144</w:t>
      </w:r>
      <w:r w:rsidR="00B2171F">
        <w:rPr>
          <w:rFonts w:ascii="Arial" w:eastAsia="TimesNewRomanPSMT" w:hAnsi="Arial" w:cs="Arial"/>
          <w:kern w:val="0"/>
          <w:sz w:val="20"/>
          <w:szCs w:val="20"/>
        </w:rPr>
        <w:t xml:space="preserve">. </w:t>
      </w:r>
      <w:r w:rsidR="00B2171F" w:rsidRPr="00B2171F">
        <w:rPr>
          <w:rFonts w:ascii="Arial" w:eastAsia="TimesNewRomanPSMT" w:hAnsi="Arial" w:cs="Arial"/>
          <w:kern w:val="0"/>
          <w:sz w:val="20"/>
          <w:szCs w:val="20"/>
        </w:rPr>
        <w:t>https://doi.org/10.15740/HAS/IJAS/18.1/138-144</w:t>
      </w:r>
    </w:p>
    <w:p w14:paraId="13D3211B" w14:textId="7764C994" w:rsid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Horticultural Statistics at a Glance (2021)</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Horticulture Statistics Division, Department of Agriculture, Cooperation &amp; Farmers Welfare Ministry of Agriculture &amp; Farmers Welfare, Government of India.</w:t>
      </w:r>
    </w:p>
    <w:p w14:paraId="70961CDD" w14:textId="62145FDC" w:rsidR="00B2171F" w:rsidRPr="005D4480" w:rsidRDefault="00B2171F"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Pr>
          <w:rFonts w:ascii="Arial" w:eastAsia="TimesNewRomanPSMT" w:hAnsi="Arial" w:cs="Arial"/>
          <w:kern w:val="0"/>
          <w:sz w:val="20"/>
          <w:szCs w:val="20"/>
        </w:rPr>
        <w:t xml:space="preserve">          </w:t>
      </w:r>
      <w:r w:rsidRPr="00B2171F">
        <w:rPr>
          <w:rFonts w:ascii="Arial" w:eastAsia="TimesNewRomanPSMT" w:hAnsi="Arial" w:cs="Arial"/>
          <w:kern w:val="0"/>
          <w:sz w:val="20"/>
          <w:szCs w:val="20"/>
        </w:rPr>
        <w:t>https://agriwelfare.gov.in/Documents/Horticultural_Statistics_at__Glance_2021.pdf</w:t>
      </w:r>
    </w:p>
    <w:p w14:paraId="25A9C102" w14:textId="572DC54F"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ICAR Annual Report (2022-23)</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Department of Agricultural Research and Education, Ministry of Agriculture &amp; Farmers Welfare, Government of India, New Delhi.</w:t>
      </w:r>
      <w:r w:rsidR="00B2171F">
        <w:rPr>
          <w:rFonts w:ascii="Arial" w:eastAsia="TimesNewRomanPSMT" w:hAnsi="Arial" w:cs="Arial"/>
          <w:kern w:val="0"/>
          <w:sz w:val="20"/>
          <w:szCs w:val="20"/>
        </w:rPr>
        <w:t xml:space="preserve"> </w:t>
      </w:r>
      <w:r w:rsidR="00B2171F" w:rsidRPr="00B2171F">
        <w:rPr>
          <w:rFonts w:ascii="Arial" w:eastAsia="TimesNewRomanPSMT" w:hAnsi="Arial" w:cs="Arial"/>
          <w:kern w:val="0"/>
          <w:sz w:val="20"/>
          <w:szCs w:val="20"/>
        </w:rPr>
        <w:t>https://icar.org.in/en/icar-annual-report-2022-2023</w:t>
      </w:r>
    </w:p>
    <w:p w14:paraId="7C5E260A" w14:textId="79953F6A"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 xml:space="preserve">Islam, N., Chowdhury, M. K., Biswas, S., &amp; </w:t>
      </w:r>
      <w:proofErr w:type="spellStart"/>
      <w:r w:rsidRPr="005D4480">
        <w:rPr>
          <w:rFonts w:ascii="Arial" w:eastAsia="TimesNewRomanPSMT" w:hAnsi="Arial" w:cs="Arial"/>
          <w:kern w:val="0"/>
          <w:sz w:val="20"/>
          <w:szCs w:val="20"/>
        </w:rPr>
        <w:t>Uddain</w:t>
      </w:r>
      <w:proofErr w:type="spellEnd"/>
      <w:r w:rsidRPr="005D4480">
        <w:rPr>
          <w:rFonts w:ascii="Arial" w:eastAsia="TimesNewRomanPSMT" w:hAnsi="Arial" w:cs="Arial"/>
          <w:kern w:val="0"/>
          <w:sz w:val="20"/>
          <w:szCs w:val="20"/>
        </w:rPr>
        <w:t>, J. (2024)</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Optimizing growth, yield, and nutritional quality of Chinese cabbage through vermicompost and reduced fertilizer application in organic farming systems</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Journal of Horticultural Sciences</w:t>
      </w:r>
      <w:r w:rsidRPr="005D4480">
        <w:rPr>
          <w:rFonts w:ascii="Arial" w:eastAsia="TimesNewRomanPSMT" w:hAnsi="Arial" w:cs="Arial"/>
          <w:kern w:val="0"/>
          <w:sz w:val="20"/>
          <w:szCs w:val="20"/>
        </w:rPr>
        <w:t>, 19(2).</w:t>
      </w:r>
      <w:r w:rsidR="00D824E4">
        <w:rPr>
          <w:rFonts w:ascii="Arial" w:eastAsia="TimesNewRomanPSMT" w:hAnsi="Arial" w:cs="Arial"/>
          <w:kern w:val="0"/>
          <w:sz w:val="20"/>
          <w:szCs w:val="20"/>
        </w:rPr>
        <w:t xml:space="preserve"> </w:t>
      </w:r>
      <w:r w:rsidR="00D824E4" w:rsidRPr="00D824E4">
        <w:rPr>
          <w:rFonts w:ascii="Arial" w:eastAsia="TimesNewRomanPSMT" w:hAnsi="Arial" w:cs="Arial"/>
          <w:kern w:val="0"/>
          <w:sz w:val="20"/>
          <w:szCs w:val="20"/>
        </w:rPr>
        <w:t>https://doi.org/10.24154/jhs.v19i2.3194</w:t>
      </w:r>
    </w:p>
    <w:p w14:paraId="42E6564D" w14:textId="465A32BB"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 xml:space="preserve">Kumar, A., </w:t>
      </w:r>
      <w:proofErr w:type="spellStart"/>
      <w:r w:rsidRPr="005D4480">
        <w:rPr>
          <w:rFonts w:ascii="Arial" w:eastAsia="TimesNewRomanPSMT" w:hAnsi="Arial" w:cs="Arial"/>
          <w:kern w:val="0"/>
          <w:sz w:val="20"/>
          <w:szCs w:val="20"/>
        </w:rPr>
        <w:t>Bajwan</w:t>
      </w:r>
      <w:proofErr w:type="spellEnd"/>
      <w:r w:rsidRPr="005D4480">
        <w:rPr>
          <w:rFonts w:ascii="Arial" w:eastAsia="TimesNewRomanPSMT" w:hAnsi="Arial" w:cs="Arial"/>
          <w:kern w:val="0"/>
          <w:sz w:val="20"/>
          <w:szCs w:val="20"/>
        </w:rPr>
        <w:t>, A., Yadav, S., Kumar, R., Kumar, V., Sharma, R. K., &amp; Choudhary, D. R. (2023)</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Growth and trend in area, production and productivity of vegetables in Haryana vis-à-vis India</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The Indian Journal of Agricultural Sciences</w:t>
      </w:r>
      <w:r w:rsidRPr="005D4480">
        <w:rPr>
          <w:rFonts w:ascii="Arial" w:eastAsia="TimesNewRomanPSMT" w:hAnsi="Arial" w:cs="Arial"/>
          <w:kern w:val="0"/>
          <w:sz w:val="20"/>
          <w:szCs w:val="20"/>
        </w:rPr>
        <w:t>, 93(10), 1120-1125.</w:t>
      </w:r>
      <w:r w:rsidR="00D824E4">
        <w:rPr>
          <w:rFonts w:ascii="Arial" w:eastAsia="TimesNewRomanPSMT" w:hAnsi="Arial" w:cs="Arial"/>
          <w:kern w:val="0"/>
          <w:sz w:val="20"/>
          <w:szCs w:val="20"/>
        </w:rPr>
        <w:t xml:space="preserve"> </w:t>
      </w:r>
      <w:r w:rsidR="00D824E4" w:rsidRPr="00D824E4">
        <w:rPr>
          <w:rFonts w:ascii="Arial" w:eastAsia="TimesNewRomanPSMT" w:hAnsi="Arial" w:cs="Arial"/>
          <w:kern w:val="0"/>
          <w:sz w:val="20"/>
          <w:szCs w:val="20"/>
        </w:rPr>
        <w:t>https://doi.org/10.56093/ijas.v93i10.140154</w:t>
      </w:r>
    </w:p>
    <w:p w14:paraId="1C819617" w14:textId="77777777" w:rsidR="00C022A6" w:rsidRDefault="00D824E4"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Pr>
          <w:rFonts w:ascii="Arial" w:eastAsia="TimesNewRomanPSMT" w:hAnsi="Arial" w:cs="Arial"/>
          <w:kern w:val="0"/>
          <w:sz w:val="20"/>
          <w:szCs w:val="20"/>
        </w:rPr>
        <w:t>Annual Report (2022-23)</w:t>
      </w:r>
      <w:r w:rsidR="00C022A6">
        <w:rPr>
          <w:rFonts w:ascii="Arial" w:eastAsia="TimesNewRomanPSMT" w:hAnsi="Arial" w:cs="Arial"/>
          <w:kern w:val="0"/>
          <w:sz w:val="20"/>
          <w:szCs w:val="20"/>
        </w:rPr>
        <w:t>,</w:t>
      </w:r>
      <w:r w:rsidR="00C022A6" w:rsidRPr="00C022A6">
        <w:rPr>
          <w:rFonts w:ascii="Arial" w:eastAsia="TimesNewRomanPSMT" w:hAnsi="Arial" w:cs="Arial"/>
          <w:kern w:val="0"/>
          <w:sz w:val="20"/>
          <w:szCs w:val="20"/>
        </w:rPr>
        <w:t xml:space="preserve"> </w:t>
      </w:r>
      <w:r w:rsidR="00C022A6" w:rsidRPr="005D4480">
        <w:rPr>
          <w:rFonts w:ascii="Arial" w:eastAsia="TimesNewRomanPSMT" w:hAnsi="Arial" w:cs="Arial"/>
          <w:kern w:val="0"/>
          <w:sz w:val="20"/>
          <w:szCs w:val="20"/>
        </w:rPr>
        <w:t>Department of Agriculture &amp; Farmers Welfare</w:t>
      </w:r>
      <w:r w:rsidR="00C022A6">
        <w:rPr>
          <w:rFonts w:ascii="Arial" w:eastAsia="TimesNewRomanPSMT" w:hAnsi="Arial" w:cs="Arial"/>
          <w:kern w:val="0"/>
          <w:sz w:val="20"/>
          <w:szCs w:val="20"/>
        </w:rPr>
        <w:t xml:space="preserve">, </w:t>
      </w:r>
      <w:r w:rsidR="005D4480" w:rsidRPr="005D4480">
        <w:rPr>
          <w:rFonts w:ascii="Arial" w:eastAsia="TimesNewRomanPSMT" w:hAnsi="Arial" w:cs="Arial"/>
          <w:kern w:val="0"/>
          <w:sz w:val="20"/>
          <w:szCs w:val="20"/>
        </w:rPr>
        <w:t>Ministry of Agriculture and Farmers Welfare</w:t>
      </w:r>
      <w:r w:rsidR="00C022A6">
        <w:rPr>
          <w:rFonts w:ascii="Arial" w:eastAsia="TimesNewRomanPSMT" w:hAnsi="Arial" w:cs="Arial"/>
          <w:kern w:val="0"/>
          <w:sz w:val="20"/>
          <w:szCs w:val="20"/>
        </w:rPr>
        <w:t>,</w:t>
      </w:r>
      <w:r w:rsidR="005D4480" w:rsidRPr="005D4480">
        <w:rPr>
          <w:rFonts w:ascii="Arial" w:eastAsia="TimesNewRomanPSMT" w:hAnsi="Arial" w:cs="Arial"/>
          <w:kern w:val="0"/>
          <w:sz w:val="20"/>
          <w:szCs w:val="20"/>
        </w:rPr>
        <w:t xml:space="preserve"> Government of India.</w:t>
      </w:r>
      <w:r w:rsidR="00C022A6">
        <w:rPr>
          <w:rFonts w:ascii="Arial" w:eastAsia="TimesNewRomanPSMT" w:hAnsi="Arial" w:cs="Arial"/>
          <w:kern w:val="0"/>
          <w:sz w:val="20"/>
          <w:szCs w:val="20"/>
        </w:rPr>
        <w:t xml:space="preserve"> </w:t>
      </w:r>
    </w:p>
    <w:p w14:paraId="1989ADCE" w14:textId="68E464D2" w:rsidR="005D4480" w:rsidRPr="005D4480" w:rsidRDefault="00C022A6"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Pr>
          <w:rFonts w:ascii="Arial" w:eastAsia="TimesNewRomanPSMT" w:hAnsi="Arial" w:cs="Arial"/>
          <w:kern w:val="0"/>
          <w:sz w:val="20"/>
          <w:szCs w:val="20"/>
        </w:rPr>
        <w:t xml:space="preserve">          </w:t>
      </w:r>
      <w:r w:rsidRPr="00C022A6">
        <w:rPr>
          <w:rFonts w:ascii="Arial" w:eastAsia="TimesNewRomanPSMT" w:hAnsi="Arial" w:cs="Arial"/>
          <w:kern w:val="0"/>
          <w:sz w:val="20"/>
          <w:szCs w:val="20"/>
        </w:rPr>
        <w:t>https://agriwelfare.gov.in/Documents/annual_report_english_2022_23.pdf</w:t>
      </w:r>
    </w:p>
    <w:p w14:paraId="51DD658B" w14:textId="3424579F"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proofErr w:type="spellStart"/>
      <w:r w:rsidRPr="005D4480">
        <w:rPr>
          <w:rFonts w:ascii="Arial" w:eastAsia="TimesNewRomanPSMT" w:hAnsi="Arial" w:cs="Arial"/>
          <w:kern w:val="0"/>
          <w:sz w:val="20"/>
          <w:szCs w:val="20"/>
        </w:rPr>
        <w:t>Maggioni</w:t>
      </w:r>
      <w:proofErr w:type="spellEnd"/>
      <w:r w:rsidRPr="005D4480">
        <w:rPr>
          <w:rFonts w:ascii="Arial" w:eastAsia="TimesNewRomanPSMT" w:hAnsi="Arial" w:cs="Arial"/>
          <w:kern w:val="0"/>
          <w:sz w:val="20"/>
          <w:szCs w:val="20"/>
        </w:rPr>
        <w:t xml:space="preserve">, L., </w:t>
      </w:r>
      <w:proofErr w:type="spellStart"/>
      <w:r w:rsidRPr="005D4480">
        <w:rPr>
          <w:rFonts w:ascii="Arial" w:eastAsia="TimesNewRomanPSMT" w:hAnsi="Arial" w:cs="Arial"/>
          <w:kern w:val="0"/>
          <w:sz w:val="20"/>
          <w:szCs w:val="20"/>
        </w:rPr>
        <w:t>Bothmer</w:t>
      </w:r>
      <w:proofErr w:type="spellEnd"/>
      <w:r w:rsidRPr="005D4480">
        <w:rPr>
          <w:rFonts w:ascii="Arial" w:eastAsia="TimesNewRomanPSMT" w:hAnsi="Arial" w:cs="Arial"/>
          <w:kern w:val="0"/>
          <w:sz w:val="20"/>
          <w:szCs w:val="20"/>
        </w:rPr>
        <w:t>,</w:t>
      </w:r>
      <w:r w:rsidR="00C05E41">
        <w:rPr>
          <w:rFonts w:ascii="Arial" w:eastAsia="TimesNewRomanPSMT" w:hAnsi="Arial" w:cs="Arial"/>
          <w:kern w:val="0"/>
          <w:sz w:val="20"/>
          <w:szCs w:val="20"/>
        </w:rPr>
        <w:t xml:space="preserve"> V,</w:t>
      </w:r>
      <w:r w:rsidRPr="005D4480">
        <w:rPr>
          <w:rFonts w:ascii="Arial" w:eastAsia="TimesNewRomanPSMT" w:hAnsi="Arial" w:cs="Arial"/>
          <w:kern w:val="0"/>
          <w:sz w:val="20"/>
          <w:szCs w:val="20"/>
        </w:rPr>
        <w:t xml:space="preserve"> R., Poulsen, G., &amp; </w:t>
      </w:r>
      <w:proofErr w:type="spellStart"/>
      <w:r w:rsidRPr="005D4480">
        <w:rPr>
          <w:rFonts w:ascii="Arial" w:eastAsia="TimesNewRomanPSMT" w:hAnsi="Arial" w:cs="Arial"/>
          <w:kern w:val="0"/>
          <w:sz w:val="20"/>
          <w:szCs w:val="20"/>
        </w:rPr>
        <w:t>Branca</w:t>
      </w:r>
      <w:proofErr w:type="spellEnd"/>
      <w:r w:rsidRPr="005D4480">
        <w:rPr>
          <w:rFonts w:ascii="Arial" w:eastAsia="TimesNewRomanPSMT" w:hAnsi="Arial" w:cs="Arial"/>
          <w:kern w:val="0"/>
          <w:sz w:val="20"/>
          <w:szCs w:val="20"/>
        </w:rPr>
        <w:t>, F. (2010)</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Origin and domestication of </w:t>
      </w:r>
      <w:proofErr w:type="spellStart"/>
      <w:r w:rsidRPr="005D4480">
        <w:rPr>
          <w:rFonts w:ascii="Arial" w:eastAsia="TimesNewRomanPSMT" w:hAnsi="Arial" w:cs="Arial"/>
          <w:kern w:val="0"/>
          <w:sz w:val="20"/>
          <w:szCs w:val="20"/>
        </w:rPr>
        <w:t>cole</w:t>
      </w:r>
      <w:proofErr w:type="spellEnd"/>
      <w:r w:rsidRPr="005D4480">
        <w:rPr>
          <w:rFonts w:ascii="Arial" w:eastAsia="TimesNewRomanPSMT" w:hAnsi="Arial" w:cs="Arial"/>
          <w:kern w:val="0"/>
          <w:sz w:val="20"/>
          <w:szCs w:val="20"/>
        </w:rPr>
        <w:t xml:space="preserve"> crops (Brassica oleracea L.): linguistic and literary considerations1</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Economic botany</w:t>
      </w:r>
      <w:r w:rsidRPr="005D4480">
        <w:rPr>
          <w:rFonts w:ascii="Arial" w:eastAsia="TimesNewRomanPSMT" w:hAnsi="Arial" w:cs="Arial"/>
          <w:kern w:val="0"/>
          <w:sz w:val="20"/>
          <w:szCs w:val="20"/>
        </w:rPr>
        <w:t xml:space="preserve">, 64(2), 109-123. </w:t>
      </w:r>
      <w:r w:rsidR="00D824E4" w:rsidRPr="00D824E4">
        <w:rPr>
          <w:rFonts w:ascii="Arial" w:eastAsia="TimesNewRomanPSMT" w:hAnsi="Arial" w:cs="Arial"/>
          <w:kern w:val="0"/>
          <w:sz w:val="20"/>
          <w:szCs w:val="20"/>
        </w:rPr>
        <w:t>https://link.springer.com/article/10.1007/s12231-010-9115-2</w:t>
      </w:r>
    </w:p>
    <w:p w14:paraId="358D57B2" w14:textId="6F143FC6"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Parmar, S. S., Kumar, R., Vikram, A., Dogra, R. K., Gupta, M., Singh, A., ... &amp; Sousa, J. R. (2025)</w:t>
      </w:r>
      <w:r w:rsidR="00C05E41">
        <w:rPr>
          <w:rFonts w:ascii="Arial" w:eastAsia="TimesNewRomanPSMT" w:hAnsi="Arial" w:cs="Arial"/>
          <w:kern w:val="0"/>
          <w:sz w:val="20"/>
          <w:szCs w:val="20"/>
        </w:rPr>
        <w:t xml:space="preserve">, </w:t>
      </w:r>
      <w:r w:rsidRPr="005D4480">
        <w:rPr>
          <w:rFonts w:ascii="Arial" w:eastAsia="TimesNewRomanPSMT" w:hAnsi="Arial" w:cs="Arial"/>
          <w:kern w:val="0"/>
          <w:sz w:val="20"/>
          <w:szCs w:val="20"/>
        </w:rPr>
        <w:t>Correlation, Path-Coefficient, and Economic Heterosis Studies in CMS-Based Cabbage Hybrids over Different Environments</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proofErr w:type="spellStart"/>
      <w:r w:rsidRPr="00C05E41">
        <w:rPr>
          <w:rFonts w:ascii="Arial" w:eastAsia="TimesNewRomanPSMT" w:hAnsi="Arial" w:cs="Arial"/>
          <w:i/>
          <w:kern w:val="0"/>
          <w:sz w:val="20"/>
          <w:szCs w:val="20"/>
        </w:rPr>
        <w:t>Horticulturae</w:t>
      </w:r>
      <w:proofErr w:type="spellEnd"/>
      <w:r w:rsidRPr="00C05E41">
        <w:rPr>
          <w:rFonts w:ascii="Arial" w:eastAsia="TimesNewRomanPSMT" w:hAnsi="Arial" w:cs="Arial"/>
          <w:i/>
          <w:kern w:val="0"/>
          <w:sz w:val="20"/>
          <w:szCs w:val="20"/>
        </w:rPr>
        <w:t>,</w:t>
      </w:r>
      <w:r w:rsidRPr="005D4480">
        <w:rPr>
          <w:rFonts w:ascii="Arial" w:eastAsia="TimesNewRomanPSMT" w:hAnsi="Arial" w:cs="Arial"/>
          <w:kern w:val="0"/>
          <w:sz w:val="20"/>
          <w:szCs w:val="20"/>
        </w:rPr>
        <w:t xml:space="preserve"> 11(6), 606.</w:t>
      </w:r>
      <w:r w:rsidR="00D824E4">
        <w:rPr>
          <w:rFonts w:ascii="Arial" w:eastAsia="TimesNewRomanPSMT" w:hAnsi="Arial" w:cs="Arial"/>
          <w:kern w:val="0"/>
          <w:sz w:val="20"/>
          <w:szCs w:val="20"/>
        </w:rPr>
        <w:t xml:space="preserve"> </w:t>
      </w:r>
      <w:r w:rsidR="00D824E4" w:rsidRPr="00D824E4">
        <w:rPr>
          <w:rFonts w:ascii="Arial" w:eastAsia="TimesNewRomanPSMT" w:hAnsi="Arial" w:cs="Arial"/>
          <w:kern w:val="0"/>
          <w:sz w:val="20"/>
          <w:szCs w:val="20"/>
        </w:rPr>
        <w:t>https://doi.org/10.3390/horticulturae11060606</w:t>
      </w:r>
    </w:p>
    <w:p w14:paraId="0A6A051C" w14:textId="0C17922E"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proofErr w:type="spellStart"/>
      <w:r w:rsidRPr="005D4480">
        <w:rPr>
          <w:rFonts w:ascii="Arial" w:eastAsia="TimesNewRomanPSMT" w:hAnsi="Arial" w:cs="Arial"/>
          <w:kern w:val="0"/>
          <w:sz w:val="20"/>
          <w:szCs w:val="20"/>
        </w:rPr>
        <w:t>Podsędek</w:t>
      </w:r>
      <w:proofErr w:type="spellEnd"/>
      <w:r w:rsidRPr="005D4480">
        <w:rPr>
          <w:rFonts w:ascii="Arial" w:eastAsia="TimesNewRomanPSMT" w:hAnsi="Arial" w:cs="Arial"/>
          <w:kern w:val="0"/>
          <w:sz w:val="20"/>
          <w:szCs w:val="20"/>
        </w:rPr>
        <w:t>, A. (2007)</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Natural antioxidants and antioxidant capacity of Brassica vegetables: A review</w:t>
      </w:r>
      <w:r w:rsidR="00C05E41">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C05E41">
        <w:rPr>
          <w:rFonts w:ascii="Arial" w:eastAsia="TimesNewRomanPSMT" w:hAnsi="Arial" w:cs="Arial"/>
          <w:i/>
          <w:kern w:val="0"/>
          <w:sz w:val="20"/>
          <w:szCs w:val="20"/>
        </w:rPr>
        <w:t>LWT-Food science and Technology</w:t>
      </w:r>
      <w:r w:rsidRPr="005D4480">
        <w:rPr>
          <w:rFonts w:ascii="Arial" w:eastAsia="TimesNewRomanPSMT" w:hAnsi="Arial" w:cs="Arial"/>
          <w:kern w:val="0"/>
          <w:sz w:val="20"/>
          <w:szCs w:val="20"/>
        </w:rPr>
        <w:t>, 40(1), 1-11.</w:t>
      </w:r>
      <w:r w:rsidR="00D824E4">
        <w:rPr>
          <w:rFonts w:ascii="Arial" w:eastAsia="TimesNewRomanPSMT" w:hAnsi="Arial" w:cs="Arial"/>
          <w:kern w:val="0"/>
          <w:sz w:val="20"/>
          <w:szCs w:val="20"/>
        </w:rPr>
        <w:t xml:space="preserve"> </w:t>
      </w:r>
      <w:r w:rsidR="00D824E4" w:rsidRPr="00D824E4">
        <w:rPr>
          <w:rFonts w:ascii="Arial" w:eastAsia="TimesNewRomanPSMT" w:hAnsi="Arial" w:cs="Arial"/>
          <w:kern w:val="0"/>
          <w:sz w:val="20"/>
          <w:szCs w:val="20"/>
        </w:rPr>
        <w:t>https://doi.org/10.1016/j.lwt.2005.07.023</w:t>
      </w:r>
    </w:p>
    <w:p w14:paraId="1FE5539A" w14:textId="12CA4FAA"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Singh, A., Verma, N. P., Singh, A., Sharma, S., &amp; Singh, M. K. (2023)</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Economics of Cabbage Production Under Different Levels of Integrated Nutrient Management in Varanasi Region of Uttar Pradesh, </w:t>
      </w:r>
      <w:r w:rsidRPr="005D4480">
        <w:rPr>
          <w:rFonts w:ascii="Arial" w:eastAsia="TimesNewRomanPSMT" w:hAnsi="Arial" w:cs="Arial"/>
          <w:kern w:val="0"/>
          <w:sz w:val="20"/>
          <w:szCs w:val="20"/>
        </w:rPr>
        <w:lastRenderedPageBreak/>
        <w:t>India</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E93C8D">
        <w:rPr>
          <w:rFonts w:ascii="Arial" w:eastAsia="TimesNewRomanPSMT" w:hAnsi="Arial" w:cs="Arial"/>
          <w:i/>
          <w:kern w:val="0"/>
          <w:sz w:val="20"/>
          <w:szCs w:val="20"/>
        </w:rPr>
        <w:t>International Journal of Environment and Climate Change</w:t>
      </w:r>
      <w:r w:rsidRPr="005D4480">
        <w:rPr>
          <w:rFonts w:ascii="Arial" w:eastAsia="TimesNewRomanPSMT" w:hAnsi="Arial" w:cs="Arial"/>
          <w:kern w:val="0"/>
          <w:sz w:val="20"/>
          <w:szCs w:val="20"/>
        </w:rPr>
        <w:t>, 13(11), 4233-4239.</w:t>
      </w:r>
      <w:r w:rsidR="00C022A6">
        <w:rPr>
          <w:rFonts w:ascii="Arial" w:eastAsia="TimesNewRomanPSMT" w:hAnsi="Arial" w:cs="Arial"/>
          <w:kern w:val="0"/>
          <w:sz w:val="20"/>
          <w:szCs w:val="20"/>
        </w:rPr>
        <w:t xml:space="preserve"> </w:t>
      </w:r>
      <w:r w:rsidR="00C022A6" w:rsidRPr="00D824E4">
        <w:rPr>
          <w:rFonts w:ascii="Arial" w:eastAsia="TimesNewRomanPSMT" w:hAnsi="Arial" w:cs="Arial"/>
          <w:kern w:val="0"/>
          <w:sz w:val="20"/>
          <w:szCs w:val="20"/>
        </w:rPr>
        <w:t>https://doi.org/</w:t>
      </w:r>
      <w:r w:rsidR="00C022A6" w:rsidRPr="00C022A6">
        <w:rPr>
          <w:rFonts w:ascii="Arial" w:eastAsia="TimesNewRomanPSMT" w:hAnsi="Arial" w:cs="Arial"/>
          <w:kern w:val="0"/>
          <w:sz w:val="20"/>
          <w:szCs w:val="20"/>
        </w:rPr>
        <w:t>10.9734/IJECC/2023/v13i113603</w:t>
      </w:r>
    </w:p>
    <w:p w14:paraId="3BC4EE46" w14:textId="7C1BCD5D"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Vanitha, S. M., Roy, S., Singh, N., &amp; Singh, J. (2021)</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Growth trend in vegetable production-A time series analysis</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E93C8D">
        <w:rPr>
          <w:rFonts w:ascii="Arial" w:eastAsia="TimesNewRomanPSMT" w:hAnsi="Arial" w:cs="Arial"/>
          <w:i/>
          <w:kern w:val="0"/>
          <w:sz w:val="20"/>
          <w:szCs w:val="20"/>
        </w:rPr>
        <w:t>Journal of Applied Horticulture</w:t>
      </w:r>
      <w:r w:rsidRPr="005D4480">
        <w:rPr>
          <w:rFonts w:ascii="Arial" w:eastAsia="TimesNewRomanPSMT" w:hAnsi="Arial" w:cs="Arial"/>
          <w:kern w:val="0"/>
          <w:sz w:val="20"/>
          <w:szCs w:val="20"/>
        </w:rPr>
        <w:t>, 23(3), 294-298.</w:t>
      </w:r>
      <w:r w:rsidR="00C022A6">
        <w:rPr>
          <w:rFonts w:ascii="Arial" w:eastAsia="TimesNewRomanPSMT" w:hAnsi="Arial" w:cs="Arial"/>
          <w:kern w:val="0"/>
          <w:sz w:val="20"/>
          <w:szCs w:val="20"/>
        </w:rPr>
        <w:t xml:space="preserve"> </w:t>
      </w:r>
      <w:r w:rsidR="00C022A6" w:rsidRPr="00C022A6">
        <w:rPr>
          <w:rFonts w:ascii="Arial" w:eastAsia="TimesNewRomanPSMT" w:hAnsi="Arial" w:cs="Arial"/>
          <w:kern w:val="0"/>
          <w:sz w:val="20"/>
          <w:szCs w:val="20"/>
        </w:rPr>
        <w:t>https://doi.org/10.37855/jah.2021.v23i03.52</w:t>
      </w:r>
    </w:p>
    <w:p w14:paraId="0CF5B72B" w14:textId="2196BDB6" w:rsidR="005D4480" w:rsidRPr="005D4480" w:rsidRDefault="005D4480" w:rsidP="005D4480">
      <w:pPr>
        <w:autoSpaceDE w:val="0"/>
        <w:autoSpaceDN w:val="0"/>
        <w:adjustRightInd w:val="0"/>
        <w:spacing w:after="0" w:line="360" w:lineRule="auto"/>
        <w:ind w:left="540" w:hanging="540"/>
        <w:jc w:val="both"/>
        <w:rPr>
          <w:rFonts w:ascii="Arial" w:eastAsia="TimesNewRomanPSMT" w:hAnsi="Arial" w:cs="Arial"/>
          <w:kern w:val="0"/>
          <w:sz w:val="20"/>
          <w:szCs w:val="20"/>
        </w:rPr>
      </w:pPr>
      <w:r w:rsidRPr="005D4480">
        <w:rPr>
          <w:rFonts w:ascii="Arial" w:eastAsia="TimesNewRomanPSMT" w:hAnsi="Arial" w:cs="Arial"/>
          <w:kern w:val="0"/>
          <w:sz w:val="20"/>
          <w:szCs w:val="20"/>
        </w:rPr>
        <w:t>World Food and Agriculture Statistical Yearbook (2024)</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Food and Agriculture Organization of the United Nations, Rome, 2024.</w:t>
      </w:r>
      <w:r w:rsidR="00C022A6">
        <w:rPr>
          <w:rFonts w:ascii="Arial" w:eastAsia="TimesNewRomanPSMT" w:hAnsi="Arial" w:cs="Arial"/>
          <w:kern w:val="0"/>
          <w:sz w:val="20"/>
          <w:szCs w:val="20"/>
        </w:rPr>
        <w:t xml:space="preserve"> </w:t>
      </w:r>
      <w:r w:rsidR="00C022A6" w:rsidRPr="00C022A6">
        <w:rPr>
          <w:rFonts w:ascii="Arial" w:eastAsia="TimesNewRomanPSMT" w:hAnsi="Arial" w:cs="Arial"/>
          <w:kern w:val="0"/>
          <w:sz w:val="20"/>
          <w:szCs w:val="20"/>
        </w:rPr>
        <w:t>https://openknowledge.fao.org/server/api/core/bitstreams/d784864f-7f28-49d2-903e-6680d09a9d97/content/cd2971en.html</w:t>
      </w:r>
    </w:p>
    <w:p w14:paraId="6FDF4E6E" w14:textId="6665E240" w:rsidR="00166C3C" w:rsidRPr="003B2ABB" w:rsidRDefault="005D4480" w:rsidP="005D4480">
      <w:pPr>
        <w:autoSpaceDE w:val="0"/>
        <w:autoSpaceDN w:val="0"/>
        <w:adjustRightInd w:val="0"/>
        <w:spacing w:after="0" w:line="360" w:lineRule="auto"/>
        <w:ind w:left="540" w:hanging="540"/>
        <w:jc w:val="both"/>
        <w:rPr>
          <w:rFonts w:ascii="Arial" w:hAnsi="Arial" w:cs="Arial"/>
          <w:sz w:val="20"/>
          <w:szCs w:val="20"/>
        </w:rPr>
      </w:pPr>
      <w:r w:rsidRPr="005D4480">
        <w:rPr>
          <w:rFonts w:ascii="Arial" w:eastAsia="TimesNewRomanPSMT" w:hAnsi="Arial" w:cs="Arial"/>
          <w:kern w:val="0"/>
          <w:sz w:val="20"/>
          <w:szCs w:val="20"/>
        </w:rPr>
        <w:t>Weinberger, K., &amp; Lumpkin, T. A. (2007)</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Diversification into horticulture and poverty reduction: a research agenda</w:t>
      </w:r>
      <w:r w:rsidR="00E93C8D">
        <w:rPr>
          <w:rFonts w:ascii="Arial" w:eastAsia="TimesNewRomanPSMT" w:hAnsi="Arial" w:cs="Arial"/>
          <w:kern w:val="0"/>
          <w:sz w:val="20"/>
          <w:szCs w:val="20"/>
        </w:rPr>
        <w:t>,</w:t>
      </w:r>
      <w:r w:rsidRPr="005D4480">
        <w:rPr>
          <w:rFonts w:ascii="Arial" w:eastAsia="TimesNewRomanPSMT" w:hAnsi="Arial" w:cs="Arial"/>
          <w:kern w:val="0"/>
          <w:sz w:val="20"/>
          <w:szCs w:val="20"/>
        </w:rPr>
        <w:t xml:space="preserve"> </w:t>
      </w:r>
      <w:r w:rsidRPr="00E93C8D">
        <w:rPr>
          <w:rFonts w:ascii="Arial" w:eastAsia="TimesNewRomanPSMT" w:hAnsi="Arial" w:cs="Arial"/>
          <w:i/>
          <w:kern w:val="0"/>
          <w:sz w:val="20"/>
          <w:szCs w:val="20"/>
        </w:rPr>
        <w:t>World development</w:t>
      </w:r>
      <w:r w:rsidRPr="005D4480">
        <w:rPr>
          <w:rFonts w:ascii="Arial" w:eastAsia="TimesNewRomanPSMT" w:hAnsi="Arial" w:cs="Arial"/>
          <w:kern w:val="0"/>
          <w:sz w:val="20"/>
          <w:szCs w:val="20"/>
        </w:rPr>
        <w:t>, 35(8), 1464-1480.</w:t>
      </w:r>
      <w:r w:rsidR="00C022A6">
        <w:rPr>
          <w:rFonts w:ascii="Arial" w:eastAsia="TimesNewRomanPSMT" w:hAnsi="Arial" w:cs="Arial"/>
          <w:kern w:val="0"/>
          <w:sz w:val="20"/>
          <w:szCs w:val="20"/>
        </w:rPr>
        <w:t xml:space="preserve"> </w:t>
      </w:r>
      <w:r w:rsidR="00C022A6" w:rsidRPr="00C022A6">
        <w:rPr>
          <w:rFonts w:ascii="Arial" w:eastAsia="TimesNewRomanPSMT" w:hAnsi="Arial" w:cs="Arial"/>
          <w:kern w:val="0"/>
          <w:sz w:val="20"/>
          <w:szCs w:val="20"/>
        </w:rPr>
        <w:t>https://doi.org/10.1016/j.worlddev.2007.05.002</w:t>
      </w:r>
    </w:p>
    <w:sectPr w:rsidR="00166C3C" w:rsidRPr="003B2AB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39B1E" w14:textId="77777777" w:rsidR="00D90A4A" w:rsidRDefault="00D90A4A" w:rsidP="00502C47">
      <w:pPr>
        <w:spacing w:after="0" w:line="240" w:lineRule="auto"/>
      </w:pPr>
      <w:r>
        <w:separator/>
      </w:r>
    </w:p>
  </w:endnote>
  <w:endnote w:type="continuationSeparator" w:id="0">
    <w:p w14:paraId="7C29A838" w14:textId="77777777" w:rsidR="00D90A4A" w:rsidRDefault="00D90A4A" w:rsidP="0050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CD1D" w14:textId="77777777" w:rsidR="00D66AE4" w:rsidRDefault="00D66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F97B" w14:textId="77777777" w:rsidR="00D66AE4" w:rsidRDefault="00D66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C614" w14:textId="77777777" w:rsidR="00D66AE4" w:rsidRDefault="00D66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74F41" w14:textId="77777777" w:rsidR="00D90A4A" w:rsidRDefault="00D90A4A" w:rsidP="00502C47">
      <w:pPr>
        <w:spacing w:after="0" w:line="240" w:lineRule="auto"/>
      </w:pPr>
      <w:r>
        <w:separator/>
      </w:r>
    </w:p>
  </w:footnote>
  <w:footnote w:type="continuationSeparator" w:id="0">
    <w:p w14:paraId="42670361" w14:textId="77777777" w:rsidR="00D90A4A" w:rsidRDefault="00D90A4A" w:rsidP="0050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D7D4" w14:textId="01447486" w:rsidR="00D66AE4" w:rsidRDefault="00D90A4A">
    <w:pPr>
      <w:pStyle w:val="Header"/>
    </w:pPr>
    <w:r>
      <w:rPr>
        <w:noProof/>
      </w:rPr>
      <w:pict w14:anchorId="295A1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019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5BCB" w14:textId="34E12195" w:rsidR="00D66AE4" w:rsidRDefault="00D90A4A">
    <w:pPr>
      <w:pStyle w:val="Header"/>
    </w:pPr>
    <w:r>
      <w:rPr>
        <w:noProof/>
      </w:rPr>
      <w:pict w14:anchorId="7100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019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1F63" w14:textId="30D2A5F8" w:rsidR="00D66AE4" w:rsidRDefault="00D90A4A">
    <w:pPr>
      <w:pStyle w:val="Header"/>
    </w:pPr>
    <w:r>
      <w:rPr>
        <w:noProof/>
      </w:rPr>
      <w:pict w14:anchorId="7427A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019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C6C62"/>
    <w:multiLevelType w:val="hybridMultilevel"/>
    <w:tmpl w:val="118C6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71009"/>
    <w:multiLevelType w:val="hybridMultilevel"/>
    <w:tmpl w:val="DD12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32"/>
    <w:rsid w:val="00012721"/>
    <w:rsid w:val="0001682D"/>
    <w:rsid w:val="00022702"/>
    <w:rsid w:val="0002542C"/>
    <w:rsid w:val="000335C9"/>
    <w:rsid w:val="00040F00"/>
    <w:rsid w:val="00043460"/>
    <w:rsid w:val="000450FC"/>
    <w:rsid w:val="000476F9"/>
    <w:rsid w:val="00052DB6"/>
    <w:rsid w:val="0007575F"/>
    <w:rsid w:val="000814F9"/>
    <w:rsid w:val="00090E89"/>
    <w:rsid w:val="00095432"/>
    <w:rsid w:val="000A24CA"/>
    <w:rsid w:val="000A7E92"/>
    <w:rsid w:val="000D13B9"/>
    <w:rsid w:val="000E05A0"/>
    <w:rsid w:val="00105212"/>
    <w:rsid w:val="00127288"/>
    <w:rsid w:val="00137D8D"/>
    <w:rsid w:val="00150E53"/>
    <w:rsid w:val="001620D7"/>
    <w:rsid w:val="00166C3C"/>
    <w:rsid w:val="00174BAE"/>
    <w:rsid w:val="00175647"/>
    <w:rsid w:val="00183C2F"/>
    <w:rsid w:val="00193A46"/>
    <w:rsid w:val="001A53CF"/>
    <w:rsid w:val="001B6CC3"/>
    <w:rsid w:val="001D7FEE"/>
    <w:rsid w:val="001F740B"/>
    <w:rsid w:val="00212800"/>
    <w:rsid w:val="00216EB9"/>
    <w:rsid w:val="00253DCE"/>
    <w:rsid w:val="00282EBA"/>
    <w:rsid w:val="002C0864"/>
    <w:rsid w:val="002D23F4"/>
    <w:rsid w:val="002F4BDB"/>
    <w:rsid w:val="00336032"/>
    <w:rsid w:val="00354831"/>
    <w:rsid w:val="00354B86"/>
    <w:rsid w:val="003674BE"/>
    <w:rsid w:val="00373D7F"/>
    <w:rsid w:val="00377A88"/>
    <w:rsid w:val="00383F00"/>
    <w:rsid w:val="003900A7"/>
    <w:rsid w:val="00393B7C"/>
    <w:rsid w:val="003B2ABB"/>
    <w:rsid w:val="003B31FA"/>
    <w:rsid w:val="003B39C3"/>
    <w:rsid w:val="003C74AA"/>
    <w:rsid w:val="003D0A4D"/>
    <w:rsid w:val="003D7514"/>
    <w:rsid w:val="003E08CC"/>
    <w:rsid w:val="003F3780"/>
    <w:rsid w:val="00405E3F"/>
    <w:rsid w:val="00412CDD"/>
    <w:rsid w:val="004131A4"/>
    <w:rsid w:val="0042024E"/>
    <w:rsid w:val="00423967"/>
    <w:rsid w:val="004334CA"/>
    <w:rsid w:val="00441974"/>
    <w:rsid w:val="00443898"/>
    <w:rsid w:val="00454A94"/>
    <w:rsid w:val="00470FCF"/>
    <w:rsid w:val="004A030C"/>
    <w:rsid w:val="004F2DAB"/>
    <w:rsid w:val="004F4FEC"/>
    <w:rsid w:val="00500BF9"/>
    <w:rsid w:val="00502C47"/>
    <w:rsid w:val="00502FCF"/>
    <w:rsid w:val="00516745"/>
    <w:rsid w:val="005414BE"/>
    <w:rsid w:val="00541CFD"/>
    <w:rsid w:val="00544403"/>
    <w:rsid w:val="00563C75"/>
    <w:rsid w:val="0056786F"/>
    <w:rsid w:val="00574DED"/>
    <w:rsid w:val="00576424"/>
    <w:rsid w:val="005B0FC2"/>
    <w:rsid w:val="005B5CC8"/>
    <w:rsid w:val="005C2147"/>
    <w:rsid w:val="005D4480"/>
    <w:rsid w:val="005D48B1"/>
    <w:rsid w:val="005F2C96"/>
    <w:rsid w:val="005F43E0"/>
    <w:rsid w:val="005F7C01"/>
    <w:rsid w:val="00605762"/>
    <w:rsid w:val="00633304"/>
    <w:rsid w:val="00633796"/>
    <w:rsid w:val="00642C37"/>
    <w:rsid w:val="006455B1"/>
    <w:rsid w:val="006557BC"/>
    <w:rsid w:val="00656910"/>
    <w:rsid w:val="00665014"/>
    <w:rsid w:val="0067099C"/>
    <w:rsid w:val="0069786C"/>
    <w:rsid w:val="006B28C4"/>
    <w:rsid w:val="006C4FA8"/>
    <w:rsid w:val="00701F18"/>
    <w:rsid w:val="00720AFB"/>
    <w:rsid w:val="0073242D"/>
    <w:rsid w:val="00740196"/>
    <w:rsid w:val="00752BA7"/>
    <w:rsid w:val="007747EE"/>
    <w:rsid w:val="00795918"/>
    <w:rsid w:val="007B1459"/>
    <w:rsid w:val="007D2E9E"/>
    <w:rsid w:val="007D3955"/>
    <w:rsid w:val="007E42B2"/>
    <w:rsid w:val="007E6FDC"/>
    <w:rsid w:val="007F03A3"/>
    <w:rsid w:val="007F308D"/>
    <w:rsid w:val="008001E9"/>
    <w:rsid w:val="00801D79"/>
    <w:rsid w:val="00805027"/>
    <w:rsid w:val="00807D37"/>
    <w:rsid w:val="00820CF7"/>
    <w:rsid w:val="00846446"/>
    <w:rsid w:val="008506C7"/>
    <w:rsid w:val="0085422E"/>
    <w:rsid w:val="00857E9F"/>
    <w:rsid w:val="00863379"/>
    <w:rsid w:val="008F430C"/>
    <w:rsid w:val="00927473"/>
    <w:rsid w:val="00950867"/>
    <w:rsid w:val="0096696A"/>
    <w:rsid w:val="009969AC"/>
    <w:rsid w:val="00996AFC"/>
    <w:rsid w:val="009A0210"/>
    <w:rsid w:val="009A1499"/>
    <w:rsid w:val="009A2C77"/>
    <w:rsid w:val="009A417B"/>
    <w:rsid w:val="00A2427C"/>
    <w:rsid w:val="00A264A0"/>
    <w:rsid w:val="00A53E00"/>
    <w:rsid w:val="00A72D01"/>
    <w:rsid w:val="00A75D75"/>
    <w:rsid w:val="00A9612E"/>
    <w:rsid w:val="00AA2699"/>
    <w:rsid w:val="00AA5172"/>
    <w:rsid w:val="00AD0B1D"/>
    <w:rsid w:val="00AD2F10"/>
    <w:rsid w:val="00AE2D99"/>
    <w:rsid w:val="00B14963"/>
    <w:rsid w:val="00B2171F"/>
    <w:rsid w:val="00B61910"/>
    <w:rsid w:val="00B90CA4"/>
    <w:rsid w:val="00BB787E"/>
    <w:rsid w:val="00BD04E3"/>
    <w:rsid w:val="00BD3D26"/>
    <w:rsid w:val="00BE3882"/>
    <w:rsid w:val="00BE5C91"/>
    <w:rsid w:val="00C022A6"/>
    <w:rsid w:val="00C05E41"/>
    <w:rsid w:val="00C12248"/>
    <w:rsid w:val="00C128B8"/>
    <w:rsid w:val="00C343C0"/>
    <w:rsid w:val="00C4196C"/>
    <w:rsid w:val="00C62E68"/>
    <w:rsid w:val="00C64CDF"/>
    <w:rsid w:val="00C754F5"/>
    <w:rsid w:val="00C8282A"/>
    <w:rsid w:val="00CD09DB"/>
    <w:rsid w:val="00CD2515"/>
    <w:rsid w:val="00CD60DE"/>
    <w:rsid w:val="00CD7A2D"/>
    <w:rsid w:val="00CF1D91"/>
    <w:rsid w:val="00CF2BCE"/>
    <w:rsid w:val="00D35121"/>
    <w:rsid w:val="00D53C2E"/>
    <w:rsid w:val="00D56C8C"/>
    <w:rsid w:val="00D61227"/>
    <w:rsid w:val="00D66AE4"/>
    <w:rsid w:val="00D7349B"/>
    <w:rsid w:val="00D824E4"/>
    <w:rsid w:val="00D90A4A"/>
    <w:rsid w:val="00D91162"/>
    <w:rsid w:val="00DD1934"/>
    <w:rsid w:val="00DF6F17"/>
    <w:rsid w:val="00E01559"/>
    <w:rsid w:val="00E0208D"/>
    <w:rsid w:val="00E15997"/>
    <w:rsid w:val="00E26A90"/>
    <w:rsid w:val="00E274FE"/>
    <w:rsid w:val="00E32919"/>
    <w:rsid w:val="00E37AE0"/>
    <w:rsid w:val="00E71283"/>
    <w:rsid w:val="00E91230"/>
    <w:rsid w:val="00E93C8D"/>
    <w:rsid w:val="00E97C79"/>
    <w:rsid w:val="00E97C7C"/>
    <w:rsid w:val="00EB4398"/>
    <w:rsid w:val="00EB5C70"/>
    <w:rsid w:val="00EC1A09"/>
    <w:rsid w:val="00EE07F7"/>
    <w:rsid w:val="00EF4831"/>
    <w:rsid w:val="00F02E41"/>
    <w:rsid w:val="00F034EC"/>
    <w:rsid w:val="00F320AD"/>
    <w:rsid w:val="00F35C0E"/>
    <w:rsid w:val="00F43C0D"/>
    <w:rsid w:val="00F4697E"/>
    <w:rsid w:val="00F47327"/>
    <w:rsid w:val="00F53000"/>
    <w:rsid w:val="00F548A6"/>
    <w:rsid w:val="00F830BD"/>
    <w:rsid w:val="00F92D6C"/>
    <w:rsid w:val="00F932BD"/>
    <w:rsid w:val="00F94F3E"/>
    <w:rsid w:val="00F9639F"/>
    <w:rsid w:val="00FA2538"/>
    <w:rsid w:val="00FB27D2"/>
    <w:rsid w:val="00FD2E4F"/>
    <w:rsid w:val="00FE0756"/>
    <w:rsid w:val="00FF0809"/>
    <w:rsid w:val="00FF1033"/>
    <w:rsid w:val="00FF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6C346"/>
  <w15:chartTrackingRefBased/>
  <w15:docId w15:val="{A05121A8-5177-49DA-8C16-55CDD267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432"/>
  </w:style>
  <w:style w:type="paragraph" w:styleId="Heading1">
    <w:name w:val="heading 1"/>
    <w:basedOn w:val="Normal"/>
    <w:next w:val="Normal"/>
    <w:link w:val="Heading1Char"/>
    <w:uiPriority w:val="9"/>
    <w:qFormat/>
    <w:rsid w:val="00095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32"/>
    <w:rPr>
      <w:rFonts w:eastAsiaTheme="majorEastAsia" w:cstheme="majorBidi"/>
      <w:color w:val="272727" w:themeColor="text1" w:themeTint="D8"/>
    </w:rPr>
  </w:style>
  <w:style w:type="paragraph" w:styleId="Title">
    <w:name w:val="Title"/>
    <w:basedOn w:val="Normal"/>
    <w:next w:val="Normal"/>
    <w:link w:val="TitleChar"/>
    <w:uiPriority w:val="10"/>
    <w:qFormat/>
    <w:rsid w:val="0009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32"/>
    <w:pPr>
      <w:spacing w:before="160"/>
      <w:jc w:val="center"/>
    </w:pPr>
    <w:rPr>
      <w:i/>
      <w:iCs/>
      <w:color w:val="404040" w:themeColor="text1" w:themeTint="BF"/>
    </w:rPr>
  </w:style>
  <w:style w:type="character" w:customStyle="1" w:styleId="QuoteChar">
    <w:name w:val="Quote Char"/>
    <w:basedOn w:val="DefaultParagraphFont"/>
    <w:link w:val="Quote"/>
    <w:uiPriority w:val="29"/>
    <w:rsid w:val="00095432"/>
    <w:rPr>
      <w:i/>
      <w:iCs/>
      <w:color w:val="404040" w:themeColor="text1" w:themeTint="BF"/>
    </w:rPr>
  </w:style>
  <w:style w:type="paragraph" w:styleId="ListParagraph">
    <w:name w:val="List Paragraph"/>
    <w:basedOn w:val="Normal"/>
    <w:uiPriority w:val="34"/>
    <w:qFormat/>
    <w:rsid w:val="00095432"/>
    <w:pPr>
      <w:ind w:left="720"/>
      <w:contextualSpacing/>
    </w:pPr>
  </w:style>
  <w:style w:type="character" w:styleId="IntenseEmphasis">
    <w:name w:val="Intense Emphasis"/>
    <w:basedOn w:val="DefaultParagraphFont"/>
    <w:uiPriority w:val="21"/>
    <w:qFormat/>
    <w:rsid w:val="00095432"/>
    <w:rPr>
      <w:i/>
      <w:iCs/>
      <w:color w:val="2F5496" w:themeColor="accent1" w:themeShade="BF"/>
    </w:rPr>
  </w:style>
  <w:style w:type="paragraph" w:styleId="IntenseQuote">
    <w:name w:val="Intense Quote"/>
    <w:basedOn w:val="Normal"/>
    <w:next w:val="Normal"/>
    <w:link w:val="IntenseQuoteChar"/>
    <w:uiPriority w:val="30"/>
    <w:qFormat/>
    <w:rsid w:val="00095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432"/>
    <w:rPr>
      <w:i/>
      <w:iCs/>
      <w:color w:val="2F5496" w:themeColor="accent1" w:themeShade="BF"/>
    </w:rPr>
  </w:style>
  <w:style w:type="character" w:styleId="IntenseReference">
    <w:name w:val="Intense Reference"/>
    <w:basedOn w:val="DefaultParagraphFont"/>
    <w:uiPriority w:val="32"/>
    <w:qFormat/>
    <w:rsid w:val="00095432"/>
    <w:rPr>
      <w:b/>
      <w:bCs/>
      <w:smallCaps/>
      <w:color w:val="2F5496" w:themeColor="accent1" w:themeShade="BF"/>
      <w:spacing w:val="5"/>
    </w:rPr>
  </w:style>
  <w:style w:type="character" w:styleId="Hyperlink">
    <w:name w:val="Hyperlink"/>
    <w:basedOn w:val="DefaultParagraphFont"/>
    <w:uiPriority w:val="99"/>
    <w:unhideWhenUsed/>
    <w:rsid w:val="007F03A3"/>
    <w:rPr>
      <w:color w:val="0563C1" w:themeColor="hyperlink"/>
      <w:u w:val="single"/>
    </w:rPr>
  </w:style>
  <w:style w:type="table" w:styleId="TableGrid">
    <w:name w:val="Table Grid"/>
    <w:basedOn w:val="TableNormal"/>
    <w:uiPriority w:val="39"/>
    <w:rsid w:val="007F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6C3C"/>
    <w:rPr>
      <w:rFonts w:ascii="Times New Roman" w:hAnsi="Times New Roman" w:cs="Times New Roman"/>
    </w:rPr>
  </w:style>
  <w:style w:type="character" w:styleId="UnresolvedMention">
    <w:name w:val="Unresolved Mention"/>
    <w:basedOn w:val="DefaultParagraphFont"/>
    <w:uiPriority w:val="99"/>
    <w:semiHidden/>
    <w:unhideWhenUsed/>
    <w:rsid w:val="00166C3C"/>
    <w:rPr>
      <w:color w:val="605E5C"/>
      <w:shd w:val="clear" w:color="auto" w:fill="E1DFDD"/>
    </w:rPr>
  </w:style>
  <w:style w:type="character" w:styleId="FollowedHyperlink">
    <w:name w:val="FollowedHyperlink"/>
    <w:basedOn w:val="DefaultParagraphFont"/>
    <w:uiPriority w:val="99"/>
    <w:semiHidden/>
    <w:unhideWhenUsed/>
    <w:rsid w:val="00022702"/>
    <w:rPr>
      <w:color w:val="954F72" w:themeColor="followedHyperlink"/>
      <w:u w:val="single"/>
    </w:rPr>
  </w:style>
  <w:style w:type="paragraph" w:styleId="BalloonText">
    <w:name w:val="Balloon Text"/>
    <w:basedOn w:val="Normal"/>
    <w:link w:val="BalloonTextChar"/>
    <w:uiPriority w:val="99"/>
    <w:semiHidden/>
    <w:unhideWhenUsed/>
    <w:rsid w:val="006C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FA8"/>
    <w:rPr>
      <w:rFonts w:ascii="Segoe UI" w:hAnsi="Segoe UI" w:cs="Segoe UI"/>
      <w:sz w:val="18"/>
      <w:szCs w:val="18"/>
    </w:rPr>
  </w:style>
  <w:style w:type="paragraph" w:styleId="Header">
    <w:name w:val="header"/>
    <w:basedOn w:val="Normal"/>
    <w:link w:val="HeaderChar"/>
    <w:uiPriority w:val="99"/>
    <w:unhideWhenUsed/>
    <w:rsid w:val="0050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C47"/>
  </w:style>
  <w:style w:type="paragraph" w:styleId="Footer">
    <w:name w:val="footer"/>
    <w:basedOn w:val="Normal"/>
    <w:link w:val="FooterChar"/>
    <w:uiPriority w:val="99"/>
    <w:unhideWhenUsed/>
    <w:rsid w:val="0050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C47"/>
  </w:style>
  <w:style w:type="paragraph" w:styleId="NoSpacing">
    <w:name w:val="No Spacing"/>
    <w:uiPriority w:val="1"/>
    <w:qFormat/>
    <w:rsid w:val="00412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1200">
      <w:bodyDiv w:val="1"/>
      <w:marLeft w:val="0"/>
      <w:marRight w:val="0"/>
      <w:marTop w:val="0"/>
      <w:marBottom w:val="0"/>
      <w:divBdr>
        <w:top w:val="none" w:sz="0" w:space="0" w:color="auto"/>
        <w:left w:val="none" w:sz="0" w:space="0" w:color="auto"/>
        <w:bottom w:val="none" w:sz="0" w:space="0" w:color="auto"/>
        <w:right w:val="none" w:sz="0" w:space="0" w:color="auto"/>
      </w:divBdr>
    </w:div>
    <w:div w:id="97021798">
      <w:bodyDiv w:val="1"/>
      <w:marLeft w:val="0"/>
      <w:marRight w:val="0"/>
      <w:marTop w:val="0"/>
      <w:marBottom w:val="0"/>
      <w:divBdr>
        <w:top w:val="none" w:sz="0" w:space="0" w:color="auto"/>
        <w:left w:val="none" w:sz="0" w:space="0" w:color="auto"/>
        <w:bottom w:val="none" w:sz="0" w:space="0" w:color="auto"/>
        <w:right w:val="none" w:sz="0" w:space="0" w:color="auto"/>
      </w:divBdr>
    </w:div>
    <w:div w:id="108285447">
      <w:bodyDiv w:val="1"/>
      <w:marLeft w:val="0"/>
      <w:marRight w:val="0"/>
      <w:marTop w:val="0"/>
      <w:marBottom w:val="0"/>
      <w:divBdr>
        <w:top w:val="none" w:sz="0" w:space="0" w:color="auto"/>
        <w:left w:val="none" w:sz="0" w:space="0" w:color="auto"/>
        <w:bottom w:val="none" w:sz="0" w:space="0" w:color="auto"/>
        <w:right w:val="none" w:sz="0" w:space="0" w:color="auto"/>
      </w:divBdr>
    </w:div>
    <w:div w:id="190651345">
      <w:bodyDiv w:val="1"/>
      <w:marLeft w:val="0"/>
      <w:marRight w:val="0"/>
      <w:marTop w:val="0"/>
      <w:marBottom w:val="0"/>
      <w:divBdr>
        <w:top w:val="none" w:sz="0" w:space="0" w:color="auto"/>
        <w:left w:val="none" w:sz="0" w:space="0" w:color="auto"/>
        <w:bottom w:val="none" w:sz="0" w:space="0" w:color="auto"/>
        <w:right w:val="none" w:sz="0" w:space="0" w:color="auto"/>
      </w:divBdr>
    </w:div>
    <w:div w:id="210967986">
      <w:bodyDiv w:val="1"/>
      <w:marLeft w:val="0"/>
      <w:marRight w:val="0"/>
      <w:marTop w:val="0"/>
      <w:marBottom w:val="0"/>
      <w:divBdr>
        <w:top w:val="none" w:sz="0" w:space="0" w:color="auto"/>
        <w:left w:val="none" w:sz="0" w:space="0" w:color="auto"/>
        <w:bottom w:val="none" w:sz="0" w:space="0" w:color="auto"/>
        <w:right w:val="none" w:sz="0" w:space="0" w:color="auto"/>
      </w:divBdr>
    </w:div>
    <w:div w:id="257757146">
      <w:bodyDiv w:val="1"/>
      <w:marLeft w:val="0"/>
      <w:marRight w:val="0"/>
      <w:marTop w:val="0"/>
      <w:marBottom w:val="0"/>
      <w:divBdr>
        <w:top w:val="none" w:sz="0" w:space="0" w:color="auto"/>
        <w:left w:val="none" w:sz="0" w:space="0" w:color="auto"/>
        <w:bottom w:val="none" w:sz="0" w:space="0" w:color="auto"/>
        <w:right w:val="none" w:sz="0" w:space="0" w:color="auto"/>
      </w:divBdr>
    </w:div>
    <w:div w:id="324749782">
      <w:bodyDiv w:val="1"/>
      <w:marLeft w:val="0"/>
      <w:marRight w:val="0"/>
      <w:marTop w:val="0"/>
      <w:marBottom w:val="0"/>
      <w:divBdr>
        <w:top w:val="none" w:sz="0" w:space="0" w:color="auto"/>
        <w:left w:val="none" w:sz="0" w:space="0" w:color="auto"/>
        <w:bottom w:val="none" w:sz="0" w:space="0" w:color="auto"/>
        <w:right w:val="none" w:sz="0" w:space="0" w:color="auto"/>
      </w:divBdr>
    </w:div>
    <w:div w:id="371081955">
      <w:bodyDiv w:val="1"/>
      <w:marLeft w:val="0"/>
      <w:marRight w:val="0"/>
      <w:marTop w:val="0"/>
      <w:marBottom w:val="0"/>
      <w:divBdr>
        <w:top w:val="none" w:sz="0" w:space="0" w:color="auto"/>
        <w:left w:val="none" w:sz="0" w:space="0" w:color="auto"/>
        <w:bottom w:val="none" w:sz="0" w:space="0" w:color="auto"/>
        <w:right w:val="none" w:sz="0" w:space="0" w:color="auto"/>
      </w:divBdr>
    </w:div>
    <w:div w:id="377322751">
      <w:bodyDiv w:val="1"/>
      <w:marLeft w:val="0"/>
      <w:marRight w:val="0"/>
      <w:marTop w:val="0"/>
      <w:marBottom w:val="0"/>
      <w:divBdr>
        <w:top w:val="none" w:sz="0" w:space="0" w:color="auto"/>
        <w:left w:val="none" w:sz="0" w:space="0" w:color="auto"/>
        <w:bottom w:val="none" w:sz="0" w:space="0" w:color="auto"/>
        <w:right w:val="none" w:sz="0" w:space="0" w:color="auto"/>
      </w:divBdr>
    </w:div>
    <w:div w:id="551581388">
      <w:bodyDiv w:val="1"/>
      <w:marLeft w:val="0"/>
      <w:marRight w:val="0"/>
      <w:marTop w:val="0"/>
      <w:marBottom w:val="0"/>
      <w:divBdr>
        <w:top w:val="none" w:sz="0" w:space="0" w:color="auto"/>
        <w:left w:val="none" w:sz="0" w:space="0" w:color="auto"/>
        <w:bottom w:val="none" w:sz="0" w:space="0" w:color="auto"/>
        <w:right w:val="none" w:sz="0" w:space="0" w:color="auto"/>
      </w:divBdr>
    </w:div>
    <w:div w:id="595401549">
      <w:bodyDiv w:val="1"/>
      <w:marLeft w:val="0"/>
      <w:marRight w:val="0"/>
      <w:marTop w:val="0"/>
      <w:marBottom w:val="0"/>
      <w:divBdr>
        <w:top w:val="none" w:sz="0" w:space="0" w:color="auto"/>
        <w:left w:val="none" w:sz="0" w:space="0" w:color="auto"/>
        <w:bottom w:val="none" w:sz="0" w:space="0" w:color="auto"/>
        <w:right w:val="none" w:sz="0" w:space="0" w:color="auto"/>
      </w:divBdr>
    </w:div>
    <w:div w:id="865993093">
      <w:bodyDiv w:val="1"/>
      <w:marLeft w:val="0"/>
      <w:marRight w:val="0"/>
      <w:marTop w:val="0"/>
      <w:marBottom w:val="0"/>
      <w:divBdr>
        <w:top w:val="none" w:sz="0" w:space="0" w:color="auto"/>
        <w:left w:val="none" w:sz="0" w:space="0" w:color="auto"/>
        <w:bottom w:val="none" w:sz="0" w:space="0" w:color="auto"/>
        <w:right w:val="none" w:sz="0" w:space="0" w:color="auto"/>
      </w:divBdr>
    </w:div>
    <w:div w:id="958531984">
      <w:bodyDiv w:val="1"/>
      <w:marLeft w:val="0"/>
      <w:marRight w:val="0"/>
      <w:marTop w:val="0"/>
      <w:marBottom w:val="0"/>
      <w:divBdr>
        <w:top w:val="none" w:sz="0" w:space="0" w:color="auto"/>
        <w:left w:val="none" w:sz="0" w:space="0" w:color="auto"/>
        <w:bottom w:val="none" w:sz="0" w:space="0" w:color="auto"/>
        <w:right w:val="none" w:sz="0" w:space="0" w:color="auto"/>
      </w:divBdr>
    </w:div>
    <w:div w:id="986126145">
      <w:bodyDiv w:val="1"/>
      <w:marLeft w:val="0"/>
      <w:marRight w:val="0"/>
      <w:marTop w:val="0"/>
      <w:marBottom w:val="0"/>
      <w:divBdr>
        <w:top w:val="none" w:sz="0" w:space="0" w:color="auto"/>
        <w:left w:val="none" w:sz="0" w:space="0" w:color="auto"/>
        <w:bottom w:val="none" w:sz="0" w:space="0" w:color="auto"/>
        <w:right w:val="none" w:sz="0" w:space="0" w:color="auto"/>
      </w:divBdr>
    </w:div>
    <w:div w:id="1466969974">
      <w:bodyDiv w:val="1"/>
      <w:marLeft w:val="0"/>
      <w:marRight w:val="0"/>
      <w:marTop w:val="0"/>
      <w:marBottom w:val="0"/>
      <w:divBdr>
        <w:top w:val="none" w:sz="0" w:space="0" w:color="auto"/>
        <w:left w:val="none" w:sz="0" w:space="0" w:color="auto"/>
        <w:bottom w:val="none" w:sz="0" w:space="0" w:color="auto"/>
        <w:right w:val="none" w:sz="0" w:space="0" w:color="auto"/>
      </w:divBdr>
    </w:div>
    <w:div w:id="1488280498">
      <w:bodyDiv w:val="1"/>
      <w:marLeft w:val="0"/>
      <w:marRight w:val="0"/>
      <w:marTop w:val="0"/>
      <w:marBottom w:val="0"/>
      <w:divBdr>
        <w:top w:val="none" w:sz="0" w:space="0" w:color="auto"/>
        <w:left w:val="none" w:sz="0" w:space="0" w:color="auto"/>
        <w:bottom w:val="none" w:sz="0" w:space="0" w:color="auto"/>
        <w:right w:val="none" w:sz="0" w:space="0" w:color="auto"/>
      </w:divBdr>
    </w:div>
    <w:div w:id="1493331859">
      <w:bodyDiv w:val="1"/>
      <w:marLeft w:val="0"/>
      <w:marRight w:val="0"/>
      <w:marTop w:val="0"/>
      <w:marBottom w:val="0"/>
      <w:divBdr>
        <w:top w:val="none" w:sz="0" w:space="0" w:color="auto"/>
        <w:left w:val="none" w:sz="0" w:space="0" w:color="auto"/>
        <w:bottom w:val="none" w:sz="0" w:space="0" w:color="auto"/>
        <w:right w:val="none" w:sz="0" w:space="0" w:color="auto"/>
      </w:divBdr>
    </w:div>
    <w:div w:id="1506553214">
      <w:bodyDiv w:val="1"/>
      <w:marLeft w:val="0"/>
      <w:marRight w:val="0"/>
      <w:marTop w:val="0"/>
      <w:marBottom w:val="0"/>
      <w:divBdr>
        <w:top w:val="none" w:sz="0" w:space="0" w:color="auto"/>
        <w:left w:val="none" w:sz="0" w:space="0" w:color="auto"/>
        <w:bottom w:val="none" w:sz="0" w:space="0" w:color="auto"/>
        <w:right w:val="none" w:sz="0" w:space="0" w:color="auto"/>
      </w:divBdr>
    </w:div>
    <w:div w:id="1532571751">
      <w:bodyDiv w:val="1"/>
      <w:marLeft w:val="0"/>
      <w:marRight w:val="0"/>
      <w:marTop w:val="0"/>
      <w:marBottom w:val="0"/>
      <w:divBdr>
        <w:top w:val="none" w:sz="0" w:space="0" w:color="auto"/>
        <w:left w:val="none" w:sz="0" w:space="0" w:color="auto"/>
        <w:bottom w:val="none" w:sz="0" w:space="0" w:color="auto"/>
        <w:right w:val="none" w:sz="0" w:space="0" w:color="auto"/>
      </w:divBdr>
    </w:div>
    <w:div w:id="1761564853">
      <w:bodyDiv w:val="1"/>
      <w:marLeft w:val="0"/>
      <w:marRight w:val="0"/>
      <w:marTop w:val="0"/>
      <w:marBottom w:val="0"/>
      <w:divBdr>
        <w:top w:val="none" w:sz="0" w:space="0" w:color="auto"/>
        <w:left w:val="none" w:sz="0" w:space="0" w:color="auto"/>
        <w:bottom w:val="none" w:sz="0" w:space="0" w:color="auto"/>
        <w:right w:val="none" w:sz="0" w:space="0" w:color="auto"/>
      </w:divBdr>
    </w:div>
    <w:div w:id="1876967920">
      <w:bodyDiv w:val="1"/>
      <w:marLeft w:val="0"/>
      <w:marRight w:val="0"/>
      <w:marTop w:val="0"/>
      <w:marBottom w:val="0"/>
      <w:divBdr>
        <w:top w:val="none" w:sz="0" w:space="0" w:color="auto"/>
        <w:left w:val="none" w:sz="0" w:space="0" w:color="auto"/>
        <w:bottom w:val="none" w:sz="0" w:space="0" w:color="auto"/>
        <w:right w:val="none" w:sz="0" w:space="0" w:color="auto"/>
      </w:divBdr>
    </w:div>
    <w:div w:id="1956515721">
      <w:bodyDiv w:val="1"/>
      <w:marLeft w:val="0"/>
      <w:marRight w:val="0"/>
      <w:marTop w:val="0"/>
      <w:marBottom w:val="0"/>
      <w:divBdr>
        <w:top w:val="none" w:sz="0" w:space="0" w:color="auto"/>
        <w:left w:val="none" w:sz="0" w:space="0" w:color="auto"/>
        <w:bottom w:val="none" w:sz="0" w:space="0" w:color="auto"/>
        <w:right w:val="none" w:sz="0" w:space="0" w:color="auto"/>
      </w:divBdr>
    </w:div>
    <w:div w:id="20685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dx.doi.org/10.18805/ag.R-269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cd.gov.in/uploads/Agricultural_Statisitcs_at_a_Glance_2024_25_11da3cd37d.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dge.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c8c8ff7054efa87/Desktop/Doctoral%20work%20on%20Vegetables/Ph.D.%20Research%20paper%20materials/Cabbage_export_val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c8c8ff7054efa87/Desktop/Doctoral%20work%20on%20Vegetables/Ph.D.%20Research%20paper%20materials/Cabbage_export_valu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ec8c8ff7054efa87/Desktop/Doctoral%20work%20on%20Vegetables/Ph.D.%20Research%20paper%20materials/Cabbage_export_valu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Sheet19!$Q$5:$Q$6</c:f>
              <c:strCache>
                <c:ptCount val="2"/>
                <c:pt idx="0">
                  <c:v>Average Contribution (%)</c:v>
                </c:pt>
                <c:pt idx="1">
                  <c:v>Area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2.3767082590612004E-3"/>
                  <c:y val="-8.1457663451232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7-45D6-84F5-D5085846B849}"/>
                </c:ext>
              </c:extLst>
            </c:dLbl>
            <c:dLbl>
              <c:idx val="3"/>
              <c:layout>
                <c:manualLayout>
                  <c:x val="-2.3767082590612004E-3"/>
                  <c:y val="-6.002143622722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F7-45D6-84F5-D5085846B849}"/>
                </c:ext>
              </c:extLst>
            </c:dLbl>
            <c:dLbl>
              <c:idx val="4"/>
              <c:layout>
                <c:manualLayout>
                  <c:x val="-4.7534165181224875E-3"/>
                  <c:y val="-4.7159699892818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7-45D6-84F5-D5085846B84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Sheet19!$P$7:$P$12</c:f>
              <c:strCache>
                <c:ptCount val="6"/>
                <c:pt idx="0">
                  <c:v>Fruits</c:v>
                </c:pt>
                <c:pt idx="1">
                  <c:v>Vegetables</c:v>
                </c:pt>
                <c:pt idx="2">
                  <c:v>Flowers</c:v>
                </c:pt>
                <c:pt idx="3">
                  <c:v>Aromatic</c:v>
                </c:pt>
                <c:pt idx="4">
                  <c:v>Plantation</c:v>
                </c:pt>
                <c:pt idx="5">
                  <c:v>Spices</c:v>
                </c:pt>
              </c:strCache>
            </c:strRef>
          </c:cat>
          <c:val>
            <c:numRef>
              <c:f>Sheet19!$Q$7:$Q$12</c:f>
              <c:numCache>
                <c:formatCode>General</c:formatCode>
                <c:ptCount val="6"/>
                <c:pt idx="0">
                  <c:v>26.2</c:v>
                </c:pt>
                <c:pt idx="1">
                  <c:v>39.68</c:v>
                </c:pt>
                <c:pt idx="2">
                  <c:v>1.1299999999999999</c:v>
                </c:pt>
                <c:pt idx="3">
                  <c:v>2.5099999999999998</c:v>
                </c:pt>
                <c:pt idx="4">
                  <c:v>15.33</c:v>
                </c:pt>
                <c:pt idx="5">
                  <c:v>15.14</c:v>
                </c:pt>
              </c:numCache>
            </c:numRef>
          </c:val>
          <c:smooth val="0"/>
          <c:extLst>
            <c:ext xmlns:c16="http://schemas.microsoft.com/office/drawing/2014/chart" uri="{C3380CC4-5D6E-409C-BE32-E72D297353CC}">
              <c16:uniqueId val="{00000000-0689-479E-849B-843A317326CA}"/>
            </c:ext>
          </c:extLst>
        </c:ser>
        <c:ser>
          <c:idx val="1"/>
          <c:order val="1"/>
          <c:tx>
            <c:strRef>
              <c:f>Sheet19!$R$5:$R$6</c:f>
              <c:strCache>
                <c:ptCount val="2"/>
                <c:pt idx="0">
                  <c:v>Average Contribution (%)</c:v>
                </c:pt>
                <c:pt idx="1">
                  <c:v>Production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Sheet19!$P$7:$P$12</c:f>
              <c:strCache>
                <c:ptCount val="6"/>
                <c:pt idx="0">
                  <c:v>Fruits</c:v>
                </c:pt>
                <c:pt idx="1">
                  <c:v>Vegetables</c:v>
                </c:pt>
                <c:pt idx="2">
                  <c:v>Flowers</c:v>
                </c:pt>
                <c:pt idx="3">
                  <c:v>Aromatic</c:v>
                </c:pt>
                <c:pt idx="4">
                  <c:v>Plantation</c:v>
                </c:pt>
                <c:pt idx="5">
                  <c:v>Spices</c:v>
                </c:pt>
              </c:strCache>
            </c:strRef>
          </c:cat>
          <c:val>
            <c:numRef>
              <c:f>Sheet19!$R$7:$R$12</c:f>
              <c:numCache>
                <c:formatCode>General</c:formatCode>
                <c:ptCount val="6"/>
                <c:pt idx="0">
                  <c:v>31.11</c:v>
                </c:pt>
                <c:pt idx="1">
                  <c:v>59.48</c:v>
                </c:pt>
                <c:pt idx="2">
                  <c:v>0.83</c:v>
                </c:pt>
                <c:pt idx="3">
                  <c:v>0.26</c:v>
                </c:pt>
                <c:pt idx="4">
                  <c:v>5.45</c:v>
                </c:pt>
                <c:pt idx="5">
                  <c:v>2.83</c:v>
                </c:pt>
              </c:numCache>
            </c:numRef>
          </c:val>
          <c:smooth val="0"/>
          <c:extLst>
            <c:ext xmlns:c16="http://schemas.microsoft.com/office/drawing/2014/chart" uri="{C3380CC4-5D6E-409C-BE32-E72D297353CC}">
              <c16:uniqueId val="{00000001-0689-479E-849B-843A317326CA}"/>
            </c:ext>
          </c:extLst>
        </c:ser>
        <c:dLbls>
          <c:showLegendKey val="0"/>
          <c:showVal val="0"/>
          <c:showCatName val="0"/>
          <c:showSerName val="0"/>
          <c:showPercent val="0"/>
          <c:showBubbleSize val="0"/>
        </c:dLbls>
        <c:marker val="1"/>
        <c:smooth val="0"/>
        <c:axId val="1305246128"/>
        <c:axId val="1305247088"/>
      </c:lineChart>
      <c:catAx>
        <c:axId val="130524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5247088"/>
        <c:crosses val="autoZero"/>
        <c:auto val="1"/>
        <c:lblAlgn val="ctr"/>
        <c:lblOffset val="100"/>
        <c:noMultiLvlLbl val="0"/>
      </c:catAx>
      <c:valAx>
        <c:axId val="1305247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524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Sheet21!$B$1</c:f>
              <c:strCache>
                <c:ptCount val="1"/>
                <c:pt idx="0">
                  <c:v>India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exp"/>
            <c:dispRSqr val="0"/>
            <c:dispEq val="0"/>
          </c:trendline>
          <c:trendline>
            <c:spPr>
              <a:ln w="19050" cap="rnd">
                <a:solidFill>
                  <a:schemeClr val="accent1"/>
                </a:solidFill>
                <a:prstDash val="sysDot"/>
              </a:ln>
              <a:effectLst/>
            </c:spPr>
            <c:trendlineType val="exp"/>
            <c:dispRSqr val="1"/>
            <c:dispEq val="1"/>
            <c:trendlineLbl>
              <c:layout>
                <c:manualLayout>
                  <c:x val="-0.10932699037620297"/>
                  <c:y val="-7.4688684747739889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cat>
            <c:strRef>
              <c:f>Sheet21!$A$2:$A$12</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Sheet21!$B$2:$B$12</c:f>
              <c:numCache>
                <c:formatCode>General</c:formatCode>
                <c:ptCount val="11"/>
                <c:pt idx="0">
                  <c:v>8530</c:v>
                </c:pt>
                <c:pt idx="1">
                  <c:v>9040</c:v>
                </c:pt>
                <c:pt idx="2">
                  <c:v>8590</c:v>
                </c:pt>
                <c:pt idx="3">
                  <c:v>8810</c:v>
                </c:pt>
                <c:pt idx="4">
                  <c:v>8810</c:v>
                </c:pt>
                <c:pt idx="5">
                  <c:v>9040</c:v>
                </c:pt>
                <c:pt idx="6">
                  <c:v>9130</c:v>
                </c:pt>
                <c:pt idx="7">
                  <c:v>9270</c:v>
                </c:pt>
                <c:pt idx="8">
                  <c:v>9560</c:v>
                </c:pt>
                <c:pt idx="9">
                  <c:v>9830</c:v>
                </c:pt>
                <c:pt idx="10">
                  <c:v>10050</c:v>
                </c:pt>
              </c:numCache>
            </c:numRef>
          </c:val>
          <c:smooth val="0"/>
          <c:extLst>
            <c:ext xmlns:c16="http://schemas.microsoft.com/office/drawing/2014/chart" uri="{C3380CC4-5D6E-409C-BE32-E72D297353CC}">
              <c16:uniqueId val="{00000003-B70A-4D69-A915-3B4675A3E630}"/>
            </c:ext>
          </c:extLst>
        </c:ser>
        <c:dLbls>
          <c:showLegendKey val="0"/>
          <c:showVal val="0"/>
          <c:showCatName val="0"/>
          <c:showSerName val="0"/>
          <c:showPercent val="0"/>
          <c:showBubbleSize val="0"/>
        </c:dLbls>
        <c:marker val="1"/>
        <c:smooth val="0"/>
        <c:axId val="1923589327"/>
        <c:axId val="1923594127"/>
      </c:lineChart>
      <c:catAx>
        <c:axId val="1923589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23594127"/>
        <c:crosses val="autoZero"/>
        <c:auto val="1"/>
        <c:lblAlgn val="ctr"/>
        <c:lblOffset val="100"/>
        <c:noMultiLvlLbl val="0"/>
      </c:catAx>
      <c:valAx>
        <c:axId val="19235941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23589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Sheet17!$B$1:$B$2</c:f>
              <c:strCache>
                <c:ptCount val="2"/>
                <c:pt idx="0">
                  <c:v>Area</c:v>
                </c:pt>
                <c:pt idx="1">
                  <c:v>(In '000 Hectare)</c:v>
                </c:pt>
              </c:strCache>
            </c:strRef>
          </c:tx>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trendline>
            <c:spPr>
              <a:ln w="19050" cap="rnd">
                <a:solidFill>
                  <a:schemeClr val="accent1"/>
                </a:solidFill>
              </a:ln>
              <a:effectLst/>
            </c:spPr>
            <c:trendlineType val="linear"/>
            <c:dispRSqr val="0"/>
            <c:dispEq val="0"/>
          </c:trendline>
          <c:trendline>
            <c:spPr>
              <a:ln w="19050" cap="rnd">
                <a:solidFill>
                  <a:schemeClr val="accent1"/>
                </a:solidFill>
              </a:ln>
              <a:effectLst/>
            </c:spPr>
            <c:trendlineType val="linear"/>
            <c:dispRSqr val="1"/>
            <c:dispEq val="1"/>
            <c:trendlineLbl>
              <c:layout>
                <c:manualLayout>
                  <c:x val="9.1867454068241469E-2"/>
                  <c:y val="-4.044291338582677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strRef>
              <c:f>Sheet17!$A$3:$A$27</c:f>
              <c:strCache>
                <c:ptCount val="25"/>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pt idx="22">
                  <c:v>2022-2023</c:v>
                </c:pt>
                <c:pt idx="23">
                  <c:v>2023-2024</c:v>
                </c:pt>
                <c:pt idx="24">
                  <c:v>2024-25</c:v>
                </c:pt>
              </c:strCache>
            </c:strRef>
          </c:xVal>
          <c:yVal>
            <c:numRef>
              <c:f>Sheet17!$B$3:$B$27</c:f>
              <c:numCache>
                <c:formatCode>General</c:formatCode>
                <c:ptCount val="25"/>
                <c:pt idx="0">
                  <c:v>245.4</c:v>
                </c:pt>
                <c:pt idx="1">
                  <c:v>258.10000000000002</c:v>
                </c:pt>
                <c:pt idx="2">
                  <c:v>233.8</c:v>
                </c:pt>
                <c:pt idx="3">
                  <c:v>255.1</c:v>
                </c:pt>
                <c:pt idx="4">
                  <c:v>287.8</c:v>
                </c:pt>
                <c:pt idx="5">
                  <c:v>253.5</c:v>
                </c:pt>
                <c:pt idx="6">
                  <c:v>249</c:v>
                </c:pt>
                <c:pt idx="7">
                  <c:v>266</c:v>
                </c:pt>
                <c:pt idx="8">
                  <c:v>310</c:v>
                </c:pt>
                <c:pt idx="9">
                  <c:v>331</c:v>
                </c:pt>
                <c:pt idx="10">
                  <c:v>368.8</c:v>
                </c:pt>
                <c:pt idx="11">
                  <c:v>389.6</c:v>
                </c:pt>
                <c:pt idx="12">
                  <c:v>372.4</c:v>
                </c:pt>
                <c:pt idx="13">
                  <c:v>400.1</c:v>
                </c:pt>
                <c:pt idx="14">
                  <c:v>385.6</c:v>
                </c:pt>
                <c:pt idx="15">
                  <c:v>394</c:v>
                </c:pt>
                <c:pt idx="16">
                  <c:v>395</c:v>
                </c:pt>
                <c:pt idx="17">
                  <c:v>399</c:v>
                </c:pt>
                <c:pt idx="18">
                  <c:v>400</c:v>
                </c:pt>
                <c:pt idx="19">
                  <c:v>401</c:v>
                </c:pt>
                <c:pt idx="20">
                  <c:v>412.4</c:v>
                </c:pt>
                <c:pt idx="21">
                  <c:v>423.41</c:v>
                </c:pt>
                <c:pt idx="22">
                  <c:v>432.68</c:v>
                </c:pt>
                <c:pt idx="23">
                  <c:v>442.33</c:v>
                </c:pt>
                <c:pt idx="24">
                  <c:v>454.16</c:v>
                </c:pt>
              </c:numCache>
            </c:numRef>
          </c:yVal>
          <c:smooth val="1"/>
          <c:extLst>
            <c:ext xmlns:c16="http://schemas.microsoft.com/office/drawing/2014/chart" uri="{C3380CC4-5D6E-409C-BE32-E72D297353CC}">
              <c16:uniqueId val="{00000002-4EE8-4200-82AC-621E0A062F37}"/>
            </c:ext>
          </c:extLst>
        </c:ser>
        <c:ser>
          <c:idx val="1"/>
          <c:order val="1"/>
          <c:tx>
            <c:strRef>
              <c:f>Sheet17!$C$1:$C$2</c:f>
              <c:strCache>
                <c:ptCount val="2"/>
                <c:pt idx="0">
                  <c:v>Production</c:v>
                </c:pt>
                <c:pt idx="1">
                  <c:v>(In '000 MT)</c:v>
                </c:pt>
              </c:strCache>
            </c:strRef>
          </c:tx>
          <c:spPr>
            <a:ln w="9525"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rnd">
                <a:solidFill>
                  <a:schemeClr val="accent2"/>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trendline>
            <c:spPr>
              <a:ln w="19050" cap="rnd">
                <a:solidFill>
                  <a:schemeClr val="accent2"/>
                </a:solidFill>
              </a:ln>
              <a:effectLst/>
            </c:spPr>
            <c:trendlineType val="linear"/>
            <c:dispRSqr val="1"/>
            <c:dispEq val="1"/>
            <c:trendlineLbl>
              <c:layout>
                <c:manualLayout>
                  <c:x val="0.15040834569591835"/>
                  <c:y val="0.11302681992337164"/>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strRef>
              <c:f>Sheet17!$A$3:$A$27</c:f>
              <c:strCache>
                <c:ptCount val="25"/>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pt idx="22">
                  <c:v>2022-2023</c:v>
                </c:pt>
                <c:pt idx="23">
                  <c:v>2023-2024</c:v>
                </c:pt>
                <c:pt idx="24">
                  <c:v>2024-25</c:v>
                </c:pt>
              </c:strCache>
            </c:strRef>
          </c:xVal>
          <c:yVal>
            <c:numRef>
              <c:f>Sheet17!$C$3:$C$27</c:f>
              <c:numCache>
                <c:formatCode>General</c:formatCode>
                <c:ptCount val="25"/>
                <c:pt idx="0">
                  <c:v>5506.5</c:v>
                </c:pt>
                <c:pt idx="1">
                  <c:v>5678.2</c:v>
                </c:pt>
                <c:pt idx="2">
                  <c:v>5392</c:v>
                </c:pt>
                <c:pt idx="3">
                  <c:v>5594.6</c:v>
                </c:pt>
                <c:pt idx="4">
                  <c:v>6113.5</c:v>
                </c:pt>
                <c:pt idx="5">
                  <c:v>5637.3</c:v>
                </c:pt>
                <c:pt idx="6">
                  <c:v>5584</c:v>
                </c:pt>
                <c:pt idx="7">
                  <c:v>5910</c:v>
                </c:pt>
                <c:pt idx="8">
                  <c:v>6870</c:v>
                </c:pt>
                <c:pt idx="9">
                  <c:v>7281.4</c:v>
                </c:pt>
                <c:pt idx="10">
                  <c:v>7949</c:v>
                </c:pt>
                <c:pt idx="11">
                  <c:v>8412.1</c:v>
                </c:pt>
                <c:pt idx="12">
                  <c:v>8534.2000000000007</c:v>
                </c:pt>
                <c:pt idx="13">
                  <c:v>9039.2000000000007</c:v>
                </c:pt>
                <c:pt idx="14">
                  <c:v>8584.7999999999993</c:v>
                </c:pt>
                <c:pt idx="15">
                  <c:v>8806</c:v>
                </c:pt>
                <c:pt idx="16">
                  <c:v>8807</c:v>
                </c:pt>
                <c:pt idx="17">
                  <c:v>9037</c:v>
                </c:pt>
                <c:pt idx="18">
                  <c:v>9127</c:v>
                </c:pt>
                <c:pt idx="19">
                  <c:v>9272</c:v>
                </c:pt>
                <c:pt idx="20">
                  <c:v>9560.01</c:v>
                </c:pt>
                <c:pt idx="21">
                  <c:v>9824.99</c:v>
                </c:pt>
                <c:pt idx="22">
                  <c:v>10048.620000000001</c:v>
                </c:pt>
                <c:pt idx="23">
                  <c:v>10431.700000000001</c:v>
                </c:pt>
                <c:pt idx="24">
                  <c:v>10516.19</c:v>
                </c:pt>
              </c:numCache>
            </c:numRef>
          </c:yVal>
          <c:smooth val="1"/>
          <c:extLst>
            <c:ext xmlns:c16="http://schemas.microsoft.com/office/drawing/2014/chart" uri="{C3380CC4-5D6E-409C-BE32-E72D297353CC}">
              <c16:uniqueId val="{00000004-4EE8-4200-82AC-621E0A062F37}"/>
            </c:ext>
          </c:extLst>
        </c:ser>
        <c:dLbls>
          <c:showLegendKey val="0"/>
          <c:showVal val="0"/>
          <c:showCatName val="0"/>
          <c:showSerName val="0"/>
          <c:showPercent val="0"/>
          <c:showBubbleSize val="0"/>
        </c:dLbls>
        <c:axId val="861229311"/>
        <c:axId val="861228831"/>
      </c:scatterChart>
      <c:valAx>
        <c:axId val="861229311"/>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61228831"/>
        <c:crosses val="autoZero"/>
        <c:crossBetween val="midCat"/>
      </c:valAx>
      <c:valAx>
        <c:axId val="861228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61229311"/>
        <c:crosses val="autoZero"/>
        <c:crossBetween val="midCat"/>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Shouvik Kar</dc:creator>
  <cp:keywords/>
  <dc:description/>
  <cp:lastModifiedBy>Editor-1183</cp:lastModifiedBy>
  <cp:revision>177</cp:revision>
  <cp:lastPrinted>2026-03-06T06:42:00Z</cp:lastPrinted>
  <dcterms:created xsi:type="dcterms:W3CDTF">2026-03-01T04:56:00Z</dcterms:created>
  <dcterms:modified xsi:type="dcterms:W3CDTF">2026-03-21T05:14:00Z</dcterms:modified>
</cp:coreProperties>
</file>