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94B3A" w14:textId="77777777" w:rsidR="00884AD1" w:rsidRDefault="00884AD1" w:rsidP="006B244B">
      <w:pPr>
        <w:spacing w:before="120" w:after="120" w:line="240" w:lineRule="auto"/>
        <w:jc w:val="both"/>
        <w:rPr>
          <w:rFonts w:ascii="Times New Roman" w:hAnsi="Times New Roman" w:cs="Times New Roman"/>
          <w:b/>
          <w:bCs/>
          <w:color w:val="000000" w:themeColor="text1"/>
          <w:sz w:val="28"/>
          <w:szCs w:val="28"/>
          <w:lang w:val="en-ZA"/>
        </w:rPr>
      </w:pPr>
      <w:r w:rsidRPr="00884AD1">
        <w:rPr>
          <w:rFonts w:ascii="Times New Roman" w:hAnsi="Times New Roman" w:cs="Times New Roman"/>
          <w:b/>
          <w:bCs/>
          <w:color w:val="000000" w:themeColor="text1"/>
          <w:sz w:val="28"/>
          <w:szCs w:val="28"/>
          <w:lang w:val="en-ZA"/>
        </w:rPr>
        <w:t xml:space="preserve">Original Research Article </w:t>
      </w:r>
    </w:p>
    <w:p w14:paraId="7A734B54" w14:textId="77777777" w:rsidR="00884AD1" w:rsidRDefault="00884AD1" w:rsidP="006B244B">
      <w:pPr>
        <w:spacing w:before="120" w:after="120" w:line="240" w:lineRule="auto"/>
        <w:jc w:val="both"/>
        <w:rPr>
          <w:rFonts w:ascii="Times New Roman" w:hAnsi="Times New Roman" w:cs="Times New Roman"/>
          <w:b/>
          <w:bCs/>
          <w:color w:val="000000" w:themeColor="text1"/>
          <w:sz w:val="28"/>
          <w:szCs w:val="28"/>
          <w:lang w:val="en-ZA"/>
        </w:rPr>
      </w:pPr>
    </w:p>
    <w:p w14:paraId="0198790F" w14:textId="2B47BEE6" w:rsidR="004D22E1" w:rsidRPr="00046709" w:rsidRDefault="00046709" w:rsidP="006B244B">
      <w:pPr>
        <w:spacing w:before="120" w:after="120" w:line="240" w:lineRule="auto"/>
        <w:jc w:val="both"/>
        <w:rPr>
          <w:rFonts w:ascii="Times New Roman" w:eastAsia="Arial" w:hAnsi="Times New Roman" w:cs="Times New Roman"/>
          <w:b/>
          <w:sz w:val="24"/>
          <w:szCs w:val="24"/>
          <w:lang w:val="en-ZA"/>
        </w:rPr>
      </w:pPr>
      <w:r w:rsidRPr="00046709">
        <w:rPr>
          <w:rFonts w:ascii="Times New Roman" w:hAnsi="Times New Roman" w:cs="Times New Roman"/>
          <w:b/>
          <w:bCs/>
          <w:color w:val="000000" w:themeColor="text1"/>
          <w:sz w:val="28"/>
          <w:szCs w:val="28"/>
          <w:lang w:val="en-ZA"/>
        </w:rPr>
        <w:t>Assessment of health risks associated with the accumulation of heavy metals in lettuce and tomatoes grown in the vegetable farming area of the Bobo-</w:t>
      </w:r>
      <w:proofErr w:type="spellStart"/>
      <w:r w:rsidRPr="00046709">
        <w:rPr>
          <w:rFonts w:ascii="Times New Roman" w:hAnsi="Times New Roman" w:cs="Times New Roman"/>
          <w:b/>
          <w:bCs/>
          <w:color w:val="000000" w:themeColor="text1"/>
          <w:sz w:val="28"/>
          <w:szCs w:val="28"/>
          <w:lang w:val="en-ZA"/>
        </w:rPr>
        <w:t>Dioulasso</w:t>
      </w:r>
      <w:proofErr w:type="spellEnd"/>
      <w:r w:rsidRPr="00046709">
        <w:rPr>
          <w:rFonts w:ascii="Times New Roman" w:hAnsi="Times New Roman" w:cs="Times New Roman"/>
          <w:b/>
          <w:bCs/>
          <w:color w:val="000000" w:themeColor="text1"/>
          <w:sz w:val="28"/>
          <w:szCs w:val="28"/>
          <w:lang w:val="en-ZA"/>
        </w:rPr>
        <w:t xml:space="preserve"> industrial zone (Burkina Faso)</w:t>
      </w:r>
    </w:p>
    <w:p w14:paraId="5168F603" w14:textId="77777777" w:rsidR="00EA0703" w:rsidRPr="00046709" w:rsidRDefault="00EA0703" w:rsidP="004D22E1">
      <w:pPr>
        <w:spacing w:before="120" w:after="120" w:line="240" w:lineRule="auto"/>
        <w:jc w:val="both"/>
        <w:rPr>
          <w:rFonts w:ascii="Times New Roman" w:eastAsia="Arial" w:hAnsi="Times New Roman" w:cs="Times New Roman"/>
          <w:b/>
          <w:sz w:val="24"/>
          <w:szCs w:val="24"/>
          <w:lang w:val="en-ZA"/>
        </w:rPr>
      </w:pPr>
    </w:p>
    <w:p w14:paraId="0F0112E3" w14:textId="77777777" w:rsidR="004D22E1" w:rsidRPr="00F63963" w:rsidRDefault="004D22E1" w:rsidP="000A692B">
      <w:pPr>
        <w:spacing w:line="360" w:lineRule="auto"/>
        <w:rPr>
          <w:rFonts w:ascii="Times New Roman" w:hAnsi="Times New Roman" w:cs="Times New Roman"/>
          <w:b/>
          <w:sz w:val="24"/>
          <w:szCs w:val="24"/>
          <w:lang w:val="en-ZA"/>
        </w:rPr>
      </w:pPr>
    </w:p>
    <w:p w14:paraId="4DC31657" w14:textId="3A39E0FC" w:rsidR="004D22E1" w:rsidRPr="00492302" w:rsidRDefault="004D22E1" w:rsidP="000A692B">
      <w:pPr>
        <w:spacing w:line="360" w:lineRule="auto"/>
        <w:rPr>
          <w:rFonts w:ascii="Times New Roman" w:hAnsi="Times New Roman" w:cs="Times New Roman"/>
          <w:b/>
          <w:sz w:val="24"/>
          <w:szCs w:val="24"/>
          <w:lang w:val="en-ZA"/>
        </w:rPr>
      </w:pPr>
      <w:r w:rsidRPr="00492302">
        <w:rPr>
          <w:rFonts w:ascii="Times New Roman" w:hAnsi="Times New Roman" w:cs="Times New Roman"/>
          <w:b/>
          <w:sz w:val="24"/>
          <w:szCs w:val="24"/>
          <w:lang w:val="en-ZA"/>
        </w:rPr>
        <w:t>ABSTRACT</w:t>
      </w:r>
    </w:p>
    <w:p w14:paraId="1F921A16" w14:textId="0D6FBD46" w:rsidR="00046709" w:rsidRPr="00046709" w:rsidRDefault="00046709" w:rsidP="00661771">
      <w:pPr>
        <w:spacing w:before="120" w:after="120" w:line="240" w:lineRule="auto"/>
        <w:jc w:val="both"/>
        <w:rPr>
          <w:rFonts w:ascii="Times New Roman" w:hAnsi="Times New Roman" w:cs="Times New Roman"/>
          <w:sz w:val="24"/>
          <w:szCs w:val="24"/>
          <w:lang w:val="en-ZA"/>
        </w:rPr>
      </w:pPr>
      <w:r w:rsidRPr="00046709">
        <w:rPr>
          <w:rFonts w:ascii="Times New Roman" w:hAnsi="Times New Roman" w:cs="Times New Roman"/>
          <w:sz w:val="24"/>
          <w:szCs w:val="24"/>
          <w:lang w:val="en-ZA"/>
        </w:rPr>
        <w:t>Food security and human health are increasingly threatened by soil contamination by heavy metals, particularly for vegetable crops. The main objective of this study was to assess the health risks associated with the accumulation of heavy metals in lettuce and tomatoes grown in the vegetable farming area of industrial zone of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xml:space="preserve">, Burkina Faso. A sampling of lettuce and tomatoes was conducted on the farming site. This </w:t>
      </w:r>
      <w:proofErr w:type="gramStart"/>
      <w:r w:rsidRPr="00046709">
        <w:rPr>
          <w:rFonts w:ascii="Times New Roman" w:hAnsi="Times New Roman" w:cs="Times New Roman"/>
          <w:sz w:val="24"/>
          <w:szCs w:val="24"/>
          <w:lang w:val="en-ZA"/>
        </w:rPr>
        <w:t>was based</w:t>
      </w:r>
      <w:proofErr w:type="gramEnd"/>
      <w:r w:rsidRPr="00046709">
        <w:rPr>
          <w:rFonts w:ascii="Times New Roman" w:hAnsi="Times New Roman" w:cs="Times New Roman"/>
          <w:sz w:val="24"/>
          <w:szCs w:val="24"/>
          <w:lang w:val="en-ZA"/>
        </w:rPr>
        <w:t xml:space="preserve"> on a reasoned and adaptive approach, taking into account the operational constraints of the field and the actual distribution of crops. Leaves were collected for lettuce, while ripe fruits were collected for tomatoes. In total, 39 plant samples were taken, consisting of 28 lettuce samples and 11 tomato samples. The results showed that regardless of the vegetable sample, the levels of As and Cd were higher than the standard (FAO). The concentrations in the vegetables ranged from 0</w:t>
      </w:r>
      <w:r w:rsidR="00D12BF1">
        <w:rPr>
          <w:rFonts w:ascii="Times New Roman" w:hAnsi="Times New Roman" w:cs="Times New Roman"/>
          <w:sz w:val="24"/>
          <w:szCs w:val="24"/>
          <w:lang w:val="en-ZA"/>
        </w:rPr>
        <w:t>.</w:t>
      </w:r>
      <w:r w:rsidRPr="00046709">
        <w:rPr>
          <w:rFonts w:ascii="Times New Roman" w:hAnsi="Times New Roman" w:cs="Times New Roman"/>
          <w:sz w:val="24"/>
          <w:szCs w:val="24"/>
          <w:lang w:val="en-ZA"/>
        </w:rPr>
        <w:t>1 to 2</w:t>
      </w:r>
      <w:r w:rsidR="00D12BF1">
        <w:rPr>
          <w:rFonts w:ascii="Times New Roman" w:hAnsi="Times New Roman" w:cs="Times New Roman"/>
          <w:sz w:val="24"/>
          <w:szCs w:val="24"/>
          <w:lang w:val="en-ZA"/>
        </w:rPr>
        <w:t>.</w:t>
      </w:r>
      <w:r w:rsidRPr="00046709">
        <w:rPr>
          <w:rFonts w:ascii="Times New Roman" w:hAnsi="Times New Roman" w:cs="Times New Roman"/>
          <w:sz w:val="24"/>
          <w:szCs w:val="24"/>
          <w:lang w:val="en-ZA"/>
        </w:rPr>
        <w:t>11 mg/kg. The trend in average heavy metal content in the vegetables is Zn &gt; Ni &gt; Cu &gt; Pb &gt; Cr &gt; Cd &gt; As. The pollution indices for As, Cd, and Pb were all significantly above 1 in the vegetables. The metal pollution index (MPI) for lettuce was 8</w:t>
      </w:r>
      <w:r w:rsidR="00D12BF1">
        <w:rPr>
          <w:rFonts w:ascii="Times New Roman" w:hAnsi="Times New Roman" w:cs="Times New Roman"/>
          <w:sz w:val="24"/>
          <w:szCs w:val="24"/>
          <w:lang w:val="en-ZA"/>
        </w:rPr>
        <w:t>.</w:t>
      </w:r>
      <w:r w:rsidRPr="00046709">
        <w:rPr>
          <w:rFonts w:ascii="Times New Roman" w:hAnsi="Times New Roman" w:cs="Times New Roman"/>
          <w:sz w:val="24"/>
          <w:szCs w:val="24"/>
          <w:lang w:val="en-ZA"/>
        </w:rPr>
        <w:t>27, higher than that for tomatoes (6</w:t>
      </w:r>
      <w:r w:rsidR="00D12BF1">
        <w:rPr>
          <w:rFonts w:ascii="Times New Roman" w:hAnsi="Times New Roman" w:cs="Times New Roman"/>
          <w:sz w:val="24"/>
          <w:szCs w:val="24"/>
          <w:lang w:val="en-ZA"/>
        </w:rPr>
        <w:t>.</w:t>
      </w:r>
      <w:r w:rsidRPr="00046709">
        <w:rPr>
          <w:rFonts w:ascii="Times New Roman" w:hAnsi="Times New Roman" w:cs="Times New Roman"/>
          <w:sz w:val="24"/>
          <w:szCs w:val="24"/>
          <w:lang w:val="en-ZA"/>
        </w:rPr>
        <w:t>48). Regardless of the vegetable, the results revealed that the health risk index for As, Cd, Ni, and Pb was above 1. For both heavy metals and vegetables, the health risk index for children was always higher than that for adults. The recorded hazard indices for both adults and children, whether for lettuce or tomatoes, were above 1. Therefore, there are indeed health risks associated with the consumption of these two vegetables produced in the vegetable farming area of the industrial zone of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Burkina Faso. Appropriate measures must be taken to prevent contamination throughout the entire food chain.</w:t>
      </w:r>
    </w:p>
    <w:p w14:paraId="77CC5AF6" w14:textId="77777777" w:rsidR="00046709" w:rsidRDefault="00046709" w:rsidP="00046709">
      <w:pPr>
        <w:spacing w:before="120" w:after="120" w:line="360" w:lineRule="auto"/>
        <w:jc w:val="both"/>
        <w:rPr>
          <w:rFonts w:ascii="Times New Roman" w:hAnsi="Times New Roman" w:cs="Times New Roman"/>
          <w:b/>
          <w:bCs/>
          <w:sz w:val="24"/>
          <w:szCs w:val="24"/>
          <w:lang w:val="en-ZA"/>
        </w:rPr>
      </w:pPr>
      <w:r w:rsidRPr="00046709">
        <w:rPr>
          <w:rFonts w:ascii="Times New Roman" w:hAnsi="Times New Roman" w:cs="Times New Roman"/>
          <w:b/>
          <w:bCs/>
          <w:sz w:val="24"/>
          <w:szCs w:val="24"/>
          <w:lang w:val="en-ZA"/>
        </w:rPr>
        <w:t xml:space="preserve">Keywords: </w:t>
      </w:r>
      <w:r w:rsidRPr="00046709">
        <w:rPr>
          <w:rFonts w:ascii="Times New Roman" w:hAnsi="Times New Roman" w:cs="Times New Roman"/>
          <w:sz w:val="24"/>
          <w:szCs w:val="24"/>
          <w:lang w:val="en-ZA"/>
        </w:rPr>
        <w:t>heavy metals, health risk lettuce, tomato, industrial zone,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Burkina Faso</w:t>
      </w:r>
    </w:p>
    <w:p w14:paraId="4AD0F4D9" w14:textId="77777777" w:rsidR="00046709" w:rsidRPr="00046709" w:rsidRDefault="00046709" w:rsidP="00046709">
      <w:pPr>
        <w:spacing w:before="120" w:after="120" w:line="360" w:lineRule="auto"/>
        <w:jc w:val="both"/>
        <w:rPr>
          <w:rFonts w:ascii="Times New Roman" w:hAnsi="Times New Roman" w:cs="Times New Roman"/>
          <w:sz w:val="24"/>
          <w:szCs w:val="24"/>
          <w:lang w:val="en-ZA"/>
        </w:rPr>
      </w:pPr>
    </w:p>
    <w:p w14:paraId="165C3830" w14:textId="77777777" w:rsidR="004802D5" w:rsidRPr="00931A33" w:rsidRDefault="004802D5" w:rsidP="000A692B">
      <w:pPr>
        <w:pStyle w:val="Titre1"/>
        <w:numPr>
          <w:ilvl w:val="0"/>
          <w:numId w:val="34"/>
        </w:numPr>
        <w:spacing w:line="360" w:lineRule="auto"/>
        <w:rPr>
          <w:rFonts w:ascii="Times New Roman" w:hAnsi="Times New Roman" w:cs="Times New Roman"/>
          <w:b/>
          <w:color w:val="auto"/>
          <w:sz w:val="24"/>
          <w:szCs w:val="24"/>
        </w:rPr>
      </w:pPr>
      <w:r w:rsidRPr="00931A33">
        <w:rPr>
          <w:rFonts w:ascii="Times New Roman" w:hAnsi="Times New Roman" w:cs="Times New Roman"/>
          <w:b/>
          <w:color w:val="auto"/>
          <w:sz w:val="24"/>
          <w:szCs w:val="24"/>
        </w:rPr>
        <w:t>INTRODUCTION</w:t>
      </w:r>
    </w:p>
    <w:p w14:paraId="137EBC5A" w14:textId="77777777" w:rsidR="00A96DF6" w:rsidRDefault="000C0D83" w:rsidP="000C0D83">
      <w:pPr>
        <w:spacing w:before="120" w:after="120" w:line="360" w:lineRule="auto"/>
        <w:jc w:val="both"/>
        <w:rPr>
          <w:rFonts w:ascii="Times New Roman" w:hAnsi="Times New Roman" w:cs="Times New Roman"/>
          <w:sz w:val="24"/>
          <w:szCs w:val="24"/>
          <w:lang w:val="en-ZA"/>
        </w:rPr>
      </w:pPr>
      <w:r w:rsidRPr="000C0D83">
        <w:rPr>
          <w:rFonts w:ascii="Times New Roman" w:hAnsi="Times New Roman" w:cs="Times New Roman"/>
          <w:sz w:val="24"/>
          <w:szCs w:val="24"/>
          <w:lang w:val="en-ZA"/>
        </w:rPr>
        <w:t>Food security and human health are increasingly threatened by soil contamination with heavy metals, particularly for vegetable crops. The soils of vegetable farming areas are subject to repeated inputs of urban solid waste, which can lead to the accumulation of heavy metals and their transfer to plants (</w:t>
      </w:r>
      <w:proofErr w:type="spellStart"/>
      <w:r w:rsidRPr="000C0D83">
        <w:rPr>
          <w:rFonts w:ascii="Times New Roman" w:hAnsi="Times New Roman" w:cs="Times New Roman"/>
          <w:sz w:val="24"/>
          <w:szCs w:val="24"/>
          <w:lang w:val="en-ZA"/>
        </w:rPr>
        <w:t>Senou</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2023). This transfer to plants increases the risk of poisoning (</w:t>
      </w:r>
      <w:proofErr w:type="spellStart"/>
      <w:r w:rsidRPr="000C0D83">
        <w:rPr>
          <w:rFonts w:ascii="Times New Roman" w:hAnsi="Times New Roman" w:cs="Times New Roman"/>
          <w:sz w:val="24"/>
          <w:szCs w:val="24"/>
          <w:lang w:val="en-ZA"/>
        </w:rPr>
        <w:t>Gorbel</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xml:space="preserve">., 2002; Garnier, 2005). Lead, cadmium, copper, arsenic, and zinc are non-biodegradable and persist in the soil. Moreover, these heavy metals are continuously added to </w:t>
      </w:r>
      <w:r w:rsidRPr="000C0D83">
        <w:rPr>
          <w:rFonts w:ascii="Times New Roman" w:hAnsi="Times New Roman" w:cs="Times New Roman"/>
          <w:sz w:val="24"/>
          <w:szCs w:val="24"/>
          <w:lang w:val="en-ZA"/>
        </w:rPr>
        <w:lastRenderedPageBreak/>
        <w:t xml:space="preserve">the soils through the application of urban waste in agriculture. Several authors (Gonzales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2008) have shown that the heavy metals accumulated by plants enter the food chain and lead to bioconcentration, which is dangerous for human and animal health. 60 to 80</w:t>
      </w:r>
      <w:r w:rsidR="00A96DF6">
        <w:rPr>
          <w:rFonts w:ascii="Times New Roman" w:hAnsi="Times New Roman" w:cs="Times New Roman"/>
          <w:sz w:val="24"/>
          <w:szCs w:val="24"/>
          <w:lang w:val="en-ZA"/>
        </w:rPr>
        <w:t xml:space="preserve"> </w:t>
      </w:r>
      <w:r w:rsidRPr="000C0D83">
        <w:rPr>
          <w:rFonts w:ascii="Times New Roman" w:hAnsi="Times New Roman" w:cs="Times New Roman"/>
          <w:sz w:val="24"/>
          <w:szCs w:val="24"/>
          <w:lang w:val="en-ZA"/>
        </w:rPr>
        <w:t>% of producers are unaware of the health risks associated with consuming agricultural products from vegetable farming areas (</w:t>
      </w:r>
      <w:proofErr w:type="spellStart"/>
      <w:r w:rsidRPr="000C0D83">
        <w:rPr>
          <w:rFonts w:ascii="Times New Roman" w:hAnsi="Times New Roman" w:cs="Times New Roman"/>
          <w:sz w:val="24"/>
          <w:szCs w:val="24"/>
          <w:lang w:val="en-ZA"/>
        </w:rPr>
        <w:t>Senou</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2019). It is therefore necessary to understand the risks associated with the transfer of pollutants into the food chain.</w:t>
      </w:r>
    </w:p>
    <w:p w14:paraId="525DFC00" w14:textId="4815C1F8" w:rsidR="000C0D83" w:rsidRDefault="00A96DF6" w:rsidP="00A96DF6">
      <w:pPr>
        <w:spacing w:before="120" w:after="120"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T</w:t>
      </w:r>
      <w:r w:rsidR="000C0D83" w:rsidRPr="000C0D83">
        <w:rPr>
          <w:rFonts w:ascii="Times New Roman" w:hAnsi="Times New Roman" w:cs="Times New Roman"/>
          <w:sz w:val="24"/>
          <w:szCs w:val="24"/>
          <w:lang w:val="en-ZA"/>
        </w:rPr>
        <w:t>he main objective of this study is to determine the levels of heavy metal accumulation in lettuce and tomatoes and to assess the health risks posed by the consumption of these vegetables grown on the soils of the vegetable farming areas in the study zone. Three specific objectives arise from this general objective: (</w:t>
      </w:r>
      <w:proofErr w:type="spellStart"/>
      <w:r w:rsidR="000C0D83" w:rsidRPr="000C0D83">
        <w:rPr>
          <w:rFonts w:ascii="Times New Roman" w:hAnsi="Times New Roman" w:cs="Times New Roman"/>
          <w:sz w:val="24"/>
          <w:szCs w:val="24"/>
          <w:lang w:val="en-ZA"/>
        </w:rPr>
        <w:t>i</w:t>
      </w:r>
      <w:proofErr w:type="spellEnd"/>
      <w:r w:rsidR="000C0D83" w:rsidRPr="000C0D83">
        <w:rPr>
          <w:rFonts w:ascii="Times New Roman" w:hAnsi="Times New Roman" w:cs="Times New Roman"/>
          <w:sz w:val="24"/>
          <w:szCs w:val="24"/>
          <w:lang w:val="en-ZA"/>
        </w:rPr>
        <w:t>) to determine the level of heavy metal bioaccumulation in lettuce leaves and tomato fruits, (ii) to compare the heavy metal concentrations found in lettuce leaves and tomato fruits with the prescribed standards, and (iii) to assess the health risk level associated with the consumption of lettuce leaves and tomato fruits produced in the vegetable farming area of the industrial zone of Bobo-</w:t>
      </w:r>
      <w:r w:rsidR="000C0D83" w:rsidRPr="000C0D83">
        <w:rPr>
          <w:lang w:val="en-ZA"/>
        </w:rPr>
        <w:t xml:space="preserve"> </w:t>
      </w:r>
      <w:proofErr w:type="spellStart"/>
      <w:r w:rsidR="000C0D83" w:rsidRPr="000C0D83">
        <w:rPr>
          <w:rFonts w:ascii="Times New Roman" w:hAnsi="Times New Roman" w:cs="Times New Roman"/>
          <w:sz w:val="24"/>
          <w:szCs w:val="24"/>
          <w:lang w:val="en-ZA"/>
        </w:rPr>
        <w:t>Dioulasso</w:t>
      </w:r>
      <w:proofErr w:type="spellEnd"/>
      <w:r w:rsidR="000C0D83" w:rsidRPr="000C0D83">
        <w:rPr>
          <w:rFonts w:ascii="Times New Roman" w:hAnsi="Times New Roman" w:cs="Times New Roman"/>
          <w:sz w:val="24"/>
          <w:szCs w:val="24"/>
          <w:lang w:val="en-ZA"/>
        </w:rPr>
        <w:t>.</w:t>
      </w:r>
    </w:p>
    <w:p w14:paraId="10A15F86" w14:textId="77777777" w:rsidR="00A96DF6" w:rsidRPr="000C0D83" w:rsidRDefault="00A96DF6" w:rsidP="00A96DF6">
      <w:pPr>
        <w:spacing w:before="120" w:after="120" w:line="360" w:lineRule="auto"/>
        <w:jc w:val="both"/>
        <w:rPr>
          <w:rFonts w:ascii="Times New Roman" w:hAnsi="Times New Roman" w:cs="Times New Roman"/>
          <w:sz w:val="24"/>
          <w:szCs w:val="24"/>
          <w:lang w:val="en-ZA"/>
        </w:rPr>
      </w:pPr>
    </w:p>
    <w:p w14:paraId="519091D9" w14:textId="24EA4B4D" w:rsidR="00FF3546" w:rsidRPr="000C0D83" w:rsidRDefault="004802D5" w:rsidP="000C0D83">
      <w:pPr>
        <w:pStyle w:val="Titre1"/>
        <w:numPr>
          <w:ilvl w:val="0"/>
          <w:numId w:val="33"/>
        </w:numPr>
        <w:rPr>
          <w:rFonts w:ascii="Times New Roman" w:hAnsi="Times New Roman" w:cs="Times New Roman"/>
          <w:b/>
          <w:color w:val="auto"/>
          <w:sz w:val="24"/>
          <w:szCs w:val="24"/>
        </w:rPr>
      </w:pPr>
      <w:r w:rsidRPr="00931A33">
        <w:rPr>
          <w:rFonts w:ascii="Times New Roman" w:hAnsi="Times New Roman" w:cs="Times New Roman"/>
          <w:b/>
          <w:color w:val="auto"/>
          <w:sz w:val="24"/>
          <w:szCs w:val="24"/>
        </w:rPr>
        <w:t xml:space="preserve"> </w:t>
      </w:r>
      <w:r w:rsidR="000C0D83" w:rsidRPr="000C0D83">
        <w:rPr>
          <w:rFonts w:ascii="Times New Roman" w:hAnsi="Times New Roman" w:cs="Times New Roman"/>
          <w:b/>
          <w:color w:val="auto"/>
          <w:sz w:val="24"/>
          <w:szCs w:val="24"/>
        </w:rPr>
        <w:t>MATERIALS AND METHODS</w:t>
      </w:r>
      <w:bookmarkStart w:id="0" w:name="_Toc216647823"/>
    </w:p>
    <w:p w14:paraId="3238236D" w14:textId="0AE85FA4" w:rsidR="00FF3546" w:rsidRPr="000C0D83" w:rsidRDefault="00EA7D86" w:rsidP="000C0D83">
      <w:pPr>
        <w:spacing w:before="120" w:after="120" w:line="360" w:lineRule="auto"/>
        <w:jc w:val="both"/>
        <w:rPr>
          <w:rFonts w:ascii="Times New Roman" w:hAnsi="Times New Roman" w:cs="Times New Roman"/>
          <w:b/>
          <w:bCs/>
          <w:sz w:val="24"/>
          <w:szCs w:val="24"/>
          <w:lang w:val="en-ZA"/>
        </w:rPr>
      </w:pPr>
      <w:r w:rsidRPr="000C0D83">
        <w:rPr>
          <w:rFonts w:ascii="Times New Roman" w:hAnsi="Times New Roman" w:cs="Times New Roman"/>
          <w:b/>
          <w:bCs/>
          <w:sz w:val="24"/>
          <w:szCs w:val="24"/>
          <w:lang w:val="en-ZA"/>
        </w:rPr>
        <w:t>2.1</w:t>
      </w:r>
      <w:r w:rsidR="00FF3546" w:rsidRPr="000C0D83">
        <w:rPr>
          <w:rFonts w:ascii="Times New Roman" w:hAnsi="Times New Roman" w:cs="Times New Roman"/>
          <w:b/>
          <w:bCs/>
          <w:sz w:val="24"/>
          <w:szCs w:val="24"/>
          <w:lang w:val="en-ZA"/>
        </w:rPr>
        <w:t xml:space="preserve">. </w:t>
      </w:r>
      <w:r w:rsidR="000C0D83" w:rsidRPr="000C0D83">
        <w:rPr>
          <w:rFonts w:ascii="Times New Roman" w:hAnsi="Times New Roman" w:cs="Times New Roman"/>
          <w:b/>
          <w:bCs/>
          <w:sz w:val="24"/>
          <w:szCs w:val="24"/>
          <w:lang w:val="en-ZA"/>
        </w:rPr>
        <w:t>Methodology for sampling lettuce and tomatoes</w:t>
      </w:r>
    </w:p>
    <w:p w14:paraId="2EB3CE29" w14:textId="076FA291" w:rsidR="00FF3546" w:rsidRPr="000C0D83" w:rsidRDefault="00EA7D86" w:rsidP="000C0D83">
      <w:pPr>
        <w:spacing w:before="120" w:after="120" w:line="360" w:lineRule="auto"/>
        <w:jc w:val="both"/>
        <w:rPr>
          <w:rFonts w:ascii="Times New Roman" w:hAnsi="Times New Roman" w:cs="Times New Roman"/>
          <w:b/>
          <w:bCs/>
          <w:sz w:val="24"/>
          <w:szCs w:val="24"/>
          <w:lang w:val="en-ZA"/>
        </w:rPr>
      </w:pPr>
      <w:r w:rsidRPr="00931A33">
        <w:rPr>
          <w:rFonts w:ascii="Times New Roman" w:hAnsi="Times New Roman" w:cs="Times New Roman"/>
          <w:b/>
          <w:bCs/>
          <w:sz w:val="24"/>
          <w:szCs w:val="24"/>
        </w:rPr>
        <w:t>2.1</w:t>
      </w:r>
      <w:r w:rsidR="00FF3546" w:rsidRPr="00931A33">
        <w:rPr>
          <w:rFonts w:ascii="Times New Roman" w:hAnsi="Times New Roman" w:cs="Times New Roman"/>
          <w:b/>
          <w:bCs/>
          <w:sz w:val="24"/>
          <w:szCs w:val="24"/>
        </w:rPr>
        <w:t xml:space="preserve">.1. </w:t>
      </w:r>
      <w:r w:rsidR="000C0D83" w:rsidRPr="000C0D83">
        <w:rPr>
          <w:rFonts w:ascii="Times New Roman" w:hAnsi="Times New Roman" w:cs="Times New Roman"/>
          <w:b/>
          <w:bCs/>
          <w:sz w:val="24"/>
          <w:szCs w:val="24"/>
          <w:lang w:val="en-ZA"/>
        </w:rPr>
        <w:t>General principle of sampling</w:t>
      </w:r>
    </w:p>
    <w:p w14:paraId="42F8D243" w14:textId="185E94F0" w:rsidR="00FF3546" w:rsidRPr="000C0D83" w:rsidRDefault="000C0D83" w:rsidP="000C0D83">
      <w:pPr>
        <w:spacing w:before="120" w:after="120" w:line="360" w:lineRule="auto"/>
        <w:jc w:val="both"/>
        <w:rPr>
          <w:rFonts w:ascii="Times New Roman" w:hAnsi="Times New Roman" w:cs="Times New Roman"/>
          <w:sz w:val="24"/>
          <w:szCs w:val="24"/>
          <w:lang w:val="en-ZA"/>
        </w:rPr>
      </w:pPr>
      <w:r w:rsidRPr="000C0D83">
        <w:rPr>
          <w:rFonts w:ascii="Times New Roman" w:hAnsi="Times New Roman" w:cs="Times New Roman"/>
          <w:sz w:val="24"/>
          <w:szCs w:val="24"/>
          <w:lang w:val="en-ZA"/>
        </w:rPr>
        <w:t>The sampling of lettuce and tomatoes at the vegetable farming site of the Bobo-</w:t>
      </w:r>
      <w:proofErr w:type="spellStart"/>
      <w:r w:rsidRPr="000C0D83">
        <w:rPr>
          <w:rFonts w:ascii="Times New Roman" w:hAnsi="Times New Roman" w:cs="Times New Roman"/>
          <w:sz w:val="24"/>
          <w:szCs w:val="24"/>
          <w:lang w:val="en-ZA"/>
        </w:rPr>
        <w:t>Dioulasso</w:t>
      </w:r>
      <w:proofErr w:type="spellEnd"/>
      <w:r w:rsidRPr="000C0D83">
        <w:rPr>
          <w:rFonts w:ascii="Times New Roman" w:hAnsi="Times New Roman" w:cs="Times New Roman"/>
          <w:sz w:val="24"/>
          <w:szCs w:val="24"/>
          <w:lang w:val="en-ZA"/>
        </w:rPr>
        <w:t xml:space="preserve"> industrial zone was based on a reasoned and adaptive approach, taking into account the operational constraints of the field and the actual distribution of the crops. This approach involved surveying all the plots cultivated with lettuce and tomatoes, regardless of their position relative to the initial pedological grid.</w:t>
      </w:r>
    </w:p>
    <w:p w14:paraId="5EA7263C" w14:textId="77777777" w:rsidR="00FF3546" w:rsidRPr="000C0D83" w:rsidRDefault="00FF3546" w:rsidP="00FF3546">
      <w:pPr>
        <w:spacing w:after="0" w:line="360" w:lineRule="auto"/>
        <w:jc w:val="both"/>
        <w:rPr>
          <w:rFonts w:ascii="Times New Roman" w:hAnsi="Times New Roman" w:cs="Times New Roman"/>
          <w:sz w:val="24"/>
          <w:szCs w:val="24"/>
          <w:lang w:val="en-ZA"/>
        </w:rPr>
      </w:pPr>
    </w:p>
    <w:p w14:paraId="4D72BA17" w14:textId="5D6E37EF" w:rsidR="00FF3546" w:rsidRPr="007F7650" w:rsidRDefault="00EA7D86" w:rsidP="00FF3546">
      <w:pPr>
        <w:spacing w:after="0" w:line="360" w:lineRule="auto"/>
        <w:jc w:val="both"/>
        <w:rPr>
          <w:rFonts w:ascii="Times New Roman" w:hAnsi="Times New Roman" w:cs="Times New Roman"/>
          <w:b/>
          <w:bCs/>
          <w:sz w:val="24"/>
          <w:szCs w:val="24"/>
          <w:lang w:val="en-ZA"/>
        </w:rPr>
      </w:pPr>
      <w:r w:rsidRPr="00931A33">
        <w:rPr>
          <w:rFonts w:ascii="Times New Roman" w:hAnsi="Times New Roman" w:cs="Times New Roman"/>
          <w:b/>
          <w:bCs/>
          <w:sz w:val="24"/>
          <w:szCs w:val="24"/>
        </w:rPr>
        <w:t>2.1</w:t>
      </w:r>
      <w:r w:rsidR="00FF3546" w:rsidRPr="00931A33">
        <w:rPr>
          <w:rFonts w:ascii="Times New Roman" w:hAnsi="Times New Roman" w:cs="Times New Roman"/>
          <w:b/>
          <w:bCs/>
          <w:sz w:val="24"/>
          <w:szCs w:val="24"/>
        </w:rPr>
        <w:t xml:space="preserve">.2. </w:t>
      </w:r>
      <w:r w:rsidR="000C0D83" w:rsidRPr="007F7650">
        <w:rPr>
          <w:rFonts w:ascii="Times New Roman" w:hAnsi="Times New Roman" w:cs="Times New Roman"/>
          <w:b/>
          <w:bCs/>
          <w:sz w:val="24"/>
          <w:szCs w:val="24"/>
          <w:lang w:val="en-ZA"/>
        </w:rPr>
        <w:t>Procedure for sampling plant specimens</w:t>
      </w:r>
    </w:p>
    <w:p w14:paraId="25D5DD02" w14:textId="7E6D2576" w:rsidR="00FF3546" w:rsidRPr="007F7650" w:rsidRDefault="007F7650" w:rsidP="00D33730">
      <w:pPr>
        <w:spacing w:line="360" w:lineRule="auto"/>
        <w:jc w:val="both"/>
        <w:rPr>
          <w:rFonts w:ascii="Times New Roman" w:hAnsi="Times New Roman" w:cs="Times New Roman"/>
          <w:color w:val="5B9BD5" w:themeColor="accent1"/>
          <w:sz w:val="24"/>
          <w:szCs w:val="24"/>
          <w:lang w:val="en-ZA"/>
        </w:rPr>
      </w:pPr>
      <w:r w:rsidRPr="007F7650">
        <w:rPr>
          <w:rFonts w:ascii="Times New Roman" w:hAnsi="Times New Roman" w:cs="Times New Roman"/>
          <w:sz w:val="24"/>
          <w:szCs w:val="24"/>
          <w:lang w:val="en-ZA"/>
        </w:rPr>
        <w:t xml:space="preserve">For each crop, the consumed organs were targeted to reflect the actual exposure conditions of the population. Leaves were collected for lettuce, while ripe fruits were gathered for tomatoes. When the size and layout of the plots allowed, a minimum distance of 50 meters was maintained between two successive sampling points for the same crop, in order to limit pseudo-replication and better account for the environmental heterogeneity of the site. In the case of smaller plots, a single sample per cultivation unit was taken. In total, 39 plant samples were collected, </w:t>
      </w:r>
      <w:r w:rsidRPr="007F7650">
        <w:rPr>
          <w:rFonts w:ascii="Times New Roman" w:hAnsi="Times New Roman" w:cs="Times New Roman"/>
          <w:sz w:val="24"/>
          <w:szCs w:val="24"/>
          <w:lang w:val="en-ZA"/>
        </w:rPr>
        <w:lastRenderedPageBreak/>
        <w:t>consisting of 28 lettuce samples and 11 tomato samples. The geographic coordinates of each sampling point were recorded using a GPS</w:t>
      </w:r>
      <w:r>
        <w:rPr>
          <w:rFonts w:ascii="Times New Roman" w:hAnsi="Times New Roman" w:cs="Times New Roman"/>
          <w:sz w:val="24"/>
          <w:szCs w:val="24"/>
          <w:lang w:val="en-ZA"/>
        </w:rPr>
        <w:t>.</w:t>
      </w:r>
    </w:p>
    <w:p w14:paraId="188C5724" w14:textId="139E3E5E" w:rsidR="00FF3546" w:rsidRPr="007F7650" w:rsidRDefault="00EA7D86" w:rsidP="00FF3546">
      <w:pPr>
        <w:spacing w:after="0" w:line="360" w:lineRule="auto"/>
        <w:jc w:val="both"/>
        <w:rPr>
          <w:rFonts w:ascii="Times New Roman" w:hAnsi="Times New Roman" w:cs="Times New Roman"/>
          <w:b/>
          <w:bCs/>
          <w:sz w:val="24"/>
          <w:szCs w:val="24"/>
          <w:lang w:val="en-ZA"/>
        </w:rPr>
      </w:pPr>
      <w:r w:rsidRPr="007F7650">
        <w:rPr>
          <w:rFonts w:ascii="Times New Roman" w:hAnsi="Times New Roman" w:cs="Times New Roman"/>
          <w:b/>
          <w:bCs/>
          <w:sz w:val="24"/>
          <w:szCs w:val="24"/>
          <w:lang w:val="en-ZA"/>
        </w:rPr>
        <w:t>2.1</w:t>
      </w:r>
      <w:r w:rsidR="00FF3546" w:rsidRPr="007F7650">
        <w:rPr>
          <w:rFonts w:ascii="Times New Roman" w:hAnsi="Times New Roman" w:cs="Times New Roman"/>
          <w:b/>
          <w:bCs/>
          <w:sz w:val="24"/>
          <w:szCs w:val="24"/>
          <w:lang w:val="en-ZA"/>
        </w:rPr>
        <w:t xml:space="preserve">.3. </w:t>
      </w:r>
      <w:r w:rsidR="007F7650" w:rsidRPr="007F7650">
        <w:rPr>
          <w:rFonts w:ascii="Times New Roman" w:hAnsi="Times New Roman" w:cs="Times New Roman"/>
          <w:b/>
          <w:bCs/>
          <w:sz w:val="24"/>
          <w:szCs w:val="24"/>
          <w:lang w:val="en-ZA"/>
        </w:rPr>
        <w:t>Spatial coupling with soil sampling</w:t>
      </w:r>
    </w:p>
    <w:p w14:paraId="5AF7C982" w14:textId="52C434B2" w:rsidR="00FF3546" w:rsidRPr="007F7650" w:rsidRDefault="007F7650" w:rsidP="00FF3546">
      <w:pPr>
        <w:spacing w:after="0"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The GPS coordinates of the lettuce and tomato samples were projected onto the soil grid map of the site. This operation allowed each plant sample to be associated with the corresponding quadrant of the soil sampling plan. For each quadrant, the concentrations of heavy metals in the soil were correlated with the levels measured in the lettuce and tomatoes. This spatial coupling enabled the analysis of the relationships between soil contamination and the bioaccumulation of heavy metals in vegetable crops</w:t>
      </w:r>
      <w:r w:rsidR="00FF3546" w:rsidRPr="007F7650">
        <w:rPr>
          <w:rFonts w:ascii="Times New Roman" w:hAnsi="Times New Roman" w:cs="Times New Roman"/>
          <w:sz w:val="24"/>
          <w:szCs w:val="24"/>
          <w:lang w:val="en-ZA"/>
        </w:rPr>
        <w:t>.</w:t>
      </w:r>
    </w:p>
    <w:p w14:paraId="6EFA5A5D" w14:textId="77777777" w:rsidR="00FF3546" w:rsidRPr="007F7650" w:rsidRDefault="00FF3546" w:rsidP="00FF3546">
      <w:pPr>
        <w:spacing w:after="0" w:line="360" w:lineRule="auto"/>
        <w:jc w:val="both"/>
        <w:rPr>
          <w:rFonts w:ascii="Times New Roman" w:hAnsi="Times New Roman" w:cs="Times New Roman"/>
          <w:sz w:val="24"/>
          <w:szCs w:val="24"/>
          <w:lang w:val="en-ZA"/>
        </w:rPr>
      </w:pPr>
    </w:p>
    <w:p w14:paraId="15698F55" w14:textId="7EF74AEF" w:rsidR="00FF3546" w:rsidRPr="007F7650" w:rsidRDefault="00EA7D86" w:rsidP="00FF3546">
      <w:pPr>
        <w:spacing w:after="0" w:line="360" w:lineRule="auto"/>
        <w:rPr>
          <w:rFonts w:ascii="Times New Roman" w:hAnsi="Times New Roman" w:cs="Times New Roman"/>
          <w:b/>
          <w:bCs/>
          <w:sz w:val="24"/>
          <w:szCs w:val="24"/>
          <w:lang w:val="en-ZA"/>
        </w:rPr>
      </w:pPr>
      <w:r w:rsidRPr="007F7650">
        <w:rPr>
          <w:rFonts w:ascii="Times New Roman" w:hAnsi="Times New Roman" w:cs="Times New Roman"/>
          <w:b/>
          <w:bCs/>
          <w:sz w:val="24"/>
          <w:szCs w:val="24"/>
          <w:lang w:val="en-ZA"/>
        </w:rPr>
        <w:t>2.2.</w:t>
      </w:r>
      <w:r w:rsidR="00FF3546" w:rsidRPr="007F7650">
        <w:rPr>
          <w:rFonts w:ascii="Times New Roman" w:hAnsi="Times New Roman" w:cs="Times New Roman"/>
          <w:b/>
          <w:bCs/>
          <w:sz w:val="24"/>
          <w:szCs w:val="24"/>
          <w:lang w:val="en-ZA"/>
        </w:rPr>
        <w:t xml:space="preserve"> </w:t>
      </w:r>
      <w:r w:rsidR="007F7650" w:rsidRPr="007F7650">
        <w:rPr>
          <w:rFonts w:ascii="Times New Roman" w:hAnsi="Times New Roman" w:cs="Times New Roman"/>
          <w:b/>
          <w:bCs/>
          <w:sz w:val="24"/>
          <w:szCs w:val="24"/>
          <w:lang w:val="en-ZA"/>
        </w:rPr>
        <w:t>Justification of the methodological choice</w:t>
      </w:r>
    </w:p>
    <w:p w14:paraId="2CA8467C" w14:textId="596344D9" w:rsidR="00FF3546" w:rsidRPr="007F7650" w:rsidRDefault="007F7650" w:rsidP="00FF3546">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This methodology is justified, first and foremost, by its ecological relevance. The samples were taken from crops that are actually produced and consumed on-site, which incorporates the diversity of farming practices of the producers. Although the plant sampling did not strictly follow the soil grid plan, the projection of the GPS points onto this grid allows for spatial correspondence between the soil and plant data. Furthermore, sampling from all plots cultivated with lettuce and tomatoes enhances the statistical representativeness of the results.</w:t>
      </w:r>
      <w:r w:rsidRPr="007F7650">
        <w:rPr>
          <w:rFonts w:ascii="Times New Roman" w:hAnsi="Times New Roman" w:cs="Times New Roman"/>
          <w:sz w:val="24"/>
          <w:szCs w:val="24"/>
          <w:lang w:val="en-ZA"/>
        </w:rPr>
        <w:br/>
        <w:t>This methodology is a reasoned adaptation to the realities of peri-urban vegetable farming. Enforcing a sampling strictly aligned with the soil grid would have led to the exclusion of many cultivated plots or to constraints incompatible with the farmers' practices. The approach adopted thus combines operational feasibility with scientific rigor, while allowing for a coherent soil-plant spatial analysis despite distinct sampling protocols</w:t>
      </w:r>
      <w:r w:rsidR="00FF3546" w:rsidRPr="007F7650">
        <w:rPr>
          <w:rFonts w:ascii="Times New Roman" w:hAnsi="Times New Roman" w:cs="Times New Roman"/>
          <w:sz w:val="24"/>
          <w:szCs w:val="24"/>
          <w:lang w:val="en-ZA"/>
        </w:rPr>
        <w:t>.</w:t>
      </w:r>
    </w:p>
    <w:p w14:paraId="4EA4DED5" w14:textId="77777777" w:rsidR="00FF3546" w:rsidRPr="007F7650" w:rsidRDefault="00FF3546" w:rsidP="004802D5">
      <w:pPr>
        <w:pStyle w:val="Titre2"/>
        <w:jc w:val="both"/>
        <w:rPr>
          <w:rFonts w:ascii="Times New Roman" w:hAnsi="Times New Roman" w:cs="Times New Roman"/>
          <w:b/>
          <w:bCs/>
          <w:color w:val="auto"/>
          <w:sz w:val="24"/>
          <w:szCs w:val="24"/>
          <w:lang w:val="en-ZA"/>
        </w:rPr>
      </w:pPr>
    </w:p>
    <w:p w14:paraId="26057EC7" w14:textId="0DE33014" w:rsidR="004802D5" w:rsidRPr="007F7650" w:rsidRDefault="00EA7D86" w:rsidP="004802D5">
      <w:pPr>
        <w:pStyle w:val="Titre2"/>
        <w:spacing w:line="360" w:lineRule="auto"/>
        <w:jc w:val="both"/>
        <w:rPr>
          <w:rFonts w:ascii="Times New Roman" w:hAnsi="Times New Roman" w:cs="Times New Roman"/>
          <w:b/>
          <w:bCs/>
          <w:color w:val="auto"/>
          <w:sz w:val="24"/>
          <w:szCs w:val="24"/>
          <w:lang w:val="en-ZA"/>
        </w:rPr>
      </w:pPr>
      <w:bookmarkStart w:id="1" w:name="_Toc216647824"/>
      <w:bookmarkEnd w:id="0"/>
      <w:r w:rsidRPr="007F7650">
        <w:rPr>
          <w:rFonts w:ascii="Times New Roman" w:hAnsi="Times New Roman" w:cs="Times New Roman"/>
          <w:b/>
          <w:bCs/>
          <w:color w:val="auto"/>
          <w:sz w:val="24"/>
          <w:szCs w:val="24"/>
          <w:lang w:val="en-ZA"/>
        </w:rPr>
        <w:t>2.3</w:t>
      </w:r>
      <w:r w:rsidR="004802D5" w:rsidRPr="007F7650">
        <w:rPr>
          <w:rFonts w:ascii="Times New Roman" w:hAnsi="Times New Roman" w:cs="Times New Roman"/>
          <w:b/>
          <w:bCs/>
          <w:color w:val="auto"/>
          <w:sz w:val="24"/>
          <w:szCs w:val="24"/>
          <w:lang w:val="en-ZA"/>
        </w:rPr>
        <w:t xml:space="preserve">. </w:t>
      </w:r>
      <w:bookmarkEnd w:id="1"/>
      <w:r w:rsidR="007F7650" w:rsidRPr="007F7650">
        <w:rPr>
          <w:rFonts w:ascii="Times New Roman" w:hAnsi="Times New Roman" w:cs="Times New Roman"/>
          <w:b/>
          <w:bCs/>
          <w:color w:val="auto"/>
          <w:sz w:val="24"/>
          <w:szCs w:val="24"/>
          <w:lang w:val="en-ZA"/>
        </w:rPr>
        <w:t>Physical preparation of samples</w:t>
      </w:r>
    </w:p>
    <w:p w14:paraId="3BDD5343" w14:textId="6FA7F3FD"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The samples were air-dried, protected from dust. They were then finely ground using a porcelain mortar and finally sieved through a 125 µm sieve. The fraction smaller than 125 µm was used for heavy metal analysis.</w:t>
      </w:r>
    </w:p>
    <w:p w14:paraId="34D0094F" w14:textId="622E3C95" w:rsidR="004802D5" w:rsidRPr="007F7650" w:rsidRDefault="00EA7D86" w:rsidP="004802D5">
      <w:pPr>
        <w:pStyle w:val="Titre2"/>
        <w:spacing w:line="360" w:lineRule="auto"/>
        <w:jc w:val="both"/>
        <w:rPr>
          <w:rFonts w:ascii="Times New Roman" w:hAnsi="Times New Roman" w:cs="Times New Roman"/>
          <w:b/>
          <w:bCs/>
          <w:color w:val="auto"/>
          <w:sz w:val="24"/>
          <w:szCs w:val="24"/>
          <w:lang w:val="en-ZA"/>
        </w:rPr>
      </w:pPr>
      <w:bookmarkStart w:id="2" w:name="_Toc216647825"/>
      <w:r w:rsidRPr="007F7650">
        <w:rPr>
          <w:rFonts w:ascii="Times New Roman" w:hAnsi="Times New Roman" w:cs="Times New Roman"/>
          <w:b/>
          <w:bCs/>
          <w:color w:val="auto"/>
          <w:sz w:val="24"/>
          <w:szCs w:val="24"/>
          <w:lang w:val="en-ZA"/>
        </w:rPr>
        <w:t>2.4</w:t>
      </w:r>
      <w:r w:rsidR="004802D5" w:rsidRPr="007F7650">
        <w:rPr>
          <w:rFonts w:ascii="Times New Roman" w:hAnsi="Times New Roman" w:cs="Times New Roman"/>
          <w:b/>
          <w:bCs/>
          <w:color w:val="auto"/>
          <w:sz w:val="24"/>
          <w:szCs w:val="24"/>
          <w:lang w:val="en-ZA"/>
        </w:rPr>
        <w:t xml:space="preserve">. </w:t>
      </w:r>
      <w:bookmarkEnd w:id="2"/>
      <w:r w:rsidR="007F7650" w:rsidRPr="007F7650">
        <w:rPr>
          <w:rFonts w:ascii="Times New Roman" w:hAnsi="Times New Roman" w:cs="Times New Roman"/>
          <w:b/>
          <w:bCs/>
          <w:color w:val="auto"/>
          <w:sz w:val="24"/>
          <w:szCs w:val="24"/>
          <w:lang w:val="en-ZA"/>
        </w:rPr>
        <w:t>Heavy metal content analysis</w:t>
      </w:r>
    </w:p>
    <w:p w14:paraId="2C01D89E" w14:textId="3AEE38B5"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A reflux mineralization was carried out on a hot plate with a 2 g sample of the sieved sample (125 µm), to which 5 ml of nitric acid (HNO</w:t>
      </w:r>
      <w:r w:rsidRPr="00C458B8">
        <w:rPr>
          <w:rFonts w:ascii="Times New Roman" w:hAnsi="Times New Roman" w:cs="Times New Roman"/>
          <w:sz w:val="24"/>
          <w:szCs w:val="24"/>
          <w:vertAlign w:val="subscript"/>
          <w:lang w:val="en-ZA"/>
        </w:rPr>
        <w:t>3</w:t>
      </w:r>
      <w:r w:rsidRPr="007F7650">
        <w:rPr>
          <w:rFonts w:ascii="Times New Roman" w:hAnsi="Times New Roman" w:cs="Times New Roman"/>
          <w:sz w:val="24"/>
          <w:szCs w:val="24"/>
          <w:lang w:val="en-ZA"/>
        </w:rPr>
        <w:t>) 69%, 5 ml of hydrogen peroxide (H</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O</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 30%, and 3 ml of concentrated sulfuric acid (H</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SO</w:t>
      </w:r>
      <w:r w:rsidRPr="00C458B8">
        <w:rPr>
          <w:rFonts w:ascii="Times New Roman" w:hAnsi="Times New Roman" w:cs="Times New Roman"/>
          <w:sz w:val="24"/>
          <w:szCs w:val="24"/>
          <w:vertAlign w:val="subscript"/>
          <w:lang w:val="en-ZA"/>
        </w:rPr>
        <w:t>4</w:t>
      </w:r>
      <w:r w:rsidRPr="007F7650">
        <w:rPr>
          <w:rFonts w:ascii="Times New Roman" w:hAnsi="Times New Roman" w:cs="Times New Roman"/>
          <w:sz w:val="24"/>
          <w:szCs w:val="24"/>
          <w:lang w:val="en-ZA"/>
        </w:rPr>
        <w:t xml:space="preserve">) were added for complete digestion of the plant material. The digestion was done slowly with a gradual increase in the hot plate temperature until it reached 180 °C. Complete decomposition of the organic matter was achieved, resulting </w:t>
      </w:r>
      <w:r w:rsidRPr="007F7650">
        <w:rPr>
          <w:rFonts w:ascii="Times New Roman" w:hAnsi="Times New Roman" w:cs="Times New Roman"/>
          <w:sz w:val="24"/>
          <w:szCs w:val="24"/>
          <w:lang w:val="en-ZA"/>
        </w:rPr>
        <w:lastRenderedPageBreak/>
        <w:t xml:space="preserve">in a clear liquid. This liquid was then transferred into 100 ml volumetric flasks and topped up with distilled water for decantation. The final solution was </w:t>
      </w:r>
      <w:proofErr w:type="spellStart"/>
      <w:r w:rsidRPr="007F7650">
        <w:rPr>
          <w:rFonts w:ascii="Times New Roman" w:hAnsi="Times New Roman" w:cs="Times New Roman"/>
          <w:sz w:val="24"/>
          <w:szCs w:val="24"/>
          <w:lang w:val="en-ZA"/>
        </w:rPr>
        <w:t>analyzed</w:t>
      </w:r>
      <w:proofErr w:type="spellEnd"/>
      <w:r w:rsidRPr="007F7650">
        <w:rPr>
          <w:rFonts w:ascii="Times New Roman" w:hAnsi="Times New Roman" w:cs="Times New Roman"/>
          <w:sz w:val="24"/>
          <w:szCs w:val="24"/>
          <w:lang w:val="en-ZA"/>
        </w:rPr>
        <w:t xml:space="preserve"> using an atomic absorption spectrometer (AAS) from Agilent (model Varian SpectrAA-240 FS)</w:t>
      </w:r>
      <w:r w:rsidR="004802D5" w:rsidRPr="007F7650">
        <w:rPr>
          <w:rFonts w:ascii="Times New Roman" w:hAnsi="Times New Roman" w:cs="Times New Roman"/>
          <w:sz w:val="24"/>
          <w:szCs w:val="24"/>
          <w:lang w:val="en-ZA"/>
        </w:rPr>
        <w:t xml:space="preserve">. </w:t>
      </w:r>
    </w:p>
    <w:p w14:paraId="5DDFF2B9" w14:textId="460F054E" w:rsidR="004802D5" w:rsidRPr="007F7650" w:rsidRDefault="00EA7D86" w:rsidP="004802D5">
      <w:pPr>
        <w:pStyle w:val="Titre2"/>
        <w:spacing w:line="360" w:lineRule="auto"/>
        <w:jc w:val="both"/>
        <w:rPr>
          <w:rFonts w:ascii="Times New Roman" w:hAnsi="Times New Roman" w:cs="Times New Roman"/>
          <w:b/>
          <w:bCs/>
          <w:color w:val="auto"/>
          <w:sz w:val="24"/>
          <w:szCs w:val="24"/>
          <w:lang w:val="en-ZA"/>
        </w:rPr>
      </w:pPr>
      <w:bookmarkStart w:id="3" w:name="_Toc216647826"/>
      <w:r w:rsidRPr="007F7650">
        <w:rPr>
          <w:rFonts w:ascii="Times New Roman" w:hAnsi="Times New Roman" w:cs="Times New Roman"/>
          <w:b/>
          <w:bCs/>
          <w:color w:val="auto"/>
          <w:sz w:val="24"/>
          <w:szCs w:val="24"/>
          <w:lang w:val="en-ZA"/>
        </w:rPr>
        <w:t>2.5</w:t>
      </w:r>
      <w:r w:rsidR="004802D5" w:rsidRPr="007F7650">
        <w:rPr>
          <w:rFonts w:ascii="Times New Roman" w:hAnsi="Times New Roman" w:cs="Times New Roman"/>
          <w:b/>
          <w:bCs/>
          <w:color w:val="auto"/>
          <w:sz w:val="24"/>
          <w:szCs w:val="24"/>
          <w:lang w:val="en-ZA"/>
        </w:rPr>
        <w:t xml:space="preserve">. </w:t>
      </w:r>
      <w:bookmarkEnd w:id="3"/>
      <w:r w:rsidR="007F7650" w:rsidRPr="007F7650">
        <w:rPr>
          <w:rFonts w:ascii="Times New Roman" w:hAnsi="Times New Roman" w:cs="Times New Roman"/>
          <w:b/>
          <w:bCs/>
          <w:color w:val="auto"/>
          <w:sz w:val="24"/>
          <w:szCs w:val="24"/>
          <w:lang w:val="en-ZA"/>
        </w:rPr>
        <w:t>Assessment of health risks associated with heavy metals in soils</w:t>
      </w:r>
    </w:p>
    <w:p w14:paraId="736F8E6D" w14:textId="73C56869" w:rsidR="004802D5" w:rsidRPr="007F7650" w:rsidRDefault="007F7650" w:rsidP="004802D5">
      <w:pPr>
        <w:spacing w:line="360" w:lineRule="auto"/>
        <w:jc w:val="both"/>
        <w:rPr>
          <w:rFonts w:ascii="Times New Roman" w:eastAsia="Calibri" w:hAnsi="Times New Roman" w:cs="Times New Roman"/>
          <w:sz w:val="24"/>
          <w:szCs w:val="24"/>
          <w:lang w:val="en-ZA"/>
        </w:rPr>
      </w:pPr>
      <w:r w:rsidRPr="007F7650">
        <w:rPr>
          <w:rFonts w:ascii="Times New Roman" w:eastAsia="Calibri" w:hAnsi="Times New Roman" w:cs="Times New Roman"/>
          <w:sz w:val="24"/>
          <w:szCs w:val="24"/>
          <w:lang w:val="en-ZA"/>
        </w:rPr>
        <w:t>The criteria commonly used to estimate the human health risks associated with the use of polluted soils are: the metal pollution index (MPI), the health risk index (HRI), and the hazard index (HI) (</w:t>
      </w:r>
      <w:proofErr w:type="spellStart"/>
      <w:r w:rsidRPr="007F7650">
        <w:rPr>
          <w:rFonts w:ascii="Times New Roman" w:eastAsia="Calibri" w:hAnsi="Times New Roman" w:cs="Times New Roman"/>
          <w:sz w:val="24"/>
          <w:szCs w:val="24"/>
          <w:lang w:val="en-ZA"/>
        </w:rPr>
        <w:t>Onyele</w:t>
      </w:r>
      <w:proofErr w:type="spellEnd"/>
      <w:r w:rsidRPr="007F7650">
        <w:rPr>
          <w:rFonts w:ascii="Times New Roman" w:eastAsia="Calibri" w:hAnsi="Times New Roman" w:cs="Times New Roman"/>
          <w:sz w:val="24"/>
          <w:szCs w:val="24"/>
          <w:lang w:val="en-ZA"/>
        </w:rPr>
        <w:t xml:space="preserve"> and </w:t>
      </w:r>
      <w:proofErr w:type="spellStart"/>
      <w:r w:rsidRPr="007F7650">
        <w:rPr>
          <w:rFonts w:ascii="Times New Roman" w:eastAsia="Calibri" w:hAnsi="Times New Roman" w:cs="Times New Roman"/>
          <w:sz w:val="24"/>
          <w:szCs w:val="24"/>
          <w:lang w:val="en-ZA"/>
        </w:rPr>
        <w:t>Anyanwu</w:t>
      </w:r>
      <w:proofErr w:type="spellEnd"/>
      <w:r w:rsidRPr="007F7650">
        <w:rPr>
          <w:rFonts w:ascii="Times New Roman" w:eastAsia="Calibri" w:hAnsi="Times New Roman" w:cs="Times New Roman"/>
          <w:sz w:val="24"/>
          <w:szCs w:val="24"/>
          <w:lang w:val="en-ZA"/>
        </w:rPr>
        <w:t xml:space="preserve">, 2018; </w:t>
      </w:r>
      <w:proofErr w:type="spellStart"/>
      <w:r w:rsidRPr="007F7650">
        <w:rPr>
          <w:rFonts w:ascii="Times New Roman" w:eastAsia="Calibri" w:hAnsi="Times New Roman" w:cs="Times New Roman"/>
          <w:sz w:val="24"/>
          <w:szCs w:val="24"/>
          <w:lang w:val="en-ZA"/>
        </w:rPr>
        <w:t>Akter</w:t>
      </w:r>
      <w:proofErr w:type="spellEnd"/>
      <w:r w:rsidRPr="007F7650">
        <w:rPr>
          <w:rFonts w:ascii="Times New Roman" w:eastAsia="Calibri" w:hAnsi="Times New Roman" w:cs="Times New Roman"/>
          <w:sz w:val="24"/>
          <w:szCs w:val="24"/>
          <w:lang w:val="en-ZA"/>
        </w:rPr>
        <w:t xml:space="preserve"> </w:t>
      </w:r>
      <w:r w:rsidRPr="00C458B8">
        <w:rPr>
          <w:rFonts w:ascii="Times New Roman" w:eastAsia="Calibri" w:hAnsi="Times New Roman" w:cs="Times New Roman"/>
          <w:i/>
          <w:iCs/>
          <w:sz w:val="24"/>
          <w:szCs w:val="24"/>
          <w:lang w:val="en-ZA"/>
        </w:rPr>
        <w:t>et al</w:t>
      </w:r>
      <w:r w:rsidRPr="007F7650">
        <w:rPr>
          <w:rFonts w:ascii="Times New Roman" w:eastAsia="Calibri" w:hAnsi="Times New Roman" w:cs="Times New Roman"/>
          <w:sz w:val="24"/>
          <w:szCs w:val="24"/>
          <w:lang w:val="en-ZA"/>
        </w:rPr>
        <w:t xml:space="preserve">., 2019; Jolly et al., 2019). These indices are used to estimate the impact of heavy metals on both plants and populations (Joly </w:t>
      </w:r>
      <w:r w:rsidRPr="00C458B8">
        <w:rPr>
          <w:rFonts w:ascii="Times New Roman" w:eastAsia="Calibri" w:hAnsi="Times New Roman" w:cs="Times New Roman"/>
          <w:i/>
          <w:iCs/>
          <w:sz w:val="24"/>
          <w:szCs w:val="24"/>
          <w:lang w:val="en-ZA"/>
        </w:rPr>
        <w:t>et al</w:t>
      </w:r>
      <w:r w:rsidRPr="007F7650">
        <w:rPr>
          <w:rFonts w:ascii="Times New Roman" w:eastAsia="Calibri" w:hAnsi="Times New Roman" w:cs="Times New Roman"/>
          <w:sz w:val="24"/>
          <w:szCs w:val="24"/>
          <w:lang w:val="en-ZA"/>
        </w:rPr>
        <w:t>., 2022) consuming crops</w:t>
      </w:r>
      <w:r>
        <w:rPr>
          <w:rFonts w:ascii="Times New Roman" w:eastAsia="Calibri" w:hAnsi="Times New Roman" w:cs="Times New Roman"/>
          <w:sz w:val="24"/>
          <w:szCs w:val="24"/>
          <w:lang w:val="en-ZA"/>
        </w:rPr>
        <w:t>.</w:t>
      </w:r>
    </w:p>
    <w:p w14:paraId="19B7E908" w14:textId="16314FE3" w:rsidR="004802D5" w:rsidRPr="007F7650" w:rsidRDefault="00EA7D86" w:rsidP="004802D5">
      <w:pPr>
        <w:pStyle w:val="Titre3"/>
        <w:spacing w:line="360" w:lineRule="auto"/>
        <w:jc w:val="both"/>
        <w:rPr>
          <w:rFonts w:ascii="Times New Roman" w:hAnsi="Times New Roman" w:cs="Times New Roman"/>
          <w:b/>
          <w:bCs/>
          <w:color w:val="auto"/>
          <w:lang w:val="en-ZA"/>
        </w:rPr>
      </w:pPr>
      <w:bookmarkStart w:id="4" w:name="_Toc216647827"/>
      <w:r w:rsidRPr="007F7650">
        <w:rPr>
          <w:rFonts w:ascii="Times New Roman" w:hAnsi="Times New Roman" w:cs="Times New Roman"/>
          <w:b/>
          <w:bCs/>
          <w:color w:val="auto"/>
          <w:lang w:val="en-ZA"/>
        </w:rPr>
        <w:t>2.5</w:t>
      </w:r>
      <w:r w:rsidR="004802D5" w:rsidRPr="007F7650">
        <w:rPr>
          <w:rFonts w:ascii="Times New Roman" w:hAnsi="Times New Roman" w:cs="Times New Roman"/>
          <w:b/>
          <w:bCs/>
          <w:color w:val="auto"/>
          <w:lang w:val="en-ZA"/>
        </w:rPr>
        <w:t>.</w:t>
      </w:r>
      <w:r w:rsidRPr="007F7650">
        <w:rPr>
          <w:rFonts w:ascii="Times New Roman" w:hAnsi="Times New Roman" w:cs="Times New Roman"/>
          <w:b/>
          <w:bCs/>
          <w:color w:val="auto"/>
          <w:lang w:val="en-ZA"/>
        </w:rPr>
        <w:t>1.</w:t>
      </w:r>
      <w:r w:rsidR="004802D5" w:rsidRPr="007F7650">
        <w:rPr>
          <w:rFonts w:ascii="Times New Roman" w:hAnsi="Times New Roman" w:cs="Times New Roman"/>
          <w:b/>
          <w:bCs/>
          <w:color w:val="auto"/>
          <w:lang w:val="en-ZA"/>
        </w:rPr>
        <w:t xml:space="preserve"> </w:t>
      </w:r>
      <w:bookmarkEnd w:id="4"/>
      <w:r w:rsidR="007F7650" w:rsidRPr="007F7650">
        <w:rPr>
          <w:rFonts w:ascii="Times New Roman" w:hAnsi="Times New Roman" w:cs="Times New Roman"/>
          <w:b/>
          <w:bCs/>
          <w:color w:val="auto"/>
          <w:lang w:val="en-ZA"/>
        </w:rPr>
        <w:t>Crop Pollution Index (CPI)</w:t>
      </w:r>
    </w:p>
    <w:p w14:paraId="3F738E14" w14:textId="0D3DB952"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 xml:space="preserve">The pollution level is the ratio between the concentration </w:t>
      </w:r>
      <w:r w:rsidR="000B5279" w:rsidRPr="007F7650">
        <w:rPr>
          <w:rFonts w:ascii="Times New Roman" w:hAnsi="Times New Roman" w:cs="Times New Roman"/>
          <w:sz w:val="24"/>
          <w:szCs w:val="24"/>
          <w:lang w:val="en-ZA"/>
        </w:rPr>
        <w:t>of heavy</w:t>
      </w:r>
      <w:r w:rsidRPr="007F7650">
        <w:rPr>
          <w:rFonts w:ascii="Times New Roman" w:hAnsi="Times New Roman" w:cs="Times New Roman"/>
          <w:sz w:val="24"/>
          <w:szCs w:val="24"/>
          <w:lang w:val="en-ZA"/>
        </w:rPr>
        <w:t xml:space="preserve"> metal in cultivated plant and the national standard value of the same heavy metal for food products. The CPI was determined using the following formula (Hu </w:t>
      </w:r>
      <w:r w:rsidRPr="000B5279">
        <w:rPr>
          <w:rFonts w:ascii="Times New Roman" w:hAnsi="Times New Roman" w:cs="Times New Roman"/>
          <w:i/>
          <w:iCs/>
          <w:sz w:val="24"/>
          <w:szCs w:val="24"/>
          <w:lang w:val="en-ZA"/>
        </w:rPr>
        <w:t>et al</w:t>
      </w:r>
      <w:r w:rsidRPr="007F7650">
        <w:rPr>
          <w:rFonts w:ascii="Times New Roman" w:hAnsi="Times New Roman" w:cs="Times New Roman"/>
          <w:sz w:val="24"/>
          <w:szCs w:val="24"/>
          <w:lang w:val="en-ZA"/>
        </w:rPr>
        <w:t>., 2017)</w:t>
      </w:r>
      <w:r w:rsidR="004802D5" w:rsidRPr="007F7650">
        <w:rPr>
          <w:rFonts w:ascii="Times New Roman" w:hAnsi="Times New Roman" w:cs="Times New Roman"/>
          <w:sz w:val="24"/>
          <w:szCs w:val="24"/>
          <w:lang w:val="en-ZA"/>
        </w:rPr>
        <w:t>:</w:t>
      </w:r>
    </w:p>
    <w:p w14:paraId="4F1E7B9E" w14:textId="77777777" w:rsidR="004802D5" w:rsidRPr="00931A33" w:rsidRDefault="004802D5" w:rsidP="004802D5">
      <w:pPr>
        <w:spacing w:before="100" w:beforeAutospacing="1" w:after="100" w:afterAutospacing="1" w:line="240" w:lineRule="auto"/>
        <w:rPr>
          <w:rFonts w:ascii="Times New Roman" w:eastAsia="Times New Roman" w:hAnsi="Times New Roman" w:cs="Times New Roman"/>
          <w:b/>
          <w:sz w:val="24"/>
          <w:szCs w:val="24"/>
          <w:lang w:eastAsia="fr-FR"/>
        </w:rPr>
      </w:pPr>
      <m:oMathPara>
        <m:oMath>
          <m:r>
            <m:rPr>
              <m:sty m:val="bi"/>
            </m:rPr>
            <w:rPr>
              <w:rFonts w:ascii="Cambria Math" w:eastAsia="Times New Roman" w:hAnsi="Cambria Math" w:cs="Times New Roman"/>
              <w:sz w:val="24"/>
              <w:szCs w:val="24"/>
              <w:lang w:eastAsia="fr-FR"/>
            </w:rPr>
            <m:t>IP</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C</m:t>
              </m:r>
            </m:e>
            <m:sub>
              <m:r>
                <m:rPr>
                  <m:sty m:val="bi"/>
                </m:rPr>
                <w:rPr>
                  <w:rFonts w:ascii="Cambria Math" w:eastAsia="Times New Roman" w:hAnsi="Cambria Math" w:cs="Times New Roman"/>
                  <w:sz w:val="24"/>
                  <w:szCs w:val="24"/>
                  <w:lang w:eastAsia="fr-FR"/>
                </w:rPr>
                <m:t>i</m:t>
              </m:r>
            </m:sub>
          </m:sSub>
          <m:r>
            <m:rPr>
              <m:sty m:val="bi"/>
            </m:rPr>
            <w:rPr>
              <w:rFonts w:ascii="Cambria Math" w:eastAsia="Times New Roman" w:hAnsi="Cambria Math" w:cs="Times New Roman"/>
              <w:sz w:val="24"/>
              <w:szCs w:val="24"/>
              <w:lang w:eastAsia="fr-FR"/>
            </w:rPr>
            <m:t>=</m:t>
          </m:r>
          <m:f>
            <m:fPr>
              <m:ctrlPr>
                <w:rPr>
                  <w:rFonts w:ascii="Cambria Math" w:eastAsia="Times New Roman" w:hAnsi="Cambria Math" w:cs="Times New Roman"/>
                  <w:b/>
                  <w:i/>
                  <w:sz w:val="24"/>
                  <w:szCs w:val="24"/>
                  <w:lang w:eastAsia="fr-FR"/>
                </w:rPr>
              </m:ctrlPr>
            </m:fPr>
            <m:num>
              <m:r>
                <m:rPr>
                  <m:sty m:val="bi"/>
                </m:rPr>
                <w:rPr>
                  <w:rFonts w:ascii="Cambria Math" w:eastAsia="Times New Roman" w:hAnsi="Cambria Math" w:cs="Times New Roman"/>
                  <w:sz w:val="24"/>
                  <w:szCs w:val="24"/>
                  <w:lang w:eastAsia="fr-FR"/>
                </w:rPr>
                <m:t>H</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M</m:t>
                  </m:r>
                </m:e>
                <m:sub>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P</m:t>
                      </m:r>
                    </m:e>
                    <m:sub>
                      <m:r>
                        <m:rPr>
                          <m:sty m:val="bi"/>
                        </m:rPr>
                        <w:rPr>
                          <w:rFonts w:ascii="Cambria Math" w:eastAsia="Times New Roman" w:hAnsi="Cambria Math" w:cs="Times New Roman"/>
                          <w:sz w:val="24"/>
                          <w:szCs w:val="24"/>
                          <w:lang w:eastAsia="fr-FR"/>
                        </w:rPr>
                        <m:t>i</m:t>
                      </m:r>
                    </m:sub>
                  </m:sSub>
                </m:sub>
              </m:sSub>
            </m:num>
            <m:den>
              <m:r>
                <m:rPr>
                  <m:sty m:val="bi"/>
                </m:rPr>
                <w:rPr>
                  <w:rFonts w:ascii="Cambria Math" w:eastAsia="Times New Roman" w:hAnsi="Cambria Math" w:cs="Times New Roman"/>
                  <w:sz w:val="24"/>
                  <w:szCs w:val="24"/>
                  <w:lang w:eastAsia="fr-FR"/>
                </w:rPr>
                <m:t>H</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M</m:t>
                  </m:r>
                </m:e>
                <m:sub>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L</m:t>
                      </m:r>
                    </m:e>
                    <m:sub>
                      <m:r>
                        <m:rPr>
                          <m:sty m:val="bi"/>
                        </m:rPr>
                        <w:rPr>
                          <w:rFonts w:ascii="Cambria Math" w:eastAsia="Times New Roman" w:hAnsi="Cambria Math" w:cs="Times New Roman"/>
                          <w:sz w:val="24"/>
                          <w:szCs w:val="24"/>
                          <w:lang w:eastAsia="fr-FR"/>
                        </w:rPr>
                        <m:t>i</m:t>
                      </m:r>
                    </m:sub>
                  </m:sSub>
                </m:sub>
              </m:sSub>
            </m:den>
          </m:f>
        </m:oMath>
      </m:oMathPara>
    </w:p>
    <w:p w14:paraId="5F793AE2" w14:textId="77777777" w:rsidR="004802D5" w:rsidRPr="00931A33" w:rsidRDefault="004802D5" w:rsidP="004802D5">
      <w:pPr>
        <w:rPr>
          <w:rFonts w:ascii="Times New Roman" w:hAnsi="Times New Roman" w:cs="Times New Roman"/>
          <w:sz w:val="24"/>
          <w:szCs w:val="24"/>
        </w:rPr>
      </w:pPr>
    </w:p>
    <w:p w14:paraId="269BD0FE" w14:textId="275FD12F" w:rsidR="004802D5" w:rsidRPr="000B5279" w:rsidRDefault="004802D5" w:rsidP="007F7650">
      <w:pPr>
        <w:spacing w:before="120" w:after="120" w:line="360" w:lineRule="auto"/>
        <w:jc w:val="both"/>
        <w:rPr>
          <w:rFonts w:ascii="Times New Roman" w:hAnsi="Times New Roman" w:cs="Times New Roman"/>
          <w:sz w:val="24"/>
          <w:szCs w:val="24"/>
          <w:lang w:val="en-ZA"/>
        </w:rPr>
      </w:pPr>
      <w:proofErr w:type="spellStart"/>
      <w:r w:rsidRPr="007F7650">
        <w:rPr>
          <w:rFonts w:ascii="Times New Roman" w:hAnsi="Times New Roman" w:cs="Times New Roman"/>
          <w:sz w:val="24"/>
          <w:szCs w:val="24"/>
          <w:lang w:val="en-ZA"/>
        </w:rPr>
        <w:t>HM</w:t>
      </w:r>
      <w:r w:rsidRPr="007F7650">
        <w:rPr>
          <w:rFonts w:ascii="Times New Roman" w:hAnsi="Times New Roman" w:cs="Times New Roman"/>
          <w:sz w:val="24"/>
          <w:szCs w:val="24"/>
          <w:vertAlign w:val="subscript"/>
          <w:lang w:val="en-ZA"/>
        </w:rPr>
        <w:t>pi</w:t>
      </w:r>
      <w:proofErr w:type="spellEnd"/>
      <w:r w:rsidRPr="007F7650">
        <w:rPr>
          <w:rFonts w:ascii="Times New Roman" w:hAnsi="Times New Roman" w:cs="Times New Roman"/>
          <w:sz w:val="24"/>
          <w:szCs w:val="24"/>
          <w:lang w:val="en-ZA"/>
        </w:rPr>
        <w:t xml:space="preserve"> </w:t>
      </w:r>
      <w:r w:rsidR="007F7650" w:rsidRPr="007F7650">
        <w:rPr>
          <w:rFonts w:ascii="Times New Roman" w:hAnsi="Times New Roman" w:cs="Times New Roman"/>
          <w:sz w:val="24"/>
          <w:szCs w:val="24"/>
          <w:lang w:val="en-ZA"/>
        </w:rPr>
        <w:t>represents the measured concentration of metal '</w:t>
      </w:r>
      <w:proofErr w:type="spellStart"/>
      <w:r w:rsidR="007F7650" w:rsidRPr="007F7650">
        <w:rPr>
          <w:rFonts w:ascii="Times New Roman" w:hAnsi="Times New Roman" w:cs="Times New Roman"/>
          <w:sz w:val="24"/>
          <w:szCs w:val="24"/>
          <w:lang w:val="en-ZA"/>
        </w:rPr>
        <w:t>i</w:t>
      </w:r>
      <w:proofErr w:type="spellEnd"/>
      <w:r w:rsidR="007F7650" w:rsidRPr="007F7650">
        <w:rPr>
          <w:rFonts w:ascii="Times New Roman" w:hAnsi="Times New Roman" w:cs="Times New Roman"/>
          <w:sz w:val="24"/>
          <w:szCs w:val="24"/>
          <w:lang w:val="en-ZA"/>
        </w:rPr>
        <w:t xml:space="preserve">' in the cultivated plant, and </w:t>
      </w:r>
      <w:proofErr w:type="spellStart"/>
      <w:r w:rsidRPr="007F7650">
        <w:rPr>
          <w:rFonts w:ascii="Times New Roman" w:hAnsi="Times New Roman" w:cs="Times New Roman"/>
          <w:sz w:val="24"/>
          <w:szCs w:val="24"/>
          <w:lang w:val="en-ZA"/>
        </w:rPr>
        <w:t>HM</w:t>
      </w:r>
      <w:r w:rsidRPr="007F7650">
        <w:rPr>
          <w:rFonts w:ascii="Times New Roman" w:hAnsi="Times New Roman" w:cs="Times New Roman"/>
          <w:sz w:val="24"/>
          <w:szCs w:val="24"/>
          <w:vertAlign w:val="subscript"/>
          <w:lang w:val="en-ZA"/>
        </w:rPr>
        <w:t>Li</w:t>
      </w:r>
      <w:proofErr w:type="spellEnd"/>
      <w:r w:rsidRPr="007F7650">
        <w:rPr>
          <w:rFonts w:ascii="Times New Roman" w:hAnsi="Times New Roman" w:cs="Times New Roman"/>
          <w:sz w:val="24"/>
          <w:szCs w:val="24"/>
          <w:lang w:val="en-ZA"/>
        </w:rPr>
        <w:t xml:space="preserve">, </w:t>
      </w:r>
      <w:bookmarkStart w:id="5" w:name="_Hlk212619613"/>
      <w:r w:rsidR="007F7650" w:rsidRPr="007F7650">
        <w:rPr>
          <w:rFonts w:ascii="Times New Roman" w:hAnsi="Times New Roman" w:cs="Times New Roman"/>
          <w:sz w:val="24"/>
          <w:szCs w:val="24"/>
          <w:lang w:val="en-ZA"/>
        </w:rPr>
        <w:t>the maximum allowed value of metal '</w:t>
      </w:r>
      <w:proofErr w:type="spellStart"/>
      <w:r w:rsidR="007F7650" w:rsidRPr="007F7650">
        <w:rPr>
          <w:rFonts w:ascii="Times New Roman" w:hAnsi="Times New Roman" w:cs="Times New Roman"/>
          <w:sz w:val="24"/>
          <w:szCs w:val="24"/>
          <w:lang w:val="en-ZA"/>
        </w:rPr>
        <w:t>i</w:t>
      </w:r>
      <w:proofErr w:type="spellEnd"/>
      <w:r w:rsidR="007F7650" w:rsidRPr="007F7650">
        <w:rPr>
          <w:rFonts w:ascii="Times New Roman" w:hAnsi="Times New Roman" w:cs="Times New Roman"/>
          <w:sz w:val="24"/>
          <w:szCs w:val="24"/>
          <w:lang w:val="en-ZA"/>
        </w:rPr>
        <w:t>' in the same plant for food products according to food standards.</w:t>
      </w:r>
      <w:r w:rsidR="007F7650" w:rsidRPr="007F7650">
        <w:rPr>
          <w:rFonts w:ascii="Times New Roman" w:hAnsi="Times New Roman" w:cs="Times New Roman"/>
          <w:sz w:val="24"/>
          <w:szCs w:val="24"/>
          <w:lang w:val="en-ZA"/>
        </w:rPr>
        <w:br/>
        <w:t>The threshold toxicity values for heavy metals recommended for fruit vegetables according to FAO (2019) are</w:t>
      </w:r>
      <w:r w:rsidRPr="007F7650">
        <w:rPr>
          <w:rFonts w:ascii="Times New Roman" w:hAnsi="Times New Roman" w:cs="Times New Roman"/>
          <w:sz w:val="24"/>
          <w:szCs w:val="24"/>
          <w:lang w:val="en-ZA"/>
        </w:rPr>
        <w:t xml:space="preserve"> : As(0,10), Cd(0,05), Cr(2,3), Cu(73), Ni(67), Pb(0,1) et Zn(100). </w:t>
      </w:r>
      <w:r w:rsidR="000B5279" w:rsidRPr="000B5279">
        <w:rPr>
          <w:rFonts w:ascii="Times New Roman" w:hAnsi="Times New Roman" w:cs="Times New Roman"/>
          <w:sz w:val="24"/>
          <w:szCs w:val="24"/>
          <w:lang w:val="en"/>
        </w:rPr>
        <w:t>Those of leafy vegetables are</w:t>
      </w:r>
      <w:r w:rsidR="000B5279" w:rsidRPr="000B5279">
        <w:rPr>
          <w:rFonts w:ascii="Times New Roman" w:hAnsi="Times New Roman" w:cs="Times New Roman"/>
          <w:sz w:val="24"/>
          <w:szCs w:val="24"/>
          <w:lang w:val="en-ZA"/>
        </w:rPr>
        <w:t xml:space="preserve"> </w:t>
      </w:r>
      <w:r w:rsidRPr="000B5279">
        <w:rPr>
          <w:rFonts w:ascii="Times New Roman" w:hAnsi="Times New Roman" w:cs="Times New Roman"/>
          <w:sz w:val="24"/>
          <w:szCs w:val="24"/>
          <w:lang w:val="en-ZA"/>
        </w:rPr>
        <w:t>: As(0,10), Cd(0,2), Cr(2,3), Cu(73), Ni(67), Pb(0,3) et Zn(100).</w:t>
      </w:r>
    </w:p>
    <w:p w14:paraId="42AD5F5D" w14:textId="307A8B16" w:rsidR="004802D5" w:rsidRPr="00CA64C8" w:rsidRDefault="00EA7D86" w:rsidP="004802D5">
      <w:pPr>
        <w:pStyle w:val="Titre3"/>
        <w:spacing w:line="360" w:lineRule="auto"/>
        <w:jc w:val="both"/>
        <w:rPr>
          <w:rFonts w:ascii="Times New Roman" w:hAnsi="Times New Roman" w:cs="Times New Roman"/>
          <w:b/>
          <w:bCs/>
          <w:color w:val="auto"/>
          <w:lang w:val="en-ZA"/>
        </w:rPr>
      </w:pPr>
      <w:bookmarkStart w:id="6" w:name="_Toc216647828"/>
      <w:bookmarkEnd w:id="5"/>
      <w:r w:rsidRPr="00CA64C8">
        <w:rPr>
          <w:rFonts w:ascii="Times New Roman" w:hAnsi="Times New Roman" w:cs="Times New Roman"/>
          <w:b/>
          <w:bCs/>
          <w:color w:val="auto"/>
          <w:lang w:val="en-ZA"/>
        </w:rPr>
        <w:t>2.5</w:t>
      </w:r>
      <w:r w:rsidR="004802D5" w:rsidRPr="00CA64C8">
        <w:rPr>
          <w:rFonts w:ascii="Times New Roman" w:hAnsi="Times New Roman" w:cs="Times New Roman"/>
          <w:b/>
          <w:bCs/>
          <w:color w:val="auto"/>
          <w:lang w:val="en-ZA"/>
        </w:rPr>
        <w:t xml:space="preserve">.2. </w:t>
      </w:r>
      <w:bookmarkEnd w:id="6"/>
      <w:r w:rsidR="00CA64C8" w:rsidRPr="00CA64C8">
        <w:rPr>
          <w:rFonts w:ascii="Times New Roman" w:hAnsi="Times New Roman" w:cs="Times New Roman"/>
          <w:b/>
          <w:bCs/>
          <w:color w:val="auto"/>
          <w:lang w:val="en-ZA"/>
        </w:rPr>
        <w:t>Metal Pollution Index (MPI)</w:t>
      </w:r>
    </w:p>
    <w:p w14:paraId="3DADB378" w14:textId="21E8BBF6" w:rsidR="00CA64C8" w:rsidRPr="00CA64C8" w:rsidRDefault="00CA64C8" w:rsidP="004802D5">
      <w:pPr>
        <w:spacing w:line="360" w:lineRule="auto"/>
        <w:jc w:val="both"/>
        <w:rPr>
          <w:rFonts w:ascii="Times New Roman" w:eastAsia="Calibri" w:hAnsi="Times New Roman" w:cs="Times New Roman"/>
          <w:sz w:val="24"/>
          <w:szCs w:val="24"/>
          <w:lang w:val="en-ZA"/>
        </w:rPr>
      </w:pPr>
      <w:r w:rsidRPr="00CA64C8">
        <w:rPr>
          <w:rFonts w:ascii="Times New Roman" w:eastAsia="Calibri" w:hAnsi="Times New Roman" w:cs="Times New Roman"/>
          <w:sz w:val="24"/>
          <w:szCs w:val="24"/>
          <w:lang w:val="en-ZA"/>
        </w:rPr>
        <w:t xml:space="preserve">The Metal Pollution Index (MPI) was calculated to determine the overall heavy metal content in different plant parts. The determination of the Metal Pollution Index is a method for monitoring metal pollution (Khan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2014;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2019; Jolly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2019) in plants that have been affected by contamination. It is the geometric mean of the concentrations of all heavy metals </w:t>
      </w:r>
      <w:proofErr w:type="spellStart"/>
      <w:r w:rsidRPr="00CA64C8">
        <w:rPr>
          <w:rFonts w:ascii="Times New Roman" w:eastAsia="Calibri" w:hAnsi="Times New Roman" w:cs="Times New Roman"/>
          <w:sz w:val="24"/>
          <w:szCs w:val="24"/>
          <w:lang w:val="en-ZA"/>
        </w:rPr>
        <w:t>analyzed</w:t>
      </w:r>
      <w:proofErr w:type="spellEnd"/>
      <w:r w:rsidRPr="00CA64C8">
        <w:rPr>
          <w:rFonts w:ascii="Times New Roman" w:eastAsia="Calibri" w:hAnsi="Times New Roman" w:cs="Times New Roman"/>
          <w:sz w:val="24"/>
          <w:szCs w:val="24"/>
          <w:lang w:val="en-ZA"/>
        </w:rPr>
        <w:t xml:space="preserve"> in the food product (Jolly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w:t>
      </w:r>
    </w:p>
    <w:p w14:paraId="27A22BAE" w14:textId="79228DFA" w:rsidR="004802D5" w:rsidRPr="00931A33" w:rsidRDefault="004802D5" w:rsidP="004802D5">
      <w:pPr>
        <w:spacing w:line="360"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IMP =</m:t>
          </m:r>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1</m:t>
                      </m:r>
                    </m:sub>
                  </m:sSub>
                  <m:r>
                    <w:rPr>
                      <w:rFonts w:ascii="Cambria Math" w:eastAsia="Calibri" w:hAnsi="Cambria Math" w:cs="Times New Roman"/>
                      <w:sz w:val="24"/>
                      <w:szCs w:val="24"/>
                    </w:rPr>
                    <m:t>x</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2</m:t>
                      </m:r>
                    </m:sub>
                  </m:sSub>
                  <m:r>
                    <w:rPr>
                      <w:rFonts w:ascii="Cambria Math" w:eastAsia="Calibri" w:hAnsi="Cambria Math" w:cs="Times New Roman"/>
                      <w:sz w:val="24"/>
                      <w:szCs w:val="24"/>
                    </w:rPr>
                    <m:t>x⋯</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n</m:t>
                      </m:r>
                    </m:sub>
                  </m:sSub>
                </m:e>
              </m:d>
            </m:e>
            <m:sup>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sup>
          </m:sSup>
        </m:oMath>
      </m:oMathPara>
    </w:p>
    <w:p w14:paraId="13726DC8" w14:textId="4DEFBAD7" w:rsidR="004802D5" w:rsidRPr="00CA64C8" w:rsidRDefault="004802D5" w:rsidP="004802D5">
      <w:pPr>
        <w:spacing w:line="360" w:lineRule="auto"/>
        <w:jc w:val="both"/>
        <w:rPr>
          <w:rFonts w:ascii="Times New Roman" w:hAnsi="Times New Roman" w:cs="Times New Roman"/>
          <w:b/>
          <w:sz w:val="24"/>
          <w:szCs w:val="24"/>
          <w:lang w:val="en-ZA"/>
        </w:rPr>
      </w:pPr>
      <w:proofErr w:type="spellStart"/>
      <w:r w:rsidRPr="00CA64C8">
        <w:rPr>
          <w:rFonts w:ascii="Times New Roman" w:hAnsi="Times New Roman" w:cs="Times New Roman"/>
          <w:bCs/>
          <w:sz w:val="24"/>
          <w:szCs w:val="24"/>
          <w:lang w:val="en-ZA"/>
        </w:rPr>
        <w:t>HM</w:t>
      </w:r>
      <w:r w:rsidRPr="00CA64C8">
        <w:rPr>
          <w:rFonts w:ascii="Times New Roman" w:hAnsi="Times New Roman" w:cs="Times New Roman"/>
          <w:bCs/>
          <w:sz w:val="24"/>
          <w:szCs w:val="24"/>
          <w:vertAlign w:val="subscript"/>
          <w:lang w:val="en-ZA"/>
        </w:rPr>
        <w:t>n</w:t>
      </w:r>
      <w:proofErr w:type="spellEnd"/>
      <w:r w:rsidRPr="00CA64C8">
        <w:rPr>
          <w:rFonts w:ascii="Times New Roman" w:hAnsi="Times New Roman" w:cs="Times New Roman"/>
          <w:bCs/>
          <w:sz w:val="24"/>
          <w:szCs w:val="24"/>
          <w:lang w:val="en-ZA"/>
        </w:rPr>
        <w:t>=</w:t>
      </w:r>
      <w:r w:rsidRPr="00CA64C8">
        <w:rPr>
          <w:rFonts w:ascii="Times New Roman" w:hAnsi="Times New Roman" w:cs="Times New Roman"/>
          <w:b/>
          <w:sz w:val="24"/>
          <w:szCs w:val="24"/>
          <w:lang w:val="en-ZA"/>
        </w:rPr>
        <w:t xml:space="preserve"> </w:t>
      </w:r>
      <w:r w:rsidR="00CA64C8" w:rsidRPr="00CA64C8">
        <w:rPr>
          <w:rFonts w:ascii="Times New Roman" w:hAnsi="Times New Roman" w:cs="Times New Roman"/>
          <w:bCs/>
          <w:sz w:val="24"/>
          <w:szCs w:val="24"/>
          <w:lang w:val="en-ZA"/>
        </w:rPr>
        <w:t xml:space="preserve">Concentration of metal </w:t>
      </w:r>
      <w:r w:rsidR="000B5279">
        <w:rPr>
          <w:rFonts w:ascii="Times New Roman" w:hAnsi="Times New Roman" w:cs="Times New Roman"/>
          <w:bCs/>
          <w:sz w:val="24"/>
          <w:szCs w:val="24"/>
          <w:lang w:val="en-ZA"/>
        </w:rPr>
        <w:t>“</w:t>
      </w:r>
      <w:r w:rsidR="00CA64C8" w:rsidRPr="00CA64C8">
        <w:rPr>
          <w:rFonts w:ascii="Times New Roman" w:hAnsi="Times New Roman" w:cs="Times New Roman"/>
          <w:bCs/>
          <w:sz w:val="24"/>
          <w:szCs w:val="24"/>
          <w:lang w:val="en-ZA"/>
        </w:rPr>
        <w:t>n</w:t>
      </w:r>
      <w:r w:rsidR="000B5279">
        <w:rPr>
          <w:rFonts w:ascii="Times New Roman" w:hAnsi="Times New Roman" w:cs="Times New Roman"/>
          <w:bCs/>
          <w:sz w:val="24"/>
          <w:szCs w:val="24"/>
          <w:lang w:val="en-ZA"/>
        </w:rPr>
        <w:t>”</w:t>
      </w:r>
      <w:r w:rsidR="00CA64C8" w:rsidRPr="00CA64C8">
        <w:rPr>
          <w:rFonts w:ascii="Times New Roman" w:hAnsi="Times New Roman" w:cs="Times New Roman"/>
          <w:bCs/>
          <w:sz w:val="24"/>
          <w:szCs w:val="24"/>
          <w:lang w:val="en-ZA"/>
        </w:rPr>
        <w:t xml:space="preserve"> in the sample</w:t>
      </w:r>
      <w:r w:rsidRPr="00CA64C8">
        <w:rPr>
          <w:rFonts w:ascii="Times New Roman" w:hAnsi="Times New Roman" w:cs="Times New Roman"/>
          <w:b/>
          <w:sz w:val="24"/>
          <w:szCs w:val="24"/>
          <w:lang w:val="en-ZA"/>
        </w:rPr>
        <w:t>.</w:t>
      </w:r>
    </w:p>
    <w:p w14:paraId="27EA54A5" w14:textId="52A93AA1" w:rsidR="004802D5" w:rsidRPr="00CA64C8" w:rsidRDefault="000A692B" w:rsidP="004802D5">
      <w:pPr>
        <w:pStyle w:val="Titre3"/>
        <w:spacing w:before="0" w:line="360" w:lineRule="auto"/>
        <w:jc w:val="both"/>
        <w:rPr>
          <w:rFonts w:ascii="Times New Roman" w:hAnsi="Times New Roman" w:cs="Times New Roman"/>
          <w:b/>
          <w:bCs/>
          <w:color w:val="auto"/>
          <w:lang w:val="en-ZA"/>
        </w:rPr>
      </w:pPr>
      <w:bookmarkStart w:id="7" w:name="_Toc216647829"/>
      <w:r w:rsidRPr="00CA64C8">
        <w:rPr>
          <w:rFonts w:ascii="Times New Roman" w:hAnsi="Times New Roman" w:cs="Times New Roman"/>
          <w:b/>
          <w:bCs/>
          <w:color w:val="auto"/>
          <w:lang w:val="en-ZA"/>
        </w:rPr>
        <w:lastRenderedPageBreak/>
        <w:t>2.5</w:t>
      </w:r>
      <w:r w:rsidR="004802D5" w:rsidRPr="00CA64C8">
        <w:rPr>
          <w:rFonts w:ascii="Times New Roman" w:hAnsi="Times New Roman" w:cs="Times New Roman"/>
          <w:b/>
          <w:bCs/>
          <w:color w:val="auto"/>
          <w:lang w:val="en-ZA"/>
        </w:rPr>
        <w:t xml:space="preserve">.3. </w:t>
      </w:r>
      <w:bookmarkEnd w:id="7"/>
      <w:r w:rsidR="00CA64C8" w:rsidRPr="00CA64C8">
        <w:rPr>
          <w:rFonts w:ascii="Times New Roman" w:hAnsi="Times New Roman" w:cs="Times New Roman"/>
          <w:b/>
          <w:bCs/>
          <w:color w:val="auto"/>
          <w:lang w:val="en-ZA"/>
        </w:rPr>
        <w:t>Health Risk Index (HRI)</w:t>
      </w:r>
    </w:p>
    <w:p w14:paraId="0B1C8DF1" w14:textId="6C68054B" w:rsidR="004802D5" w:rsidRPr="002B7903" w:rsidRDefault="00CA64C8" w:rsidP="004802D5">
      <w:pPr>
        <w:spacing w:after="0" w:line="360" w:lineRule="auto"/>
        <w:jc w:val="both"/>
        <w:rPr>
          <w:rFonts w:ascii="Times New Roman" w:eastAsia="Calibri" w:hAnsi="Times New Roman" w:cs="Times New Roman"/>
          <w:sz w:val="24"/>
          <w:szCs w:val="24"/>
          <w:lang w:val="en-ZA"/>
        </w:rPr>
      </w:pPr>
      <w:bookmarkStart w:id="8" w:name="_Hlk212619652"/>
      <w:r w:rsidRPr="00CA64C8">
        <w:rPr>
          <w:rFonts w:ascii="Times New Roman" w:eastAsia="Calibri" w:hAnsi="Times New Roman" w:cs="Times New Roman"/>
          <w:sz w:val="24"/>
          <w:szCs w:val="24"/>
          <w:lang w:val="en-ZA"/>
        </w:rPr>
        <w:t>The health risk index is defined as the ratio between the estimated daily intake (EDI) from food consumption and the oral reference dose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The EDI is the daily dose of heavy metals (mg/l) to which consumers may be exposed, and the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is the reference dose, meaning the daily dose that allows an individual to tolerate this level of exposure over a long period without experiencing harmful effects.</w:t>
      </w:r>
      <w:r w:rsidR="002B7903">
        <w:rPr>
          <w:rFonts w:ascii="Times New Roman" w:eastAsia="Calibri" w:hAnsi="Times New Roman" w:cs="Times New Roman"/>
          <w:sz w:val="24"/>
          <w:szCs w:val="24"/>
          <w:lang w:val="en-ZA"/>
        </w:rPr>
        <w:t xml:space="preserve"> T</w:t>
      </w:r>
      <w:r w:rsidRPr="00CA64C8">
        <w:rPr>
          <w:rFonts w:ascii="Times New Roman" w:eastAsia="Calibri" w:hAnsi="Times New Roman" w:cs="Times New Roman"/>
          <w:sz w:val="24"/>
          <w:szCs w:val="24"/>
          <w:lang w:val="en-ZA"/>
        </w:rPr>
        <w:t>he values of the oral reference dose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for heavy metals (mg/day) are </w:t>
      </w:r>
      <w:r w:rsidR="004802D5" w:rsidRPr="00CA64C8">
        <w:rPr>
          <w:rFonts w:ascii="Times New Roman" w:hAnsi="Times New Roman" w:cs="Times New Roman"/>
          <w:color w:val="000000" w:themeColor="text1"/>
          <w:sz w:val="24"/>
          <w:szCs w:val="24"/>
          <w:lang w:val="en-ZA"/>
        </w:rPr>
        <w:t xml:space="preserve"> : As(0,0003), Cd(0,0005), Cr(1,5), Cu(0,04), Ni(0,02), Pb(0,004) et Zn(0,3) (Jolly </w:t>
      </w:r>
      <w:r w:rsidR="004802D5" w:rsidRPr="00CA64C8">
        <w:rPr>
          <w:rFonts w:ascii="Times New Roman" w:hAnsi="Times New Roman" w:cs="Times New Roman"/>
          <w:i/>
          <w:iCs/>
          <w:color w:val="000000" w:themeColor="text1"/>
          <w:sz w:val="24"/>
          <w:szCs w:val="24"/>
          <w:lang w:val="en-ZA"/>
        </w:rPr>
        <w:t>et al</w:t>
      </w:r>
      <w:r w:rsidR="004802D5" w:rsidRPr="00CA64C8">
        <w:rPr>
          <w:rFonts w:ascii="Times New Roman" w:hAnsi="Times New Roman" w:cs="Times New Roman"/>
          <w:color w:val="000000" w:themeColor="text1"/>
          <w:sz w:val="24"/>
          <w:szCs w:val="24"/>
          <w:lang w:val="en-ZA"/>
        </w:rPr>
        <w:t>, 2019).</w:t>
      </w:r>
      <w:bookmarkEnd w:id="8"/>
    </w:p>
    <w:p w14:paraId="617DFF3C" w14:textId="3C669720" w:rsidR="004802D5" w:rsidRPr="002B7903" w:rsidRDefault="004802D5" w:rsidP="002B7903">
      <w:pPr>
        <w:spacing w:line="360" w:lineRule="auto"/>
        <w:jc w:val="both"/>
        <w:rPr>
          <w:rFonts w:ascii="Times New Roman" w:eastAsia="Calibri" w:hAnsi="Times New Roman" w:cs="Times New Roman"/>
          <w:sz w:val="24"/>
          <w:szCs w:val="24"/>
          <w:lang w:val="en-ZA"/>
        </w:rPr>
      </w:pPr>
      <w:r w:rsidRPr="00CA64C8">
        <w:rPr>
          <w:rFonts w:ascii="Times New Roman" w:hAnsi="Times New Roman" w:cs="Times New Roman"/>
          <w:color w:val="000000" w:themeColor="text1"/>
          <w:sz w:val="24"/>
          <w:szCs w:val="24"/>
          <w:lang w:val="en-ZA"/>
        </w:rPr>
        <w:t xml:space="preserve"> </w:t>
      </w:r>
      <w:r w:rsidR="002B7903" w:rsidRPr="002B7903">
        <w:rPr>
          <w:rFonts w:ascii="Times New Roman" w:eastAsia="Calibri" w:hAnsi="Times New Roman" w:cs="Times New Roman"/>
          <w:sz w:val="24"/>
          <w:szCs w:val="24"/>
          <w:lang w:val="en"/>
        </w:rPr>
        <w:t>The estimated daily intake (EDI) per heavy metal is calculated using the following equation</w:t>
      </w:r>
      <w:r w:rsidR="002B7903">
        <w:rPr>
          <w:rFonts w:ascii="Times New Roman" w:eastAsia="Calibri" w:hAnsi="Times New Roman" w:cs="Times New Roman"/>
          <w:sz w:val="24"/>
          <w:szCs w:val="24"/>
          <w:lang w:val="en-ZA"/>
        </w:rPr>
        <w:t xml:space="preserve"> </w:t>
      </w:r>
      <w:r w:rsidRPr="002B7903">
        <w:rPr>
          <w:rFonts w:ascii="Times New Roman" w:eastAsia="Calibri" w:hAnsi="Times New Roman" w:cs="Times New Roman"/>
          <w:sz w:val="24"/>
          <w:szCs w:val="24"/>
          <w:lang w:val="en-ZA"/>
        </w:rPr>
        <w:t xml:space="preserve">(Khan </w:t>
      </w:r>
      <w:r w:rsidRPr="002B7903">
        <w:rPr>
          <w:rFonts w:ascii="Times New Roman" w:eastAsia="Calibri" w:hAnsi="Times New Roman" w:cs="Times New Roman"/>
          <w:i/>
          <w:iCs/>
          <w:sz w:val="24"/>
          <w:szCs w:val="24"/>
          <w:lang w:val="en-ZA"/>
        </w:rPr>
        <w:t>et al</w:t>
      </w:r>
      <w:r w:rsidRPr="002B7903">
        <w:rPr>
          <w:rFonts w:ascii="Times New Roman" w:eastAsia="Calibri" w:hAnsi="Times New Roman" w:cs="Times New Roman"/>
          <w:sz w:val="24"/>
          <w:szCs w:val="24"/>
          <w:lang w:val="en-ZA"/>
        </w:rPr>
        <w:t>., 2014</w:t>
      </w:r>
      <w:r w:rsidR="002B7903" w:rsidRPr="002B7903">
        <w:rPr>
          <w:rFonts w:ascii="Times New Roman" w:eastAsia="Calibri" w:hAnsi="Times New Roman" w:cs="Times New Roman"/>
          <w:sz w:val="24"/>
          <w:szCs w:val="24"/>
          <w:lang w:val="en-ZA"/>
        </w:rPr>
        <w:t>)</w:t>
      </w:r>
      <w:r w:rsidR="002B7903">
        <w:rPr>
          <w:rFonts w:ascii="Times New Roman" w:eastAsia="Calibri" w:hAnsi="Times New Roman" w:cs="Times New Roman"/>
          <w:sz w:val="24"/>
          <w:szCs w:val="24"/>
          <w:lang w:val="en-ZA"/>
        </w:rPr>
        <w:t>:</w:t>
      </w:r>
    </w:p>
    <w:p w14:paraId="39B592D7" w14:textId="77777777" w:rsidR="004802D5" w:rsidRPr="00931A33" w:rsidRDefault="004802D5" w:rsidP="004802D5">
      <w:pPr>
        <w:spacing w:line="360" w:lineRule="auto"/>
        <w:jc w:val="both"/>
        <w:rPr>
          <w:rFonts w:ascii="Times New Roman" w:eastAsia="Calibri" w:hAnsi="Times New Roman" w:cs="Times New Roman"/>
          <w:sz w:val="24"/>
          <w:szCs w:val="24"/>
        </w:rPr>
      </w:pPr>
      <w:r w:rsidRPr="00931A33">
        <w:rPr>
          <w:rFonts w:ascii="Times New Roman" w:hAnsi="Times New Roman" w:cs="Times New Roman"/>
          <w:b/>
          <w:bCs/>
          <w:color w:val="000000" w:themeColor="text1"/>
          <w:sz w:val="24"/>
          <w:szCs w:val="24"/>
        </w:rPr>
        <w:t xml:space="preserve">DJE </w:t>
      </w:r>
      <w:r w:rsidRPr="00931A33">
        <w:rPr>
          <w:rFonts w:ascii="Times New Roman" w:hAnsi="Times New Roman" w:cs="Times New Roman"/>
          <w:bCs/>
          <w:color w:val="000000" w:themeColor="text1"/>
          <w:sz w:val="24"/>
          <w:szCs w:val="24"/>
        </w:rPr>
        <w:t xml:space="preserve">= </w:t>
      </w:r>
      <m:oMath>
        <m:f>
          <m:fPr>
            <m:ctrlPr>
              <w:rPr>
                <w:rFonts w:ascii="Cambria Math" w:hAnsi="Cambria Math" w:cs="Times New Roman"/>
                <w:b/>
                <w:bCs/>
                <w:color w:val="000000" w:themeColor="text1"/>
                <w:sz w:val="24"/>
                <w:szCs w:val="24"/>
              </w:rPr>
            </m:ctrlPr>
          </m:fPr>
          <m:num>
            <m:r>
              <m:rPr>
                <m:sty m:val="b"/>
              </m:rPr>
              <w:rPr>
                <w:rFonts w:ascii="Cambria Math" w:hAnsi="Cambria Math" w:cs="Times New Roman"/>
                <w:color w:val="000000" w:themeColor="text1"/>
                <w:sz w:val="24"/>
                <w:szCs w:val="24"/>
              </w:rPr>
              <m:t xml:space="preserve">HMi x Qj  </m:t>
            </m:r>
          </m:num>
          <m:den>
            <m:r>
              <m:rPr>
                <m:sty m:val="b"/>
              </m:rPr>
              <w:rPr>
                <w:rFonts w:ascii="Cambria Math" w:hAnsi="Cambria Math" w:cs="Times New Roman"/>
                <w:color w:val="000000" w:themeColor="text1"/>
                <w:sz w:val="24"/>
                <w:szCs w:val="24"/>
              </w:rPr>
              <m:t>P</m:t>
            </m:r>
          </m:den>
        </m:f>
      </m:oMath>
    </w:p>
    <w:p w14:paraId="202A2A48" w14:textId="0CDD0082" w:rsidR="004802D5" w:rsidRPr="00A52C76" w:rsidRDefault="004802D5" w:rsidP="00CA64C8">
      <w:pPr>
        <w:spacing w:line="360" w:lineRule="auto"/>
        <w:jc w:val="both"/>
        <w:rPr>
          <w:rFonts w:ascii="Times New Roman" w:hAnsi="Times New Roman" w:cs="Times New Roman"/>
          <w:bCs/>
          <w:color w:val="000000" w:themeColor="text1"/>
          <w:sz w:val="24"/>
          <w:szCs w:val="24"/>
          <w:lang w:val="en-ZA"/>
        </w:rPr>
      </w:pPr>
      <w:proofErr w:type="spellStart"/>
      <w:proofErr w:type="gramStart"/>
      <w:r w:rsidRPr="00CA64C8">
        <w:rPr>
          <w:rFonts w:ascii="Times New Roman" w:hAnsi="Times New Roman" w:cs="Times New Roman"/>
          <w:b/>
          <w:bCs/>
          <w:color w:val="000000" w:themeColor="text1"/>
          <w:sz w:val="24"/>
          <w:szCs w:val="24"/>
          <w:lang w:val="en-ZA"/>
        </w:rPr>
        <w:t>HM</w:t>
      </w:r>
      <w:r w:rsidRPr="00CA64C8">
        <w:rPr>
          <w:rFonts w:ascii="Times New Roman" w:hAnsi="Times New Roman" w:cs="Times New Roman"/>
          <w:b/>
          <w:bCs/>
          <w:color w:val="000000" w:themeColor="text1"/>
          <w:sz w:val="24"/>
          <w:szCs w:val="24"/>
          <w:vertAlign w:val="subscript"/>
          <w:lang w:val="en-ZA"/>
        </w:rPr>
        <w:t>i</w:t>
      </w:r>
      <w:proofErr w:type="spellEnd"/>
      <w:r w:rsidRPr="00CA64C8">
        <w:rPr>
          <w:rFonts w:ascii="Times New Roman" w:hAnsi="Times New Roman" w:cs="Times New Roman"/>
          <w:bCs/>
          <w:color w:val="000000" w:themeColor="text1"/>
          <w:sz w:val="24"/>
          <w:szCs w:val="24"/>
          <w:vertAlign w:val="subscript"/>
          <w:lang w:val="en-ZA"/>
        </w:rPr>
        <w:t> </w:t>
      </w:r>
      <w:r w:rsidRPr="00CA64C8">
        <w:rPr>
          <w:rFonts w:ascii="Times New Roman" w:hAnsi="Times New Roman" w:cs="Times New Roman"/>
          <w:bCs/>
          <w:color w:val="000000" w:themeColor="text1"/>
          <w:sz w:val="24"/>
          <w:szCs w:val="24"/>
          <w:lang w:val="en-ZA"/>
        </w:rPr>
        <w:t>:</w:t>
      </w:r>
      <w:proofErr w:type="gramEnd"/>
      <w:r w:rsidRPr="00CA64C8">
        <w:rPr>
          <w:rFonts w:ascii="Times New Roman" w:hAnsi="Times New Roman" w:cs="Times New Roman"/>
          <w:bCs/>
          <w:color w:val="000000" w:themeColor="text1"/>
          <w:sz w:val="24"/>
          <w:szCs w:val="24"/>
          <w:lang w:val="en-ZA"/>
        </w:rPr>
        <w:t xml:space="preserve"> </w:t>
      </w:r>
      <w:r w:rsidR="00CA64C8" w:rsidRPr="00CA64C8">
        <w:rPr>
          <w:rFonts w:ascii="Times New Roman" w:hAnsi="Times New Roman" w:cs="Times New Roman"/>
          <w:bCs/>
          <w:color w:val="000000" w:themeColor="text1"/>
          <w:sz w:val="24"/>
          <w:szCs w:val="24"/>
          <w:lang w:val="en-ZA"/>
        </w:rPr>
        <w:t xml:space="preserve">Concentration of heavy metals in the food (mg/kg); </w:t>
      </w:r>
      <w:proofErr w:type="spellStart"/>
      <w:r w:rsidR="00CA64C8" w:rsidRPr="00CA64C8">
        <w:rPr>
          <w:rFonts w:ascii="Times New Roman" w:hAnsi="Times New Roman" w:cs="Times New Roman"/>
          <w:bCs/>
          <w:color w:val="000000" w:themeColor="text1"/>
          <w:sz w:val="24"/>
          <w:szCs w:val="24"/>
          <w:lang w:val="en-ZA"/>
        </w:rPr>
        <w:t>Qj</w:t>
      </w:r>
      <w:proofErr w:type="spellEnd"/>
      <w:r w:rsidR="00CA64C8" w:rsidRPr="00CA64C8">
        <w:rPr>
          <w:rFonts w:ascii="Times New Roman" w:hAnsi="Times New Roman" w:cs="Times New Roman"/>
          <w:bCs/>
          <w:color w:val="000000" w:themeColor="text1"/>
          <w:sz w:val="24"/>
          <w:szCs w:val="24"/>
          <w:lang w:val="en-ZA"/>
        </w:rPr>
        <w:t>: Amount of food consumed per day (kg/day), and P: Average body weight of the individual (kg). The amount of food consumed is 0.089 kg/day for adults and 0.03 kg/day for children.</w:t>
      </w:r>
      <w:r w:rsidR="00A52C76">
        <w:rPr>
          <w:rFonts w:ascii="Times New Roman" w:hAnsi="Times New Roman" w:cs="Times New Roman"/>
          <w:bCs/>
          <w:color w:val="000000" w:themeColor="text1"/>
          <w:sz w:val="24"/>
          <w:szCs w:val="24"/>
          <w:lang w:val="en-ZA"/>
        </w:rPr>
        <w:t xml:space="preserve"> </w:t>
      </w:r>
      <w:r w:rsidR="00CA64C8" w:rsidRPr="00CA64C8">
        <w:rPr>
          <w:rFonts w:ascii="Times New Roman" w:hAnsi="Times New Roman" w:cs="Times New Roman"/>
          <w:bCs/>
          <w:color w:val="000000" w:themeColor="text1"/>
          <w:sz w:val="24"/>
          <w:szCs w:val="24"/>
          <w:lang w:val="en-ZA"/>
        </w:rPr>
        <w:t>Similarly, the average body weight (mean weight) is 70 kg for adults and 15 kg for children (</w:t>
      </w:r>
      <w:proofErr w:type="spellStart"/>
      <w:r w:rsidR="00CA64C8" w:rsidRPr="00CA64C8">
        <w:rPr>
          <w:rFonts w:ascii="Times New Roman" w:hAnsi="Times New Roman" w:cs="Times New Roman"/>
          <w:bCs/>
          <w:color w:val="000000" w:themeColor="text1"/>
          <w:sz w:val="24"/>
          <w:szCs w:val="24"/>
          <w:lang w:val="en-ZA"/>
        </w:rPr>
        <w:t>Akter</w:t>
      </w:r>
      <w:proofErr w:type="spellEnd"/>
      <w:r w:rsidR="00CA64C8" w:rsidRPr="00CA64C8">
        <w:rPr>
          <w:rFonts w:ascii="Times New Roman" w:hAnsi="Times New Roman" w:cs="Times New Roman"/>
          <w:bCs/>
          <w:color w:val="000000" w:themeColor="text1"/>
          <w:sz w:val="24"/>
          <w:szCs w:val="24"/>
          <w:lang w:val="en-ZA"/>
        </w:rPr>
        <w:t xml:space="preserve">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xml:space="preserve">., 2019; Jolly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2019).</w:t>
      </w:r>
      <w:r w:rsidR="00CA64C8" w:rsidRPr="00CA64C8">
        <w:rPr>
          <w:rFonts w:ascii="Times New Roman" w:hAnsi="Times New Roman" w:cs="Times New Roman"/>
          <w:bCs/>
          <w:color w:val="000000" w:themeColor="text1"/>
          <w:sz w:val="24"/>
          <w:szCs w:val="24"/>
          <w:lang w:val="en-ZA"/>
        </w:rPr>
        <w:br/>
        <w:t xml:space="preserve">An HRI greater than 1 means it is unlikely that the exposed population will experience obvious harmful effects, while an HRI less than 1 indicates a risk of non-carcinogenic effects, with increasing probability as the value rises (Jolly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2019; Chauhan and Chauhan, 2014). The HRI was calculated using the following formula</w:t>
      </w:r>
      <w:r w:rsidRPr="00CA64C8">
        <w:rPr>
          <w:rFonts w:ascii="Times New Roman" w:eastAsia="Calibri" w:hAnsi="Times New Roman" w:cs="Times New Roman"/>
          <w:sz w:val="24"/>
          <w:szCs w:val="24"/>
          <w:lang w:val="en-ZA"/>
        </w:rPr>
        <w:t>:</w:t>
      </w:r>
    </w:p>
    <w:p w14:paraId="0CA4BF09" w14:textId="77777777" w:rsidR="004802D5" w:rsidRPr="00CA64C8" w:rsidRDefault="004802D5" w:rsidP="004802D5">
      <w:pPr>
        <w:spacing w:line="360" w:lineRule="auto"/>
        <w:ind w:left="720"/>
        <w:jc w:val="both"/>
        <w:rPr>
          <w:rFonts w:ascii="Times New Roman" w:eastAsiaTheme="minorEastAsia" w:hAnsi="Times New Roman" w:cs="Times New Roman"/>
          <w:b/>
          <w:bCs/>
          <w:color w:val="000000" w:themeColor="text1"/>
          <w:sz w:val="24"/>
          <w:szCs w:val="24"/>
          <w:lang w:val="en-ZA"/>
        </w:rPr>
      </w:pPr>
      <w:r w:rsidRPr="00CA64C8">
        <w:rPr>
          <w:rFonts w:ascii="Times New Roman" w:hAnsi="Times New Roman" w:cs="Times New Roman"/>
          <w:b/>
          <w:bCs/>
          <w:color w:val="000000" w:themeColor="text1"/>
          <w:sz w:val="24"/>
          <w:szCs w:val="24"/>
          <w:lang w:val="en-ZA"/>
        </w:rPr>
        <w:t xml:space="preserve">IRS = </w:t>
      </w:r>
      <m:oMath>
        <m:f>
          <m:fPr>
            <m:ctrlPr>
              <w:rPr>
                <w:rFonts w:ascii="Cambria Math" w:hAnsi="Cambria Math" w:cs="Times New Roman"/>
                <w:b/>
                <w:bCs/>
                <w:color w:val="000000" w:themeColor="text1"/>
                <w:sz w:val="24"/>
                <w:szCs w:val="24"/>
              </w:rPr>
            </m:ctrlPr>
          </m:fPr>
          <m:num>
            <m:r>
              <m:rPr>
                <m:sty m:val="b"/>
              </m:rPr>
              <w:rPr>
                <w:rFonts w:ascii="Cambria Math" w:hAnsi="Cambria Math" w:cs="Times New Roman"/>
                <w:color w:val="000000" w:themeColor="text1"/>
                <w:sz w:val="24"/>
                <w:szCs w:val="24"/>
              </w:rPr>
              <m:t>DJE</m:t>
            </m:r>
          </m:num>
          <m:den>
            <m:r>
              <m:rPr>
                <m:sty m:val="b"/>
              </m:rPr>
              <w:rPr>
                <w:rFonts w:ascii="Cambria Math" w:hAnsi="Cambria Math" w:cs="Times New Roman"/>
                <w:color w:val="000000" w:themeColor="text1"/>
                <w:sz w:val="24"/>
                <w:szCs w:val="24"/>
              </w:rPr>
              <m:t>RfD</m:t>
            </m:r>
          </m:den>
        </m:f>
      </m:oMath>
    </w:p>
    <w:p w14:paraId="27417C8F" w14:textId="727B24BD" w:rsidR="004802D5" w:rsidRPr="00CA64C8" w:rsidRDefault="00CA64C8" w:rsidP="004802D5">
      <w:pPr>
        <w:spacing w:line="360" w:lineRule="auto"/>
        <w:jc w:val="both"/>
        <w:rPr>
          <w:rFonts w:ascii="Times New Roman" w:eastAsiaTheme="minorEastAsia" w:hAnsi="Times New Roman" w:cs="Times New Roman"/>
          <w:b/>
          <w:bCs/>
          <w:color w:val="000000" w:themeColor="text1"/>
          <w:sz w:val="24"/>
          <w:szCs w:val="24"/>
          <w:lang w:val="en-ZA"/>
        </w:rPr>
      </w:pPr>
      <w:r w:rsidRPr="00CA64C8">
        <w:rPr>
          <w:rFonts w:ascii="Times New Roman" w:eastAsia="Calibri" w:hAnsi="Times New Roman" w:cs="Times New Roman"/>
          <w:sz w:val="24"/>
          <w:szCs w:val="24"/>
          <w:lang w:val="en-ZA"/>
        </w:rPr>
        <w:t>Exposure to more than one heavy metal can have additive and/or interactive effects, as it is assumed that their harmful effects on human health may accumulate, and also that there is a similarity in their metabolism (</w:t>
      </w:r>
      <w:proofErr w:type="spellStart"/>
      <w:r w:rsidRPr="00CA64C8">
        <w:rPr>
          <w:rFonts w:ascii="Times New Roman" w:eastAsia="Calibri" w:hAnsi="Times New Roman" w:cs="Times New Roman"/>
          <w:sz w:val="24"/>
          <w:szCs w:val="24"/>
          <w:lang w:val="en-ZA"/>
        </w:rPr>
        <w:t>Onyele</w:t>
      </w:r>
      <w:proofErr w:type="spellEnd"/>
      <w:r w:rsidRPr="00CA64C8">
        <w:rPr>
          <w:rFonts w:ascii="Times New Roman" w:eastAsia="Calibri" w:hAnsi="Times New Roman" w:cs="Times New Roman"/>
          <w:sz w:val="24"/>
          <w:szCs w:val="24"/>
          <w:lang w:val="en-ZA"/>
        </w:rPr>
        <w:t xml:space="preserve"> and </w:t>
      </w:r>
      <w:proofErr w:type="spellStart"/>
      <w:r w:rsidRPr="00CA64C8">
        <w:rPr>
          <w:rFonts w:ascii="Times New Roman" w:eastAsia="Calibri" w:hAnsi="Times New Roman" w:cs="Times New Roman"/>
          <w:sz w:val="24"/>
          <w:szCs w:val="24"/>
          <w:lang w:val="en-ZA"/>
        </w:rPr>
        <w:t>Anyanwu</w:t>
      </w:r>
      <w:proofErr w:type="spellEnd"/>
      <w:r w:rsidRPr="00CA64C8">
        <w:rPr>
          <w:rFonts w:ascii="Times New Roman" w:eastAsia="Calibri" w:hAnsi="Times New Roman" w:cs="Times New Roman"/>
          <w:sz w:val="24"/>
          <w:szCs w:val="24"/>
          <w:lang w:val="en-ZA"/>
        </w:rPr>
        <w:t xml:space="preserve">, 2018;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DC41D8">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 Thus, the hazard index (HI) or global toxic risk of all the heavy metals (</w:t>
      </w:r>
      <w:proofErr w:type="spellStart"/>
      <w:r w:rsidRPr="00CA64C8">
        <w:rPr>
          <w:rFonts w:ascii="Times New Roman" w:eastAsia="Calibri" w:hAnsi="Times New Roman" w:cs="Times New Roman"/>
          <w:sz w:val="24"/>
          <w:szCs w:val="24"/>
          <w:lang w:val="en-ZA"/>
        </w:rPr>
        <w:t>Onyele</w:t>
      </w:r>
      <w:proofErr w:type="spellEnd"/>
      <w:r w:rsidRPr="00CA64C8">
        <w:rPr>
          <w:rFonts w:ascii="Times New Roman" w:eastAsia="Calibri" w:hAnsi="Times New Roman" w:cs="Times New Roman"/>
          <w:sz w:val="24"/>
          <w:szCs w:val="24"/>
          <w:lang w:val="en-ZA"/>
        </w:rPr>
        <w:t xml:space="preserve"> and </w:t>
      </w:r>
      <w:proofErr w:type="spellStart"/>
      <w:r w:rsidRPr="00CA64C8">
        <w:rPr>
          <w:rFonts w:ascii="Times New Roman" w:eastAsia="Calibri" w:hAnsi="Times New Roman" w:cs="Times New Roman"/>
          <w:sz w:val="24"/>
          <w:szCs w:val="24"/>
          <w:lang w:val="en-ZA"/>
        </w:rPr>
        <w:t>Anyanwu</w:t>
      </w:r>
      <w:proofErr w:type="spellEnd"/>
      <w:r w:rsidRPr="00CA64C8">
        <w:rPr>
          <w:rFonts w:ascii="Times New Roman" w:eastAsia="Calibri" w:hAnsi="Times New Roman" w:cs="Times New Roman"/>
          <w:sz w:val="24"/>
          <w:szCs w:val="24"/>
          <w:lang w:val="en-ZA"/>
        </w:rPr>
        <w:t xml:space="preserve">, 2018;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DC41D8">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 for each food is determined from the arithmetic sum of the HRIs of the different heavy metals</w:t>
      </w:r>
      <w:r w:rsidR="004802D5" w:rsidRPr="00CA64C8">
        <w:rPr>
          <w:rFonts w:ascii="Times New Roman" w:eastAsia="Calibri" w:hAnsi="Times New Roman" w:cs="Times New Roman"/>
          <w:sz w:val="24"/>
          <w:szCs w:val="24"/>
          <w:lang w:val="en-ZA"/>
        </w:rPr>
        <w:t>:</w:t>
      </w:r>
    </w:p>
    <w:p w14:paraId="16544DF2" w14:textId="77777777" w:rsidR="004802D5" w:rsidRPr="00931A33" w:rsidRDefault="004802D5" w:rsidP="004802D5">
      <w:pPr>
        <w:spacing w:line="360" w:lineRule="auto"/>
        <w:ind w:left="720"/>
        <w:jc w:val="both"/>
        <w:rPr>
          <w:rFonts w:ascii="Times New Roman" w:hAnsi="Times New Roman" w:cs="Times New Roman"/>
          <w:b/>
          <w:bCs/>
          <w:color w:val="000000" w:themeColor="text1"/>
          <w:sz w:val="24"/>
          <w:szCs w:val="24"/>
        </w:rPr>
      </w:pPr>
      <m:oMathPara>
        <m:oMath>
          <m:r>
            <w:rPr>
              <w:rFonts w:ascii="Cambria Math" w:eastAsia="Calibri" w:hAnsi="Cambria Math" w:cs="Times New Roman"/>
              <w:sz w:val="24"/>
              <w:szCs w:val="24"/>
            </w:rPr>
            <m:t>ID=</m:t>
          </m:r>
          <m:nary>
            <m:naryPr>
              <m:chr m:val="∑"/>
              <m:limLoc m:val="undOvr"/>
              <m:grow m:val="1"/>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r>
                <w:rPr>
                  <w:rFonts w:ascii="Cambria Math" w:eastAsia="Calibri" w:hAnsi="Cambria Math" w:cs="Times New Roman"/>
                  <w:sz w:val="24"/>
                  <w:szCs w:val="24"/>
                </w:rPr>
                <m:t>IRS</m:t>
              </m:r>
            </m:e>
          </m:nary>
        </m:oMath>
      </m:oMathPara>
    </w:p>
    <w:p w14:paraId="67F41A09" w14:textId="2E4DEA36" w:rsidR="00CA64C8" w:rsidRDefault="00CA64C8" w:rsidP="004802D5">
      <w:pPr>
        <w:pStyle w:val="Titre2"/>
        <w:spacing w:line="360" w:lineRule="auto"/>
        <w:jc w:val="both"/>
        <w:rPr>
          <w:rFonts w:ascii="Times New Roman" w:eastAsiaTheme="minorHAnsi" w:hAnsi="Times New Roman" w:cs="Times New Roman"/>
          <w:color w:val="000000" w:themeColor="text1"/>
          <w:sz w:val="24"/>
          <w:szCs w:val="24"/>
          <w:lang w:val="en-ZA"/>
        </w:rPr>
      </w:pPr>
      <w:bookmarkStart w:id="9" w:name="_Toc216647830"/>
      <w:r w:rsidRPr="00CA64C8">
        <w:rPr>
          <w:rFonts w:ascii="Times New Roman" w:eastAsiaTheme="minorHAnsi" w:hAnsi="Times New Roman" w:cs="Times New Roman"/>
          <w:color w:val="000000" w:themeColor="text1"/>
          <w:sz w:val="24"/>
          <w:szCs w:val="24"/>
          <w:lang w:val="en-ZA"/>
        </w:rPr>
        <w:lastRenderedPageBreak/>
        <w:t>Where HI is the hazard index for the global toxic risk, and n is the total number of metals considered. If HI &lt; 1, the non-carcinogenic harmful effect due to this exposure route or chemical substance is considered negligible, and HI &gt; 1 indicates a high probability of harmful health effects (</w:t>
      </w:r>
      <w:proofErr w:type="spellStart"/>
      <w:r w:rsidRPr="00CA64C8">
        <w:rPr>
          <w:rFonts w:ascii="Times New Roman" w:eastAsiaTheme="minorHAnsi" w:hAnsi="Times New Roman" w:cs="Times New Roman"/>
          <w:color w:val="000000" w:themeColor="text1"/>
          <w:sz w:val="24"/>
          <w:szCs w:val="24"/>
          <w:lang w:val="en-ZA"/>
        </w:rPr>
        <w:t>Onyele</w:t>
      </w:r>
      <w:proofErr w:type="spellEnd"/>
      <w:r w:rsidRPr="00CA64C8">
        <w:rPr>
          <w:rFonts w:ascii="Times New Roman" w:eastAsiaTheme="minorHAnsi" w:hAnsi="Times New Roman" w:cs="Times New Roman"/>
          <w:color w:val="000000" w:themeColor="text1"/>
          <w:sz w:val="24"/>
          <w:szCs w:val="24"/>
          <w:lang w:val="en-ZA"/>
        </w:rPr>
        <w:t xml:space="preserve"> and </w:t>
      </w:r>
      <w:proofErr w:type="spellStart"/>
      <w:r w:rsidRPr="00CA64C8">
        <w:rPr>
          <w:rFonts w:ascii="Times New Roman" w:eastAsiaTheme="minorHAnsi" w:hAnsi="Times New Roman" w:cs="Times New Roman"/>
          <w:color w:val="000000" w:themeColor="text1"/>
          <w:sz w:val="24"/>
          <w:szCs w:val="24"/>
          <w:lang w:val="en-ZA"/>
        </w:rPr>
        <w:t>Anyanwu</w:t>
      </w:r>
      <w:proofErr w:type="spellEnd"/>
      <w:r w:rsidRPr="00CA64C8">
        <w:rPr>
          <w:rFonts w:ascii="Times New Roman" w:eastAsiaTheme="minorHAnsi" w:hAnsi="Times New Roman" w:cs="Times New Roman"/>
          <w:color w:val="000000" w:themeColor="text1"/>
          <w:sz w:val="24"/>
          <w:szCs w:val="24"/>
          <w:lang w:val="en-ZA"/>
        </w:rPr>
        <w:t xml:space="preserve">, 2018; </w:t>
      </w:r>
      <w:proofErr w:type="spellStart"/>
      <w:r w:rsidRPr="00CA64C8">
        <w:rPr>
          <w:rFonts w:ascii="Times New Roman" w:eastAsiaTheme="minorHAnsi" w:hAnsi="Times New Roman" w:cs="Times New Roman"/>
          <w:color w:val="000000" w:themeColor="text1"/>
          <w:sz w:val="24"/>
          <w:szCs w:val="24"/>
          <w:lang w:val="en-ZA"/>
        </w:rPr>
        <w:t>Rinklebe</w:t>
      </w:r>
      <w:proofErr w:type="spellEnd"/>
      <w:r w:rsidRPr="00CA64C8">
        <w:rPr>
          <w:rFonts w:ascii="Times New Roman" w:eastAsiaTheme="minorHAnsi" w:hAnsi="Times New Roman" w:cs="Times New Roman"/>
          <w:color w:val="000000" w:themeColor="text1"/>
          <w:sz w:val="24"/>
          <w:szCs w:val="24"/>
          <w:lang w:val="en-ZA"/>
        </w:rPr>
        <w:t xml:space="preserve"> </w:t>
      </w:r>
      <w:r w:rsidRPr="00DC41D8">
        <w:rPr>
          <w:rFonts w:ascii="Times New Roman" w:eastAsiaTheme="minorHAnsi" w:hAnsi="Times New Roman" w:cs="Times New Roman"/>
          <w:i/>
          <w:iCs/>
          <w:color w:val="000000" w:themeColor="text1"/>
          <w:sz w:val="24"/>
          <w:szCs w:val="24"/>
          <w:lang w:val="en-ZA"/>
        </w:rPr>
        <w:t>et al</w:t>
      </w:r>
      <w:r w:rsidRPr="00CA64C8">
        <w:rPr>
          <w:rFonts w:ascii="Times New Roman" w:eastAsiaTheme="minorHAnsi" w:hAnsi="Times New Roman" w:cs="Times New Roman"/>
          <w:color w:val="000000" w:themeColor="text1"/>
          <w:sz w:val="24"/>
          <w:szCs w:val="24"/>
          <w:lang w:val="en-ZA"/>
        </w:rPr>
        <w:t>., 2019)</w:t>
      </w:r>
      <w:r w:rsidR="00DC41D8">
        <w:rPr>
          <w:rFonts w:ascii="Times New Roman" w:eastAsiaTheme="minorHAnsi" w:hAnsi="Times New Roman" w:cs="Times New Roman"/>
          <w:color w:val="000000" w:themeColor="text1"/>
          <w:sz w:val="24"/>
          <w:szCs w:val="24"/>
          <w:lang w:val="en-ZA"/>
        </w:rPr>
        <w:t>.</w:t>
      </w:r>
    </w:p>
    <w:p w14:paraId="03690CF3" w14:textId="77777777" w:rsidR="00DC41D8" w:rsidRPr="00DC41D8" w:rsidRDefault="00DC41D8" w:rsidP="00DC41D8">
      <w:pPr>
        <w:rPr>
          <w:lang w:val="en-ZA"/>
        </w:rPr>
      </w:pPr>
    </w:p>
    <w:p w14:paraId="7C283500" w14:textId="05075D20" w:rsidR="004802D5" w:rsidRPr="00CA64C8" w:rsidRDefault="000A692B" w:rsidP="004802D5">
      <w:pPr>
        <w:pStyle w:val="Titre2"/>
        <w:spacing w:line="360" w:lineRule="auto"/>
        <w:jc w:val="both"/>
        <w:rPr>
          <w:rFonts w:ascii="Times New Roman" w:hAnsi="Times New Roman" w:cs="Times New Roman"/>
          <w:b/>
          <w:bCs/>
          <w:color w:val="auto"/>
          <w:sz w:val="24"/>
          <w:szCs w:val="24"/>
          <w:lang w:val="en-ZA"/>
        </w:rPr>
      </w:pPr>
      <w:r w:rsidRPr="00CA64C8">
        <w:rPr>
          <w:rFonts w:ascii="Times New Roman" w:hAnsi="Times New Roman" w:cs="Times New Roman"/>
          <w:b/>
          <w:bCs/>
          <w:color w:val="auto"/>
          <w:sz w:val="24"/>
          <w:szCs w:val="24"/>
          <w:lang w:val="en-ZA"/>
        </w:rPr>
        <w:t>2.6</w:t>
      </w:r>
      <w:r w:rsidR="004802D5" w:rsidRPr="00CA64C8">
        <w:rPr>
          <w:rFonts w:ascii="Times New Roman" w:hAnsi="Times New Roman" w:cs="Times New Roman"/>
          <w:b/>
          <w:bCs/>
          <w:color w:val="auto"/>
          <w:sz w:val="24"/>
          <w:szCs w:val="24"/>
          <w:lang w:val="en-ZA"/>
        </w:rPr>
        <w:t xml:space="preserve">. </w:t>
      </w:r>
      <w:bookmarkEnd w:id="9"/>
      <w:r w:rsidR="00CA64C8" w:rsidRPr="00CA64C8">
        <w:rPr>
          <w:rFonts w:ascii="Times New Roman" w:hAnsi="Times New Roman" w:cs="Times New Roman"/>
          <w:b/>
          <w:bCs/>
          <w:color w:val="auto"/>
          <w:sz w:val="24"/>
          <w:szCs w:val="24"/>
          <w:lang w:val="en-ZA"/>
        </w:rPr>
        <w:t>Data processing and statistical analysis</w:t>
      </w:r>
    </w:p>
    <w:p w14:paraId="251F3C0E" w14:textId="4D789A77" w:rsidR="004802D5" w:rsidRPr="00692050" w:rsidRDefault="00CA64C8" w:rsidP="004802D5">
      <w:pPr>
        <w:spacing w:after="0" w:line="360" w:lineRule="auto"/>
        <w:jc w:val="both"/>
        <w:rPr>
          <w:rFonts w:ascii="Times New Roman" w:eastAsia="Calibri" w:hAnsi="Times New Roman" w:cs="Times New Roman"/>
          <w:sz w:val="24"/>
          <w:szCs w:val="24"/>
          <w:lang w:val="en-ZA"/>
        </w:rPr>
      </w:pPr>
      <w:bookmarkStart w:id="10" w:name="_Toc216647831"/>
      <w:r w:rsidRPr="00CA64C8">
        <w:rPr>
          <w:rFonts w:ascii="Times New Roman" w:eastAsia="Calibri" w:hAnsi="Times New Roman" w:cs="Times New Roman"/>
          <w:sz w:val="24"/>
          <w:szCs w:val="24"/>
          <w:lang w:val="en-ZA"/>
        </w:rPr>
        <w:t>The collected data were entered using Excel 2016 spreadsheet software. R software version 4.3.1 (R Core Team, 2024) was used for data analysis and processing. To evaluate the central tendency, we calculated the arithmetic mean and the median. Furthermore, the data dispersion of the soil samples was observed through the standard deviation (SD) and the minimum and maximum values.</w:t>
      </w:r>
      <w:r w:rsidR="00692050">
        <w:rPr>
          <w:rFonts w:ascii="Times New Roman" w:eastAsia="Calibri" w:hAnsi="Times New Roman" w:cs="Times New Roman"/>
          <w:sz w:val="24"/>
          <w:szCs w:val="24"/>
          <w:lang w:val="en-ZA"/>
        </w:rPr>
        <w:t xml:space="preserve"> </w:t>
      </w:r>
      <w:r w:rsidRPr="00CA64C8">
        <w:rPr>
          <w:rFonts w:ascii="Times New Roman" w:eastAsia="Calibri" w:hAnsi="Times New Roman" w:cs="Times New Roman"/>
          <w:sz w:val="24"/>
          <w:szCs w:val="24"/>
          <w:lang w:val="en-ZA"/>
        </w:rPr>
        <w:t xml:space="preserve">All data were subjected to normality and homogeneity checks using the Shapiro-Wilk and Bartlett tests. Thus, the Student-Newman and Wilcoxon tests were used, depending on the case, to compare the heavy metal content based on the plant species. ANOVA and Kruskal-Wallis tests were used to compare the variation of the parameters' contents, depending on the case. The post-hoc Tukey test was used for pairwise comparisons. </w:t>
      </w:r>
      <w:r w:rsidRPr="00CA64C8">
        <w:rPr>
          <w:rFonts w:ascii="Times New Roman" w:eastAsia="Calibri" w:hAnsi="Times New Roman" w:cs="Times New Roman"/>
          <w:sz w:val="24"/>
          <w:szCs w:val="24"/>
        </w:rPr>
        <w:t xml:space="preserve">All </w:t>
      </w:r>
      <w:proofErr w:type="spellStart"/>
      <w:r w:rsidRPr="00CA64C8">
        <w:rPr>
          <w:rFonts w:ascii="Times New Roman" w:eastAsia="Calibri" w:hAnsi="Times New Roman" w:cs="Times New Roman"/>
          <w:sz w:val="24"/>
          <w:szCs w:val="24"/>
        </w:rPr>
        <w:t>results</w:t>
      </w:r>
      <w:proofErr w:type="spellEnd"/>
      <w:r w:rsidRPr="00CA64C8">
        <w:rPr>
          <w:rFonts w:ascii="Times New Roman" w:eastAsia="Calibri" w:hAnsi="Times New Roman" w:cs="Times New Roman"/>
          <w:sz w:val="24"/>
          <w:szCs w:val="24"/>
        </w:rPr>
        <w:t xml:space="preserve"> </w:t>
      </w:r>
      <w:proofErr w:type="spellStart"/>
      <w:r w:rsidRPr="00CA64C8">
        <w:rPr>
          <w:rFonts w:ascii="Times New Roman" w:eastAsia="Calibri" w:hAnsi="Times New Roman" w:cs="Times New Roman"/>
          <w:sz w:val="24"/>
          <w:szCs w:val="24"/>
        </w:rPr>
        <w:t>were</w:t>
      </w:r>
      <w:proofErr w:type="spellEnd"/>
      <w:r w:rsidRPr="00CA64C8">
        <w:rPr>
          <w:rFonts w:ascii="Times New Roman" w:eastAsia="Calibri" w:hAnsi="Times New Roman" w:cs="Times New Roman"/>
          <w:sz w:val="24"/>
          <w:szCs w:val="24"/>
        </w:rPr>
        <w:t xml:space="preserve"> </w:t>
      </w:r>
      <w:proofErr w:type="spellStart"/>
      <w:r w:rsidRPr="00CA64C8">
        <w:rPr>
          <w:rFonts w:ascii="Times New Roman" w:eastAsia="Calibri" w:hAnsi="Times New Roman" w:cs="Times New Roman"/>
          <w:sz w:val="24"/>
          <w:szCs w:val="24"/>
        </w:rPr>
        <w:t>interpreted</w:t>
      </w:r>
      <w:proofErr w:type="spellEnd"/>
      <w:r w:rsidRPr="00CA64C8">
        <w:rPr>
          <w:rFonts w:ascii="Times New Roman" w:eastAsia="Calibri" w:hAnsi="Times New Roman" w:cs="Times New Roman"/>
          <w:sz w:val="24"/>
          <w:szCs w:val="24"/>
        </w:rPr>
        <w:t xml:space="preserve"> at the 5% </w:t>
      </w:r>
      <w:proofErr w:type="spellStart"/>
      <w:r w:rsidRPr="00CA64C8">
        <w:rPr>
          <w:rFonts w:ascii="Times New Roman" w:eastAsia="Calibri" w:hAnsi="Times New Roman" w:cs="Times New Roman"/>
          <w:sz w:val="24"/>
          <w:szCs w:val="24"/>
        </w:rPr>
        <w:t>threshold</w:t>
      </w:r>
      <w:proofErr w:type="spellEnd"/>
      <w:r>
        <w:rPr>
          <w:rFonts w:ascii="Times New Roman" w:eastAsia="Calibri" w:hAnsi="Times New Roman" w:cs="Times New Roman"/>
          <w:sz w:val="24"/>
          <w:szCs w:val="24"/>
        </w:rPr>
        <w:t>.</w:t>
      </w:r>
    </w:p>
    <w:p w14:paraId="2019FC6F" w14:textId="77777777" w:rsidR="00CA64C8" w:rsidRPr="00931A33" w:rsidRDefault="00CA64C8" w:rsidP="004802D5">
      <w:pPr>
        <w:spacing w:after="0" w:line="360" w:lineRule="auto"/>
        <w:jc w:val="both"/>
        <w:rPr>
          <w:rFonts w:ascii="Times New Roman" w:eastAsia="Calibri" w:hAnsi="Times New Roman" w:cs="Times New Roman"/>
          <w:sz w:val="24"/>
          <w:szCs w:val="24"/>
        </w:rPr>
      </w:pPr>
    </w:p>
    <w:p w14:paraId="3A4F9EB5" w14:textId="7C561D68" w:rsidR="004802D5" w:rsidRPr="00612BEE" w:rsidRDefault="008D5049" w:rsidP="004802D5">
      <w:pPr>
        <w:spacing w:after="0" w:line="360" w:lineRule="auto"/>
        <w:jc w:val="both"/>
        <w:rPr>
          <w:rFonts w:ascii="Times New Roman" w:hAnsi="Times New Roman" w:cs="Times New Roman"/>
          <w:b/>
          <w:sz w:val="24"/>
          <w:szCs w:val="24"/>
          <w:lang w:val="en-ZA"/>
        </w:rPr>
      </w:pPr>
      <w:r w:rsidRPr="00612BEE">
        <w:rPr>
          <w:rFonts w:ascii="Times New Roman" w:eastAsia="Calibri" w:hAnsi="Times New Roman" w:cs="Times New Roman"/>
          <w:b/>
          <w:sz w:val="24"/>
          <w:szCs w:val="24"/>
          <w:lang w:val="en-ZA"/>
        </w:rPr>
        <w:t>III.</w:t>
      </w:r>
      <w:r w:rsidR="004802D5" w:rsidRPr="00612BEE">
        <w:rPr>
          <w:rFonts w:ascii="Times New Roman" w:eastAsia="Calibri" w:hAnsi="Times New Roman" w:cs="Times New Roman"/>
          <w:b/>
          <w:sz w:val="24"/>
          <w:szCs w:val="24"/>
          <w:lang w:val="en-ZA"/>
        </w:rPr>
        <w:t xml:space="preserve"> </w:t>
      </w:r>
      <w:bookmarkEnd w:id="10"/>
      <w:r w:rsidR="00703AC7" w:rsidRPr="00612BEE">
        <w:rPr>
          <w:rFonts w:ascii="Times New Roman" w:hAnsi="Times New Roman" w:cs="Times New Roman"/>
          <w:b/>
          <w:sz w:val="24"/>
          <w:szCs w:val="24"/>
          <w:lang w:val="en-ZA"/>
        </w:rPr>
        <w:t>Results</w:t>
      </w:r>
    </w:p>
    <w:p w14:paraId="1B885362" w14:textId="00E705B6" w:rsidR="004802D5" w:rsidRPr="00612BEE" w:rsidRDefault="004802D5" w:rsidP="004802D5">
      <w:pPr>
        <w:pStyle w:val="Titre2"/>
        <w:jc w:val="both"/>
        <w:rPr>
          <w:rFonts w:ascii="Times New Roman" w:hAnsi="Times New Roman" w:cs="Times New Roman"/>
          <w:b/>
          <w:bCs/>
          <w:color w:val="auto"/>
          <w:sz w:val="24"/>
          <w:szCs w:val="24"/>
          <w:lang w:val="en-ZA"/>
        </w:rPr>
      </w:pPr>
      <w:bookmarkStart w:id="11" w:name="_Toc216647832"/>
      <w:r w:rsidRPr="00612BEE">
        <w:rPr>
          <w:rFonts w:ascii="Times New Roman" w:hAnsi="Times New Roman" w:cs="Times New Roman"/>
          <w:b/>
          <w:bCs/>
          <w:color w:val="auto"/>
          <w:sz w:val="24"/>
          <w:szCs w:val="24"/>
          <w:lang w:val="en-ZA"/>
        </w:rPr>
        <w:t>II</w:t>
      </w:r>
      <w:r w:rsidR="00783BB2" w:rsidRPr="00612BEE">
        <w:rPr>
          <w:rFonts w:ascii="Times New Roman" w:hAnsi="Times New Roman" w:cs="Times New Roman"/>
          <w:b/>
          <w:bCs/>
          <w:color w:val="auto"/>
          <w:sz w:val="24"/>
          <w:szCs w:val="24"/>
          <w:lang w:val="en-ZA"/>
        </w:rPr>
        <w:t>I</w:t>
      </w:r>
      <w:r w:rsidRPr="00612BEE">
        <w:rPr>
          <w:rFonts w:ascii="Times New Roman" w:hAnsi="Times New Roman" w:cs="Times New Roman"/>
          <w:b/>
          <w:bCs/>
          <w:color w:val="auto"/>
          <w:sz w:val="24"/>
          <w:szCs w:val="24"/>
          <w:lang w:val="en-ZA"/>
        </w:rPr>
        <w:t xml:space="preserve">.1. </w:t>
      </w:r>
      <w:bookmarkEnd w:id="11"/>
      <w:r w:rsidR="00612BEE" w:rsidRPr="00612BEE">
        <w:rPr>
          <w:rFonts w:ascii="Times New Roman" w:hAnsi="Times New Roman" w:cs="Times New Roman"/>
          <w:b/>
          <w:bCs/>
          <w:color w:val="auto"/>
          <w:sz w:val="24"/>
          <w:szCs w:val="24"/>
          <w:lang w:val="en-ZA"/>
        </w:rPr>
        <w:t>Heavy metal content of plants</w:t>
      </w:r>
    </w:p>
    <w:p w14:paraId="24D0F487" w14:textId="66373B92" w:rsidR="00612BEE" w:rsidRPr="00692050" w:rsidRDefault="00612BEE" w:rsidP="008363B4">
      <w:pPr>
        <w:spacing w:before="120" w:after="120" w:line="360" w:lineRule="auto"/>
        <w:jc w:val="both"/>
        <w:rPr>
          <w:rFonts w:ascii="Times New Roman" w:hAnsi="Times New Roman" w:cs="Times New Roman"/>
          <w:sz w:val="24"/>
          <w:szCs w:val="24"/>
          <w:lang w:val="en-ZA"/>
        </w:rPr>
      </w:pPr>
      <w:r w:rsidRPr="00612BEE">
        <w:rPr>
          <w:rFonts w:ascii="Times New Roman" w:hAnsi="Times New Roman" w:cs="Times New Roman"/>
          <w:sz w:val="24"/>
          <w:szCs w:val="24"/>
          <w:lang w:val="en-ZA"/>
        </w:rPr>
        <w:t xml:space="preserve">The average heavy metal content in the vegetable samples </w:t>
      </w:r>
      <w:proofErr w:type="spellStart"/>
      <w:r w:rsidRPr="00612BEE">
        <w:rPr>
          <w:rFonts w:ascii="Times New Roman" w:hAnsi="Times New Roman" w:cs="Times New Roman"/>
          <w:sz w:val="24"/>
          <w:szCs w:val="24"/>
          <w:lang w:val="en-ZA"/>
        </w:rPr>
        <w:t>analyzed</w:t>
      </w:r>
      <w:proofErr w:type="spellEnd"/>
      <w:r w:rsidRPr="00612BEE">
        <w:rPr>
          <w:rFonts w:ascii="Times New Roman" w:hAnsi="Times New Roman" w:cs="Times New Roman"/>
          <w:sz w:val="24"/>
          <w:szCs w:val="24"/>
          <w:lang w:val="en-ZA"/>
        </w:rPr>
        <w:t xml:space="preserve"> is presented in Table 1. Regardless of the vegetable sample, arsenic (As) levels </w:t>
      </w:r>
      <w:proofErr w:type="gramStart"/>
      <w:r w:rsidRPr="00612BEE">
        <w:rPr>
          <w:rFonts w:ascii="Times New Roman" w:hAnsi="Times New Roman" w:cs="Times New Roman"/>
          <w:sz w:val="24"/>
          <w:szCs w:val="24"/>
          <w:lang w:val="en-ZA"/>
        </w:rPr>
        <w:t>were found</w:t>
      </w:r>
      <w:proofErr w:type="gramEnd"/>
      <w:r w:rsidRPr="00612BEE">
        <w:rPr>
          <w:rFonts w:ascii="Times New Roman" w:hAnsi="Times New Roman" w:cs="Times New Roman"/>
          <w:sz w:val="24"/>
          <w:szCs w:val="24"/>
          <w:lang w:val="en-ZA"/>
        </w:rPr>
        <w:t xml:space="preserve"> to be higher than the standard set by the Food and Agriculture Organization (FAO)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1 mg/kg). The concentration in vegetables ranged from 0</w:t>
      </w:r>
      <w:proofErr w:type="gramStart"/>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1</w:t>
      </w:r>
      <w:proofErr w:type="gramEnd"/>
      <w:r w:rsidRPr="00612BEE">
        <w:rPr>
          <w:rFonts w:ascii="Times New Roman" w:hAnsi="Times New Roman" w:cs="Times New Roman"/>
          <w:sz w:val="24"/>
          <w:szCs w:val="24"/>
          <w:lang w:val="en-ZA"/>
        </w:rPr>
        <w:t xml:space="preserve"> to 2</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11 mg/kg. All lettuce samples showed cadmium (Cd) levels ranging from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05 to 6</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73 mg/kg, exceeding the FAO toxicity threshold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05 mg/kg). The average Cd concentration in tomatoes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97 mg/kg) also exceeded the FAO suggested limit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2 mg/kg).</w:t>
      </w:r>
      <w:r w:rsidRPr="00612BEE">
        <w:rPr>
          <w:rFonts w:ascii="Times New Roman" w:hAnsi="Times New Roman" w:cs="Times New Roman"/>
          <w:sz w:val="24"/>
          <w:szCs w:val="24"/>
          <w:lang w:val="en-ZA"/>
        </w:rPr>
        <w:br/>
        <w:t>The chromium (Cr) content in the vegetables ranged from 1</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48 to 2</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64 mg/kg, with a higher concentration found in lettuce. The average chromium concentration in the vegetable samples exceeded the FAO standard (2019), which is 2</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3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copper (Cu) content in the vegetables ranged from 10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39 to 11</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34 mg/kg, which is still below the FAO toxicity threshold (73</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0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average nickel (Ni) content in the vegetables studied ranged from 20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17 to 21</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28 mg/kg. The highest concentration was found in lettuce, and the lowest in tomatoes. The average nickel concentration was below the FAO standard (67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 xml:space="preserve">The average lead (Pb) </w:t>
      </w:r>
      <w:r w:rsidRPr="00612BEE">
        <w:rPr>
          <w:rFonts w:ascii="Times New Roman" w:hAnsi="Times New Roman" w:cs="Times New Roman"/>
          <w:sz w:val="24"/>
          <w:szCs w:val="24"/>
          <w:lang w:val="en-ZA"/>
        </w:rPr>
        <w:lastRenderedPageBreak/>
        <w:t>content in the vegetables ranged from 5</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44 to 5</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 xml:space="preserve">69 mg/kg. </w:t>
      </w:r>
      <w:r w:rsidR="000E280A">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highest value was found in tomatoes. Regardless of the vegetable sample, the Pb levels exceeded the FAO suggested limit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1 and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3 mg/kg for lettuce and tomatoes, respectively).</w:t>
      </w:r>
      <w:r w:rsidR="000E280A">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trend in the average heavy metal content in vegetables is Zn &gt; Ni &gt; Cu &gt; Pb &gt; Cr &gt; Cd &gt; As.</w:t>
      </w:r>
    </w:p>
    <w:p w14:paraId="3FB760A5" w14:textId="5547605A" w:rsidR="004802D5" w:rsidRPr="00612BEE" w:rsidRDefault="004802D5" w:rsidP="004802D5">
      <w:pPr>
        <w:spacing w:after="0" w:line="360" w:lineRule="auto"/>
        <w:jc w:val="both"/>
        <w:rPr>
          <w:rFonts w:ascii="Times New Roman" w:hAnsi="Times New Roman" w:cs="Times New Roman"/>
          <w:sz w:val="24"/>
          <w:szCs w:val="24"/>
          <w:lang w:val="en-ZA"/>
        </w:rPr>
      </w:pPr>
    </w:p>
    <w:p w14:paraId="79037AF8"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p>
    <w:p w14:paraId="159184EA"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r w:rsidRPr="00612BEE">
        <w:rPr>
          <w:rFonts w:ascii="Times New Roman" w:eastAsia="Calibri" w:hAnsi="Times New Roman" w:cs="Times New Roman"/>
          <w:sz w:val="24"/>
          <w:szCs w:val="24"/>
          <w:lang w:val="en-ZA"/>
        </w:rPr>
        <w:t xml:space="preserve"> </w:t>
      </w:r>
    </w:p>
    <w:p w14:paraId="0AA4D290"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r w:rsidRPr="00612BEE">
        <w:rPr>
          <w:rFonts w:ascii="Times New Roman" w:eastAsia="Calibri" w:hAnsi="Times New Roman" w:cs="Times New Roman"/>
          <w:sz w:val="24"/>
          <w:szCs w:val="24"/>
          <w:lang w:val="en-ZA"/>
        </w:rPr>
        <w:t xml:space="preserve"> </w:t>
      </w:r>
    </w:p>
    <w:p w14:paraId="702E91B6"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p>
    <w:p w14:paraId="4598E42F" w14:textId="77777777" w:rsidR="004802D5" w:rsidRPr="00612BEE" w:rsidRDefault="004802D5" w:rsidP="004802D5">
      <w:pPr>
        <w:rPr>
          <w:rFonts w:ascii="Times New Roman" w:hAnsi="Times New Roman" w:cs="Times New Roman"/>
          <w:sz w:val="24"/>
          <w:szCs w:val="24"/>
          <w:lang w:val="en-ZA"/>
        </w:rPr>
      </w:pPr>
    </w:p>
    <w:p w14:paraId="1576BCAA"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sectPr w:rsidR="004802D5" w:rsidRPr="00612BEE" w:rsidSect="007229A9">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09" w:footer="709" w:gutter="0"/>
          <w:cols w:space="708"/>
          <w:docGrid w:linePitch="360"/>
        </w:sectPr>
      </w:pPr>
    </w:p>
    <w:p w14:paraId="07307438" w14:textId="77777777" w:rsidR="004802D5" w:rsidRPr="00612BEE" w:rsidRDefault="004802D5" w:rsidP="004802D5">
      <w:pPr>
        <w:rPr>
          <w:rFonts w:ascii="Times New Roman" w:hAnsi="Times New Roman" w:cs="Times New Roman"/>
          <w:sz w:val="24"/>
          <w:szCs w:val="24"/>
          <w:lang w:val="en-ZA"/>
        </w:rPr>
      </w:pPr>
    </w:p>
    <w:p w14:paraId="68E72D22" w14:textId="68AAE76A" w:rsidR="004802D5" w:rsidRPr="00612BEE" w:rsidRDefault="00612BEE" w:rsidP="004802D5">
      <w:pPr>
        <w:jc w:val="both"/>
        <w:rPr>
          <w:rFonts w:ascii="Times New Roman" w:hAnsi="Times New Roman" w:cs="Times New Roman"/>
          <w:sz w:val="24"/>
          <w:szCs w:val="24"/>
          <w:lang w:val="en-ZA"/>
        </w:rPr>
      </w:pPr>
      <w:r w:rsidRPr="00612BEE">
        <w:rPr>
          <w:rFonts w:ascii="Times New Roman" w:hAnsi="Times New Roman" w:cs="Times New Roman"/>
          <w:b/>
          <w:bCs/>
          <w:sz w:val="24"/>
          <w:szCs w:val="24"/>
          <w:lang w:val="en-ZA"/>
        </w:rPr>
        <w:t xml:space="preserve">Table 1. </w:t>
      </w:r>
      <w:r w:rsidRPr="00612BEE">
        <w:rPr>
          <w:rFonts w:ascii="Times New Roman" w:hAnsi="Times New Roman" w:cs="Times New Roman"/>
          <w:sz w:val="24"/>
          <w:szCs w:val="24"/>
          <w:lang w:val="en-ZA"/>
        </w:rPr>
        <w:t>Statistical analysis results of heavy metal contents in crops (mg/kg)</w:t>
      </w:r>
    </w:p>
    <w:tbl>
      <w:tblPr>
        <w:tblW w:w="15601" w:type="dxa"/>
        <w:jc w:val="center"/>
        <w:tblCellMar>
          <w:left w:w="70" w:type="dxa"/>
          <w:right w:w="70" w:type="dxa"/>
        </w:tblCellMar>
        <w:tblLook w:val="04A0" w:firstRow="1" w:lastRow="0" w:firstColumn="1" w:lastColumn="0" w:noHBand="0" w:noVBand="1"/>
      </w:tblPr>
      <w:tblGrid>
        <w:gridCol w:w="1200"/>
        <w:gridCol w:w="887"/>
        <w:gridCol w:w="1075"/>
        <w:gridCol w:w="1505"/>
        <w:gridCol w:w="887"/>
        <w:gridCol w:w="1392"/>
        <w:gridCol w:w="1455"/>
        <w:gridCol w:w="936"/>
        <w:gridCol w:w="935"/>
        <w:gridCol w:w="1587"/>
        <w:gridCol w:w="738"/>
        <w:gridCol w:w="1469"/>
        <w:gridCol w:w="1535"/>
      </w:tblGrid>
      <w:tr w:rsidR="004802D5" w:rsidRPr="00931A33" w14:paraId="4E48BED2" w14:textId="77777777" w:rsidTr="0041610C">
        <w:trPr>
          <w:trHeight w:val="315"/>
          <w:jc w:val="center"/>
        </w:trPr>
        <w:tc>
          <w:tcPr>
            <w:tcW w:w="1200" w:type="dxa"/>
            <w:vMerge w:val="restart"/>
            <w:tcBorders>
              <w:top w:val="single" w:sz="4" w:space="0" w:color="auto"/>
              <w:left w:val="nil"/>
              <w:bottom w:val="single" w:sz="4" w:space="0" w:color="000000"/>
              <w:right w:val="nil"/>
            </w:tcBorders>
            <w:noWrap/>
            <w:vAlign w:val="center"/>
            <w:hideMark/>
          </w:tcPr>
          <w:p w14:paraId="07BB5250" w14:textId="3E06CC4D"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El</w:t>
            </w:r>
            <w:r w:rsidR="00612BEE">
              <w:rPr>
                <w:rFonts w:ascii="Times New Roman" w:eastAsia="Times New Roman" w:hAnsi="Times New Roman" w:cs="Times New Roman"/>
                <w:b/>
                <w:bCs/>
                <w:color w:val="000000"/>
                <w:kern w:val="0"/>
                <w:sz w:val="24"/>
                <w:szCs w:val="24"/>
                <w:lang w:eastAsia="fr-FR"/>
                <w14:ligatures w14:val="none"/>
              </w:rPr>
              <w:t>e</w:t>
            </w:r>
            <w:r w:rsidRPr="00931A33">
              <w:rPr>
                <w:rFonts w:ascii="Times New Roman" w:eastAsia="Times New Roman" w:hAnsi="Times New Roman" w:cs="Times New Roman"/>
                <w:b/>
                <w:bCs/>
                <w:color w:val="000000"/>
                <w:kern w:val="0"/>
                <w:sz w:val="24"/>
                <w:szCs w:val="24"/>
                <w:lang w:eastAsia="fr-FR"/>
                <w14:ligatures w14:val="none"/>
              </w:rPr>
              <w:t>ments</w:t>
            </w:r>
            <w:proofErr w:type="spellEnd"/>
          </w:p>
        </w:tc>
        <w:tc>
          <w:tcPr>
            <w:tcW w:w="7201" w:type="dxa"/>
            <w:gridSpan w:val="6"/>
            <w:tcBorders>
              <w:top w:val="single" w:sz="4" w:space="0" w:color="auto"/>
              <w:left w:val="nil"/>
              <w:bottom w:val="single" w:sz="4" w:space="0" w:color="auto"/>
              <w:right w:val="nil"/>
            </w:tcBorders>
            <w:noWrap/>
            <w:vAlign w:val="center"/>
            <w:hideMark/>
          </w:tcPr>
          <w:p w14:paraId="38517C30" w14:textId="12B09F3E"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612BEE">
              <w:rPr>
                <w:rFonts w:ascii="Times New Roman" w:eastAsia="Times New Roman" w:hAnsi="Times New Roman" w:cs="Times New Roman"/>
                <w:b/>
                <w:bCs/>
                <w:color w:val="000000"/>
                <w:kern w:val="0"/>
                <w:sz w:val="24"/>
                <w:szCs w:val="24"/>
                <w:lang w:eastAsia="fr-FR"/>
                <w14:ligatures w14:val="none"/>
              </w:rPr>
              <w:t>Lettuce</w:t>
            </w:r>
            <w:proofErr w:type="spellEnd"/>
            <w:r w:rsidR="004802D5" w:rsidRPr="00931A33">
              <w:rPr>
                <w:rFonts w:ascii="Times New Roman" w:eastAsia="Times New Roman" w:hAnsi="Times New Roman" w:cs="Times New Roman"/>
                <w:b/>
                <w:bCs/>
                <w:color w:val="000000"/>
                <w:kern w:val="0"/>
                <w:sz w:val="24"/>
                <w:szCs w:val="24"/>
                <w:lang w:eastAsia="fr-FR"/>
                <w14:ligatures w14:val="none"/>
              </w:rPr>
              <w:t xml:space="preserve"> (n=28)</w:t>
            </w:r>
          </w:p>
        </w:tc>
        <w:tc>
          <w:tcPr>
            <w:tcW w:w="7200" w:type="dxa"/>
            <w:gridSpan w:val="6"/>
            <w:tcBorders>
              <w:top w:val="single" w:sz="4" w:space="0" w:color="auto"/>
              <w:left w:val="nil"/>
              <w:bottom w:val="single" w:sz="4" w:space="0" w:color="auto"/>
              <w:right w:val="nil"/>
            </w:tcBorders>
            <w:noWrap/>
            <w:vAlign w:val="center"/>
            <w:hideMark/>
          </w:tcPr>
          <w:p w14:paraId="29160EF6" w14:textId="3287F99F"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612BEE">
              <w:rPr>
                <w:rFonts w:ascii="Times New Roman" w:eastAsia="Times New Roman" w:hAnsi="Times New Roman" w:cs="Times New Roman"/>
                <w:b/>
                <w:bCs/>
                <w:color w:val="000000"/>
                <w:kern w:val="0"/>
                <w:sz w:val="24"/>
                <w:szCs w:val="24"/>
                <w:lang w:eastAsia="fr-FR"/>
                <w14:ligatures w14:val="none"/>
              </w:rPr>
              <w:t>Tomato</w:t>
            </w:r>
            <w:proofErr w:type="spellEnd"/>
            <w:r w:rsidR="004802D5" w:rsidRPr="00931A33">
              <w:rPr>
                <w:rFonts w:ascii="Times New Roman" w:eastAsia="Times New Roman" w:hAnsi="Times New Roman" w:cs="Times New Roman"/>
                <w:b/>
                <w:bCs/>
                <w:color w:val="000000"/>
                <w:kern w:val="0"/>
                <w:sz w:val="24"/>
                <w:szCs w:val="24"/>
                <w:lang w:eastAsia="fr-FR"/>
                <w14:ligatures w14:val="none"/>
              </w:rPr>
              <w:t xml:space="preserve"> (n=11)</w:t>
            </w:r>
          </w:p>
        </w:tc>
      </w:tr>
      <w:tr w:rsidR="004802D5" w:rsidRPr="00931A33" w14:paraId="06C6539E" w14:textId="77777777" w:rsidTr="0041610C">
        <w:trPr>
          <w:trHeight w:val="615"/>
          <w:jc w:val="center"/>
        </w:trPr>
        <w:tc>
          <w:tcPr>
            <w:tcW w:w="1200" w:type="dxa"/>
            <w:vMerge/>
            <w:tcBorders>
              <w:top w:val="single" w:sz="4" w:space="0" w:color="auto"/>
              <w:left w:val="nil"/>
              <w:bottom w:val="single" w:sz="4" w:space="0" w:color="000000"/>
              <w:right w:val="nil"/>
            </w:tcBorders>
            <w:vAlign w:val="center"/>
            <w:hideMark/>
          </w:tcPr>
          <w:p w14:paraId="57CD54C1" w14:textId="77777777" w:rsidR="004802D5" w:rsidRPr="00931A33" w:rsidRDefault="004802D5" w:rsidP="0041610C">
            <w:pPr>
              <w:spacing w:after="0" w:line="240" w:lineRule="auto"/>
              <w:rPr>
                <w:rFonts w:ascii="Times New Roman" w:eastAsia="Times New Roman" w:hAnsi="Times New Roman" w:cs="Times New Roman"/>
                <w:b/>
                <w:bCs/>
                <w:color w:val="000000"/>
                <w:kern w:val="0"/>
                <w:sz w:val="24"/>
                <w:szCs w:val="24"/>
                <w:lang w:eastAsia="fr-FR"/>
                <w14:ligatures w14:val="none"/>
              </w:rPr>
            </w:pPr>
          </w:p>
        </w:tc>
        <w:tc>
          <w:tcPr>
            <w:tcW w:w="887" w:type="dxa"/>
            <w:tcBorders>
              <w:top w:val="nil"/>
              <w:left w:val="nil"/>
              <w:bottom w:val="single" w:sz="4" w:space="0" w:color="auto"/>
              <w:right w:val="nil"/>
            </w:tcBorders>
            <w:noWrap/>
            <w:vAlign w:val="center"/>
            <w:hideMark/>
          </w:tcPr>
          <w:p w14:paraId="7B39617A"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Min</w:t>
            </w:r>
          </w:p>
        </w:tc>
        <w:tc>
          <w:tcPr>
            <w:tcW w:w="1075" w:type="dxa"/>
            <w:tcBorders>
              <w:top w:val="nil"/>
              <w:left w:val="nil"/>
              <w:bottom w:val="single" w:sz="4" w:space="0" w:color="auto"/>
              <w:right w:val="nil"/>
            </w:tcBorders>
            <w:noWrap/>
            <w:vAlign w:val="center"/>
            <w:hideMark/>
          </w:tcPr>
          <w:p w14:paraId="635D7EB4"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Max</w:t>
            </w:r>
          </w:p>
        </w:tc>
        <w:tc>
          <w:tcPr>
            <w:tcW w:w="1505" w:type="dxa"/>
            <w:tcBorders>
              <w:top w:val="nil"/>
              <w:left w:val="nil"/>
              <w:bottom w:val="single" w:sz="4" w:space="0" w:color="auto"/>
              <w:right w:val="nil"/>
            </w:tcBorders>
            <w:noWrap/>
            <w:vAlign w:val="center"/>
            <w:hideMark/>
          </w:tcPr>
          <w:p w14:paraId="14D2A320" w14:textId="7DDCF9C1"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ean</w:t>
            </w:r>
            <w:proofErr w:type="spellEnd"/>
          </w:p>
        </w:tc>
        <w:tc>
          <w:tcPr>
            <w:tcW w:w="887" w:type="dxa"/>
            <w:tcBorders>
              <w:top w:val="nil"/>
              <w:left w:val="nil"/>
              <w:bottom w:val="single" w:sz="4" w:space="0" w:color="auto"/>
              <w:right w:val="nil"/>
            </w:tcBorders>
            <w:noWrap/>
            <w:vAlign w:val="center"/>
            <w:hideMark/>
          </w:tcPr>
          <w:p w14:paraId="6FC8AD08"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ET</w:t>
            </w:r>
          </w:p>
        </w:tc>
        <w:tc>
          <w:tcPr>
            <w:tcW w:w="1392" w:type="dxa"/>
            <w:tcBorders>
              <w:top w:val="nil"/>
              <w:left w:val="nil"/>
              <w:bottom w:val="single" w:sz="4" w:space="0" w:color="auto"/>
              <w:right w:val="nil"/>
            </w:tcBorders>
            <w:noWrap/>
            <w:vAlign w:val="center"/>
            <w:hideMark/>
          </w:tcPr>
          <w:p w14:paraId="00A304C5" w14:textId="4750E739"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Pr>
                <w:rFonts w:ascii="Times New Roman" w:eastAsia="Times New Roman" w:hAnsi="Times New Roman" w:cs="Times New Roman"/>
                <w:b/>
                <w:bCs/>
                <w:color w:val="000000"/>
                <w:kern w:val="0"/>
                <w:sz w:val="24"/>
                <w:szCs w:val="24"/>
                <w:lang w:eastAsia="fr-FR"/>
                <w14:ligatures w14:val="none"/>
              </w:rPr>
              <w:t>Median</w:t>
            </w:r>
            <w:proofErr w:type="spellEnd"/>
          </w:p>
        </w:tc>
        <w:tc>
          <w:tcPr>
            <w:tcW w:w="1455" w:type="dxa"/>
            <w:tcBorders>
              <w:top w:val="nil"/>
              <w:left w:val="nil"/>
              <w:bottom w:val="single" w:sz="4" w:space="0" w:color="auto"/>
              <w:right w:val="nil"/>
            </w:tcBorders>
            <w:vAlign w:val="bottom"/>
            <w:hideMark/>
          </w:tcPr>
          <w:p w14:paraId="08FAAC99" w14:textId="169DCC8C" w:rsidR="004802D5" w:rsidRPr="00931A33" w:rsidRDefault="004802D5" w:rsidP="0041610C">
            <w:pPr>
              <w:spacing w:after="0" w:line="240" w:lineRule="auto"/>
              <w:rPr>
                <w:rFonts w:ascii="Times New Roman" w:eastAsia="Times New Roman" w:hAnsi="Times New Roman" w:cs="Times New Roman"/>
                <w:b/>
                <w:bCs/>
                <w:i/>
                <w:iCs/>
                <w:color w:val="000000"/>
                <w:kern w:val="0"/>
                <w:sz w:val="24"/>
                <w:szCs w:val="24"/>
                <w:lang w:eastAsia="fr-FR"/>
                <w14:ligatures w14:val="none"/>
              </w:rPr>
            </w:pPr>
            <w:r w:rsidRPr="00931A33">
              <w:rPr>
                <w:rFonts w:ascii="Times New Roman" w:eastAsia="Times New Roman" w:hAnsi="Times New Roman" w:cs="Times New Roman"/>
                <w:b/>
                <w:bCs/>
                <w:i/>
                <w:iCs/>
                <w:color w:val="000000"/>
                <w:kern w:val="0"/>
                <w:sz w:val="24"/>
                <w:szCs w:val="24"/>
                <w:lang w:eastAsia="fr-FR"/>
                <w14:ligatures w14:val="none"/>
              </w:rPr>
              <w:t>*</w:t>
            </w:r>
            <w:r w:rsidR="00612BEE" w:rsidRPr="00612BEE">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Toxicity</w:t>
            </w:r>
            <w:proofErr w:type="spellEnd"/>
            <w:r w:rsidR="00612BEE" w:rsidRPr="00612BEE">
              <w:rPr>
                <w:rFonts w:ascii="Times New Roman" w:eastAsia="Times New Roman" w:hAnsi="Times New Roman" w:cs="Times New Roman"/>
                <w:b/>
                <w:bCs/>
                <w:i/>
                <w:iCs/>
                <w:color w:val="000000"/>
                <w:kern w:val="0"/>
                <w:sz w:val="24"/>
                <w:szCs w:val="24"/>
                <w:lang w:eastAsia="fr-FR"/>
                <w14:ligatures w14:val="none"/>
              </w:rPr>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threshold</w:t>
            </w:r>
            <w:proofErr w:type="spellEnd"/>
          </w:p>
        </w:tc>
        <w:tc>
          <w:tcPr>
            <w:tcW w:w="936" w:type="dxa"/>
            <w:tcBorders>
              <w:top w:val="nil"/>
              <w:left w:val="nil"/>
              <w:bottom w:val="single" w:sz="4" w:space="0" w:color="auto"/>
              <w:right w:val="nil"/>
            </w:tcBorders>
            <w:noWrap/>
            <w:vAlign w:val="center"/>
            <w:hideMark/>
          </w:tcPr>
          <w:p w14:paraId="13BC1173"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Min</w:t>
            </w:r>
          </w:p>
        </w:tc>
        <w:tc>
          <w:tcPr>
            <w:tcW w:w="935" w:type="dxa"/>
            <w:tcBorders>
              <w:top w:val="nil"/>
              <w:left w:val="nil"/>
              <w:bottom w:val="single" w:sz="4" w:space="0" w:color="auto"/>
              <w:right w:val="nil"/>
            </w:tcBorders>
            <w:noWrap/>
            <w:vAlign w:val="center"/>
            <w:hideMark/>
          </w:tcPr>
          <w:p w14:paraId="30F619AB"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Max</w:t>
            </w:r>
          </w:p>
        </w:tc>
        <w:tc>
          <w:tcPr>
            <w:tcW w:w="1587" w:type="dxa"/>
            <w:tcBorders>
              <w:top w:val="nil"/>
              <w:left w:val="nil"/>
              <w:bottom w:val="single" w:sz="4" w:space="0" w:color="auto"/>
              <w:right w:val="nil"/>
            </w:tcBorders>
            <w:noWrap/>
            <w:vAlign w:val="center"/>
            <w:hideMark/>
          </w:tcPr>
          <w:p w14:paraId="6C438FBF" w14:textId="26AA8C66"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ean</w:t>
            </w:r>
            <w:proofErr w:type="spellEnd"/>
          </w:p>
        </w:tc>
        <w:tc>
          <w:tcPr>
            <w:tcW w:w="738" w:type="dxa"/>
            <w:tcBorders>
              <w:top w:val="nil"/>
              <w:left w:val="nil"/>
              <w:bottom w:val="single" w:sz="4" w:space="0" w:color="auto"/>
              <w:right w:val="nil"/>
            </w:tcBorders>
            <w:noWrap/>
            <w:vAlign w:val="center"/>
            <w:hideMark/>
          </w:tcPr>
          <w:p w14:paraId="76EE73AE"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ET</w:t>
            </w:r>
          </w:p>
        </w:tc>
        <w:tc>
          <w:tcPr>
            <w:tcW w:w="1469" w:type="dxa"/>
            <w:tcBorders>
              <w:top w:val="nil"/>
              <w:left w:val="nil"/>
              <w:bottom w:val="single" w:sz="4" w:space="0" w:color="auto"/>
              <w:right w:val="nil"/>
            </w:tcBorders>
            <w:noWrap/>
            <w:vAlign w:val="center"/>
            <w:hideMark/>
          </w:tcPr>
          <w:p w14:paraId="34D8C1FD" w14:textId="40010F0D"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w:t>
            </w:r>
            <w:r w:rsidRPr="00931A33">
              <w:rPr>
                <w:rFonts w:ascii="Times New Roman" w:eastAsia="Times New Roman" w:hAnsi="Times New Roman" w:cs="Times New Roman"/>
                <w:b/>
                <w:bCs/>
                <w:color w:val="000000"/>
                <w:kern w:val="0"/>
                <w:sz w:val="24"/>
                <w:szCs w:val="24"/>
                <w:lang w:eastAsia="fr-FR"/>
                <w14:ligatures w14:val="none"/>
              </w:rPr>
              <w:t>dian</w:t>
            </w:r>
            <w:proofErr w:type="spellEnd"/>
          </w:p>
        </w:tc>
        <w:tc>
          <w:tcPr>
            <w:tcW w:w="1535" w:type="dxa"/>
            <w:tcBorders>
              <w:top w:val="nil"/>
              <w:left w:val="nil"/>
              <w:bottom w:val="single" w:sz="4" w:space="0" w:color="auto"/>
              <w:right w:val="nil"/>
            </w:tcBorders>
            <w:vAlign w:val="bottom"/>
            <w:hideMark/>
          </w:tcPr>
          <w:p w14:paraId="7A96D069" w14:textId="4C156627" w:rsidR="004802D5" w:rsidRPr="00931A33" w:rsidRDefault="004802D5" w:rsidP="0041610C">
            <w:pPr>
              <w:spacing w:after="0" w:line="240" w:lineRule="auto"/>
              <w:rPr>
                <w:rFonts w:ascii="Times New Roman" w:eastAsia="Times New Roman" w:hAnsi="Times New Roman" w:cs="Times New Roman"/>
                <w:b/>
                <w:bCs/>
                <w:i/>
                <w:iCs/>
                <w:color w:val="000000"/>
                <w:kern w:val="0"/>
                <w:sz w:val="24"/>
                <w:szCs w:val="24"/>
                <w:lang w:eastAsia="fr-FR"/>
                <w14:ligatures w14:val="none"/>
              </w:rPr>
            </w:pPr>
            <w:r w:rsidRPr="00931A33">
              <w:rPr>
                <w:rFonts w:ascii="Times New Roman" w:eastAsia="Times New Roman" w:hAnsi="Times New Roman" w:cs="Times New Roman"/>
                <w:b/>
                <w:bCs/>
                <w:i/>
                <w:iCs/>
                <w:color w:val="000000"/>
                <w:kern w:val="0"/>
                <w:sz w:val="24"/>
                <w:szCs w:val="24"/>
                <w:lang w:eastAsia="fr-FR"/>
                <w14:ligatures w14:val="none"/>
              </w:rPr>
              <w:t>*</w:t>
            </w:r>
            <w:r w:rsidR="00612BEE" w:rsidRPr="00612BEE">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Toxicity</w:t>
            </w:r>
            <w:proofErr w:type="spellEnd"/>
            <w:r w:rsidR="00612BEE" w:rsidRPr="00612BEE">
              <w:rPr>
                <w:rFonts w:ascii="Times New Roman" w:eastAsia="Times New Roman" w:hAnsi="Times New Roman" w:cs="Times New Roman"/>
                <w:b/>
                <w:bCs/>
                <w:i/>
                <w:iCs/>
                <w:color w:val="000000"/>
                <w:kern w:val="0"/>
                <w:sz w:val="24"/>
                <w:szCs w:val="24"/>
                <w:lang w:eastAsia="fr-FR"/>
                <w14:ligatures w14:val="none"/>
              </w:rPr>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threshold</w:t>
            </w:r>
            <w:proofErr w:type="spellEnd"/>
          </w:p>
        </w:tc>
      </w:tr>
      <w:tr w:rsidR="004802D5" w:rsidRPr="00931A33" w14:paraId="1D567F92" w14:textId="77777777" w:rsidTr="0041610C">
        <w:trPr>
          <w:trHeight w:val="315"/>
          <w:jc w:val="center"/>
        </w:trPr>
        <w:tc>
          <w:tcPr>
            <w:tcW w:w="1200" w:type="dxa"/>
            <w:tcBorders>
              <w:top w:val="nil"/>
              <w:left w:val="nil"/>
              <w:bottom w:val="nil"/>
              <w:right w:val="nil"/>
            </w:tcBorders>
            <w:noWrap/>
            <w:vAlign w:val="center"/>
            <w:hideMark/>
          </w:tcPr>
          <w:p w14:paraId="01829777"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As</w:t>
            </w:r>
          </w:p>
        </w:tc>
        <w:tc>
          <w:tcPr>
            <w:tcW w:w="887" w:type="dxa"/>
            <w:tcBorders>
              <w:top w:val="nil"/>
              <w:left w:val="nil"/>
              <w:bottom w:val="nil"/>
              <w:right w:val="nil"/>
            </w:tcBorders>
            <w:noWrap/>
            <w:vAlign w:val="center"/>
            <w:hideMark/>
          </w:tcPr>
          <w:p w14:paraId="09F9532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0.50</w:t>
            </w:r>
          </w:p>
        </w:tc>
        <w:tc>
          <w:tcPr>
            <w:tcW w:w="1075" w:type="dxa"/>
            <w:tcBorders>
              <w:top w:val="nil"/>
              <w:left w:val="nil"/>
              <w:bottom w:val="nil"/>
              <w:right w:val="nil"/>
            </w:tcBorders>
            <w:noWrap/>
            <w:vAlign w:val="center"/>
            <w:hideMark/>
          </w:tcPr>
          <w:p w14:paraId="3CF7A50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4.48</w:t>
            </w:r>
          </w:p>
        </w:tc>
        <w:tc>
          <w:tcPr>
            <w:tcW w:w="1505" w:type="dxa"/>
            <w:tcBorders>
              <w:top w:val="nil"/>
              <w:left w:val="nil"/>
              <w:bottom w:val="nil"/>
              <w:right w:val="nil"/>
            </w:tcBorders>
            <w:noWrap/>
            <w:vAlign w:val="center"/>
            <w:hideMark/>
          </w:tcPr>
          <w:p w14:paraId="038218A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1.52</w:t>
            </w:r>
          </w:p>
        </w:tc>
        <w:tc>
          <w:tcPr>
            <w:tcW w:w="887" w:type="dxa"/>
            <w:tcBorders>
              <w:top w:val="nil"/>
              <w:left w:val="nil"/>
              <w:bottom w:val="nil"/>
              <w:right w:val="nil"/>
            </w:tcBorders>
            <w:noWrap/>
            <w:vAlign w:val="center"/>
            <w:hideMark/>
          </w:tcPr>
          <w:p w14:paraId="30F8957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0.26</w:t>
            </w:r>
          </w:p>
        </w:tc>
        <w:tc>
          <w:tcPr>
            <w:tcW w:w="1392" w:type="dxa"/>
            <w:tcBorders>
              <w:top w:val="nil"/>
              <w:left w:val="nil"/>
              <w:bottom w:val="nil"/>
              <w:right w:val="nil"/>
            </w:tcBorders>
            <w:noWrap/>
            <w:vAlign w:val="center"/>
            <w:hideMark/>
          </w:tcPr>
          <w:p w14:paraId="4B89AA3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0.83</w:t>
            </w:r>
          </w:p>
        </w:tc>
        <w:tc>
          <w:tcPr>
            <w:tcW w:w="1455" w:type="dxa"/>
            <w:tcBorders>
              <w:top w:val="nil"/>
              <w:left w:val="nil"/>
              <w:bottom w:val="nil"/>
              <w:right w:val="nil"/>
            </w:tcBorders>
            <w:noWrap/>
            <w:vAlign w:val="center"/>
            <w:hideMark/>
          </w:tcPr>
          <w:p w14:paraId="7B534F6C" w14:textId="3E23FF1C"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100</w:t>
            </w:r>
          </w:p>
        </w:tc>
        <w:tc>
          <w:tcPr>
            <w:tcW w:w="936" w:type="dxa"/>
            <w:tcBorders>
              <w:top w:val="nil"/>
              <w:left w:val="nil"/>
              <w:bottom w:val="nil"/>
              <w:right w:val="nil"/>
            </w:tcBorders>
            <w:noWrap/>
            <w:vAlign w:val="center"/>
            <w:hideMark/>
          </w:tcPr>
          <w:p w14:paraId="461AEDD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w:t>
            </w:r>
          </w:p>
        </w:tc>
        <w:tc>
          <w:tcPr>
            <w:tcW w:w="935" w:type="dxa"/>
            <w:tcBorders>
              <w:top w:val="nil"/>
              <w:left w:val="nil"/>
              <w:bottom w:val="nil"/>
              <w:right w:val="nil"/>
            </w:tcBorders>
            <w:noWrap/>
            <w:vAlign w:val="center"/>
            <w:hideMark/>
          </w:tcPr>
          <w:p w14:paraId="1222A0C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2.11</w:t>
            </w:r>
          </w:p>
        </w:tc>
        <w:tc>
          <w:tcPr>
            <w:tcW w:w="1587" w:type="dxa"/>
            <w:tcBorders>
              <w:top w:val="nil"/>
              <w:left w:val="nil"/>
              <w:bottom w:val="nil"/>
              <w:right w:val="nil"/>
            </w:tcBorders>
            <w:noWrap/>
            <w:vAlign w:val="center"/>
            <w:hideMark/>
          </w:tcPr>
          <w:p w14:paraId="557EC61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0.78</w:t>
            </w:r>
          </w:p>
        </w:tc>
        <w:tc>
          <w:tcPr>
            <w:tcW w:w="738" w:type="dxa"/>
            <w:tcBorders>
              <w:top w:val="nil"/>
              <w:left w:val="nil"/>
              <w:bottom w:val="nil"/>
              <w:right w:val="nil"/>
            </w:tcBorders>
            <w:noWrap/>
            <w:vAlign w:val="center"/>
            <w:hideMark/>
          </w:tcPr>
          <w:p w14:paraId="7B81307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0.16</w:t>
            </w:r>
          </w:p>
        </w:tc>
        <w:tc>
          <w:tcPr>
            <w:tcW w:w="1469" w:type="dxa"/>
            <w:tcBorders>
              <w:top w:val="nil"/>
              <w:left w:val="nil"/>
              <w:bottom w:val="nil"/>
              <w:right w:val="nil"/>
            </w:tcBorders>
            <w:noWrap/>
            <w:vAlign w:val="center"/>
            <w:hideMark/>
          </w:tcPr>
          <w:p w14:paraId="262E6C6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0.61</w:t>
            </w:r>
          </w:p>
        </w:tc>
        <w:tc>
          <w:tcPr>
            <w:tcW w:w="1535" w:type="dxa"/>
            <w:tcBorders>
              <w:top w:val="nil"/>
              <w:left w:val="nil"/>
              <w:bottom w:val="nil"/>
              <w:right w:val="nil"/>
            </w:tcBorders>
            <w:noWrap/>
            <w:vAlign w:val="center"/>
            <w:hideMark/>
          </w:tcPr>
          <w:p w14:paraId="5E0267D7" w14:textId="5C665566"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100</w:t>
            </w:r>
          </w:p>
        </w:tc>
      </w:tr>
      <w:tr w:rsidR="004802D5" w:rsidRPr="00931A33" w14:paraId="0EEC0923" w14:textId="77777777" w:rsidTr="0041610C">
        <w:trPr>
          <w:trHeight w:val="315"/>
          <w:jc w:val="center"/>
        </w:trPr>
        <w:tc>
          <w:tcPr>
            <w:tcW w:w="1200" w:type="dxa"/>
            <w:tcBorders>
              <w:top w:val="nil"/>
              <w:left w:val="nil"/>
              <w:bottom w:val="nil"/>
              <w:right w:val="nil"/>
            </w:tcBorders>
            <w:noWrap/>
            <w:vAlign w:val="center"/>
            <w:hideMark/>
          </w:tcPr>
          <w:p w14:paraId="1A68BD10"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Cd</w:t>
            </w:r>
          </w:p>
        </w:tc>
        <w:tc>
          <w:tcPr>
            <w:tcW w:w="887" w:type="dxa"/>
            <w:tcBorders>
              <w:top w:val="nil"/>
              <w:left w:val="nil"/>
              <w:bottom w:val="nil"/>
              <w:right w:val="nil"/>
            </w:tcBorders>
            <w:noWrap/>
            <w:vAlign w:val="center"/>
            <w:hideMark/>
          </w:tcPr>
          <w:p w14:paraId="3F29CB0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w:t>
            </w:r>
          </w:p>
        </w:tc>
        <w:tc>
          <w:tcPr>
            <w:tcW w:w="1075" w:type="dxa"/>
            <w:tcBorders>
              <w:top w:val="nil"/>
              <w:left w:val="nil"/>
              <w:bottom w:val="nil"/>
              <w:right w:val="nil"/>
            </w:tcBorders>
            <w:noWrap/>
            <w:vAlign w:val="center"/>
            <w:hideMark/>
          </w:tcPr>
          <w:p w14:paraId="415FB36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6.73</w:t>
            </w:r>
          </w:p>
        </w:tc>
        <w:tc>
          <w:tcPr>
            <w:tcW w:w="1505" w:type="dxa"/>
            <w:tcBorders>
              <w:top w:val="nil"/>
              <w:left w:val="nil"/>
              <w:bottom w:val="nil"/>
              <w:right w:val="nil"/>
            </w:tcBorders>
            <w:noWrap/>
            <w:vAlign w:val="center"/>
            <w:hideMark/>
          </w:tcPr>
          <w:p w14:paraId="0F73203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w:t>
            </w:r>
          </w:p>
        </w:tc>
        <w:tc>
          <w:tcPr>
            <w:tcW w:w="887" w:type="dxa"/>
            <w:tcBorders>
              <w:top w:val="nil"/>
              <w:left w:val="nil"/>
              <w:bottom w:val="nil"/>
              <w:right w:val="nil"/>
            </w:tcBorders>
            <w:noWrap/>
            <w:vAlign w:val="center"/>
            <w:hideMark/>
          </w:tcPr>
          <w:p w14:paraId="4EA67EC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0.39</w:t>
            </w:r>
          </w:p>
        </w:tc>
        <w:tc>
          <w:tcPr>
            <w:tcW w:w="1392" w:type="dxa"/>
            <w:tcBorders>
              <w:top w:val="nil"/>
              <w:left w:val="nil"/>
              <w:bottom w:val="nil"/>
              <w:right w:val="nil"/>
            </w:tcBorders>
            <w:noWrap/>
            <w:vAlign w:val="center"/>
            <w:hideMark/>
          </w:tcPr>
          <w:p w14:paraId="645A214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0.97</w:t>
            </w:r>
          </w:p>
        </w:tc>
        <w:tc>
          <w:tcPr>
            <w:tcW w:w="1455" w:type="dxa"/>
            <w:tcBorders>
              <w:top w:val="nil"/>
              <w:left w:val="nil"/>
              <w:bottom w:val="nil"/>
              <w:right w:val="nil"/>
            </w:tcBorders>
            <w:noWrap/>
            <w:vAlign w:val="center"/>
            <w:hideMark/>
          </w:tcPr>
          <w:p w14:paraId="70BBBF9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0,050</w:t>
            </w:r>
          </w:p>
        </w:tc>
        <w:tc>
          <w:tcPr>
            <w:tcW w:w="936" w:type="dxa"/>
            <w:tcBorders>
              <w:top w:val="nil"/>
              <w:left w:val="nil"/>
              <w:bottom w:val="nil"/>
              <w:right w:val="nil"/>
            </w:tcBorders>
            <w:noWrap/>
            <w:vAlign w:val="center"/>
            <w:hideMark/>
          </w:tcPr>
          <w:p w14:paraId="6DB0F38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0.03</w:t>
            </w:r>
          </w:p>
        </w:tc>
        <w:tc>
          <w:tcPr>
            <w:tcW w:w="935" w:type="dxa"/>
            <w:tcBorders>
              <w:top w:val="nil"/>
              <w:left w:val="nil"/>
              <w:bottom w:val="nil"/>
              <w:right w:val="nil"/>
            </w:tcBorders>
            <w:noWrap/>
            <w:vAlign w:val="center"/>
            <w:hideMark/>
          </w:tcPr>
          <w:p w14:paraId="387BFBA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1.86</w:t>
            </w:r>
          </w:p>
        </w:tc>
        <w:tc>
          <w:tcPr>
            <w:tcW w:w="1587" w:type="dxa"/>
            <w:tcBorders>
              <w:top w:val="nil"/>
              <w:left w:val="nil"/>
              <w:bottom w:val="nil"/>
              <w:right w:val="nil"/>
            </w:tcBorders>
            <w:noWrap/>
            <w:vAlign w:val="center"/>
            <w:hideMark/>
          </w:tcPr>
          <w:p w14:paraId="07712B2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0.97</w:t>
            </w:r>
          </w:p>
        </w:tc>
        <w:tc>
          <w:tcPr>
            <w:tcW w:w="738" w:type="dxa"/>
            <w:tcBorders>
              <w:top w:val="nil"/>
              <w:left w:val="nil"/>
              <w:bottom w:val="nil"/>
              <w:right w:val="nil"/>
            </w:tcBorders>
            <w:noWrap/>
            <w:vAlign w:val="center"/>
            <w:hideMark/>
          </w:tcPr>
          <w:p w14:paraId="1B904A1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0.20</w:t>
            </w:r>
          </w:p>
        </w:tc>
        <w:tc>
          <w:tcPr>
            <w:tcW w:w="1469" w:type="dxa"/>
            <w:tcBorders>
              <w:top w:val="nil"/>
              <w:left w:val="nil"/>
              <w:bottom w:val="nil"/>
              <w:right w:val="nil"/>
            </w:tcBorders>
            <w:noWrap/>
            <w:vAlign w:val="center"/>
            <w:hideMark/>
          </w:tcPr>
          <w:p w14:paraId="0976F13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0.82</w:t>
            </w:r>
          </w:p>
        </w:tc>
        <w:tc>
          <w:tcPr>
            <w:tcW w:w="1535" w:type="dxa"/>
            <w:tcBorders>
              <w:top w:val="nil"/>
              <w:left w:val="nil"/>
              <w:bottom w:val="nil"/>
              <w:right w:val="nil"/>
            </w:tcBorders>
            <w:noWrap/>
            <w:vAlign w:val="center"/>
            <w:hideMark/>
          </w:tcPr>
          <w:p w14:paraId="33102F1C" w14:textId="007A7F74"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2</w:t>
            </w:r>
          </w:p>
        </w:tc>
      </w:tr>
      <w:tr w:rsidR="004802D5" w:rsidRPr="00931A33" w14:paraId="47C4E304" w14:textId="77777777" w:rsidTr="0041610C">
        <w:trPr>
          <w:trHeight w:val="315"/>
          <w:jc w:val="center"/>
        </w:trPr>
        <w:tc>
          <w:tcPr>
            <w:tcW w:w="1200" w:type="dxa"/>
            <w:tcBorders>
              <w:top w:val="nil"/>
              <w:left w:val="nil"/>
              <w:bottom w:val="nil"/>
              <w:right w:val="nil"/>
            </w:tcBorders>
            <w:noWrap/>
            <w:vAlign w:val="center"/>
            <w:hideMark/>
          </w:tcPr>
          <w:p w14:paraId="10272D87"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Cr</w:t>
            </w:r>
          </w:p>
        </w:tc>
        <w:tc>
          <w:tcPr>
            <w:tcW w:w="887" w:type="dxa"/>
            <w:tcBorders>
              <w:top w:val="nil"/>
              <w:left w:val="nil"/>
              <w:bottom w:val="nil"/>
              <w:right w:val="nil"/>
            </w:tcBorders>
            <w:noWrap/>
            <w:vAlign w:val="center"/>
            <w:hideMark/>
          </w:tcPr>
          <w:p w14:paraId="4A0A552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w:t>
            </w:r>
          </w:p>
        </w:tc>
        <w:tc>
          <w:tcPr>
            <w:tcW w:w="1075" w:type="dxa"/>
            <w:tcBorders>
              <w:top w:val="nil"/>
              <w:left w:val="nil"/>
              <w:bottom w:val="nil"/>
              <w:right w:val="nil"/>
            </w:tcBorders>
            <w:noWrap/>
            <w:vAlign w:val="center"/>
            <w:hideMark/>
          </w:tcPr>
          <w:p w14:paraId="0971B37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11.18</w:t>
            </w:r>
          </w:p>
        </w:tc>
        <w:tc>
          <w:tcPr>
            <w:tcW w:w="1505" w:type="dxa"/>
            <w:tcBorders>
              <w:top w:val="nil"/>
              <w:left w:val="nil"/>
              <w:bottom w:val="nil"/>
              <w:right w:val="nil"/>
            </w:tcBorders>
            <w:noWrap/>
            <w:vAlign w:val="center"/>
            <w:hideMark/>
          </w:tcPr>
          <w:p w14:paraId="69FE2D6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2.64</w:t>
            </w:r>
          </w:p>
        </w:tc>
        <w:tc>
          <w:tcPr>
            <w:tcW w:w="887" w:type="dxa"/>
            <w:tcBorders>
              <w:top w:val="nil"/>
              <w:left w:val="nil"/>
              <w:bottom w:val="nil"/>
              <w:right w:val="nil"/>
            </w:tcBorders>
            <w:noWrap/>
            <w:vAlign w:val="center"/>
            <w:hideMark/>
          </w:tcPr>
          <w:p w14:paraId="57208E1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0.53</w:t>
            </w:r>
          </w:p>
        </w:tc>
        <w:tc>
          <w:tcPr>
            <w:tcW w:w="1392" w:type="dxa"/>
            <w:tcBorders>
              <w:top w:val="nil"/>
              <w:left w:val="nil"/>
              <w:bottom w:val="nil"/>
              <w:right w:val="nil"/>
            </w:tcBorders>
            <w:noWrap/>
            <w:vAlign w:val="center"/>
            <w:hideMark/>
          </w:tcPr>
          <w:p w14:paraId="16F8527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1.88</w:t>
            </w:r>
          </w:p>
        </w:tc>
        <w:tc>
          <w:tcPr>
            <w:tcW w:w="1455" w:type="dxa"/>
            <w:tcBorders>
              <w:top w:val="nil"/>
              <w:left w:val="nil"/>
              <w:bottom w:val="nil"/>
              <w:right w:val="nil"/>
            </w:tcBorders>
            <w:noWrap/>
            <w:vAlign w:val="center"/>
            <w:hideMark/>
          </w:tcPr>
          <w:p w14:paraId="4F7F681B" w14:textId="47643A77"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2.</w:t>
            </w:r>
            <w:r w:rsidR="004802D5" w:rsidRPr="00931A33">
              <w:rPr>
                <w:rFonts w:ascii="Times New Roman" w:eastAsia="Times New Roman" w:hAnsi="Times New Roman" w:cs="Times New Roman"/>
                <w:color w:val="000000"/>
                <w:kern w:val="0"/>
                <w:sz w:val="24"/>
                <w:szCs w:val="24"/>
                <w:lang w:eastAsia="fr-FR"/>
                <w14:ligatures w14:val="none"/>
              </w:rPr>
              <w:t>3</w:t>
            </w:r>
          </w:p>
        </w:tc>
        <w:tc>
          <w:tcPr>
            <w:tcW w:w="936" w:type="dxa"/>
            <w:tcBorders>
              <w:top w:val="nil"/>
              <w:left w:val="nil"/>
              <w:bottom w:val="nil"/>
              <w:right w:val="nil"/>
            </w:tcBorders>
            <w:noWrap/>
            <w:vAlign w:val="center"/>
            <w:hideMark/>
          </w:tcPr>
          <w:p w14:paraId="65C9B05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w:t>
            </w:r>
          </w:p>
        </w:tc>
        <w:tc>
          <w:tcPr>
            <w:tcW w:w="935" w:type="dxa"/>
            <w:tcBorders>
              <w:top w:val="nil"/>
              <w:left w:val="nil"/>
              <w:bottom w:val="nil"/>
              <w:right w:val="nil"/>
            </w:tcBorders>
            <w:noWrap/>
            <w:vAlign w:val="center"/>
            <w:hideMark/>
          </w:tcPr>
          <w:p w14:paraId="057F065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2.84</w:t>
            </w:r>
          </w:p>
        </w:tc>
        <w:tc>
          <w:tcPr>
            <w:tcW w:w="1587" w:type="dxa"/>
            <w:tcBorders>
              <w:top w:val="nil"/>
              <w:left w:val="nil"/>
              <w:bottom w:val="nil"/>
              <w:right w:val="nil"/>
            </w:tcBorders>
            <w:noWrap/>
            <w:vAlign w:val="center"/>
            <w:hideMark/>
          </w:tcPr>
          <w:p w14:paraId="7522564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1.48</w:t>
            </w:r>
          </w:p>
        </w:tc>
        <w:tc>
          <w:tcPr>
            <w:tcW w:w="738" w:type="dxa"/>
            <w:tcBorders>
              <w:top w:val="nil"/>
              <w:left w:val="nil"/>
              <w:bottom w:val="nil"/>
              <w:right w:val="nil"/>
            </w:tcBorders>
            <w:noWrap/>
            <w:vAlign w:val="center"/>
            <w:hideMark/>
          </w:tcPr>
          <w:p w14:paraId="4154972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0.26</w:t>
            </w:r>
          </w:p>
        </w:tc>
        <w:tc>
          <w:tcPr>
            <w:tcW w:w="1469" w:type="dxa"/>
            <w:tcBorders>
              <w:top w:val="nil"/>
              <w:left w:val="nil"/>
              <w:bottom w:val="nil"/>
              <w:right w:val="nil"/>
            </w:tcBorders>
            <w:noWrap/>
            <w:vAlign w:val="center"/>
            <w:hideMark/>
          </w:tcPr>
          <w:p w14:paraId="6537268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1.35</w:t>
            </w:r>
          </w:p>
        </w:tc>
        <w:tc>
          <w:tcPr>
            <w:tcW w:w="1535" w:type="dxa"/>
            <w:tcBorders>
              <w:top w:val="nil"/>
              <w:left w:val="nil"/>
              <w:bottom w:val="nil"/>
              <w:right w:val="nil"/>
            </w:tcBorders>
            <w:noWrap/>
            <w:vAlign w:val="center"/>
            <w:hideMark/>
          </w:tcPr>
          <w:p w14:paraId="0FCD0852" w14:textId="0FDCEDC1"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2.</w:t>
            </w:r>
            <w:r w:rsidR="004802D5" w:rsidRPr="00931A33">
              <w:rPr>
                <w:rFonts w:ascii="Times New Roman" w:eastAsia="Times New Roman" w:hAnsi="Times New Roman" w:cs="Times New Roman"/>
                <w:color w:val="000000"/>
                <w:kern w:val="0"/>
                <w:sz w:val="24"/>
                <w:szCs w:val="24"/>
                <w:lang w:eastAsia="fr-FR"/>
                <w14:ligatures w14:val="none"/>
              </w:rPr>
              <w:t>3</w:t>
            </w:r>
          </w:p>
        </w:tc>
      </w:tr>
      <w:tr w:rsidR="004802D5" w:rsidRPr="00931A33" w14:paraId="53C539B2" w14:textId="77777777" w:rsidTr="0041610C">
        <w:trPr>
          <w:trHeight w:val="315"/>
          <w:jc w:val="center"/>
        </w:trPr>
        <w:tc>
          <w:tcPr>
            <w:tcW w:w="1200" w:type="dxa"/>
            <w:tcBorders>
              <w:top w:val="nil"/>
              <w:left w:val="nil"/>
              <w:bottom w:val="nil"/>
              <w:right w:val="nil"/>
            </w:tcBorders>
            <w:noWrap/>
            <w:vAlign w:val="center"/>
            <w:hideMark/>
          </w:tcPr>
          <w:p w14:paraId="6745F741"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Cu</w:t>
            </w:r>
          </w:p>
        </w:tc>
        <w:tc>
          <w:tcPr>
            <w:tcW w:w="887" w:type="dxa"/>
            <w:tcBorders>
              <w:top w:val="nil"/>
              <w:left w:val="nil"/>
              <w:bottom w:val="nil"/>
              <w:right w:val="nil"/>
            </w:tcBorders>
            <w:noWrap/>
            <w:vAlign w:val="center"/>
            <w:hideMark/>
          </w:tcPr>
          <w:p w14:paraId="022B5A8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3.36</w:t>
            </w:r>
          </w:p>
        </w:tc>
        <w:tc>
          <w:tcPr>
            <w:tcW w:w="1075" w:type="dxa"/>
            <w:tcBorders>
              <w:top w:val="nil"/>
              <w:left w:val="nil"/>
              <w:bottom w:val="nil"/>
              <w:right w:val="nil"/>
            </w:tcBorders>
            <w:noWrap/>
            <w:vAlign w:val="center"/>
            <w:hideMark/>
          </w:tcPr>
          <w:p w14:paraId="543D6FD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22.41</w:t>
            </w:r>
          </w:p>
        </w:tc>
        <w:tc>
          <w:tcPr>
            <w:tcW w:w="1505" w:type="dxa"/>
            <w:tcBorders>
              <w:top w:val="nil"/>
              <w:left w:val="nil"/>
              <w:bottom w:val="nil"/>
              <w:right w:val="nil"/>
            </w:tcBorders>
            <w:noWrap/>
            <w:vAlign w:val="center"/>
            <w:hideMark/>
          </w:tcPr>
          <w:p w14:paraId="53F89A2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10.39</w:t>
            </w:r>
          </w:p>
        </w:tc>
        <w:tc>
          <w:tcPr>
            <w:tcW w:w="887" w:type="dxa"/>
            <w:tcBorders>
              <w:top w:val="nil"/>
              <w:left w:val="nil"/>
              <w:bottom w:val="nil"/>
              <w:right w:val="nil"/>
            </w:tcBorders>
            <w:noWrap/>
            <w:vAlign w:val="center"/>
            <w:hideMark/>
          </w:tcPr>
          <w:p w14:paraId="033E64C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1.02</w:t>
            </w:r>
          </w:p>
        </w:tc>
        <w:tc>
          <w:tcPr>
            <w:tcW w:w="1392" w:type="dxa"/>
            <w:tcBorders>
              <w:top w:val="nil"/>
              <w:left w:val="nil"/>
              <w:bottom w:val="nil"/>
              <w:right w:val="nil"/>
            </w:tcBorders>
            <w:noWrap/>
            <w:vAlign w:val="center"/>
            <w:hideMark/>
          </w:tcPr>
          <w:p w14:paraId="0BAC9F8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8.18</w:t>
            </w:r>
          </w:p>
        </w:tc>
        <w:tc>
          <w:tcPr>
            <w:tcW w:w="1455" w:type="dxa"/>
            <w:tcBorders>
              <w:top w:val="nil"/>
              <w:left w:val="nil"/>
              <w:bottom w:val="nil"/>
              <w:right w:val="nil"/>
            </w:tcBorders>
            <w:noWrap/>
            <w:vAlign w:val="center"/>
            <w:hideMark/>
          </w:tcPr>
          <w:p w14:paraId="7871B0B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73.00</w:t>
            </w:r>
          </w:p>
        </w:tc>
        <w:tc>
          <w:tcPr>
            <w:tcW w:w="936" w:type="dxa"/>
            <w:tcBorders>
              <w:top w:val="nil"/>
              <w:left w:val="nil"/>
              <w:bottom w:val="nil"/>
              <w:right w:val="nil"/>
            </w:tcBorders>
            <w:noWrap/>
            <w:vAlign w:val="center"/>
            <w:hideMark/>
          </w:tcPr>
          <w:p w14:paraId="3C95AB8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2.17</w:t>
            </w:r>
          </w:p>
        </w:tc>
        <w:tc>
          <w:tcPr>
            <w:tcW w:w="935" w:type="dxa"/>
            <w:tcBorders>
              <w:top w:val="nil"/>
              <w:left w:val="nil"/>
              <w:bottom w:val="nil"/>
              <w:right w:val="nil"/>
            </w:tcBorders>
            <w:noWrap/>
            <w:vAlign w:val="center"/>
            <w:hideMark/>
          </w:tcPr>
          <w:p w14:paraId="54E1134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19.72</w:t>
            </w:r>
          </w:p>
        </w:tc>
        <w:tc>
          <w:tcPr>
            <w:tcW w:w="1587" w:type="dxa"/>
            <w:tcBorders>
              <w:top w:val="nil"/>
              <w:left w:val="nil"/>
              <w:bottom w:val="nil"/>
              <w:right w:val="nil"/>
            </w:tcBorders>
            <w:noWrap/>
            <w:vAlign w:val="center"/>
            <w:hideMark/>
          </w:tcPr>
          <w:p w14:paraId="59ACA8E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11.34</w:t>
            </w:r>
          </w:p>
        </w:tc>
        <w:tc>
          <w:tcPr>
            <w:tcW w:w="738" w:type="dxa"/>
            <w:tcBorders>
              <w:top w:val="nil"/>
              <w:left w:val="nil"/>
              <w:bottom w:val="nil"/>
              <w:right w:val="nil"/>
            </w:tcBorders>
            <w:noWrap/>
            <w:vAlign w:val="center"/>
            <w:hideMark/>
          </w:tcPr>
          <w:p w14:paraId="4FD9D07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1.56</w:t>
            </w:r>
          </w:p>
        </w:tc>
        <w:tc>
          <w:tcPr>
            <w:tcW w:w="1469" w:type="dxa"/>
            <w:tcBorders>
              <w:top w:val="nil"/>
              <w:left w:val="nil"/>
              <w:bottom w:val="nil"/>
              <w:right w:val="nil"/>
            </w:tcBorders>
            <w:noWrap/>
            <w:vAlign w:val="center"/>
            <w:hideMark/>
          </w:tcPr>
          <w:p w14:paraId="722001F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12.94</w:t>
            </w:r>
          </w:p>
        </w:tc>
        <w:tc>
          <w:tcPr>
            <w:tcW w:w="1535" w:type="dxa"/>
            <w:tcBorders>
              <w:top w:val="nil"/>
              <w:left w:val="nil"/>
              <w:bottom w:val="nil"/>
              <w:right w:val="nil"/>
            </w:tcBorders>
            <w:noWrap/>
            <w:vAlign w:val="center"/>
            <w:hideMark/>
          </w:tcPr>
          <w:p w14:paraId="50F7F6D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73.00</w:t>
            </w:r>
          </w:p>
        </w:tc>
      </w:tr>
      <w:tr w:rsidR="004802D5" w:rsidRPr="00931A33" w14:paraId="3CFC851F" w14:textId="77777777" w:rsidTr="0041610C">
        <w:trPr>
          <w:trHeight w:val="315"/>
          <w:jc w:val="center"/>
        </w:trPr>
        <w:tc>
          <w:tcPr>
            <w:tcW w:w="1200" w:type="dxa"/>
            <w:tcBorders>
              <w:top w:val="nil"/>
              <w:left w:val="nil"/>
              <w:bottom w:val="nil"/>
              <w:right w:val="nil"/>
            </w:tcBorders>
            <w:noWrap/>
            <w:vAlign w:val="center"/>
            <w:hideMark/>
          </w:tcPr>
          <w:p w14:paraId="50434638"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Ni</w:t>
            </w:r>
          </w:p>
        </w:tc>
        <w:tc>
          <w:tcPr>
            <w:tcW w:w="887" w:type="dxa"/>
            <w:tcBorders>
              <w:top w:val="nil"/>
              <w:left w:val="nil"/>
              <w:bottom w:val="nil"/>
              <w:right w:val="nil"/>
            </w:tcBorders>
            <w:noWrap/>
            <w:vAlign w:val="center"/>
            <w:hideMark/>
          </w:tcPr>
          <w:p w14:paraId="3FE9A30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18.00</w:t>
            </w:r>
          </w:p>
        </w:tc>
        <w:tc>
          <w:tcPr>
            <w:tcW w:w="1075" w:type="dxa"/>
            <w:tcBorders>
              <w:top w:val="nil"/>
              <w:left w:val="nil"/>
              <w:bottom w:val="nil"/>
              <w:right w:val="nil"/>
            </w:tcBorders>
            <w:noWrap/>
            <w:vAlign w:val="center"/>
            <w:hideMark/>
          </w:tcPr>
          <w:p w14:paraId="0120A88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26.81</w:t>
            </w:r>
          </w:p>
        </w:tc>
        <w:tc>
          <w:tcPr>
            <w:tcW w:w="1505" w:type="dxa"/>
            <w:tcBorders>
              <w:top w:val="nil"/>
              <w:left w:val="nil"/>
              <w:bottom w:val="nil"/>
              <w:right w:val="nil"/>
            </w:tcBorders>
            <w:noWrap/>
            <w:vAlign w:val="center"/>
            <w:hideMark/>
          </w:tcPr>
          <w:p w14:paraId="5CEDFA1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21.28</w:t>
            </w:r>
          </w:p>
        </w:tc>
        <w:tc>
          <w:tcPr>
            <w:tcW w:w="887" w:type="dxa"/>
            <w:tcBorders>
              <w:top w:val="nil"/>
              <w:left w:val="nil"/>
              <w:bottom w:val="nil"/>
              <w:right w:val="nil"/>
            </w:tcBorders>
            <w:noWrap/>
            <w:vAlign w:val="center"/>
            <w:hideMark/>
          </w:tcPr>
          <w:p w14:paraId="30A117C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0.53</w:t>
            </w:r>
          </w:p>
        </w:tc>
        <w:tc>
          <w:tcPr>
            <w:tcW w:w="1392" w:type="dxa"/>
            <w:tcBorders>
              <w:top w:val="nil"/>
              <w:left w:val="nil"/>
              <w:bottom w:val="nil"/>
              <w:right w:val="nil"/>
            </w:tcBorders>
            <w:noWrap/>
            <w:vAlign w:val="center"/>
            <w:hideMark/>
          </w:tcPr>
          <w:p w14:paraId="2F1A328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20.54</w:t>
            </w:r>
          </w:p>
        </w:tc>
        <w:tc>
          <w:tcPr>
            <w:tcW w:w="1455" w:type="dxa"/>
            <w:tcBorders>
              <w:top w:val="nil"/>
              <w:left w:val="nil"/>
              <w:bottom w:val="nil"/>
              <w:right w:val="nil"/>
            </w:tcBorders>
            <w:noWrap/>
            <w:vAlign w:val="center"/>
            <w:hideMark/>
          </w:tcPr>
          <w:p w14:paraId="1B10CA2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67.00</w:t>
            </w:r>
          </w:p>
        </w:tc>
        <w:tc>
          <w:tcPr>
            <w:tcW w:w="936" w:type="dxa"/>
            <w:tcBorders>
              <w:top w:val="nil"/>
              <w:left w:val="nil"/>
              <w:bottom w:val="nil"/>
              <w:right w:val="nil"/>
            </w:tcBorders>
            <w:noWrap/>
            <w:vAlign w:val="center"/>
            <w:hideMark/>
          </w:tcPr>
          <w:p w14:paraId="6E27BF4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18.00</w:t>
            </w:r>
          </w:p>
        </w:tc>
        <w:tc>
          <w:tcPr>
            <w:tcW w:w="935" w:type="dxa"/>
            <w:tcBorders>
              <w:top w:val="nil"/>
              <w:left w:val="nil"/>
              <w:bottom w:val="nil"/>
              <w:right w:val="nil"/>
            </w:tcBorders>
            <w:noWrap/>
            <w:vAlign w:val="center"/>
            <w:hideMark/>
          </w:tcPr>
          <w:p w14:paraId="05E154A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22.22</w:t>
            </w:r>
          </w:p>
        </w:tc>
        <w:tc>
          <w:tcPr>
            <w:tcW w:w="1587" w:type="dxa"/>
            <w:tcBorders>
              <w:top w:val="nil"/>
              <w:left w:val="nil"/>
              <w:bottom w:val="nil"/>
              <w:right w:val="nil"/>
            </w:tcBorders>
            <w:noWrap/>
            <w:vAlign w:val="center"/>
            <w:hideMark/>
          </w:tcPr>
          <w:p w14:paraId="3079EA2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20.17</w:t>
            </w:r>
          </w:p>
        </w:tc>
        <w:tc>
          <w:tcPr>
            <w:tcW w:w="738" w:type="dxa"/>
            <w:tcBorders>
              <w:top w:val="nil"/>
              <w:left w:val="nil"/>
              <w:bottom w:val="nil"/>
              <w:right w:val="nil"/>
            </w:tcBorders>
            <w:noWrap/>
            <w:vAlign w:val="center"/>
            <w:hideMark/>
          </w:tcPr>
          <w:p w14:paraId="5019BA2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0.37</w:t>
            </w:r>
          </w:p>
        </w:tc>
        <w:tc>
          <w:tcPr>
            <w:tcW w:w="1469" w:type="dxa"/>
            <w:tcBorders>
              <w:top w:val="nil"/>
              <w:left w:val="nil"/>
              <w:bottom w:val="nil"/>
              <w:right w:val="nil"/>
            </w:tcBorders>
            <w:noWrap/>
            <w:vAlign w:val="center"/>
            <w:hideMark/>
          </w:tcPr>
          <w:p w14:paraId="06085DE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19.75</w:t>
            </w:r>
          </w:p>
        </w:tc>
        <w:tc>
          <w:tcPr>
            <w:tcW w:w="1535" w:type="dxa"/>
            <w:tcBorders>
              <w:top w:val="nil"/>
              <w:left w:val="nil"/>
              <w:bottom w:val="nil"/>
              <w:right w:val="nil"/>
            </w:tcBorders>
            <w:noWrap/>
            <w:vAlign w:val="center"/>
            <w:hideMark/>
          </w:tcPr>
          <w:p w14:paraId="0A06ABE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67.00</w:t>
            </w:r>
          </w:p>
        </w:tc>
      </w:tr>
      <w:tr w:rsidR="004802D5" w:rsidRPr="00931A33" w14:paraId="50B160C2" w14:textId="77777777" w:rsidTr="0041610C">
        <w:trPr>
          <w:trHeight w:val="315"/>
          <w:jc w:val="center"/>
        </w:trPr>
        <w:tc>
          <w:tcPr>
            <w:tcW w:w="1200" w:type="dxa"/>
            <w:tcBorders>
              <w:top w:val="nil"/>
              <w:left w:val="nil"/>
              <w:bottom w:val="nil"/>
              <w:right w:val="nil"/>
            </w:tcBorders>
            <w:noWrap/>
            <w:vAlign w:val="center"/>
            <w:hideMark/>
          </w:tcPr>
          <w:p w14:paraId="3E8BBA72"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Pb</w:t>
            </w:r>
          </w:p>
        </w:tc>
        <w:tc>
          <w:tcPr>
            <w:tcW w:w="887" w:type="dxa"/>
            <w:tcBorders>
              <w:top w:val="nil"/>
              <w:left w:val="nil"/>
              <w:bottom w:val="nil"/>
              <w:right w:val="nil"/>
            </w:tcBorders>
            <w:noWrap/>
            <w:vAlign w:val="center"/>
            <w:hideMark/>
          </w:tcPr>
          <w:p w14:paraId="117C8C7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0.50</w:t>
            </w:r>
          </w:p>
        </w:tc>
        <w:tc>
          <w:tcPr>
            <w:tcW w:w="1075" w:type="dxa"/>
            <w:tcBorders>
              <w:top w:val="nil"/>
              <w:left w:val="nil"/>
              <w:bottom w:val="nil"/>
              <w:right w:val="nil"/>
            </w:tcBorders>
            <w:noWrap/>
            <w:vAlign w:val="center"/>
            <w:hideMark/>
          </w:tcPr>
          <w:p w14:paraId="722698E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12.22</w:t>
            </w:r>
          </w:p>
        </w:tc>
        <w:tc>
          <w:tcPr>
            <w:tcW w:w="1505" w:type="dxa"/>
            <w:tcBorders>
              <w:top w:val="nil"/>
              <w:left w:val="nil"/>
              <w:bottom w:val="nil"/>
              <w:right w:val="nil"/>
            </w:tcBorders>
            <w:noWrap/>
            <w:vAlign w:val="center"/>
            <w:hideMark/>
          </w:tcPr>
          <w:p w14:paraId="4DC4118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5.44</w:t>
            </w:r>
          </w:p>
        </w:tc>
        <w:tc>
          <w:tcPr>
            <w:tcW w:w="887" w:type="dxa"/>
            <w:tcBorders>
              <w:top w:val="nil"/>
              <w:left w:val="nil"/>
              <w:bottom w:val="nil"/>
              <w:right w:val="nil"/>
            </w:tcBorders>
            <w:noWrap/>
            <w:vAlign w:val="center"/>
            <w:hideMark/>
          </w:tcPr>
          <w:p w14:paraId="75E0885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0.62</w:t>
            </w:r>
          </w:p>
        </w:tc>
        <w:tc>
          <w:tcPr>
            <w:tcW w:w="1392" w:type="dxa"/>
            <w:tcBorders>
              <w:top w:val="nil"/>
              <w:left w:val="nil"/>
              <w:bottom w:val="nil"/>
              <w:right w:val="nil"/>
            </w:tcBorders>
            <w:noWrap/>
            <w:vAlign w:val="center"/>
            <w:hideMark/>
          </w:tcPr>
          <w:p w14:paraId="41DC0CF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5.08</w:t>
            </w:r>
          </w:p>
        </w:tc>
        <w:tc>
          <w:tcPr>
            <w:tcW w:w="1455" w:type="dxa"/>
            <w:tcBorders>
              <w:top w:val="nil"/>
              <w:left w:val="nil"/>
              <w:bottom w:val="nil"/>
              <w:right w:val="nil"/>
            </w:tcBorders>
            <w:noWrap/>
            <w:vAlign w:val="center"/>
            <w:hideMark/>
          </w:tcPr>
          <w:p w14:paraId="31EAF830" w14:textId="07C5C699"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1</w:t>
            </w:r>
          </w:p>
        </w:tc>
        <w:tc>
          <w:tcPr>
            <w:tcW w:w="936" w:type="dxa"/>
            <w:tcBorders>
              <w:top w:val="nil"/>
              <w:left w:val="nil"/>
              <w:bottom w:val="nil"/>
              <w:right w:val="nil"/>
            </w:tcBorders>
            <w:noWrap/>
            <w:vAlign w:val="center"/>
            <w:hideMark/>
          </w:tcPr>
          <w:p w14:paraId="1E401EB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1.75</w:t>
            </w:r>
          </w:p>
        </w:tc>
        <w:tc>
          <w:tcPr>
            <w:tcW w:w="935" w:type="dxa"/>
            <w:tcBorders>
              <w:top w:val="nil"/>
              <w:left w:val="nil"/>
              <w:bottom w:val="nil"/>
              <w:right w:val="nil"/>
            </w:tcBorders>
            <w:noWrap/>
            <w:vAlign w:val="center"/>
            <w:hideMark/>
          </w:tcPr>
          <w:p w14:paraId="1CE6D45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9.53</w:t>
            </w:r>
          </w:p>
        </w:tc>
        <w:tc>
          <w:tcPr>
            <w:tcW w:w="1587" w:type="dxa"/>
            <w:tcBorders>
              <w:top w:val="nil"/>
              <w:left w:val="nil"/>
              <w:bottom w:val="nil"/>
              <w:right w:val="nil"/>
            </w:tcBorders>
            <w:noWrap/>
            <w:vAlign w:val="center"/>
            <w:hideMark/>
          </w:tcPr>
          <w:p w14:paraId="5E6D6F4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5.69</w:t>
            </w:r>
          </w:p>
        </w:tc>
        <w:tc>
          <w:tcPr>
            <w:tcW w:w="738" w:type="dxa"/>
            <w:tcBorders>
              <w:top w:val="nil"/>
              <w:left w:val="nil"/>
              <w:bottom w:val="nil"/>
              <w:right w:val="nil"/>
            </w:tcBorders>
            <w:noWrap/>
            <w:vAlign w:val="center"/>
            <w:hideMark/>
          </w:tcPr>
          <w:p w14:paraId="2753479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0.77</w:t>
            </w:r>
          </w:p>
        </w:tc>
        <w:tc>
          <w:tcPr>
            <w:tcW w:w="1469" w:type="dxa"/>
            <w:tcBorders>
              <w:top w:val="nil"/>
              <w:left w:val="nil"/>
              <w:bottom w:val="nil"/>
              <w:right w:val="nil"/>
            </w:tcBorders>
            <w:noWrap/>
            <w:vAlign w:val="center"/>
            <w:hideMark/>
          </w:tcPr>
          <w:p w14:paraId="40EF5B2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5.78</w:t>
            </w:r>
          </w:p>
        </w:tc>
        <w:tc>
          <w:tcPr>
            <w:tcW w:w="1535" w:type="dxa"/>
            <w:tcBorders>
              <w:top w:val="nil"/>
              <w:left w:val="nil"/>
              <w:bottom w:val="nil"/>
              <w:right w:val="nil"/>
            </w:tcBorders>
            <w:noWrap/>
            <w:vAlign w:val="center"/>
            <w:hideMark/>
          </w:tcPr>
          <w:p w14:paraId="3988D071" w14:textId="4B37D620"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3</w:t>
            </w:r>
          </w:p>
        </w:tc>
      </w:tr>
      <w:tr w:rsidR="004802D5" w:rsidRPr="00931A33" w14:paraId="2F82F605" w14:textId="77777777" w:rsidTr="0041610C">
        <w:trPr>
          <w:trHeight w:val="315"/>
          <w:jc w:val="center"/>
        </w:trPr>
        <w:tc>
          <w:tcPr>
            <w:tcW w:w="1200" w:type="dxa"/>
            <w:tcBorders>
              <w:top w:val="nil"/>
              <w:left w:val="nil"/>
              <w:bottom w:val="single" w:sz="4" w:space="0" w:color="auto"/>
              <w:right w:val="nil"/>
            </w:tcBorders>
            <w:noWrap/>
            <w:vAlign w:val="center"/>
            <w:hideMark/>
          </w:tcPr>
          <w:p w14:paraId="3FD9C6EC"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Zn</w:t>
            </w:r>
          </w:p>
        </w:tc>
        <w:tc>
          <w:tcPr>
            <w:tcW w:w="887" w:type="dxa"/>
            <w:tcBorders>
              <w:top w:val="nil"/>
              <w:left w:val="nil"/>
              <w:bottom w:val="single" w:sz="4" w:space="0" w:color="auto"/>
              <w:right w:val="nil"/>
            </w:tcBorders>
            <w:noWrap/>
            <w:vAlign w:val="center"/>
            <w:hideMark/>
          </w:tcPr>
          <w:p w14:paraId="20B11A6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55.76</w:t>
            </w:r>
          </w:p>
        </w:tc>
        <w:tc>
          <w:tcPr>
            <w:tcW w:w="1075" w:type="dxa"/>
            <w:tcBorders>
              <w:top w:val="nil"/>
              <w:left w:val="nil"/>
              <w:bottom w:val="single" w:sz="4" w:space="0" w:color="auto"/>
              <w:right w:val="nil"/>
            </w:tcBorders>
            <w:noWrap/>
            <w:vAlign w:val="center"/>
            <w:hideMark/>
          </w:tcPr>
          <w:p w14:paraId="454EFD5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180.60</w:t>
            </w:r>
          </w:p>
        </w:tc>
        <w:tc>
          <w:tcPr>
            <w:tcW w:w="1505" w:type="dxa"/>
            <w:tcBorders>
              <w:top w:val="nil"/>
              <w:left w:val="nil"/>
              <w:bottom w:val="single" w:sz="4" w:space="0" w:color="auto"/>
              <w:right w:val="nil"/>
            </w:tcBorders>
            <w:noWrap/>
            <w:vAlign w:val="center"/>
            <w:hideMark/>
          </w:tcPr>
          <w:p w14:paraId="0259F29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86.40</w:t>
            </w:r>
          </w:p>
        </w:tc>
        <w:tc>
          <w:tcPr>
            <w:tcW w:w="887" w:type="dxa"/>
            <w:tcBorders>
              <w:top w:val="nil"/>
              <w:left w:val="nil"/>
              <w:bottom w:val="single" w:sz="4" w:space="0" w:color="auto"/>
              <w:right w:val="nil"/>
            </w:tcBorders>
            <w:noWrap/>
            <w:vAlign w:val="center"/>
            <w:hideMark/>
          </w:tcPr>
          <w:p w14:paraId="4FBC214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6.81</w:t>
            </w:r>
          </w:p>
        </w:tc>
        <w:tc>
          <w:tcPr>
            <w:tcW w:w="1392" w:type="dxa"/>
            <w:tcBorders>
              <w:top w:val="nil"/>
              <w:left w:val="nil"/>
              <w:bottom w:val="single" w:sz="4" w:space="0" w:color="auto"/>
              <w:right w:val="nil"/>
            </w:tcBorders>
            <w:noWrap/>
            <w:vAlign w:val="center"/>
            <w:hideMark/>
          </w:tcPr>
          <w:p w14:paraId="7F54C6B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75.25</w:t>
            </w:r>
          </w:p>
        </w:tc>
        <w:tc>
          <w:tcPr>
            <w:tcW w:w="1455" w:type="dxa"/>
            <w:tcBorders>
              <w:top w:val="nil"/>
              <w:left w:val="nil"/>
              <w:bottom w:val="single" w:sz="4" w:space="0" w:color="auto"/>
              <w:right w:val="nil"/>
            </w:tcBorders>
            <w:noWrap/>
            <w:vAlign w:val="center"/>
            <w:hideMark/>
          </w:tcPr>
          <w:p w14:paraId="7258D80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100.00</w:t>
            </w:r>
          </w:p>
        </w:tc>
        <w:tc>
          <w:tcPr>
            <w:tcW w:w="936" w:type="dxa"/>
            <w:tcBorders>
              <w:top w:val="nil"/>
              <w:left w:val="nil"/>
              <w:bottom w:val="single" w:sz="4" w:space="0" w:color="auto"/>
              <w:right w:val="nil"/>
            </w:tcBorders>
            <w:noWrap/>
            <w:vAlign w:val="center"/>
            <w:hideMark/>
          </w:tcPr>
          <w:p w14:paraId="5564C4E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48.23</w:t>
            </w:r>
          </w:p>
        </w:tc>
        <w:tc>
          <w:tcPr>
            <w:tcW w:w="935" w:type="dxa"/>
            <w:tcBorders>
              <w:top w:val="nil"/>
              <w:left w:val="nil"/>
              <w:bottom w:val="single" w:sz="4" w:space="0" w:color="auto"/>
              <w:right w:val="nil"/>
            </w:tcBorders>
            <w:noWrap/>
            <w:vAlign w:val="center"/>
            <w:hideMark/>
          </w:tcPr>
          <w:p w14:paraId="15E1F66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67.93</w:t>
            </w:r>
          </w:p>
        </w:tc>
        <w:tc>
          <w:tcPr>
            <w:tcW w:w="1587" w:type="dxa"/>
            <w:tcBorders>
              <w:top w:val="nil"/>
              <w:left w:val="nil"/>
              <w:bottom w:val="single" w:sz="4" w:space="0" w:color="auto"/>
              <w:right w:val="nil"/>
            </w:tcBorders>
            <w:noWrap/>
            <w:vAlign w:val="center"/>
            <w:hideMark/>
          </w:tcPr>
          <w:p w14:paraId="18B7BC1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62.65</w:t>
            </w:r>
          </w:p>
        </w:tc>
        <w:tc>
          <w:tcPr>
            <w:tcW w:w="738" w:type="dxa"/>
            <w:tcBorders>
              <w:top w:val="nil"/>
              <w:left w:val="nil"/>
              <w:bottom w:val="single" w:sz="4" w:space="0" w:color="auto"/>
              <w:right w:val="nil"/>
            </w:tcBorders>
            <w:noWrap/>
            <w:vAlign w:val="center"/>
            <w:hideMark/>
          </w:tcPr>
          <w:p w14:paraId="5BB8A2C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1.67</w:t>
            </w:r>
          </w:p>
        </w:tc>
        <w:tc>
          <w:tcPr>
            <w:tcW w:w="1469" w:type="dxa"/>
            <w:tcBorders>
              <w:top w:val="nil"/>
              <w:left w:val="nil"/>
              <w:bottom w:val="single" w:sz="4" w:space="0" w:color="auto"/>
              <w:right w:val="nil"/>
            </w:tcBorders>
            <w:noWrap/>
            <w:vAlign w:val="center"/>
            <w:hideMark/>
          </w:tcPr>
          <w:p w14:paraId="5549FBB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63.90</w:t>
            </w:r>
          </w:p>
        </w:tc>
        <w:tc>
          <w:tcPr>
            <w:tcW w:w="1535" w:type="dxa"/>
            <w:tcBorders>
              <w:top w:val="nil"/>
              <w:left w:val="nil"/>
              <w:bottom w:val="single" w:sz="4" w:space="0" w:color="auto"/>
              <w:right w:val="nil"/>
            </w:tcBorders>
            <w:noWrap/>
            <w:vAlign w:val="center"/>
            <w:hideMark/>
          </w:tcPr>
          <w:p w14:paraId="1249AD1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100.00</w:t>
            </w:r>
          </w:p>
        </w:tc>
      </w:tr>
    </w:tbl>
    <w:p w14:paraId="4E24F867" w14:textId="77777777" w:rsidR="004802D5" w:rsidRPr="00931A33" w:rsidRDefault="004802D5" w:rsidP="004802D5">
      <w:pPr>
        <w:rPr>
          <w:rFonts w:ascii="Times New Roman" w:hAnsi="Times New Roman" w:cs="Times New Roman"/>
          <w:sz w:val="24"/>
          <w:szCs w:val="24"/>
        </w:rPr>
      </w:pPr>
    </w:p>
    <w:p w14:paraId="7B5A7868" w14:textId="77777777" w:rsidR="004802D5" w:rsidRPr="00931A33" w:rsidRDefault="004802D5" w:rsidP="004802D5">
      <w:pPr>
        <w:jc w:val="both"/>
        <w:rPr>
          <w:rFonts w:ascii="Times New Roman" w:hAnsi="Times New Roman" w:cs="Times New Roman"/>
          <w:sz w:val="24"/>
          <w:szCs w:val="24"/>
        </w:rPr>
      </w:pPr>
      <w:r w:rsidRPr="00931A33">
        <w:rPr>
          <w:rFonts w:ascii="Times New Roman" w:eastAsia="Times New Roman" w:hAnsi="Times New Roman" w:cs="Times New Roman"/>
          <w:b/>
          <w:bCs/>
          <w:i/>
          <w:iCs/>
          <w:color w:val="000000"/>
          <w:kern w:val="0"/>
          <w:sz w:val="24"/>
          <w:szCs w:val="24"/>
          <w:lang w:eastAsia="fr-FR"/>
          <w14:ligatures w14:val="none"/>
        </w:rPr>
        <w:t>*</w:t>
      </w:r>
      <w:r w:rsidRPr="00931A33">
        <w:rPr>
          <w:rFonts w:ascii="Times New Roman" w:hAnsi="Times New Roman" w:cs="Times New Roman"/>
          <w:sz w:val="24"/>
          <w:szCs w:val="24"/>
        </w:rPr>
        <w:t>FAO (2019)</w:t>
      </w:r>
    </w:p>
    <w:p w14:paraId="58CA2AAF" w14:textId="77777777" w:rsidR="004802D5" w:rsidRPr="00931A33" w:rsidRDefault="004802D5" w:rsidP="004802D5">
      <w:pPr>
        <w:jc w:val="both"/>
        <w:rPr>
          <w:rFonts w:ascii="Times New Roman" w:hAnsi="Times New Roman" w:cs="Times New Roman"/>
          <w:sz w:val="24"/>
          <w:szCs w:val="24"/>
        </w:rPr>
      </w:pPr>
    </w:p>
    <w:p w14:paraId="5ED473FC" w14:textId="3D6CDF58" w:rsidR="004802D5" w:rsidRPr="007749F7" w:rsidRDefault="007749F7" w:rsidP="008363B4">
      <w:pPr>
        <w:spacing w:before="120" w:after="120" w:line="360" w:lineRule="auto"/>
        <w:jc w:val="both"/>
        <w:rPr>
          <w:rFonts w:ascii="Times New Roman" w:hAnsi="Times New Roman" w:cs="Times New Roman"/>
          <w:sz w:val="24"/>
          <w:szCs w:val="24"/>
          <w:lang w:val="en-ZA"/>
        </w:rPr>
        <w:sectPr w:rsidR="004802D5" w:rsidRPr="007749F7" w:rsidSect="00BC48D4">
          <w:pgSz w:w="16838" w:h="11906" w:orient="landscape"/>
          <w:pgMar w:top="1418" w:right="1418" w:bottom="1418" w:left="1418" w:header="709" w:footer="709" w:gutter="0"/>
          <w:cols w:space="708"/>
          <w:docGrid w:linePitch="360"/>
        </w:sectPr>
      </w:pPr>
      <w:r w:rsidRPr="007749F7">
        <w:rPr>
          <w:rFonts w:ascii="Times New Roman" w:hAnsi="Times New Roman" w:cs="Times New Roman"/>
          <w:sz w:val="24"/>
          <w:szCs w:val="24"/>
          <w:lang w:val="en-ZA"/>
        </w:rPr>
        <w:t xml:space="preserve">Overall, the various heavy metal contents are higher in lettuce compared to tomatoes (Figure 1). Among the heavy metals, zinc (Zn) was the most abundant in the different vegetables. The highest average zinc content recorded </w:t>
      </w:r>
      <w:proofErr w:type="gramStart"/>
      <w:r w:rsidRPr="007749F7">
        <w:rPr>
          <w:rFonts w:ascii="Times New Roman" w:hAnsi="Times New Roman" w:cs="Times New Roman"/>
          <w:sz w:val="24"/>
          <w:szCs w:val="24"/>
          <w:lang w:val="en-ZA"/>
        </w:rPr>
        <w:t>was noted</w:t>
      </w:r>
      <w:proofErr w:type="gramEnd"/>
      <w:r w:rsidRPr="007749F7">
        <w:rPr>
          <w:rFonts w:ascii="Times New Roman" w:hAnsi="Times New Roman" w:cs="Times New Roman"/>
          <w:sz w:val="24"/>
          <w:szCs w:val="24"/>
          <w:lang w:val="en-ZA"/>
        </w:rPr>
        <w:t xml:space="preserve"> in lettuce with 86</w:t>
      </w:r>
      <w:r w:rsidR="00D12BF1">
        <w:rPr>
          <w:rFonts w:ascii="Times New Roman" w:hAnsi="Times New Roman" w:cs="Times New Roman"/>
          <w:sz w:val="24"/>
          <w:szCs w:val="24"/>
          <w:lang w:val="en-ZA"/>
        </w:rPr>
        <w:t>.</w:t>
      </w:r>
      <w:r w:rsidRPr="007749F7">
        <w:rPr>
          <w:rFonts w:ascii="Times New Roman" w:hAnsi="Times New Roman" w:cs="Times New Roman"/>
          <w:sz w:val="24"/>
          <w:szCs w:val="24"/>
          <w:lang w:val="en-ZA"/>
        </w:rPr>
        <w:t>4 mg/kg, while the lowest average concentration was 62</w:t>
      </w:r>
      <w:r w:rsidR="00D12BF1">
        <w:rPr>
          <w:rFonts w:ascii="Times New Roman" w:hAnsi="Times New Roman" w:cs="Times New Roman"/>
          <w:sz w:val="24"/>
          <w:szCs w:val="24"/>
          <w:lang w:val="en-ZA"/>
        </w:rPr>
        <w:t>.</w:t>
      </w:r>
      <w:r w:rsidRPr="007749F7">
        <w:rPr>
          <w:rFonts w:ascii="Times New Roman" w:hAnsi="Times New Roman" w:cs="Times New Roman"/>
          <w:sz w:val="24"/>
          <w:szCs w:val="24"/>
          <w:lang w:val="en-ZA"/>
        </w:rPr>
        <w:t>65 mg/kg in tomatoes. Regardless of the vegetable, the lowest heavy metal contents were observed with cadmium (Cd). A significant difference (p &lt; 0.01) was noted between the average zinc contents in the vegetables. However, no significant difference was observed between the average contents of the other heavy metals.</w:t>
      </w:r>
    </w:p>
    <w:p w14:paraId="1772606B" w14:textId="77777777" w:rsidR="004802D5" w:rsidRPr="007749F7" w:rsidRDefault="004802D5" w:rsidP="004802D5">
      <w:pPr>
        <w:rPr>
          <w:rFonts w:ascii="Times New Roman" w:hAnsi="Times New Roman" w:cs="Times New Roman"/>
          <w:sz w:val="24"/>
          <w:szCs w:val="24"/>
          <w:lang w:val="en-ZA"/>
        </w:rPr>
      </w:pPr>
    </w:p>
    <w:p w14:paraId="19E9A27E" w14:textId="77777777" w:rsidR="004802D5" w:rsidRPr="007749F7" w:rsidRDefault="004802D5" w:rsidP="004802D5">
      <w:pPr>
        <w:rPr>
          <w:rFonts w:ascii="Times New Roman" w:hAnsi="Times New Roman" w:cs="Times New Roman"/>
          <w:sz w:val="24"/>
          <w:szCs w:val="24"/>
          <w:lang w:val="en-ZA"/>
        </w:rPr>
      </w:pPr>
    </w:p>
    <w:p w14:paraId="330B8966" w14:textId="73598A08" w:rsidR="004802D5" w:rsidRPr="00931A33" w:rsidRDefault="00400973" w:rsidP="004802D5">
      <w:pPr>
        <w:jc w:val="center"/>
        <w:rPr>
          <w:rFonts w:ascii="Times New Roman" w:hAnsi="Times New Roman" w:cs="Times New Roman"/>
          <w:sz w:val="24"/>
          <w:szCs w:val="24"/>
        </w:rPr>
      </w:pPr>
      <w:r w:rsidRPr="008273C4">
        <w:rPr>
          <w:noProof/>
          <w:lang w:eastAsia="fr-FR"/>
        </w:rPr>
        <w:drawing>
          <wp:inline distT="0" distB="0" distL="0" distR="0" wp14:anchorId="4D115BA0" wp14:editId="1D7AE011">
            <wp:extent cx="5760720" cy="4608830"/>
            <wp:effectExtent l="0" t="0" r="0" b="1270"/>
            <wp:docPr id="13274558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7519BE9D" w14:textId="2C6AD1D3" w:rsidR="004802D5" w:rsidRDefault="00B860FF" w:rsidP="004802D5">
      <w:pPr>
        <w:jc w:val="center"/>
        <w:rPr>
          <w:rFonts w:ascii="Times New Roman" w:hAnsi="Times New Roman" w:cs="Times New Roman"/>
          <w:bCs/>
          <w:sz w:val="24"/>
          <w:szCs w:val="24"/>
          <w:lang w:val="en-ZA"/>
        </w:rPr>
      </w:pPr>
      <w:r w:rsidRPr="00B860FF">
        <w:rPr>
          <w:rFonts w:ascii="Times New Roman" w:hAnsi="Times New Roman" w:cs="Times New Roman"/>
          <w:b/>
          <w:sz w:val="24"/>
          <w:szCs w:val="24"/>
          <w:lang w:val="en-ZA"/>
        </w:rPr>
        <w:t xml:space="preserve">Figure 1: </w:t>
      </w:r>
      <w:r w:rsidRPr="00B860FF">
        <w:rPr>
          <w:rFonts w:ascii="Times New Roman" w:hAnsi="Times New Roman" w:cs="Times New Roman"/>
          <w:bCs/>
          <w:sz w:val="24"/>
          <w:szCs w:val="24"/>
          <w:lang w:val="en-ZA"/>
        </w:rPr>
        <w:t>Comparison of heavy metal contents in lettuce and tomatoes</w:t>
      </w:r>
    </w:p>
    <w:p w14:paraId="4E035346" w14:textId="77777777" w:rsidR="00B860FF" w:rsidRPr="00B860FF" w:rsidRDefault="00B860FF" w:rsidP="004802D5">
      <w:pPr>
        <w:jc w:val="center"/>
        <w:rPr>
          <w:rFonts w:ascii="Times New Roman" w:hAnsi="Times New Roman" w:cs="Times New Roman"/>
          <w:sz w:val="24"/>
          <w:szCs w:val="24"/>
          <w:lang w:val="en-ZA"/>
        </w:rPr>
      </w:pPr>
    </w:p>
    <w:p w14:paraId="77B27DCD" w14:textId="3AD79D2E" w:rsidR="004802D5" w:rsidRPr="00B860FF" w:rsidRDefault="004802D5" w:rsidP="004802D5">
      <w:pPr>
        <w:pStyle w:val="Titre2"/>
        <w:spacing w:line="360" w:lineRule="auto"/>
        <w:jc w:val="both"/>
        <w:rPr>
          <w:rFonts w:ascii="Times New Roman" w:hAnsi="Times New Roman" w:cs="Times New Roman"/>
          <w:b/>
          <w:bCs/>
          <w:color w:val="auto"/>
          <w:sz w:val="24"/>
          <w:szCs w:val="24"/>
          <w:lang w:val="en-ZA"/>
        </w:rPr>
      </w:pPr>
      <w:bookmarkStart w:id="12" w:name="_Toc216647833"/>
      <w:r w:rsidRPr="00B860FF">
        <w:rPr>
          <w:rFonts w:ascii="Times New Roman" w:hAnsi="Times New Roman" w:cs="Times New Roman"/>
          <w:b/>
          <w:bCs/>
          <w:color w:val="auto"/>
          <w:sz w:val="24"/>
          <w:szCs w:val="24"/>
          <w:lang w:val="en-ZA"/>
        </w:rPr>
        <w:t>II</w:t>
      </w:r>
      <w:r w:rsidR="00783BB2" w:rsidRPr="00B860FF">
        <w:rPr>
          <w:rFonts w:ascii="Times New Roman" w:hAnsi="Times New Roman" w:cs="Times New Roman"/>
          <w:b/>
          <w:bCs/>
          <w:color w:val="auto"/>
          <w:sz w:val="24"/>
          <w:szCs w:val="24"/>
          <w:lang w:val="en-ZA"/>
        </w:rPr>
        <w:t>I</w:t>
      </w:r>
      <w:r w:rsidRPr="00B860FF">
        <w:rPr>
          <w:rFonts w:ascii="Times New Roman" w:hAnsi="Times New Roman" w:cs="Times New Roman"/>
          <w:b/>
          <w:bCs/>
          <w:color w:val="auto"/>
          <w:sz w:val="24"/>
          <w:szCs w:val="24"/>
          <w:lang w:val="en-ZA"/>
        </w:rPr>
        <w:t xml:space="preserve">.2. </w:t>
      </w:r>
      <w:bookmarkEnd w:id="12"/>
      <w:r w:rsidR="00B860FF" w:rsidRPr="00B860FF">
        <w:rPr>
          <w:rFonts w:ascii="Times New Roman" w:hAnsi="Times New Roman" w:cs="Times New Roman"/>
          <w:b/>
          <w:bCs/>
          <w:color w:val="auto"/>
          <w:sz w:val="24"/>
          <w:szCs w:val="24"/>
          <w:lang w:val="en-ZA"/>
        </w:rPr>
        <w:t>Assessment of health risks associated with heavy metals in soils</w:t>
      </w:r>
    </w:p>
    <w:p w14:paraId="1591098D" w14:textId="2EE1614C" w:rsidR="004802D5" w:rsidRPr="00B860FF" w:rsidRDefault="004802D5" w:rsidP="004802D5">
      <w:pPr>
        <w:pStyle w:val="Titre3"/>
        <w:spacing w:line="360" w:lineRule="auto"/>
        <w:jc w:val="both"/>
        <w:rPr>
          <w:rFonts w:ascii="Times New Roman" w:hAnsi="Times New Roman" w:cs="Times New Roman"/>
          <w:b/>
          <w:bCs/>
          <w:color w:val="auto"/>
          <w:lang w:val="en-ZA"/>
        </w:rPr>
      </w:pPr>
      <w:bookmarkStart w:id="13" w:name="_Toc216647834"/>
      <w:r w:rsidRPr="00931A33">
        <w:rPr>
          <w:rFonts w:ascii="Times New Roman" w:hAnsi="Times New Roman" w:cs="Times New Roman"/>
          <w:b/>
          <w:bCs/>
          <w:color w:val="auto"/>
        </w:rPr>
        <w:t>II</w:t>
      </w:r>
      <w:r w:rsidR="00783BB2" w:rsidRPr="00931A33">
        <w:rPr>
          <w:rFonts w:ascii="Times New Roman" w:hAnsi="Times New Roman" w:cs="Times New Roman"/>
          <w:b/>
          <w:bCs/>
          <w:color w:val="auto"/>
        </w:rPr>
        <w:t>I</w:t>
      </w:r>
      <w:r w:rsidRPr="00931A33">
        <w:rPr>
          <w:rFonts w:ascii="Times New Roman" w:hAnsi="Times New Roman" w:cs="Times New Roman"/>
          <w:b/>
          <w:bCs/>
          <w:color w:val="auto"/>
        </w:rPr>
        <w:t xml:space="preserve">.2.1. </w:t>
      </w:r>
      <w:bookmarkEnd w:id="13"/>
      <w:r w:rsidR="00B860FF" w:rsidRPr="00B860FF">
        <w:rPr>
          <w:rFonts w:ascii="Times New Roman" w:hAnsi="Times New Roman" w:cs="Times New Roman"/>
          <w:b/>
          <w:bCs/>
          <w:color w:val="auto"/>
          <w:lang w:val="en-ZA"/>
        </w:rPr>
        <w:t>Assessment of health risks associated with heavy metals in soils</w:t>
      </w:r>
    </w:p>
    <w:p w14:paraId="372965C9" w14:textId="0807E492" w:rsidR="004802D5" w:rsidRPr="00B860FF" w:rsidRDefault="00B860FF" w:rsidP="008363B4">
      <w:pPr>
        <w:spacing w:before="120" w:after="120" w:line="360" w:lineRule="auto"/>
        <w:jc w:val="both"/>
        <w:rPr>
          <w:rFonts w:ascii="Times New Roman" w:hAnsi="Times New Roman" w:cs="Times New Roman"/>
          <w:sz w:val="24"/>
          <w:szCs w:val="24"/>
          <w:lang w:val="en-ZA"/>
        </w:rPr>
      </w:pPr>
      <w:r w:rsidRPr="00B860FF">
        <w:rPr>
          <w:rFonts w:ascii="Times New Roman" w:hAnsi="Times New Roman" w:cs="Times New Roman"/>
          <w:sz w:val="24"/>
          <w:szCs w:val="24"/>
          <w:lang w:val="en-ZA"/>
        </w:rPr>
        <w:t xml:space="preserve">The pollution indices of vegetables by heavy metals are represented in Figure 2. Regardless of the vegetable, the pollution index for Cu, Ni, and Zn is below 1. However, the pollution indices for As, Cd, and Pb are all significantly higher than 1 in the vegetables. The average pollution index for Cr is slightly above 1 in lettuce, unlike in tomatoes. A disparity is noted with the average IPC values in the vegetables. These values were in the following decreasing order: As &gt; Cd &gt; Pb &gt; Cr &gt; Zn &gt; Ni &gt; Cu for lettuce, and Pb &gt; Cd &gt; As &gt; Cr &gt; Zn &gt; Ni &gt; Cu for tomatoes. The average IPC for Cd in tomatoes is significantly higher than in lettuce. It is also observed that the average IPC for Pb in tomatoes is significantly higher than in lettuce. Additionally, for </w:t>
      </w:r>
      <w:r w:rsidRPr="00B860FF">
        <w:rPr>
          <w:rFonts w:ascii="Times New Roman" w:hAnsi="Times New Roman" w:cs="Times New Roman"/>
          <w:sz w:val="24"/>
          <w:szCs w:val="24"/>
          <w:lang w:val="en-ZA"/>
        </w:rPr>
        <w:lastRenderedPageBreak/>
        <w:t>Zn, tomatoes have a significantly higher IPC than lettuce. For the IPC of the other metals, no significant differences were found between the vegetables</w:t>
      </w:r>
      <w:r w:rsidR="004802D5" w:rsidRPr="00B860FF">
        <w:rPr>
          <w:rFonts w:ascii="Times New Roman" w:hAnsi="Times New Roman" w:cs="Times New Roman"/>
          <w:sz w:val="24"/>
          <w:szCs w:val="24"/>
          <w:lang w:val="en-ZA"/>
        </w:rPr>
        <w:t>.</w:t>
      </w:r>
    </w:p>
    <w:p w14:paraId="4A329494" w14:textId="13539FCF" w:rsidR="004802D5" w:rsidRPr="00931A33" w:rsidRDefault="00400973" w:rsidP="004802D5">
      <w:pPr>
        <w:jc w:val="center"/>
        <w:rPr>
          <w:rFonts w:ascii="Times New Roman" w:hAnsi="Times New Roman" w:cs="Times New Roman"/>
          <w:sz w:val="24"/>
          <w:szCs w:val="24"/>
        </w:rPr>
      </w:pPr>
      <w:r w:rsidRPr="008273C4">
        <w:rPr>
          <w:noProof/>
          <w:lang w:eastAsia="fr-FR"/>
        </w:rPr>
        <w:drawing>
          <wp:inline distT="0" distB="0" distL="0" distR="0" wp14:anchorId="0A268904" wp14:editId="0577A19F">
            <wp:extent cx="5760720" cy="4608830"/>
            <wp:effectExtent l="0" t="0" r="0" b="1270"/>
            <wp:docPr id="10288041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3009DDA9" w14:textId="3201A574" w:rsidR="004802D5" w:rsidRDefault="00B860FF" w:rsidP="004802D5">
      <w:pPr>
        <w:pStyle w:val="Titre3"/>
        <w:jc w:val="both"/>
        <w:rPr>
          <w:rFonts w:ascii="Times New Roman" w:eastAsiaTheme="minorHAnsi" w:hAnsi="Times New Roman" w:cs="Times New Roman"/>
          <w:b/>
          <w:color w:val="auto"/>
          <w:lang w:val="en-ZA"/>
        </w:rPr>
      </w:pPr>
      <w:bookmarkStart w:id="14" w:name="_Toc216647835"/>
      <w:r w:rsidRPr="00B860FF">
        <w:rPr>
          <w:rFonts w:ascii="Times New Roman" w:eastAsiaTheme="minorHAnsi" w:hAnsi="Times New Roman" w:cs="Times New Roman"/>
          <w:b/>
          <w:color w:val="auto"/>
          <w:lang w:val="en-ZA"/>
        </w:rPr>
        <w:t xml:space="preserve">Figure 2: </w:t>
      </w:r>
      <w:r w:rsidRPr="00B860FF">
        <w:rPr>
          <w:rFonts w:ascii="Times New Roman" w:eastAsiaTheme="minorHAnsi" w:hAnsi="Times New Roman" w:cs="Times New Roman"/>
          <w:bCs/>
          <w:color w:val="auto"/>
          <w:lang w:val="en-ZA"/>
        </w:rPr>
        <w:t>Comparison of pollution indices for lettuce and tomatoes by heavy metals</w:t>
      </w:r>
    </w:p>
    <w:p w14:paraId="6518BA83" w14:textId="77777777" w:rsidR="00B860FF" w:rsidRPr="00B860FF" w:rsidRDefault="00B860FF" w:rsidP="00B860FF">
      <w:pPr>
        <w:rPr>
          <w:lang w:val="en-ZA"/>
        </w:rPr>
      </w:pPr>
    </w:p>
    <w:p w14:paraId="05897351" w14:textId="65F1B8E9" w:rsidR="004802D5" w:rsidRPr="00040432" w:rsidRDefault="004802D5" w:rsidP="004802D5">
      <w:pPr>
        <w:pStyle w:val="Titre3"/>
        <w:spacing w:line="360" w:lineRule="auto"/>
        <w:jc w:val="both"/>
        <w:rPr>
          <w:rFonts w:ascii="Times New Roman" w:hAnsi="Times New Roman" w:cs="Times New Roman"/>
          <w:b/>
          <w:bCs/>
          <w:color w:val="auto"/>
          <w:lang w:val="en-ZA"/>
        </w:rPr>
      </w:pPr>
      <w:r w:rsidRPr="00931A33">
        <w:rPr>
          <w:rFonts w:ascii="Times New Roman" w:eastAsiaTheme="minorHAnsi" w:hAnsi="Times New Roman" w:cs="Times New Roman"/>
          <w:b/>
          <w:color w:val="auto"/>
        </w:rPr>
        <w:t>II</w:t>
      </w:r>
      <w:r w:rsidR="00783BB2" w:rsidRPr="00931A33">
        <w:rPr>
          <w:rFonts w:ascii="Times New Roman" w:eastAsiaTheme="minorHAnsi" w:hAnsi="Times New Roman" w:cs="Times New Roman"/>
          <w:b/>
          <w:color w:val="auto"/>
        </w:rPr>
        <w:t>I</w:t>
      </w:r>
      <w:r w:rsidRPr="00931A33">
        <w:rPr>
          <w:rFonts w:ascii="Times New Roman" w:hAnsi="Times New Roman" w:cs="Times New Roman"/>
          <w:b/>
          <w:bCs/>
          <w:color w:val="auto"/>
        </w:rPr>
        <w:t xml:space="preserve">.2.2. </w:t>
      </w:r>
      <w:bookmarkEnd w:id="14"/>
      <w:r w:rsidR="00B860FF" w:rsidRPr="00040432">
        <w:rPr>
          <w:rFonts w:ascii="Times New Roman" w:hAnsi="Times New Roman" w:cs="Times New Roman"/>
          <w:b/>
          <w:bCs/>
          <w:color w:val="auto"/>
          <w:lang w:val="en-ZA"/>
        </w:rPr>
        <w:t>Metal Pollution Index (MPI)</w:t>
      </w:r>
    </w:p>
    <w:p w14:paraId="05199284" w14:textId="55F62815" w:rsidR="004802D5" w:rsidRPr="00040432" w:rsidRDefault="00B860FF" w:rsidP="008363B4">
      <w:pPr>
        <w:spacing w:before="120" w:after="120" w:line="360" w:lineRule="auto"/>
        <w:jc w:val="both"/>
        <w:rPr>
          <w:rFonts w:ascii="Times New Roman" w:hAnsi="Times New Roman" w:cs="Times New Roman"/>
          <w:noProof/>
          <w:sz w:val="24"/>
          <w:szCs w:val="24"/>
          <w:lang w:val="en-ZA" w:eastAsia="fr-FR"/>
        </w:rPr>
      </w:pPr>
      <w:r w:rsidRPr="00040432">
        <w:rPr>
          <w:rFonts w:ascii="Times New Roman" w:hAnsi="Times New Roman" w:cs="Times New Roman"/>
          <w:noProof/>
          <w:sz w:val="24"/>
          <w:szCs w:val="24"/>
          <w:lang w:val="en-ZA" w:eastAsia="fr-FR"/>
        </w:rPr>
        <w:t>The Metal Pollution Index (MPI) in vegetables is presented in Figure 3. The average value of the Metal Pollution Index (MPI) for lettuce is 8</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27, which is higher than that of tomatoes, which is 6</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48. Generally, the MPI values ranged from 4</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04 to 12</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54 for lettuce and from 2</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23 to 7</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53 for tomatoes. No significant difference was observed between the MPI values of the two vegetables</w:t>
      </w:r>
      <w:r w:rsidR="004802D5" w:rsidRPr="00040432">
        <w:rPr>
          <w:rFonts w:ascii="Times New Roman" w:hAnsi="Times New Roman" w:cs="Times New Roman"/>
          <w:noProof/>
          <w:sz w:val="24"/>
          <w:szCs w:val="24"/>
          <w:lang w:val="en-ZA" w:eastAsia="fr-FR"/>
        </w:rPr>
        <w:t>.</w:t>
      </w:r>
    </w:p>
    <w:p w14:paraId="41168C3F" w14:textId="77777777" w:rsidR="004802D5" w:rsidRPr="00040432" w:rsidRDefault="004802D5" w:rsidP="004802D5">
      <w:pPr>
        <w:spacing w:line="360" w:lineRule="auto"/>
        <w:jc w:val="both"/>
        <w:rPr>
          <w:rFonts w:ascii="Times New Roman" w:hAnsi="Times New Roman" w:cs="Times New Roman"/>
          <w:noProof/>
          <w:sz w:val="24"/>
          <w:szCs w:val="24"/>
          <w:lang w:val="en-ZA" w:eastAsia="fr-FR"/>
        </w:rPr>
      </w:pPr>
    </w:p>
    <w:p w14:paraId="190F32DE" w14:textId="5D598206" w:rsidR="004802D5" w:rsidRPr="00931A33" w:rsidRDefault="00400973" w:rsidP="004802D5">
      <w:pPr>
        <w:spacing w:line="360" w:lineRule="auto"/>
        <w:jc w:val="center"/>
        <w:rPr>
          <w:rFonts w:ascii="Times New Roman" w:hAnsi="Times New Roman" w:cs="Times New Roman"/>
          <w:noProof/>
          <w:sz w:val="24"/>
          <w:szCs w:val="24"/>
        </w:rPr>
      </w:pPr>
      <w:r w:rsidRPr="008273C4">
        <w:rPr>
          <w:noProof/>
          <w:lang w:eastAsia="fr-FR"/>
        </w:rPr>
        <w:lastRenderedPageBreak/>
        <w:drawing>
          <wp:inline distT="0" distB="0" distL="0" distR="0" wp14:anchorId="4DDE0F26" wp14:editId="0A72ADFD">
            <wp:extent cx="5760720" cy="4608830"/>
            <wp:effectExtent l="0" t="0" r="0" b="1270"/>
            <wp:docPr id="35567698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4EC60424" w14:textId="77777777" w:rsidR="00040432" w:rsidRDefault="00040432" w:rsidP="00040432">
      <w:pPr>
        <w:jc w:val="center"/>
        <w:rPr>
          <w:rFonts w:ascii="Times New Roman" w:hAnsi="Times New Roman" w:cs="Times New Roman"/>
          <w:i/>
          <w:iCs/>
          <w:noProof/>
          <w:sz w:val="24"/>
          <w:szCs w:val="24"/>
          <w:lang w:eastAsia="fr-FR"/>
        </w:rPr>
      </w:pPr>
      <w:r w:rsidRPr="00040432">
        <w:rPr>
          <w:rFonts w:ascii="Times New Roman" w:hAnsi="Times New Roman" w:cs="Times New Roman"/>
          <w:i/>
          <w:iCs/>
          <w:noProof/>
          <w:sz w:val="24"/>
          <w:szCs w:val="24"/>
          <w:lang w:eastAsia="fr-FR"/>
        </w:rPr>
        <w:t>MPI: Metal Pollution Index</w:t>
      </w:r>
    </w:p>
    <w:p w14:paraId="01A64934" w14:textId="65987CAF" w:rsidR="004802D5" w:rsidRPr="000924D9" w:rsidRDefault="000924D9" w:rsidP="004802D5">
      <w:pPr>
        <w:rPr>
          <w:rFonts w:ascii="Times New Roman" w:hAnsi="Times New Roman" w:cs="Times New Roman"/>
          <w:sz w:val="24"/>
          <w:szCs w:val="24"/>
          <w:lang w:val="en-ZA"/>
        </w:rPr>
      </w:pPr>
      <w:r w:rsidRPr="000924D9">
        <w:rPr>
          <w:rFonts w:ascii="Times New Roman" w:hAnsi="Times New Roman" w:cs="Times New Roman"/>
          <w:b/>
          <w:sz w:val="24"/>
          <w:szCs w:val="24"/>
          <w:lang w:val="en-ZA"/>
        </w:rPr>
        <w:t xml:space="preserve">Figure 3: </w:t>
      </w:r>
      <w:r w:rsidRPr="000924D9">
        <w:rPr>
          <w:rFonts w:ascii="Times New Roman" w:hAnsi="Times New Roman" w:cs="Times New Roman"/>
          <w:bCs/>
          <w:sz w:val="24"/>
          <w:szCs w:val="24"/>
          <w:lang w:val="en-ZA"/>
        </w:rPr>
        <w:t>Comparison of the metal pollution indices for lettuce and tomatoes</w:t>
      </w:r>
    </w:p>
    <w:p w14:paraId="63530E27" w14:textId="77777777" w:rsidR="004802D5" w:rsidRPr="000924D9" w:rsidRDefault="004802D5" w:rsidP="004802D5">
      <w:pPr>
        <w:pStyle w:val="Titre3"/>
        <w:jc w:val="both"/>
        <w:rPr>
          <w:rFonts w:ascii="Times New Roman" w:hAnsi="Times New Roman" w:cs="Times New Roman"/>
          <w:b/>
          <w:bCs/>
          <w:color w:val="auto"/>
          <w:lang w:val="en-ZA"/>
        </w:rPr>
      </w:pPr>
      <w:bookmarkStart w:id="15" w:name="_Toc216647836"/>
    </w:p>
    <w:p w14:paraId="0452EC34" w14:textId="53479FF1" w:rsidR="004802D5" w:rsidRPr="000924D9" w:rsidRDefault="004802D5" w:rsidP="004802D5">
      <w:pPr>
        <w:pStyle w:val="Titre3"/>
        <w:spacing w:before="0" w:line="360" w:lineRule="auto"/>
        <w:jc w:val="both"/>
        <w:rPr>
          <w:rFonts w:ascii="Times New Roman" w:hAnsi="Times New Roman" w:cs="Times New Roman"/>
          <w:b/>
          <w:bCs/>
          <w:color w:val="auto"/>
          <w:lang w:val="en-ZA"/>
        </w:rPr>
      </w:pPr>
      <w:r w:rsidRPr="00931A33">
        <w:rPr>
          <w:rFonts w:ascii="Times New Roman" w:hAnsi="Times New Roman" w:cs="Times New Roman"/>
          <w:b/>
          <w:bCs/>
          <w:color w:val="auto"/>
        </w:rPr>
        <w:t>II</w:t>
      </w:r>
      <w:r w:rsidR="00C74920" w:rsidRPr="00931A33">
        <w:rPr>
          <w:rFonts w:ascii="Times New Roman" w:hAnsi="Times New Roman" w:cs="Times New Roman"/>
          <w:b/>
          <w:bCs/>
          <w:color w:val="auto"/>
        </w:rPr>
        <w:t>I</w:t>
      </w:r>
      <w:r w:rsidRPr="00931A33">
        <w:rPr>
          <w:rFonts w:ascii="Times New Roman" w:hAnsi="Times New Roman" w:cs="Times New Roman"/>
          <w:b/>
          <w:bCs/>
          <w:color w:val="auto"/>
        </w:rPr>
        <w:t xml:space="preserve">.2.3. </w:t>
      </w:r>
      <w:bookmarkEnd w:id="15"/>
      <w:r w:rsidR="000924D9" w:rsidRPr="000924D9">
        <w:rPr>
          <w:rFonts w:ascii="Times New Roman" w:hAnsi="Times New Roman" w:cs="Times New Roman"/>
          <w:b/>
          <w:bCs/>
          <w:color w:val="auto"/>
          <w:lang w:val="en-ZA"/>
        </w:rPr>
        <w:t>Estimated Daily Intake (EDI) of heavy metals through vegetables</w:t>
      </w:r>
    </w:p>
    <w:p w14:paraId="7C3C3365" w14:textId="660F7F08" w:rsidR="004802D5" w:rsidRPr="000924D9" w:rsidRDefault="000924D9" w:rsidP="008363B4">
      <w:pPr>
        <w:spacing w:before="120" w:after="120" w:line="360" w:lineRule="auto"/>
        <w:jc w:val="both"/>
        <w:rPr>
          <w:rFonts w:ascii="Times New Roman" w:hAnsi="Times New Roman" w:cs="Times New Roman"/>
          <w:sz w:val="24"/>
          <w:szCs w:val="24"/>
          <w:lang w:val="en-ZA"/>
        </w:rPr>
      </w:pPr>
      <w:r w:rsidRPr="000924D9">
        <w:rPr>
          <w:rFonts w:ascii="Times New Roman" w:hAnsi="Times New Roman" w:cs="Times New Roman"/>
          <w:sz w:val="24"/>
          <w:szCs w:val="24"/>
          <w:lang w:val="en-ZA"/>
        </w:rPr>
        <w:t xml:space="preserve">Figure 4 presents the estimated daily intake (EDI) of metals from the consumption of lettuce by a human. Regardless of the heavy metal, the estimated daily intake for children is always higher than that for adults. The EDI values for </w:t>
      </w:r>
      <w:proofErr w:type="gramStart"/>
      <w:r w:rsidRPr="000924D9">
        <w:rPr>
          <w:rFonts w:ascii="Times New Roman" w:hAnsi="Times New Roman" w:cs="Times New Roman"/>
          <w:sz w:val="24"/>
          <w:szCs w:val="24"/>
          <w:lang w:val="en-ZA"/>
        </w:rPr>
        <w:t>As</w:t>
      </w:r>
      <w:proofErr w:type="gramEnd"/>
      <w:r w:rsidRPr="000924D9">
        <w:rPr>
          <w:rFonts w:ascii="Times New Roman" w:hAnsi="Times New Roman" w:cs="Times New Roman"/>
          <w:sz w:val="24"/>
          <w:szCs w:val="24"/>
          <w:lang w:val="en-ZA"/>
        </w:rPr>
        <w:t xml:space="preserve"> in adults and children were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003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005 mg/kg/day, respectively, with no significant difference. The EDI recorded for Cd in adults and children consuming lettuce were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005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008 mg/kg/day, respectively, with no significant difference. The EDI values for Ni in adults and children consuming lettuce were significantly different, at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027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043 mg/kg/day, respectively. The EDI for Pb was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007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011 mg/kg/day for adults and children, respectively. The EDI recorded for Zn in adults and children consuming lettuce was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110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 xml:space="preserve">173 mg/kg/day, respectively. It is noted that the ingestion of lettuce grown in the study area would contain certain heavy metals such as </w:t>
      </w:r>
      <w:proofErr w:type="spellStart"/>
      <w:r w:rsidRPr="000924D9">
        <w:rPr>
          <w:rFonts w:ascii="Times New Roman" w:hAnsi="Times New Roman" w:cs="Times New Roman"/>
          <w:sz w:val="24"/>
          <w:szCs w:val="24"/>
          <w:lang w:val="en-ZA"/>
        </w:rPr>
        <w:t>As</w:t>
      </w:r>
      <w:proofErr w:type="spellEnd"/>
      <w:r w:rsidRPr="000924D9">
        <w:rPr>
          <w:rFonts w:ascii="Times New Roman" w:hAnsi="Times New Roman" w:cs="Times New Roman"/>
          <w:sz w:val="24"/>
          <w:szCs w:val="24"/>
          <w:lang w:val="en-ZA"/>
        </w:rPr>
        <w:t xml:space="preserve">, Cd, Ni, and Pb, whose EDI </w:t>
      </w:r>
      <w:r w:rsidRPr="000924D9">
        <w:rPr>
          <w:rFonts w:ascii="Times New Roman" w:hAnsi="Times New Roman" w:cs="Times New Roman"/>
          <w:sz w:val="24"/>
          <w:szCs w:val="24"/>
          <w:lang w:val="en-ZA"/>
        </w:rPr>
        <w:lastRenderedPageBreak/>
        <w:t>exceeds the reference dose (</w:t>
      </w:r>
      <w:proofErr w:type="spellStart"/>
      <w:r w:rsidRPr="000924D9">
        <w:rPr>
          <w:rFonts w:ascii="Times New Roman" w:hAnsi="Times New Roman" w:cs="Times New Roman"/>
          <w:sz w:val="24"/>
          <w:szCs w:val="24"/>
          <w:lang w:val="en-ZA"/>
        </w:rPr>
        <w:t>RfD</w:t>
      </w:r>
      <w:proofErr w:type="spellEnd"/>
      <w:r w:rsidRPr="000924D9">
        <w:rPr>
          <w:rFonts w:ascii="Times New Roman" w:hAnsi="Times New Roman" w:cs="Times New Roman"/>
          <w:sz w:val="24"/>
          <w:szCs w:val="24"/>
          <w:lang w:val="en-ZA"/>
        </w:rPr>
        <w:t xml:space="preserve">) suggested (As (0.0003), Cd (0.0005), Cr (1.5), Cu (0.04), Ni (0.02), Pb (0.004), and Zn (0.3)) (Jolly </w:t>
      </w:r>
      <w:r w:rsidRPr="00627083">
        <w:rPr>
          <w:rFonts w:ascii="Times New Roman" w:hAnsi="Times New Roman" w:cs="Times New Roman"/>
          <w:i/>
          <w:iCs/>
          <w:sz w:val="24"/>
          <w:szCs w:val="24"/>
          <w:lang w:val="en-ZA"/>
        </w:rPr>
        <w:t>et al</w:t>
      </w:r>
      <w:r w:rsidRPr="000924D9">
        <w:rPr>
          <w:rFonts w:ascii="Times New Roman" w:hAnsi="Times New Roman" w:cs="Times New Roman"/>
          <w:sz w:val="24"/>
          <w:szCs w:val="24"/>
          <w:lang w:val="en-ZA"/>
        </w:rPr>
        <w:t>., 2019).</w:t>
      </w:r>
    </w:p>
    <w:p w14:paraId="2C8CA5D9" w14:textId="1D45DC06" w:rsidR="004802D5" w:rsidRPr="00931A33" w:rsidRDefault="00400973" w:rsidP="004802D5">
      <w:pPr>
        <w:spacing w:line="360" w:lineRule="auto"/>
        <w:jc w:val="center"/>
        <w:rPr>
          <w:rFonts w:ascii="Times New Roman" w:hAnsi="Times New Roman" w:cs="Times New Roman"/>
          <w:sz w:val="24"/>
          <w:szCs w:val="24"/>
        </w:rPr>
      </w:pPr>
      <w:r w:rsidRPr="008273C4">
        <w:rPr>
          <w:noProof/>
          <w:lang w:eastAsia="fr-FR"/>
        </w:rPr>
        <w:drawing>
          <wp:inline distT="0" distB="0" distL="0" distR="0" wp14:anchorId="1C1699F7" wp14:editId="6BC201D9">
            <wp:extent cx="5760720" cy="4608830"/>
            <wp:effectExtent l="0" t="0" r="0" b="1270"/>
            <wp:docPr id="6182932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7C8E766F" w14:textId="040FC3D1" w:rsidR="00C7541F" w:rsidRPr="00C7541F" w:rsidRDefault="00C7541F" w:rsidP="004802D5">
      <w:pPr>
        <w:spacing w:after="0" w:line="360" w:lineRule="auto"/>
        <w:jc w:val="both"/>
        <w:rPr>
          <w:rFonts w:ascii="Times New Roman" w:hAnsi="Times New Roman" w:cs="Times New Roman"/>
          <w:b/>
          <w:bCs/>
          <w:sz w:val="24"/>
          <w:szCs w:val="24"/>
          <w:lang w:val="en-ZA"/>
        </w:rPr>
      </w:pPr>
      <w:r w:rsidRPr="00C7541F">
        <w:rPr>
          <w:rFonts w:ascii="Times New Roman" w:hAnsi="Times New Roman" w:cs="Times New Roman"/>
          <w:b/>
          <w:bCs/>
          <w:sz w:val="24"/>
          <w:szCs w:val="24"/>
          <w:lang w:val="en-ZA"/>
        </w:rPr>
        <w:t xml:space="preserve">Figure 4: </w:t>
      </w:r>
      <w:r w:rsidRPr="00C7541F">
        <w:rPr>
          <w:rFonts w:ascii="Times New Roman" w:hAnsi="Times New Roman" w:cs="Times New Roman"/>
          <w:sz w:val="24"/>
          <w:szCs w:val="24"/>
          <w:lang w:val="en-ZA"/>
        </w:rPr>
        <w:t>Estimated daily intake for lettuce by category of person</w:t>
      </w:r>
    </w:p>
    <w:p w14:paraId="21B78C74" w14:textId="3ADD09A1" w:rsidR="004802D5" w:rsidRPr="00C7541F" w:rsidRDefault="00C7541F" w:rsidP="008363B4">
      <w:pPr>
        <w:spacing w:before="120" w:after="120" w:line="360" w:lineRule="auto"/>
        <w:jc w:val="both"/>
        <w:rPr>
          <w:rFonts w:ascii="Times New Roman" w:hAnsi="Times New Roman" w:cs="Times New Roman"/>
          <w:sz w:val="24"/>
          <w:szCs w:val="24"/>
          <w:lang w:val="en-ZA"/>
        </w:rPr>
      </w:pPr>
      <w:r w:rsidRPr="00C7541F">
        <w:rPr>
          <w:rFonts w:ascii="Times New Roman" w:hAnsi="Times New Roman" w:cs="Times New Roman"/>
          <w:sz w:val="24"/>
          <w:szCs w:val="24"/>
          <w:lang w:val="en-ZA"/>
        </w:rPr>
        <w:t xml:space="preserve">Figure 5 presents the estimated daily intake (EDI) of metals from the consumption of tomatoes by a person. Regardless of the heavy metal, the estimated daily intake for children is always higher than that for adults. The EDI values for </w:t>
      </w:r>
      <w:proofErr w:type="gramStart"/>
      <w:r w:rsidRPr="00C7541F">
        <w:rPr>
          <w:rFonts w:ascii="Times New Roman" w:hAnsi="Times New Roman" w:cs="Times New Roman"/>
          <w:sz w:val="24"/>
          <w:szCs w:val="24"/>
          <w:lang w:val="en-ZA"/>
        </w:rPr>
        <w:t>As</w:t>
      </w:r>
      <w:proofErr w:type="gramEnd"/>
      <w:r w:rsidRPr="00C7541F">
        <w:rPr>
          <w:rFonts w:ascii="Times New Roman" w:hAnsi="Times New Roman" w:cs="Times New Roman"/>
          <w:sz w:val="24"/>
          <w:szCs w:val="24"/>
          <w:lang w:val="en-ZA"/>
        </w:rPr>
        <w:t xml:space="preserve"> in adults and children were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002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004 mg/kg/day, respectively. The EDI for Cd in adults and children consuming lettuce were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003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004 mg/kg/day, respectively. The Ni showed significantly different EDI values in adults and children consuming lettuce, with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026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04 mg/kg/day, respectively. The EDI for Pb was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007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011 mg/kg/day for adults and children, respectively, with a significant difference. The EDI values for Zn in adults and children were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08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125 mg/kg/day, respectively, with a significant difference</w:t>
      </w:r>
      <w:r w:rsidR="004802D5" w:rsidRPr="00C7541F">
        <w:rPr>
          <w:rFonts w:ascii="Times New Roman" w:hAnsi="Times New Roman" w:cs="Times New Roman"/>
          <w:sz w:val="24"/>
          <w:szCs w:val="24"/>
          <w:lang w:val="en-ZA"/>
        </w:rPr>
        <w:t>.</w:t>
      </w:r>
    </w:p>
    <w:p w14:paraId="1993F404" w14:textId="78278DE3" w:rsidR="004802D5" w:rsidRPr="00627083" w:rsidRDefault="00627083" w:rsidP="008363B4">
      <w:pPr>
        <w:spacing w:before="120" w:after="120" w:line="360" w:lineRule="auto"/>
        <w:jc w:val="both"/>
        <w:rPr>
          <w:rFonts w:ascii="Times New Roman" w:hAnsi="Times New Roman" w:cs="Times New Roman"/>
          <w:sz w:val="24"/>
          <w:szCs w:val="24"/>
          <w:lang w:val="en-ZA"/>
        </w:rPr>
      </w:pPr>
      <w:r w:rsidRPr="00627083">
        <w:rPr>
          <w:rFonts w:ascii="Times New Roman" w:hAnsi="Times New Roman" w:cs="Times New Roman"/>
          <w:sz w:val="24"/>
          <w:szCs w:val="24"/>
          <w:lang w:val="en"/>
        </w:rPr>
        <w:t>It is noted that the ingestion of certain heavy metals (As, Cd, Ni and Pb) is higher than the suggested reference intake (</w:t>
      </w:r>
      <w:proofErr w:type="spellStart"/>
      <w:proofErr w:type="gramStart"/>
      <w:r w:rsidRPr="00627083">
        <w:rPr>
          <w:rFonts w:ascii="Times New Roman" w:hAnsi="Times New Roman" w:cs="Times New Roman"/>
          <w:sz w:val="24"/>
          <w:szCs w:val="24"/>
          <w:lang w:val="en"/>
        </w:rPr>
        <w:t>RfD</w:t>
      </w:r>
      <w:proofErr w:type="spellEnd"/>
      <w:proofErr w:type="gramEnd"/>
      <w:r w:rsidRPr="00627083">
        <w:rPr>
          <w:rFonts w:ascii="Times New Roman" w:hAnsi="Times New Roman" w:cs="Times New Roman"/>
          <w:sz w:val="24"/>
          <w:szCs w:val="24"/>
          <w:lang w:val="en"/>
        </w:rPr>
        <w:t>)</w:t>
      </w:r>
      <w:r>
        <w:rPr>
          <w:rFonts w:ascii="Times New Roman" w:hAnsi="Times New Roman" w:cs="Times New Roman"/>
          <w:sz w:val="24"/>
          <w:szCs w:val="24"/>
          <w:lang w:val="en-ZA"/>
        </w:rPr>
        <w:t xml:space="preserve">: </w:t>
      </w:r>
      <w:r w:rsidR="00D12BF1">
        <w:rPr>
          <w:rFonts w:ascii="Times New Roman" w:hAnsi="Times New Roman" w:cs="Times New Roman"/>
          <w:color w:val="000000" w:themeColor="text1"/>
          <w:sz w:val="24"/>
          <w:szCs w:val="24"/>
          <w:lang w:val="en-ZA"/>
        </w:rPr>
        <w:t>As (0.0003), Cd (0.</w:t>
      </w:r>
      <w:r w:rsidR="004802D5" w:rsidRPr="00627083">
        <w:rPr>
          <w:rFonts w:ascii="Times New Roman" w:hAnsi="Times New Roman" w:cs="Times New Roman"/>
          <w:color w:val="000000" w:themeColor="text1"/>
          <w:sz w:val="24"/>
          <w:szCs w:val="24"/>
          <w:lang w:val="en-ZA"/>
        </w:rPr>
        <w:t>0005), Cr</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(1.</w:t>
      </w:r>
      <w:r w:rsidR="004802D5" w:rsidRPr="00627083">
        <w:rPr>
          <w:rFonts w:ascii="Times New Roman" w:hAnsi="Times New Roman" w:cs="Times New Roman"/>
          <w:color w:val="000000" w:themeColor="text1"/>
          <w:sz w:val="24"/>
          <w:szCs w:val="24"/>
          <w:lang w:val="en-ZA"/>
        </w:rPr>
        <w:t>5), Cu</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(0.</w:t>
      </w:r>
      <w:r w:rsidR="004802D5" w:rsidRPr="00627083">
        <w:rPr>
          <w:rFonts w:ascii="Times New Roman" w:hAnsi="Times New Roman" w:cs="Times New Roman"/>
          <w:color w:val="000000" w:themeColor="text1"/>
          <w:sz w:val="24"/>
          <w:szCs w:val="24"/>
          <w:lang w:val="en-ZA"/>
        </w:rPr>
        <w:t>04), Ni</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(0.</w:t>
      </w:r>
      <w:r w:rsidR="004802D5" w:rsidRPr="00627083">
        <w:rPr>
          <w:rFonts w:ascii="Times New Roman" w:hAnsi="Times New Roman" w:cs="Times New Roman"/>
          <w:color w:val="000000" w:themeColor="text1"/>
          <w:sz w:val="24"/>
          <w:szCs w:val="24"/>
          <w:lang w:val="en-ZA"/>
        </w:rPr>
        <w:t>02), Pb</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(0.</w:t>
      </w:r>
      <w:r w:rsidR="004802D5" w:rsidRPr="00627083">
        <w:rPr>
          <w:rFonts w:ascii="Times New Roman" w:hAnsi="Times New Roman" w:cs="Times New Roman"/>
          <w:color w:val="000000" w:themeColor="text1"/>
          <w:sz w:val="24"/>
          <w:szCs w:val="24"/>
          <w:lang w:val="en-ZA"/>
        </w:rPr>
        <w:t>004) et Zn</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(0.3)</w:t>
      </w:r>
      <w:r w:rsidR="00F97750" w:rsidRPr="00627083">
        <w:rPr>
          <w:rFonts w:ascii="Times New Roman" w:hAnsi="Times New Roman" w:cs="Times New Roman"/>
          <w:color w:val="000000" w:themeColor="text1"/>
          <w:sz w:val="24"/>
          <w:szCs w:val="24"/>
          <w:lang w:val="en-ZA"/>
        </w:rPr>
        <w:t xml:space="preserve"> </w:t>
      </w:r>
      <w:r w:rsidR="004802D5" w:rsidRPr="00627083">
        <w:rPr>
          <w:rFonts w:ascii="Times New Roman" w:hAnsi="Times New Roman" w:cs="Times New Roman"/>
          <w:color w:val="000000" w:themeColor="text1"/>
          <w:sz w:val="24"/>
          <w:szCs w:val="24"/>
          <w:lang w:val="en-ZA"/>
        </w:rPr>
        <w:t xml:space="preserve">(Jolly </w:t>
      </w:r>
      <w:r w:rsidR="004802D5" w:rsidRPr="00627083">
        <w:rPr>
          <w:rFonts w:ascii="Times New Roman" w:hAnsi="Times New Roman" w:cs="Times New Roman"/>
          <w:i/>
          <w:iCs/>
          <w:color w:val="000000" w:themeColor="text1"/>
          <w:sz w:val="24"/>
          <w:szCs w:val="24"/>
          <w:lang w:val="en-ZA"/>
        </w:rPr>
        <w:t>et al.</w:t>
      </w:r>
      <w:r w:rsidR="004802D5" w:rsidRPr="00627083">
        <w:rPr>
          <w:rFonts w:ascii="Times New Roman" w:hAnsi="Times New Roman" w:cs="Times New Roman"/>
          <w:color w:val="000000" w:themeColor="text1"/>
          <w:sz w:val="24"/>
          <w:szCs w:val="24"/>
          <w:lang w:val="en-ZA"/>
        </w:rPr>
        <w:t>, 2019).</w:t>
      </w:r>
    </w:p>
    <w:p w14:paraId="5C0507EE" w14:textId="28BC13B1" w:rsidR="004802D5" w:rsidRPr="00931A33" w:rsidRDefault="00400973" w:rsidP="004802D5">
      <w:pPr>
        <w:spacing w:line="360" w:lineRule="auto"/>
        <w:jc w:val="center"/>
        <w:rPr>
          <w:rFonts w:ascii="Times New Roman" w:hAnsi="Times New Roman" w:cs="Times New Roman"/>
          <w:sz w:val="24"/>
          <w:szCs w:val="24"/>
        </w:rPr>
      </w:pPr>
      <w:r w:rsidRPr="008273C4">
        <w:rPr>
          <w:noProof/>
          <w:lang w:eastAsia="fr-FR"/>
        </w:rPr>
        <w:lastRenderedPageBreak/>
        <w:drawing>
          <wp:inline distT="0" distB="0" distL="0" distR="0" wp14:anchorId="524C2DE3" wp14:editId="1DFE5BBD">
            <wp:extent cx="5760720" cy="4608830"/>
            <wp:effectExtent l="0" t="0" r="0" b="1270"/>
            <wp:docPr id="82679976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5E12C4CC" w14:textId="617C6599" w:rsidR="007E1ACB" w:rsidRDefault="007E1ACB" w:rsidP="004802D5">
      <w:pPr>
        <w:pStyle w:val="Titre3"/>
        <w:spacing w:line="360" w:lineRule="auto"/>
        <w:jc w:val="both"/>
        <w:rPr>
          <w:rFonts w:ascii="Times New Roman" w:eastAsiaTheme="minorHAnsi" w:hAnsi="Times New Roman" w:cs="Times New Roman"/>
          <w:b/>
          <w:bCs/>
          <w:color w:val="auto"/>
          <w:lang w:val="en-ZA"/>
        </w:rPr>
      </w:pPr>
      <w:bookmarkStart w:id="16" w:name="_Toc216647837"/>
      <w:r w:rsidRPr="007E1ACB">
        <w:rPr>
          <w:rFonts w:ascii="Times New Roman" w:eastAsiaTheme="minorHAnsi" w:hAnsi="Times New Roman" w:cs="Times New Roman"/>
          <w:b/>
          <w:bCs/>
          <w:color w:val="auto"/>
          <w:lang w:val="en-ZA"/>
        </w:rPr>
        <w:t xml:space="preserve">Figure 5: </w:t>
      </w:r>
      <w:r w:rsidRPr="007E1ACB">
        <w:rPr>
          <w:rFonts w:ascii="Times New Roman" w:eastAsiaTheme="minorHAnsi" w:hAnsi="Times New Roman" w:cs="Times New Roman"/>
          <w:color w:val="auto"/>
          <w:lang w:val="en-ZA"/>
        </w:rPr>
        <w:t>Estimated daily intake for tomatoes by category of person</w:t>
      </w:r>
    </w:p>
    <w:p w14:paraId="61986A2C" w14:textId="2716295B" w:rsidR="004802D5" w:rsidRPr="007E1ACB" w:rsidRDefault="004802D5" w:rsidP="004802D5">
      <w:pPr>
        <w:pStyle w:val="Titre3"/>
        <w:spacing w:line="360" w:lineRule="auto"/>
        <w:jc w:val="both"/>
        <w:rPr>
          <w:rFonts w:ascii="Times New Roman" w:hAnsi="Times New Roman" w:cs="Times New Roman"/>
          <w:b/>
          <w:bCs/>
          <w:color w:val="auto"/>
          <w:lang w:val="en-ZA"/>
        </w:rPr>
      </w:pPr>
      <w:r w:rsidRPr="007E1ACB">
        <w:rPr>
          <w:rFonts w:ascii="Times New Roman" w:hAnsi="Times New Roman" w:cs="Times New Roman"/>
          <w:b/>
          <w:bCs/>
          <w:color w:val="auto"/>
          <w:lang w:val="en-ZA"/>
        </w:rPr>
        <w:t>II</w:t>
      </w:r>
      <w:r w:rsidR="00C74920" w:rsidRPr="007E1ACB">
        <w:rPr>
          <w:rFonts w:ascii="Times New Roman" w:hAnsi="Times New Roman" w:cs="Times New Roman"/>
          <w:b/>
          <w:bCs/>
          <w:color w:val="auto"/>
          <w:lang w:val="en-ZA"/>
        </w:rPr>
        <w:t>I</w:t>
      </w:r>
      <w:r w:rsidRPr="007E1ACB">
        <w:rPr>
          <w:rFonts w:ascii="Times New Roman" w:hAnsi="Times New Roman" w:cs="Times New Roman"/>
          <w:b/>
          <w:bCs/>
          <w:color w:val="auto"/>
          <w:lang w:val="en-ZA"/>
        </w:rPr>
        <w:t xml:space="preserve">.2.4. </w:t>
      </w:r>
      <w:bookmarkEnd w:id="16"/>
      <w:r w:rsidR="007E1ACB" w:rsidRPr="007E1ACB">
        <w:rPr>
          <w:rFonts w:ascii="Times New Roman" w:hAnsi="Times New Roman" w:cs="Times New Roman"/>
          <w:b/>
          <w:bCs/>
          <w:color w:val="auto"/>
          <w:lang w:val="en-ZA"/>
        </w:rPr>
        <w:t>Health Risk Index (HRI)</w:t>
      </w:r>
    </w:p>
    <w:p w14:paraId="2F2E0E80" w14:textId="0D3E8A4B" w:rsidR="004802D5" w:rsidRPr="007E1ACB" w:rsidRDefault="007E1ACB" w:rsidP="008363B4">
      <w:pPr>
        <w:spacing w:before="120" w:after="120" w:line="360" w:lineRule="auto"/>
        <w:jc w:val="both"/>
        <w:rPr>
          <w:rFonts w:ascii="Times New Roman" w:hAnsi="Times New Roman" w:cs="Times New Roman"/>
          <w:sz w:val="24"/>
          <w:szCs w:val="24"/>
          <w:lang w:val="en-ZA"/>
        </w:rPr>
      </w:pPr>
      <w:r w:rsidRPr="007E1ACB">
        <w:rPr>
          <w:rFonts w:ascii="Times New Roman" w:hAnsi="Times New Roman" w:cs="Times New Roman"/>
          <w:sz w:val="24"/>
          <w:szCs w:val="24"/>
          <w:lang w:val="en-ZA"/>
        </w:rPr>
        <w:t>The values of the Health Risk Index (HRI) associated with heavy metals through the consumption of vegetables collected from the industrial area of Bobo-</w:t>
      </w:r>
      <w:proofErr w:type="spellStart"/>
      <w:r w:rsidRPr="007E1ACB">
        <w:rPr>
          <w:rFonts w:ascii="Times New Roman" w:hAnsi="Times New Roman" w:cs="Times New Roman"/>
          <w:sz w:val="24"/>
          <w:szCs w:val="24"/>
          <w:lang w:val="en-ZA"/>
        </w:rPr>
        <w:t>Dioulasso</w:t>
      </w:r>
      <w:proofErr w:type="spellEnd"/>
      <w:r w:rsidRPr="007E1ACB">
        <w:rPr>
          <w:rFonts w:ascii="Times New Roman" w:hAnsi="Times New Roman" w:cs="Times New Roman"/>
          <w:sz w:val="24"/>
          <w:szCs w:val="24"/>
          <w:lang w:val="en-ZA"/>
        </w:rPr>
        <w:t xml:space="preserve"> are presented in Figures 6 and 7. Regardless of the vegetable, the results revealed that the HRI for As, Cd, Ni, and Pb is greater than 1, while it is less than 1 for Cr, Cu, and Zn. For all heavy metals and vegetables, the HRI value for children was always higher than that for adults. Lettuce showed higher HRI values than tomatoes for As, Cd, Cr, Ni, and Zn. Only the HRI associated with Ni showed a significant difference between children and adults for lettuce. In tomato fruits, a significant difference is observed for Ni and Zn</w:t>
      </w:r>
      <w:r w:rsidR="004802D5" w:rsidRPr="007E1ACB">
        <w:rPr>
          <w:rFonts w:ascii="Times New Roman" w:hAnsi="Times New Roman" w:cs="Times New Roman"/>
          <w:sz w:val="24"/>
          <w:szCs w:val="24"/>
          <w:lang w:val="en-ZA"/>
        </w:rPr>
        <w:t xml:space="preserve">. </w:t>
      </w:r>
    </w:p>
    <w:p w14:paraId="14EF094A" w14:textId="643B7988" w:rsidR="004802D5" w:rsidRPr="00931A33" w:rsidRDefault="00400973" w:rsidP="004802D5">
      <w:pPr>
        <w:spacing w:line="360" w:lineRule="auto"/>
        <w:jc w:val="both"/>
        <w:rPr>
          <w:rFonts w:ascii="Times New Roman" w:hAnsi="Times New Roman" w:cs="Times New Roman"/>
          <w:sz w:val="24"/>
          <w:szCs w:val="24"/>
        </w:rPr>
      </w:pPr>
      <w:r w:rsidRPr="008273C4">
        <w:rPr>
          <w:noProof/>
          <w:lang w:eastAsia="fr-FR"/>
        </w:rPr>
        <w:lastRenderedPageBreak/>
        <w:drawing>
          <wp:inline distT="0" distB="0" distL="0" distR="0" wp14:anchorId="58B23BA2" wp14:editId="3A16EB38">
            <wp:extent cx="5760720" cy="4608830"/>
            <wp:effectExtent l="0" t="0" r="0" b="1270"/>
            <wp:docPr id="2913133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19985EE9" w14:textId="691257E7" w:rsidR="004802D5" w:rsidRPr="007E1ACB" w:rsidRDefault="004802D5" w:rsidP="004802D5">
      <w:pPr>
        <w:spacing w:line="360" w:lineRule="auto"/>
        <w:jc w:val="center"/>
        <w:rPr>
          <w:rFonts w:ascii="Times New Roman" w:hAnsi="Times New Roman" w:cs="Times New Roman"/>
          <w:sz w:val="24"/>
          <w:szCs w:val="24"/>
          <w:lang w:val="en-ZA"/>
        </w:rPr>
      </w:pPr>
      <w:r w:rsidRPr="007E1ACB">
        <w:rPr>
          <w:rFonts w:ascii="Times New Roman" w:hAnsi="Times New Roman" w:cs="Times New Roman"/>
          <w:b/>
          <w:bCs/>
          <w:sz w:val="24"/>
          <w:szCs w:val="24"/>
          <w:lang w:val="en-ZA"/>
        </w:rPr>
        <w:t>Figure </w:t>
      </w:r>
      <w:proofErr w:type="gramStart"/>
      <w:r w:rsidRPr="007E1ACB">
        <w:rPr>
          <w:rFonts w:ascii="Times New Roman" w:hAnsi="Times New Roman" w:cs="Times New Roman"/>
          <w:b/>
          <w:bCs/>
          <w:sz w:val="24"/>
          <w:szCs w:val="24"/>
          <w:lang w:val="en-ZA"/>
        </w:rPr>
        <w:t xml:space="preserve">6 </w:t>
      </w:r>
      <w:r w:rsidRPr="007E1ACB">
        <w:rPr>
          <w:rFonts w:ascii="Times New Roman" w:hAnsi="Times New Roman" w:cs="Times New Roman"/>
          <w:sz w:val="24"/>
          <w:szCs w:val="24"/>
          <w:lang w:val="en-ZA"/>
        </w:rPr>
        <w:t>:</w:t>
      </w:r>
      <w:proofErr w:type="gramEnd"/>
      <w:r w:rsidRPr="007E1ACB">
        <w:rPr>
          <w:rFonts w:ascii="Times New Roman" w:hAnsi="Times New Roman" w:cs="Times New Roman"/>
          <w:sz w:val="24"/>
          <w:szCs w:val="24"/>
          <w:lang w:val="en-ZA"/>
        </w:rPr>
        <w:t xml:space="preserve"> </w:t>
      </w:r>
      <w:r w:rsidR="007E1ACB" w:rsidRPr="007E1ACB">
        <w:rPr>
          <w:rFonts w:ascii="Times New Roman" w:hAnsi="Times New Roman" w:cs="Times New Roman"/>
          <w:sz w:val="24"/>
          <w:szCs w:val="24"/>
          <w:lang w:val="en-ZA"/>
        </w:rPr>
        <w:t>Health Risk Index for Lettuce by Age Group</w:t>
      </w:r>
    </w:p>
    <w:p w14:paraId="057DC253" w14:textId="5C2BB6E3" w:rsidR="004802D5" w:rsidRPr="00931A33" w:rsidRDefault="004555D9" w:rsidP="004802D5">
      <w:pPr>
        <w:spacing w:line="360" w:lineRule="auto"/>
        <w:jc w:val="both"/>
        <w:rPr>
          <w:rFonts w:ascii="Times New Roman" w:hAnsi="Times New Roman" w:cs="Times New Roman"/>
          <w:sz w:val="24"/>
          <w:szCs w:val="24"/>
        </w:rPr>
      </w:pPr>
      <w:r w:rsidRPr="008273C4">
        <w:rPr>
          <w:noProof/>
          <w:lang w:eastAsia="fr-FR"/>
        </w:rPr>
        <w:lastRenderedPageBreak/>
        <w:drawing>
          <wp:inline distT="0" distB="0" distL="0" distR="0" wp14:anchorId="141409B8" wp14:editId="325F436E">
            <wp:extent cx="5760720" cy="4608830"/>
            <wp:effectExtent l="0" t="0" r="0" b="1270"/>
            <wp:docPr id="171418008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16E57ED7" w14:textId="4D3B840B" w:rsidR="004802D5" w:rsidRPr="008F4C8E" w:rsidRDefault="004802D5" w:rsidP="00757DA9">
      <w:pPr>
        <w:spacing w:line="360" w:lineRule="auto"/>
        <w:jc w:val="center"/>
        <w:rPr>
          <w:rFonts w:ascii="Times New Roman" w:hAnsi="Times New Roman" w:cs="Times New Roman"/>
          <w:sz w:val="24"/>
          <w:szCs w:val="24"/>
          <w:lang w:val="en-ZA"/>
        </w:rPr>
      </w:pPr>
      <w:r w:rsidRPr="008F4C8E">
        <w:rPr>
          <w:rFonts w:ascii="Times New Roman" w:hAnsi="Times New Roman" w:cs="Times New Roman"/>
          <w:b/>
          <w:bCs/>
          <w:sz w:val="24"/>
          <w:szCs w:val="24"/>
          <w:lang w:val="en-ZA"/>
        </w:rPr>
        <w:t>Figure 7</w:t>
      </w:r>
      <w:r w:rsidRPr="008F4C8E">
        <w:rPr>
          <w:rFonts w:ascii="Times New Roman" w:hAnsi="Times New Roman" w:cs="Times New Roman"/>
          <w:sz w:val="24"/>
          <w:szCs w:val="24"/>
          <w:lang w:val="en-ZA"/>
        </w:rPr>
        <w:t xml:space="preserve">: </w:t>
      </w:r>
      <w:r w:rsidR="008F4C8E" w:rsidRPr="008F4C8E">
        <w:rPr>
          <w:rFonts w:ascii="Times New Roman" w:hAnsi="Times New Roman" w:cs="Times New Roman"/>
          <w:sz w:val="24"/>
          <w:szCs w:val="24"/>
          <w:lang w:val="en-ZA"/>
        </w:rPr>
        <w:t>Health Risk Index for Tomato by Age Group</w:t>
      </w:r>
    </w:p>
    <w:p w14:paraId="7D3FC356" w14:textId="54B79786" w:rsidR="004802D5" w:rsidRPr="008F4C8E" w:rsidRDefault="004802D5" w:rsidP="004802D5">
      <w:pPr>
        <w:pStyle w:val="Titre3"/>
        <w:spacing w:line="360" w:lineRule="auto"/>
        <w:jc w:val="both"/>
        <w:rPr>
          <w:rFonts w:ascii="Times New Roman" w:hAnsi="Times New Roman" w:cs="Times New Roman"/>
          <w:b/>
          <w:bCs/>
          <w:color w:val="auto"/>
          <w:lang w:val="en-ZA"/>
        </w:rPr>
      </w:pPr>
      <w:bookmarkStart w:id="17" w:name="_Toc216647838"/>
      <w:r w:rsidRPr="008F4C8E">
        <w:rPr>
          <w:rFonts w:ascii="Times New Roman" w:hAnsi="Times New Roman" w:cs="Times New Roman"/>
          <w:b/>
          <w:bCs/>
          <w:color w:val="auto"/>
          <w:lang w:val="en-ZA"/>
        </w:rPr>
        <w:t>II</w:t>
      </w:r>
      <w:r w:rsidR="00C74920" w:rsidRPr="008F4C8E">
        <w:rPr>
          <w:rFonts w:ascii="Times New Roman" w:hAnsi="Times New Roman" w:cs="Times New Roman"/>
          <w:b/>
          <w:bCs/>
          <w:color w:val="auto"/>
          <w:lang w:val="en-ZA"/>
        </w:rPr>
        <w:t>I</w:t>
      </w:r>
      <w:r w:rsidRPr="008F4C8E">
        <w:rPr>
          <w:rFonts w:ascii="Times New Roman" w:hAnsi="Times New Roman" w:cs="Times New Roman"/>
          <w:b/>
          <w:bCs/>
          <w:color w:val="auto"/>
          <w:lang w:val="en-ZA"/>
        </w:rPr>
        <w:t xml:space="preserve">.2.5. </w:t>
      </w:r>
      <w:bookmarkEnd w:id="17"/>
      <w:r w:rsidR="008F4C8E" w:rsidRPr="008F4C8E">
        <w:rPr>
          <w:rFonts w:ascii="Times New Roman" w:hAnsi="Times New Roman" w:cs="Times New Roman"/>
          <w:b/>
          <w:bCs/>
          <w:color w:val="auto"/>
          <w:lang w:val="en-ZA"/>
        </w:rPr>
        <w:t>Hazard Index (HI)</w:t>
      </w:r>
    </w:p>
    <w:p w14:paraId="1235B427" w14:textId="4D97032D" w:rsidR="004802D5" w:rsidRPr="008F4C8E" w:rsidRDefault="008F4C8E" w:rsidP="008363B4">
      <w:pPr>
        <w:spacing w:before="120" w:after="120" w:line="360" w:lineRule="auto"/>
        <w:jc w:val="both"/>
        <w:rPr>
          <w:rFonts w:ascii="Times New Roman" w:hAnsi="Times New Roman" w:cs="Times New Roman"/>
          <w:sz w:val="24"/>
          <w:szCs w:val="24"/>
          <w:lang w:val="en-ZA"/>
        </w:rPr>
      </w:pPr>
      <w:r w:rsidRPr="008F4C8E">
        <w:rPr>
          <w:rFonts w:ascii="Times New Roman" w:hAnsi="Times New Roman" w:cs="Times New Roman"/>
          <w:sz w:val="24"/>
          <w:szCs w:val="24"/>
          <w:lang w:val="en-ZA"/>
        </w:rPr>
        <w:t>The variations in the Hazard Indices (HI) of heavy metals according to age groups (children and adults) and vegetables are presented in Figure 8. Regardless of the vegetable, the HI value was higher in children than in adults. However, no significant difference in HI was observed between children and adults for any vegetable. Furthermore, the hazard indices recorded for both adults and children, for both lettuce and tomato, were greater than 1, indicating a high probability of adverse health effects</w:t>
      </w:r>
      <w:r w:rsidR="004802D5" w:rsidRPr="008F4C8E">
        <w:rPr>
          <w:rFonts w:ascii="Times New Roman" w:hAnsi="Times New Roman" w:cs="Times New Roman"/>
          <w:color w:val="000000" w:themeColor="text1"/>
          <w:sz w:val="24"/>
          <w:szCs w:val="24"/>
          <w:lang w:val="en-ZA"/>
        </w:rPr>
        <w:t xml:space="preserve">. </w:t>
      </w:r>
    </w:p>
    <w:p w14:paraId="314D0407" w14:textId="0A8B0CEF" w:rsidR="004802D5" w:rsidRPr="00931A33" w:rsidRDefault="004555D9" w:rsidP="004802D5">
      <w:pPr>
        <w:spacing w:line="360" w:lineRule="auto"/>
        <w:jc w:val="both"/>
        <w:rPr>
          <w:rFonts w:ascii="Times New Roman" w:hAnsi="Times New Roman" w:cs="Times New Roman"/>
          <w:sz w:val="24"/>
          <w:szCs w:val="24"/>
        </w:rPr>
      </w:pPr>
      <w:r w:rsidRPr="00066004">
        <w:rPr>
          <w:noProof/>
          <w:lang w:eastAsia="fr-FR"/>
        </w:rPr>
        <w:lastRenderedPageBreak/>
        <w:drawing>
          <wp:inline distT="0" distB="0" distL="0" distR="0" wp14:anchorId="137BD06B" wp14:editId="4AA30E55">
            <wp:extent cx="5760720" cy="4302125"/>
            <wp:effectExtent l="0" t="0" r="0" b="3175"/>
            <wp:docPr id="18395125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02125"/>
                    </a:xfrm>
                    <a:prstGeom prst="rect">
                      <a:avLst/>
                    </a:prstGeom>
                    <a:noFill/>
                    <a:ln>
                      <a:noFill/>
                    </a:ln>
                  </pic:spPr>
                </pic:pic>
              </a:graphicData>
            </a:graphic>
          </wp:inline>
        </w:drawing>
      </w:r>
    </w:p>
    <w:p w14:paraId="081508B0" w14:textId="58347847" w:rsidR="004802D5" w:rsidRPr="008F4C8E" w:rsidRDefault="004802D5" w:rsidP="004802D5">
      <w:pPr>
        <w:spacing w:line="360" w:lineRule="auto"/>
        <w:jc w:val="center"/>
        <w:rPr>
          <w:rFonts w:ascii="Times New Roman" w:hAnsi="Times New Roman" w:cs="Times New Roman"/>
          <w:sz w:val="24"/>
          <w:szCs w:val="24"/>
          <w:lang w:val="en-ZA"/>
        </w:rPr>
      </w:pPr>
      <w:r w:rsidRPr="008F4C8E">
        <w:rPr>
          <w:rFonts w:ascii="Times New Roman" w:hAnsi="Times New Roman" w:cs="Times New Roman"/>
          <w:b/>
          <w:bCs/>
          <w:sz w:val="24"/>
          <w:szCs w:val="24"/>
          <w:lang w:val="en-ZA"/>
        </w:rPr>
        <w:t>Figure 8</w:t>
      </w:r>
      <w:r w:rsidRPr="008F4C8E">
        <w:rPr>
          <w:rFonts w:ascii="Times New Roman" w:hAnsi="Times New Roman" w:cs="Times New Roman"/>
          <w:sz w:val="24"/>
          <w:szCs w:val="24"/>
          <w:lang w:val="en-ZA"/>
        </w:rPr>
        <w:t xml:space="preserve">: </w:t>
      </w:r>
      <w:r w:rsidR="008F4C8E" w:rsidRPr="008F4C8E">
        <w:rPr>
          <w:rFonts w:ascii="Times New Roman" w:hAnsi="Times New Roman" w:cs="Times New Roman"/>
          <w:sz w:val="24"/>
          <w:szCs w:val="24"/>
          <w:lang w:val="en-ZA"/>
        </w:rPr>
        <w:t>Danger Quotient Associated with the Consumption of Contaminated Vegetables</w:t>
      </w:r>
    </w:p>
    <w:p w14:paraId="29FB090D" w14:textId="77777777" w:rsidR="004802D5" w:rsidRPr="008F4C8E" w:rsidRDefault="004802D5" w:rsidP="004802D5">
      <w:pPr>
        <w:spacing w:line="360" w:lineRule="auto"/>
        <w:jc w:val="center"/>
        <w:rPr>
          <w:rFonts w:ascii="Times New Roman" w:hAnsi="Times New Roman" w:cs="Times New Roman"/>
          <w:sz w:val="24"/>
          <w:szCs w:val="24"/>
          <w:lang w:val="en-ZA"/>
        </w:rPr>
      </w:pPr>
    </w:p>
    <w:p w14:paraId="1E970BA5" w14:textId="77777777" w:rsidR="004802D5" w:rsidRPr="00931A33" w:rsidRDefault="00C74920" w:rsidP="00C74920">
      <w:pPr>
        <w:spacing w:line="360" w:lineRule="auto"/>
        <w:rPr>
          <w:rFonts w:ascii="Times New Roman" w:hAnsi="Times New Roman" w:cs="Times New Roman"/>
          <w:sz w:val="24"/>
          <w:szCs w:val="24"/>
        </w:rPr>
      </w:pPr>
      <w:r w:rsidRPr="00931A33">
        <w:rPr>
          <w:rFonts w:ascii="Times New Roman" w:hAnsi="Times New Roman" w:cs="Times New Roman"/>
          <w:b/>
          <w:sz w:val="24"/>
          <w:szCs w:val="24"/>
        </w:rPr>
        <w:t xml:space="preserve">V. </w:t>
      </w:r>
      <w:r w:rsidR="004802D5" w:rsidRPr="00931A33">
        <w:rPr>
          <w:rFonts w:ascii="Times New Roman" w:hAnsi="Times New Roman" w:cs="Times New Roman"/>
          <w:b/>
          <w:sz w:val="24"/>
          <w:szCs w:val="24"/>
        </w:rPr>
        <w:t>DISCUSSION</w:t>
      </w:r>
    </w:p>
    <w:p w14:paraId="05537BC8" w14:textId="3C44C8D3"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363B4">
        <w:rPr>
          <w:rFonts w:ascii="Times New Roman" w:hAnsi="Times New Roman" w:cs="Times New Roman"/>
          <w:color w:val="000000" w:themeColor="text1"/>
          <w:sz w:val="24"/>
          <w:szCs w:val="24"/>
          <w:lang w:val="en-ZA"/>
        </w:rPr>
        <w:t xml:space="preserve">The samples of tomato fruits and lettuce leaves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contain heavy metals with varying concentrations. Among the metals investigated, As, Cd, Cr, and Pb have concentrations significantly higher than the standard set by the Food and Agriculture Organization (FAO) for both varieties of vegetables. Moreover, the average concentrations of the different heavy metals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are higher in lettuce compared to tomatoes. These high concentrations are likely due to the use of organic fertilizers and chemical fertilizers by market gardeners. Additionally, the incineration of heterogeneous waste at the site increases the concentration of bioavailable heavy metals for plants in the soil (Dan-</w:t>
      </w:r>
      <w:proofErr w:type="spellStart"/>
      <w:r w:rsidRPr="008363B4">
        <w:rPr>
          <w:rFonts w:ascii="Times New Roman" w:hAnsi="Times New Roman" w:cs="Times New Roman"/>
          <w:color w:val="000000" w:themeColor="text1"/>
          <w:sz w:val="24"/>
          <w:szCs w:val="24"/>
          <w:lang w:val="en-ZA"/>
        </w:rPr>
        <w:t>badjo</w:t>
      </w:r>
      <w:proofErr w:type="spellEnd"/>
      <w:r w:rsidRPr="008363B4">
        <w:rPr>
          <w:rFonts w:ascii="Times New Roman" w:hAnsi="Times New Roman" w:cs="Times New Roman"/>
          <w:color w:val="000000" w:themeColor="text1"/>
          <w:sz w:val="24"/>
          <w:szCs w:val="24"/>
          <w:lang w:val="en-ZA"/>
        </w:rPr>
        <w:t xml:space="preserve">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2013). The studies by Luc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(2022) reported higher concentrations of Cu, Cr, and Pb in lettuce from the market gardening areas of </w:t>
      </w:r>
      <w:proofErr w:type="spellStart"/>
      <w:r w:rsidRPr="008363B4">
        <w:rPr>
          <w:rFonts w:ascii="Times New Roman" w:hAnsi="Times New Roman" w:cs="Times New Roman"/>
          <w:color w:val="000000" w:themeColor="text1"/>
          <w:sz w:val="24"/>
          <w:szCs w:val="24"/>
          <w:lang w:val="en-ZA"/>
        </w:rPr>
        <w:t>Loumbila</w:t>
      </w:r>
      <w:proofErr w:type="spellEnd"/>
      <w:r w:rsidRPr="008363B4">
        <w:rPr>
          <w:rFonts w:ascii="Times New Roman" w:hAnsi="Times New Roman" w:cs="Times New Roman"/>
          <w:color w:val="000000" w:themeColor="text1"/>
          <w:sz w:val="24"/>
          <w:szCs w:val="24"/>
          <w:lang w:val="en-ZA"/>
        </w:rPr>
        <w:t xml:space="preserve">, Burkina Faso. However, the concentrations of Ni, Zn, and Cd remained lower than those in our study. Abdel-Rahman (2022) also found that lettuce was more prone to accumulate heavy metals compared to tomatoes. Our results align with those of </w:t>
      </w:r>
      <w:proofErr w:type="spellStart"/>
      <w:r w:rsidRPr="008363B4">
        <w:rPr>
          <w:rFonts w:ascii="Times New Roman" w:hAnsi="Times New Roman" w:cs="Times New Roman"/>
          <w:color w:val="000000" w:themeColor="text1"/>
          <w:sz w:val="24"/>
          <w:szCs w:val="24"/>
          <w:lang w:val="en-ZA"/>
        </w:rPr>
        <w:t>Somda</w:t>
      </w:r>
      <w:proofErr w:type="spellEnd"/>
      <w:r w:rsidRPr="008363B4">
        <w:rPr>
          <w:rFonts w:ascii="Times New Roman" w:hAnsi="Times New Roman" w:cs="Times New Roman"/>
          <w:color w:val="000000" w:themeColor="text1"/>
          <w:sz w:val="24"/>
          <w:szCs w:val="24"/>
          <w:lang w:val="en-ZA"/>
        </w:rPr>
        <w:t xml:space="preserve">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(2019) in lettuce </w:t>
      </w:r>
      <w:r w:rsidRPr="008363B4">
        <w:rPr>
          <w:rFonts w:ascii="Times New Roman" w:hAnsi="Times New Roman" w:cs="Times New Roman"/>
          <w:color w:val="000000" w:themeColor="text1"/>
          <w:sz w:val="24"/>
          <w:szCs w:val="24"/>
          <w:lang w:val="en-ZA"/>
        </w:rPr>
        <w:lastRenderedPageBreak/>
        <w:t>grown in market gardening areas of Ouagadougou, with Cd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27 to 2</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93 mg/kg), Cr (7</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28 to 7</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38 mg/kg), Pb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32 to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69 mg/kg), Cu (0</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91 to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70 mg/kg), Ni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74 to 2</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16 mg/kg), and Zn (3</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08 to 3</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79 mg/kg).</w:t>
      </w:r>
    </w:p>
    <w:p w14:paraId="6EC04C98" w14:textId="77777777"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363B4">
        <w:rPr>
          <w:rFonts w:ascii="Times New Roman" w:hAnsi="Times New Roman" w:cs="Times New Roman"/>
          <w:color w:val="000000" w:themeColor="text1"/>
          <w:sz w:val="24"/>
          <w:szCs w:val="24"/>
          <w:lang w:val="en-ZA"/>
        </w:rPr>
        <w:t xml:space="preserve">Both vegetables show a pollution index for As, Cd, and Pb that is significantly higher than 1, indicating that these vegetables have a high accumulation potential for these metals in the industrial zone. Hu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(2017) found that Cd is more easily absorbed by crops.</w:t>
      </w:r>
    </w:p>
    <w:p w14:paraId="7DD50AF9" w14:textId="520C1D29" w:rsidR="008F4C8E" w:rsidRPr="008363B4" w:rsidRDefault="008F4C8E" w:rsidP="008363B4">
      <w:pPr>
        <w:spacing w:before="120" w:after="120" w:line="360" w:lineRule="auto"/>
        <w:jc w:val="both"/>
        <w:rPr>
          <w:rFonts w:ascii="Times New Roman" w:hAnsi="Times New Roman" w:cs="Times New Roman"/>
          <w:sz w:val="24"/>
          <w:szCs w:val="24"/>
          <w:lang w:val="en-ZA"/>
        </w:rPr>
      </w:pPr>
      <w:r w:rsidRPr="008363B4">
        <w:rPr>
          <w:rFonts w:ascii="Times New Roman" w:hAnsi="Times New Roman" w:cs="Times New Roman"/>
          <w:sz w:val="24"/>
          <w:szCs w:val="24"/>
          <w:lang w:val="en-ZA"/>
        </w:rPr>
        <w:t xml:space="preserve">Furthermore, leafy vegetables (lettuce) have a higher absorption factor than fruit vegetables (tomatoes). Thus, through the frequent consumption of these two plants, these toxic metals can be transferred to the human body, disrupting various biological systems. The highest value of the Metallic Pollution Index (MPI) </w:t>
      </w:r>
      <w:proofErr w:type="gramStart"/>
      <w:r w:rsidRPr="008363B4">
        <w:rPr>
          <w:rFonts w:ascii="Times New Roman" w:hAnsi="Times New Roman" w:cs="Times New Roman"/>
          <w:sz w:val="24"/>
          <w:szCs w:val="24"/>
          <w:lang w:val="en-ZA"/>
        </w:rPr>
        <w:t>was obtained</w:t>
      </w:r>
      <w:proofErr w:type="gramEnd"/>
      <w:r w:rsidRPr="008363B4">
        <w:rPr>
          <w:rFonts w:ascii="Times New Roman" w:hAnsi="Times New Roman" w:cs="Times New Roman"/>
          <w:sz w:val="24"/>
          <w:szCs w:val="24"/>
          <w:lang w:val="en-ZA"/>
        </w:rPr>
        <w:t xml:space="preserve"> for lettuce (8</w:t>
      </w:r>
      <w:r w:rsidR="00372FE4">
        <w:rPr>
          <w:rFonts w:ascii="Times New Roman" w:hAnsi="Times New Roman" w:cs="Times New Roman"/>
          <w:sz w:val="24"/>
          <w:szCs w:val="24"/>
          <w:lang w:val="en-ZA"/>
        </w:rPr>
        <w:t>.</w:t>
      </w:r>
      <w:r w:rsidRPr="008363B4">
        <w:rPr>
          <w:rFonts w:ascii="Times New Roman" w:hAnsi="Times New Roman" w:cs="Times New Roman"/>
          <w:sz w:val="24"/>
          <w:szCs w:val="24"/>
          <w:lang w:val="en-ZA"/>
        </w:rPr>
        <w:t>27) compared to tomato (6</w:t>
      </w:r>
      <w:r w:rsidR="00372FE4">
        <w:rPr>
          <w:rFonts w:ascii="Times New Roman" w:hAnsi="Times New Roman" w:cs="Times New Roman"/>
          <w:sz w:val="24"/>
          <w:szCs w:val="24"/>
          <w:lang w:val="en-ZA"/>
        </w:rPr>
        <w:t>.</w:t>
      </w:r>
      <w:r w:rsidRPr="008363B4">
        <w:rPr>
          <w:rFonts w:ascii="Times New Roman" w:hAnsi="Times New Roman" w:cs="Times New Roman"/>
          <w:sz w:val="24"/>
          <w:szCs w:val="24"/>
          <w:lang w:val="en-ZA"/>
        </w:rPr>
        <w:t xml:space="preserve">48). Therefore, leafy vegetables are more polluted than fruit vegetables, which is contrary to the results of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(2022). The high MPI values in vegetables could be due to the absorption of significant amounts of heavy metals available in the soils of the site. Our results align with those of Ahmed and </w:t>
      </w:r>
      <w:proofErr w:type="spellStart"/>
      <w:r w:rsidRPr="008363B4">
        <w:rPr>
          <w:rFonts w:ascii="Times New Roman" w:hAnsi="Times New Roman" w:cs="Times New Roman"/>
          <w:sz w:val="24"/>
          <w:szCs w:val="24"/>
          <w:lang w:val="en-ZA"/>
        </w:rPr>
        <w:t>Goni</w:t>
      </w:r>
      <w:proofErr w:type="spellEnd"/>
      <w:r w:rsidRPr="008363B4">
        <w:rPr>
          <w:rFonts w:ascii="Times New Roman" w:hAnsi="Times New Roman" w:cs="Times New Roman"/>
          <w:sz w:val="24"/>
          <w:szCs w:val="24"/>
          <w:lang w:val="en-ZA"/>
        </w:rPr>
        <w:t xml:space="preserve"> (2010), who also reported that leafy vegetables are more accumulative of heavy metals compared to fruit vegetables. Song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(2015) suggest that the ability of leafy vegetables to transfer metals from the soil to various parts of the plant is higher than that of fruit vegetables. Thus, prolonged exposure to As, Pb, and Cd through regular consumption of vegetables from the cultivation area represents a potential health risk for the population (Song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2015).</w:t>
      </w:r>
    </w:p>
    <w:p w14:paraId="7112DB94" w14:textId="77777777" w:rsidR="008F4C8E" w:rsidRPr="008363B4" w:rsidRDefault="008F4C8E" w:rsidP="008363B4">
      <w:pPr>
        <w:spacing w:before="120" w:after="120" w:line="360" w:lineRule="auto"/>
        <w:jc w:val="both"/>
        <w:rPr>
          <w:rFonts w:ascii="Times New Roman" w:hAnsi="Times New Roman" w:cs="Times New Roman"/>
          <w:sz w:val="24"/>
          <w:szCs w:val="24"/>
          <w:lang w:val="en-ZA"/>
        </w:rPr>
      </w:pPr>
      <w:r w:rsidRPr="008363B4">
        <w:rPr>
          <w:rFonts w:ascii="Times New Roman" w:hAnsi="Times New Roman" w:cs="Times New Roman"/>
          <w:sz w:val="24"/>
          <w:szCs w:val="24"/>
          <w:lang w:val="en-ZA"/>
        </w:rPr>
        <w:t xml:space="preserve">Regardless of the heavy metal, the Estimated Daily Intake (EDI) for children is always higher than that for adults.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(2013) also reported values within the acceptable limits for EDI for Cu, Zn, Cr, Ni, and Pb in vegetables collected from agricultural lands in the </w:t>
      </w:r>
      <w:proofErr w:type="spellStart"/>
      <w:r w:rsidRPr="008363B4">
        <w:rPr>
          <w:rFonts w:ascii="Times New Roman" w:hAnsi="Times New Roman" w:cs="Times New Roman"/>
          <w:sz w:val="24"/>
          <w:szCs w:val="24"/>
          <w:lang w:val="en-ZA"/>
        </w:rPr>
        <w:t>Ruppur</w:t>
      </w:r>
      <w:proofErr w:type="spellEnd"/>
      <w:r w:rsidRPr="008363B4">
        <w:rPr>
          <w:rFonts w:ascii="Times New Roman" w:hAnsi="Times New Roman" w:cs="Times New Roman"/>
          <w:sz w:val="24"/>
          <w:szCs w:val="24"/>
          <w:lang w:val="en-ZA"/>
        </w:rPr>
        <w:t xml:space="preserve"> region of Bangladesh, except for Cd, whose value was concerning. The EDI values for adults and children are comparable to those found by </w:t>
      </w:r>
      <w:proofErr w:type="spellStart"/>
      <w:r w:rsidRPr="008363B4">
        <w:rPr>
          <w:rFonts w:ascii="Times New Roman" w:hAnsi="Times New Roman" w:cs="Times New Roman"/>
          <w:sz w:val="24"/>
          <w:szCs w:val="24"/>
          <w:lang w:val="en-ZA"/>
        </w:rPr>
        <w:t>Onyele</w:t>
      </w:r>
      <w:proofErr w:type="spellEnd"/>
      <w:r w:rsidRPr="008363B4">
        <w:rPr>
          <w:rFonts w:ascii="Times New Roman" w:hAnsi="Times New Roman" w:cs="Times New Roman"/>
          <w:sz w:val="24"/>
          <w:szCs w:val="24"/>
          <w:lang w:val="en-ZA"/>
        </w:rPr>
        <w:t xml:space="preserve"> and </w:t>
      </w:r>
      <w:proofErr w:type="spellStart"/>
      <w:r w:rsidRPr="008363B4">
        <w:rPr>
          <w:rFonts w:ascii="Times New Roman" w:hAnsi="Times New Roman" w:cs="Times New Roman"/>
          <w:sz w:val="24"/>
          <w:szCs w:val="24"/>
          <w:lang w:val="en-ZA"/>
        </w:rPr>
        <w:t>Anyanwu</w:t>
      </w:r>
      <w:proofErr w:type="spellEnd"/>
      <w:r w:rsidRPr="008363B4">
        <w:rPr>
          <w:rFonts w:ascii="Times New Roman" w:hAnsi="Times New Roman" w:cs="Times New Roman"/>
          <w:sz w:val="24"/>
          <w:szCs w:val="24"/>
          <w:lang w:val="en-ZA"/>
        </w:rPr>
        <w:t xml:space="preserve"> (2018). The value of the Health Risk Index (HRI) associated with heavy metals (As, Cd, Cr, Cu, Ni, Pb, Zn) through the consumption of vegetables (lettuce and tomato) collected from the cultivation area showed values above 1 for As, Cd, Ni, and Pb, indicating that these vegetables are unfit for consumption (</w:t>
      </w:r>
      <w:proofErr w:type="spellStart"/>
      <w:r w:rsidRPr="008363B4">
        <w:rPr>
          <w:rFonts w:ascii="Times New Roman" w:hAnsi="Times New Roman" w:cs="Times New Roman"/>
          <w:sz w:val="24"/>
          <w:szCs w:val="24"/>
          <w:lang w:val="en-ZA"/>
        </w:rPr>
        <w:t>Akter</w:t>
      </w:r>
      <w:proofErr w:type="spellEnd"/>
      <w:r w:rsidRPr="008363B4">
        <w:rPr>
          <w:rFonts w:ascii="Times New Roman" w:hAnsi="Times New Roman" w:cs="Times New Roman"/>
          <w:sz w:val="24"/>
          <w:szCs w:val="24"/>
          <w:lang w:val="en-ZA"/>
        </w:rPr>
        <w:t xml:space="preserve">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2019).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(2019) obtained contrary results in the </w:t>
      </w:r>
      <w:proofErr w:type="spellStart"/>
      <w:r w:rsidRPr="008363B4">
        <w:rPr>
          <w:rFonts w:ascii="Times New Roman" w:hAnsi="Times New Roman" w:cs="Times New Roman"/>
          <w:sz w:val="24"/>
          <w:szCs w:val="24"/>
          <w:lang w:val="en-ZA"/>
        </w:rPr>
        <w:t>Kalurghat</w:t>
      </w:r>
      <w:proofErr w:type="spellEnd"/>
      <w:r w:rsidRPr="008363B4">
        <w:rPr>
          <w:rFonts w:ascii="Times New Roman" w:hAnsi="Times New Roman" w:cs="Times New Roman"/>
          <w:sz w:val="24"/>
          <w:szCs w:val="24"/>
          <w:lang w:val="en-ZA"/>
        </w:rPr>
        <w:t xml:space="preserve"> industrial area (Bangladesh), where the HRI values were below 1 for vegetables collected. However, values for HRI for As and Pb above 1 were also found by </w:t>
      </w:r>
      <w:proofErr w:type="spellStart"/>
      <w:r w:rsidRPr="008363B4">
        <w:rPr>
          <w:rFonts w:ascii="Times New Roman" w:hAnsi="Times New Roman" w:cs="Times New Roman"/>
          <w:sz w:val="24"/>
          <w:szCs w:val="24"/>
          <w:lang w:val="en-ZA"/>
        </w:rPr>
        <w:t>Akter</w:t>
      </w:r>
      <w:proofErr w:type="spellEnd"/>
      <w:r w:rsidRPr="008363B4">
        <w:rPr>
          <w:rFonts w:ascii="Times New Roman" w:hAnsi="Times New Roman" w:cs="Times New Roman"/>
          <w:sz w:val="24"/>
          <w:szCs w:val="24"/>
          <w:lang w:val="en-ZA"/>
        </w:rPr>
        <w:t xml:space="preserve">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(2019), indicating a health risk due to their toxicity and high content in vegetable varieties. Indeed, As and Pb are associated with cancer risks, so it is important to establish a health monitoring system for prolonged ingestion of the various metals that present a health risk.</w:t>
      </w:r>
    </w:p>
    <w:p w14:paraId="28CB243A" w14:textId="77777777"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p>
    <w:p w14:paraId="486E51B5" w14:textId="14399852" w:rsidR="00A26FA6" w:rsidRPr="008363B4" w:rsidRDefault="00A26FA6" w:rsidP="008363B4">
      <w:pPr>
        <w:spacing w:before="120" w:after="120" w:line="360" w:lineRule="auto"/>
        <w:jc w:val="both"/>
        <w:rPr>
          <w:rFonts w:ascii="Times New Roman" w:hAnsi="Times New Roman" w:cs="Times New Roman"/>
          <w:color w:val="000000" w:themeColor="text1"/>
          <w:sz w:val="24"/>
          <w:szCs w:val="24"/>
        </w:rPr>
      </w:pPr>
    </w:p>
    <w:p w14:paraId="28E9B14B" w14:textId="4095F41F" w:rsidR="004802D5" w:rsidRPr="008363B4" w:rsidRDefault="008F4C8E" w:rsidP="008363B4">
      <w:pPr>
        <w:spacing w:before="120" w:after="120" w:line="360" w:lineRule="auto"/>
        <w:jc w:val="both"/>
        <w:rPr>
          <w:rFonts w:ascii="Times New Roman" w:eastAsia="Calibri" w:hAnsi="Times New Roman" w:cs="Times New Roman"/>
          <w:b/>
          <w:bCs/>
          <w:color w:val="FF0000"/>
          <w:sz w:val="24"/>
          <w:szCs w:val="24"/>
        </w:rPr>
      </w:pPr>
      <w:r w:rsidRPr="008363B4">
        <w:rPr>
          <w:rFonts w:ascii="Times New Roman" w:hAnsi="Times New Roman" w:cs="Times New Roman"/>
          <w:color w:val="000000" w:themeColor="text1"/>
          <w:sz w:val="24"/>
          <w:szCs w:val="24"/>
          <w:lang w:val="en-ZA"/>
        </w:rPr>
        <w:t>Regardless of the vegetable, the Hazard Index (HI) value was higher in children than in adults. In the assessment of health risks, the cumulative effect of heavy metals indicated by the Hazard Index is concerning (</w:t>
      </w:r>
      <w:proofErr w:type="spellStart"/>
      <w:r w:rsidRPr="008363B4">
        <w:rPr>
          <w:rFonts w:ascii="Times New Roman" w:hAnsi="Times New Roman" w:cs="Times New Roman"/>
          <w:color w:val="000000" w:themeColor="text1"/>
          <w:sz w:val="24"/>
          <w:szCs w:val="24"/>
          <w:lang w:val="en-ZA"/>
        </w:rPr>
        <w:t>Onyele</w:t>
      </w:r>
      <w:proofErr w:type="spellEnd"/>
      <w:r w:rsidRPr="008363B4">
        <w:rPr>
          <w:rFonts w:ascii="Times New Roman" w:hAnsi="Times New Roman" w:cs="Times New Roman"/>
          <w:color w:val="000000" w:themeColor="text1"/>
          <w:sz w:val="24"/>
          <w:szCs w:val="24"/>
          <w:lang w:val="en-ZA"/>
        </w:rPr>
        <w:t xml:space="preserve"> and </w:t>
      </w:r>
      <w:proofErr w:type="spellStart"/>
      <w:r w:rsidRPr="008363B4">
        <w:rPr>
          <w:rFonts w:ascii="Times New Roman" w:hAnsi="Times New Roman" w:cs="Times New Roman"/>
          <w:color w:val="000000" w:themeColor="text1"/>
          <w:sz w:val="24"/>
          <w:szCs w:val="24"/>
          <w:lang w:val="en-ZA"/>
        </w:rPr>
        <w:t>Anyanwu</w:t>
      </w:r>
      <w:proofErr w:type="spellEnd"/>
      <w:r w:rsidRPr="008363B4">
        <w:rPr>
          <w:rFonts w:ascii="Times New Roman" w:hAnsi="Times New Roman" w:cs="Times New Roman"/>
          <w:color w:val="000000" w:themeColor="text1"/>
          <w:sz w:val="24"/>
          <w:szCs w:val="24"/>
          <w:lang w:val="en-ZA"/>
        </w:rPr>
        <w:t xml:space="preserve">, 2018). Moreover, this concern applies to both adults and children consuming vegetables with HI values above 1. This indicates that the populations in the study area are exposed to a significant non-carcinogenic potential risk caused by heavy metals. Contrary to our various HI values, Hu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(2017) and Gon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(2022) found HI values below 1. </w:t>
      </w:r>
      <w:proofErr w:type="spellStart"/>
      <w:r w:rsidRPr="008363B4">
        <w:rPr>
          <w:rFonts w:ascii="Times New Roman" w:hAnsi="Times New Roman" w:cs="Times New Roman"/>
          <w:color w:val="000000" w:themeColor="text1"/>
          <w:sz w:val="24"/>
          <w:szCs w:val="24"/>
          <w:lang w:val="en-ZA"/>
        </w:rPr>
        <w:t>Fosu</w:t>
      </w:r>
      <w:proofErr w:type="spellEnd"/>
      <w:r w:rsidRPr="008363B4">
        <w:rPr>
          <w:rFonts w:ascii="Times New Roman" w:hAnsi="Times New Roman" w:cs="Times New Roman"/>
          <w:color w:val="000000" w:themeColor="text1"/>
          <w:sz w:val="24"/>
          <w:szCs w:val="24"/>
          <w:lang w:val="en-ZA"/>
        </w:rPr>
        <w:t xml:space="preserve"> </w:t>
      </w:r>
      <w:r w:rsidRPr="007D068F">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(2023) also estimated HI values below 1 for all metals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in their study of urban soils in the </w:t>
      </w:r>
      <w:proofErr w:type="spellStart"/>
      <w:r w:rsidRPr="008363B4">
        <w:rPr>
          <w:rFonts w:ascii="Times New Roman" w:hAnsi="Times New Roman" w:cs="Times New Roman"/>
          <w:color w:val="000000" w:themeColor="text1"/>
          <w:sz w:val="24"/>
          <w:szCs w:val="24"/>
          <w:lang w:val="en-ZA"/>
        </w:rPr>
        <w:t>A'koon</w:t>
      </w:r>
      <w:proofErr w:type="spellEnd"/>
      <w:r w:rsidRPr="008363B4">
        <w:rPr>
          <w:rFonts w:ascii="Times New Roman" w:hAnsi="Times New Roman" w:cs="Times New Roman"/>
          <w:color w:val="000000" w:themeColor="text1"/>
          <w:sz w:val="24"/>
          <w:szCs w:val="24"/>
          <w:lang w:val="en-ZA"/>
        </w:rPr>
        <w:t xml:space="preserve"> and </w:t>
      </w:r>
      <w:proofErr w:type="spellStart"/>
      <w:r w:rsidRPr="008363B4">
        <w:rPr>
          <w:rFonts w:ascii="Times New Roman" w:hAnsi="Times New Roman" w:cs="Times New Roman"/>
          <w:color w:val="000000" w:themeColor="text1"/>
          <w:sz w:val="24"/>
          <w:szCs w:val="24"/>
          <w:lang w:val="en-ZA"/>
        </w:rPr>
        <w:t>Brahabobom</w:t>
      </w:r>
      <w:proofErr w:type="spellEnd"/>
      <w:r w:rsidRPr="008363B4">
        <w:rPr>
          <w:rFonts w:ascii="Times New Roman" w:hAnsi="Times New Roman" w:cs="Times New Roman"/>
          <w:color w:val="000000" w:themeColor="text1"/>
          <w:sz w:val="24"/>
          <w:szCs w:val="24"/>
          <w:lang w:val="en-ZA"/>
        </w:rPr>
        <w:t xml:space="preserve"> communities in Ghana. All the HI values recorded in this study were well above 1. This is in agreement with the results of </w:t>
      </w:r>
      <w:proofErr w:type="spellStart"/>
      <w:r w:rsidRPr="008363B4">
        <w:rPr>
          <w:rFonts w:ascii="Times New Roman" w:hAnsi="Times New Roman" w:cs="Times New Roman"/>
          <w:color w:val="000000" w:themeColor="text1"/>
          <w:sz w:val="24"/>
          <w:szCs w:val="24"/>
          <w:lang w:val="en-ZA"/>
        </w:rPr>
        <w:t>Onyele</w:t>
      </w:r>
      <w:proofErr w:type="spellEnd"/>
      <w:r w:rsidRPr="008363B4">
        <w:rPr>
          <w:rFonts w:ascii="Times New Roman" w:hAnsi="Times New Roman" w:cs="Times New Roman"/>
          <w:color w:val="000000" w:themeColor="text1"/>
          <w:sz w:val="24"/>
          <w:szCs w:val="24"/>
          <w:lang w:val="en-ZA"/>
        </w:rPr>
        <w:t xml:space="preserve"> and </w:t>
      </w:r>
      <w:proofErr w:type="spellStart"/>
      <w:r w:rsidRPr="008363B4">
        <w:rPr>
          <w:rFonts w:ascii="Times New Roman" w:hAnsi="Times New Roman" w:cs="Times New Roman"/>
          <w:color w:val="000000" w:themeColor="text1"/>
          <w:sz w:val="24"/>
          <w:szCs w:val="24"/>
          <w:lang w:val="en-ZA"/>
        </w:rPr>
        <w:t>Anyanwu</w:t>
      </w:r>
      <w:proofErr w:type="spellEnd"/>
      <w:r w:rsidRPr="008363B4">
        <w:rPr>
          <w:rFonts w:ascii="Times New Roman" w:hAnsi="Times New Roman" w:cs="Times New Roman"/>
          <w:color w:val="000000" w:themeColor="text1"/>
          <w:sz w:val="24"/>
          <w:szCs w:val="24"/>
          <w:lang w:val="en-ZA"/>
        </w:rPr>
        <w:t xml:space="preserve"> (2018), Jolly </w:t>
      </w:r>
      <w:r w:rsidRPr="007D068F">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w:t>
      </w:r>
      <w:r w:rsidRPr="008363B4">
        <w:rPr>
          <w:rFonts w:ascii="Times New Roman" w:hAnsi="Times New Roman" w:cs="Times New Roman"/>
          <w:color w:val="000000" w:themeColor="text1"/>
          <w:sz w:val="24"/>
          <w:szCs w:val="24"/>
        </w:rPr>
        <w:t xml:space="preserve">(2019) and </w:t>
      </w:r>
      <w:proofErr w:type="spellStart"/>
      <w:r w:rsidRPr="008363B4">
        <w:rPr>
          <w:rFonts w:ascii="Times New Roman" w:hAnsi="Times New Roman" w:cs="Times New Roman"/>
          <w:color w:val="000000" w:themeColor="text1"/>
          <w:sz w:val="24"/>
          <w:szCs w:val="24"/>
        </w:rPr>
        <w:t>Akter</w:t>
      </w:r>
      <w:proofErr w:type="spellEnd"/>
      <w:r w:rsidRPr="008363B4">
        <w:rPr>
          <w:rFonts w:ascii="Times New Roman" w:hAnsi="Times New Roman" w:cs="Times New Roman"/>
          <w:color w:val="000000" w:themeColor="text1"/>
          <w:sz w:val="24"/>
          <w:szCs w:val="24"/>
        </w:rPr>
        <w:t xml:space="preserve"> </w:t>
      </w:r>
      <w:r w:rsidRPr="007D068F">
        <w:rPr>
          <w:rFonts w:ascii="Times New Roman" w:hAnsi="Times New Roman" w:cs="Times New Roman"/>
          <w:i/>
          <w:iCs/>
          <w:color w:val="000000" w:themeColor="text1"/>
          <w:sz w:val="24"/>
          <w:szCs w:val="24"/>
        </w:rPr>
        <w:t>et al</w:t>
      </w:r>
      <w:r w:rsidRPr="008363B4">
        <w:rPr>
          <w:rFonts w:ascii="Times New Roman" w:hAnsi="Times New Roman" w:cs="Times New Roman"/>
          <w:color w:val="000000" w:themeColor="text1"/>
          <w:sz w:val="24"/>
          <w:szCs w:val="24"/>
        </w:rPr>
        <w:t>. (2019)</w:t>
      </w:r>
      <w:r w:rsidR="008363B4" w:rsidRPr="008363B4">
        <w:rPr>
          <w:rFonts w:ascii="Times New Roman" w:hAnsi="Times New Roman" w:cs="Times New Roman"/>
          <w:color w:val="000000" w:themeColor="text1"/>
          <w:sz w:val="24"/>
          <w:szCs w:val="24"/>
        </w:rPr>
        <w:t>.</w:t>
      </w:r>
    </w:p>
    <w:p w14:paraId="284365F6" w14:textId="77777777" w:rsidR="004802D5" w:rsidRPr="00931A33" w:rsidRDefault="004802D5" w:rsidP="004802D5">
      <w:pPr>
        <w:rPr>
          <w:rFonts w:ascii="Times New Roman" w:hAnsi="Times New Roman" w:cs="Times New Roman"/>
          <w:sz w:val="24"/>
          <w:szCs w:val="24"/>
        </w:rPr>
      </w:pPr>
    </w:p>
    <w:p w14:paraId="3CAB4E6E" w14:textId="77777777" w:rsidR="004802D5" w:rsidRPr="00931A33" w:rsidRDefault="004802D5" w:rsidP="004802D5">
      <w:pPr>
        <w:pStyle w:val="Titre3"/>
        <w:rPr>
          <w:rFonts w:ascii="Times New Roman" w:hAnsi="Times New Roman" w:cs="Times New Roman"/>
          <w:b/>
          <w:color w:val="auto"/>
        </w:rPr>
      </w:pPr>
      <w:r w:rsidRPr="00931A33">
        <w:rPr>
          <w:rFonts w:ascii="Times New Roman" w:hAnsi="Times New Roman" w:cs="Times New Roman"/>
          <w:b/>
          <w:color w:val="auto"/>
        </w:rPr>
        <w:t xml:space="preserve">Conclusion </w:t>
      </w:r>
    </w:p>
    <w:p w14:paraId="4E870ED1" w14:textId="77777777" w:rsidR="008F4C8E" w:rsidRPr="008F4C8E" w:rsidRDefault="008F4C8E" w:rsidP="008363B4">
      <w:pPr>
        <w:spacing w:before="120" w:after="120" w:line="360" w:lineRule="auto"/>
        <w:jc w:val="both"/>
        <w:rPr>
          <w:rFonts w:ascii="Times New Roman" w:eastAsiaTheme="majorEastAsia" w:hAnsi="Times New Roman" w:cs="Times New Roman"/>
          <w:sz w:val="24"/>
          <w:szCs w:val="24"/>
          <w:lang w:val="en-ZA"/>
        </w:rPr>
      </w:pPr>
      <w:r w:rsidRPr="008F4C8E">
        <w:rPr>
          <w:rFonts w:ascii="Times New Roman" w:eastAsiaTheme="majorEastAsia" w:hAnsi="Times New Roman" w:cs="Times New Roman"/>
          <w:sz w:val="24"/>
          <w:szCs w:val="24"/>
          <w:lang w:val="en-ZA"/>
        </w:rPr>
        <w:t>This study aimed to assess the levels of heavy metal accumulation in lettuce leaves and tomato fruits produced in the market gardening area of the industrial zone of Bobo-</w:t>
      </w:r>
      <w:proofErr w:type="spellStart"/>
      <w:r w:rsidRPr="008F4C8E">
        <w:rPr>
          <w:rFonts w:ascii="Times New Roman" w:eastAsiaTheme="majorEastAsia" w:hAnsi="Times New Roman" w:cs="Times New Roman"/>
          <w:sz w:val="24"/>
          <w:szCs w:val="24"/>
          <w:lang w:val="en-ZA"/>
        </w:rPr>
        <w:t>Dioulasso</w:t>
      </w:r>
      <w:proofErr w:type="spellEnd"/>
      <w:r w:rsidRPr="008F4C8E">
        <w:rPr>
          <w:rFonts w:ascii="Times New Roman" w:eastAsiaTheme="majorEastAsia" w:hAnsi="Times New Roman" w:cs="Times New Roman"/>
          <w:sz w:val="24"/>
          <w:szCs w:val="24"/>
          <w:lang w:val="en-ZA"/>
        </w:rPr>
        <w:t>. It also evaluated the health risks related to the consumption of these vegetables by consumer groups, namely children and adults. Four indicators were used to assess these health risks: the crop pollution index (CPI), the metallic pollution index (MPI), the health risk index (HRI), and the hazard index (HI). Heavy metals were found in various plant organs (lettuce leaves and tomato fruits) with concentrations often exceeding the accepted toxicity threshold levels. The concentrations were higher in lettuce leaves than in tomato fruits. The concentrations of Zn were the highest among the different vegetables. Conversely, Cd had the lowest concentrations regardless of the plant species. The average concentrations recorded in the vegetables were in the following order: Zn &gt; Ni &gt; Cu &gt; Pb &gt; Cr &gt; Cd &gt; As.</w:t>
      </w:r>
    </w:p>
    <w:p w14:paraId="1E45351A" w14:textId="61760BC7" w:rsidR="000A50EF"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F4C8E">
        <w:rPr>
          <w:rFonts w:ascii="Times New Roman" w:eastAsiaTheme="majorEastAsia" w:hAnsi="Times New Roman" w:cs="Times New Roman"/>
          <w:sz w:val="24"/>
          <w:szCs w:val="24"/>
          <w:lang w:val="en-ZA"/>
        </w:rPr>
        <w:t xml:space="preserve">Heavy metals such as </w:t>
      </w:r>
      <w:proofErr w:type="spellStart"/>
      <w:r w:rsidRPr="008F4C8E">
        <w:rPr>
          <w:rFonts w:ascii="Times New Roman" w:eastAsiaTheme="majorEastAsia" w:hAnsi="Times New Roman" w:cs="Times New Roman"/>
          <w:sz w:val="24"/>
          <w:szCs w:val="24"/>
          <w:lang w:val="en-ZA"/>
        </w:rPr>
        <w:t>As</w:t>
      </w:r>
      <w:proofErr w:type="spellEnd"/>
      <w:r w:rsidRPr="008F4C8E">
        <w:rPr>
          <w:rFonts w:ascii="Times New Roman" w:eastAsiaTheme="majorEastAsia" w:hAnsi="Times New Roman" w:cs="Times New Roman"/>
          <w:sz w:val="24"/>
          <w:szCs w:val="24"/>
          <w:lang w:val="en-ZA"/>
        </w:rPr>
        <w:t xml:space="preserve">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52 and 0</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78 mg/kg), Cd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80 and 0</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97 mg/kg), Cr (2</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64 and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48 mg/kg), and Pb (5</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44 and 5</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 xml:space="preserve">69 mg/kg) showed average concentrations exceeding the accepted toxicity threshold levels according to FAO (2019). However, other metallic elements such as Cu, Ni, and Zn had concentrations below this toxicity limit. The results showed that, regardless of the vegetable, the pollution index for Cu, Ni, and Zn is below 1, while that for As, Cd, and Pb is significantly higher than 1. The average value of the CPI for Cr was slightly above 1 in lettuce leaves, in contrast to tomato fruits. The results also showed that the HRI for As, Cd, Ni, </w:t>
      </w:r>
      <w:r w:rsidRPr="008F4C8E">
        <w:rPr>
          <w:rFonts w:ascii="Times New Roman" w:eastAsiaTheme="majorEastAsia" w:hAnsi="Times New Roman" w:cs="Times New Roman"/>
          <w:sz w:val="24"/>
          <w:szCs w:val="24"/>
          <w:lang w:val="en-ZA"/>
        </w:rPr>
        <w:lastRenderedPageBreak/>
        <w:t>and Pb is above 1 and below 1 for Cr, Cu, and Zn, regardless of the vegetable. For all heavy metals and</w:t>
      </w:r>
      <w:r w:rsidR="007D068F">
        <w:rPr>
          <w:rFonts w:ascii="Times New Roman" w:eastAsiaTheme="majorEastAsia" w:hAnsi="Times New Roman" w:cs="Times New Roman"/>
          <w:sz w:val="24"/>
          <w:szCs w:val="24"/>
          <w:lang w:val="en-ZA"/>
        </w:rPr>
        <w:t xml:space="preserve"> </w:t>
      </w:r>
      <w:r w:rsidRPr="008F4C8E">
        <w:rPr>
          <w:rFonts w:ascii="Times New Roman" w:hAnsi="Times New Roman" w:cs="Times New Roman"/>
          <w:color w:val="000000" w:themeColor="text1"/>
          <w:sz w:val="24"/>
          <w:szCs w:val="24"/>
          <w:lang w:val="en-ZA"/>
        </w:rPr>
        <w:t>regardless of the vegetable, the HRI for children was higher than for adults, indicating a higher health risk associated with the consumption of these two vegetables in children compared to adults. This led to a higher value of the hazard index (HI) in children than in adults. Moreover, this hazard index recorded for both adults and children in both vegetables was greater than 1, indicating a high probability of adverse health effects linked to the consumption of these vegetables</w:t>
      </w:r>
      <w:r w:rsidR="000A50EF" w:rsidRPr="008F4C8E">
        <w:rPr>
          <w:rFonts w:ascii="Times New Roman" w:hAnsi="Times New Roman" w:cs="Times New Roman"/>
          <w:color w:val="000000" w:themeColor="text1"/>
          <w:sz w:val="24"/>
          <w:szCs w:val="24"/>
          <w:lang w:val="en-ZA"/>
        </w:rPr>
        <w:t xml:space="preserve">. </w:t>
      </w:r>
    </w:p>
    <w:p w14:paraId="5BD2EE08" w14:textId="77777777" w:rsidR="00372FE4" w:rsidRDefault="00372FE4" w:rsidP="005E07EE">
      <w:pPr>
        <w:pStyle w:val="Sansinterligne"/>
        <w:rPr>
          <w:rFonts w:ascii="Arial" w:hAnsi="Arial" w:cs="Arial"/>
        </w:rPr>
      </w:pPr>
      <w:bookmarkStart w:id="18" w:name="_Hlk198031404"/>
    </w:p>
    <w:p w14:paraId="2FFC281F" w14:textId="67BD14C6" w:rsidR="005E07EE" w:rsidRPr="00372FE4" w:rsidRDefault="005E07EE" w:rsidP="005E07EE">
      <w:pPr>
        <w:pStyle w:val="Sansinterligne"/>
        <w:rPr>
          <w:rFonts w:ascii="Times New Roman" w:hAnsi="Times New Roman" w:cs="Times New Roman"/>
          <w:b/>
          <w:sz w:val="24"/>
          <w:szCs w:val="24"/>
        </w:rPr>
      </w:pPr>
      <w:r w:rsidRPr="00372FE4">
        <w:rPr>
          <w:rFonts w:ascii="Times New Roman" w:hAnsi="Times New Roman" w:cs="Times New Roman"/>
          <w:b/>
          <w:sz w:val="24"/>
          <w:szCs w:val="24"/>
        </w:rPr>
        <w:t>Disclaimer (Artificial intelligence)</w:t>
      </w:r>
    </w:p>
    <w:p w14:paraId="779BE9CD" w14:textId="77777777" w:rsidR="005E07EE" w:rsidRPr="00372FE4" w:rsidRDefault="005E07EE" w:rsidP="005E07EE">
      <w:pPr>
        <w:pStyle w:val="Sansinterligne"/>
        <w:rPr>
          <w:rFonts w:ascii="Times New Roman" w:hAnsi="Times New Roman" w:cs="Times New Roman"/>
          <w:sz w:val="24"/>
          <w:szCs w:val="24"/>
        </w:rPr>
      </w:pPr>
    </w:p>
    <w:p w14:paraId="01F8776A" w14:textId="4C0A5DD7" w:rsidR="00372FE4" w:rsidRPr="00372FE4" w:rsidRDefault="005E07EE" w:rsidP="005E07EE">
      <w:pPr>
        <w:pStyle w:val="Sansinterligne"/>
        <w:rPr>
          <w:rFonts w:ascii="Times New Roman" w:hAnsi="Times New Roman" w:cs="Times New Roman"/>
          <w:sz w:val="24"/>
          <w:szCs w:val="24"/>
        </w:rPr>
      </w:pPr>
      <w:r w:rsidRPr="00372FE4">
        <w:rPr>
          <w:rFonts w:ascii="Times New Roman" w:hAnsi="Times New Roman" w:cs="Times New Roman"/>
          <w:sz w:val="24"/>
          <w:szCs w:val="24"/>
        </w:rPr>
        <w:t>Author(s) hereby declare that NO generative AI technologies such as Large Language Models (</w:t>
      </w:r>
      <w:proofErr w:type="spellStart"/>
      <w:r w:rsidRPr="00372FE4">
        <w:rPr>
          <w:rFonts w:ascii="Times New Roman" w:hAnsi="Times New Roman" w:cs="Times New Roman"/>
          <w:sz w:val="24"/>
          <w:szCs w:val="24"/>
        </w:rPr>
        <w:t>ChatGPT</w:t>
      </w:r>
      <w:proofErr w:type="spellEnd"/>
      <w:r w:rsidRPr="00372FE4">
        <w:rPr>
          <w:rFonts w:ascii="Times New Roman" w:hAnsi="Times New Roman" w:cs="Times New Roman"/>
          <w:sz w:val="24"/>
          <w:szCs w:val="24"/>
        </w:rPr>
        <w:t xml:space="preserve">, COPILOT, etc.) and text-to-image generators </w:t>
      </w:r>
      <w:proofErr w:type="gramStart"/>
      <w:r w:rsidRPr="00372FE4">
        <w:rPr>
          <w:rFonts w:ascii="Times New Roman" w:hAnsi="Times New Roman" w:cs="Times New Roman"/>
          <w:sz w:val="24"/>
          <w:szCs w:val="24"/>
        </w:rPr>
        <w:t>have been used</w:t>
      </w:r>
      <w:proofErr w:type="gramEnd"/>
      <w:r w:rsidRPr="00372FE4">
        <w:rPr>
          <w:rFonts w:ascii="Times New Roman" w:hAnsi="Times New Roman" w:cs="Times New Roman"/>
          <w:sz w:val="24"/>
          <w:szCs w:val="24"/>
        </w:rPr>
        <w:t xml:space="preserve"> during the writing or editing of thi</w:t>
      </w:r>
      <w:bookmarkStart w:id="19" w:name="_GoBack"/>
      <w:bookmarkEnd w:id="19"/>
      <w:r w:rsidRPr="00372FE4">
        <w:rPr>
          <w:rFonts w:ascii="Times New Roman" w:hAnsi="Times New Roman" w:cs="Times New Roman"/>
          <w:sz w:val="24"/>
          <w:szCs w:val="24"/>
        </w:rPr>
        <w:t xml:space="preserve">s manuscript. </w:t>
      </w:r>
      <w:bookmarkEnd w:id="18"/>
    </w:p>
    <w:p w14:paraId="5B7A98AB" w14:textId="44BED34D" w:rsidR="008363B4" w:rsidRDefault="008363B4">
      <w:pPr>
        <w:rPr>
          <w:rFonts w:ascii="Times New Roman" w:hAnsi="Times New Roman" w:cs="Times New Roman"/>
          <w:sz w:val="24"/>
          <w:szCs w:val="24"/>
          <w:lang w:val="en-ZA"/>
        </w:rPr>
      </w:pPr>
    </w:p>
    <w:p w14:paraId="58E21049" w14:textId="506310F4" w:rsidR="00757DA9" w:rsidRPr="00492302" w:rsidRDefault="00A80301">
      <w:pPr>
        <w:rPr>
          <w:rFonts w:ascii="Times New Roman" w:hAnsi="Times New Roman" w:cs="Times New Roman"/>
          <w:b/>
          <w:sz w:val="24"/>
          <w:szCs w:val="24"/>
          <w:lang w:val="en-ZA"/>
        </w:rPr>
      </w:pPr>
      <w:proofErr w:type="spellStart"/>
      <w:r w:rsidRPr="00A80301">
        <w:rPr>
          <w:rFonts w:ascii="Times New Roman" w:hAnsi="Times New Roman" w:cs="Times New Roman"/>
          <w:b/>
          <w:sz w:val="24"/>
          <w:szCs w:val="24"/>
        </w:rPr>
        <w:t>References</w:t>
      </w:r>
      <w:proofErr w:type="spellEnd"/>
      <w:r w:rsidR="00757DA9" w:rsidRPr="00492302">
        <w:rPr>
          <w:rFonts w:ascii="Times New Roman" w:hAnsi="Times New Roman" w:cs="Times New Roman"/>
          <w:b/>
          <w:sz w:val="24"/>
          <w:szCs w:val="24"/>
          <w:lang w:val="en-ZA"/>
        </w:rPr>
        <w:t xml:space="preserve"> </w:t>
      </w:r>
    </w:p>
    <w:p w14:paraId="1DB487E7"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Ahmad, J. U., &amp; </w:t>
      </w:r>
      <w:proofErr w:type="spellStart"/>
      <w:r w:rsidRPr="002F5B39">
        <w:rPr>
          <w:rFonts w:ascii="Times New Roman" w:hAnsi="Times New Roman" w:cs="Times New Roman"/>
          <w:b/>
          <w:bCs/>
          <w:sz w:val="24"/>
          <w:szCs w:val="24"/>
          <w:lang w:val="en-ZA"/>
        </w:rPr>
        <w:t>Goni</w:t>
      </w:r>
      <w:proofErr w:type="spellEnd"/>
      <w:r w:rsidRPr="002F5B39">
        <w:rPr>
          <w:rFonts w:ascii="Times New Roman" w:hAnsi="Times New Roman" w:cs="Times New Roman"/>
          <w:b/>
          <w:bCs/>
          <w:sz w:val="24"/>
          <w:szCs w:val="24"/>
          <w:lang w:val="en-ZA"/>
        </w:rPr>
        <w:t>, Md. A. (2010).</w:t>
      </w:r>
      <w:r w:rsidRPr="002F5B39">
        <w:rPr>
          <w:rFonts w:ascii="Times New Roman" w:hAnsi="Times New Roman" w:cs="Times New Roman"/>
          <w:sz w:val="24"/>
          <w:szCs w:val="24"/>
          <w:lang w:val="en-ZA"/>
        </w:rPr>
        <w:t xml:space="preserve"> Heavy metal contamination in water, soil, and vegetables of the industrial areas in Dhaka, Bangladesh. </w:t>
      </w:r>
      <w:r w:rsidRPr="002F5B39">
        <w:rPr>
          <w:rFonts w:ascii="Times New Roman" w:hAnsi="Times New Roman" w:cs="Times New Roman"/>
          <w:i/>
          <w:iCs/>
          <w:sz w:val="24"/>
          <w:szCs w:val="24"/>
          <w:lang w:val="en-ZA"/>
        </w:rPr>
        <w:t>Environmental Monitoring and Assessment</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166</w:t>
      </w:r>
      <w:r w:rsidRPr="002F5B39">
        <w:rPr>
          <w:rFonts w:ascii="Times New Roman" w:hAnsi="Times New Roman" w:cs="Times New Roman"/>
          <w:sz w:val="24"/>
          <w:szCs w:val="24"/>
          <w:lang w:val="en-ZA"/>
        </w:rPr>
        <w:t xml:space="preserve">(1‑4), 347‑357. </w:t>
      </w:r>
      <w:hyperlink r:id="rId21" w:history="1">
        <w:r w:rsidRPr="002F5B39">
          <w:rPr>
            <w:rStyle w:val="Lienhypertexte"/>
            <w:rFonts w:ascii="Times New Roman" w:hAnsi="Times New Roman" w:cs="Times New Roman"/>
            <w:sz w:val="24"/>
            <w:szCs w:val="24"/>
            <w:lang w:val="en-ZA"/>
          </w:rPr>
          <w:t>https://doi.org/10.1007/s10661-009-1006-6</w:t>
        </w:r>
      </w:hyperlink>
    </w:p>
    <w:p w14:paraId="31CE6D41"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Akter</w:t>
      </w:r>
      <w:proofErr w:type="spellEnd"/>
      <w:r w:rsidRPr="002F5B39">
        <w:rPr>
          <w:rFonts w:ascii="Times New Roman" w:hAnsi="Times New Roman" w:cs="Times New Roman"/>
          <w:b/>
          <w:bCs/>
          <w:sz w:val="24"/>
          <w:szCs w:val="24"/>
          <w:lang w:val="en-ZA"/>
        </w:rPr>
        <w:t>, S., Islam, S. M. A., Rahman, M. O., Mamun, K. M., Kabir, M. J., Rahman, M. S., Begum, B. A., Abedin, M. J., Tushar, S. I., &amp; Jolly, Y. N.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Toxic Elements Accumulation in Vegetables from Soil Collected from the Vicinity of a Fertilizer Factory and Possible Health Risk Assessment</w:t>
      </w:r>
      <w:r w:rsidRPr="002F5B39">
        <w:rPr>
          <w:rFonts w:ascii="Times New Roman" w:hAnsi="Times New Roman" w:cs="Times New Roman"/>
          <w:sz w:val="24"/>
          <w:szCs w:val="24"/>
          <w:lang w:val="en-ZA"/>
        </w:rPr>
        <w:t>.</w:t>
      </w:r>
    </w:p>
    <w:p w14:paraId="57422344"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Al-</w:t>
      </w:r>
      <w:proofErr w:type="spellStart"/>
      <w:r w:rsidRPr="002F5B39">
        <w:rPr>
          <w:rFonts w:ascii="Times New Roman" w:hAnsi="Times New Roman" w:cs="Times New Roman"/>
          <w:b/>
          <w:bCs/>
          <w:sz w:val="24"/>
          <w:szCs w:val="24"/>
          <w:lang w:val="en-ZA"/>
        </w:rPr>
        <w:t>Rubaiee</w:t>
      </w:r>
      <w:proofErr w:type="spellEnd"/>
      <w:r w:rsidRPr="002F5B39">
        <w:rPr>
          <w:rFonts w:ascii="Times New Roman" w:hAnsi="Times New Roman" w:cs="Times New Roman"/>
          <w:b/>
          <w:bCs/>
          <w:sz w:val="24"/>
          <w:szCs w:val="24"/>
          <w:lang w:val="en-ZA"/>
        </w:rPr>
        <w:t>, A.-K. H., &amp; Al-</w:t>
      </w:r>
      <w:proofErr w:type="spellStart"/>
      <w:r w:rsidRPr="002F5B39">
        <w:rPr>
          <w:rFonts w:ascii="Times New Roman" w:hAnsi="Times New Roman" w:cs="Times New Roman"/>
          <w:b/>
          <w:bCs/>
          <w:sz w:val="24"/>
          <w:szCs w:val="24"/>
          <w:lang w:val="en-ZA"/>
        </w:rPr>
        <w:t>Owaidi</w:t>
      </w:r>
      <w:proofErr w:type="spellEnd"/>
      <w:r w:rsidRPr="002F5B39">
        <w:rPr>
          <w:rFonts w:ascii="Times New Roman" w:hAnsi="Times New Roman" w:cs="Times New Roman"/>
          <w:b/>
          <w:bCs/>
          <w:sz w:val="24"/>
          <w:szCs w:val="24"/>
          <w:lang w:val="en-ZA"/>
        </w:rPr>
        <w:t>, M. R. A. (2022).</w:t>
      </w:r>
      <w:r w:rsidRPr="002F5B39">
        <w:rPr>
          <w:rFonts w:ascii="Times New Roman" w:hAnsi="Times New Roman" w:cs="Times New Roman"/>
          <w:sz w:val="24"/>
          <w:szCs w:val="24"/>
          <w:lang w:val="en-ZA"/>
        </w:rPr>
        <w:t xml:space="preserve"> Assessment of Heavy Metal Contamination in Urban Soils of selected areas in </w:t>
      </w:r>
      <w:proofErr w:type="spellStart"/>
      <w:r w:rsidRPr="002F5B39">
        <w:rPr>
          <w:rFonts w:ascii="Times New Roman" w:hAnsi="Times New Roman" w:cs="Times New Roman"/>
          <w:sz w:val="24"/>
          <w:szCs w:val="24"/>
          <w:lang w:val="en-ZA"/>
        </w:rPr>
        <w:t>Hilla</w:t>
      </w:r>
      <w:proofErr w:type="spellEnd"/>
      <w:r w:rsidRPr="002F5B39">
        <w:rPr>
          <w:rFonts w:ascii="Times New Roman" w:hAnsi="Times New Roman" w:cs="Times New Roman"/>
          <w:sz w:val="24"/>
          <w:szCs w:val="24"/>
          <w:lang w:val="en-ZA"/>
        </w:rPr>
        <w:t xml:space="preserve"> City, Babylon, Iraq. </w:t>
      </w:r>
      <w:r w:rsidRPr="002F5B39">
        <w:rPr>
          <w:rFonts w:ascii="Times New Roman" w:hAnsi="Times New Roman" w:cs="Times New Roman"/>
          <w:i/>
          <w:iCs/>
          <w:sz w:val="24"/>
          <w:szCs w:val="24"/>
          <w:lang w:val="en-ZA"/>
        </w:rPr>
        <w:t>Iraqi Journal of Science</w:t>
      </w:r>
      <w:r w:rsidRPr="002F5B39">
        <w:rPr>
          <w:rFonts w:ascii="Times New Roman" w:hAnsi="Times New Roman" w:cs="Times New Roman"/>
          <w:sz w:val="24"/>
          <w:szCs w:val="24"/>
          <w:lang w:val="en-ZA"/>
        </w:rPr>
        <w:t xml:space="preserve">, 1627‑1641. </w:t>
      </w:r>
      <w:hyperlink r:id="rId22" w:history="1">
        <w:r w:rsidRPr="002F5B39">
          <w:rPr>
            <w:rStyle w:val="Lienhypertexte"/>
            <w:rFonts w:ascii="Times New Roman" w:hAnsi="Times New Roman" w:cs="Times New Roman"/>
            <w:sz w:val="24"/>
            <w:szCs w:val="24"/>
            <w:lang w:val="en-ZA"/>
          </w:rPr>
          <w:t>https://doi.org/10.24996/ijs.2022.63.4.21</w:t>
        </w:r>
      </w:hyperlink>
    </w:p>
    <w:p w14:paraId="1F4FBA93"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Chauhan, G., &amp; Chauhan, U. K. (2014).</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Human health risk assessment of heavy metals via dietary intake of vegetables grown in waste wat </w:t>
      </w:r>
      <w:proofErr w:type="spellStart"/>
      <w:r w:rsidRPr="002F5B39">
        <w:rPr>
          <w:rFonts w:ascii="Times New Roman" w:hAnsi="Times New Roman" w:cs="Times New Roman"/>
          <w:i/>
          <w:iCs/>
          <w:sz w:val="24"/>
          <w:szCs w:val="24"/>
          <w:lang w:val="en-ZA"/>
        </w:rPr>
        <w:t>er</w:t>
      </w:r>
      <w:proofErr w:type="spellEnd"/>
      <w:r w:rsidRPr="002F5B39">
        <w:rPr>
          <w:rFonts w:ascii="Times New Roman" w:hAnsi="Times New Roman" w:cs="Times New Roman"/>
          <w:i/>
          <w:iCs/>
          <w:sz w:val="24"/>
          <w:szCs w:val="24"/>
          <w:lang w:val="en-ZA"/>
        </w:rPr>
        <w:t xml:space="preserve"> irrigated area of </w:t>
      </w:r>
      <w:proofErr w:type="spellStart"/>
      <w:proofErr w:type="gramStart"/>
      <w:r w:rsidRPr="002F5B39">
        <w:rPr>
          <w:rFonts w:ascii="Times New Roman" w:hAnsi="Times New Roman" w:cs="Times New Roman"/>
          <w:i/>
          <w:iCs/>
          <w:sz w:val="24"/>
          <w:szCs w:val="24"/>
          <w:lang w:val="en-ZA"/>
        </w:rPr>
        <w:t>Rewa</w:t>
      </w:r>
      <w:proofErr w:type="spellEnd"/>
      <w:r w:rsidRPr="002F5B39">
        <w:rPr>
          <w:rFonts w:ascii="Times New Roman" w:hAnsi="Times New Roman" w:cs="Times New Roman"/>
          <w:i/>
          <w:iCs/>
          <w:sz w:val="24"/>
          <w:szCs w:val="24"/>
          <w:lang w:val="en-ZA"/>
        </w:rPr>
        <w:t xml:space="preserve"> ,</w:t>
      </w:r>
      <w:proofErr w:type="gramEnd"/>
      <w:r w:rsidRPr="002F5B39">
        <w:rPr>
          <w:rFonts w:ascii="Times New Roman" w:hAnsi="Times New Roman" w:cs="Times New Roman"/>
          <w:i/>
          <w:iCs/>
          <w:sz w:val="24"/>
          <w:szCs w:val="24"/>
          <w:lang w:val="en-ZA"/>
        </w:rPr>
        <w:t xml:space="preserve"> India</w:t>
      </w:r>
      <w:r w:rsidRPr="002F5B39">
        <w:rPr>
          <w:rFonts w:ascii="Times New Roman" w:hAnsi="Times New Roman" w:cs="Times New Roman"/>
          <w:sz w:val="24"/>
          <w:szCs w:val="24"/>
          <w:lang w:val="en-ZA"/>
        </w:rPr>
        <w:t>.</w:t>
      </w:r>
    </w:p>
    <w:p w14:paraId="50B56F32" w14:textId="77777777" w:rsidR="008E4F62" w:rsidRPr="002F5B39" w:rsidRDefault="008E4F62" w:rsidP="002F5B39">
      <w:pPr>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Dan-</w:t>
      </w:r>
      <w:proofErr w:type="spellStart"/>
      <w:r w:rsidRPr="002F5B39">
        <w:rPr>
          <w:rFonts w:ascii="Times New Roman" w:hAnsi="Times New Roman" w:cs="Times New Roman"/>
          <w:b/>
          <w:bCs/>
          <w:sz w:val="24"/>
          <w:szCs w:val="24"/>
          <w:lang w:val="en-ZA"/>
        </w:rPr>
        <w:t>Badjo</w:t>
      </w:r>
      <w:proofErr w:type="spellEnd"/>
      <w:r w:rsidRPr="002F5B39">
        <w:rPr>
          <w:rFonts w:ascii="Times New Roman" w:hAnsi="Times New Roman" w:cs="Times New Roman"/>
          <w:b/>
          <w:bCs/>
          <w:sz w:val="24"/>
          <w:szCs w:val="24"/>
          <w:lang w:val="en-ZA"/>
        </w:rPr>
        <w:t xml:space="preserve">, A., </w:t>
      </w:r>
      <w:proofErr w:type="spellStart"/>
      <w:r w:rsidRPr="002F5B39">
        <w:rPr>
          <w:rFonts w:ascii="Times New Roman" w:hAnsi="Times New Roman" w:cs="Times New Roman"/>
          <w:b/>
          <w:bCs/>
          <w:sz w:val="24"/>
          <w:szCs w:val="24"/>
          <w:lang w:val="en-ZA"/>
        </w:rPr>
        <w:t>Guero</w:t>
      </w:r>
      <w:proofErr w:type="spellEnd"/>
      <w:r w:rsidRPr="002F5B39">
        <w:rPr>
          <w:rFonts w:ascii="Times New Roman" w:hAnsi="Times New Roman" w:cs="Times New Roman"/>
          <w:b/>
          <w:bCs/>
          <w:sz w:val="24"/>
          <w:szCs w:val="24"/>
          <w:lang w:val="en-ZA"/>
        </w:rPr>
        <w:t xml:space="preserve">, Y., Dan </w:t>
      </w:r>
      <w:proofErr w:type="spellStart"/>
      <w:r w:rsidRPr="002F5B39">
        <w:rPr>
          <w:rFonts w:ascii="Times New Roman" w:hAnsi="Times New Roman" w:cs="Times New Roman"/>
          <w:b/>
          <w:bCs/>
          <w:sz w:val="24"/>
          <w:szCs w:val="24"/>
          <w:lang w:val="en-ZA"/>
        </w:rPr>
        <w:t>Lamso</w:t>
      </w:r>
      <w:proofErr w:type="spellEnd"/>
      <w:r w:rsidRPr="002F5B39">
        <w:rPr>
          <w:rFonts w:ascii="Times New Roman" w:hAnsi="Times New Roman" w:cs="Times New Roman"/>
          <w:b/>
          <w:bCs/>
          <w:sz w:val="24"/>
          <w:szCs w:val="24"/>
          <w:lang w:val="en-ZA"/>
        </w:rPr>
        <w:t xml:space="preserve">, N., </w:t>
      </w:r>
      <w:proofErr w:type="spellStart"/>
      <w:r w:rsidRPr="002F5B39">
        <w:rPr>
          <w:rFonts w:ascii="Times New Roman" w:hAnsi="Times New Roman" w:cs="Times New Roman"/>
          <w:b/>
          <w:bCs/>
          <w:sz w:val="24"/>
          <w:szCs w:val="24"/>
          <w:lang w:val="en-ZA"/>
        </w:rPr>
        <w:t>Tidjani</w:t>
      </w:r>
      <w:proofErr w:type="spellEnd"/>
      <w:r w:rsidRPr="002F5B39">
        <w:rPr>
          <w:rFonts w:ascii="Times New Roman" w:hAnsi="Times New Roman" w:cs="Times New Roman"/>
          <w:b/>
          <w:bCs/>
          <w:sz w:val="24"/>
          <w:szCs w:val="24"/>
          <w:lang w:val="en-ZA"/>
        </w:rPr>
        <w:t xml:space="preserve">, A. D., </w:t>
      </w:r>
      <w:proofErr w:type="spellStart"/>
      <w:r w:rsidRPr="002F5B39">
        <w:rPr>
          <w:rFonts w:ascii="Times New Roman" w:hAnsi="Times New Roman" w:cs="Times New Roman"/>
          <w:b/>
          <w:bCs/>
          <w:sz w:val="24"/>
          <w:szCs w:val="24"/>
          <w:lang w:val="en-ZA"/>
        </w:rPr>
        <w:t>Ambouta</w:t>
      </w:r>
      <w:proofErr w:type="spellEnd"/>
      <w:r w:rsidRPr="002F5B39">
        <w:rPr>
          <w:rFonts w:ascii="Times New Roman" w:hAnsi="Times New Roman" w:cs="Times New Roman"/>
          <w:b/>
          <w:bCs/>
          <w:sz w:val="24"/>
          <w:szCs w:val="24"/>
          <w:lang w:val="en-ZA"/>
        </w:rPr>
        <w:t xml:space="preserve">, K. J. M., </w:t>
      </w:r>
      <w:proofErr w:type="spellStart"/>
      <w:r w:rsidRPr="002F5B39">
        <w:rPr>
          <w:rFonts w:ascii="Times New Roman" w:hAnsi="Times New Roman" w:cs="Times New Roman"/>
          <w:b/>
          <w:bCs/>
          <w:sz w:val="24"/>
          <w:szCs w:val="24"/>
          <w:lang w:val="en-ZA"/>
        </w:rPr>
        <w:t>Feidt</w:t>
      </w:r>
      <w:proofErr w:type="spellEnd"/>
      <w:r w:rsidRPr="002F5B39">
        <w:rPr>
          <w:rFonts w:ascii="Times New Roman" w:hAnsi="Times New Roman" w:cs="Times New Roman"/>
          <w:b/>
          <w:bCs/>
          <w:sz w:val="24"/>
          <w:szCs w:val="24"/>
          <w:lang w:val="en-ZA"/>
        </w:rPr>
        <w:t xml:space="preserve">, C., </w:t>
      </w:r>
      <w:proofErr w:type="spellStart"/>
      <w:r w:rsidRPr="002F5B39">
        <w:rPr>
          <w:rFonts w:ascii="Times New Roman" w:hAnsi="Times New Roman" w:cs="Times New Roman"/>
          <w:b/>
          <w:bCs/>
          <w:sz w:val="24"/>
          <w:szCs w:val="24"/>
          <w:lang w:val="en-ZA"/>
        </w:rPr>
        <w:t>Sterckeman</w:t>
      </w:r>
      <w:proofErr w:type="spellEnd"/>
      <w:r w:rsidRPr="002F5B39">
        <w:rPr>
          <w:rFonts w:ascii="Times New Roman" w:hAnsi="Times New Roman" w:cs="Times New Roman"/>
          <w:b/>
          <w:bCs/>
          <w:sz w:val="24"/>
          <w:szCs w:val="24"/>
          <w:lang w:val="en-ZA"/>
        </w:rPr>
        <w:t>, T., &amp; Echevarria, G. (2013).</w:t>
      </w:r>
      <w:r w:rsidRPr="002F5B39">
        <w:rPr>
          <w:rFonts w:ascii="Times New Roman" w:hAnsi="Times New Roman" w:cs="Times New Roman"/>
          <w:sz w:val="24"/>
          <w:szCs w:val="24"/>
          <w:lang w:val="en-ZA"/>
        </w:rPr>
        <w:t xml:space="preserve"> </w:t>
      </w:r>
      <w:r w:rsidRPr="002F5B39">
        <w:rPr>
          <w:rFonts w:ascii="Times New Roman" w:hAnsi="Times New Roman" w:cs="Times New Roman"/>
          <w:sz w:val="24"/>
          <w:szCs w:val="24"/>
        </w:rPr>
        <w:t xml:space="preserve">Evaluation de la Contamination des Sols par les </w:t>
      </w:r>
      <w:proofErr w:type="spellStart"/>
      <w:r w:rsidRPr="002F5B39">
        <w:rPr>
          <w:rFonts w:ascii="Times New Roman" w:hAnsi="Times New Roman" w:cs="Times New Roman"/>
          <w:sz w:val="24"/>
          <w:szCs w:val="24"/>
        </w:rPr>
        <w:t>Elements</w:t>
      </w:r>
      <w:proofErr w:type="spellEnd"/>
      <w:r w:rsidRPr="002F5B39">
        <w:rPr>
          <w:rFonts w:ascii="Times New Roman" w:hAnsi="Times New Roman" w:cs="Times New Roman"/>
          <w:sz w:val="24"/>
          <w:szCs w:val="24"/>
        </w:rPr>
        <w:t xml:space="preserve"> Traces </w:t>
      </w:r>
      <w:proofErr w:type="spellStart"/>
      <w:r w:rsidRPr="002F5B39">
        <w:rPr>
          <w:rFonts w:ascii="Times New Roman" w:hAnsi="Times New Roman" w:cs="Times New Roman"/>
          <w:sz w:val="24"/>
          <w:szCs w:val="24"/>
        </w:rPr>
        <w:t>Metalliques</w:t>
      </w:r>
      <w:proofErr w:type="spellEnd"/>
      <w:r w:rsidRPr="002F5B39">
        <w:rPr>
          <w:rFonts w:ascii="Times New Roman" w:hAnsi="Times New Roman" w:cs="Times New Roman"/>
          <w:sz w:val="24"/>
          <w:szCs w:val="24"/>
        </w:rPr>
        <w:t xml:space="preserve"> dans les Zones Urbaines et </w:t>
      </w:r>
      <w:proofErr w:type="spellStart"/>
      <w:r w:rsidRPr="002F5B39">
        <w:rPr>
          <w:rFonts w:ascii="Times New Roman" w:hAnsi="Times New Roman" w:cs="Times New Roman"/>
          <w:sz w:val="24"/>
          <w:szCs w:val="24"/>
        </w:rPr>
        <w:t>Periurbaines</w:t>
      </w:r>
      <w:proofErr w:type="spellEnd"/>
      <w:r w:rsidRPr="002F5B39">
        <w:rPr>
          <w:rFonts w:ascii="Times New Roman" w:hAnsi="Times New Roman" w:cs="Times New Roman"/>
          <w:sz w:val="24"/>
          <w:szCs w:val="24"/>
        </w:rPr>
        <w:t xml:space="preserve"> de la Ville de Niamey </w:t>
      </w:r>
      <w:proofErr w:type="gramStart"/>
      <w:r w:rsidRPr="002F5B39">
        <w:rPr>
          <w:rFonts w:ascii="Times New Roman" w:hAnsi="Times New Roman" w:cs="Times New Roman"/>
          <w:sz w:val="24"/>
          <w:szCs w:val="24"/>
        </w:rPr>
        <w:t>( Niger</w:t>
      </w:r>
      <w:proofErr w:type="gramEnd"/>
      <w:r w:rsidRPr="002F5B39">
        <w:rPr>
          <w:rFonts w:ascii="Times New Roman" w:hAnsi="Times New Roman" w:cs="Times New Roman"/>
          <w:sz w:val="24"/>
          <w:szCs w:val="24"/>
        </w:rPr>
        <w:t xml:space="preserve"> ). </w:t>
      </w:r>
      <w:r w:rsidRPr="002F5B39">
        <w:rPr>
          <w:rFonts w:ascii="Times New Roman" w:hAnsi="Times New Roman" w:cs="Times New Roman"/>
          <w:i/>
          <w:iCs/>
          <w:sz w:val="24"/>
          <w:szCs w:val="24"/>
          <w:lang w:val="en-ZA"/>
        </w:rPr>
        <w:t xml:space="preserve">Revue des </w:t>
      </w:r>
      <w:proofErr w:type="spellStart"/>
      <w:r w:rsidRPr="002F5B39">
        <w:rPr>
          <w:rFonts w:ascii="Times New Roman" w:hAnsi="Times New Roman" w:cs="Times New Roman"/>
          <w:i/>
          <w:iCs/>
          <w:sz w:val="24"/>
          <w:szCs w:val="24"/>
          <w:lang w:val="en-ZA"/>
        </w:rPr>
        <w:t>Bioressources</w:t>
      </w:r>
      <w:proofErr w:type="spellEnd"/>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3</w:t>
      </w:r>
      <w:r w:rsidRPr="002F5B39">
        <w:rPr>
          <w:rFonts w:ascii="Times New Roman" w:hAnsi="Times New Roman" w:cs="Times New Roman"/>
          <w:sz w:val="24"/>
          <w:szCs w:val="24"/>
          <w:lang w:val="en-ZA"/>
        </w:rPr>
        <w:t xml:space="preserve">(2), 82‑95. </w:t>
      </w:r>
      <w:hyperlink r:id="rId23" w:history="1">
        <w:r w:rsidRPr="002F5B39">
          <w:rPr>
            <w:rStyle w:val="Lienhypertexte"/>
            <w:rFonts w:ascii="Times New Roman" w:hAnsi="Times New Roman" w:cs="Times New Roman"/>
            <w:sz w:val="24"/>
            <w:szCs w:val="24"/>
            <w:lang w:val="en-ZA"/>
          </w:rPr>
          <w:t>https://doi.org/10.12816/0008874</w:t>
        </w:r>
      </w:hyperlink>
    </w:p>
    <w:p w14:paraId="5B77AA2D"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FAO.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Soil erosion : The greatest challenge to sustainable soil management. Food and Agriculture Organization of the United Nations</w:t>
      </w:r>
      <w:r w:rsidRPr="002F5B39">
        <w:rPr>
          <w:rFonts w:ascii="Times New Roman" w:hAnsi="Times New Roman" w:cs="Times New Roman"/>
          <w:sz w:val="24"/>
          <w:szCs w:val="24"/>
          <w:lang w:val="en-ZA"/>
        </w:rPr>
        <w:t xml:space="preserve">. </w:t>
      </w:r>
      <w:hyperlink r:id="rId24" w:history="1">
        <w:r w:rsidRPr="002F5B39">
          <w:rPr>
            <w:rStyle w:val="Lienhypertexte"/>
            <w:rFonts w:ascii="Times New Roman" w:hAnsi="Times New Roman" w:cs="Times New Roman"/>
            <w:sz w:val="24"/>
            <w:szCs w:val="24"/>
            <w:lang w:val="en-ZA"/>
          </w:rPr>
          <w:t>https://doi.org/http://www.fao.org/3/ca4395en/ca4395en</w:t>
        </w:r>
      </w:hyperlink>
    </w:p>
    <w:p w14:paraId="18C87876"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lastRenderedPageBreak/>
        <w:t>Fosu</w:t>
      </w:r>
      <w:proofErr w:type="spellEnd"/>
      <w:r w:rsidRPr="002F5B39">
        <w:rPr>
          <w:rFonts w:ascii="Times New Roman" w:hAnsi="Times New Roman" w:cs="Times New Roman"/>
          <w:b/>
          <w:bCs/>
          <w:sz w:val="24"/>
          <w:szCs w:val="24"/>
          <w:lang w:val="en-ZA"/>
        </w:rPr>
        <w:t xml:space="preserve">, S., Gyimah, E., </w:t>
      </w:r>
      <w:proofErr w:type="spellStart"/>
      <w:r w:rsidRPr="002F5B39">
        <w:rPr>
          <w:rFonts w:ascii="Times New Roman" w:hAnsi="Times New Roman" w:cs="Times New Roman"/>
          <w:b/>
          <w:bCs/>
          <w:sz w:val="24"/>
          <w:szCs w:val="24"/>
          <w:lang w:val="en-ZA"/>
        </w:rPr>
        <w:t>Boakgye</w:t>
      </w:r>
      <w:proofErr w:type="spellEnd"/>
      <w:r w:rsidRPr="002F5B39">
        <w:rPr>
          <w:rFonts w:ascii="Times New Roman" w:hAnsi="Times New Roman" w:cs="Times New Roman"/>
          <w:b/>
          <w:bCs/>
          <w:sz w:val="24"/>
          <w:szCs w:val="24"/>
          <w:lang w:val="en-ZA"/>
        </w:rPr>
        <w:t xml:space="preserve">, F. A., &amp; </w:t>
      </w:r>
      <w:proofErr w:type="spellStart"/>
      <w:r w:rsidRPr="002F5B39">
        <w:rPr>
          <w:rFonts w:ascii="Times New Roman" w:hAnsi="Times New Roman" w:cs="Times New Roman"/>
          <w:b/>
          <w:bCs/>
          <w:sz w:val="24"/>
          <w:szCs w:val="24"/>
          <w:lang w:val="en-ZA"/>
        </w:rPr>
        <w:t>Stemn</w:t>
      </w:r>
      <w:proofErr w:type="spellEnd"/>
      <w:r w:rsidRPr="002F5B39">
        <w:rPr>
          <w:rFonts w:ascii="Times New Roman" w:hAnsi="Times New Roman" w:cs="Times New Roman"/>
          <w:b/>
          <w:bCs/>
          <w:sz w:val="24"/>
          <w:szCs w:val="24"/>
          <w:lang w:val="en-ZA"/>
        </w:rPr>
        <w:t>, E.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Ecotoxicological status and health risks implication of heavy metals in urban soils of the </w:t>
      </w:r>
      <w:proofErr w:type="spellStart"/>
      <w:r w:rsidRPr="002F5B39">
        <w:rPr>
          <w:rFonts w:ascii="Times New Roman" w:hAnsi="Times New Roman" w:cs="Times New Roman"/>
          <w:i/>
          <w:iCs/>
          <w:sz w:val="24"/>
          <w:szCs w:val="24"/>
          <w:lang w:val="en-ZA"/>
        </w:rPr>
        <w:t>A’koon</w:t>
      </w:r>
      <w:proofErr w:type="spellEnd"/>
      <w:r w:rsidRPr="002F5B39">
        <w:rPr>
          <w:rFonts w:ascii="Times New Roman" w:hAnsi="Times New Roman" w:cs="Times New Roman"/>
          <w:i/>
          <w:iCs/>
          <w:sz w:val="24"/>
          <w:szCs w:val="24"/>
          <w:lang w:val="en-ZA"/>
        </w:rPr>
        <w:t xml:space="preserve"> and </w:t>
      </w:r>
      <w:proofErr w:type="spellStart"/>
      <w:r w:rsidRPr="002F5B39">
        <w:rPr>
          <w:rFonts w:ascii="Times New Roman" w:hAnsi="Times New Roman" w:cs="Times New Roman"/>
          <w:i/>
          <w:iCs/>
          <w:sz w:val="24"/>
          <w:szCs w:val="24"/>
          <w:lang w:val="en-ZA"/>
        </w:rPr>
        <w:t>Brahabobom</w:t>
      </w:r>
      <w:proofErr w:type="spellEnd"/>
      <w:r w:rsidRPr="002F5B39">
        <w:rPr>
          <w:rFonts w:ascii="Times New Roman" w:hAnsi="Times New Roman" w:cs="Times New Roman"/>
          <w:i/>
          <w:iCs/>
          <w:sz w:val="24"/>
          <w:szCs w:val="24"/>
          <w:lang w:val="en-ZA"/>
        </w:rPr>
        <w:t xml:space="preserve"> communities, Tarkwa – Ghana</w:t>
      </w:r>
      <w:r w:rsidRPr="002F5B39">
        <w:rPr>
          <w:rFonts w:ascii="Times New Roman" w:hAnsi="Times New Roman" w:cs="Times New Roman"/>
          <w:sz w:val="24"/>
          <w:szCs w:val="24"/>
          <w:lang w:val="en-ZA"/>
        </w:rPr>
        <w:t xml:space="preserve"> [Preprint]. In Review. </w:t>
      </w:r>
      <w:hyperlink r:id="rId25" w:history="1">
        <w:r w:rsidRPr="002F5B39">
          <w:rPr>
            <w:rStyle w:val="Lienhypertexte"/>
            <w:rFonts w:ascii="Times New Roman" w:hAnsi="Times New Roman" w:cs="Times New Roman"/>
            <w:sz w:val="24"/>
            <w:szCs w:val="24"/>
            <w:lang w:val="en-ZA"/>
          </w:rPr>
          <w:t>https://doi.org/10.21203/rs.3.rs-2708591/v1</w:t>
        </w:r>
      </w:hyperlink>
    </w:p>
    <w:p w14:paraId="5DC200DC"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Garnier, R. (2005).</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rPr>
        <w:t>Toxicité du plomb et de ses dérivés. EMC (Elsevier SAS, Paris), Toxicologie-Pathologie professionnelle</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7‑10.</w:t>
      </w:r>
    </w:p>
    <w:p w14:paraId="76A7E863"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Gong, C., Wang, S., Wang, D., Lu, H., Dong, H., Liu, J., Yan, B., &amp; Wang, L. (2022)</w:t>
      </w:r>
      <w:r w:rsidRPr="002F5B39">
        <w:rPr>
          <w:rFonts w:ascii="Times New Roman" w:hAnsi="Times New Roman" w:cs="Times New Roman"/>
          <w:sz w:val="24"/>
          <w:szCs w:val="24"/>
          <w:lang w:val="en-ZA"/>
        </w:rPr>
        <w:t xml:space="preserve">. Ecological and human health risk assessment of heavy metal(loid)s in agricultural soil in hotbed chives hometown of </w:t>
      </w:r>
      <w:proofErr w:type="spellStart"/>
      <w:r w:rsidRPr="002F5B39">
        <w:rPr>
          <w:rFonts w:ascii="Times New Roman" w:hAnsi="Times New Roman" w:cs="Times New Roman"/>
          <w:sz w:val="24"/>
          <w:szCs w:val="24"/>
          <w:lang w:val="en-ZA"/>
        </w:rPr>
        <w:t>Tangchang</w:t>
      </w:r>
      <w:proofErr w:type="spellEnd"/>
      <w:r w:rsidRPr="002F5B39">
        <w:rPr>
          <w:rFonts w:ascii="Times New Roman" w:hAnsi="Times New Roman" w:cs="Times New Roman"/>
          <w:sz w:val="24"/>
          <w:szCs w:val="24"/>
          <w:lang w:val="en-ZA"/>
        </w:rPr>
        <w:t xml:space="preserve">, Southwest China. </w:t>
      </w:r>
      <w:r w:rsidRPr="002F5B39">
        <w:rPr>
          <w:rFonts w:ascii="Times New Roman" w:hAnsi="Times New Roman" w:cs="Times New Roman"/>
          <w:i/>
          <w:iCs/>
          <w:sz w:val="24"/>
          <w:szCs w:val="24"/>
          <w:lang w:val="en-ZA"/>
        </w:rPr>
        <w:t>Scientific Reports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12</w:t>
      </w:r>
      <w:r w:rsidRPr="002F5B39">
        <w:rPr>
          <w:rFonts w:ascii="Times New Roman" w:hAnsi="Times New Roman" w:cs="Times New Roman"/>
          <w:sz w:val="24"/>
          <w:szCs w:val="24"/>
          <w:lang w:val="en-ZA"/>
        </w:rPr>
        <w:t xml:space="preserve">(1), 8563. </w:t>
      </w:r>
      <w:hyperlink r:id="rId26" w:history="1">
        <w:r w:rsidRPr="002F5B39">
          <w:rPr>
            <w:rStyle w:val="Lienhypertexte"/>
            <w:rFonts w:ascii="Times New Roman" w:hAnsi="Times New Roman" w:cs="Times New Roman"/>
            <w:sz w:val="24"/>
            <w:szCs w:val="24"/>
            <w:lang w:val="en-ZA"/>
          </w:rPr>
          <w:t>https://doi.org/10.1038/s41598-022-11397-0</w:t>
        </w:r>
      </w:hyperlink>
    </w:p>
    <w:p w14:paraId="228B1075"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rPr>
      </w:pPr>
      <w:r w:rsidRPr="002F5B39">
        <w:rPr>
          <w:rFonts w:ascii="Times New Roman" w:hAnsi="Times New Roman" w:cs="Times New Roman"/>
          <w:b/>
          <w:bCs/>
          <w:sz w:val="24"/>
          <w:szCs w:val="24"/>
          <w:lang w:val="en-ZA"/>
        </w:rPr>
        <w:t xml:space="preserve">Gonzales, X. I., </w:t>
      </w:r>
      <w:proofErr w:type="spellStart"/>
      <w:r w:rsidRPr="002F5B39">
        <w:rPr>
          <w:rFonts w:ascii="Times New Roman" w:hAnsi="Times New Roman" w:cs="Times New Roman"/>
          <w:b/>
          <w:bCs/>
          <w:sz w:val="24"/>
          <w:szCs w:val="24"/>
          <w:lang w:val="en-ZA"/>
        </w:rPr>
        <w:t>Aboal</w:t>
      </w:r>
      <w:proofErr w:type="spellEnd"/>
      <w:r w:rsidRPr="002F5B39">
        <w:rPr>
          <w:rFonts w:ascii="Times New Roman" w:hAnsi="Times New Roman" w:cs="Times New Roman"/>
          <w:b/>
          <w:bCs/>
          <w:sz w:val="24"/>
          <w:szCs w:val="24"/>
          <w:lang w:val="en-ZA"/>
        </w:rPr>
        <w:t xml:space="preserve">, J. R., Fernandez, J. A., &amp; </w:t>
      </w:r>
      <w:proofErr w:type="spellStart"/>
      <w:r w:rsidRPr="002F5B39">
        <w:rPr>
          <w:rFonts w:ascii="Times New Roman" w:hAnsi="Times New Roman" w:cs="Times New Roman"/>
          <w:b/>
          <w:bCs/>
          <w:sz w:val="24"/>
          <w:szCs w:val="24"/>
          <w:lang w:val="en-ZA"/>
        </w:rPr>
        <w:t>Carballeira</w:t>
      </w:r>
      <w:proofErr w:type="spellEnd"/>
      <w:r w:rsidRPr="002F5B39">
        <w:rPr>
          <w:rFonts w:ascii="Times New Roman" w:hAnsi="Times New Roman" w:cs="Times New Roman"/>
          <w:b/>
          <w:bCs/>
          <w:sz w:val="24"/>
          <w:szCs w:val="24"/>
          <w:lang w:val="en-ZA"/>
        </w:rPr>
        <w:t>, A. (2008).</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Heavy metal transfers between trophic compartments in different ecosystems in Galicia (Northwest Spain</w:t>
      </w:r>
      <w:proofErr w:type="gramStart"/>
      <w:r w:rsidRPr="002F5B39">
        <w:rPr>
          <w:rFonts w:ascii="Times New Roman" w:hAnsi="Times New Roman" w:cs="Times New Roman"/>
          <w:i/>
          <w:iCs/>
          <w:sz w:val="24"/>
          <w:szCs w:val="24"/>
          <w:lang w:val="en-ZA"/>
        </w:rPr>
        <w:t>) </w:t>
      </w:r>
      <w:proofErr w:type="gramEnd"/>
      <w:r w:rsidRPr="002F5B39">
        <w:rPr>
          <w:rFonts w:ascii="Times New Roman" w:hAnsi="Times New Roman" w:cs="Times New Roman"/>
          <w:i/>
          <w:iCs/>
          <w:sz w:val="24"/>
          <w:szCs w:val="24"/>
          <w:lang w:val="en-ZA"/>
        </w:rPr>
        <w:t>: Essential elements</w:t>
      </w:r>
      <w:r w:rsidRPr="002F5B39">
        <w:rPr>
          <w:rFonts w:ascii="Times New Roman" w:hAnsi="Times New Roman" w:cs="Times New Roman"/>
          <w:sz w:val="24"/>
          <w:szCs w:val="24"/>
          <w:lang w:val="en-ZA"/>
        </w:rPr>
        <w:t xml:space="preserve">. </w:t>
      </w:r>
      <w:r w:rsidRPr="002F5B39">
        <w:rPr>
          <w:rFonts w:ascii="Times New Roman" w:hAnsi="Times New Roman" w:cs="Times New Roman"/>
          <w:sz w:val="24"/>
          <w:szCs w:val="24"/>
        </w:rPr>
        <w:t>691‑700.</w:t>
      </w:r>
    </w:p>
    <w:p w14:paraId="4C0320F6"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rPr>
      </w:pPr>
      <w:proofErr w:type="spellStart"/>
      <w:r w:rsidRPr="002F5B39">
        <w:rPr>
          <w:rFonts w:ascii="Times New Roman" w:hAnsi="Times New Roman" w:cs="Times New Roman"/>
          <w:b/>
          <w:bCs/>
          <w:sz w:val="24"/>
          <w:szCs w:val="24"/>
          <w:lang w:val="en-ZA"/>
        </w:rPr>
        <w:t>Gorbel</w:t>
      </w:r>
      <w:proofErr w:type="spellEnd"/>
      <w:r w:rsidRPr="002F5B39">
        <w:rPr>
          <w:rFonts w:ascii="Times New Roman" w:hAnsi="Times New Roman" w:cs="Times New Roman"/>
          <w:b/>
          <w:bCs/>
          <w:sz w:val="24"/>
          <w:szCs w:val="24"/>
          <w:lang w:val="en-ZA"/>
        </w:rPr>
        <w:t xml:space="preserve">, F., </w:t>
      </w:r>
      <w:proofErr w:type="spellStart"/>
      <w:r w:rsidRPr="002F5B39">
        <w:rPr>
          <w:rFonts w:ascii="Times New Roman" w:hAnsi="Times New Roman" w:cs="Times New Roman"/>
          <w:b/>
          <w:bCs/>
          <w:sz w:val="24"/>
          <w:szCs w:val="24"/>
          <w:lang w:val="en-ZA"/>
        </w:rPr>
        <w:t>Boujelbene</w:t>
      </w:r>
      <w:proofErr w:type="spellEnd"/>
      <w:r w:rsidRPr="002F5B39">
        <w:rPr>
          <w:rFonts w:ascii="Times New Roman" w:hAnsi="Times New Roman" w:cs="Times New Roman"/>
          <w:b/>
          <w:bCs/>
          <w:sz w:val="24"/>
          <w:szCs w:val="24"/>
          <w:lang w:val="en-ZA"/>
        </w:rPr>
        <w:t xml:space="preserve">, M., </w:t>
      </w:r>
      <w:proofErr w:type="spellStart"/>
      <w:r w:rsidRPr="002F5B39">
        <w:rPr>
          <w:rFonts w:ascii="Times New Roman" w:hAnsi="Times New Roman" w:cs="Times New Roman"/>
          <w:b/>
          <w:bCs/>
          <w:sz w:val="24"/>
          <w:szCs w:val="24"/>
          <w:lang w:val="en-ZA"/>
        </w:rPr>
        <w:t>Makni-Ayadi</w:t>
      </w:r>
      <w:proofErr w:type="spellEnd"/>
      <w:r w:rsidRPr="002F5B39">
        <w:rPr>
          <w:rFonts w:ascii="Times New Roman" w:hAnsi="Times New Roman" w:cs="Times New Roman"/>
          <w:b/>
          <w:bCs/>
          <w:sz w:val="24"/>
          <w:szCs w:val="24"/>
          <w:lang w:val="en-ZA"/>
        </w:rPr>
        <w:t xml:space="preserve">, F., </w:t>
      </w:r>
      <w:proofErr w:type="spellStart"/>
      <w:r w:rsidRPr="002F5B39">
        <w:rPr>
          <w:rFonts w:ascii="Times New Roman" w:hAnsi="Times New Roman" w:cs="Times New Roman"/>
          <w:b/>
          <w:bCs/>
          <w:sz w:val="24"/>
          <w:szCs w:val="24"/>
          <w:lang w:val="en-ZA"/>
        </w:rPr>
        <w:t>Guermazi</w:t>
      </w:r>
      <w:proofErr w:type="spellEnd"/>
      <w:r w:rsidRPr="002F5B39">
        <w:rPr>
          <w:rFonts w:ascii="Times New Roman" w:hAnsi="Times New Roman" w:cs="Times New Roman"/>
          <w:b/>
          <w:bCs/>
          <w:sz w:val="24"/>
          <w:szCs w:val="24"/>
          <w:lang w:val="en-ZA"/>
        </w:rPr>
        <w:t xml:space="preserve">, F., Croute, F., </w:t>
      </w:r>
      <w:proofErr w:type="spellStart"/>
      <w:r w:rsidRPr="002F5B39">
        <w:rPr>
          <w:rFonts w:ascii="Times New Roman" w:hAnsi="Times New Roman" w:cs="Times New Roman"/>
          <w:b/>
          <w:bCs/>
          <w:sz w:val="24"/>
          <w:szCs w:val="24"/>
          <w:lang w:val="en-ZA"/>
        </w:rPr>
        <w:t>Soleilhavoup</w:t>
      </w:r>
      <w:proofErr w:type="spellEnd"/>
      <w:r w:rsidRPr="002F5B39">
        <w:rPr>
          <w:rFonts w:ascii="Times New Roman" w:hAnsi="Times New Roman" w:cs="Times New Roman"/>
          <w:b/>
          <w:bCs/>
          <w:sz w:val="24"/>
          <w:szCs w:val="24"/>
          <w:lang w:val="en-ZA"/>
        </w:rPr>
        <w:t xml:space="preserve">, J. P., &amp; </w:t>
      </w:r>
      <w:proofErr w:type="spellStart"/>
      <w:r w:rsidRPr="002F5B39">
        <w:rPr>
          <w:rFonts w:ascii="Times New Roman" w:hAnsi="Times New Roman" w:cs="Times New Roman"/>
          <w:b/>
          <w:bCs/>
          <w:sz w:val="24"/>
          <w:szCs w:val="24"/>
          <w:lang w:val="en-ZA"/>
        </w:rPr>
        <w:t>Feki</w:t>
      </w:r>
      <w:proofErr w:type="spellEnd"/>
      <w:r w:rsidRPr="002F5B39">
        <w:rPr>
          <w:rFonts w:ascii="Times New Roman" w:hAnsi="Times New Roman" w:cs="Times New Roman"/>
          <w:b/>
          <w:bCs/>
          <w:sz w:val="24"/>
          <w:szCs w:val="24"/>
          <w:lang w:val="en-ZA"/>
        </w:rPr>
        <w:t>, A. (2002).</w:t>
      </w:r>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rPr>
        <w:t>Exploration des effets cytotoxiques du plomb sur la fonction sexuelle endocrine et exocrine chez le rat pubère mâle et femelle. Mise en évidence d’une action apoptotique</w:t>
      </w:r>
      <w:r w:rsidRPr="002F5B39">
        <w:rPr>
          <w:rFonts w:ascii="Times New Roman" w:hAnsi="Times New Roman" w:cs="Times New Roman"/>
          <w:sz w:val="24"/>
          <w:szCs w:val="24"/>
        </w:rPr>
        <w:t>. 927‑940.</w:t>
      </w:r>
    </w:p>
    <w:p w14:paraId="2F1449A5"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Hu, B., Jia, X., Hu, J., Xu, D., Xia, F., &amp; Li, Y. (2017).</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Assessment of Heavy Metal Pollution and Health Risks in the Soil-Plant-Human System in the Yangtze River Delta, China. </w:t>
      </w:r>
      <w:r w:rsidRPr="002F5B39">
        <w:rPr>
          <w:rFonts w:ascii="Times New Roman" w:hAnsi="Times New Roman" w:cs="Times New Roman"/>
          <w:i/>
          <w:iCs/>
          <w:sz w:val="24"/>
          <w:szCs w:val="24"/>
          <w:lang w:val="en-ZA"/>
        </w:rPr>
        <w:t>International Journal of Environmental Research and Public Health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14</w:t>
      </w:r>
      <w:r w:rsidRPr="002F5B39">
        <w:rPr>
          <w:rFonts w:ascii="Times New Roman" w:hAnsi="Times New Roman" w:cs="Times New Roman"/>
          <w:sz w:val="24"/>
          <w:szCs w:val="24"/>
          <w:lang w:val="en-ZA"/>
        </w:rPr>
        <w:t xml:space="preserve">(9), 1042. </w:t>
      </w:r>
      <w:hyperlink r:id="rId27" w:history="1">
        <w:r w:rsidRPr="002F5B39">
          <w:rPr>
            <w:rStyle w:val="Lienhypertexte"/>
            <w:rFonts w:ascii="Times New Roman" w:hAnsi="Times New Roman" w:cs="Times New Roman"/>
            <w:sz w:val="24"/>
            <w:szCs w:val="24"/>
            <w:lang w:val="en-ZA"/>
          </w:rPr>
          <w:t>https://doi.org/10.3390/ijerph14091042</w:t>
        </w:r>
      </w:hyperlink>
    </w:p>
    <w:p w14:paraId="385A1556"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Jolly, Y. N., Islam, A., &amp; Akbar, S. (2013).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Transfer of metals from soil to vegetables and possible health risk assessment</w:t>
      </w:r>
      <w:r w:rsidRPr="002F5B39">
        <w:rPr>
          <w:rFonts w:ascii="Times New Roman" w:hAnsi="Times New Roman" w:cs="Times New Roman"/>
          <w:sz w:val="24"/>
          <w:szCs w:val="24"/>
          <w:lang w:val="en-ZA"/>
        </w:rPr>
        <w:t>.</w:t>
      </w:r>
    </w:p>
    <w:p w14:paraId="72F14846"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rPr>
      </w:pPr>
      <w:r w:rsidRPr="002F5B39">
        <w:rPr>
          <w:rFonts w:ascii="Times New Roman" w:hAnsi="Times New Roman" w:cs="Times New Roman"/>
          <w:b/>
          <w:bCs/>
          <w:sz w:val="24"/>
          <w:szCs w:val="24"/>
          <w:lang w:val="en-ZA"/>
        </w:rPr>
        <w:t>Jolly, Y. N., Kabir, A. M., Shirin, A., &amp; Chowdhury, A. S.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Contamination Status of Water, Fish and Vegetable Samples Collected from a Heavy Industrial Area and Possible Health Risk Assessment</w:t>
      </w:r>
      <w:r w:rsidRPr="002F5B39">
        <w:rPr>
          <w:rFonts w:ascii="Times New Roman" w:hAnsi="Times New Roman" w:cs="Times New Roman"/>
          <w:sz w:val="24"/>
          <w:szCs w:val="24"/>
          <w:lang w:val="en-ZA"/>
        </w:rPr>
        <w:t xml:space="preserve">. </w:t>
      </w:r>
      <w:hyperlink r:id="rId28" w:history="1">
        <w:r w:rsidRPr="002F5B39">
          <w:rPr>
            <w:rStyle w:val="Lienhypertexte"/>
            <w:rFonts w:ascii="Times New Roman" w:hAnsi="Times New Roman" w:cs="Times New Roman"/>
            <w:sz w:val="24"/>
            <w:szCs w:val="24"/>
          </w:rPr>
          <w:t>https://doi.org/10.17140/AFTNSOJ-5-160</w:t>
        </w:r>
      </w:hyperlink>
    </w:p>
    <w:p w14:paraId="2D6EA2F0"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Jolly, Y. N., Rakib, Md. R. J., </w:t>
      </w:r>
      <w:proofErr w:type="spellStart"/>
      <w:r w:rsidRPr="002F5B39">
        <w:rPr>
          <w:rFonts w:ascii="Times New Roman" w:hAnsi="Times New Roman" w:cs="Times New Roman"/>
          <w:b/>
          <w:bCs/>
          <w:sz w:val="24"/>
          <w:szCs w:val="24"/>
          <w:lang w:val="en-ZA"/>
        </w:rPr>
        <w:t>Sakib</w:t>
      </w:r>
      <w:proofErr w:type="spellEnd"/>
      <w:r w:rsidRPr="002F5B39">
        <w:rPr>
          <w:rFonts w:ascii="Times New Roman" w:hAnsi="Times New Roman" w:cs="Times New Roman"/>
          <w:b/>
          <w:bCs/>
          <w:sz w:val="24"/>
          <w:szCs w:val="24"/>
          <w:lang w:val="en-ZA"/>
        </w:rPr>
        <w:t xml:space="preserve">, M. S., Shahadat, M. A., Rahman, A., </w:t>
      </w:r>
      <w:proofErr w:type="spellStart"/>
      <w:r w:rsidRPr="002F5B39">
        <w:rPr>
          <w:rFonts w:ascii="Times New Roman" w:hAnsi="Times New Roman" w:cs="Times New Roman"/>
          <w:b/>
          <w:bCs/>
          <w:sz w:val="24"/>
          <w:szCs w:val="24"/>
          <w:lang w:val="en-ZA"/>
        </w:rPr>
        <w:t>Akter</w:t>
      </w:r>
      <w:proofErr w:type="spellEnd"/>
      <w:r w:rsidRPr="002F5B39">
        <w:rPr>
          <w:rFonts w:ascii="Times New Roman" w:hAnsi="Times New Roman" w:cs="Times New Roman"/>
          <w:b/>
          <w:bCs/>
          <w:sz w:val="24"/>
          <w:szCs w:val="24"/>
          <w:lang w:val="en-ZA"/>
        </w:rPr>
        <w:t xml:space="preserve">, S., Kabir, J., Rahman, M. S., Begum, B. A., Rahman, R., Sulieman, A., </w:t>
      </w:r>
      <w:proofErr w:type="spellStart"/>
      <w:r w:rsidRPr="002F5B39">
        <w:rPr>
          <w:rFonts w:ascii="Times New Roman" w:hAnsi="Times New Roman" w:cs="Times New Roman"/>
          <w:b/>
          <w:bCs/>
          <w:sz w:val="24"/>
          <w:szCs w:val="24"/>
          <w:lang w:val="en-ZA"/>
        </w:rPr>
        <w:t>Tamam</w:t>
      </w:r>
      <w:proofErr w:type="spellEnd"/>
      <w:r w:rsidRPr="002F5B39">
        <w:rPr>
          <w:rFonts w:ascii="Times New Roman" w:hAnsi="Times New Roman" w:cs="Times New Roman"/>
          <w:b/>
          <w:bCs/>
          <w:sz w:val="24"/>
          <w:szCs w:val="24"/>
          <w:lang w:val="en-ZA"/>
        </w:rPr>
        <w:t xml:space="preserve">, N., </w:t>
      </w:r>
      <w:proofErr w:type="spellStart"/>
      <w:r w:rsidRPr="002F5B39">
        <w:rPr>
          <w:rFonts w:ascii="Times New Roman" w:hAnsi="Times New Roman" w:cs="Times New Roman"/>
          <w:b/>
          <w:bCs/>
          <w:sz w:val="24"/>
          <w:szCs w:val="24"/>
          <w:lang w:val="en-ZA"/>
        </w:rPr>
        <w:t>Khandaker</w:t>
      </w:r>
      <w:proofErr w:type="spellEnd"/>
      <w:r w:rsidRPr="002F5B39">
        <w:rPr>
          <w:rFonts w:ascii="Times New Roman" w:hAnsi="Times New Roman" w:cs="Times New Roman"/>
          <w:b/>
          <w:bCs/>
          <w:sz w:val="24"/>
          <w:szCs w:val="24"/>
          <w:lang w:val="en-ZA"/>
        </w:rPr>
        <w:t>, M. U., &amp; Idris, A. M. (2022).</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Impact of Industrially Affected Soil on Humans : A Soil-Human and Soil-Plant-Human Exposure Assessment. </w:t>
      </w:r>
      <w:r w:rsidRPr="002F5B39">
        <w:rPr>
          <w:rFonts w:ascii="Times New Roman" w:hAnsi="Times New Roman" w:cs="Times New Roman"/>
          <w:i/>
          <w:iCs/>
          <w:sz w:val="24"/>
          <w:szCs w:val="24"/>
          <w:lang w:val="en-ZA"/>
        </w:rPr>
        <w:t>Toxics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10</w:t>
      </w:r>
      <w:r w:rsidRPr="002F5B39">
        <w:rPr>
          <w:rFonts w:ascii="Times New Roman" w:hAnsi="Times New Roman" w:cs="Times New Roman"/>
          <w:sz w:val="24"/>
          <w:szCs w:val="24"/>
          <w:lang w:val="en-ZA"/>
        </w:rPr>
        <w:t xml:space="preserve">(7), 347. </w:t>
      </w:r>
      <w:hyperlink r:id="rId29" w:history="1">
        <w:r w:rsidRPr="002F5B39">
          <w:rPr>
            <w:rStyle w:val="Lienhypertexte"/>
            <w:rFonts w:ascii="Times New Roman" w:hAnsi="Times New Roman" w:cs="Times New Roman"/>
            <w:sz w:val="24"/>
            <w:szCs w:val="24"/>
            <w:lang w:val="en-ZA"/>
          </w:rPr>
          <w:t>https://doi.org/10.3390/toxics10070347</w:t>
        </w:r>
      </w:hyperlink>
    </w:p>
    <w:p w14:paraId="086D8E42"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lastRenderedPageBreak/>
        <w:t xml:space="preserve">Khan, Y., </w:t>
      </w:r>
      <w:proofErr w:type="spellStart"/>
      <w:r w:rsidRPr="002F5B39">
        <w:rPr>
          <w:rFonts w:ascii="Times New Roman" w:hAnsi="Times New Roman" w:cs="Times New Roman"/>
          <w:b/>
          <w:bCs/>
          <w:sz w:val="24"/>
          <w:szCs w:val="24"/>
          <w:lang w:val="en-ZA"/>
        </w:rPr>
        <w:t>Sarriff</w:t>
      </w:r>
      <w:proofErr w:type="spellEnd"/>
      <w:r w:rsidRPr="002F5B39">
        <w:rPr>
          <w:rFonts w:ascii="Times New Roman" w:hAnsi="Times New Roman" w:cs="Times New Roman"/>
          <w:b/>
          <w:bCs/>
          <w:sz w:val="24"/>
          <w:szCs w:val="24"/>
          <w:lang w:val="en-ZA"/>
        </w:rPr>
        <w:t xml:space="preserve">, A., Khan, A., &amp; </w:t>
      </w:r>
      <w:proofErr w:type="spellStart"/>
      <w:r w:rsidRPr="002F5B39">
        <w:rPr>
          <w:rFonts w:ascii="Times New Roman" w:hAnsi="Times New Roman" w:cs="Times New Roman"/>
          <w:b/>
          <w:bCs/>
          <w:sz w:val="24"/>
          <w:szCs w:val="24"/>
          <w:lang w:val="en-ZA"/>
        </w:rPr>
        <w:t>Mallhi</w:t>
      </w:r>
      <w:proofErr w:type="spellEnd"/>
      <w:r w:rsidRPr="002F5B39">
        <w:rPr>
          <w:rFonts w:ascii="Times New Roman" w:hAnsi="Times New Roman" w:cs="Times New Roman"/>
          <w:b/>
          <w:bCs/>
          <w:sz w:val="24"/>
          <w:szCs w:val="24"/>
          <w:lang w:val="en-ZA"/>
        </w:rPr>
        <w:t>, T. (2014).</w:t>
      </w:r>
      <w:r w:rsidRPr="002F5B39">
        <w:rPr>
          <w:rFonts w:ascii="Times New Roman" w:hAnsi="Times New Roman" w:cs="Times New Roman"/>
          <w:sz w:val="24"/>
          <w:szCs w:val="24"/>
          <w:lang w:val="en-ZA"/>
        </w:rPr>
        <w:t xml:space="preserve"> Knowledge, Attitude and Practice (KAP) Survey of Osteoporosis among Students of a Tertiary Institution in Malaysia. </w:t>
      </w:r>
      <w:r w:rsidRPr="002F5B39">
        <w:rPr>
          <w:rFonts w:ascii="Times New Roman" w:hAnsi="Times New Roman" w:cs="Times New Roman"/>
          <w:i/>
          <w:iCs/>
          <w:sz w:val="24"/>
          <w:szCs w:val="24"/>
          <w:lang w:val="en-ZA"/>
        </w:rPr>
        <w:t>Tropical Journal of Pharmaceutical Research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13</w:t>
      </w:r>
      <w:r w:rsidRPr="002F5B39">
        <w:rPr>
          <w:rFonts w:ascii="Times New Roman" w:hAnsi="Times New Roman" w:cs="Times New Roman"/>
          <w:sz w:val="24"/>
          <w:szCs w:val="24"/>
          <w:lang w:val="en-ZA"/>
        </w:rPr>
        <w:t xml:space="preserve">(1), 155. </w:t>
      </w:r>
      <w:hyperlink r:id="rId30" w:history="1">
        <w:r w:rsidRPr="002F5B39">
          <w:rPr>
            <w:rStyle w:val="Lienhypertexte"/>
            <w:rFonts w:ascii="Times New Roman" w:hAnsi="Times New Roman" w:cs="Times New Roman"/>
            <w:sz w:val="24"/>
            <w:szCs w:val="24"/>
            <w:lang w:val="en-ZA"/>
          </w:rPr>
          <w:t>https://doi.org/10.4314/tjpr.v13i1.22</w:t>
        </w:r>
      </w:hyperlink>
    </w:p>
    <w:p w14:paraId="6DF72EE0"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Luc, B. T., Karim, K., </w:t>
      </w:r>
      <w:proofErr w:type="spellStart"/>
      <w:r w:rsidRPr="002F5B39">
        <w:rPr>
          <w:rFonts w:ascii="Times New Roman" w:hAnsi="Times New Roman" w:cs="Times New Roman"/>
          <w:b/>
          <w:bCs/>
          <w:sz w:val="24"/>
          <w:szCs w:val="24"/>
          <w:lang w:val="en-ZA"/>
        </w:rPr>
        <w:t>Moumouni</w:t>
      </w:r>
      <w:proofErr w:type="spellEnd"/>
      <w:r w:rsidRPr="002F5B39">
        <w:rPr>
          <w:rFonts w:ascii="Times New Roman" w:hAnsi="Times New Roman" w:cs="Times New Roman"/>
          <w:b/>
          <w:bCs/>
          <w:sz w:val="24"/>
          <w:szCs w:val="24"/>
          <w:lang w:val="en-ZA"/>
        </w:rPr>
        <w:t xml:space="preserve">, D., Alain, T. K., </w:t>
      </w:r>
      <w:proofErr w:type="spellStart"/>
      <w:r w:rsidRPr="002F5B39">
        <w:rPr>
          <w:rFonts w:ascii="Times New Roman" w:hAnsi="Times New Roman" w:cs="Times New Roman"/>
          <w:b/>
          <w:bCs/>
          <w:sz w:val="24"/>
          <w:szCs w:val="24"/>
          <w:lang w:val="en-ZA"/>
        </w:rPr>
        <w:t>Cisse</w:t>
      </w:r>
      <w:proofErr w:type="spellEnd"/>
      <w:r w:rsidRPr="002F5B39">
        <w:rPr>
          <w:rFonts w:ascii="Times New Roman" w:hAnsi="Times New Roman" w:cs="Times New Roman"/>
          <w:b/>
          <w:bCs/>
          <w:sz w:val="24"/>
          <w:szCs w:val="24"/>
          <w:lang w:val="en-ZA"/>
        </w:rPr>
        <w:t xml:space="preserve">, O. I., &amp; </w:t>
      </w:r>
      <w:proofErr w:type="spellStart"/>
      <w:r w:rsidRPr="002F5B39">
        <w:rPr>
          <w:rFonts w:ascii="Times New Roman" w:hAnsi="Times New Roman" w:cs="Times New Roman"/>
          <w:b/>
          <w:bCs/>
          <w:sz w:val="24"/>
          <w:szCs w:val="24"/>
          <w:lang w:val="en-ZA"/>
        </w:rPr>
        <w:t>Zougmore</w:t>
      </w:r>
      <w:proofErr w:type="spellEnd"/>
      <w:r w:rsidRPr="002F5B39">
        <w:rPr>
          <w:rFonts w:ascii="Times New Roman" w:hAnsi="Times New Roman" w:cs="Times New Roman"/>
          <w:b/>
          <w:bCs/>
          <w:sz w:val="24"/>
          <w:szCs w:val="24"/>
          <w:lang w:val="en-ZA"/>
        </w:rPr>
        <w:t>, F. (2022).</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Assessment of Heavy Metal Concentration in Soil and Plant and Evaluation of </w:t>
      </w:r>
      <w:proofErr w:type="spellStart"/>
      <w:r w:rsidRPr="002F5B39">
        <w:rPr>
          <w:rFonts w:ascii="Times New Roman" w:hAnsi="Times New Roman" w:cs="Times New Roman"/>
          <w:sz w:val="24"/>
          <w:szCs w:val="24"/>
          <w:lang w:val="en-ZA"/>
        </w:rPr>
        <w:t>Bioconcentration</w:t>
      </w:r>
      <w:proofErr w:type="spellEnd"/>
      <w:r w:rsidRPr="002F5B39">
        <w:rPr>
          <w:rFonts w:ascii="Times New Roman" w:hAnsi="Times New Roman" w:cs="Times New Roman"/>
          <w:sz w:val="24"/>
          <w:szCs w:val="24"/>
          <w:lang w:val="en-ZA"/>
        </w:rPr>
        <w:t xml:space="preserve"> Factor at </w:t>
      </w:r>
      <w:proofErr w:type="spellStart"/>
      <w:r w:rsidRPr="002F5B39">
        <w:rPr>
          <w:rFonts w:ascii="Times New Roman" w:hAnsi="Times New Roman" w:cs="Times New Roman"/>
          <w:sz w:val="24"/>
          <w:szCs w:val="24"/>
          <w:lang w:val="en-ZA"/>
        </w:rPr>
        <w:t>Loumbila</w:t>
      </w:r>
      <w:proofErr w:type="spellEnd"/>
      <w:r w:rsidRPr="002F5B39">
        <w:rPr>
          <w:rFonts w:ascii="Times New Roman" w:hAnsi="Times New Roman" w:cs="Times New Roman"/>
          <w:sz w:val="24"/>
          <w:szCs w:val="24"/>
          <w:lang w:val="en-ZA"/>
        </w:rPr>
        <w:t xml:space="preserve"> Market Gardening Perimeters, Burkina Faso. </w:t>
      </w:r>
      <w:r w:rsidRPr="002F5B39">
        <w:rPr>
          <w:rFonts w:ascii="Times New Roman" w:hAnsi="Times New Roman" w:cs="Times New Roman"/>
          <w:i/>
          <w:iCs/>
          <w:sz w:val="24"/>
          <w:szCs w:val="24"/>
          <w:lang w:val="en-ZA"/>
        </w:rPr>
        <w:t>Asian Journal of Physical and Chemical Sciences</w:t>
      </w:r>
      <w:r w:rsidRPr="002F5B39">
        <w:rPr>
          <w:rFonts w:ascii="Times New Roman" w:hAnsi="Times New Roman" w:cs="Times New Roman"/>
          <w:sz w:val="24"/>
          <w:szCs w:val="24"/>
          <w:lang w:val="en-ZA"/>
        </w:rPr>
        <w:t xml:space="preserve">, 25‑34. </w:t>
      </w:r>
      <w:hyperlink r:id="rId31" w:history="1">
        <w:r w:rsidRPr="002F5B39">
          <w:rPr>
            <w:rStyle w:val="Lienhypertexte"/>
            <w:rFonts w:ascii="Times New Roman" w:hAnsi="Times New Roman" w:cs="Times New Roman"/>
            <w:sz w:val="24"/>
            <w:szCs w:val="24"/>
            <w:lang w:val="en-ZA"/>
          </w:rPr>
          <w:t>https://doi.org/10.9734/ajopacs/2022/v10i230153</w:t>
        </w:r>
      </w:hyperlink>
    </w:p>
    <w:p w14:paraId="3ECE2A5B"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Onyele</w:t>
      </w:r>
      <w:proofErr w:type="spellEnd"/>
      <w:r w:rsidRPr="002F5B39">
        <w:rPr>
          <w:rFonts w:ascii="Times New Roman" w:hAnsi="Times New Roman" w:cs="Times New Roman"/>
          <w:b/>
          <w:bCs/>
          <w:sz w:val="24"/>
          <w:szCs w:val="24"/>
          <w:lang w:val="en-ZA"/>
        </w:rPr>
        <w:t>, O. G., &amp; Anyanwu, E. D. (2018).</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Human health risk assessment of some heavy metals in a rural spring, </w:t>
      </w:r>
      <w:proofErr w:type="spellStart"/>
      <w:r w:rsidRPr="002F5B39">
        <w:rPr>
          <w:rFonts w:ascii="Times New Roman" w:hAnsi="Times New Roman" w:cs="Times New Roman"/>
          <w:i/>
          <w:iCs/>
          <w:sz w:val="24"/>
          <w:szCs w:val="24"/>
          <w:lang w:val="en-ZA"/>
        </w:rPr>
        <w:t>southeastern</w:t>
      </w:r>
      <w:proofErr w:type="spellEnd"/>
      <w:r w:rsidRPr="002F5B39">
        <w:rPr>
          <w:rFonts w:ascii="Times New Roman" w:hAnsi="Times New Roman" w:cs="Times New Roman"/>
          <w:i/>
          <w:iCs/>
          <w:sz w:val="24"/>
          <w:szCs w:val="24"/>
          <w:lang w:val="en-ZA"/>
        </w:rPr>
        <w:t xml:space="preserve"> Nigeria</w:t>
      </w:r>
      <w:r w:rsidRPr="002F5B39">
        <w:rPr>
          <w:rFonts w:ascii="Times New Roman" w:hAnsi="Times New Roman" w:cs="Times New Roman"/>
          <w:sz w:val="24"/>
          <w:szCs w:val="24"/>
          <w:lang w:val="en-ZA"/>
        </w:rPr>
        <w:t>.</w:t>
      </w:r>
    </w:p>
    <w:p w14:paraId="063BBCF4"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R Core Team.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A Language and Environment for Statistical Computing_. R Foundation for Statistical Computing</w:t>
      </w:r>
      <w:r w:rsidRPr="002F5B39">
        <w:rPr>
          <w:rFonts w:ascii="Times New Roman" w:hAnsi="Times New Roman" w:cs="Times New Roman"/>
          <w:sz w:val="24"/>
          <w:szCs w:val="24"/>
          <w:lang w:val="en-ZA"/>
        </w:rPr>
        <w:t xml:space="preserve">. </w:t>
      </w:r>
      <w:hyperlink r:id="rId32" w:history="1">
        <w:r w:rsidRPr="002F5B39">
          <w:rPr>
            <w:rStyle w:val="Lienhypertexte"/>
            <w:rFonts w:ascii="Times New Roman" w:hAnsi="Times New Roman" w:cs="Times New Roman"/>
            <w:sz w:val="24"/>
            <w:szCs w:val="24"/>
            <w:lang w:val="en-ZA"/>
          </w:rPr>
          <w:t>https://doi.org/https://www.R-project.org/</w:t>
        </w:r>
      </w:hyperlink>
    </w:p>
    <w:p w14:paraId="3CCC9297"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rPr>
      </w:pPr>
      <w:proofErr w:type="spellStart"/>
      <w:r w:rsidRPr="002F5B39">
        <w:rPr>
          <w:rFonts w:ascii="Times New Roman" w:hAnsi="Times New Roman" w:cs="Times New Roman"/>
          <w:b/>
          <w:bCs/>
          <w:sz w:val="24"/>
          <w:szCs w:val="24"/>
          <w:lang w:val="en-ZA"/>
        </w:rPr>
        <w:t>Rinklebe</w:t>
      </w:r>
      <w:proofErr w:type="spellEnd"/>
      <w:r w:rsidRPr="002F5B39">
        <w:rPr>
          <w:rFonts w:ascii="Times New Roman" w:hAnsi="Times New Roman" w:cs="Times New Roman"/>
          <w:b/>
          <w:bCs/>
          <w:sz w:val="24"/>
          <w:szCs w:val="24"/>
          <w:lang w:val="en-ZA"/>
        </w:rPr>
        <w:t xml:space="preserve">, J., Antoniadis, V., </w:t>
      </w:r>
      <w:proofErr w:type="spellStart"/>
      <w:r w:rsidRPr="002F5B39">
        <w:rPr>
          <w:rFonts w:ascii="Times New Roman" w:hAnsi="Times New Roman" w:cs="Times New Roman"/>
          <w:b/>
          <w:bCs/>
          <w:sz w:val="24"/>
          <w:szCs w:val="24"/>
          <w:lang w:val="en-ZA"/>
        </w:rPr>
        <w:t>Shaheen</w:t>
      </w:r>
      <w:proofErr w:type="spellEnd"/>
      <w:r w:rsidRPr="002F5B39">
        <w:rPr>
          <w:rFonts w:ascii="Times New Roman" w:hAnsi="Times New Roman" w:cs="Times New Roman"/>
          <w:b/>
          <w:bCs/>
          <w:sz w:val="24"/>
          <w:szCs w:val="24"/>
          <w:lang w:val="en-ZA"/>
        </w:rPr>
        <w:t xml:space="preserve">, S. M., </w:t>
      </w:r>
      <w:proofErr w:type="spellStart"/>
      <w:r w:rsidRPr="002F5B39">
        <w:rPr>
          <w:rFonts w:ascii="Times New Roman" w:hAnsi="Times New Roman" w:cs="Times New Roman"/>
          <w:b/>
          <w:bCs/>
          <w:sz w:val="24"/>
          <w:szCs w:val="24"/>
          <w:lang w:val="en-ZA"/>
        </w:rPr>
        <w:t>Rosche</w:t>
      </w:r>
      <w:proofErr w:type="spellEnd"/>
      <w:r w:rsidRPr="002F5B39">
        <w:rPr>
          <w:rFonts w:ascii="Times New Roman" w:hAnsi="Times New Roman" w:cs="Times New Roman"/>
          <w:b/>
          <w:bCs/>
          <w:sz w:val="24"/>
          <w:szCs w:val="24"/>
          <w:lang w:val="en-ZA"/>
        </w:rPr>
        <w:t xml:space="preserve">, O., &amp; </w:t>
      </w:r>
      <w:proofErr w:type="spellStart"/>
      <w:r w:rsidRPr="002F5B39">
        <w:rPr>
          <w:rFonts w:ascii="Times New Roman" w:hAnsi="Times New Roman" w:cs="Times New Roman"/>
          <w:b/>
          <w:bCs/>
          <w:sz w:val="24"/>
          <w:szCs w:val="24"/>
          <w:lang w:val="en-ZA"/>
        </w:rPr>
        <w:t>Altermann</w:t>
      </w:r>
      <w:proofErr w:type="spellEnd"/>
      <w:r w:rsidRPr="002F5B39">
        <w:rPr>
          <w:rFonts w:ascii="Times New Roman" w:hAnsi="Times New Roman" w:cs="Times New Roman"/>
          <w:b/>
          <w:bCs/>
          <w:sz w:val="24"/>
          <w:szCs w:val="24"/>
          <w:lang w:val="en-ZA"/>
        </w:rPr>
        <w:t>, M. (2019).</w:t>
      </w:r>
      <w:r w:rsidRPr="002F5B39">
        <w:rPr>
          <w:rFonts w:ascii="Times New Roman" w:hAnsi="Times New Roman" w:cs="Times New Roman"/>
          <w:sz w:val="24"/>
          <w:szCs w:val="24"/>
          <w:lang w:val="en-ZA"/>
        </w:rPr>
        <w:t xml:space="preserve"> Health risk assessment of potentially toxic elements in soils along the Central Elbe River, Germany. </w:t>
      </w:r>
      <w:proofErr w:type="spellStart"/>
      <w:r w:rsidRPr="002F5B39">
        <w:rPr>
          <w:rFonts w:ascii="Times New Roman" w:hAnsi="Times New Roman" w:cs="Times New Roman"/>
          <w:i/>
          <w:iCs/>
          <w:sz w:val="24"/>
          <w:szCs w:val="24"/>
        </w:rPr>
        <w:t>Environment</w:t>
      </w:r>
      <w:proofErr w:type="spellEnd"/>
      <w:r w:rsidRPr="002F5B39">
        <w:rPr>
          <w:rFonts w:ascii="Times New Roman" w:hAnsi="Times New Roman" w:cs="Times New Roman"/>
          <w:i/>
          <w:iCs/>
          <w:sz w:val="24"/>
          <w:szCs w:val="24"/>
        </w:rPr>
        <w:t xml:space="preserve"> International</w:t>
      </w:r>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rPr>
        <w:t>126</w:t>
      </w:r>
      <w:r w:rsidRPr="002F5B39">
        <w:rPr>
          <w:rFonts w:ascii="Times New Roman" w:hAnsi="Times New Roman" w:cs="Times New Roman"/>
          <w:sz w:val="24"/>
          <w:szCs w:val="24"/>
        </w:rPr>
        <w:t xml:space="preserve">, 76‑88. </w:t>
      </w:r>
      <w:hyperlink r:id="rId33" w:history="1">
        <w:r w:rsidRPr="002F5B39">
          <w:rPr>
            <w:rStyle w:val="Lienhypertexte"/>
            <w:rFonts w:ascii="Times New Roman" w:hAnsi="Times New Roman" w:cs="Times New Roman"/>
            <w:sz w:val="24"/>
            <w:szCs w:val="24"/>
          </w:rPr>
          <w:t>https://doi.org/10.1016/j.envint.2019.02.011</w:t>
        </w:r>
      </w:hyperlink>
    </w:p>
    <w:p w14:paraId="0F207C4E"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Senou</w:t>
      </w:r>
      <w:proofErr w:type="spellEnd"/>
      <w:r w:rsidRPr="002F5B39">
        <w:rPr>
          <w:rFonts w:ascii="Times New Roman" w:hAnsi="Times New Roman" w:cs="Times New Roman"/>
          <w:b/>
          <w:bCs/>
          <w:sz w:val="24"/>
          <w:szCs w:val="24"/>
          <w:lang w:val="en-ZA"/>
        </w:rPr>
        <w:t xml:space="preserve">, I., </w:t>
      </w:r>
      <w:proofErr w:type="spellStart"/>
      <w:r w:rsidRPr="002F5B39">
        <w:rPr>
          <w:rFonts w:ascii="Times New Roman" w:hAnsi="Times New Roman" w:cs="Times New Roman"/>
          <w:b/>
          <w:bCs/>
          <w:sz w:val="24"/>
          <w:szCs w:val="24"/>
          <w:lang w:val="en-ZA"/>
        </w:rPr>
        <w:t>Nimi</w:t>
      </w:r>
      <w:proofErr w:type="spellEnd"/>
      <w:r w:rsidRPr="002F5B39">
        <w:rPr>
          <w:rFonts w:ascii="Times New Roman" w:hAnsi="Times New Roman" w:cs="Times New Roman"/>
          <w:b/>
          <w:bCs/>
          <w:sz w:val="24"/>
          <w:szCs w:val="24"/>
          <w:lang w:val="en-ZA"/>
        </w:rPr>
        <w:t xml:space="preserve">, M., B. </w:t>
      </w:r>
      <w:proofErr w:type="spellStart"/>
      <w:r w:rsidRPr="002F5B39">
        <w:rPr>
          <w:rFonts w:ascii="Times New Roman" w:hAnsi="Times New Roman" w:cs="Times New Roman"/>
          <w:b/>
          <w:bCs/>
          <w:sz w:val="24"/>
          <w:szCs w:val="24"/>
          <w:lang w:val="en-ZA"/>
        </w:rPr>
        <w:t>Nacro</w:t>
      </w:r>
      <w:proofErr w:type="spellEnd"/>
      <w:r w:rsidRPr="002F5B39">
        <w:rPr>
          <w:rFonts w:ascii="Times New Roman" w:hAnsi="Times New Roman" w:cs="Times New Roman"/>
          <w:b/>
          <w:bCs/>
          <w:sz w:val="24"/>
          <w:szCs w:val="24"/>
          <w:lang w:val="en-ZA"/>
        </w:rPr>
        <w:t>, H., &amp; N. Some, A. (2019).</w:t>
      </w:r>
      <w:r w:rsidRPr="002F5B39">
        <w:rPr>
          <w:rFonts w:ascii="Times New Roman" w:hAnsi="Times New Roman" w:cs="Times New Roman"/>
          <w:sz w:val="24"/>
          <w:szCs w:val="24"/>
        </w:rPr>
        <w:t xml:space="preserve"> Evaluation du niveau de transfert de métaux lourds (cadmium, cuivre, plomb et zinc) dans Lactuca sativa L. </w:t>
      </w:r>
      <w:proofErr w:type="spellStart"/>
      <w:r w:rsidRPr="002F5B39">
        <w:rPr>
          <w:rFonts w:ascii="Times New Roman" w:hAnsi="Times New Roman" w:cs="Times New Roman"/>
          <w:sz w:val="24"/>
          <w:szCs w:val="24"/>
        </w:rPr>
        <w:t>co</w:t>
      </w:r>
      <w:proofErr w:type="spellEnd"/>
      <w:r w:rsidRPr="002F5B39">
        <w:rPr>
          <w:rFonts w:ascii="Times New Roman" w:hAnsi="Times New Roman" w:cs="Times New Roman"/>
          <w:sz w:val="24"/>
          <w:szCs w:val="24"/>
        </w:rPr>
        <w:t xml:space="preserve">-cultivée avec </w:t>
      </w:r>
      <w:proofErr w:type="spellStart"/>
      <w:r w:rsidRPr="002F5B39">
        <w:rPr>
          <w:rFonts w:ascii="Times New Roman" w:hAnsi="Times New Roman" w:cs="Times New Roman"/>
          <w:sz w:val="24"/>
          <w:szCs w:val="24"/>
        </w:rPr>
        <w:t>Cymbopogon</w:t>
      </w:r>
      <w:proofErr w:type="spellEnd"/>
      <w:r w:rsidRPr="002F5B39">
        <w:rPr>
          <w:rFonts w:ascii="Times New Roman" w:hAnsi="Times New Roman" w:cs="Times New Roman"/>
          <w:sz w:val="24"/>
          <w:szCs w:val="24"/>
        </w:rPr>
        <w:t xml:space="preserve"> </w:t>
      </w:r>
      <w:proofErr w:type="spellStart"/>
      <w:r w:rsidRPr="002F5B39">
        <w:rPr>
          <w:rFonts w:ascii="Times New Roman" w:hAnsi="Times New Roman" w:cs="Times New Roman"/>
          <w:sz w:val="24"/>
          <w:szCs w:val="24"/>
        </w:rPr>
        <w:t>citratus</w:t>
      </w:r>
      <w:proofErr w:type="spellEnd"/>
      <w:r w:rsidRPr="002F5B39">
        <w:rPr>
          <w:rFonts w:ascii="Times New Roman" w:hAnsi="Times New Roman" w:cs="Times New Roman"/>
          <w:sz w:val="24"/>
          <w:szCs w:val="24"/>
        </w:rPr>
        <w:t xml:space="preserve"> (DC) </w:t>
      </w:r>
      <w:proofErr w:type="spellStart"/>
      <w:r w:rsidRPr="002F5B39">
        <w:rPr>
          <w:rFonts w:ascii="Times New Roman" w:hAnsi="Times New Roman" w:cs="Times New Roman"/>
          <w:sz w:val="24"/>
          <w:szCs w:val="24"/>
        </w:rPr>
        <w:t>Stapf</w:t>
      </w:r>
      <w:proofErr w:type="spellEnd"/>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lang w:val="en-ZA"/>
        </w:rPr>
        <w:t>Journal of Applied Biosciences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144</w:t>
      </w:r>
      <w:r w:rsidRPr="002F5B39">
        <w:rPr>
          <w:rFonts w:ascii="Times New Roman" w:hAnsi="Times New Roman" w:cs="Times New Roman"/>
          <w:sz w:val="24"/>
          <w:szCs w:val="24"/>
          <w:lang w:val="en-ZA"/>
        </w:rPr>
        <w:t xml:space="preserve">, 14801‑14812. </w:t>
      </w:r>
      <w:hyperlink r:id="rId34" w:history="1">
        <w:r w:rsidRPr="002F5B39">
          <w:rPr>
            <w:rStyle w:val="Lienhypertexte"/>
            <w:rFonts w:ascii="Times New Roman" w:hAnsi="Times New Roman" w:cs="Times New Roman"/>
            <w:sz w:val="24"/>
            <w:szCs w:val="24"/>
            <w:lang w:val="en-ZA"/>
          </w:rPr>
          <w:t>https://doi.org/10.35759/JABs.v144.8</w:t>
        </w:r>
      </w:hyperlink>
    </w:p>
    <w:p w14:paraId="6C4D80D1"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Senou</w:t>
      </w:r>
      <w:proofErr w:type="spellEnd"/>
      <w:r w:rsidRPr="002F5B39">
        <w:rPr>
          <w:rFonts w:ascii="Times New Roman" w:hAnsi="Times New Roman" w:cs="Times New Roman"/>
          <w:b/>
          <w:bCs/>
          <w:sz w:val="24"/>
          <w:szCs w:val="24"/>
          <w:lang w:val="en-ZA"/>
        </w:rPr>
        <w:t xml:space="preserve">, I., </w:t>
      </w:r>
      <w:proofErr w:type="spellStart"/>
      <w:r w:rsidRPr="002F5B39">
        <w:rPr>
          <w:rFonts w:ascii="Times New Roman" w:hAnsi="Times New Roman" w:cs="Times New Roman"/>
          <w:b/>
          <w:bCs/>
          <w:sz w:val="24"/>
          <w:szCs w:val="24"/>
          <w:lang w:val="en-ZA"/>
        </w:rPr>
        <w:t>Ouedraogo</w:t>
      </w:r>
      <w:proofErr w:type="spellEnd"/>
      <w:r w:rsidRPr="002F5B39">
        <w:rPr>
          <w:rFonts w:ascii="Times New Roman" w:hAnsi="Times New Roman" w:cs="Times New Roman"/>
          <w:b/>
          <w:bCs/>
          <w:sz w:val="24"/>
          <w:szCs w:val="24"/>
          <w:lang w:val="en-ZA"/>
        </w:rPr>
        <w:t xml:space="preserve">, H., </w:t>
      </w:r>
      <w:proofErr w:type="spellStart"/>
      <w:r w:rsidRPr="002F5B39">
        <w:rPr>
          <w:rFonts w:ascii="Times New Roman" w:hAnsi="Times New Roman" w:cs="Times New Roman"/>
          <w:b/>
          <w:bCs/>
          <w:sz w:val="24"/>
          <w:szCs w:val="24"/>
          <w:lang w:val="en-ZA"/>
        </w:rPr>
        <w:t>Nacanabo</w:t>
      </w:r>
      <w:proofErr w:type="spellEnd"/>
      <w:r w:rsidRPr="002F5B39">
        <w:rPr>
          <w:rFonts w:ascii="Times New Roman" w:hAnsi="Times New Roman" w:cs="Times New Roman"/>
          <w:b/>
          <w:bCs/>
          <w:sz w:val="24"/>
          <w:szCs w:val="24"/>
          <w:lang w:val="en-ZA"/>
        </w:rPr>
        <w:t xml:space="preserve">, B., &amp; </w:t>
      </w:r>
      <w:proofErr w:type="spellStart"/>
      <w:r w:rsidRPr="002F5B39">
        <w:rPr>
          <w:rFonts w:ascii="Times New Roman" w:hAnsi="Times New Roman" w:cs="Times New Roman"/>
          <w:b/>
          <w:bCs/>
          <w:sz w:val="24"/>
          <w:szCs w:val="24"/>
          <w:lang w:val="en-ZA"/>
        </w:rPr>
        <w:t>Nacro</w:t>
      </w:r>
      <w:proofErr w:type="spellEnd"/>
      <w:r w:rsidRPr="002F5B39">
        <w:rPr>
          <w:rFonts w:ascii="Times New Roman" w:hAnsi="Times New Roman" w:cs="Times New Roman"/>
          <w:b/>
          <w:bCs/>
          <w:sz w:val="24"/>
          <w:szCs w:val="24"/>
          <w:lang w:val="en-ZA"/>
        </w:rPr>
        <w:t>, H. B.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Impact of waste treatment methods used in urban agriculture on environmental pollution risks and producer health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40</w:t>
      </w:r>
      <w:r w:rsidRPr="002F5B39">
        <w:rPr>
          <w:rFonts w:ascii="Times New Roman" w:hAnsi="Times New Roman" w:cs="Times New Roman"/>
          <w:sz w:val="24"/>
          <w:szCs w:val="24"/>
          <w:lang w:val="en-ZA"/>
        </w:rPr>
        <w:t>(13), 906‑913.</w:t>
      </w:r>
    </w:p>
    <w:p w14:paraId="7453D2E0"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Somda</w:t>
      </w:r>
      <w:proofErr w:type="spellEnd"/>
      <w:r w:rsidRPr="002F5B39">
        <w:rPr>
          <w:rFonts w:ascii="Times New Roman" w:hAnsi="Times New Roman" w:cs="Times New Roman"/>
          <w:b/>
          <w:bCs/>
          <w:sz w:val="24"/>
          <w:szCs w:val="24"/>
          <w:lang w:val="en-ZA"/>
        </w:rPr>
        <w:t xml:space="preserve">, M. K., </w:t>
      </w:r>
      <w:proofErr w:type="spellStart"/>
      <w:r w:rsidRPr="002F5B39">
        <w:rPr>
          <w:rFonts w:ascii="Times New Roman" w:hAnsi="Times New Roman" w:cs="Times New Roman"/>
          <w:b/>
          <w:bCs/>
          <w:sz w:val="24"/>
          <w:szCs w:val="24"/>
          <w:lang w:val="en-ZA"/>
        </w:rPr>
        <w:t>Kabore</w:t>
      </w:r>
      <w:proofErr w:type="spellEnd"/>
      <w:r w:rsidRPr="002F5B39">
        <w:rPr>
          <w:rFonts w:ascii="Times New Roman" w:hAnsi="Times New Roman" w:cs="Times New Roman"/>
          <w:b/>
          <w:bCs/>
          <w:sz w:val="24"/>
          <w:szCs w:val="24"/>
          <w:lang w:val="en-ZA"/>
        </w:rPr>
        <w:t xml:space="preserve">, D., </w:t>
      </w:r>
      <w:proofErr w:type="spellStart"/>
      <w:r w:rsidRPr="002F5B39">
        <w:rPr>
          <w:rFonts w:ascii="Times New Roman" w:hAnsi="Times New Roman" w:cs="Times New Roman"/>
          <w:b/>
          <w:bCs/>
          <w:sz w:val="24"/>
          <w:szCs w:val="24"/>
          <w:lang w:val="en-ZA"/>
        </w:rPr>
        <w:t>Mogmenga</w:t>
      </w:r>
      <w:proofErr w:type="spellEnd"/>
      <w:r w:rsidRPr="002F5B39">
        <w:rPr>
          <w:rFonts w:ascii="Times New Roman" w:hAnsi="Times New Roman" w:cs="Times New Roman"/>
          <w:b/>
          <w:bCs/>
          <w:sz w:val="24"/>
          <w:szCs w:val="24"/>
          <w:lang w:val="en-ZA"/>
        </w:rPr>
        <w:t xml:space="preserve">, I., Ouattara, C. A. T., Ouattara, A., </w:t>
      </w:r>
      <w:proofErr w:type="spellStart"/>
      <w:r w:rsidRPr="002F5B39">
        <w:rPr>
          <w:rFonts w:ascii="Times New Roman" w:hAnsi="Times New Roman" w:cs="Times New Roman"/>
          <w:b/>
          <w:bCs/>
          <w:sz w:val="24"/>
          <w:szCs w:val="24"/>
          <w:lang w:val="en-ZA"/>
        </w:rPr>
        <w:t>Dabire</w:t>
      </w:r>
      <w:proofErr w:type="spellEnd"/>
      <w:r w:rsidRPr="002F5B39">
        <w:rPr>
          <w:rFonts w:ascii="Times New Roman" w:hAnsi="Times New Roman" w:cs="Times New Roman"/>
          <w:b/>
          <w:bCs/>
          <w:sz w:val="24"/>
          <w:szCs w:val="24"/>
          <w:lang w:val="en-ZA"/>
        </w:rPr>
        <w:t xml:space="preserve">, Y., </w:t>
      </w:r>
      <w:proofErr w:type="spellStart"/>
      <w:r w:rsidRPr="002F5B39">
        <w:rPr>
          <w:rFonts w:ascii="Times New Roman" w:hAnsi="Times New Roman" w:cs="Times New Roman"/>
          <w:b/>
          <w:bCs/>
          <w:sz w:val="24"/>
          <w:szCs w:val="24"/>
          <w:lang w:val="en-ZA"/>
        </w:rPr>
        <w:t>Nikiema</w:t>
      </w:r>
      <w:proofErr w:type="spellEnd"/>
      <w:r w:rsidRPr="002F5B39">
        <w:rPr>
          <w:rFonts w:ascii="Times New Roman" w:hAnsi="Times New Roman" w:cs="Times New Roman"/>
          <w:b/>
          <w:bCs/>
          <w:sz w:val="24"/>
          <w:szCs w:val="24"/>
          <w:lang w:val="en-ZA"/>
        </w:rPr>
        <w:t>,</w:t>
      </w:r>
      <w:r w:rsidRPr="002F5B39">
        <w:rPr>
          <w:rFonts w:ascii="Times New Roman" w:hAnsi="Times New Roman" w:cs="Times New Roman"/>
          <w:sz w:val="24"/>
          <w:szCs w:val="24"/>
          <w:lang w:val="en-ZA"/>
        </w:rPr>
        <w:t xml:space="preserve"> </w:t>
      </w:r>
      <w:r w:rsidRPr="002F5B39">
        <w:rPr>
          <w:rFonts w:ascii="Times New Roman" w:hAnsi="Times New Roman" w:cs="Times New Roman"/>
          <w:b/>
          <w:bCs/>
          <w:sz w:val="24"/>
          <w:szCs w:val="24"/>
          <w:lang w:val="en-ZA"/>
        </w:rPr>
        <w:t xml:space="preserve">M., </w:t>
      </w:r>
      <w:proofErr w:type="spellStart"/>
      <w:r w:rsidRPr="002F5B39">
        <w:rPr>
          <w:rFonts w:ascii="Times New Roman" w:hAnsi="Times New Roman" w:cs="Times New Roman"/>
          <w:b/>
          <w:bCs/>
          <w:sz w:val="24"/>
          <w:szCs w:val="24"/>
          <w:lang w:val="en-ZA"/>
        </w:rPr>
        <w:t>Mihin</w:t>
      </w:r>
      <w:proofErr w:type="spellEnd"/>
      <w:r w:rsidRPr="002F5B39">
        <w:rPr>
          <w:rFonts w:ascii="Times New Roman" w:hAnsi="Times New Roman" w:cs="Times New Roman"/>
          <w:b/>
          <w:bCs/>
          <w:sz w:val="24"/>
          <w:szCs w:val="24"/>
          <w:lang w:val="en-ZA"/>
        </w:rPr>
        <w:t xml:space="preserve">, H. B., </w:t>
      </w:r>
      <w:proofErr w:type="spellStart"/>
      <w:r w:rsidRPr="002F5B39">
        <w:rPr>
          <w:rFonts w:ascii="Times New Roman" w:hAnsi="Times New Roman" w:cs="Times New Roman"/>
          <w:b/>
          <w:bCs/>
          <w:sz w:val="24"/>
          <w:szCs w:val="24"/>
          <w:lang w:val="en-ZA"/>
        </w:rPr>
        <w:t>Akakpo</w:t>
      </w:r>
      <w:proofErr w:type="spellEnd"/>
      <w:r w:rsidRPr="002F5B39">
        <w:rPr>
          <w:rFonts w:ascii="Times New Roman" w:hAnsi="Times New Roman" w:cs="Times New Roman"/>
          <w:b/>
          <w:bCs/>
          <w:sz w:val="24"/>
          <w:szCs w:val="24"/>
          <w:lang w:val="en-ZA"/>
        </w:rPr>
        <w:t xml:space="preserve">, A. Y., </w:t>
      </w:r>
      <w:proofErr w:type="spellStart"/>
      <w:r w:rsidRPr="002F5B39">
        <w:rPr>
          <w:rFonts w:ascii="Times New Roman" w:hAnsi="Times New Roman" w:cs="Times New Roman"/>
          <w:b/>
          <w:bCs/>
          <w:sz w:val="24"/>
          <w:szCs w:val="24"/>
          <w:lang w:val="en-ZA"/>
        </w:rPr>
        <w:t>Ouedraogo</w:t>
      </w:r>
      <w:proofErr w:type="spellEnd"/>
      <w:r w:rsidRPr="002F5B39">
        <w:rPr>
          <w:rFonts w:ascii="Times New Roman" w:hAnsi="Times New Roman" w:cs="Times New Roman"/>
          <w:b/>
          <w:bCs/>
          <w:sz w:val="24"/>
          <w:szCs w:val="24"/>
          <w:lang w:val="en-ZA"/>
        </w:rPr>
        <w:t>, O., Traore, A. S., &amp; Ouattara, A. S. (2019).</w:t>
      </w:r>
      <w:r w:rsidRPr="002F5B39">
        <w:rPr>
          <w:rFonts w:ascii="Times New Roman" w:hAnsi="Times New Roman" w:cs="Times New Roman"/>
          <w:sz w:val="24"/>
          <w:szCs w:val="24"/>
          <w:lang w:val="en-ZA"/>
        </w:rPr>
        <w:t xml:space="preserve"> Health Risk Assessment of Heavy Metals and Microbial Quality of Local Tomato (&amp;</w:t>
      </w:r>
      <w:proofErr w:type="spellStart"/>
      <w:r w:rsidRPr="002F5B39">
        <w:rPr>
          <w:rFonts w:ascii="Times New Roman" w:hAnsi="Times New Roman" w:cs="Times New Roman"/>
          <w:sz w:val="24"/>
          <w:szCs w:val="24"/>
          <w:lang w:val="en-ZA"/>
        </w:rPr>
        <w:t>lt</w:t>
      </w:r>
      <w:proofErr w:type="gramStart"/>
      <w:r w:rsidRPr="002F5B39">
        <w:rPr>
          <w:rFonts w:ascii="Times New Roman" w:hAnsi="Times New Roman" w:cs="Times New Roman"/>
          <w:sz w:val="24"/>
          <w:szCs w:val="24"/>
          <w:lang w:val="en-ZA"/>
        </w:rPr>
        <w:t>;i</w:t>
      </w:r>
      <w:proofErr w:type="gramEnd"/>
      <w:r w:rsidRPr="002F5B39">
        <w:rPr>
          <w:rFonts w:ascii="Times New Roman" w:hAnsi="Times New Roman" w:cs="Times New Roman"/>
          <w:sz w:val="24"/>
          <w:szCs w:val="24"/>
          <w:lang w:val="en-ZA"/>
        </w:rPr>
        <w:t>&amp;gt;Solanum</w:t>
      </w:r>
      <w:proofErr w:type="spellEnd"/>
      <w:r w:rsidRPr="002F5B39">
        <w:rPr>
          <w:rFonts w:ascii="Times New Roman" w:hAnsi="Times New Roman" w:cs="Times New Roman"/>
          <w:sz w:val="24"/>
          <w:szCs w:val="24"/>
          <w:lang w:val="en-ZA"/>
        </w:rPr>
        <w:t xml:space="preserve"> </w:t>
      </w:r>
      <w:proofErr w:type="spellStart"/>
      <w:r w:rsidRPr="002F5B39">
        <w:rPr>
          <w:rFonts w:ascii="Times New Roman" w:hAnsi="Times New Roman" w:cs="Times New Roman"/>
          <w:sz w:val="24"/>
          <w:szCs w:val="24"/>
          <w:lang w:val="en-ZA"/>
        </w:rPr>
        <w:t>lycopersicum&amp;lt</w:t>
      </w:r>
      <w:proofErr w:type="spellEnd"/>
      <w:r w:rsidRPr="002F5B39">
        <w:rPr>
          <w:rFonts w:ascii="Times New Roman" w:hAnsi="Times New Roman" w:cs="Times New Roman"/>
          <w:sz w:val="24"/>
          <w:szCs w:val="24"/>
          <w:lang w:val="en-ZA"/>
        </w:rPr>
        <w:t>;/</w:t>
      </w:r>
      <w:proofErr w:type="spellStart"/>
      <w:r w:rsidRPr="002F5B39">
        <w:rPr>
          <w:rFonts w:ascii="Times New Roman" w:hAnsi="Times New Roman" w:cs="Times New Roman"/>
          <w:sz w:val="24"/>
          <w:szCs w:val="24"/>
          <w:lang w:val="en-ZA"/>
        </w:rPr>
        <w:t>i&amp;gt</w:t>
      </w:r>
      <w:proofErr w:type="spellEnd"/>
      <w:r w:rsidRPr="002F5B39">
        <w:rPr>
          <w:rFonts w:ascii="Times New Roman" w:hAnsi="Times New Roman" w:cs="Times New Roman"/>
          <w:sz w:val="24"/>
          <w:szCs w:val="24"/>
          <w:lang w:val="en-ZA"/>
        </w:rPr>
        <w:t xml:space="preserve">;) of Ouagadougou, Burkina Faso. </w:t>
      </w:r>
      <w:r w:rsidRPr="002F5B39">
        <w:rPr>
          <w:rFonts w:ascii="Times New Roman" w:hAnsi="Times New Roman" w:cs="Times New Roman"/>
          <w:i/>
          <w:iCs/>
          <w:sz w:val="24"/>
          <w:szCs w:val="24"/>
          <w:lang w:val="en-ZA"/>
        </w:rPr>
        <w:t>Journal of Environmental Protection</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10</w:t>
      </w:r>
      <w:r w:rsidRPr="002F5B39">
        <w:rPr>
          <w:rFonts w:ascii="Times New Roman" w:hAnsi="Times New Roman" w:cs="Times New Roman"/>
          <w:sz w:val="24"/>
          <w:szCs w:val="24"/>
          <w:lang w:val="en-ZA"/>
        </w:rPr>
        <w:t xml:space="preserve">(07), 942‑957. </w:t>
      </w:r>
      <w:hyperlink r:id="rId35" w:history="1">
        <w:r w:rsidRPr="002F5B39">
          <w:rPr>
            <w:rStyle w:val="Lienhypertexte"/>
            <w:rFonts w:ascii="Times New Roman" w:hAnsi="Times New Roman" w:cs="Times New Roman"/>
            <w:sz w:val="24"/>
            <w:szCs w:val="24"/>
            <w:lang w:val="en-ZA"/>
          </w:rPr>
          <w:t>https://doi.org/10.4236/jep.2019.107056</w:t>
        </w:r>
      </w:hyperlink>
    </w:p>
    <w:p w14:paraId="4ECDCC71" w14:textId="77777777" w:rsidR="008E4F62" w:rsidRPr="002F5B39" w:rsidRDefault="008E4F62" w:rsidP="002F5B39">
      <w:pPr>
        <w:pStyle w:val="Bibliographie"/>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Song, D., Zhuang, D., Jiang, D., Fu, J., &amp; Wang, Q. (2015)</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Integrated Health Risk Assessment of Heavy Metals in </w:t>
      </w:r>
      <w:proofErr w:type="spellStart"/>
      <w:r w:rsidRPr="002F5B39">
        <w:rPr>
          <w:rFonts w:ascii="Times New Roman" w:hAnsi="Times New Roman" w:cs="Times New Roman"/>
          <w:i/>
          <w:iCs/>
          <w:sz w:val="24"/>
          <w:szCs w:val="24"/>
          <w:lang w:val="en-ZA"/>
        </w:rPr>
        <w:t>Suxian</w:t>
      </w:r>
      <w:proofErr w:type="spellEnd"/>
      <w:r w:rsidRPr="002F5B39">
        <w:rPr>
          <w:rFonts w:ascii="Times New Roman" w:hAnsi="Times New Roman" w:cs="Times New Roman"/>
          <w:i/>
          <w:iCs/>
          <w:sz w:val="24"/>
          <w:szCs w:val="24"/>
          <w:lang w:val="en-ZA"/>
        </w:rPr>
        <w:t xml:space="preserve"> County, South China</w:t>
      </w:r>
      <w:r w:rsidRPr="002F5B39">
        <w:rPr>
          <w:rFonts w:ascii="Times New Roman" w:hAnsi="Times New Roman" w:cs="Times New Roman"/>
          <w:sz w:val="24"/>
          <w:szCs w:val="24"/>
          <w:lang w:val="en-ZA"/>
        </w:rPr>
        <w:t>.</w:t>
      </w:r>
    </w:p>
    <w:p w14:paraId="04A3DF27" w14:textId="77777777" w:rsidR="008E4F62" w:rsidRPr="008E4F62" w:rsidRDefault="008E4F62">
      <w:pPr>
        <w:rPr>
          <w:rFonts w:ascii="Times New Roman" w:hAnsi="Times New Roman" w:cs="Times New Roman"/>
          <w:b/>
          <w:sz w:val="24"/>
          <w:szCs w:val="24"/>
          <w:lang w:val="en-ZA"/>
        </w:rPr>
      </w:pPr>
    </w:p>
    <w:sectPr w:rsidR="008E4F62" w:rsidRPr="008E4F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CC729" w14:textId="77777777" w:rsidR="0019795D" w:rsidRDefault="0019795D" w:rsidP="004D22E1">
      <w:pPr>
        <w:spacing w:after="0" w:line="240" w:lineRule="auto"/>
      </w:pPr>
      <w:r>
        <w:separator/>
      </w:r>
    </w:p>
  </w:endnote>
  <w:endnote w:type="continuationSeparator" w:id="0">
    <w:p w14:paraId="72485986" w14:textId="77777777" w:rsidR="0019795D" w:rsidRDefault="0019795D" w:rsidP="004D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168DB" w14:textId="77777777" w:rsidR="00A04434" w:rsidRDefault="00A044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C06F9" w14:textId="77777777" w:rsidR="00A04434" w:rsidRDefault="00A044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6D60" w14:textId="77777777" w:rsidR="00A04434" w:rsidRDefault="00A044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2EF9E" w14:textId="77777777" w:rsidR="0019795D" w:rsidRDefault="0019795D" w:rsidP="004D22E1">
      <w:pPr>
        <w:spacing w:after="0" w:line="240" w:lineRule="auto"/>
      </w:pPr>
      <w:r>
        <w:separator/>
      </w:r>
    </w:p>
  </w:footnote>
  <w:footnote w:type="continuationSeparator" w:id="0">
    <w:p w14:paraId="6AF8E4DF" w14:textId="77777777" w:rsidR="0019795D" w:rsidRDefault="0019795D" w:rsidP="004D2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C7ED3" w14:textId="02E942E5" w:rsidR="00A04434" w:rsidRDefault="0019795D">
    <w:pPr>
      <w:pStyle w:val="En-tte"/>
    </w:pPr>
    <w:r>
      <w:rPr>
        <w:noProof/>
      </w:rPr>
      <w:pict w14:anchorId="2E04A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4DF36" w14:textId="0A33F058" w:rsidR="00A04434" w:rsidRDefault="0019795D">
    <w:pPr>
      <w:pStyle w:val="En-tte"/>
    </w:pPr>
    <w:r>
      <w:rPr>
        <w:noProof/>
      </w:rPr>
      <w:pict w14:anchorId="59F0E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EF232" w14:textId="177DA870" w:rsidR="00A04434" w:rsidRDefault="0019795D">
    <w:pPr>
      <w:pStyle w:val="En-tte"/>
    </w:pPr>
    <w:r>
      <w:rPr>
        <w:noProof/>
      </w:rPr>
      <w:pict w14:anchorId="39B2B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885"/>
    <w:multiLevelType w:val="hybridMultilevel"/>
    <w:tmpl w:val="C0868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873ACE"/>
    <w:multiLevelType w:val="multilevel"/>
    <w:tmpl w:val="6884E7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C3924"/>
    <w:multiLevelType w:val="multilevel"/>
    <w:tmpl w:val="B3E4D982"/>
    <w:lvl w:ilvl="0">
      <w:start w:val="1"/>
      <w:numFmt w:val="upperRoman"/>
      <w:lvlText w:val="%1."/>
      <w:lvlJc w:val="right"/>
      <w:pPr>
        <w:ind w:left="720" w:hanging="360"/>
      </w:pPr>
    </w:lvl>
    <w:lvl w:ilvl="1">
      <w:start w:val="2"/>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7D418E"/>
    <w:multiLevelType w:val="multilevel"/>
    <w:tmpl w:val="4BC8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C0DA8"/>
    <w:multiLevelType w:val="hybridMultilevel"/>
    <w:tmpl w:val="1D883F2E"/>
    <w:lvl w:ilvl="0" w:tplc="E96C666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D506B1"/>
    <w:multiLevelType w:val="hybridMultilevel"/>
    <w:tmpl w:val="BB4E1A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572382"/>
    <w:multiLevelType w:val="hybridMultilevel"/>
    <w:tmpl w:val="20F83F34"/>
    <w:lvl w:ilvl="0" w:tplc="C3565C4A">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BF449D"/>
    <w:multiLevelType w:val="hybridMultilevel"/>
    <w:tmpl w:val="19C861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084BD9"/>
    <w:multiLevelType w:val="hybridMultilevel"/>
    <w:tmpl w:val="23945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6B1DE8"/>
    <w:multiLevelType w:val="hybridMultilevel"/>
    <w:tmpl w:val="982E810E"/>
    <w:lvl w:ilvl="0" w:tplc="638A3766">
      <w:start w:val="1"/>
      <w:numFmt w:val="lowerRoman"/>
      <w:lvlText w:val="(%1)"/>
      <w:lvlJc w:val="left"/>
      <w:pPr>
        <w:ind w:left="1080" w:hanging="720"/>
      </w:pPr>
      <w:rPr>
        <w:rFonts w:ascii="Times New Roman" w:eastAsiaTheme="minorHAnsi" w:hAnsi="Times New Roman"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DD2F55"/>
    <w:multiLevelType w:val="hybridMultilevel"/>
    <w:tmpl w:val="2606374E"/>
    <w:lvl w:ilvl="0" w:tplc="F69C6D30">
      <w:start w:val="1"/>
      <w:numFmt w:val="decimal"/>
      <w:lvlText w:val="%1"/>
      <w:lvlJc w:val="left"/>
      <w:pPr>
        <w:ind w:left="1068" w:hanging="360"/>
      </w:pPr>
      <w:rPr>
        <w:rFonts w:ascii="Arial" w:hAnsi="Arial" w:cs="Aria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3E3421DF"/>
    <w:multiLevelType w:val="hybridMultilevel"/>
    <w:tmpl w:val="666CA1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9D592B"/>
    <w:multiLevelType w:val="hybridMultilevel"/>
    <w:tmpl w:val="DE90CD9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3" w15:restartNumberingAfterBreak="0">
    <w:nsid w:val="417B490B"/>
    <w:multiLevelType w:val="hybridMultilevel"/>
    <w:tmpl w:val="AE021878"/>
    <w:lvl w:ilvl="0" w:tplc="DF020470">
      <w:start w:val="1"/>
      <w:numFmt w:val="lowerRoman"/>
      <w:lvlText w:val="%1."/>
      <w:lvlJc w:val="left"/>
      <w:pPr>
        <w:ind w:left="1800" w:hanging="360"/>
      </w:pPr>
      <w:rPr>
        <w:rFonts w:hint="default"/>
      </w:rPr>
    </w:lvl>
    <w:lvl w:ilvl="1" w:tplc="32C03F88">
      <w:start w:val="1"/>
      <w:numFmt w:val="lowerRoman"/>
      <w:lvlText w:val="(%2)"/>
      <w:lvlJc w:val="left"/>
      <w:pPr>
        <w:ind w:left="502" w:hanging="360"/>
      </w:pPr>
      <w:rPr>
        <w:rFonts w:ascii="Times New Roman" w:eastAsiaTheme="minorHAnsi" w:hAnsi="Times New Roman" w:cs="Times New Roman"/>
      </w:rPr>
    </w:lvl>
    <w:lvl w:ilvl="2" w:tplc="70C00322">
      <w:start w:val="2"/>
      <w:numFmt w:val="decimal"/>
      <w:lvlText w:val="%3."/>
      <w:lvlJc w:val="left"/>
      <w:pPr>
        <w:ind w:left="2340" w:hanging="360"/>
      </w:pPr>
      <w:rPr>
        <w:rFonts w:hint="default"/>
      </w:rPr>
    </w:lvl>
    <w:lvl w:ilvl="3" w:tplc="3880DE76">
      <w:start w:val="1"/>
      <w:numFmt w:val="upperRoman"/>
      <w:lvlText w:val="%4."/>
      <w:lvlJc w:val="left"/>
      <w:pPr>
        <w:ind w:left="3240" w:hanging="720"/>
      </w:pPr>
      <w:rPr>
        <w:rFonts w:hint="default"/>
      </w:rPr>
    </w:lvl>
    <w:lvl w:ilvl="4" w:tplc="980CA616">
      <w:start w:val="1"/>
      <w:numFmt w:val="lowerLetter"/>
      <w:lvlText w:val="%5)"/>
      <w:lvlJc w:val="left"/>
      <w:pPr>
        <w:ind w:left="3600" w:hanging="360"/>
      </w:pPr>
      <w:rPr>
        <w:rFonts w:hint="default"/>
      </w:rPr>
    </w:lvl>
    <w:lvl w:ilvl="5" w:tplc="EDA093B2">
      <w:start w:val="4"/>
      <w:numFmt w:val="decimal"/>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7B00D1"/>
    <w:multiLevelType w:val="hybridMultilevel"/>
    <w:tmpl w:val="991E96C8"/>
    <w:lvl w:ilvl="0" w:tplc="198A230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3C06C57"/>
    <w:multiLevelType w:val="hybridMultilevel"/>
    <w:tmpl w:val="3E08359A"/>
    <w:lvl w:ilvl="0" w:tplc="E96C666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545FCE"/>
    <w:multiLevelType w:val="hybridMultilevel"/>
    <w:tmpl w:val="7ECE0E5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002F4F"/>
    <w:multiLevelType w:val="hybridMultilevel"/>
    <w:tmpl w:val="47A26044"/>
    <w:lvl w:ilvl="0" w:tplc="3A869E8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6A19C9"/>
    <w:multiLevelType w:val="hybridMultilevel"/>
    <w:tmpl w:val="495E32F0"/>
    <w:lvl w:ilvl="0" w:tplc="763A0430">
      <w:start w:val="1"/>
      <w:numFmt w:val="upperRoman"/>
      <w:lvlText w:val="%1."/>
      <w:lvlJc w:val="right"/>
      <w:pPr>
        <w:ind w:left="720" w:hanging="360"/>
      </w:pPr>
      <w:rPr>
        <w:rFonts w:ascii="Arial" w:hAnsi="Arial" w:cs="Arial" w:hint="default"/>
        <w:b/>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FC38A4"/>
    <w:multiLevelType w:val="hybridMultilevel"/>
    <w:tmpl w:val="513A8AAA"/>
    <w:lvl w:ilvl="0" w:tplc="0FC0AA8C">
      <w:start w:val="1"/>
      <w:numFmt w:val="low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CE10CFD"/>
    <w:multiLevelType w:val="hybridMultilevel"/>
    <w:tmpl w:val="D7320FEC"/>
    <w:lvl w:ilvl="0" w:tplc="28D03A6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CF22CE8"/>
    <w:multiLevelType w:val="hybridMultilevel"/>
    <w:tmpl w:val="AC5CD87E"/>
    <w:lvl w:ilvl="0" w:tplc="292005FA">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CC3171"/>
    <w:multiLevelType w:val="hybridMultilevel"/>
    <w:tmpl w:val="7F9027B4"/>
    <w:lvl w:ilvl="0" w:tplc="8436751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2873F7"/>
    <w:multiLevelType w:val="multilevel"/>
    <w:tmpl w:val="3DE0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E6DF3"/>
    <w:multiLevelType w:val="hybridMultilevel"/>
    <w:tmpl w:val="C17A01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F174C5A"/>
    <w:multiLevelType w:val="hybridMultilevel"/>
    <w:tmpl w:val="BB4E1A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84128A"/>
    <w:multiLevelType w:val="hybridMultilevel"/>
    <w:tmpl w:val="41EC6C76"/>
    <w:lvl w:ilvl="0" w:tplc="E8EC2D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504EBC"/>
    <w:multiLevelType w:val="hybridMultilevel"/>
    <w:tmpl w:val="F0847EBE"/>
    <w:lvl w:ilvl="0" w:tplc="28D03A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CA0250"/>
    <w:multiLevelType w:val="hybridMultilevel"/>
    <w:tmpl w:val="A7BED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DF3CED"/>
    <w:multiLevelType w:val="hybridMultilevel"/>
    <w:tmpl w:val="982E810E"/>
    <w:lvl w:ilvl="0" w:tplc="638A3766">
      <w:start w:val="1"/>
      <w:numFmt w:val="lowerRoman"/>
      <w:lvlText w:val="(%1)"/>
      <w:lvlJc w:val="left"/>
      <w:pPr>
        <w:ind w:left="1080" w:hanging="720"/>
      </w:pPr>
      <w:rPr>
        <w:rFonts w:ascii="Times New Roman" w:eastAsiaTheme="minorHAnsi" w:hAnsi="Times New Roman"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C1359E"/>
    <w:multiLevelType w:val="hybridMultilevel"/>
    <w:tmpl w:val="49B2B468"/>
    <w:lvl w:ilvl="0" w:tplc="E8EC2D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396226E"/>
    <w:multiLevelType w:val="hybridMultilevel"/>
    <w:tmpl w:val="C250EEC0"/>
    <w:lvl w:ilvl="0" w:tplc="BFF21FAE">
      <w:start w:val="3"/>
      <w:numFmt w:val="upperRoman"/>
      <w:lvlText w:val="%1."/>
      <w:lvlJc w:val="left"/>
      <w:pPr>
        <w:ind w:left="1080" w:hanging="720"/>
      </w:pPr>
      <w:rPr>
        <w:rFonts w:asciiTheme="minorHAnsi" w:eastAsiaTheme="minorHAnsi" w:hAnsiTheme="minorHAnsi" w:cstheme="minorBidi"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7E3BC3"/>
    <w:multiLevelType w:val="hybridMultilevel"/>
    <w:tmpl w:val="C27C8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7D48D1"/>
    <w:multiLevelType w:val="hybridMultilevel"/>
    <w:tmpl w:val="63E24C36"/>
    <w:lvl w:ilvl="0" w:tplc="8B6EA4D2">
      <w:start w:val="1"/>
      <w:numFmt w:val="bullet"/>
      <w:lvlText w:val="-"/>
      <w:lvlJc w:val="left"/>
      <w:pPr>
        <w:ind w:left="1428" w:hanging="360"/>
      </w:pPr>
      <w:rPr>
        <w:rFonts w:ascii="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4"/>
  </w:num>
  <w:num w:numId="2">
    <w:abstractNumId w:val="16"/>
  </w:num>
  <w:num w:numId="3">
    <w:abstractNumId w:val="18"/>
  </w:num>
  <w:num w:numId="4">
    <w:abstractNumId w:val="2"/>
  </w:num>
  <w:num w:numId="5">
    <w:abstractNumId w:val="17"/>
  </w:num>
  <w:num w:numId="6">
    <w:abstractNumId w:val="0"/>
  </w:num>
  <w:num w:numId="7">
    <w:abstractNumId w:val="20"/>
  </w:num>
  <w:num w:numId="8">
    <w:abstractNumId w:val="8"/>
  </w:num>
  <w:num w:numId="9">
    <w:abstractNumId w:val="32"/>
  </w:num>
  <w:num w:numId="10">
    <w:abstractNumId w:val="15"/>
  </w:num>
  <w:num w:numId="11">
    <w:abstractNumId w:val="5"/>
  </w:num>
  <w:num w:numId="12">
    <w:abstractNumId w:val="33"/>
  </w:num>
  <w:num w:numId="13">
    <w:abstractNumId w:val="4"/>
  </w:num>
  <w:num w:numId="14">
    <w:abstractNumId w:val="12"/>
  </w:num>
  <w:num w:numId="15">
    <w:abstractNumId w:val="25"/>
  </w:num>
  <w:num w:numId="16">
    <w:abstractNumId w:val="28"/>
  </w:num>
  <w:num w:numId="17">
    <w:abstractNumId w:val="13"/>
  </w:num>
  <w:num w:numId="18">
    <w:abstractNumId w:val="29"/>
  </w:num>
  <w:num w:numId="19">
    <w:abstractNumId w:val="9"/>
  </w:num>
  <w:num w:numId="20">
    <w:abstractNumId w:val="30"/>
  </w:num>
  <w:num w:numId="21">
    <w:abstractNumId w:val="19"/>
  </w:num>
  <w:num w:numId="22">
    <w:abstractNumId w:val="26"/>
  </w:num>
  <w:num w:numId="23">
    <w:abstractNumId w:val="7"/>
  </w:num>
  <w:num w:numId="24">
    <w:abstractNumId w:val="1"/>
  </w:num>
  <w:num w:numId="25">
    <w:abstractNumId w:val="23"/>
  </w:num>
  <w:num w:numId="26">
    <w:abstractNumId w:val="3"/>
  </w:num>
  <w:num w:numId="27">
    <w:abstractNumId w:val="10"/>
  </w:num>
  <w:num w:numId="28">
    <w:abstractNumId w:val="27"/>
  </w:num>
  <w:num w:numId="29">
    <w:abstractNumId w:val="21"/>
  </w:num>
  <w:num w:numId="30">
    <w:abstractNumId w:val="6"/>
  </w:num>
  <w:num w:numId="31">
    <w:abstractNumId w:val="31"/>
  </w:num>
  <w:num w:numId="32">
    <w:abstractNumId w:val="11"/>
  </w:num>
  <w:num w:numId="33">
    <w:abstractNumId w:val="2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2D5"/>
    <w:rsid w:val="0003330C"/>
    <w:rsid w:val="00040432"/>
    <w:rsid w:val="00046709"/>
    <w:rsid w:val="000924D9"/>
    <w:rsid w:val="000A3C1E"/>
    <w:rsid w:val="000A50EF"/>
    <w:rsid w:val="000A692B"/>
    <w:rsid w:val="000A6DC0"/>
    <w:rsid w:val="000B5279"/>
    <w:rsid w:val="000C0D83"/>
    <w:rsid w:val="000D476D"/>
    <w:rsid w:val="000E280A"/>
    <w:rsid w:val="00161F67"/>
    <w:rsid w:val="0019795D"/>
    <w:rsid w:val="001A6D27"/>
    <w:rsid w:val="002152A9"/>
    <w:rsid w:val="00275F74"/>
    <w:rsid w:val="002A3542"/>
    <w:rsid w:val="002B7903"/>
    <w:rsid w:val="002F5B39"/>
    <w:rsid w:val="0030764A"/>
    <w:rsid w:val="00372FE4"/>
    <w:rsid w:val="003A5EC8"/>
    <w:rsid w:val="00400973"/>
    <w:rsid w:val="004036BA"/>
    <w:rsid w:val="00434424"/>
    <w:rsid w:val="004415D6"/>
    <w:rsid w:val="004555D9"/>
    <w:rsid w:val="00462632"/>
    <w:rsid w:val="004802D5"/>
    <w:rsid w:val="00492302"/>
    <w:rsid w:val="004D22E1"/>
    <w:rsid w:val="005516D5"/>
    <w:rsid w:val="005B6788"/>
    <w:rsid w:val="005E07EE"/>
    <w:rsid w:val="00612BEE"/>
    <w:rsid w:val="00623064"/>
    <w:rsid w:val="00624B41"/>
    <w:rsid w:val="00627083"/>
    <w:rsid w:val="00661771"/>
    <w:rsid w:val="0067075B"/>
    <w:rsid w:val="00692050"/>
    <w:rsid w:val="006B244B"/>
    <w:rsid w:val="00701AD0"/>
    <w:rsid w:val="00703AC7"/>
    <w:rsid w:val="00740FFA"/>
    <w:rsid w:val="00757DA9"/>
    <w:rsid w:val="00767D17"/>
    <w:rsid w:val="007749F7"/>
    <w:rsid w:val="00783BB2"/>
    <w:rsid w:val="00785718"/>
    <w:rsid w:val="00791339"/>
    <w:rsid w:val="007A0C66"/>
    <w:rsid w:val="007B752C"/>
    <w:rsid w:val="007C3B5F"/>
    <w:rsid w:val="007D068F"/>
    <w:rsid w:val="007E1ACB"/>
    <w:rsid w:val="007F4A79"/>
    <w:rsid w:val="007F7650"/>
    <w:rsid w:val="008363B4"/>
    <w:rsid w:val="00884AD1"/>
    <w:rsid w:val="008A3C9B"/>
    <w:rsid w:val="008C6B55"/>
    <w:rsid w:val="008D5049"/>
    <w:rsid w:val="008E4F62"/>
    <w:rsid w:val="008F4C8E"/>
    <w:rsid w:val="00931A33"/>
    <w:rsid w:val="00977B98"/>
    <w:rsid w:val="00A04434"/>
    <w:rsid w:val="00A26FA6"/>
    <w:rsid w:val="00A52C76"/>
    <w:rsid w:val="00A80301"/>
    <w:rsid w:val="00A96DF6"/>
    <w:rsid w:val="00AC48BD"/>
    <w:rsid w:val="00B71B69"/>
    <w:rsid w:val="00B860FF"/>
    <w:rsid w:val="00B91343"/>
    <w:rsid w:val="00BC277B"/>
    <w:rsid w:val="00BD1781"/>
    <w:rsid w:val="00BF1C64"/>
    <w:rsid w:val="00C25798"/>
    <w:rsid w:val="00C458B8"/>
    <w:rsid w:val="00C470A3"/>
    <w:rsid w:val="00C6167F"/>
    <w:rsid w:val="00C74920"/>
    <w:rsid w:val="00C7541F"/>
    <w:rsid w:val="00CA64C8"/>
    <w:rsid w:val="00D12BF1"/>
    <w:rsid w:val="00D33730"/>
    <w:rsid w:val="00D3606F"/>
    <w:rsid w:val="00DA20D7"/>
    <w:rsid w:val="00DC41D8"/>
    <w:rsid w:val="00DF7EBE"/>
    <w:rsid w:val="00E03E92"/>
    <w:rsid w:val="00E7257B"/>
    <w:rsid w:val="00EA0703"/>
    <w:rsid w:val="00EA7D86"/>
    <w:rsid w:val="00EF356C"/>
    <w:rsid w:val="00F63963"/>
    <w:rsid w:val="00F808F5"/>
    <w:rsid w:val="00F97750"/>
    <w:rsid w:val="00FC7D1B"/>
    <w:rsid w:val="00FD4221"/>
    <w:rsid w:val="00FF35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3E8E45"/>
  <w15:chartTrackingRefBased/>
  <w15:docId w15:val="{B008EF04-16EF-44B6-B10E-97F02506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2D5"/>
    <w:rPr>
      <w:kern w:val="2"/>
      <w14:ligatures w14:val="standardContextual"/>
    </w:rPr>
  </w:style>
  <w:style w:type="paragraph" w:styleId="Titre1">
    <w:name w:val="heading 1"/>
    <w:basedOn w:val="Normal"/>
    <w:next w:val="Normal"/>
    <w:link w:val="Titre1Car"/>
    <w:uiPriority w:val="9"/>
    <w:qFormat/>
    <w:rsid w:val="004802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802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802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4802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02D5"/>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itre2Car">
    <w:name w:val="Titre 2 Car"/>
    <w:basedOn w:val="Policepardfaut"/>
    <w:link w:val="Titre2"/>
    <w:uiPriority w:val="9"/>
    <w:rsid w:val="004802D5"/>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Titre3Car">
    <w:name w:val="Titre 3 Car"/>
    <w:basedOn w:val="Policepardfaut"/>
    <w:link w:val="Titre3"/>
    <w:uiPriority w:val="9"/>
    <w:rsid w:val="004802D5"/>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Titre4Car">
    <w:name w:val="Titre 4 Car"/>
    <w:basedOn w:val="Policepardfaut"/>
    <w:link w:val="Titre4"/>
    <w:uiPriority w:val="9"/>
    <w:rsid w:val="004802D5"/>
    <w:rPr>
      <w:rFonts w:asciiTheme="majorHAnsi" w:eastAsiaTheme="majorEastAsia" w:hAnsiTheme="majorHAnsi" w:cstheme="majorBidi"/>
      <w:i/>
      <w:iCs/>
      <w:color w:val="2E74B5" w:themeColor="accent1" w:themeShade="BF"/>
      <w:kern w:val="2"/>
      <w14:ligatures w14:val="standardContextual"/>
    </w:rPr>
  </w:style>
  <w:style w:type="paragraph" w:styleId="Paragraphedeliste">
    <w:name w:val="List Paragraph"/>
    <w:aliases w:val="Paragraphe de liste 1,Colorful List - Accent 11"/>
    <w:basedOn w:val="Normal"/>
    <w:link w:val="ParagraphedelisteCar"/>
    <w:uiPriority w:val="34"/>
    <w:qFormat/>
    <w:rsid w:val="004802D5"/>
    <w:pPr>
      <w:ind w:left="720"/>
      <w:contextualSpacing/>
    </w:pPr>
  </w:style>
  <w:style w:type="character" w:customStyle="1" w:styleId="ParagraphedelisteCar">
    <w:name w:val="Paragraphe de liste Car"/>
    <w:aliases w:val="Paragraphe de liste 1 Car,Colorful List - Accent 11 Car"/>
    <w:link w:val="Paragraphedeliste"/>
    <w:uiPriority w:val="34"/>
    <w:locked/>
    <w:rsid w:val="004802D5"/>
    <w:rPr>
      <w:kern w:val="2"/>
      <w14:ligatures w14:val="standardContextual"/>
    </w:rPr>
  </w:style>
  <w:style w:type="table" w:styleId="Grilledutableau">
    <w:name w:val="Table Grid"/>
    <w:basedOn w:val="TableauNormal"/>
    <w:uiPriority w:val="39"/>
    <w:rsid w:val="0048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802D5"/>
    <w:pPr>
      <w:tabs>
        <w:tab w:val="center" w:pos="4536"/>
        <w:tab w:val="right" w:pos="9072"/>
      </w:tabs>
      <w:spacing w:after="0" w:line="240" w:lineRule="auto"/>
    </w:pPr>
  </w:style>
  <w:style w:type="character" w:customStyle="1" w:styleId="En-tteCar">
    <w:name w:val="En-tête Car"/>
    <w:basedOn w:val="Policepardfaut"/>
    <w:link w:val="En-tte"/>
    <w:uiPriority w:val="99"/>
    <w:rsid w:val="004802D5"/>
    <w:rPr>
      <w:kern w:val="2"/>
      <w14:ligatures w14:val="standardContextual"/>
    </w:rPr>
  </w:style>
  <w:style w:type="paragraph" w:styleId="Pieddepage">
    <w:name w:val="footer"/>
    <w:basedOn w:val="Normal"/>
    <w:link w:val="PieddepageCar"/>
    <w:uiPriority w:val="99"/>
    <w:unhideWhenUsed/>
    <w:rsid w:val="004802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802D5"/>
    <w:rPr>
      <w:kern w:val="2"/>
      <w14:ligatures w14:val="standardContextual"/>
    </w:rPr>
  </w:style>
  <w:style w:type="character" w:styleId="Textedelespacerserv">
    <w:name w:val="Placeholder Text"/>
    <w:basedOn w:val="Policepardfaut"/>
    <w:uiPriority w:val="99"/>
    <w:semiHidden/>
    <w:rsid w:val="004802D5"/>
    <w:rPr>
      <w:color w:val="666666"/>
    </w:rPr>
  </w:style>
  <w:style w:type="paragraph" w:customStyle="1" w:styleId="Default">
    <w:name w:val="Default"/>
    <w:rsid w:val="004802D5"/>
    <w:pPr>
      <w:autoSpaceDE w:val="0"/>
      <w:autoSpaceDN w:val="0"/>
      <w:adjustRightInd w:val="0"/>
      <w:spacing w:after="0" w:line="240" w:lineRule="auto"/>
    </w:pPr>
    <w:rPr>
      <w:rFonts w:ascii="Calibri" w:hAnsi="Calibri" w:cs="Calibri"/>
      <w:color w:val="000000"/>
      <w:sz w:val="24"/>
      <w:szCs w:val="24"/>
    </w:rPr>
  </w:style>
  <w:style w:type="paragraph" w:styleId="Lgende">
    <w:name w:val="caption"/>
    <w:basedOn w:val="Normal"/>
    <w:next w:val="Normal"/>
    <w:uiPriority w:val="35"/>
    <w:unhideWhenUsed/>
    <w:qFormat/>
    <w:rsid w:val="004802D5"/>
    <w:pPr>
      <w:spacing w:after="200" w:line="240" w:lineRule="auto"/>
    </w:pPr>
    <w:rPr>
      <w:i/>
      <w:iCs/>
      <w:color w:val="44546A" w:themeColor="text2"/>
      <w:kern w:val="0"/>
      <w:sz w:val="18"/>
      <w:szCs w:val="18"/>
      <w14:ligatures w14:val="none"/>
    </w:rPr>
  </w:style>
  <w:style w:type="character" w:styleId="lev">
    <w:name w:val="Strong"/>
    <w:basedOn w:val="Policepardfaut"/>
    <w:uiPriority w:val="22"/>
    <w:qFormat/>
    <w:rsid w:val="004802D5"/>
    <w:rPr>
      <w:b/>
      <w:bCs/>
    </w:rPr>
  </w:style>
  <w:style w:type="character" w:customStyle="1" w:styleId="fontstyle01">
    <w:name w:val="fontstyle01"/>
    <w:basedOn w:val="Policepardfaut"/>
    <w:rsid w:val="004802D5"/>
    <w:rPr>
      <w:rFonts w:ascii="Times New Roman" w:hAnsi="Times New Roman" w:cs="Times New Roman" w:hint="default"/>
      <w:b w:val="0"/>
      <w:bCs w:val="0"/>
      <w:i w:val="0"/>
      <w:iCs w:val="0"/>
      <w:color w:val="000000"/>
      <w:sz w:val="24"/>
      <w:szCs w:val="24"/>
    </w:rPr>
  </w:style>
  <w:style w:type="paragraph" w:styleId="Rvision">
    <w:name w:val="Revision"/>
    <w:hidden/>
    <w:uiPriority w:val="99"/>
    <w:semiHidden/>
    <w:rsid w:val="004802D5"/>
    <w:pPr>
      <w:spacing w:after="0" w:line="240" w:lineRule="auto"/>
    </w:pPr>
    <w:rPr>
      <w:kern w:val="2"/>
      <w14:ligatures w14:val="standardContextual"/>
    </w:rPr>
  </w:style>
  <w:style w:type="character" w:styleId="Marquedecommentaire">
    <w:name w:val="annotation reference"/>
    <w:basedOn w:val="Policepardfaut"/>
    <w:uiPriority w:val="99"/>
    <w:semiHidden/>
    <w:unhideWhenUsed/>
    <w:rsid w:val="004802D5"/>
    <w:rPr>
      <w:sz w:val="16"/>
      <w:szCs w:val="16"/>
    </w:rPr>
  </w:style>
  <w:style w:type="paragraph" w:styleId="Commentaire">
    <w:name w:val="annotation text"/>
    <w:basedOn w:val="Normal"/>
    <w:link w:val="CommentaireCar"/>
    <w:uiPriority w:val="99"/>
    <w:semiHidden/>
    <w:unhideWhenUsed/>
    <w:rsid w:val="004802D5"/>
    <w:pPr>
      <w:spacing w:line="240" w:lineRule="auto"/>
    </w:pPr>
    <w:rPr>
      <w:sz w:val="20"/>
      <w:szCs w:val="20"/>
    </w:rPr>
  </w:style>
  <w:style w:type="character" w:customStyle="1" w:styleId="CommentaireCar">
    <w:name w:val="Commentaire Car"/>
    <w:basedOn w:val="Policepardfaut"/>
    <w:link w:val="Commentaire"/>
    <w:uiPriority w:val="99"/>
    <w:semiHidden/>
    <w:rsid w:val="004802D5"/>
    <w:rPr>
      <w:kern w:val="2"/>
      <w:sz w:val="20"/>
      <w:szCs w:val="20"/>
      <w14:ligatures w14:val="standardContextual"/>
    </w:rPr>
  </w:style>
  <w:style w:type="paragraph" w:styleId="Objetducommentaire">
    <w:name w:val="annotation subject"/>
    <w:basedOn w:val="Commentaire"/>
    <w:next w:val="Commentaire"/>
    <w:link w:val="ObjetducommentaireCar"/>
    <w:uiPriority w:val="99"/>
    <w:semiHidden/>
    <w:unhideWhenUsed/>
    <w:rsid w:val="004802D5"/>
    <w:rPr>
      <w:b/>
      <w:bCs/>
    </w:rPr>
  </w:style>
  <w:style w:type="character" w:customStyle="1" w:styleId="ObjetducommentaireCar">
    <w:name w:val="Objet du commentaire Car"/>
    <w:basedOn w:val="CommentaireCar"/>
    <w:link w:val="Objetducommentaire"/>
    <w:uiPriority w:val="99"/>
    <w:semiHidden/>
    <w:rsid w:val="004802D5"/>
    <w:rPr>
      <w:b/>
      <w:bCs/>
      <w:kern w:val="2"/>
      <w:sz w:val="20"/>
      <w:szCs w:val="20"/>
      <w14:ligatures w14:val="standardContextual"/>
    </w:rPr>
  </w:style>
  <w:style w:type="paragraph" w:styleId="Textedebulles">
    <w:name w:val="Balloon Text"/>
    <w:basedOn w:val="Normal"/>
    <w:link w:val="TextedebullesCar"/>
    <w:uiPriority w:val="99"/>
    <w:semiHidden/>
    <w:unhideWhenUsed/>
    <w:rsid w:val="004802D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02D5"/>
    <w:rPr>
      <w:rFonts w:ascii="Segoe UI" w:hAnsi="Segoe UI" w:cs="Segoe UI"/>
      <w:kern w:val="2"/>
      <w:sz w:val="18"/>
      <w:szCs w:val="18"/>
      <w14:ligatures w14:val="standardContextual"/>
    </w:rPr>
  </w:style>
  <w:style w:type="paragraph" w:styleId="NormalWeb">
    <w:name w:val="Normal (Web)"/>
    <w:basedOn w:val="Normal"/>
    <w:uiPriority w:val="99"/>
    <w:unhideWhenUsed/>
    <w:rsid w:val="004802D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4802D5"/>
    <w:rPr>
      <w:color w:val="0000FF"/>
      <w:u w:val="single"/>
    </w:rPr>
  </w:style>
  <w:style w:type="character" w:customStyle="1" w:styleId="Mentionnonrsolue1">
    <w:name w:val="Mention non résolue1"/>
    <w:basedOn w:val="Policepardfaut"/>
    <w:uiPriority w:val="99"/>
    <w:semiHidden/>
    <w:unhideWhenUsed/>
    <w:rsid w:val="004802D5"/>
    <w:rPr>
      <w:color w:val="605E5C"/>
      <w:shd w:val="clear" w:color="auto" w:fill="E1DFDD"/>
    </w:rPr>
  </w:style>
  <w:style w:type="table" w:styleId="Tableausimple2">
    <w:name w:val="Plain Table 2"/>
    <w:basedOn w:val="TableauNormal"/>
    <w:uiPriority w:val="42"/>
    <w:rsid w:val="004802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rpsdetexte">
    <w:name w:val="Body Text"/>
    <w:basedOn w:val="Normal"/>
    <w:link w:val="CorpsdetexteCar"/>
    <w:uiPriority w:val="1"/>
    <w:qFormat/>
    <w:rsid w:val="004802D5"/>
    <w:pPr>
      <w:widowControl w:val="0"/>
      <w:autoSpaceDE w:val="0"/>
      <w:autoSpaceDN w:val="0"/>
      <w:spacing w:after="0" w:line="240" w:lineRule="auto"/>
    </w:pPr>
    <w:rPr>
      <w:rFonts w:ascii="Times New Roman" w:eastAsia="Times New Roman" w:hAnsi="Times New Roman" w:cs="Times New Roman"/>
      <w:kern w:val="0"/>
      <w:sz w:val="24"/>
      <w:szCs w:val="24"/>
      <w:u w:val="single" w:color="000000"/>
      <w14:ligatures w14:val="none"/>
    </w:rPr>
  </w:style>
  <w:style w:type="character" w:customStyle="1" w:styleId="CorpsdetexteCar">
    <w:name w:val="Corps de texte Car"/>
    <w:basedOn w:val="Policepardfaut"/>
    <w:link w:val="Corpsdetexte"/>
    <w:uiPriority w:val="1"/>
    <w:rsid w:val="004802D5"/>
    <w:rPr>
      <w:rFonts w:ascii="Times New Roman" w:eastAsia="Times New Roman" w:hAnsi="Times New Roman" w:cs="Times New Roman"/>
      <w:sz w:val="24"/>
      <w:szCs w:val="24"/>
      <w:u w:val="single" w:color="000000"/>
    </w:rPr>
  </w:style>
  <w:style w:type="paragraph" w:customStyle="1" w:styleId="TableParagraph">
    <w:name w:val="Table Paragraph"/>
    <w:basedOn w:val="Normal"/>
    <w:uiPriority w:val="1"/>
    <w:qFormat/>
    <w:rsid w:val="004802D5"/>
    <w:pPr>
      <w:widowControl w:val="0"/>
      <w:autoSpaceDE w:val="0"/>
      <w:autoSpaceDN w:val="0"/>
      <w:spacing w:after="0" w:line="240" w:lineRule="auto"/>
      <w:ind w:left="107"/>
    </w:pPr>
    <w:rPr>
      <w:rFonts w:ascii="Times New Roman" w:eastAsia="Times New Roman" w:hAnsi="Times New Roman" w:cs="Times New Roman"/>
      <w:kern w:val="0"/>
      <w14:ligatures w14:val="none"/>
    </w:rPr>
  </w:style>
  <w:style w:type="paragraph" w:customStyle="1" w:styleId="nova-legacy-e-listitem">
    <w:name w:val="nova-legacy-e-list__item"/>
    <w:basedOn w:val="Normal"/>
    <w:rsid w:val="004802D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ibliographie">
    <w:name w:val="Bibliography"/>
    <w:basedOn w:val="Normal"/>
    <w:next w:val="Normal"/>
    <w:uiPriority w:val="37"/>
    <w:unhideWhenUsed/>
    <w:rsid w:val="008E4F62"/>
  </w:style>
  <w:style w:type="paragraph" w:styleId="PrformatHTML">
    <w:name w:val="HTML Preformatted"/>
    <w:basedOn w:val="Normal"/>
    <w:link w:val="PrformatHTMLCar"/>
    <w:uiPriority w:val="99"/>
    <w:semiHidden/>
    <w:unhideWhenUsed/>
    <w:rsid w:val="000B5279"/>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0B5279"/>
    <w:rPr>
      <w:rFonts w:ascii="Consolas" w:hAnsi="Consolas"/>
      <w:kern w:val="2"/>
      <w:sz w:val="20"/>
      <w:szCs w:val="20"/>
      <w14:ligatures w14:val="standardContextual"/>
    </w:rPr>
  </w:style>
  <w:style w:type="character" w:customStyle="1" w:styleId="UnresolvedMention">
    <w:name w:val="Unresolved Mention"/>
    <w:basedOn w:val="Policepardfaut"/>
    <w:uiPriority w:val="99"/>
    <w:semiHidden/>
    <w:unhideWhenUsed/>
    <w:rsid w:val="00434424"/>
    <w:rPr>
      <w:color w:val="605E5C"/>
      <w:shd w:val="clear" w:color="auto" w:fill="E1DFDD"/>
    </w:rPr>
  </w:style>
  <w:style w:type="paragraph" w:styleId="Sansinterligne">
    <w:name w:val="No Spacing"/>
    <w:uiPriority w:val="1"/>
    <w:qFormat/>
    <w:rsid w:val="005E07EE"/>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038/s41598-022-11397-0" TargetMode="External"/><Relationship Id="rId21" Type="http://schemas.openxmlformats.org/officeDocument/2006/relationships/hyperlink" Target="https://doi.org/10.1007/s10661-009-1006-6" TargetMode="External"/><Relationship Id="rId34" Type="http://schemas.openxmlformats.org/officeDocument/2006/relationships/hyperlink" Target="https://doi.org/10.35759/JABs.v144.8"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doi.org/10.21203/rs.3.rs-2708591/v1" TargetMode="External"/><Relationship Id="rId33" Type="http://schemas.openxmlformats.org/officeDocument/2006/relationships/hyperlink" Target="https://doi.org/10.1016/j.envint.2019.02.011"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3390/toxics100703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http://www.fao.org/3/ca4395en/ca4395en" TargetMode="External"/><Relationship Id="rId32" Type="http://schemas.openxmlformats.org/officeDocument/2006/relationships/hyperlink" Target="https://doi.org/https://www.R-project.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doi.org/10.12816/0008874" TargetMode="External"/><Relationship Id="rId28" Type="http://schemas.openxmlformats.org/officeDocument/2006/relationships/hyperlink" Target="https://doi.org/10.17140/AFTNSOJ-5-160"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doi.org/10.9734/ajopacs/2022/v10i23015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24996/ijs.2022.63.4.21" TargetMode="External"/><Relationship Id="rId27" Type="http://schemas.openxmlformats.org/officeDocument/2006/relationships/hyperlink" Target="https://doi.org/10.3390/ijerph14091042" TargetMode="External"/><Relationship Id="rId30" Type="http://schemas.openxmlformats.org/officeDocument/2006/relationships/hyperlink" Target="https://doi.org/10.4314/tjpr.v13i1.22" TargetMode="External"/><Relationship Id="rId35" Type="http://schemas.openxmlformats.org/officeDocument/2006/relationships/hyperlink" Target="https://doi.org/10.4236/jep.2019.107056" TargetMode="Externa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5503</Words>
  <Characters>30272</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2</cp:revision>
  <dcterms:created xsi:type="dcterms:W3CDTF">2026-02-27T06:52:00Z</dcterms:created>
  <dcterms:modified xsi:type="dcterms:W3CDTF">2026-02-27T06:52:00Z</dcterms:modified>
</cp:coreProperties>
</file>