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87399" w14:textId="77777777" w:rsidR="00754C9A" w:rsidRPr="005C7305" w:rsidRDefault="00754C9A" w:rsidP="00441B6F">
      <w:pPr>
        <w:pStyle w:val="Title"/>
        <w:spacing w:after="0"/>
        <w:jc w:val="both"/>
        <w:rPr>
          <w:rFonts w:ascii="Arial" w:hAnsi="Arial" w:cs="Arial"/>
        </w:rPr>
      </w:pPr>
    </w:p>
    <w:p w14:paraId="2E779757" w14:textId="6170C612" w:rsidR="007B7C7F" w:rsidRPr="005C7305" w:rsidRDefault="007B7C7F" w:rsidP="007B7C7F">
      <w:pPr>
        <w:spacing w:after="200" w:line="440" w:lineRule="exact"/>
        <w:jc w:val="right"/>
        <w:rPr>
          <w:rFonts w:ascii="Arial" w:hAnsi="Arial" w:cs="Arial"/>
        </w:rPr>
      </w:pPr>
      <w:r w:rsidRPr="005C7305">
        <w:rPr>
          <w:rFonts w:ascii="Arial" w:eastAsia="Arial" w:hAnsi="Arial" w:cs="Arial"/>
          <w:b/>
          <w:bCs/>
          <w:color w:val="000000"/>
          <w:sz w:val="36"/>
          <w:szCs w:val="36"/>
        </w:rPr>
        <w:t xml:space="preserve">Impact of Rice-Based Integrated Farming System (IFS) on Sustainable Livelihood Security: A Study Among Small and Marginal Farmers in </w:t>
      </w:r>
      <w:proofErr w:type="spellStart"/>
      <w:r w:rsidR="00AC2883" w:rsidRPr="00AC2883">
        <w:rPr>
          <w:rFonts w:ascii="Arial" w:eastAsia="Arial" w:hAnsi="Arial" w:cs="Arial"/>
          <w:b/>
          <w:bCs/>
          <w:color w:val="000000"/>
          <w:sz w:val="36"/>
          <w:szCs w:val="36"/>
        </w:rPr>
        <w:t>Kuttanad</w:t>
      </w:r>
      <w:proofErr w:type="spellEnd"/>
      <w:r w:rsidRPr="005C7305">
        <w:rPr>
          <w:rFonts w:ascii="Arial" w:eastAsia="Arial" w:hAnsi="Arial" w:cs="Arial"/>
          <w:b/>
          <w:bCs/>
          <w:color w:val="000000"/>
          <w:sz w:val="36"/>
          <w:szCs w:val="36"/>
        </w:rPr>
        <w:t>, Kerala</w:t>
      </w:r>
      <w:r w:rsidR="00AC2883">
        <w:rPr>
          <w:rFonts w:ascii="Arial" w:eastAsia="Arial" w:hAnsi="Arial" w:cs="Arial"/>
          <w:b/>
          <w:bCs/>
          <w:color w:val="000000"/>
          <w:sz w:val="36"/>
          <w:szCs w:val="36"/>
        </w:rPr>
        <w:t>, India</w:t>
      </w:r>
    </w:p>
    <w:p w14:paraId="3CF5A784" w14:textId="77777777" w:rsidR="00A258C3" w:rsidRPr="005C7305" w:rsidRDefault="00A258C3" w:rsidP="00441B6F">
      <w:pPr>
        <w:pStyle w:val="Author"/>
        <w:spacing w:line="240" w:lineRule="auto"/>
        <w:jc w:val="both"/>
        <w:rPr>
          <w:rFonts w:ascii="Arial" w:hAnsi="Arial" w:cs="Arial"/>
          <w:sz w:val="36"/>
        </w:rPr>
      </w:pPr>
    </w:p>
    <w:p w14:paraId="328433C4" w14:textId="7BAF32CB" w:rsidR="002B272D" w:rsidRPr="005C7305" w:rsidRDefault="002B272D" w:rsidP="00441B6F">
      <w:pPr>
        <w:pStyle w:val="Affiliation"/>
        <w:spacing w:after="0" w:line="240" w:lineRule="auto"/>
        <w:rPr>
          <w:rFonts w:ascii="Arial" w:hAnsi="Arial" w:cs="Arial"/>
          <w:i/>
        </w:rPr>
      </w:pPr>
    </w:p>
    <w:p w14:paraId="74FB921D" w14:textId="66628E5B" w:rsidR="00790ADA" w:rsidRPr="005C7305" w:rsidRDefault="00790ADA" w:rsidP="00441B6F">
      <w:pPr>
        <w:pStyle w:val="Affiliation"/>
        <w:spacing w:after="0" w:line="240" w:lineRule="auto"/>
        <w:jc w:val="both"/>
        <w:rPr>
          <w:rFonts w:ascii="Arial" w:hAnsi="Arial" w:cs="Arial"/>
        </w:rPr>
      </w:pPr>
    </w:p>
    <w:p w14:paraId="72214849" w14:textId="33037E70" w:rsidR="002C57D2" w:rsidRPr="005C7305" w:rsidRDefault="002C57D2" w:rsidP="00441B6F">
      <w:pPr>
        <w:pStyle w:val="Affiliation"/>
        <w:spacing w:after="0" w:line="240" w:lineRule="auto"/>
        <w:jc w:val="both"/>
        <w:rPr>
          <w:rFonts w:ascii="Arial" w:hAnsi="Arial" w:cs="Arial"/>
        </w:rPr>
      </w:pPr>
    </w:p>
    <w:p w14:paraId="01DF0C23" w14:textId="188562EE" w:rsidR="00B01FCD" w:rsidRPr="005C7305" w:rsidRDefault="002506C4" w:rsidP="00441B6F">
      <w:pPr>
        <w:pStyle w:val="Copyright"/>
        <w:spacing w:after="0" w:line="240" w:lineRule="auto"/>
        <w:jc w:val="both"/>
        <w:rPr>
          <w:rFonts w:ascii="Arial" w:hAnsi="Arial" w:cs="Arial"/>
        </w:rPr>
        <w:sectPr w:rsidR="00B01FCD" w:rsidRPr="005C7305" w:rsidSect="00C730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C7305">
        <w:rPr>
          <w:rFonts w:ascii="Arial" w:hAnsi="Arial" w:cs="Arial"/>
          <w:noProof/>
        </w:rPr>
        <mc:AlternateContent>
          <mc:Choice Requires="wps">
            <w:drawing>
              <wp:inline distT="0" distB="0" distL="0" distR="0" wp14:anchorId="4F43E6E4" wp14:editId="57169600">
                <wp:extent cx="5303520" cy="635"/>
                <wp:effectExtent l="15240" t="9525" r="15240" b="9525"/>
                <wp:docPr id="138818585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C4C40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C7305">
        <w:rPr>
          <w:rFonts w:ascii="Arial" w:hAnsi="Arial" w:cs="Arial"/>
        </w:rPr>
        <w:t>.</w:t>
      </w:r>
    </w:p>
    <w:p w14:paraId="64E158AE" w14:textId="77777777" w:rsidR="00790ADA" w:rsidRPr="005C7305" w:rsidRDefault="00B01FCD" w:rsidP="00441B6F">
      <w:pPr>
        <w:pStyle w:val="AbstHead"/>
        <w:spacing w:after="0"/>
        <w:jc w:val="both"/>
        <w:rPr>
          <w:rFonts w:ascii="Arial" w:hAnsi="Arial" w:cs="Arial"/>
        </w:rPr>
      </w:pPr>
      <w:r w:rsidRPr="005C7305">
        <w:rPr>
          <w:rFonts w:ascii="Arial" w:hAnsi="Arial" w:cs="Arial"/>
        </w:rPr>
        <w:t>ABSTRACT</w:t>
      </w:r>
      <w:r w:rsidR="0066510A" w:rsidRPr="005C7305">
        <w:rPr>
          <w:rFonts w:ascii="Arial" w:hAnsi="Arial" w:cs="Arial"/>
        </w:rPr>
        <w:t xml:space="preserve"> </w:t>
      </w:r>
    </w:p>
    <w:p w14:paraId="3413ED5F" w14:textId="77777777" w:rsidR="007B7C7F" w:rsidRPr="005C7305" w:rsidRDefault="007B7C7F"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C7305" w14:paraId="0F6E6FAF" w14:textId="77777777" w:rsidTr="001E44FE">
        <w:tc>
          <w:tcPr>
            <w:tcW w:w="9576" w:type="dxa"/>
            <w:shd w:val="clear" w:color="auto" w:fill="F2F2F2"/>
          </w:tcPr>
          <w:p w14:paraId="6AE9CCCB" w14:textId="26628999" w:rsidR="00AC2883" w:rsidRDefault="00AC2883" w:rsidP="00AC2883">
            <w:pPr>
              <w:pStyle w:val="Body"/>
              <w:rPr>
                <w:rFonts w:ascii="Arial" w:eastAsia="Calibri" w:hAnsi="Arial" w:cs="Arial"/>
                <w:szCs w:val="22"/>
              </w:rPr>
            </w:pPr>
            <w:r>
              <w:rPr>
                <w:rFonts w:ascii="Arial" w:eastAsia="Calibri" w:hAnsi="Arial" w:cs="Arial"/>
                <w:b/>
                <w:szCs w:val="22"/>
              </w:rPr>
              <w:t xml:space="preserve">Background: </w:t>
            </w:r>
            <w:proofErr w:type="spellStart"/>
            <w:r w:rsidRPr="00AC2883">
              <w:rPr>
                <w:rFonts w:ascii="Arial" w:eastAsia="Calibri" w:hAnsi="Arial" w:cs="Arial"/>
                <w:szCs w:val="22"/>
              </w:rPr>
              <w:t>Kuttanad</w:t>
            </w:r>
            <w:proofErr w:type="spellEnd"/>
            <w:r w:rsidRPr="00AC2883">
              <w:rPr>
                <w:rFonts w:ascii="Arial" w:eastAsia="Calibri" w:hAnsi="Arial" w:cs="Arial"/>
                <w:szCs w:val="22"/>
              </w:rPr>
              <w:t xml:space="preserve">, known as the “Rice Bowl of Kerala,” is a unique </w:t>
            </w:r>
            <w:proofErr w:type="spellStart"/>
            <w:r w:rsidRPr="00AC2883">
              <w:rPr>
                <w:rFonts w:ascii="Arial" w:eastAsia="Calibri" w:hAnsi="Arial" w:cs="Arial"/>
                <w:szCs w:val="22"/>
              </w:rPr>
              <w:t>agro</w:t>
            </w:r>
            <w:proofErr w:type="spellEnd"/>
            <w:r w:rsidRPr="00AC2883">
              <w:rPr>
                <w:rFonts w:ascii="Arial" w:eastAsia="Calibri" w:hAnsi="Arial" w:cs="Arial"/>
                <w:szCs w:val="22"/>
              </w:rPr>
              <w:t xml:space="preserve">-ecosystem recognized as a Globally Important Agricultural Heritage Systems (GIAHS) by the Food and Agriculture </w:t>
            </w:r>
            <w:proofErr w:type="spellStart"/>
            <w:r w:rsidRPr="00AC2883">
              <w:rPr>
                <w:rFonts w:ascii="Arial" w:eastAsia="Calibri" w:hAnsi="Arial" w:cs="Arial"/>
                <w:szCs w:val="22"/>
              </w:rPr>
              <w:t>Organization.The</w:t>
            </w:r>
            <w:proofErr w:type="spellEnd"/>
            <w:r w:rsidRPr="00AC2883">
              <w:rPr>
                <w:rFonts w:ascii="Arial" w:eastAsia="Calibri" w:hAnsi="Arial" w:cs="Arial"/>
                <w:szCs w:val="22"/>
              </w:rPr>
              <w:t xml:space="preserve"> region is increasingly adopting the Integrated Farming System (IFS), which integrates crops, livestock, poultry, and fisheries to enhance sustainability and farmers’ livelihoods.</w:t>
            </w:r>
          </w:p>
          <w:p w14:paraId="62A3367F" w14:textId="22FD4FC4" w:rsidR="002D6BAF" w:rsidRPr="00AC2883" w:rsidRDefault="00BA1B01" w:rsidP="00AC2883">
            <w:pPr>
              <w:pStyle w:val="Body"/>
              <w:rPr>
                <w:rFonts w:ascii="Arial" w:eastAsia="Calibri" w:hAnsi="Arial" w:cs="Arial"/>
                <w:szCs w:val="22"/>
              </w:rPr>
            </w:pPr>
            <w:r w:rsidRPr="005C7305">
              <w:rPr>
                <w:rFonts w:ascii="Arial" w:eastAsia="Calibri" w:hAnsi="Arial" w:cs="Arial"/>
                <w:b/>
              </w:rPr>
              <w:t xml:space="preserve">Aims: </w:t>
            </w:r>
            <w:r w:rsidR="007B7C7F" w:rsidRPr="005C7305">
              <w:rPr>
                <w:rFonts w:ascii="Arial" w:hAnsi="Arial" w:cs="Arial"/>
                <w:color w:val="000000"/>
              </w:rPr>
              <w:t xml:space="preserve">To assess the Sustainable Livelihood Security Index (SLSI) of rice-based Integrated Farming System (IFS) farmers in the </w:t>
            </w:r>
            <w:proofErr w:type="spellStart"/>
            <w:r w:rsidR="007B7C7F" w:rsidRPr="005C7305">
              <w:rPr>
                <w:rFonts w:ascii="Arial" w:hAnsi="Arial" w:cs="Arial"/>
                <w:color w:val="000000"/>
              </w:rPr>
              <w:t>Kuttanad</w:t>
            </w:r>
            <w:proofErr w:type="spellEnd"/>
            <w:r w:rsidR="007B7C7F" w:rsidRPr="005C7305">
              <w:rPr>
                <w:rFonts w:ascii="Arial" w:hAnsi="Arial" w:cs="Arial"/>
                <w:color w:val="000000"/>
              </w:rPr>
              <w:t xml:space="preserve"> region of Kerala and to identify socioeconomic determinants of livelihood security across seven sub-dimensions</w:t>
            </w:r>
            <w:r w:rsidRPr="005C7305">
              <w:rPr>
                <w:rFonts w:ascii="Arial" w:hAnsi="Arial" w:cs="Arial"/>
                <w:color w:val="000000"/>
              </w:rPr>
              <w:t>.</w:t>
            </w:r>
          </w:p>
          <w:p w14:paraId="3DA4E8BC" w14:textId="407ED237" w:rsidR="002D6BAF" w:rsidRPr="005C7305" w:rsidRDefault="00BA1B01" w:rsidP="002D6BAF">
            <w:pPr>
              <w:ind w:right="180"/>
              <w:jc w:val="both"/>
              <w:rPr>
                <w:rFonts w:ascii="Arial" w:eastAsia="Arial" w:hAnsi="Arial" w:cs="Arial"/>
              </w:rPr>
            </w:pPr>
            <w:r w:rsidRPr="005C7305">
              <w:rPr>
                <w:rFonts w:ascii="Arial" w:hAnsi="Arial" w:cs="Arial"/>
                <w:b/>
                <w:bCs/>
                <w:color w:val="000000"/>
              </w:rPr>
              <w:t>Study design:</w:t>
            </w:r>
            <w:r w:rsidRPr="005C7305">
              <w:rPr>
                <w:rFonts w:ascii="Arial" w:hAnsi="Arial" w:cs="Arial"/>
                <w:color w:val="000000"/>
              </w:rPr>
              <w:t xml:space="preserve"> </w:t>
            </w:r>
            <w:r w:rsidR="002D6BAF" w:rsidRPr="005C7305">
              <w:rPr>
                <w:rFonts w:ascii="Arial" w:hAnsi="Arial" w:cs="Arial"/>
                <w:color w:val="000000"/>
              </w:rPr>
              <w:t>Cross-sectional survey using a semi structured, pre-tested interview schedule. Criterion based purposive</w:t>
            </w:r>
            <w:r w:rsidR="002D6BAF" w:rsidRPr="005C7305">
              <w:rPr>
                <w:rFonts w:ascii="Arial" w:eastAsia="Arial" w:hAnsi="Arial" w:cs="Arial"/>
              </w:rPr>
              <w:t xml:space="preserve"> sampling </w:t>
            </w:r>
            <w:r w:rsidR="0090714E">
              <w:rPr>
                <w:rFonts w:ascii="Arial" w:eastAsia="Arial" w:hAnsi="Arial" w:cs="Arial"/>
              </w:rPr>
              <w:t>procedure was used</w:t>
            </w:r>
            <w:r w:rsidR="002D6BAF" w:rsidRPr="005C7305">
              <w:rPr>
                <w:rFonts w:ascii="Arial" w:eastAsia="Arial" w:hAnsi="Arial" w:cs="Arial"/>
              </w:rPr>
              <w:t>, and</w:t>
            </w:r>
            <w:r w:rsidR="0090714E">
              <w:rPr>
                <w:rFonts w:ascii="Arial" w:eastAsia="Arial" w:hAnsi="Arial" w:cs="Arial"/>
              </w:rPr>
              <w:t xml:space="preserve"> the data collected were </w:t>
            </w:r>
            <w:proofErr w:type="spellStart"/>
            <w:r w:rsidR="0090714E">
              <w:rPr>
                <w:rFonts w:ascii="Arial" w:eastAsia="Arial" w:hAnsi="Arial" w:cs="Arial"/>
              </w:rPr>
              <w:t>analysed</w:t>
            </w:r>
            <w:proofErr w:type="spellEnd"/>
            <w:r w:rsidR="0090714E">
              <w:rPr>
                <w:rFonts w:ascii="Arial" w:eastAsia="Arial" w:hAnsi="Arial" w:cs="Arial"/>
              </w:rPr>
              <w:t xml:space="preserve"> using</w:t>
            </w:r>
            <w:r w:rsidR="002D6BAF" w:rsidRPr="005C7305">
              <w:rPr>
                <w:rFonts w:ascii="Arial" w:eastAsia="Arial" w:hAnsi="Arial" w:cs="Arial"/>
              </w:rPr>
              <w:t xml:space="preserve"> descriptive statistics and Pearson’s correlation coefficient</w:t>
            </w:r>
            <w:r w:rsidR="0090714E">
              <w:rPr>
                <w:rFonts w:ascii="Arial" w:eastAsia="Arial" w:hAnsi="Arial" w:cs="Arial"/>
              </w:rPr>
              <w:t>.</w:t>
            </w:r>
          </w:p>
          <w:p w14:paraId="2F8A680A" w14:textId="77777777" w:rsidR="002D6BAF" w:rsidRPr="005C7305" w:rsidRDefault="00BA1B01" w:rsidP="002D6BAF">
            <w:pPr>
              <w:ind w:right="180"/>
              <w:jc w:val="both"/>
              <w:rPr>
                <w:rFonts w:ascii="Arial" w:eastAsia="Arial" w:hAnsi="Arial" w:cs="Arial"/>
              </w:rPr>
            </w:pPr>
            <w:r w:rsidRPr="005C7305">
              <w:rPr>
                <w:rFonts w:ascii="Arial" w:eastAsia="Arial" w:hAnsi="Arial" w:cs="Arial"/>
                <w:b/>
                <w:bCs/>
              </w:rPr>
              <w:t>Place and Duration of Study:</w:t>
            </w:r>
            <w:r w:rsidRPr="005C7305">
              <w:rPr>
                <w:rFonts w:ascii="Arial" w:eastAsia="Arial" w:hAnsi="Arial" w:cs="Arial"/>
              </w:rPr>
              <w:t xml:space="preserve"> </w:t>
            </w:r>
            <w:r w:rsidR="002D6BAF" w:rsidRPr="005C7305">
              <w:rPr>
                <w:rFonts w:ascii="Arial" w:eastAsia="Arial" w:hAnsi="Arial" w:cs="Arial"/>
              </w:rPr>
              <w:t xml:space="preserve">The study was conducted across four villages - </w:t>
            </w:r>
            <w:proofErr w:type="spellStart"/>
            <w:r w:rsidR="002D6BAF" w:rsidRPr="005C7305">
              <w:rPr>
                <w:rFonts w:ascii="Arial" w:eastAsia="Arial" w:hAnsi="Arial" w:cs="Arial"/>
              </w:rPr>
              <w:t>Kumarakom</w:t>
            </w:r>
            <w:proofErr w:type="spellEnd"/>
            <w:r w:rsidR="002D6BAF" w:rsidRPr="005C7305">
              <w:rPr>
                <w:rFonts w:ascii="Arial" w:eastAsia="Arial" w:hAnsi="Arial" w:cs="Arial"/>
              </w:rPr>
              <w:t xml:space="preserve">, </w:t>
            </w:r>
            <w:proofErr w:type="spellStart"/>
            <w:r w:rsidR="002D6BAF" w:rsidRPr="005C7305">
              <w:rPr>
                <w:rFonts w:ascii="Arial" w:eastAsia="Arial" w:hAnsi="Arial" w:cs="Arial"/>
              </w:rPr>
              <w:t>Vechoor</w:t>
            </w:r>
            <w:proofErr w:type="spellEnd"/>
            <w:r w:rsidR="002D6BAF" w:rsidRPr="005C7305">
              <w:rPr>
                <w:rFonts w:ascii="Arial" w:eastAsia="Arial" w:hAnsi="Arial" w:cs="Arial"/>
              </w:rPr>
              <w:t xml:space="preserve">, </w:t>
            </w:r>
            <w:proofErr w:type="spellStart"/>
            <w:r w:rsidR="002D6BAF" w:rsidRPr="005C7305">
              <w:rPr>
                <w:rFonts w:ascii="Arial" w:eastAsia="Arial" w:hAnsi="Arial" w:cs="Arial"/>
              </w:rPr>
              <w:t>Thalayazham</w:t>
            </w:r>
            <w:proofErr w:type="spellEnd"/>
            <w:r w:rsidR="002D6BAF" w:rsidRPr="005C7305">
              <w:rPr>
                <w:rFonts w:ascii="Arial" w:eastAsia="Arial" w:hAnsi="Arial" w:cs="Arial"/>
              </w:rPr>
              <w:t xml:space="preserve">, and </w:t>
            </w:r>
            <w:proofErr w:type="spellStart"/>
            <w:r w:rsidR="002D6BAF" w:rsidRPr="005C7305">
              <w:rPr>
                <w:rFonts w:ascii="Arial" w:eastAsia="Arial" w:hAnsi="Arial" w:cs="Arial"/>
              </w:rPr>
              <w:t>Vaikom</w:t>
            </w:r>
            <w:proofErr w:type="spellEnd"/>
            <w:r w:rsidR="002D6BAF" w:rsidRPr="005C7305">
              <w:rPr>
                <w:rFonts w:ascii="Arial" w:eastAsia="Arial" w:hAnsi="Arial" w:cs="Arial"/>
              </w:rPr>
              <w:t xml:space="preserve"> </w:t>
            </w:r>
            <w:r w:rsidR="002D6BAF" w:rsidRPr="005C7305">
              <w:rPr>
                <w:rFonts w:ascii="Arial" w:hAnsi="Arial" w:cs="Arial"/>
              </w:rPr>
              <w:t xml:space="preserve">- </w:t>
            </w:r>
            <w:r w:rsidR="002D6BAF" w:rsidRPr="005C7305">
              <w:rPr>
                <w:rFonts w:ascii="Arial" w:eastAsia="Arial" w:hAnsi="Arial" w:cs="Arial"/>
              </w:rPr>
              <w:t xml:space="preserve">located in the </w:t>
            </w:r>
            <w:proofErr w:type="spellStart"/>
            <w:r w:rsidR="002D6BAF" w:rsidRPr="005C7305">
              <w:rPr>
                <w:rFonts w:ascii="Arial" w:eastAsia="Arial" w:hAnsi="Arial" w:cs="Arial"/>
              </w:rPr>
              <w:t>Kuttanad</w:t>
            </w:r>
            <w:proofErr w:type="spellEnd"/>
            <w:r w:rsidR="002D6BAF" w:rsidRPr="005C7305">
              <w:rPr>
                <w:rFonts w:ascii="Arial" w:eastAsia="Arial" w:hAnsi="Arial" w:cs="Arial"/>
              </w:rPr>
              <w:t xml:space="preserve"> region of Kerala, India. Primary data were collected between January and March 2024.</w:t>
            </w:r>
          </w:p>
          <w:p w14:paraId="715240F9" w14:textId="704F5C07" w:rsidR="00BA1B01" w:rsidRPr="005C7305" w:rsidRDefault="00BA1B01" w:rsidP="002D6BAF">
            <w:pPr>
              <w:ind w:right="180"/>
              <w:jc w:val="both"/>
              <w:rPr>
                <w:rFonts w:ascii="Arial" w:hAnsi="Arial" w:cs="Arial"/>
              </w:rPr>
            </w:pPr>
            <w:r w:rsidRPr="005C7305">
              <w:rPr>
                <w:rFonts w:ascii="Arial" w:eastAsia="Calibri" w:hAnsi="Arial" w:cs="Arial"/>
                <w:b/>
                <w:bCs/>
              </w:rPr>
              <w:t>Methodology:</w:t>
            </w:r>
            <w:r w:rsidRPr="005C7305">
              <w:rPr>
                <w:rFonts w:ascii="Arial" w:eastAsia="Calibri" w:hAnsi="Arial" w:cs="Arial"/>
              </w:rPr>
              <w:t xml:space="preserve"> </w:t>
            </w:r>
            <w:r w:rsidR="00D50D25" w:rsidRPr="005C7305">
              <w:rPr>
                <w:rFonts w:ascii="Arial" w:hAnsi="Arial" w:cs="Arial"/>
                <w:color w:val="000000"/>
              </w:rPr>
              <w:t>Ninety small and marginal rice-based IFS farmers were selected by</w:t>
            </w:r>
            <w:r w:rsidR="00F90D7D" w:rsidRPr="005C7305">
              <w:rPr>
                <w:rFonts w:ascii="Arial" w:hAnsi="Arial" w:cs="Arial"/>
                <w:color w:val="000000"/>
              </w:rPr>
              <w:t xml:space="preserve"> </w:t>
            </w:r>
            <w:r w:rsidR="00D50D25" w:rsidRPr="005C7305">
              <w:rPr>
                <w:rFonts w:ascii="Arial" w:hAnsi="Arial" w:cs="Arial"/>
                <w:color w:val="000000"/>
              </w:rPr>
              <w:t>criterion based purposive sampling. The Sustainable Livelihood Security Index (SLSI) was computed across seven dimensions - food, occupational, habitat, education, social, health, and environmental security. Pearson's correlation analysis was performed between 12 socio</w:t>
            </w:r>
            <w:r w:rsidR="00F90D7D" w:rsidRPr="005C7305">
              <w:rPr>
                <w:rFonts w:ascii="Arial" w:hAnsi="Arial" w:cs="Arial"/>
                <w:color w:val="000000"/>
              </w:rPr>
              <w:t xml:space="preserve"> </w:t>
            </w:r>
            <w:r w:rsidR="00D50D25" w:rsidRPr="005C7305">
              <w:rPr>
                <w:rFonts w:ascii="Arial" w:hAnsi="Arial" w:cs="Arial"/>
                <w:color w:val="000000"/>
              </w:rPr>
              <w:t>economic variables and all seven sub-indices and overall SLSI.</w:t>
            </w:r>
          </w:p>
          <w:p w14:paraId="3217436F" w14:textId="031686E9" w:rsidR="00BB11F4" w:rsidRPr="005C7305" w:rsidRDefault="00BA1B01" w:rsidP="00BB11F4">
            <w:pPr>
              <w:ind w:right="180"/>
              <w:jc w:val="both"/>
              <w:rPr>
                <w:rFonts w:ascii="Arial" w:hAnsi="Arial" w:cs="Arial"/>
                <w:color w:val="000000"/>
              </w:rPr>
            </w:pPr>
            <w:r w:rsidRPr="005C7305">
              <w:rPr>
                <w:rFonts w:ascii="Arial" w:eastAsia="Calibri" w:hAnsi="Arial" w:cs="Arial"/>
                <w:b/>
                <w:bCs/>
              </w:rPr>
              <w:t>Results:</w:t>
            </w:r>
            <w:r w:rsidRPr="005C7305">
              <w:rPr>
                <w:rFonts w:ascii="Arial" w:eastAsia="Calibri" w:hAnsi="Arial" w:cs="Arial"/>
              </w:rPr>
              <w:t xml:space="preserve"> </w:t>
            </w:r>
            <w:r w:rsidR="002D6BAF" w:rsidRPr="005C7305">
              <w:rPr>
                <w:rFonts w:ascii="Arial" w:eastAsia="Arial" w:hAnsi="Arial" w:cs="Arial"/>
              </w:rPr>
              <w:t xml:space="preserve">The overall mean SLSI was 0.763, positioning the sample at the boundary of the high-security category, indicating broadly achieved but precarious livelihood security. Habitat (0.931), social (0.915), and education (0.894) security scored high; environmental security (0.511) and food security (0.605) remained in the medium range. Six significant correlations were identified: credit acquisition with food security (r = −0.251, P = 0.017) and education security (r = +0.287, P = 0.006); social participation with occupational security (r = +0.230, P = 0.029); source of credit with occupational security (r = −0.225, P = 0.033); family type with social security (r = +0.226, P = 0.032) and </w:t>
            </w:r>
            <w:r w:rsidR="002D6BAF" w:rsidRPr="005C7305">
              <w:rPr>
                <w:rFonts w:ascii="Arial" w:hAnsi="Arial" w:cs="Arial"/>
                <w:color w:val="000000"/>
              </w:rPr>
              <w:t>environmental security (r = +0.216, P = 0.041</w:t>
            </w:r>
            <w:r w:rsidR="0090714E">
              <w:rPr>
                <w:rFonts w:ascii="Arial" w:hAnsi="Arial" w:cs="Arial"/>
                <w:color w:val="000000"/>
              </w:rPr>
              <w:t>)</w:t>
            </w:r>
            <w:r w:rsidR="00BB11F4" w:rsidRPr="005C7305">
              <w:rPr>
                <w:rFonts w:ascii="Arial" w:hAnsi="Arial" w:cs="Arial"/>
                <w:color w:val="000000"/>
              </w:rPr>
              <w:t>.</w:t>
            </w:r>
          </w:p>
          <w:p w14:paraId="366EA8AC" w14:textId="77777777" w:rsidR="00505F06" w:rsidRDefault="00BA1B01" w:rsidP="00BB11F4">
            <w:pPr>
              <w:ind w:right="180"/>
              <w:jc w:val="both"/>
              <w:rPr>
                <w:rFonts w:ascii="Arial" w:eastAsia="Arial" w:hAnsi="Arial" w:cs="Arial"/>
              </w:rPr>
            </w:pPr>
            <w:r w:rsidRPr="005C7305">
              <w:rPr>
                <w:rFonts w:ascii="Arial" w:hAnsi="Arial" w:cs="Arial"/>
                <w:b/>
                <w:bCs/>
                <w:color w:val="000000"/>
              </w:rPr>
              <w:t>Conclusion:</w:t>
            </w:r>
            <w:r w:rsidRPr="005C7305">
              <w:rPr>
                <w:rFonts w:ascii="Arial" w:hAnsi="Arial" w:cs="Arial"/>
                <w:color w:val="000000"/>
              </w:rPr>
              <w:t xml:space="preserve"> </w:t>
            </w:r>
            <w:r w:rsidR="0061203E" w:rsidRPr="005C7305">
              <w:rPr>
                <w:rFonts w:ascii="Arial" w:hAnsi="Arial" w:cs="Arial"/>
                <w:color w:val="000000"/>
              </w:rPr>
              <w:t xml:space="preserve">Rice-based IFS provides broadly equitable medium-to-high livelihood security across </w:t>
            </w:r>
            <w:r w:rsidR="0090714E">
              <w:rPr>
                <w:rFonts w:ascii="Arial" w:hAnsi="Arial" w:cs="Arial"/>
                <w:color w:val="000000"/>
              </w:rPr>
              <w:t xml:space="preserve">the </w:t>
            </w:r>
            <w:r w:rsidR="0061203E" w:rsidRPr="005C7305">
              <w:rPr>
                <w:rFonts w:ascii="Arial" w:hAnsi="Arial" w:cs="Arial"/>
                <w:color w:val="000000"/>
              </w:rPr>
              <w:t xml:space="preserve">socioeconomic strata in </w:t>
            </w:r>
            <w:proofErr w:type="spellStart"/>
            <w:r w:rsidR="0061203E" w:rsidRPr="005C7305">
              <w:rPr>
                <w:rFonts w:ascii="Arial" w:hAnsi="Arial" w:cs="Arial"/>
                <w:color w:val="000000"/>
              </w:rPr>
              <w:t>Kuttanad</w:t>
            </w:r>
            <w:proofErr w:type="spellEnd"/>
            <w:r w:rsidR="0061203E" w:rsidRPr="005C7305">
              <w:rPr>
                <w:rFonts w:ascii="Arial" w:hAnsi="Arial" w:cs="Arial"/>
                <w:color w:val="000000"/>
              </w:rPr>
              <w:t>. Environmental security is critically low and demands urgent intervention. Social capital and responsible credit management are the key modifiable predictors of specific livelihood dimensions.</w:t>
            </w:r>
            <w:r w:rsidR="0040551F" w:rsidRPr="005C7305">
              <w:rPr>
                <w:rFonts w:ascii="Arial" w:hAnsi="Arial" w:cs="Arial"/>
                <w:color w:val="000000"/>
              </w:rPr>
              <w:t xml:space="preserve"> </w:t>
            </w:r>
            <w:r w:rsidR="00BB11F4" w:rsidRPr="005C7305">
              <w:rPr>
                <w:rFonts w:ascii="Arial" w:eastAsia="Arial" w:hAnsi="Arial" w:cs="Arial"/>
              </w:rPr>
              <w:t xml:space="preserve">Priority policy actions </w:t>
            </w:r>
            <w:r w:rsidR="00BB11F4" w:rsidRPr="005C7305">
              <w:rPr>
                <w:rFonts w:ascii="Arial" w:eastAsia="Arial" w:hAnsi="Arial" w:cs="Arial"/>
              </w:rPr>
              <w:lastRenderedPageBreak/>
              <w:t xml:space="preserve">include ecological rehabilitation of the </w:t>
            </w:r>
            <w:proofErr w:type="spellStart"/>
            <w:r w:rsidR="00BB11F4" w:rsidRPr="005C7305">
              <w:rPr>
                <w:rFonts w:ascii="Arial" w:eastAsia="Arial" w:hAnsi="Arial" w:cs="Arial"/>
              </w:rPr>
              <w:t>Kuttanad</w:t>
            </w:r>
            <w:proofErr w:type="spellEnd"/>
            <w:r w:rsidR="00BB11F4" w:rsidRPr="005C7305">
              <w:rPr>
                <w:rFonts w:ascii="Arial" w:eastAsia="Arial" w:hAnsi="Arial" w:cs="Arial"/>
              </w:rPr>
              <w:t xml:space="preserve"> wetland, restructuring agricultural credit from short-term to medium-term products, and strengthening farmer </w:t>
            </w:r>
            <w:proofErr w:type="spellStart"/>
            <w:r w:rsidR="00BB11F4" w:rsidRPr="005C7305">
              <w:rPr>
                <w:rFonts w:ascii="Arial" w:eastAsia="Arial" w:hAnsi="Arial" w:cs="Arial"/>
              </w:rPr>
              <w:t>organisations</w:t>
            </w:r>
            <w:proofErr w:type="spellEnd"/>
            <w:r w:rsidR="00BB11F4" w:rsidRPr="005C7305">
              <w:rPr>
                <w:rFonts w:ascii="Arial" w:eastAsia="Arial" w:hAnsi="Arial" w:cs="Arial"/>
              </w:rPr>
              <w:t xml:space="preserve"> to harness social capital for improved livelihood outcomes.</w:t>
            </w:r>
          </w:p>
          <w:p w14:paraId="7A0AB27C" w14:textId="77777777" w:rsidR="00AC2883" w:rsidRDefault="00AC2883" w:rsidP="00BB11F4">
            <w:pPr>
              <w:ind w:right="180"/>
              <w:jc w:val="both"/>
              <w:rPr>
                <w:rFonts w:ascii="Arial" w:hAnsi="Arial" w:cs="Arial"/>
                <w:color w:val="000000"/>
              </w:rPr>
            </w:pPr>
          </w:p>
          <w:p w14:paraId="679D0FA7" w14:textId="4F309231" w:rsidR="00AC2883" w:rsidRPr="005C7305" w:rsidRDefault="00AC2883" w:rsidP="00BB11F4">
            <w:pPr>
              <w:ind w:right="180"/>
              <w:jc w:val="both"/>
              <w:rPr>
                <w:rFonts w:ascii="Arial" w:hAnsi="Arial" w:cs="Arial"/>
                <w:color w:val="000000"/>
              </w:rPr>
            </w:pPr>
            <w:r>
              <w:rPr>
                <w:rFonts w:ascii="Arial" w:hAnsi="Arial" w:cs="Arial"/>
                <w:color w:val="000000"/>
              </w:rPr>
              <w:t>Keywords: R</w:t>
            </w:r>
            <w:r w:rsidRPr="00AC2883">
              <w:rPr>
                <w:rFonts w:ascii="Arial" w:hAnsi="Arial" w:cs="Arial"/>
                <w:color w:val="000000"/>
              </w:rPr>
              <w:t>ice-Based Integrated Farming System</w:t>
            </w:r>
            <w:r>
              <w:rPr>
                <w:rFonts w:ascii="Arial" w:hAnsi="Arial" w:cs="Arial"/>
                <w:color w:val="000000"/>
              </w:rPr>
              <w:t xml:space="preserve">, </w:t>
            </w:r>
            <w:proofErr w:type="spellStart"/>
            <w:r w:rsidRPr="00AC2883">
              <w:rPr>
                <w:rFonts w:ascii="Arial" w:hAnsi="Arial" w:cs="Arial"/>
                <w:color w:val="000000"/>
              </w:rPr>
              <w:t>Kuttanad</w:t>
            </w:r>
            <w:proofErr w:type="spellEnd"/>
            <w:r>
              <w:rPr>
                <w:rFonts w:ascii="Arial" w:hAnsi="Arial" w:cs="Arial"/>
                <w:color w:val="000000"/>
              </w:rPr>
              <w:t xml:space="preserve">, </w:t>
            </w:r>
            <w:r w:rsidRPr="00AC2883">
              <w:rPr>
                <w:rFonts w:ascii="Arial" w:hAnsi="Arial" w:cs="Arial"/>
                <w:color w:val="000000"/>
              </w:rPr>
              <w:t>Small and Marginal Farmers</w:t>
            </w:r>
            <w:r>
              <w:rPr>
                <w:rFonts w:ascii="Arial" w:hAnsi="Arial" w:cs="Arial"/>
                <w:color w:val="000000"/>
              </w:rPr>
              <w:t xml:space="preserve">, </w:t>
            </w:r>
            <w:r w:rsidRPr="00AC2883">
              <w:rPr>
                <w:rFonts w:ascii="Arial" w:hAnsi="Arial" w:cs="Arial"/>
                <w:color w:val="000000"/>
              </w:rPr>
              <w:t>Sustainable Livelihood Security Index</w:t>
            </w:r>
          </w:p>
        </w:tc>
      </w:tr>
    </w:tbl>
    <w:p w14:paraId="1ABF4346" w14:textId="77777777" w:rsidR="00636EB2" w:rsidRPr="005C7305" w:rsidRDefault="00636EB2" w:rsidP="00441B6F">
      <w:pPr>
        <w:pStyle w:val="Body"/>
        <w:spacing w:after="0"/>
        <w:rPr>
          <w:rFonts w:ascii="Arial" w:hAnsi="Arial" w:cs="Arial"/>
          <w:i/>
        </w:rPr>
      </w:pPr>
    </w:p>
    <w:p w14:paraId="36849ED6" w14:textId="77777777" w:rsidR="0024282C" w:rsidRPr="005C7305" w:rsidRDefault="0024282C" w:rsidP="00441B6F">
      <w:pPr>
        <w:pStyle w:val="Body"/>
        <w:spacing w:after="0"/>
        <w:rPr>
          <w:rFonts w:ascii="Arial" w:hAnsi="Arial" w:cs="Arial"/>
          <w:i/>
          <w:sz w:val="18"/>
        </w:rPr>
      </w:pPr>
    </w:p>
    <w:p w14:paraId="18CE3962" w14:textId="77777777" w:rsidR="00790ADA" w:rsidRPr="005C7305" w:rsidRDefault="00902823" w:rsidP="00441B6F">
      <w:pPr>
        <w:pStyle w:val="AbstHead"/>
        <w:spacing w:after="0"/>
        <w:jc w:val="both"/>
        <w:rPr>
          <w:rFonts w:ascii="Arial" w:hAnsi="Arial" w:cs="Arial"/>
          <w:color w:val="FF0000"/>
        </w:rPr>
      </w:pPr>
      <w:r w:rsidRPr="005C7305">
        <w:rPr>
          <w:rFonts w:ascii="Arial" w:hAnsi="Arial" w:cs="Arial"/>
          <w:color w:val="000000" w:themeColor="text1"/>
        </w:rPr>
        <w:t xml:space="preserve">1. </w:t>
      </w:r>
      <w:r w:rsidR="00B01FCD" w:rsidRPr="005C7305">
        <w:rPr>
          <w:rFonts w:ascii="Arial" w:hAnsi="Arial" w:cs="Arial"/>
          <w:color w:val="000000" w:themeColor="text1"/>
        </w:rPr>
        <w:t>INTRODUCTION</w:t>
      </w:r>
      <w:r w:rsidR="007F7B32" w:rsidRPr="005C7305">
        <w:rPr>
          <w:rFonts w:ascii="Arial" w:hAnsi="Arial" w:cs="Arial"/>
          <w:color w:val="000000" w:themeColor="text1"/>
        </w:rPr>
        <w:t xml:space="preserve"> </w:t>
      </w:r>
    </w:p>
    <w:p w14:paraId="3A7C1C93" w14:textId="21F47DAB" w:rsidR="00505F06" w:rsidRPr="005C7305" w:rsidRDefault="00862C84" w:rsidP="00441B6F">
      <w:pPr>
        <w:pStyle w:val="Body"/>
        <w:spacing w:after="0"/>
        <w:rPr>
          <w:rFonts w:ascii="Arial" w:hAnsi="Arial" w:cs="Arial"/>
        </w:rPr>
      </w:pPr>
      <w:proofErr w:type="spellStart"/>
      <w:r w:rsidRPr="005C7305">
        <w:rPr>
          <w:rFonts w:ascii="Arial" w:hAnsi="Arial" w:cs="Arial"/>
          <w:color w:val="000000" w:themeColor="text1"/>
        </w:rPr>
        <w:t>Kuttanad</w:t>
      </w:r>
      <w:proofErr w:type="spellEnd"/>
      <w:r w:rsidRPr="005C7305">
        <w:rPr>
          <w:rFonts w:ascii="Arial" w:hAnsi="Arial" w:cs="Arial"/>
          <w:color w:val="000000" w:themeColor="text1"/>
        </w:rPr>
        <w:t xml:space="preserve">, popularly known as the "Rice Bowl of Kerala," is one of the most ecologically distinctive </w:t>
      </w:r>
      <w:proofErr w:type="spellStart"/>
      <w:r w:rsidRPr="005C7305">
        <w:rPr>
          <w:rFonts w:ascii="Arial" w:hAnsi="Arial" w:cs="Arial"/>
          <w:color w:val="000000" w:themeColor="text1"/>
        </w:rPr>
        <w:t>agro</w:t>
      </w:r>
      <w:proofErr w:type="spellEnd"/>
      <w:r w:rsidRPr="005C7305">
        <w:rPr>
          <w:rFonts w:ascii="Arial" w:hAnsi="Arial" w:cs="Arial"/>
          <w:color w:val="000000" w:themeColor="text1"/>
        </w:rPr>
        <w:t xml:space="preserve">-ecosystems in India. </w:t>
      </w:r>
      <w:r w:rsidR="0027391B">
        <w:rPr>
          <w:rFonts w:ascii="Arial" w:hAnsi="Arial" w:cs="Arial"/>
          <w:color w:val="000000" w:themeColor="text1"/>
        </w:rPr>
        <w:t xml:space="preserve">Covering an area </w:t>
      </w:r>
      <w:proofErr w:type="gramStart"/>
      <w:r w:rsidR="0027391B">
        <w:rPr>
          <w:rFonts w:ascii="Arial" w:hAnsi="Arial" w:cs="Arial"/>
          <w:color w:val="000000" w:themeColor="text1"/>
        </w:rPr>
        <w:t xml:space="preserve">of </w:t>
      </w:r>
      <w:r w:rsidRPr="005C7305">
        <w:rPr>
          <w:rFonts w:ascii="Arial" w:hAnsi="Arial" w:cs="Arial"/>
          <w:color w:val="000000" w:themeColor="text1"/>
        </w:rPr>
        <w:t xml:space="preserve"> approximately</w:t>
      </w:r>
      <w:proofErr w:type="gramEnd"/>
      <w:r w:rsidRPr="005C7305">
        <w:rPr>
          <w:rFonts w:ascii="Arial" w:hAnsi="Arial" w:cs="Arial"/>
          <w:color w:val="000000" w:themeColor="text1"/>
        </w:rPr>
        <w:t xml:space="preserve"> 1,100 square </w:t>
      </w:r>
      <w:proofErr w:type="spellStart"/>
      <w:r w:rsidRPr="005C7305">
        <w:rPr>
          <w:rFonts w:ascii="Arial" w:hAnsi="Arial" w:cs="Arial"/>
          <w:color w:val="000000" w:themeColor="text1"/>
        </w:rPr>
        <w:t>kilometres</w:t>
      </w:r>
      <w:proofErr w:type="spellEnd"/>
      <w:r w:rsidRPr="005C7305">
        <w:rPr>
          <w:rFonts w:ascii="Arial" w:hAnsi="Arial" w:cs="Arial"/>
          <w:color w:val="000000" w:themeColor="text1"/>
        </w:rPr>
        <w:t xml:space="preserve"> between latitudes 9°17' to 9°40' N and longitudes 76°19' to 76°33' E, it is the only major rice-cultivating region in the country situated below mean sea level (</w:t>
      </w:r>
      <w:proofErr w:type="spellStart"/>
      <w:r w:rsidRPr="005C7305">
        <w:rPr>
          <w:rFonts w:ascii="Arial" w:hAnsi="Arial" w:cs="Arial"/>
          <w:color w:val="000000" w:themeColor="text1"/>
        </w:rPr>
        <w:t>Thampatti</w:t>
      </w:r>
      <w:proofErr w:type="spellEnd"/>
      <w:r w:rsidRPr="005C7305">
        <w:rPr>
          <w:rFonts w:ascii="Arial" w:hAnsi="Arial" w:cs="Arial"/>
          <w:color w:val="000000" w:themeColor="text1"/>
        </w:rPr>
        <w:t xml:space="preserve">, 1999; </w:t>
      </w:r>
      <w:proofErr w:type="spellStart"/>
      <w:r w:rsidRPr="005C7305">
        <w:rPr>
          <w:rFonts w:ascii="Arial" w:hAnsi="Arial" w:cs="Arial"/>
          <w:color w:val="000000" w:themeColor="text1"/>
        </w:rPr>
        <w:t>Jayan</w:t>
      </w:r>
      <w:proofErr w:type="spellEnd"/>
      <w:r w:rsidRPr="005C7305">
        <w:rPr>
          <w:rFonts w:ascii="Arial" w:hAnsi="Arial" w:cs="Arial"/>
          <w:color w:val="000000" w:themeColor="text1"/>
        </w:rPr>
        <w:t xml:space="preserve"> and Sathyanathan, 2010).</w:t>
      </w:r>
      <w:r w:rsidRPr="005C7305">
        <w:rPr>
          <w:rFonts w:ascii="Arial" w:hAnsi="Arial" w:cs="Arial"/>
        </w:rPr>
        <w:t xml:space="preserve"> </w:t>
      </w:r>
      <w:r w:rsidR="00C5734F" w:rsidRPr="005C7305">
        <w:rPr>
          <w:rFonts w:ascii="Arial" w:hAnsi="Arial" w:cs="Arial"/>
          <w:color w:val="000000"/>
        </w:rPr>
        <w:t xml:space="preserve">The region </w:t>
      </w:r>
      <w:r w:rsidR="008C68E8">
        <w:rPr>
          <w:rFonts w:ascii="Arial" w:hAnsi="Arial" w:cs="Arial"/>
          <w:color w:val="000000"/>
        </w:rPr>
        <w:t xml:space="preserve">which </w:t>
      </w:r>
      <w:r w:rsidR="00C5734F" w:rsidRPr="005C7305">
        <w:rPr>
          <w:rFonts w:ascii="Arial" w:hAnsi="Arial" w:cs="Arial"/>
          <w:color w:val="000000"/>
        </w:rPr>
        <w:t xml:space="preserve">lies 0.6 to 2.2 </w:t>
      </w:r>
      <w:proofErr w:type="spellStart"/>
      <w:r w:rsidR="00C5734F" w:rsidRPr="005C7305">
        <w:rPr>
          <w:rFonts w:ascii="Arial" w:hAnsi="Arial" w:cs="Arial"/>
          <w:color w:val="000000"/>
        </w:rPr>
        <w:t>metres</w:t>
      </w:r>
      <w:proofErr w:type="spellEnd"/>
      <w:r w:rsidR="00C5734F" w:rsidRPr="005C7305">
        <w:rPr>
          <w:rFonts w:ascii="Arial" w:hAnsi="Arial" w:cs="Arial"/>
          <w:color w:val="000000"/>
        </w:rPr>
        <w:t xml:space="preserve"> below mean sea level</w:t>
      </w:r>
      <w:r w:rsidR="008C68E8">
        <w:rPr>
          <w:rFonts w:ascii="Arial" w:hAnsi="Arial" w:cs="Arial"/>
          <w:color w:val="000000"/>
        </w:rPr>
        <w:t xml:space="preserve">, </w:t>
      </w:r>
      <w:r w:rsidR="00C5734F" w:rsidRPr="005C7305">
        <w:rPr>
          <w:rFonts w:ascii="Arial" w:hAnsi="Arial" w:cs="Arial"/>
          <w:color w:val="000000"/>
        </w:rPr>
        <w:t xml:space="preserve">is </w:t>
      </w:r>
      <w:r w:rsidR="0090714E">
        <w:rPr>
          <w:rFonts w:ascii="Arial" w:hAnsi="Arial" w:cs="Arial"/>
          <w:color w:val="000000"/>
        </w:rPr>
        <w:t>unique for its</w:t>
      </w:r>
      <w:r w:rsidR="00C5734F" w:rsidRPr="005C7305">
        <w:rPr>
          <w:rFonts w:ascii="Arial" w:hAnsi="Arial" w:cs="Arial"/>
          <w:color w:val="000000"/>
        </w:rPr>
        <w:t xml:space="preserve"> </w:t>
      </w:r>
      <w:r w:rsidR="00CC3872">
        <w:rPr>
          <w:rFonts w:ascii="Arial" w:hAnsi="Arial" w:cs="Arial"/>
          <w:color w:val="000000"/>
        </w:rPr>
        <w:t>complex</w:t>
      </w:r>
      <w:r w:rsidR="00C5734F" w:rsidRPr="005C7305">
        <w:rPr>
          <w:rFonts w:ascii="Arial" w:hAnsi="Arial" w:cs="Arial"/>
          <w:color w:val="000000"/>
        </w:rPr>
        <w:t xml:space="preserve"> system </w:t>
      </w:r>
      <w:r w:rsidR="005841C4" w:rsidRPr="005C7305">
        <w:rPr>
          <w:rFonts w:ascii="Arial" w:hAnsi="Arial" w:cs="Arial"/>
          <w:color w:val="000000"/>
        </w:rPr>
        <w:t xml:space="preserve">of </w:t>
      </w:r>
      <w:r w:rsidR="005841C4" w:rsidRPr="005C7305">
        <w:rPr>
          <w:rFonts w:ascii="Arial" w:hAnsi="Arial" w:cs="Arial"/>
        </w:rPr>
        <w:t>canals, rivers and backwaters with interwoven stretches of vast paddy lands</w:t>
      </w:r>
      <w:r w:rsidR="00C5734F" w:rsidRPr="005C7305">
        <w:rPr>
          <w:rFonts w:ascii="Arial" w:hAnsi="Arial" w:cs="Arial"/>
          <w:color w:val="000000"/>
        </w:rPr>
        <w:t>.</w:t>
      </w:r>
      <w:r w:rsidR="00C5734F" w:rsidRPr="005C7305">
        <w:rPr>
          <w:rFonts w:ascii="Arial" w:hAnsi="Arial" w:cs="Arial"/>
        </w:rPr>
        <w:t xml:space="preserve"> </w:t>
      </w:r>
      <w:proofErr w:type="spellStart"/>
      <w:r w:rsidR="0090714E">
        <w:rPr>
          <w:rFonts w:ascii="Arial" w:hAnsi="Arial" w:cs="Arial"/>
        </w:rPr>
        <w:t>Kuttanad</w:t>
      </w:r>
      <w:proofErr w:type="spellEnd"/>
      <w:r w:rsidR="00C5734F" w:rsidRPr="005C7305">
        <w:rPr>
          <w:rFonts w:ascii="Arial" w:hAnsi="Arial" w:cs="Arial"/>
        </w:rPr>
        <w:t xml:space="preserve"> was </w:t>
      </w:r>
      <w:proofErr w:type="spellStart"/>
      <w:r w:rsidR="00C5734F" w:rsidRPr="005C7305">
        <w:rPr>
          <w:rFonts w:ascii="Arial" w:hAnsi="Arial" w:cs="Arial"/>
        </w:rPr>
        <w:t>r</w:t>
      </w:r>
      <w:r w:rsidRPr="005C7305">
        <w:rPr>
          <w:rFonts w:ascii="Arial" w:hAnsi="Arial" w:cs="Arial"/>
        </w:rPr>
        <w:t>ecognised</w:t>
      </w:r>
      <w:proofErr w:type="spellEnd"/>
      <w:r w:rsidRPr="005C7305">
        <w:rPr>
          <w:rFonts w:ascii="Arial" w:hAnsi="Arial" w:cs="Arial"/>
        </w:rPr>
        <w:t xml:space="preserve"> as Globally Important Agriculture Heritage System </w:t>
      </w:r>
      <w:r w:rsidR="00C5734F" w:rsidRPr="005C7305">
        <w:rPr>
          <w:rFonts w:ascii="Arial" w:hAnsi="Arial" w:cs="Arial"/>
        </w:rPr>
        <w:t xml:space="preserve">(GIAHS) </w:t>
      </w:r>
      <w:r w:rsidRPr="005C7305">
        <w:rPr>
          <w:rFonts w:ascii="Arial" w:hAnsi="Arial" w:cs="Arial"/>
        </w:rPr>
        <w:t xml:space="preserve">by </w:t>
      </w:r>
      <w:r w:rsidR="00C5734F" w:rsidRPr="005C7305">
        <w:rPr>
          <w:rFonts w:ascii="Arial" w:hAnsi="Arial" w:cs="Arial"/>
          <w:color w:val="000000"/>
        </w:rPr>
        <w:t>Food and Agriculture</w:t>
      </w:r>
      <w:r w:rsidR="005841C4" w:rsidRPr="005C7305">
        <w:rPr>
          <w:rFonts w:ascii="Arial" w:hAnsi="Arial" w:cs="Arial"/>
          <w:color w:val="000000"/>
        </w:rPr>
        <w:t xml:space="preserve"> </w:t>
      </w:r>
      <w:proofErr w:type="spellStart"/>
      <w:r w:rsidR="005841C4" w:rsidRPr="005C7305">
        <w:rPr>
          <w:rFonts w:ascii="Arial" w:hAnsi="Arial" w:cs="Arial"/>
          <w:color w:val="000000"/>
        </w:rPr>
        <w:t>Organisation</w:t>
      </w:r>
      <w:proofErr w:type="spellEnd"/>
      <w:r w:rsidR="005841C4" w:rsidRPr="005C7305">
        <w:rPr>
          <w:rFonts w:ascii="Arial" w:hAnsi="Arial" w:cs="Arial"/>
          <w:color w:val="000000"/>
        </w:rPr>
        <w:t xml:space="preserve"> (FAO). </w:t>
      </w:r>
      <w:r w:rsidRPr="005C7305">
        <w:rPr>
          <w:rFonts w:ascii="Arial" w:hAnsi="Arial" w:cs="Arial"/>
        </w:rPr>
        <w:t xml:space="preserve">Historically, </w:t>
      </w:r>
      <w:r w:rsidR="0090714E">
        <w:rPr>
          <w:rFonts w:ascii="Arial" w:hAnsi="Arial" w:cs="Arial"/>
        </w:rPr>
        <w:t>the region’s</w:t>
      </w:r>
      <w:r w:rsidRPr="005C7305">
        <w:rPr>
          <w:rFonts w:ascii="Arial" w:hAnsi="Arial" w:cs="Arial"/>
        </w:rPr>
        <w:t xml:space="preserve"> economy has been </w:t>
      </w:r>
      <w:r w:rsidR="0028406D">
        <w:rPr>
          <w:rFonts w:ascii="Arial" w:hAnsi="Arial" w:cs="Arial"/>
        </w:rPr>
        <w:t>dependent o</w:t>
      </w:r>
      <w:r w:rsidRPr="005C7305">
        <w:rPr>
          <w:rFonts w:ascii="Arial" w:hAnsi="Arial" w:cs="Arial"/>
        </w:rPr>
        <w:t xml:space="preserve">n a </w:t>
      </w:r>
      <w:proofErr w:type="gramStart"/>
      <w:r w:rsidRPr="005C7305">
        <w:rPr>
          <w:rFonts w:ascii="Arial" w:hAnsi="Arial" w:cs="Arial"/>
        </w:rPr>
        <w:t xml:space="preserve">rice </w:t>
      </w:r>
      <w:r w:rsidR="0090714E">
        <w:rPr>
          <w:rFonts w:ascii="Arial" w:hAnsi="Arial" w:cs="Arial"/>
        </w:rPr>
        <w:t>based</w:t>
      </w:r>
      <w:proofErr w:type="gramEnd"/>
      <w:r w:rsidR="0090714E">
        <w:rPr>
          <w:rFonts w:ascii="Arial" w:hAnsi="Arial" w:cs="Arial"/>
        </w:rPr>
        <w:t xml:space="preserve"> </w:t>
      </w:r>
      <w:r w:rsidRPr="005C7305">
        <w:rPr>
          <w:rFonts w:ascii="Arial" w:hAnsi="Arial" w:cs="Arial"/>
        </w:rPr>
        <w:t>system that has shaped the social</w:t>
      </w:r>
      <w:r w:rsidR="00406C80">
        <w:rPr>
          <w:rFonts w:ascii="Arial" w:hAnsi="Arial" w:cs="Arial"/>
        </w:rPr>
        <w:t xml:space="preserve"> framework</w:t>
      </w:r>
      <w:r w:rsidRPr="005C7305">
        <w:rPr>
          <w:rFonts w:ascii="Arial" w:hAnsi="Arial" w:cs="Arial"/>
        </w:rPr>
        <w:t>, land use, and livelihoods of its farming communities for generations.</w:t>
      </w:r>
    </w:p>
    <w:p w14:paraId="4661012E" w14:textId="77777777" w:rsidR="00862C84" w:rsidRPr="005C7305" w:rsidRDefault="00862C84" w:rsidP="00441B6F">
      <w:pPr>
        <w:pStyle w:val="Body"/>
        <w:spacing w:after="0"/>
        <w:rPr>
          <w:rFonts w:ascii="Arial" w:hAnsi="Arial" w:cs="Arial"/>
        </w:rPr>
      </w:pPr>
    </w:p>
    <w:p w14:paraId="12770A05" w14:textId="75139DD0" w:rsidR="00790ADA" w:rsidRPr="005C7305" w:rsidRDefault="00EA4895" w:rsidP="005841C4">
      <w:pPr>
        <w:spacing w:after="120"/>
        <w:jc w:val="both"/>
        <w:rPr>
          <w:rFonts w:ascii="Arial" w:hAnsi="Arial" w:cs="Arial"/>
          <w:color w:val="EE0000"/>
        </w:rPr>
      </w:pPr>
      <w:r>
        <w:rPr>
          <w:rFonts w:ascii="Arial" w:hAnsi="Arial" w:cs="Arial"/>
        </w:rPr>
        <w:t>T</w:t>
      </w:r>
      <w:r w:rsidR="00862C84" w:rsidRPr="005C7305">
        <w:rPr>
          <w:rFonts w:ascii="Arial" w:hAnsi="Arial" w:cs="Arial"/>
        </w:rPr>
        <w:t xml:space="preserve">he agrarian system of Kerala is </w:t>
      </w:r>
      <w:r w:rsidR="005841C4" w:rsidRPr="005C7305">
        <w:rPr>
          <w:rFonts w:ascii="Arial" w:hAnsi="Arial" w:cs="Arial"/>
        </w:rPr>
        <w:t>experiencing a</w:t>
      </w:r>
      <w:r w:rsidR="00862C84" w:rsidRPr="005C7305">
        <w:rPr>
          <w:rFonts w:ascii="Arial" w:hAnsi="Arial" w:cs="Arial"/>
        </w:rPr>
        <w:t xml:space="preserve"> significant transition </w:t>
      </w:r>
      <w:r>
        <w:rPr>
          <w:rFonts w:ascii="Arial" w:hAnsi="Arial" w:cs="Arial"/>
        </w:rPr>
        <w:t xml:space="preserve">in the recent decades, </w:t>
      </w:r>
      <w:r w:rsidR="00862C84" w:rsidRPr="005C7305">
        <w:rPr>
          <w:rFonts w:ascii="Arial" w:hAnsi="Arial" w:cs="Arial"/>
        </w:rPr>
        <w:t xml:space="preserve">characterized by a declining trend in area and production. Agriculture, once the backbone of the state's rural livelihood, is no longer considered an assured source of income capable of providing a sustainable life for farmers. This shift is driven by a </w:t>
      </w:r>
      <w:r w:rsidR="00F42DD8">
        <w:rPr>
          <w:rFonts w:ascii="Arial" w:hAnsi="Arial" w:cs="Arial"/>
        </w:rPr>
        <w:t>multitude</w:t>
      </w:r>
      <w:r w:rsidR="00862C84" w:rsidRPr="005C7305">
        <w:rPr>
          <w:rFonts w:ascii="Arial" w:hAnsi="Arial" w:cs="Arial"/>
        </w:rPr>
        <w:t xml:space="preserve"> of factors, including the deterioration of soil quality, increasing outbreak of pests and diseases, and heightened climate variability. Furthermore, fluctuating market prices</w:t>
      </w:r>
      <w:r w:rsidR="005D6918" w:rsidRPr="005C7305">
        <w:rPr>
          <w:rFonts w:ascii="Arial" w:hAnsi="Arial" w:cs="Arial"/>
        </w:rPr>
        <w:t xml:space="preserve">, lack of labor availability, </w:t>
      </w:r>
      <w:r w:rsidR="00862C84" w:rsidRPr="005C7305">
        <w:rPr>
          <w:rFonts w:ascii="Arial" w:hAnsi="Arial" w:cs="Arial"/>
        </w:rPr>
        <w:t xml:space="preserve">high input costs, and </w:t>
      </w:r>
      <w:r w:rsidR="005841C4" w:rsidRPr="005C7305">
        <w:rPr>
          <w:rFonts w:ascii="Arial" w:hAnsi="Arial" w:cs="Arial"/>
        </w:rPr>
        <w:t>increasing</w:t>
      </w:r>
      <w:r w:rsidR="00862C84" w:rsidRPr="005C7305">
        <w:rPr>
          <w:rFonts w:ascii="Arial" w:hAnsi="Arial" w:cs="Arial"/>
        </w:rPr>
        <w:t xml:space="preserve"> production risks have created a</w:t>
      </w:r>
      <w:r w:rsidR="000A499F">
        <w:rPr>
          <w:rFonts w:ascii="Arial" w:hAnsi="Arial" w:cs="Arial"/>
        </w:rPr>
        <w:t>n insecure</w:t>
      </w:r>
      <w:r w:rsidR="00862C84" w:rsidRPr="005C7305">
        <w:rPr>
          <w:rFonts w:ascii="Arial" w:hAnsi="Arial" w:cs="Arial"/>
        </w:rPr>
        <w:t xml:space="preserve"> environment for the farming community</w:t>
      </w:r>
      <w:r w:rsidR="005D6918" w:rsidRPr="005C7305">
        <w:rPr>
          <w:rFonts w:ascii="Arial" w:hAnsi="Arial" w:cs="Arial"/>
        </w:rPr>
        <w:t>.</w:t>
      </w:r>
      <w:r w:rsidR="005841C4" w:rsidRPr="005C7305">
        <w:rPr>
          <w:rFonts w:ascii="Arial" w:hAnsi="Arial" w:cs="Arial"/>
        </w:rPr>
        <w:t xml:space="preserve"> Climate variability has emerged as </w:t>
      </w:r>
      <w:r w:rsidR="00520555">
        <w:rPr>
          <w:rFonts w:ascii="Arial" w:hAnsi="Arial" w:cs="Arial"/>
        </w:rPr>
        <w:t>a</w:t>
      </w:r>
      <w:r w:rsidR="009335FA">
        <w:rPr>
          <w:rFonts w:ascii="Arial" w:hAnsi="Arial" w:cs="Arial"/>
        </w:rPr>
        <w:t>n intensifying</w:t>
      </w:r>
      <w:r w:rsidR="005841C4" w:rsidRPr="005C7305">
        <w:rPr>
          <w:rFonts w:ascii="Arial" w:hAnsi="Arial" w:cs="Arial"/>
        </w:rPr>
        <w:t xml:space="preserve"> risk in </w:t>
      </w:r>
      <w:proofErr w:type="spellStart"/>
      <w:r w:rsidR="005841C4" w:rsidRPr="005C7305">
        <w:rPr>
          <w:rFonts w:ascii="Arial" w:hAnsi="Arial" w:cs="Arial"/>
        </w:rPr>
        <w:t>Kuttanad</w:t>
      </w:r>
      <w:proofErr w:type="spellEnd"/>
      <w:r w:rsidR="005841C4" w:rsidRPr="005C7305">
        <w:rPr>
          <w:rFonts w:ascii="Arial" w:hAnsi="Arial" w:cs="Arial"/>
        </w:rPr>
        <w:t xml:space="preserve">, </w:t>
      </w:r>
      <w:r w:rsidR="009335FA">
        <w:rPr>
          <w:rFonts w:ascii="Arial" w:hAnsi="Arial" w:cs="Arial"/>
        </w:rPr>
        <w:t>wherein</w:t>
      </w:r>
      <w:r w:rsidR="005841C4" w:rsidRPr="005C7305">
        <w:rPr>
          <w:rFonts w:ascii="Arial" w:hAnsi="Arial" w:cs="Arial"/>
        </w:rPr>
        <w:t xml:space="preserve"> </w:t>
      </w:r>
      <w:r w:rsidR="002050FC">
        <w:rPr>
          <w:rFonts w:ascii="Arial" w:hAnsi="Arial" w:cs="Arial"/>
        </w:rPr>
        <w:t xml:space="preserve">erratic rainfall, </w:t>
      </w:r>
      <w:r w:rsidR="005841C4" w:rsidRPr="005C7305">
        <w:rPr>
          <w:rFonts w:ascii="Arial" w:hAnsi="Arial" w:cs="Arial"/>
        </w:rPr>
        <w:t>recurring floods</w:t>
      </w:r>
      <w:r w:rsidR="002050FC">
        <w:rPr>
          <w:rFonts w:ascii="Arial" w:hAnsi="Arial" w:cs="Arial"/>
        </w:rPr>
        <w:t xml:space="preserve">, bund </w:t>
      </w:r>
      <w:proofErr w:type="spellStart"/>
      <w:proofErr w:type="gramStart"/>
      <w:r w:rsidR="002050FC">
        <w:rPr>
          <w:rFonts w:ascii="Arial" w:hAnsi="Arial" w:cs="Arial"/>
        </w:rPr>
        <w:t>breaches,and</w:t>
      </w:r>
      <w:proofErr w:type="spellEnd"/>
      <w:proofErr w:type="gramEnd"/>
      <w:r w:rsidR="002050FC">
        <w:rPr>
          <w:rFonts w:ascii="Arial" w:hAnsi="Arial" w:cs="Arial"/>
        </w:rPr>
        <w:t xml:space="preserve">  saline water intrusion has greatly </w:t>
      </w:r>
      <w:r w:rsidR="00FA7B6A">
        <w:rPr>
          <w:rFonts w:ascii="Arial" w:hAnsi="Arial" w:cs="Arial"/>
        </w:rPr>
        <w:t>affected</w:t>
      </w:r>
      <w:r w:rsidR="005841C4" w:rsidRPr="005C7305">
        <w:rPr>
          <w:rFonts w:ascii="Arial" w:hAnsi="Arial" w:cs="Arial"/>
        </w:rPr>
        <w:t xml:space="preserve"> traditional crop cycles and erod</w:t>
      </w:r>
      <w:r w:rsidR="00FA7B6A">
        <w:rPr>
          <w:rFonts w:ascii="Arial" w:hAnsi="Arial" w:cs="Arial"/>
        </w:rPr>
        <w:t>ed</w:t>
      </w:r>
      <w:r w:rsidR="005841C4" w:rsidRPr="005C7305">
        <w:rPr>
          <w:rFonts w:ascii="Arial" w:hAnsi="Arial" w:cs="Arial"/>
        </w:rPr>
        <w:t xml:space="preserve"> farm assets. </w:t>
      </w:r>
      <w:r w:rsidR="006C61FE">
        <w:rPr>
          <w:rFonts w:ascii="Arial" w:hAnsi="Arial" w:cs="Arial"/>
        </w:rPr>
        <w:t xml:space="preserve">The livelihood </w:t>
      </w:r>
      <w:r w:rsidR="0089056D">
        <w:rPr>
          <w:rFonts w:ascii="Arial" w:hAnsi="Arial" w:cs="Arial"/>
        </w:rPr>
        <w:t>security of w</w:t>
      </w:r>
      <w:r w:rsidR="005841C4" w:rsidRPr="005C7305">
        <w:rPr>
          <w:rFonts w:ascii="Arial" w:hAnsi="Arial" w:cs="Arial"/>
        </w:rPr>
        <w:t xml:space="preserve">etland farming communities </w:t>
      </w:r>
      <w:proofErr w:type="gramStart"/>
      <w:r w:rsidR="005841C4" w:rsidRPr="005C7305">
        <w:rPr>
          <w:rFonts w:ascii="Arial" w:hAnsi="Arial" w:cs="Arial"/>
        </w:rPr>
        <w:t>are</w:t>
      </w:r>
      <w:proofErr w:type="gramEnd"/>
      <w:r w:rsidR="005841C4" w:rsidRPr="005C7305">
        <w:rPr>
          <w:rFonts w:ascii="Arial" w:hAnsi="Arial" w:cs="Arial"/>
        </w:rPr>
        <w:t xml:space="preserve"> particularly </w:t>
      </w:r>
      <w:r w:rsidR="0089056D">
        <w:rPr>
          <w:rFonts w:ascii="Arial" w:hAnsi="Arial" w:cs="Arial"/>
        </w:rPr>
        <w:t>prone to get affected</w:t>
      </w:r>
      <w:r w:rsidR="005841C4" w:rsidRPr="005C7305">
        <w:rPr>
          <w:rFonts w:ascii="Arial" w:hAnsi="Arial" w:cs="Arial"/>
        </w:rPr>
        <w:t xml:space="preserve"> due to their dependence on fragile aquatic ecosystems and vulnerability to hydrological disruption (Feng et al., 2024). Livelihood vulnerability in such communities is driven by </w:t>
      </w:r>
      <w:r w:rsidR="00F70DEB">
        <w:rPr>
          <w:rFonts w:ascii="Arial" w:hAnsi="Arial" w:cs="Arial"/>
        </w:rPr>
        <w:t>multiform</w:t>
      </w:r>
      <w:r w:rsidR="005841C4" w:rsidRPr="005C7305">
        <w:rPr>
          <w:rFonts w:ascii="Arial" w:hAnsi="Arial" w:cs="Arial"/>
        </w:rPr>
        <w:t xml:space="preserve"> interaction of hydroclimatic risks and anthropogenic pressures, with </w:t>
      </w:r>
      <w:r w:rsidR="007148CA">
        <w:rPr>
          <w:rFonts w:ascii="Arial" w:hAnsi="Arial" w:cs="Arial"/>
        </w:rPr>
        <w:t>exposure to flood</w:t>
      </w:r>
      <w:r w:rsidR="005841C4" w:rsidRPr="005C7305">
        <w:rPr>
          <w:rFonts w:ascii="Arial" w:hAnsi="Arial" w:cs="Arial"/>
        </w:rPr>
        <w:t xml:space="preserve"> and water quality deterioration identified as primary stressors (Imdad et al., 2025). These pressures have </w:t>
      </w:r>
      <w:r w:rsidR="007148CA">
        <w:rPr>
          <w:rFonts w:ascii="Arial" w:hAnsi="Arial" w:cs="Arial"/>
        </w:rPr>
        <w:t>resulted in</w:t>
      </w:r>
      <w:r w:rsidR="005841C4" w:rsidRPr="005C7305">
        <w:rPr>
          <w:rFonts w:ascii="Arial" w:hAnsi="Arial" w:cs="Arial"/>
        </w:rPr>
        <w:t xml:space="preserve"> significant migration of the farming community away from agriculture toward non-farm occupations, threatening the region’s food production and cultural heritage (Jacob et al., 2018).</w:t>
      </w:r>
    </w:p>
    <w:p w14:paraId="7BC82027" w14:textId="77777777" w:rsidR="005D6918" w:rsidRPr="005C7305" w:rsidRDefault="005D6918" w:rsidP="00441B6F">
      <w:pPr>
        <w:pStyle w:val="Body"/>
        <w:spacing w:after="0"/>
        <w:rPr>
          <w:rFonts w:ascii="Arial" w:hAnsi="Arial" w:cs="Arial"/>
        </w:rPr>
      </w:pPr>
    </w:p>
    <w:p w14:paraId="69624B1A" w14:textId="65330512" w:rsidR="00C1584C" w:rsidRPr="005C7305" w:rsidRDefault="005841C4" w:rsidP="00C1584C">
      <w:pPr>
        <w:pStyle w:val="Body"/>
        <w:rPr>
          <w:rFonts w:ascii="Arial" w:hAnsi="Arial" w:cs="Arial"/>
          <w:lang w:val="en-IN"/>
        </w:rPr>
      </w:pPr>
      <w:r w:rsidRPr="005C7305">
        <w:rPr>
          <w:rFonts w:ascii="Arial" w:hAnsi="Arial" w:cs="Arial"/>
        </w:rPr>
        <w:t xml:space="preserve">It is in this </w:t>
      </w:r>
      <w:r w:rsidR="007F03B5" w:rsidRPr="005C7305">
        <w:rPr>
          <w:rFonts w:ascii="Arial" w:hAnsi="Arial" w:cs="Arial"/>
        </w:rPr>
        <w:t>context;</w:t>
      </w:r>
      <w:r w:rsidRPr="005C7305">
        <w:rPr>
          <w:rFonts w:ascii="Arial" w:hAnsi="Arial" w:cs="Arial"/>
        </w:rPr>
        <w:t xml:space="preserve"> t</w:t>
      </w:r>
      <w:r w:rsidR="00BC2C89" w:rsidRPr="005C7305">
        <w:rPr>
          <w:rFonts w:ascii="Arial" w:hAnsi="Arial" w:cs="Arial"/>
        </w:rPr>
        <w:t>he Integrated Farming System (IFS) has emerged as a viable alternative to conventional farming systems</w:t>
      </w:r>
      <w:r w:rsidR="00C1584C" w:rsidRPr="005C7305">
        <w:rPr>
          <w:rFonts w:ascii="Arial" w:hAnsi="Arial" w:cs="Arial"/>
        </w:rPr>
        <w:t xml:space="preserve"> in </w:t>
      </w:r>
      <w:proofErr w:type="spellStart"/>
      <w:r w:rsidR="007F03B5" w:rsidRPr="005C7305">
        <w:rPr>
          <w:rFonts w:ascii="Arial" w:hAnsi="Arial" w:cs="Arial"/>
        </w:rPr>
        <w:t>Kuttanad</w:t>
      </w:r>
      <w:proofErr w:type="spellEnd"/>
      <w:r w:rsidR="007F03B5" w:rsidRPr="005C7305">
        <w:rPr>
          <w:rFonts w:ascii="Arial" w:hAnsi="Arial" w:cs="Arial"/>
        </w:rPr>
        <w:t>.</w:t>
      </w:r>
      <w:r w:rsidR="00BC2C89" w:rsidRPr="005C7305">
        <w:rPr>
          <w:rFonts w:ascii="Arial" w:hAnsi="Arial" w:cs="Arial"/>
        </w:rPr>
        <w:t xml:space="preserve"> IFS </w:t>
      </w:r>
      <w:proofErr w:type="gramStart"/>
      <w:r w:rsidR="00BC2C89" w:rsidRPr="005C7305">
        <w:rPr>
          <w:rFonts w:ascii="Arial" w:hAnsi="Arial" w:cs="Arial"/>
        </w:rPr>
        <w:t>involves</w:t>
      </w:r>
      <w:proofErr w:type="gramEnd"/>
      <w:r w:rsidR="00BC2C89" w:rsidRPr="005C7305">
        <w:rPr>
          <w:rFonts w:ascii="Arial" w:hAnsi="Arial" w:cs="Arial"/>
        </w:rPr>
        <w:t xml:space="preserve"> the purposive integration of multiple enterprises</w:t>
      </w:r>
      <w:r w:rsidR="006B17A0">
        <w:rPr>
          <w:rFonts w:ascii="Arial" w:hAnsi="Arial" w:cs="Arial"/>
        </w:rPr>
        <w:t xml:space="preserve"> </w:t>
      </w:r>
      <w:r w:rsidR="00BC2C89" w:rsidRPr="005C7305">
        <w:rPr>
          <w:rFonts w:ascii="Arial" w:hAnsi="Arial" w:cs="Arial"/>
        </w:rPr>
        <w:t>including crops, livestock, poultry, fisheries, and allied activities</w:t>
      </w:r>
      <w:r w:rsidR="00C1584C" w:rsidRPr="005C7305">
        <w:rPr>
          <w:rFonts w:ascii="Arial" w:hAnsi="Arial" w:cs="Arial"/>
        </w:rPr>
        <w:t xml:space="preserve"> </w:t>
      </w:r>
      <w:r w:rsidR="00BC2C89" w:rsidRPr="005C7305">
        <w:rPr>
          <w:rFonts w:ascii="Arial" w:hAnsi="Arial" w:cs="Arial"/>
        </w:rPr>
        <w:t>on the same land</w:t>
      </w:r>
      <w:r w:rsidR="00C1584C" w:rsidRPr="005C7305">
        <w:rPr>
          <w:rFonts w:ascii="Arial" w:hAnsi="Arial" w:cs="Arial"/>
        </w:rPr>
        <w:t>holding</w:t>
      </w:r>
      <w:r w:rsidR="006B17A0">
        <w:rPr>
          <w:rFonts w:ascii="Arial" w:hAnsi="Arial" w:cs="Arial"/>
        </w:rPr>
        <w:t xml:space="preserve">. This practice </w:t>
      </w:r>
      <w:r w:rsidR="00BC2C89" w:rsidRPr="005C7305">
        <w:rPr>
          <w:rFonts w:ascii="Arial" w:hAnsi="Arial" w:cs="Arial"/>
        </w:rPr>
        <w:t>is based on the principle that the waste or by-product of one component becomes the input for another (Edwards et al., 1986</w:t>
      </w:r>
      <w:r w:rsidR="00C1584C" w:rsidRPr="005C7305">
        <w:rPr>
          <w:rFonts w:ascii="Arial" w:hAnsi="Arial" w:cs="Arial"/>
        </w:rPr>
        <w:t>).</w:t>
      </w:r>
      <w:r w:rsidR="00BC2C89" w:rsidRPr="005C7305">
        <w:rPr>
          <w:rFonts w:ascii="Arial" w:hAnsi="Arial" w:cs="Arial"/>
        </w:rPr>
        <w:t xml:space="preserve"> Th</w:t>
      </w:r>
      <w:r w:rsidR="003C5B6F">
        <w:rPr>
          <w:rFonts w:ascii="Arial" w:hAnsi="Arial" w:cs="Arial"/>
        </w:rPr>
        <w:t>e</w:t>
      </w:r>
      <w:r w:rsidR="00BC2C89" w:rsidRPr="005C7305">
        <w:rPr>
          <w:rFonts w:ascii="Arial" w:hAnsi="Arial" w:cs="Arial"/>
        </w:rPr>
        <w:t xml:space="preserve"> systemic integration </w:t>
      </w:r>
      <w:r w:rsidR="003C5B6F">
        <w:rPr>
          <w:rFonts w:ascii="Arial" w:hAnsi="Arial" w:cs="Arial"/>
        </w:rPr>
        <w:t xml:space="preserve">of resources </w:t>
      </w:r>
      <w:r w:rsidR="00BC2C89" w:rsidRPr="005C7305">
        <w:rPr>
          <w:rFonts w:ascii="Arial" w:hAnsi="Arial" w:cs="Arial"/>
        </w:rPr>
        <w:t xml:space="preserve">aims to </w:t>
      </w:r>
      <w:proofErr w:type="spellStart"/>
      <w:r w:rsidR="00BC2C89" w:rsidRPr="005C7305">
        <w:rPr>
          <w:rFonts w:ascii="Arial" w:hAnsi="Arial" w:cs="Arial"/>
        </w:rPr>
        <w:t>maximis</w:t>
      </w:r>
      <w:r w:rsidR="003C5B6F">
        <w:rPr>
          <w:rFonts w:ascii="Arial" w:hAnsi="Arial" w:cs="Arial"/>
        </w:rPr>
        <w:t>e</w:t>
      </w:r>
      <w:proofErr w:type="spellEnd"/>
      <w:r w:rsidR="003C5B6F">
        <w:rPr>
          <w:rFonts w:ascii="Arial" w:hAnsi="Arial" w:cs="Arial"/>
        </w:rPr>
        <w:t xml:space="preserve"> its </w:t>
      </w:r>
      <w:proofErr w:type="spellStart"/>
      <w:r w:rsidR="00BC2C89" w:rsidRPr="005C7305">
        <w:rPr>
          <w:rFonts w:ascii="Arial" w:hAnsi="Arial" w:cs="Arial"/>
        </w:rPr>
        <w:t>utilisation</w:t>
      </w:r>
      <w:proofErr w:type="spellEnd"/>
      <w:r w:rsidR="00BC2C89" w:rsidRPr="005C7305">
        <w:rPr>
          <w:rFonts w:ascii="Arial" w:hAnsi="Arial" w:cs="Arial"/>
        </w:rPr>
        <w:t xml:space="preserve"> throughout the year, </w:t>
      </w:r>
      <w:proofErr w:type="spellStart"/>
      <w:r w:rsidR="00BC2C89" w:rsidRPr="005C7305">
        <w:rPr>
          <w:rFonts w:ascii="Arial" w:hAnsi="Arial" w:cs="Arial"/>
        </w:rPr>
        <w:t>minimise</w:t>
      </w:r>
      <w:proofErr w:type="spellEnd"/>
      <w:r w:rsidR="00BC2C89" w:rsidRPr="005C7305">
        <w:rPr>
          <w:rFonts w:ascii="Arial" w:hAnsi="Arial" w:cs="Arial"/>
        </w:rPr>
        <w:t xml:space="preserve"> environmental degradation, and ensure higher and more stable economic returns for small and marginal farmers. </w:t>
      </w:r>
      <w:r w:rsidR="005A061D" w:rsidRPr="005C7305">
        <w:rPr>
          <w:rFonts w:ascii="Arial" w:hAnsi="Arial" w:cs="Arial"/>
        </w:rPr>
        <w:t xml:space="preserve">The unique ecology of </w:t>
      </w:r>
      <w:proofErr w:type="spellStart"/>
      <w:r w:rsidR="005A061D" w:rsidRPr="005C7305">
        <w:rPr>
          <w:rFonts w:ascii="Arial" w:hAnsi="Arial" w:cs="Arial"/>
        </w:rPr>
        <w:t>Kuttanad</w:t>
      </w:r>
      <w:proofErr w:type="spellEnd"/>
      <w:r w:rsidR="005A061D" w:rsidRPr="005C7305">
        <w:rPr>
          <w:rFonts w:ascii="Arial" w:hAnsi="Arial" w:cs="Arial"/>
        </w:rPr>
        <w:t xml:space="preserve"> region has supported a </w:t>
      </w:r>
      <w:r w:rsidR="003C5B6F">
        <w:rPr>
          <w:rFonts w:ascii="Arial" w:hAnsi="Arial" w:cs="Arial"/>
        </w:rPr>
        <w:t xml:space="preserve">wide </w:t>
      </w:r>
      <w:r w:rsidR="00705AF7">
        <w:rPr>
          <w:rFonts w:ascii="Arial" w:hAnsi="Arial" w:cs="Arial"/>
        </w:rPr>
        <w:t>variety</w:t>
      </w:r>
      <w:r w:rsidR="005A061D" w:rsidRPr="005C7305">
        <w:rPr>
          <w:rFonts w:ascii="Arial" w:hAnsi="Arial" w:cs="Arial"/>
        </w:rPr>
        <w:t xml:space="preserve"> of enterprises based on inland fisheries, paddy, coconut, and several cultures while evolving different economic activities (Swaminathan,2007)</w:t>
      </w:r>
      <w:r w:rsidR="00C1584C" w:rsidRPr="005C7305">
        <w:rPr>
          <w:rFonts w:ascii="Arial" w:hAnsi="Arial" w:cs="Arial"/>
        </w:rPr>
        <w:t>. Th</w:t>
      </w:r>
      <w:r w:rsidR="00705AF7">
        <w:rPr>
          <w:rFonts w:ascii="Arial" w:hAnsi="Arial" w:cs="Arial"/>
        </w:rPr>
        <w:t>is integration of resources</w:t>
      </w:r>
      <w:r w:rsidR="00C1584C" w:rsidRPr="005C7305">
        <w:rPr>
          <w:rFonts w:ascii="Arial" w:hAnsi="Arial" w:cs="Arial"/>
        </w:rPr>
        <w:t xml:space="preserve"> is increasingly </w:t>
      </w:r>
      <w:r w:rsidR="00F356BC">
        <w:rPr>
          <w:rFonts w:ascii="Arial" w:hAnsi="Arial" w:cs="Arial"/>
        </w:rPr>
        <w:t xml:space="preserve">being </w:t>
      </w:r>
      <w:proofErr w:type="spellStart"/>
      <w:r w:rsidR="00C1584C" w:rsidRPr="005C7305">
        <w:rPr>
          <w:rFonts w:ascii="Arial" w:hAnsi="Arial" w:cs="Arial"/>
        </w:rPr>
        <w:t>recognised</w:t>
      </w:r>
      <w:proofErr w:type="spellEnd"/>
      <w:r w:rsidR="00C1584C" w:rsidRPr="005C7305">
        <w:rPr>
          <w:rFonts w:ascii="Arial" w:hAnsi="Arial" w:cs="Arial"/>
        </w:rPr>
        <w:t xml:space="preserve"> as an environmentally cost-effective approach suited to the challenges of changing climate conditions, particularly for small and marginal farmers in tropical ecosystems (Bhagat et al., 2024).</w:t>
      </w:r>
      <w:r w:rsidR="00C1584C" w:rsidRPr="005C7305">
        <w:rPr>
          <w:rFonts w:ascii="Arial" w:eastAsia="Arial" w:hAnsi="Arial" w:cs="Arial"/>
          <w:lang w:val="en-IN" w:eastAsia="en-IN"/>
        </w:rPr>
        <w:t xml:space="preserve"> </w:t>
      </w:r>
      <w:r w:rsidR="00720BEA">
        <w:rPr>
          <w:rFonts w:ascii="Arial" w:eastAsia="Arial" w:hAnsi="Arial" w:cs="Arial"/>
          <w:lang w:val="en-IN" w:eastAsia="en-IN"/>
        </w:rPr>
        <w:t xml:space="preserve">Evidence suggests that </w:t>
      </w:r>
      <w:r w:rsidR="00C1584C" w:rsidRPr="005C7305">
        <w:rPr>
          <w:rFonts w:ascii="Arial" w:hAnsi="Arial" w:cs="Arial"/>
          <w:lang w:val="en-IN"/>
        </w:rPr>
        <w:t xml:space="preserve">IFS </w:t>
      </w:r>
      <w:proofErr w:type="gramStart"/>
      <w:r w:rsidR="00720BEA">
        <w:rPr>
          <w:rFonts w:ascii="Arial" w:hAnsi="Arial" w:cs="Arial"/>
          <w:lang w:val="en-IN"/>
        </w:rPr>
        <w:t xml:space="preserve">helps </w:t>
      </w:r>
      <w:r w:rsidR="00C1584C" w:rsidRPr="005C7305">
        <w:rPr>
          <w:rFonts w:ascii="Arial" w:hAnsi="Arial" w:cs="Arial"/>
          <w:lang w:val="en-IN"/>
        </w:rPr>
        <w:t xml:space="preserve"> to</w:t>
      </w:r>
      <w:proofErr w:type="gramEnd"/>
      <w:r w:rsidR="00C1584C" w:rsidRPr="005C7305">
        <w:rPr>
          <w:rFonts w:ascii="Arial" w:hAnsi="Arial" w:cs="Arial"/>
          <w:lang w:val="en-IN"/>
        </w:rPr>
        <w:t xml:space="preserve"> achieve food and nutritional security while enhancing climate resilience, profitability, and employment generation at the farm level in India (Paramesh et al., 2022a). Across </w:t>
      </w:r>
      <w:proofErr w:type="gramStart"/>
      <w:r w:rsidR="005261D4">
        <w:rPr>
          <w:rFonts w:ascii="Arial" w:hAnsi="Arial" w:cs="Arial"/>
          <w:lang w:val="en-IN"/>
        </w:rPr>
        <w:t xml:space="preserve">different </w:t>
      </w:r>
      <w:r w:rsidR="00C1584C" w:rsidRPr="005C7305">
        <w:rPr>
          <w:rFonts w:ascii="Arial" w:hAnsi="Arial" w:cs="Arial"/>
          <w:lang w:val="en-IN"/>
        </w:rPr>
        <w:t xml:space="preserve"> </w:t>
      </w:r>
      <w:proofErr w:type="spellStart"/>
      <w:r w:rsidR="00C1584C" w:rsidRPr="005C7305">
        <w:rPr>
          <w:rFonts w:ascii="Arial" w:hAnsi="Arial" w:cs="Arial"/>
          <w:lang w:val="en-IN"/>
        </w:rPr>
        <w:t>agro</w:t>
      </w:r>
      <w:proofErr w:type="spellEnd"/>
      <w:proofErr w:type="gramEnd"/>
      <w:r w:rsidR="00C1584C" w:rsidRPr="005C7305">
        <w:rPr>
          <w:rFonts w:ascii="Arial" w:hAnsi="Arial" w:cs="Arial"/>
          <w:lang w:val="en-IN"/>
        </w:rPr>
        <w:t xml:space="preserve">-climatic zones, IFS models </w:t>
      </w:r>
      <w:r w:rsidR="005261D4">
        <w:rPr>
          <w:rFonts w:ascii="Arial" w:hAnsi="Arial" w:cs="Arial"/>
          <w:lang w:val="en-IN"/>
        </w:rPr>
        <w:t>involving</w:t>
      </w:r>
      <w:r w:rsidR="00C1584C" w:rsidRPr="005C7305">
        <w:rPr>
          <w:rFonts w:ascii="Arial" w:hAnsi="Arial" w:cs="Arial"/>
          <w:lang w:val="en-IN"/>
        </w:rPr>
        <w:t xml:space="preserve"> crop</w:t>
      </w:r>
      <w:r w:rsidR="005261D4">
        <w:rPr>
          <w:rFonts w:ascii="Arial" w:hAnsi="Arial" w:cs="Arial"/>
          <w:lang w:val="en-IN"/>
        </w:rPr>
        <w:t xml:space="preserve"> and </w:t>
      </w:r>
      <w:r w:rsidR="00C1584C" w:rsidRPr="005C7305">
        <w:rPr>
          <w:rFonts w:ascii="Arial" w:hAnsi="Arial" w:cs="Arial"/>
          <w:lang w:val="en-IN"/>
        </w:rPr>
        <w:lastRenderedPageBreak/>
        <w:t xml:space="preserve">livestock diversification have been shown to enhance adaptive capacity to climate variability (Paramesh et al., 2022b). The Regional Agricultural Research Station (RARS), </w:t>
      </w:r>
      <w:proofErr w:type="spellStart"/>
      <w:r w:rsidR="00C1584C" w:rsidRPr="005C7305">
        <w:rPr>
          <w:rFonts w:ascii="Arial" w:hAnsi="Arial" w:cs="Arial"/>
          <w:lang w:val="en-IN"/>
        </w:rPr>
        <w:t>Kumarakom</w:t>
      </w:r>
      <w:proofErr w:type="spellEnd"/>
      <w:r w:rsidR="00C1584C" w:rsidRPr="005C7305">
        <w:rPr>
          <w:rFonts w:ascii="Arial" w:hAnsi="Arial" w:cs="Arial"/>
          <w:lang w:val="en-IN"/>
        </w:rPr>
        <w:t xml:space="preserve">, under Kerala Agricultural University has been the principal institutional driver of IFS promotion in </w:t>
      </w:r>
      <w:proofErr w:type="spellStart"/>
      <w:r w:rsidR="00C1584C" w:rsidRPr="005C7305">
        <w:rPr>
          <w:rFonts w:ascii="Arial" w:hAnsi="Arial" w:cs="Arial"/>
          <w:lang w:val="en-IN"/>
        </w:rPr>
        <w:t>Kuttanad</w:t>
      </w:r>
      <w:proofErr w:type="spellEnd"/>
      <w:r w:rsidR="00C1584C" w:rsidRPr="005C7305">
        <w:rPr>
          <w:rFonts w:ascii="Arial" w:hAnsi="Arial" w:cs="Arial"/>
          <w:lang w:val="en-IN"/>
        </w:rPr>
        <w:t xml:space="preserve"> through the project Centre of Excellence in Below Sea Level Farming (</w:t>
      </w:r>
      <w:proofErr w:type="spellStart"/>
      <w:r w:rsidR="00C1584C" w:rsidRPr="005C7305">
        <w:rPr>
          <w:rFonts w:ascii="Arial" w:hAnsi="Arial" w:cs="Arial"/>
          <w:lang w:val="en-IN"/>
        </w:rPr>
        <w:t>CoE</w:t>
      </w:r>
      <w:proofErr w:type="spellEnd"/>
      <w:r w:rsidR="00C1584C" w:rsidRPr="005C7305">
        <w:rPr>
          <w:rFonts w:ascii="Arial" w:hAnsi="Arial" w:cs="Arial"/>
          <w:lang w:val="en-IN"/>
        </w:rPr>
        <w:t>).</w:t>
      </w:r>
    </w:p>
    <w:p w14:paraId="47867D2A" w14:textId="7FC7AC5F" w:rsidR="00BC2C89" w:rsidRPr="005C7305" w:rsidRDefault="00BC2C89" w:rsidP="00C1584C">
      <w:pPr>
        <w:pStyle w:val="Body"/>
        <w:rPr>
          <w:rFonts w:ascii="Arial" w:hAnsi="Arial" w:cs="Arial"/>
        </w:rPr>
      </w:pPr>
      <w:r w:rsidRPr="005C7305">
        <w:rPr>
          <w:rFonts w:ascii="Arial" w:hAnsi="Arial" w:cs="Arial"/>
        </w:rPr>
        <w:t>While several studies across India have examined the productivity and income effects of various Integrated Farming Systems, relatively fewer have assessed their broader implications for livelihood security</w:t>
      </w:r>
      <w:r w:rsidR="000D796A">
        <w:rPr>
          <w:rFonts w:ascii="Arial" w:hAnsi="Arial" w:cs="Arial"/>
        </w:rPr>
        <w:t xml:space="preserve">. </w:t>
      </w:r>
      <w:r w:rsidR="00C1584C" w:rsidRPr="005C7305">
        <w:rPr>
          <w:rFonts w:ascii="Arial" w:hAnsi="Arial" w:cs="Arial"/>
        </w:rPr>
        <w:t xml:space="preserve">A study </w:t>
      </w:r>
      <w:r w:rsidR="00FD5297">
        <w:rPr>
          <w:rFonts w:ascii="Arial" w:hAnsi="Arial" w:cs="Arial"/>
        </w:rPr>
        <w:t>conducted in</w:t>
      </w:r>
      <w:r w:rsidR="00C1584C" w:rsidRPr="005C7305">
        <w:rPr>
          <w:rFonts w:ascii="Arial" w:hAnsi="Arial" w:cs="Arial"/>
        </w:rPr>
        <w:t xml:space="preserve"> Kerala and Tamil Nadu confirmed that IFS adoption significantly improved farmer livelihoods and dietary diversity, with credit access and education as key determinants of adoption </w:t>
      </w:r>
      <w:proofErr w:type="spellStart"/>
      <w:r w:rsidR="00C1584C" w:rsidRPr="005C7305">
        <w:rPr>
          <w:rFonts w:ascii="Arial" w:hAnsi="Arial" w:cs="Arial"/>
        </w:rPr>
        <w:t>behaviour</w:t>
      </w:r>
      <w:proofErr w:type="spellEnd"/>
      <w:r w:rsidR="00C1584C" w:rsidRPr="005C7305">
        <w:rPr>
          <w:rFonts w:ascii="Arial" w:hAnsi="Arial" w:cs="Arial"/>
        </w:rPr>
        <w:t xml:space="preserve"> (Raghavendra et al., 2024</w:t>
      </w:r>
      <w:r w:rsidR="00455C12" w:rsidRPr="005C7305">
        <w:rPr>
          <w:rFonts w:ascii="Arial" w:hAnsi="Arial" w:cs="Arial"/>
        </w:rPr>
        <w:t>).</w:t>
      </w:r>
      <w:r w:rsidR="00C1584C" w:rsidRPr="005C7305">
        <w:rPr>
          <w:rFonts w:ascii="Arial" w:hAnsi="Arial" w:cs="Arial"/>
        </w:rPr>
        <w:t xml:space="preserve"> </w:t>
      </w:r>
      <w:r w:rsidRPr="005C7305">
        <w:rPr>
          <w:rFonts w:ascii="Arial" w:hAnsi="Arial" w:cs="Arial"/>
        </w:rPr>
        <w:t xml:space="preserve">Given the ecological sensitivity of </w:t>
      </w:r>
      <w:proofErr w:type="spellStart"/>
      <w:r w:rsidRPr="005C7305">
        <w:rPr>
          <w:rFonts w:ascii="Arial" w:hAnsi="Arial" w:cs="Arial"/>
        </w:rPr>
        <w:t>Kuttanad</w:t>
      </w:r>
      <w:proofErr w:type="spellEnd"/>
      <w:r w:rsidRPr="005C7305">
        <w:rPr>
          <w:rFonts w:ascii="Arial" w:hAnsi="Arial" w:cs="Arial"/>
        </w:rPr>
        <w:t xml:space="preserve"> and the ongoing transition in its </w:t>
      </w:r>
      <w:r w:rsidR="00FD5297">
        <w:rPr>
          <w:rFonts w:ascii="Arial" w:hAnsi="Arial" w:cs="Arial"/>
        </w:rPr>
        <w:t>agriculture</w:t>
      </w:r>
      <w:r w:rsidRPr="005C7305">
        <w:rPr>
          <w:rFonts w:ascii="Arial" w:hAnsi="Arial" w:cs="Arial"/>
        </w:rPr>
        <w:t xml:space="preserve"> structure, there is a need for context-specific empirical evidence on how </w:t>
      </w:r>
      <w:r w:rsidR="002E19F9">
        <w:rPr>
          <w:rFonts w:ascii="Arial" w:hAnsi="Arial" w:cs="Arial"/>
        </w:rPr>
        <w:t>r</w:t>
      </w:r>
      <w:r w:rsidRPr="005C7305">
        <w:rPr>
          <w:rFonts w:ascii="Arial" w:hAnsi="Arial" w:cs="Arial"/>
        </w:rPr>
        <w:t>ice</w:t>
      </w:r>
      <w:r w:rsidR="002E19F9">
        <w:rPr>
          <w:rFonts w:ascii="Arial" w:hAnsi="Arial" w:cs="Arial"/>
        </w:rPr>
        <w:t xml:space="preserve"> </w:t>
      </w:r>
      <w:r w:rsidRPr="005C7305">
        <w:rPr>
          <w:rFonts w:ascii="Arial" w:hAnsi="Arial" w:cs="Arial"/>
        </w:rPr>
        <w:t xml:space="preserve">based Integrated Farming Systems influence different aspects </w:t>
      </w:r>
      <w:proofErr w:type="gramStart"/>
      <w:r w:rsidRPr="005C7305">
        <w:rPr>
          <w:rFonts w:ascii="Arial" w:hAnsi="Arial" w:cs="Arial"/>
        </w:rPr>
        <w:t>of  livelihood</w:t>
      </w:r>
      <w:proofErr w:type="gramEnd"/>
      <w:r w:rsidRPr="005C7305">
        <w:rPr>
          <w:rFonts w:ascii="Arial" w:hAnsi="Arial" w:cs="Arial"/>
        </w:rPr>
        <w:t xml:space="preserve"> security</w:t>
      </w:r>
      <w:r w:rsidR="002E19F9">
        <w:rPr>
          <w:rFonts w:ascii="Arial" w:hAnsi="Arial" w:cs="Arial"/>
        </w:rPr>
        <w:t xml:space="preserve"> of farmers</w:t>
      </w:r>
      <w:r w:rsidRPr="005C7305">
        <w:rPr>
          <w:rFonts w:ascii="Arial" w:hAnsi="Arial" w:cs="Arial"/>
        </w:rPr>
        <w:t xml:space="preserve">. It is in this context that the present study was undertaken to provide insights into the role of integrated farming as a livelihood strategy in </w:t>
      </w:r>
      <w:proofErr w:type="spellStart"/>
      <w:r w:rsidRPr="005C7305">
        <w:rPr>
          <w:rFonts w:ascii="Arial" w:hAnsi="Arial" w:cs="Arial"/>
        </w:rPr>
        <w:t>Kuttanad</w:t>
      </w:r>
      <w:proofErr w:type="spellEnd"/>
      <w:r w:rsidRPr="005C7305">
        <w:rPr>
          <w:rFonts w:ascii="Arial" w:hAnsi="Arial" w:cs="Arial"/>
        </w:rPr>
        <w:t>.</w:t>
      </w:r>
    </w:p>
    <w:p w14:paraId="0D7C9DFC" w14:textId="77777777" w:rsidR="00BC2C89" w:rsidRPr="005C7305" w:rsidRDefault="00BC2C89" w:rsidP="00441B6F">
      <w:pPr>
        <w:pStyle w:val="Body"/>
        <w:spacing w:after="0"/>
        <w:rPr>
          <w:rFonts w:ascii="Arial" w:hAnsi="Arial" w:cs="Arial"/>
        </w:rPr>
      </w:pPr>
    </w:p>
    <w:p w14:paraId="00C58B57" w14:textId="77777777" w:rsidR="00BC2C89" w:rsidRPr="005C7305" w:rsidRDefault="00902823" w:rsidP="00441B6F">
      <w:pPr>
        <w:pStyle w:val="AbstHead"/>
        <w:spacing w:after="0"/>
        <w:jc w:val="both"/>
        <w:rPr>
          <w:rFonts w:ascii="Arial" w:hAnsi="Arial" w:cs="Arial"/>
        </w:rPr>
      </w:pPr>
      <w:r w:rsidRPr="005C7305">
        <w:rPr>
          <w:rFonts w:ascii="Arial" w:hAnsi="Arial" w:cs="Arial"/>
        </w:rPr>
        <w:t>2. material and method</w:t>
      </w:r>
      <w:r w:rsidR="00BC2C89" w:rsidRPr="005C7305">
        <w:rPr>
          <w:rFonts w:ascii="Arial" w:hAnsi="Arial" w:cs="Arial"/>
        </w:rPr>
        <w:t>S</w:t>
      </w:r>
    </w:p>
    <w:p w14:paraId="357F4453" w14:textId="77777777" w:rsidR="00BC2C89" w:rsidRPr="005C7305" w:rsidRDefault="00BC2C89" w:rsidP="00BC2C89">
      <w:pPr>
        <w:pStyle w:val="Body"/>
        <w:spacing w:before="180" w:after="80"/>
        <w:rPr>
          <w:rFonts w:ascii="Arial" w:hAnsi="Arial" w:cs="Arial"/>
        </w:rPr>
      </w:pPr>
      <w:r w:rsidRPr="005C7305">
        <w:rPr>
          <w:rFonts w:ascii="Arial" w:hAnsi="Arial" w:cs="Arial"/>
          <w:b/>
          <w:bCs/>
          <w:color w:val="000000"/>
          <w:sz w:val="22"/>
          <w:szCs w:val="22"/>
        </w:rPr>
        <w:t>2</w:t>
      </w:r>
      <w:r w:rsidRPr="005C7305">
        <w:rPr>
          <w:rFonts w:ascii="Arial" w:hAnsi="Arial" w:cs="Arial"/>
          <w:b/>
          <w:bCs/>
          <w:color w:val="000000"/>
        </w:rPr>
        <w:t>.1 Study area and sampling</w:t>
      </w:r>
    </w:p>
    <w:p w14:paraId="6E6CF513" w14:textId="1724460D" w:rsidR="00BC2C89" w:rsidRPr="005C7305" w:rsidRDefault="00BC2C89" w:rsidP="00BC2C89">
      <w:pPr>
        <w:pStyle w:val="Body"/>
        <w:rPr>
          <w:rFonts w:ascii="Arial" w:hAnsi="Arial" w:cs="Arial"/>
        </w:rPr>
      </w:pPr>
      <w:r w:rsidRPr="005C7305">
        <w:rPr>
          <w:rFonts w:ascii="Arial" w:hAnsi="Arial" w:cs="Arial"/>
          <w:color w:val="000000"/>
        </w:rPr>
        <w:t xml:space="preserve">The study was conducted in </w:t>
      </w:r>
      <w:proofErr w:type="spellStart"/>
      <w:r w:rsidRPr="005C7305">
        <w:rPr>
          <w:rFonts w:ascii="Arial" w:hAnsi="Arial" w:cs="Arial"/>
          <w:color w:val="000000"/>
        </w:rPr>
        <w:t>Kumarakom</w:t>
      </w:r>
      <w:proofErr w:type="spellEnd"/>
      <w:r w:rsidRPr="005C7305">
        <w:rPr>
          <w:rFonts w:ascii="Arial" w:hAnsi="Arial" w:cs="Arial"/>
          <w:color w:val="000000"/>
        </w:rPr>
        <w:t xml:space="preserve">, </w:t>
      </w:r>
      <w:proofErr w:type="spellStart"/>
      <w:r w:rsidRPr="005C7305">
        <w:rPr>
          <w:rFonts w:ascii="Arial" w:hAnsi="Arial" w:cs="Arial"/>
          <w:color w:val="000000"/>
        </w:rPr>
        <w:t>Vechoor</w:t>
      </w:r>
      <w:proofErr w:type="spellEnd"/>
      <w:r w:rsidRPr="005C7305">
        <w:rPr>
          <w:rFonts w:ascii="Arial" w:hAnsi="Arial" w:cs="Arial"/>
          <w:color w:val="000000"/>
        </w:rPr>
        <w:t xml:space="preserve">, </w:t>
      </w:r>
      <w:proofErr w:type="spellStart"/>
      <w:r w:rsidRPr="005C7305">
        <w:rPr>
          <w:rFonts w:ascii="Arial" w:hAnsi="Arial" w:cs="Arial"/>
          <w:color w:val="000000"/>
        </w:rPr>
        <w:t>Thalayazham</w:t>
      </w:r>
      <w:proofErr w:type="spellEnd"/>
      <w:r w:rsidRPr="005C7305">
        <w:rPr>
          <w:rFonts w:ascii="Arial" w:hAnsi="Arial" w:cs="Arial"/>
          <w:color w:val="000000"/>
        </w:rPr>
        <w:t xml:space="preserve">, and </w:t>
      </w:r>
      <w:proofErr w:type="spellStart"/>
      <w:r w:rsidRPr="005C7305">
        <w:rPr>
          <w:rFonts w:ascii="Arial" w:hAnsi="Arial" w:cs="Arial"/>
          <w:color w:val="000000"/>
        </w:rPr>
        <w:t>Vaikom</w:t>
      </w:r>
      <w:proofErr w:type="spellEnd"/>
      <w:r w:rsidRPr="005C7305">
        <w:rPr>
          <w:rFonts w:ascii="Arial" w:hAnsi="Arial" w:cs="Arial"/>
          <w:color w:val="000000"/>
        </w:rPr>
        <w:t xml:space="preserve"> villages of the </w:t>
      </w:r>
      <w:proofErr w:type="spellStart"/>
      <w:r w:rsidRPr="005C7305">
        <w:rPr>
          <w:rFonts w:ascii="Arial" w:hAnsi="Arial" w:cs="Arial"/>
          <w:color w:val="000000"/>
        </w:rPr>
        <w:t>Kuttanad</w:t>
      </w:r>
      <w:proofErr w:type="spellEnd"/>
      <w:r w:rsidRPr="005C7305">
        <w:rPr>
          <w:rFonts w:ascii="Arial" w:hAnsi="Arial" w:cs="Arial"/>
          <w:color w:val="000000"/>
        </w:rPr>
        <w:t xml:space="preserve"> region, Kerala</w:t>
      </w:r>
      <w:r w:rsidR="004A63B0" w:rsidRPr="005C7305">
        <w:rPr>
          <w:rFonts w:ascii="Arial" w:hAnsi="Arial" w:cs="Arial"/>
          <w:color w:val="000000"/>
        </w:rPr>
        <w:t xml:space="preserve">. </w:t>
      </w:r>
      <w:r w:rsidRPr="005C7305">
        <w:rPr>
          <w:rFonts w:ascii="Arial" w:hAnsi="Arial" w:cs="Arial"/>
          <w:color w:val="000000"/>
        </w:rPr>
        <w:t xml:space="preserve">Ninety small and marginal rice-based IFS farmers were selected by criterion based purposive sampling across all four villages. Primary data were collected during January </w:t>
      </w:r>
      <w:r w:rsidR="002A5162">
        <w:rPr>
          <w:rFonts w:ascii="Arial" w:hAnsi="Arial" w:cs="Arial"/>
          <w:color w:val="000000"/>
        </w:rPr>
        <w:t>to</w:t>
      </w:r>
      <w:r w:rsidRPr="005C7305">
        <w:rPr>
          <w:rFonts w:ascii="Arial" w:hAnsi="Arial" w:cs="Arial"/>
          <w:color w:val="000000"/>
        </w:rPr>
        <w:t xml:space="preserve"> March 2024 using a pre-tested semi structured interview schedule.</w:t>
      </w:r>
    </w:p>
    <w:p w14:paraId="6502C5CC" w14:textId="77777777" w:rsidR="00BC2C89" w:rsidRPr="005C7305" w:rsidRDefault="00BC2C89" w:rsidP="00BC2C89">
      <w:pPr>
        <w:pStyle w:val="Body"/>
        <w:spacing w:before="180" w:after="80"/>
        <w:rPr>
          <w:rFonts w:ascii="Arial" w:hAnsi="Arial" w:cs="Arial"/>
        </w:rPr>
      </w:pPr>
      <w:r w:rsidRPr="005C7305">
        <w:rPr>
          <w:rFonts w:ascii="Arial" w:hAnsi="Arial" w:cs="Arial"/>
          <w:b/>
          <w:bCs/>
          <w:color w:val="000000"/>
        </w:rPr>
        <w:t xml:space="preserve">2.2 </w:t>
      </w:r>
      <w:r w:rsidR="00986975" w:rsidRPr="005C7305">
        <w:rPr>
          <w:rFonts w:ascii="Arial" w:hAnsi="Arial" w:cs="Arial"/>
          <w:b/>
          <w:bCs/>
          <w:color w:val="000000"/>
        </w:rPr>
        <w:t>Computation of Sustainable Livelihood Security Index (</w:t>
      </w:r>
      <w:r w:rsidRPr="005C7305">
        <w:rPr>
          <w:rFonts w:ascii="Arial" w:hAnsi="Arial" w:cs="Arial"/>
          <w:b/>
          <w:bCs/>
          <w:color w:val="000000"/>
        </w:rPr>
        <w:t>SLSI</w:t>
      </w:r>
      <w:r w:rsidR="00986975" w:rsidRPr="005C7305">
        <w:rPr>
          <w:rFonts w:ascii="Arial" w:hAnsi="Arial" w:cs="Arial"/>
          <w:b/>
          <w:bCs/>
          <w:color w:val="000000"/>
        </w:rPr>
        <w:t>)</w:t>
      </w:r>
    </w:p>
    <w:p w14:paraId="366B1287" w14:textId="54E0D02F" w:rsidR="00986975" w:rsidRPr="005C7305" w:rsidRDefault="00C7071B" w:rsidP="00986975">
      <w:pPr>
        <w:pStyle w:val="Body"/>
        <w:rPr>
          <w:rFonts w:ascii="Arial" w:hAnsi="Arial" w:cs="Arial"/>
          <w:color w:val="000000"/>
        </w:rPr>
      </w:pPr>
      <w:r w:rsidRPr="005C7305">
        <w:rPr>
          <w:rFonts w:ascii="Arial" w:hAnsi="Arial" w:cs="Arial"/>
          <w:color w:val="000000"/>
        </w:rPr>
        <w:t xml:space="preserve">The SLSI was computed following the </w:t>
      </w:r>
      <w:r w:rsidR="0084016E" w:rsidRPr="005C7305">
        <w:rPr>
          <w:rFonts w:ascii="Arial" w:hAnsi="Arial" w:cs="Arial"/>
          <w:color w:val="000000"/>
        </w:rPr>
        <w:t xml:space="preserve">index </w:t>
      </w:r>
      <w:r w:rsidRPr="005C7305">
        <w:rPr>
          <w:rFonts w:ascii="Arial" w:hAnsi="Arial" w:cs="Arial"/>
          <w:color w:val="000000"/>
        </w:rPr>
        <w:t>of Sri Chandana et al. (2023)</w:t>
      </w:r>
      <w:r w:rsidR="0084016E" w:rsidRPr="005C7305">
        <w:rPr>
          <w:rFonts w:ascii="Arial" w:hAnsi="Arial" w:cs="Arial"/>
          <w:color w:val="000000"/>
        </w:rPr>
        <w:t xml:space="preserve">. </w:t>
      </w:r>
      <w:r w:rsidRPr="005C7305">
        <w:rPr>
          <w:rFonts w:ascii="Arial" w:hAnsi="Arial" w:cs="Arial"/>
          <w:color w:val="000000"/>
        </w:rPr>
        <w:t>The seven dimensions assessed were food, occupational, habitat, education, social, health, and environmental security.</w:t>
      </w:r>
      <w:r w:rsidR="00025BA1">
        <w:rPr>
          <w:rFonts w:ascii="Arial" w:hAnsi="Arial" w:cs="Arial"/>
          <w:color w:val="000000"/>
        </w:rPr>
        <w:t xml:space="preserve"> </w:t>
      </w:r>
      <w:r w:rsidR="004F2461" w:rsidRPr="005C7305">
        <w:rPr>
          <w:rFonts w:ascii="Arial" w:hAnsi="Arial" w:cs="Arial"/>
          <w:color w:val="000000"/>
        </w:rPr>
        <w:t>The indicators of sub-indexes are listed in Table 1</w:t>
      </w:r>
      <w:r w:rsidR="0084016E" w:rsidRPr="005C7305">
        <w:rPr>
          <w:rFonts w:ascii="Arial" w:hAnsi="Arial" w:cs="Arial"/>
          <w:color w:val="000000"/>
        </w:rPr>
        <w:t xml:space="preserve">. </w:t>
      </w:r>
      <w:r w:rsidR="00986975" w:rsidRPr="005C7305">
        <w:rPr>
          <w:rFonts w:ascii="Arial" w:hAnsi="Arial" w:cs="Arial"/>
          <w:color w:val="000000"/>
        </w:rPr>
        <w:t>Each sub-index score was calculated as follows:</w:t>
      </w:r>
    </w:p>
    <w:p w14:paraId="44B2A2B4" w14:textId="77777777" w:rsidR="00986975" w:rsidRPr="005C7305" w:rsidRDefault="00986975" w:rsidP="00986975">
      <w:pPr>
        <w:pStyle w:val="Body"/>
        <w:tabs>
          <w:tab w:val="left" w:pos="720"/>
          <w:tab w:val="left" w:pos="1440"/>
          <w:tab w:val="left" w:pos="2160"/>
          <w:tab w:val="left" w:pos="2880"/>
          <w:tab w:val="left" w:pos="3600"/>
          <w:tab w:val="left" w:pos="4320"/>
          <w:tab w:val="left" w:pos="5040"/>
          <w:tab w:val="left" w:pos="5760"/>
          <w:tab w:val="left" w:pos="6270"/>
        </w:tabs>
        <w:rPr>
          <w:rFonts w:ascii="Arial" w:hAnsi="Arial" w:cs="Arial"/>
          <w:color w:val="000000"/>
        </w:rPr>
      </w:pPr>
      <w:r w:rsidRPr="005C7305">
        <w:rPr>
          <w:rFonts w:ascii="Arial" w:hAnsi="Arial" w:cs="Arial"/>
          <w:color w:val="000000"/>
        </w:rPr>
        <w:tab/>
      </w:r>
      <w:r w:rsidRPr="005C7305">
        <w:rPr>
          <w:rFonts w:ascii="Arial" w:hAnsi="Arial" w:cs="Arial"/>
          <w:color w:val="000000"/>
        </w:rPr>
        <w:tab/>
        <w:t>I</w:t>
      </w:r>
      <w:r w:rsidRPr="005C7305">
        <w:rPr>
          <w:rFonts w:ascii="Arial" w:hAnsi="Arial" w:cs="Arial"/>
          <w:color w:val="000000"/>
          <w:vertAlign w:val="subscript"/>
        </w:rPr>
        <w:t xml:space="preserve">i </w:t>
      </w:r>
      <w:r w:rsidRPr="005C7305">
        <w:rPr>
          <w:rFonts w:ascii="Arial" w:hAnsi="Arial" w:cs="Arial"/>
          <w:color w:val="000000"/>
        </w:rPr>
        <w:t>= Obtained Score</w:t>
      </w:r>
      <w:r w:rsidR="004F2461" w:rsidRPr="005C7305">
        <w:rPr>
          <w:rFonts w:ascii="Arial" w:hAnsi="Arial" w:cs="Arial"/>
          <w:color w:val="000000"/>
        </w:rPr>
        <w:t xml:space="preserve"> </w:t>
      </w:r>
      <w:r w:rsidRPr="005C7305">
        <w:rPr>
          <w:rFonts w:ascii="Arial" w:hAnsi="Arial" w:cs="Arial"/>
          <w:color w:val="000000"/>
        </w:rPr>
        <w:t>/ Maximum Obtainable score</w:t>
      </w:r>
      <w:r w:rsidRPr="005C7305">
        <w:rPr>
          <w:rFonts w:ascii="Arial" w:hAnsi="Arial" w:cs="Arial"/>
          <w:color w:val="000000"/>
        </w:rPr>
        <w:tab/>
      </w:r>
    </w:p>
    <w:p w14:paraId="1418AF2E" w14:textId="77777777" w:rsidR="004F2461" w:rsidRPr="005C7305" w:rsidRDefault="004F2461" w:rsidP="00986975">
      <w:pPr>
        <w:pStyle w:val="Body"/>
        <w:rPr>
          <w:rFonts w:ascii="Arial" w:hAnsi="Arial" w:cs="Arial"/>
          <w:color w:val="000000"/>
        </w:rPr>
      </w:pPr>
      <w:r w:rsidRPr="005C7305">
        <w:rPr>
          <w:rFonts w:ascii="Arial" w:hAnsi="Arial" w:cs="Arial"/>
        </w:rPr>
        <w:t xml:space="preserve">where </w:t>
      </w:r>
      <w:proofErr w:type="spellStart"/>
      <w:r w:rsidRPr="005C7305">
        <w:rPr>
          <w:rStyle w:val="Emphasis"/>
          <w:rFonts w:ascii="Arial" w:hAnsi="Arial" w:cs="Arial"/>
        </w:rPr>
        <w:t>i</w:t>
      </w:r>
      <w:proofErr w:type="spellEnd"/>
      <w:r w:rsidRPr="005C7305">
        <w:rPr>
          <w:rFonts w:ascii="Arial" w:hAnsi="Arial" w:cs="Arial"/>
        </w:rPr>
        <w:t xml:space="preserve"> = food security, occupational security, habitat security, education security, social security, health security, and environmental security. All sub-index scores were thus expressed on a 0–1 scale. The overall SLSI was computed as the mean of the seven sub-index scores:</w:t>
      </w:r>
      <w:r w:rsidRPr="005C7305">
        <w:rPr>
          <w:rFonts w:ascii="Arial" w:hAnsi="Arial" w:cs="Arial"/>
          <w:color w:val="000000"/>
        </w:rPr>
        <w:t xml:space="preserve"> </w:t>
      </w:r>
    </w:p>
    <w:p w14:paraId="12053EBF" w14:textId="77777777" w:rsidR="00BC2C89" w:rsidRPr="005C7305" w:rsidRDefault="004F2461" w:rsidP="004F2461">
      <w:pPr>
        <w:pStyle w:val="Body"/>
        <w:jc w:val="center"/>
        <w:rPr>
          <w:rFonts w:ascii="Arial" w:hAnsi="Arial" w:cs="Arial"/>
          <w:color w:val="000000"/>
        </w:rPr>
      </w:pPr>
      <w:r w:rsidRPr="005C7305">
        <w:rPr>
          <w:rFonts w:ascii="Arial" w:hAnsi="Arial" w:cs="Arial"/>
          <w:color w:val="000000"/>
        </w:rPr>
        <w:t>SLSI = I</w:t>
      </w:r>
      <w:r w:rsidRPr="005C7305">
        <w:rPr>
          <w:rFonts w:ascii="Arial" w:hAnsi="Arial" w:cs="Arial"/>
          <w:color w:val="000000"/>
          <w:vertAlign w:val="subscript"/>
        </w:rPr>
        <w:t>1</w:t>
      </w:r>
      <w:r w:rsidRPr="005C7305">
        <w:rPr>
          <w:rFonts w:ascii="Arial" w:hAnsi="Arial" w:cs="Arial"/>
          <w:color w:val="000000"/>
        </w:rPr>
        <w:t>+ I</w:t>
      </w:r>
      <w:r w:rsidRPr="005C7305">
        <w:rPr>
          <w:rFonts w:ascii="Arial" w:hAnsi="Arial" w:cs="Arial"/>
          <w:color w:val="000000"/>
          <w:vertAlign w:val="subscript"/>
        </w:rPr>
        <w:t>2</w:t>
      </w:r>
      <w:r w:rsidRPr="005C7305">
        <w:rPr>
          <w:rFonts w:ascii="Arial" w:hAnsi="Arial" w:cs="Arial"/>
          <w:color w:val="000000"/>
        </w:rPr>
        <w:t>+I</w:t>
      </w:r>
      <w:r w:rsidRPr="005C7305">
        <w:rPr>
          <w:rFonts w:ascii="Arial" w:hAnsi="Arial" w:cs="Arial"/>
          <w:color w:val="000000"/>
          <w:vertAlign w:val="subscript"/>
        </w:rPr>
        <w:t>3</w:t>
      </w:r>
      <w:r w:rsidRPr="005C7305">
        <w:rPr>
          <w:rFonts w:ascii="Arial" w:hAnsi="Arial" w:cs="Arial"/>
          <w:color w:val="000000"/>
        </w:rPr>
        <w:t>+I</w:t>
      </w:r>
      <w:r w:rsidRPr="005C7305">
        <w:rPr>
          <w:rFonts w:ascii="Arial" w:hAnsi="Arial" w:cs="Arial"/>
          <w:color w:val="000000"/>
          <w:vertAlign w:val="subscript"/>
        </w:rPr>
        <w:t>4</w:t>
      </w:r>
      <w:r w:rsidRPr="005C7305">
        <w:rPr>
          <w:rFonts w:ascii="Arial" w:hAnsi="Arial" w:cs="Arial"/>
          <w:color w:val="000000"/>
        </w:rPr>
        <w:t>+I</w:t>
      </w:r>
      <w:r w:rsidRPr="005C7305">
        <w:rPr>
          <w:rFonts w:ascii="Arial" w:hAnsi="Arial" w:cs="Arial"/>
          <w:color w:val="000000"/>
          <w:vertAlign w:val="subscript"/>
        </w:rPr>
        <w:t>5</w:t>
      </w:r>
      <w:r w:rsidRPr="005C7305">
        <w:rPr>
          <w:rFonts w:ascii="Arial" w:hAnsi="Arial" w:cs="Arial"/>
          <w:color w:val="000000"/>
        </w:rPr>
        <w:t>+I</w:t>
      </w:r>
      <w:r w:rsidRPr="005C7305">
        <w:rPr>
          <w:rFonts w:ascii="Arial" w:hAnsi="Arial" w:cs="Arial"/>
          <w:color w:val="000000"/>
          <w:vertAlign w:val="subscript"/>
        </w:rPr>
        <w:t>6</w:t>
      </w:r>
      <w:r w:rsidRPr="005C7305">
        <w:rPr>
          <w:rFonts w:ascii="Arial" w:hAnsi="Arial" w:cs="Arial"/>
          <w:color w:val="000000"/>
        </w:rPr>
        <w:t>+I</w:t>
      </w:r>
      <w:r w:rsidRPr="005C7305">
        <w:rPr>
          <w:rFonts w:ascii="Arial" w:hAnsi="Arial" w:cs="Arial"/>
          <w:color w:val="000000"/>
          <w:vertAlign w:val="subscript"/>
        </w:rPr>
        <w:t xml:space="preserve">7 </w:t>
      </w:r>
      <w:r w:rsidRPr="005C7305">
        <w:rPr>
          <w:rFonts w:ascii="Arial" w:hAnsi="Arial" w:cs="Arial"/>
          <w:color w:val="000000"/>
        </w:rPr>
        <w:t>/ 7</w:t>
      </w:r>
    </w:p>
    <w:p w14:paraId="6E44E05A" w14:textId="77777777" w:rsidR="00BC2C89" w:rsidRPr="005C7305" w:rsidRDefault="004F2461" w:rsidP="00441B6F">
      <w:pPr>
        <w:pStyle w:val="AbstHead"/>
        <w:spacing w:after="0"/>
        <w:jc w:val="both"/>
        <w:rPr>
          <w:rFonts w:ascii="Arial" w:hAnsi="Arial" w:cs="Arial"/>
          <w:b w:val="0"/>
          <w:caps w:val="0"/>
          <w:sz w:val="20"/>
        </w:rPr>
      </w:pPr>
      <w:r w:rsidRPr="005C7305">
        <w:rPr>
          <w:rFonts w:ascii="Arial" w:hAnsi="Arial" w:cs="Arial"/>
          <w:b w:val="0"/>
          <w:caps w:val="0"/>
          <w:sz w:val="20"/>
        </w:rPr>
        <w:t>SLSI scores were interpreted as low security (0.00–0.50), medium security (0.51–0.75), and high security (0.76–1.00)</w:t>
      </w:r>
    </w:p>
    <w:p w14:paraId="635FDB06" w14:textId="77777777" w:rsidR="004F2461" w:rsidRPr="005C7305" w:rsidRDefault="004F2461" w:rsidP="00441B6F">
      <w:pPr>
        <w:pStyle w:val="AbstHead"/>
        <w:spacing w:after="0"/>
        <w:jc w:val="both"/>
        <w:rPr>
          <w:rFonts w:ascii="Arial" w:hAnsi="Arial" w:cs="Arial"/>
          <w:b w:val="0"/>
          <w:caps w:val="0"/>
          <w:sz w:val="20"/>
        </w:rPr>
      </w:pPr>
    </w:p>
    <w:p w14:paraId="6F62589B" w14:textId="77777777" w:rsidR="004F2461" w:rsidRPr="005C7305" w:rsidRDefault="00623E4C" w:rsidP="00441B6F">
      <w:pPr>
        <w:pStyle w:val="AbstHead"/>
        <w:spacing w:after="0"/>
        <w:jc w:val="both"/>
        <w:rPr>
          <w:rFonts w:ascii="Arial" w:hAnsi="Arial" w:cs="Arial"/>
          <w:caps w:val="0"/>
          <w:sz w:val="20"/>
        </w:rPr>
      </w:pPr>
      <w:r w:rsidRPr="005C7305">
        <w:rPr>
          <w:rFonts w:ascii="Arial" w:hAnsi="Arial" w:cs="Arial"/>
          <w:bCs/>
          <w:caps w:val="0"/>
          <w:sz w:val="20"/>
        </w:rPr>
        <w:t xml:space="preserve">Table 1. </w:t>
      </w:r>
      <w:r w:rsidR="004F2461" w:rsidRPr="005C7305">
        <w:rPr>
          <w:rFonts w:ascii="Arial" w:hAnsi="Arial" w:cs="Arial"/>
          <w:bCs/>
          <w:sz w:val="20"/>
        </w:rPr>
        <w:t xml:space="preserve">SLSI </w:t>
      </w:r>
      <w:r w:rsidRPr="005C7305">
        <w:rPr>
          <w:rFonts w:ascii="Arial" w:hAnsi="Arial" w:cs="Arial"/>
          <w:bCs/>
          <w:caps w:val="0"/>
          <w:sz w:val="20"/>
        </w:rPr>
        <w:t>sub</w:t>
      </w:r>
      <w:r w:rsidRPr="005C7305">
        <w:rPr>
          <w:rFonts w:ascii="Arial" w:hAnsi="Arial" w:cs="Arial"/>
          <w:caps w:val="0"/>
          <w:sz w:val="20"/>
        </w:rPr>
        <w:t>-index dimensions and key indicators</w:t>
      </w:r>
    </w:p>
    <w:p w14:paraId="2AEE33F0" w14:textId="77777777" w:rsidR="00623E4C" w:rsidRPr="005C7305" w:rsidRDefault="00623E4C" w:rsidP="00441B6F">
      <w:pPr>
        <w:pStyle w:val="AbstHead"/>
        <w:spacing w:after="0"/>
        <w:jc w:val="both"/>
        <w:rPr>
          <w:rFonts w:ascii="Arial" w:hAnsi="Arial" w:cs="Arial"/>
          <w:caps w:val="0"/>
          <w:sz w:val="20"/>
        </w:rPr>
      </w:pPr>
    </w:p>
    <w:tbl>
      <w:tblPr>
        <w:tblStyle w:val="TableGrid"/>
        <w:tblW w:w="8208" w:type="dxa"/>
        <w:tblLook w:val="04A0" w:firstRow="1" w:lastRow="0" w:firstColumn="1" w:lastColumn="0" w:noHBand="0" w:noVBand="1"/>
      </w:tblPr>
      <w:tblGrid>
        <w:gridCol w:w="1760"/>
        <w:gridCol w:w="4208"/>
        <w:gridCol w:w="2240"/>
      </w:tblGrid>
      <w:tr w:rsidR="00623E4C" w:rsidRPr="005C7305" w14:paraId="6186DD10" w14:textId="77777777" w:rsidTr="00623E4C">
        <w:tc>
          <w:tcPr>
            <w:tcW w:w="1760" w:type="dxa"/>
            <w:hideMark/>
          </w:tcPr>
          <w:p w14:paraId="0F4B3AF5" w14:textId="77777777" w:rsidR="00623E4C" w:rsidRPr="005C7305" w:rsidRDefault="00623E4C">
            <w:pPr>
              <w:spacing w:after="120" w:line="276" w:lineRule="auto"/>
              <w:jc w:val="center"/>
              <w:rPr>
                <w:rFonts w:ascii="Arial" w:hAnsi="Arial" w:cs="Arial"/>
                <w:color w:val="000000" w:themeColor="text1"/>
                <w:sz w:val="20"/>
                <w:szCs w:val="20"/>
              </w:rPr>
            </w:pPr>
            <w:r w:rsidRPr="005C7305">
              <w:rPr>
                <w:rFonts w:ascii="Arial" w:hAnsi="Arial" w:cs="Arial"/>
                <w:b/>
                <w:bCs/>
                <w:color w:val="000000" w:themeColor="text1"/>
                <w:sz w:val="20"/>
                <w:szCs w:val="20"/>
              </w:rPr>
              <w:t>Dimension</w:t>
            </w:r>
          </w:p>
        </w:tc>
        <w:tc>
          <w:tcPr>
            <w:tcW w:w="4208" w:type="dxa"/>
            <w:hideMark/>
          </w:tcPr>
          <w:p w14:paraId="54218864" w14:textId="77777777" w:rsidR="00623E4C" w:rsidRPr="005C7305" w:rsidRDefault="00623E4C">
            <w:pPr>
              <w:spacing w:after="120" w:line="276" w:lineRule="auto"/>
              <w:jc w:val="center"/>
              <w:rPr>
                <w:rFonts w:ascii="Arial" w:hAnsi="Arial" w:cs="Arial"/>
                <w:color w:val="000000" w:themeColor="text1"/>
                <w:sz w:val="20"/>
                <w:szCs w:val="20"/>
              </w:rPr>
            </w:pPr>
            <w:r w:rsidRPr="005C7305">
              <w:rPr>
                <w:rFonts w:ascii="Arial" w:hAnsi="Arial" w:cs="Arial"/>
                <w:b/>
                <w:bCs/>
                <w:color w:val="000000" w:themeColor="text1"/>
                <w:sz w:val="20"/>
                <w:szCs w:val="20"/>
              </w:rPr>
              <w:t>Key Indicators</w:t>
            </w:r>
          </w:p>
        </w:tc>
        <w:tc>
          <w:tcPr>
            <w:tcW w:w="2240" w:type="dxa"/>
            <w:hideMark/>
          </w:tcPr>
          <w:p w14:paraId="257A57CB" w14:textId="77777777" w:rsidR="00623E4C" w:rsidRPr="005C7305" w:rsidRDefault="00623E4C">
            <w:pPr>
              <w:spacing w:after="120" w:line="276" w:lineRule="auto"/>
              <w:jc w:val="center"/>
              <w:rPr>
                <w:rFonts w:ascii="Arial" w:hAnsi="Arial" w:cs="Arial"/>
                <w:color w:val="000000" w:themeColor="text1"/>
                <w:sz w:val="20"/>
                <w:szCs w:val="20"/>
              </w:rPr>
            </w:pPr>
            <w:r w:rsidRPr="005C7305">
              <w:rPr>
                <w:rFonts w:ascii="Arial" w:hAnsi="Arial" w:cs="Arial"/>
                <w:b/>
                <w:bCs/>
                <w:color w:val="000000" w:themeColor="text1"/>
                <w:sz w:val="20"/>
                <w:szCs w:val="20"/>
              </w:rPr>
              <w:t>Max Score</w:t>
            </w:r>
          </w:p>
        </w:tc>
      </w:tr>
      <w:tr w:rsidR="00623E4C" w:rsidRPr="005C7305" w14:paraId="3A0678D1" w14:textId="77777777" w:rsidTr="00623E4C">
        <w:tc>
          <w:tcPr>
            <w:tcW w:w="1760" w:type="dxa"/>
            <w:hideMark/>
          </w:tcPr>
          <w:p w14:paraId="0DDB923F" w14:textId="77777777" w:rsidR="00623E4C" w:rsidRPr="005C7305" w:rsidRDefault="00623E4C">
            <w:pPr>
              <w:spacing w:after="120" w:line="276" w:lineRule="auto"/>
              <w:rPr>
                <w:rFonts w:ascii="Arial" w:hAnsi="Arial" w:cs="Arial"/>
                <w:sz w:val="20"/>
                <w:szCs w:val="20"/>
              </w:rPr>
            </w:pPr>
            <w:r w:rsidRPr="005C7305">
              <w:rPr>
                <w:rFonts w:ascii="Arial" w:hAnsi="Arial" w:cs="Arial"/>
                <w:b/>
                <w:bCs/>
                <w:color w:val="000000"/>
                <w:sz w:val="20"/>
                <w:szCs w:val="20"/>
              </w:rPr>
              <w:t>Food Security</w:t>
            </w:r>
          </w:p>
        </w:tc>
        <w:tc>
          <w:tcPr>
            <w:tcW w:w="4208" w:type="dxa"/>
            <w:hideMark/>
          </w:tcPr>
          <w:p w14:paraId="3B862FC9" w14:textId="77777777" w:rsidR="00623E4C" w:rsidRPr="005C7305" w:rsidRDefault="00623E4C" w:rsidP="007152FF">
            <w:pPr>
              <w:spacing w:after="120" w:line="276" w:lineRule="auto"/>
              <w:jc w:val="both"/>
              <w:rPr>
                <w:rFonts w:ascii="Arial" w:hAnsi="Arial" w:cs="Arial"/>
                <w:sz w:val="20"/>
                <w:szCs w:val="20"/>
              </w:rPr>
            </w:pPr>
            <w:r w:rsidRPr="005C7305">
              <w:rPr>
                <w:rFonts w:ascii="Arial" w:hAnsi="Arial" w:cs="Arial"/>
                <w:color w:val="000000"/>
                <w:sz w:val="20"/>
                <w:szCs w:val="20"/>
              </w:rPr>
              <w:t>Per capita food production; food purchases; food availability score; perception of food sufficiency; food quality; dietary balance; grain stock</w:t>
            </w:r>
          </w:p>
        </w:tc>
        <w:tc>
          <w:tcPr>
            <w:tcW w:w="2240" w:type="dxa"/>
            <w:hideMark/>
          </w:tcPr>
          <w:p w14:paraId="25E41500" w14:textId="77777777" w:rsidR="00623E4C" w:rsidRPr="005C7305" w:rsidRDefault="00623E4C">
            <w:pPr>
              <w:spacing w:after="120" w:line="276" w:lineRule="auto"/>
              <w:jc w:val="center"/>
              <w:rPr>
                <w:rFonts w:ascii="Arial" w:hAnsi="Arial" w:cs="Arial"/>
                <w:sz w:val="20"/>
                <w:szCs w:val="20"/>
              </w:rPr>
            </w:pPr>
            <w:r w:rsidRPr="005C7305">
              <w:rPr>
                <w:rFonts w:ascii="Arial" w:hAnsi="Arial" w:cs="Arial"/>
                <w:color w:val="000000"/>
                <w:sz w:val="20"/>
                <w:szCs w:val="20"/>
              </w:rPr>
              <w:t>9</w:t>
            </w:r>
          </w:p>
        </w:tc>
      </w:tr>
      <w:tr w:rsidR="00623E4C" w:rsidRPr="005C7305" w14:paraId="56746243" w14:textId="77777777" w:rsidTr="00623E4C">
        <w:tc>
          <w:tcPr>
            <w:tcW w:w="1760" w:type="dxa"/>
            <w:hideMark/>
          </w:tcPr>
          <w:p w14:paraId="2555BF45" w14:textId="77777777" w:rsidR="00623E4C" w:rsidRPr="005C7305" w:rsidRDefault="00623E4C">
            <w:pPr>
              <w:spacing w:after="120" w:line="276" w:lineRule="auto"/>
              <w:rPr>
                <w:rFonts w:ascii="Arial" w:hAnsi="Arial" w:cs="Arial"/>
                <w:sz w:val="20"/>
                <w:szCs w:val="20"/>
              </w:rPr>
            </w:pPr>
            <w:r w:rsidRPr="005C7305">
              <w:rPr>
                <w:rFonts w:ascii="Arial" w:hAnsi="Arial" w:cs="Arial"/>
                <w:b/>
                <w:bCs/>
                <w:color w:val="000000"/>
                <w:sz w:val="20"/>
                <w:szCs w:val="20"/>
              </w:rPr>
              <w:lastRenderedPageBreak/>
              <w:t>Occupational Security</w:t>
            </w:r>
          </w:p>
        </w:tc>
        <w:tc>
          <w:tcPr>
            <w:tcW w:w="4208" w:type="dxa"/>
            <w:hideMark/>
          </w:tcPr>
          <w:p w14:paraId="65978FA2" w14:textId="77777777" w:rsidR="00623E4C" w:rsidRPr="005C7305" w:rsidRDefault="00623E4C" w:rsidP="007152FF">
            <w:pPr>
              <w:spacing w:after="120" w:line="276" w:lineRule="auto"/>
              <w:jc w:val="both"/>
              <w:rPr>
                <w:rFonts w:ascii="Arial" w:hAnsi="Arial" w:cs="Arial"/>
                <w:sz w:val="20"/>
                <w:szCs w:val="20"/>
              </w:rPr>
            </w:pPr>
            <w:r w:rsidRPr="005C7305">
              <w:rPr>
                <w:rFonts w:ascii="Arial" w:hAnsi="Arial" w:cs="Arial"/>
                <w:color w:val="000000"/>
                <w:sz w:val="20"/>
                <w:szCs w:val="20"/>
              </w:rPr>
              <w:t>Regular vs. seasonal employment; migration for work; year-round employment; occupational satisfaction</w:t>
            </w:r>
          </w:p>
        </w:tc>
        <w:tc>
          <w:tcPr>
            <w:tcW w:w="2240" w:type="dxa"/>
            <w:hideMark/>
          </w:tcPr>
          <w:p w14:paraId="026E2454" w14:textId="77777777" w:rsidR="00623E4C" w:rsidRPr="005C7305" w:rsidRDefault="00623E4C">
            <w:pPr>
              <w:spacing w:after="120" w:line="276" w:lineRule="auto"/>
              <w:jc w:val="center"/>
              <w:rPr>
                <w:rFonts w:ascii="Arial" w:hAnsi="Arial" w:cs="Arial"/>
                <w:sz w:val="20"/>
                <w:szCs w:val="20"/>
              </w:rPr>
            </w:pPr>
            <w:r w:rsidRPr="005C7305">
              <w:rPr>
                <w:rFonts w:ascii="Arial" w:hAnsi="Arial" w:cs="Arial"/>
                <w:color w:val="000000"/>
                <w:sz w:val="20"/>
                <w:szCs w:val="20"/>
              </w:rPr>
              <w:t>4</w:t>
            </w:r>
          </w:p>
        </w:tc>
      </w:tr>
      <w:tr w:rsidR="00623E4C" w:rsidRPr="005C7305" w14:paraId="4E272D88" w14:textId="77777777" w:rsidTr="00623E4C">
        <w:tc>
          <w:tcPr>
            <w:tcW w:w="1760" w:type="dxa"/>
            <w:hideMark/>
          </w:tcPr>
          <w:p w14:paraId="49EA8393" w14:textId="77777777" w:rsidR="00623E4C" w:rsidRPr="005C7305" w:rsidRDefault="00623E4C">
            <w:pPr>
              <w:spacing w:after="120" w:line="276" w:lineRule="auto"/>
              <w:rPr>
                <w:rFonts w:ascii="Arial" w:hAnsi="Arial" w:cs="Arial"/>
                <w:sz w:val="20"/>
                <w:szCs w:val="20"/>
              </w:rPr>
            </w:pPr>
            <w:r w:rsidRPr="005C7305">
              <w:rPr>
                <w:rFonts w:ascii="Arial" w:hAnsi="Arial" w:cs="Arial"/>
                <w:b/>
                <w:bCs/>
                <w:color w:val="000000"/>
                <w:sz w:val="20"/>
                <w:szCs w:val="20"/>
              </w:rPr>
              <w:t>Habitat Security</w:t>
            </w:r>
          </w:p>
        </w:tc>
        <w:tc>
          <w:tcPr>
            <w:tcW w:w="4208" w:type="dxa"/>
            <w:hideMark/>
          </w:tcPr>
          <w:p w14:paraId="44C68A13" w14:textId="77777777" w:rsidR="00623E4C" w:rsidRPr="005C7305" w:rsidRDefault="00623E4C" w:rsidP="007152FF">
            <w:pPr>
              <w:spacing w:after="120" w:line="276" w:lineRule="auto"/>
              <w:jc w:val="both"/>
              <w:rPr>
                <w:rFonts w:ascii="Arial" w:hAnsi="Arial" w:cs="Arial"/>
                <w:sz w:val="20"/>
                <w:szCs w:val="20"/>
              </w:rPr>
            </w:pPr>
            <w:r w:rsidRPr="005C7305">
              <w:rPr>
                <w:rFonts w:ascii="Arial" w:hAnsi="Arial" w:cs="Arial"/>
                <w:color w:val="000000"/>
                <w:sz w:val="20"/>
                <w:szCs w:val="20"/>
              </w:rPr>
              <w:t>Own house; type of construction; access to toilet, electricity and water; transportation facilities</w:t>
            </w:r>
          </w:p>
        </w:tc>
        <w:tc>
          <w:tcPr>
            <w:tcW w:w="2240" w:type="dxa"/>
            <w:hideMark/>
          </w:tcPr>
          <w:p w14:paraId="0FABD56B" w14:textId="77777777" w:rsidR="00623E4C" w:rsidRPr="005C7305" w:rsidRDefault="00623E4C">
            <w:pPr>
              <w:spacing w:after="120" w:line="276" w:lineRule="auto"/>
              <w:jc w:val="center"/>
              <w:rPr>
                <w:rFonts w:ascii="Arial" w:hAnsi="Arial" w:cs="Arial"/>
                <w:sz w:val="20"/>
                <w:szCs w:val="20"/>
              </w:rPr>
            </w:pPr>
            <w:r w:rsidRPr="005C7305">
              <w:rPr>
                <w:rFonts w:ascii="Arial" w:hAnsi="Arial" w:cs="Arial"/>
                <w:color w:val="000000"/>
                <w:sz w:val="20"/>
                <w:szCs w:val="20"/>
              </w:rPr>
              <w:t>4</w:t>
            </w:r>
          </w:p>
        </w:tc>
      </w:tr>
      <w:tr w:rsidR="00623E4C" w:rsidRPr="005C7305" w14:paraId="7267CB0F" w14:textId="77777777" w:rsidTr="00623E4C">
        <w:tc>
          <w:tcPr>
            <w:tcW w:w="1760" w:type="dxa"/>
            <w:hideMark/>
          </w:tcPr>
          <w:p w14:paraId="500A9512" w14:textId="77777777" w:rsidR="00623E4C" w:rsidRPr="005C7305" w:rsidRDefault="00623E4C">
            <w:pPr>
              <w:spacing w:after="120" w:line="276" w:lineRule="auto"/>
              <w:rPr>
                <w:rFonts w:ascii="Arial" w:hAnsi="Arial" w:cs="Arial"/>
                <w:sz w:val="20"/>
                <w:szCs w:val="20"/>
              </w:rPr>
            </w:pPr>
            <w:r w:rsidRPr="005C7305">
              <w:rPr>
                <w:rFonts w:ascii="Arial" w:hAnsi="Arial" w:cs="Arial"/>
                <w:b/>
                <w:bCs/>
                <w:color w:val="000000"/>
                <w:sz w:val="20"/>
                <w:szCs w:val="20"/>
              </w:rPr>
              <w:t>Education Security</w:t>
            </w:r>
          </w:p>
        </w:tc>
        <w:tc>
          <w:tcPr>
            <w:tcW w:w="4208" w:type="dxa"/>
            <w:hideMark/>
          </w:tcPr>
          <w:p w14:paraId="4105A523" w14:textId="77777777" w:rsidR="00623E4C" w:rsidRPr="005C7305" w:rsidRDefault="00623E4C" w:rsidP="007152FF">
            <w:pPr>
              <w:spacing w:after="120" w:line="276" w:lineRule="auto"/>
              <w:jc w:val="both"/>
              <w:rPr>
                <w:rFonts w:ascii="Arial" w:hAnsi="Arial" w:cs="Arial"/>
                <w:sz w:val="20"/>
                <w:szCs w:val="20"/>
              </w:rPr>
            </w:pPr>
            <w:r w:rsidRPr="005C7305">
              <w:rPr>
                <w:rFonts w:ascii="Arial" w:hAnsi="Arial" w:cs="Arial"/>
                <w:color w:val="000000"/>
                <w:sz w:val="20"/>
                <w:szCs w:val="20"/>
              </w:rPr>
              <w:t>Quality of school education; affordability of higher education; access to educational information; no dropout due to cost</w:t>
            </w:r>
          </w:p>
        </w:tc>
        <w:tc>
          <w:tcPr>
            <w:tcW w:w="2240" w:type="dxa"/>
            <w:hideMark/>
          </w:tcPr>
          <w:p w14:paraId="109D0224" w14:textId="77777777" w:rsidR="00623E4C" w:rsidRPr="005C7305" w:rsidRDefault="00623E4C">
            <w:pPr>
              <w:spacing w:after="120" w:line="276" w:lineRule="auto"/>
              <w:jc w:val="center"/>
              <w:rPr>
                <w:rFonts w:ascii="Arial" w:hAnsi="Arial" w:cs="Arial"/>
                <w:sz w:val="20"/>
                <w:szCs w:val="20"/>
              </w:rPr>
            </w:pPr>
            <w:r w:rsidRPr="005C7305">
              <w:rPr>
                <w:rFonts w:ascii="Arial" w:hAnsi="Arial" w:cs="Arial"/>
                <w:color w:val="000000"/>
                <w:sz w:val="20"/>
                <w:szCs w:val="20"/>
              </w:rPr>
              <w:t>4</w:t>
            </w:r>
          </w:p>
        </w:tc>
      </w:tr>
      <w:tr w:rsidR="00623E4C" w:rsidRPr="005C7305" w14:paraId="7B470982" w14:textId="77777777" w:rsidTr="00623E4C">
        <w:tc>
          <w:tcPr>
            <w:tcW w:w="1760" w:type="dxa"/>
            <w:hideMark/>
          </w:tcPr>
          <w:p w14:paraId="12E5F032" w14:textId="77777777" w:rsidR="00623E4C" w:rsidRPr="005C7305" w:rsidRDefault="00623E4C">
            <w:pPr>
              <w:spacing w:after="120" w:line="276" w:lineRule="auto"/>
              <w:rPr>
                <w:rFonts w:ascii="Arial" w:hAnsi="Arial" w:cs="Arial"/>
                <w:sz w:val="20"/>
                <w:szCs w:val="20"/>
              </w:rPr>
            </w:pPr>
            <w:r w:rsidRPr="005C7305">
              <w:rPr>
                <w:rFonts w:ascii="Arial" w:hAnsi="Arial" w:cs="Arial"/>
                <w:b/>
                <w:bCs/>
                <w:color w:val="000000"/>
                <w:sz w:val="20"/>
                <w:szCs w:val="20"/>
              </w:rPr>
              <w:t>Social Security</w:t>
            </w:r>
          </w:p>
        </w:tc>
        <w:tc>
          <w:tcPr>
            <w:tcW w:w="4208" w:type="dxa"/>
            <w:hideMark/>
          </w:tcPr>
          <w:p w14:paraId="1A3C5774" w14:textId="77777777" w:rsidR="00623E4C" w:rsidRPr="005C7305" w:rsidRDefault="00623E4C" w:rsidP="007152FF">
            <w:pPr>
              <w:spacing w:after="120" w:line="276" w:lineRule="auto"/>
              <w:jc w:val="both"/>
              <w:rPr>
                <w:rFonts w:ascii="Arial" w:hAnsi="Arial" w:cs="Arial"/>
                <w:sz w:val="20"/>
                <w:szCs w:val="20"/>
              </w:rPr>
            </w:pPr>
            <w:r w:rsidRPr="005C7305">
              <w:rPr>
                <w:rFonts w:ascii="Arial" w:hAnsi="Arial" w:cs="Arial"/>
                <w:color w:val="000000"/>
                <w:sz w:val="20"/>
                <w:szCs w:val="20"/>
              </w:rPr>
              <w:t xml:space="preserve">Community willingness to help; </w:t>
            </w:r>
            <w:proofErr w:type="spellStart"/>
            <w:r w:rsidRPr="005C7305">
              <w:rPr>
                <w:rFonts w:ascii="Arial" w:hAnsi="Arial" w:cs="Arial"/>
                <w:color w:val="000000"/>
                <w:sz w:val="20"/>
                <w:szCs w:val="20"/>
              </w:rPr>
              <w:t>organisational</w:t>
            </w:r>
            <w:proofErr w:type="spellEnd"/>
            <w:r w:rsidRPr="005C7305">
              <w:rPr>
                <w:rFonts w:ascii="Arial" w:hAnsi="Arial" w:cs="Arial"/>
                <w:color w:val="000000"/>
                <w:sz w:val="20"/>
                <w:szCs w:val="20"/>
              </w:rPr>
              <w:t xml:space="preserve"> membership; social status aiding livelihood</w:t>
            </w:r>
          </w:p>
        </w:tc>
        <w:tc>
          <w:tcPr>
            <w:tcW w:w="2240" w:type="dxa"/>
            <w:hideMark/>
          </w:tcPr>
          <w:p w14:paraId="17F3B3D7" w14:textId="77777777" w:rsidR="00623E4C" w:rsidRPr="005C7305" w:rsidRDefault="00623E4C">
            <w:pPr>
              <w:spacing w:after="120" w:line="276" w:lineRule="auto"/>
              <w:jc w:val="center"/>
              <w:rPr>
                <w:rFonts w:ascii="Arial" w:hAnsi="Arial" w:cs="Arial"/>
                <w:sz w:val="20"/>
                <w:szCs w:val="20"/>
              </w:rPr>
            </w:pPr>
            <w:r w:rsidRPr="005C7305">
              <w:rPr>
                <w:rFonts w:ascii="Arial" w:hAnsi="Arial" w:cs="Arial"/>
                <w:color w:val="000000"/>
                <w:sz w:val="20"/>
                <w:szCs w:val="20"/>
              </w:rPr>
              <w:t>3</w:t>
            </w:r>
          </w:p>
        </w:tc>
      </w:tr>
      <w:tr w:rsidR="00623E4C" w:rsidRPr="005C7305" w14:paraId="523E9C20" w14:textId="77777777" w:rsidTr="00623E4C">
        <w:tc>
          <w:tcPr>
            <w:tcW w:w="1760" w:type="dxa"/>
            <w:hideMark/>
          </w:tcPr>
          <w:p w14:paraId="6F44A839" w14:textId="77777777" w:rsidR="00623E4C" w:rsidRPr="005C7305" w:rsidRDefault="00623E4C">
            <w:pPr>
              <w:spacing w:after="120" w:line="276" w:lineRule="auto"/>
              <w:rPr>
                <w:rFonts w:ascii="Arial" w:hAnsi="Arial" w:cs="Arial"/>
                <w:sz w:val="20"/>
                <w:szCs w:val="20"/>
              </w:rPr>
            </w:pPr>
            <w:r w:rsidRPr="005C7305">
              <w:rPr>
                <w:rFonts w:ascii="Arial" w:hAnsi="Arial" w:cs="Arial"/>
                <w:b/>
                <w:bCs/>
                <w:color w:val="000000"/>
                <w:sz w:val="20"/>
                <w:szCs w:val="20"/>
              </w:rPr>
              <w:t>Health Security</w:t>
            </w:r>
          </w:p>
        </w:tc>
        <w:tc>
          <w:tcPr>
            <w:tcW w:w="4208" w:type="dxa"/>
            <w:hideMark/>
          </w:tcPr>
          <w:p w14:paraId="37F69768" w14:textId="77777777" w:rsidR="00623E4C" w:rsidRPr="005C7305" w:rsidRDefault="00623E4C" w:rsidP="007152FF">
            <w:pPr>
              <w:spacing w:after="120" w:line="276" w:lineRule="auto"/>
              <w:jc w:val="both"/>
              <w:rPr>
                <w:rFonts w:ascii="Arial" w:hAnsi="Arial" w:cs="Arial"/>
                <w:sz w:val="20"/>
                <w:szCs w:val="20"/>
              </w:rPr>
            </w:pPr>
            <w:r w:rsidRPr="005C7305">
              <w:rPr>
                <w:rFonts w:ascii="Arial" w:hAnsi="Arial" w:cs="Arial"/>
                <w:color w:val="000000"/>
                <w:sz w:val="20"/>
                <w:szCs w:val="20"/>
              </w:rPr>
              <w:t>Incidence of chronic, specific, and epidemic diseases; healthcare affordability; IFS diet-health benefit</w:t>
            </w:r>
          </w:p>
        </w:tc>
        <w:tc>
          <w:tcPr>
            <w:tcW w:w="2240" w:type="dxa"/>
            <w:hideMark/>
          </w:tcPr>
          <w:p w14:paraId="0A1B3EA3" w14:textId="77777777" w:rsidR="00623E4C" w:rsidRPr="005C7305" w:rsidRDefault="00623E4C">
            <w:pPr>
              <w:spacing w:after="120" w:line="276" w:lineRule="auto"/>
              <w:jc w:val="center"/>
              <w:rPr>
                <w:rFonts w:ascii="Arial" w:hAnsi="Arial" w:cs="Arial"/>
                <w:sz w:val="20"/>
                <w:szCs w:val="20"/>
              </w:rPr>
            </w:pPr>
            <w:r w:rsidRPr="005C7305">
              <w:rPr>
                <w:rFonts w:ascii="Arial" w:hAnsi="Arial" w:cs="Arial"/>
                <w:color w:val="000000"/>
                <w:sz w:val="20"/>
                <w:szCs w:val="20"/>
              </w:rPr>
              <w:t>5</w:t>
            </w:r>
          </w:p>
        </w:tc>
      </w:tr>
      <w:tr w:rsidR="00623E4C" w:rsidRPr="005C7305" w14:paraId="1A94FD2D" w14:textId="77777777" w:rsidTr="00623E4C">
        <w:tc>
          <w:tcPr>
            <w:tcW w:w="1760" w:type="dxa"/>
            <w:hideMark/>
          </w:tcPr>
          <w:p w14:paraId="46F85835" w14:textId="77777777" w:rsidR="00623E4C" w:rsidRPr="005C7305" w:rsidRDefault="00623E4C">
            <w:pPr>
              <w:spacing w:after="120" w:line="276" w:lineRule="auto"/>
              <w:rPr>
                <w:rFonts w:ascii="Arial" w:hAnsi="Arial" w:cs="Arial"/>
                <w:sz w:val="20"/>
                <w:szCs w:val="20"/>
              </w:rPr>
            </w:pPr>
            <w:r w:rsidRPr="005C7305">
              <w:rPr>
                <w:rFonts w:ascii="Arial" w:hAnsi="Arial" w:cs="Arial"/>
                <w:b/>
                <w:bCs/>
                <w:color w:val="000000"/>
                <w:sz w:val="20"/>
                <w:szCs w:val="20"/>
              </w:rPr>
              <w:t>Environmental Security</w:t>
            </w:r>
          </w:p>
        </w:tc>
        <w:tc>
          <w:tcPr>
            <w:tcW w:w="4208" w:type="dxa"/>
            <w:hideMark/>
          </w:tcPr>
          <w:p w14:paraId="405CC843" w14:textId="77777777" w:rsidR="00623E4C" w:rsidRPr="005C7305" w:rsidRDefault="00623E4C" w:rsidP="007152FF">
            <w:pPr>
              <w:spacing w:after="120" w:line="276" w:lineRule="auto"/>
              <w:jc w:val="both"/>
              <w:rPr>
                <w:rFonts w:ascii="Arial" w:hAnsi="Arial" w:cs="Arial"/>
                <w:sz w:val="20"/>
                <w:szCs w:val="20"/>
              </w:rPr>
            </w:pPr>
            <w:r w:rsidRPr="005C7305">
              <w:rPr>
                <w:rFonts w:ascii="Arial" w:hAnsi="Arial" w:cs="Arial"/>
                <w:color w:val="000000"/>
                <w:sz w:val="20"/>
                <w:szCs w:val="20"/>
              </w:rPr>
              <w:t>Pollution levels; flood/drought risk; groundwater shortage; clean water access; irrigation; organic manure use; soil conservation; climate change impact</w:t>
            </w:r>
          </w:p>
        </w:tc>
        <w:tc>
          <w:tcPr>
            <w:tcW w:w="2240" w:type="dxa"/>
            <w:hideMark/>
          </w:tcPr>
          <w:p w14:paraId="427B9878" w14:textId="77777777" w:rsidR="00623E4C" w:rsidRPr="005C7305" w:rsidRDefault="00623E4C">
            <w:pPr>
              <w:spacing w:after="120" w:line="276" w:lineRule="auto"/>
              <w:jc w:val="center"/>
              <w:rPr>
                <w:rFonts w:ascii="Arial" w:hAnsi="Arial" w:cs="Arial"/>
                <w:sz w:val="20"/>
                <w:szCs w:val="20"/>
              </w:rPr>
            </w:pPr>
            <w:r w:rsidRPr="005C7305">
              <w:rPr>
                <w:rFonts w:ascii="Arial" w:hAnsi="Arial" w:cs="Arial"/>
                <w:color w:val="000000"/>
                <w:sz w:val="20"/>
                <w:szCs w:val="20"/>
              </w:rPr>
              <w:t>13</w:t>
            </w:r>
          </w:p>
        </w:tc>
      </w:tr>
    </w:tbl>
    <w:p w14:paraId="60C1690F" w14:textId="0C2DBDA1" w:rsidR="00623E4C" w:rsidRPr="005C7305" w:rsidRDefault="00623E4C" w:rsidP="0084016E">
      <w:pPr>
        <w:pStyle w:val="Body"/>
        <w:spacing w:before="40" w:after="160"/>
        <w:rPr>
          <w:rFonts w:ascii="Arial" w:hAnsi="Arial" w:cs="Arial"/>
          <w:i/>
          <w:iCs/>
          <w:color w:val="000000"/>
          <w:sz w:val="18"/>
          <w:szCs w:val="18"/>
        </w:rPr>
      </w:pPr>
      <w:r w:rsidRPr="005C7305">
        <w:rPr>
          <w:rFonts w:ascii="Arial" w:hAnsi="Arial" w:cs="Arial"/>
          <w:i/>
          <w:iCs/>
          <w:color w:val="000000"/>
          <w:sz w:val="18"/>
          <w:szCs w:val="18"/>
        </w:rPr>
        <w:t>Source: Adapted from Sri Chandana et al. (2023)</w:t>
      </w:r>
    </w:p>
    <w:p w14:paraId="76E849C0" w14:textId="77777777" w:rsidR="00623E4C" w:rsidRPr="005C7305" w:rsidRDefault="00623E4C" w:rsidP="00623E4C">
      <w:pPr>
        <w:pStyle w:val="Body"/>
        <w:spacing w:before="180" w:after="80"/>
        <w:rPr>
          <w:rFonts w:ascii="Arial" w:hAnsi="Arial" w:cs="Arial"/>
        </w:rPr>
      </w:pPr>
      <w:r w:rsidRPr="005C7305">
        <w:rPr>
          <w:rFonts w:ascii="Arial" w:hAnsi="Arial" w:cs="Arial"/>
          <w:b/>
          <w:bCs/>
          <w:color w:val="000000"/>
        </w:rPr>
        <w:t>2.3 Statistical analysis</w:t>
      </w:r>
    </w:p>
    <w:p w14:paraId="7B756052" w14:textId="0B174B6E" w:rsidR="00790ADA" w:rsidRPr="005C7305" w:rsidRDefault="00623E4C" w:rsidP="008B5624">
      <w:pPr>
        <w:pStyle w:val="Body"/>
        <w:spacing w:before="40" w:after="160"/>
        <w:rPr>
          <w:rFonts w:ascii="Arial" w:hAnsi="Arial" w:cs="Arial"/>
        </w:rPr>
      </w:pPr>
      <w:r w:rsidRPr="005C7305">
        <w:rPr>
          <w:rFonts w:ascii="Arial" w:hAnsi="Arial" w:cs="Arial"/>
          <w:color w:val="000000"/>
        </w:rPr>
        <w:t>Descriptive statistics (frequency and percentage</w:t>
      </w:r>
      <w:r w:rsidR="00D47E8B" w:rsidRPr="005C7305">
        <w:rPr>
          <w:rFonts w:ascii="Arial" w:hAnsi="Arial" w:cs="Arial"/>
          <w:color w:val="000000"/>
        </w:rPr>
        <w:t xml:space="preserve">) were used to </w:t>
      </w:r>
      <w:proofErr w:type="spellStart"/>
      <w:r w:rsidR="00D47E8B" w:rsidRPr="005C7305">
        <w:rPr>
          <w:rFonts w:ascii="Arial" w:hAnsi="Arial" w:cs="Arial"/>
          <w:color w:val="000000"/>
        </w:rPr>
        <w:t>analyse</w:t>
      </w:r>
      <w:proofErr w:type="spellEnd"/>
      <w:r w:rsidR="00D47E8B" w:rsidRPr="005C7305">
        <w:rPr>
          <w:rFonts w:ascii="Arial" w:hAnsi="Arial" w:cs="Arial"/>
          <w:color w:val="000000"/>
        </w:rPr>
        <w:t xml:space="preserve"> the</w:t>
      </w:r>
      <w:r w:rsidRPr="005C7305">
        <w:rPr>
          <w:rFonts w:ascii="Arial" w:hAnsi="Arial" w:cs="Arial"/>
          <w:color w:val="000000"/>
        </w:rPr>
        <w:t xml:space="preserve"> farmer characteristics. Pearson's correlation coefficient (</w:t>
      </w:r>
      <w:r w:rsidRPr="005C7305">
        <w:rPr>
          <w:rFonts w:ascii="Arial" w:hAnsi="Arial" w:cs="Arial"/>
          <w:i/>
          <w:iCs/>
          <w:color w:val="000000"/>
        </w:rPr>
        <w:t>r</w:t>
      </w:r>
      <w:r w:rsidRPr="005C7305">
        <w:rPr>
          <w:rFonts w:ascii="Arial" w:hAnsi="Arial" w:cs="Arial"/>
          <w:color w:val="000000"/>
        </w:rPr>
        <w:t>) was computed between each of 12 independent socioeconomic variables and all seven sub-indices and overall SLS</w:t>
      </w:r>
      <w:r w:rsidR="008B5624" w:rsidRPr="005C7305">
        <w:rPr>
          <w:rFonts w:ascii="Arial" w:hAnsi="Arial" w:cs="Arial"/>
          <w:color w:val="000000"/>
        </w:rPr>
        <w:t>I.</w:t>
      </w:r>
      <w:r w:rsidR="00D47E8B" w:rsidRPr="005C7305">
        <w:rPr>
          <w:rFonts w:ascii="Arial" w:hAnsi="Arial" w:cs="Arial"/>
          <w:color w:val="000000"/>
        </w:rPr>
        <w:t xml:space="preserve"> </w:t>
      </w:r>
    </w:p>
    <w:p w14:paraId="60FD11F0" w14:textId="77777777" w:rsidR="00790ADA" w:rsidRPr="005C7305" w:rsidRDefault="00000F8F" w:rsidP="00441B6F">
      <w:pPr>
        <w:pStyle w:val="Head1"/>
        <w:spacing w:after="0"/>
        <w:jc w:val="both"/>
        <w:rPr>
          <w:rFonts w:ascii="Arial" w:hAnsi="Arial" w:cs="Arial"/>
        </w:rPr>
      </w:pPr>
      <w:r w:rsidRPr="005C7305">
        <w:rPr>
          <w:rFonts w:ascii="Arial" w:hAnsi="Arial" w:cs="Arial"/>
        </w:rPr>
        <w:t>3</w:t>
      </w:r>
      <w:r w:rsidR="00902823" w:rsidRPr="005C7305">
        <w:rPr>
          <w:rFonts w:ascii="Arial" w:hAnsi="Arial" w:cs="Arial"/>
        </w:rPr>
        <w:t xml:space="preserve">. </w:t>
      </w:r>
      <w:r w:rsidRPr="005C7305">
        <w:rPr>
          <w:rFonts w:ascii="Arial" w:hAnsi="Arial" w:cs="Arial"/>
        </w:rPr>
        <w:t>results and discussion</w:t>
      </w:r>
    </w:p>
    <w:p w14:paraId="67A6109B" w14:textId="77777777" w:rsidR="005A061D" w:rsidRPr="005C7305" w:rsidRDefault="00D47E8B" w:rsidP="00D47E8B">
      <w:pPr>
        <w:pStyle w:val="Body"/>
        <w:spacing w:before="180" w:after="80"/>
        <w:rPr>
          <w:rFonts w:ascii="Arial" w:hAnsi="Arial" w:cs="Arial"/>
          <w:b/>
          <w:bCs/>
          <w:color w:val="000000"/>
        </w:rPr>
      </w:pPr>
      <w:r w:rsidRPr="005C7305">
        <w:rPr>
          <w:rFonts w:ascii="Arial" w:hAnsi="Arial" w:cs="Arial"/>
          <w:b/>
          <w:bCs/>
          <w:color w:val="000000"/>
        </w:rPr>
        <w:t>3.1 Socioeconomic profile of IFS farmers</w:t>
      </w:r>
    </w:p>
    <w:p w14:paraId="68D80424" w14:textId="77777777" w:rsidR="00D47E8B" w:rsidRPr="005C7305" w:rsidRDefault="00D47E8B" w:rsidP="00D47E8B">
      <w:pPr>
        <w:pStyle w:val="Body"/>
        <w:rPr>
          <w:rFonts w:ascii="Arial" w:hAnsi="Arial" w:cs="Arial"/>
          <w:color w:val="000000"/>
        </w:rPr>
      </w:pPr>
      <w:r w:rsidRPr="005C7305">
        <w:rPr>
          <w:rFonts w:ascii="Arial" w:hAnsi="Arial" w:cs="Arial"/>
          <w:color w:val="000000"/>
        </w:rPr>
        <w:t>The socioeconomic characteristics of respondents are presented in Table 2</w:t>
      </w:r>
      <w:r w:rsidR="005A061D" w:rsidRPr="005C7305">
        <w:rPr>
          <w:rFonts w:ascii="Arial" w:hAnsi="Arial" w:cs="Arial"/>
          <w:color w:val="000000"/>
        </w:rPr>
        <w:t>.</w:t>
      </w:r>
      <w:r w:rsidRPr="005C7305">
        <w:rPr>
          <w:rFonts w:ascii="Arial" w:hAnsi="Arial" w:cs="Arial"/>
          <w:color w:val="000000"/>
        </w:rPr>
        <w:t xml:space="preserve"> </w:t>
      </w:r>
    </w:p>
    <w:p w14:paraId="4223C041" w14:textId="77777777" w:rsidR="00D47E8B" w:rsidRPr="005C7305" w:rsidRDefault="00D47E8B" w:rsidP="00D47E8B">
      <w:pPr>
        <w:pStyle w:val="Body"/>
        <w:spacing w:before="200" w:after="80"/>
        <w:rPr>
          <w:rFonts w:ascii="Arial" w:hAnsi="Arial" w:cs="Arial"/>
          <w:b/>
          <w:bCs/>
        </w:rPr>
      </w:pPr>
      <w:r w:rsidRPr="005C7305">
        <w:rPr>
          <w:rFonts w:ascii="Arial" w:hAnsi="Arial" w:cs="Arial"/>
          <w:b/>
          <w:bCs/>
          <w:color w:val="000000"/>
        </w:rPr>
        <w:t xml:space="preserve">Table 2. Socioeconomic profile of rice-based IFS farmers in </w:t>
      </w:r>
      <w:proofErr w:type="spellStart"/>
      <w:r w:rsidRPr="005C7305">
        <w:rPr>
          <w:rFonts w:ascii="Arial" w:hAnsi="Arial" w:cs="Arial"/>
          <w:b/>
          <w:bCs/>
          <w:color w:val="000000"/>
        </w:rPr>
        <w:t>Kuttanad</w:t>
      </w:r>
      <w:proofErr w:type="spellEnd"/>
      <w:r w:rsidRPr="005C7305">
        <w:rPr>
          <w:rFonts w:ascii="Arial" w:hAnsi="Arial" w:cs="Arial"/>
          <w:b/>
          <w:bCs/>
          <w:color w:val="000000"/>
        </w:rPr>
        <w:t xml:space="preserve"> (N = 90)</w:t>
      </w:r>
    </w:p>
    <w:tbl>
      <w:tblPr>
        <w:tblStyle w:val="TableGrid"/>
        <w:tblW w:w="6027" w:type="dxa"/>
        <w:tblInd w:w="1014" w:type="dxa"/>
        <w:tblLook w:val="04A0" w:firstRow="1" w:lastRow="0" w:firstColumn="1" w:lastColumn="0" w:noHBand="0" w:noVBand="1"/>
      </w:tblPr>
      <w:tblGrid>
        <w:gridCol w:w="3158"/>
        <w:gridCol w:w="1705"/>
        <w:gridCol w:w="1164"/>
      </w:tblGrid>
      <w:tr w:rsidR="00D47E8B" w:rsidRPr="005C7305" w14:paraId="732E8D1A" w14:textId="77777777" w:rsidTr="005A061D">
        <w:trPr>
          <w:trHeight w:val="139"/>
        </w:trPr>
        <w:tc>
          <w:tcPr>
            <w:tcW w:w="3158" w:type="dxa"/>
            <w:hideMark/>
          </w:tcPr>
          <w:p w14:paraId="70935C05" w14:textId="77777777" w:rsidR="00D47E8B" w:rsidRPr="005C7305" w:rsidRDefault="00D47E8B">
            <w:pPr>
              <w:spacing w:after="120" w:line="276" w:lineRule="auto"/>
              <w:jc w:val="center"/>
              <w:rPr>
                <w:rFonts w:ascii="Arial" w:hAnsi="Arial" w:cs="Arial"/>
                <w:color w:val="000000" w:themeColor="text1"/>
                <w:sz w:val="20"/>
                <w:szCs w:val="20"/>
              </w:rPr>
            </w:pPr>
            <w:r w:rsidRPr="005C7305">
              <w:rPr>
                <w:rFonts w:ascii="Arial" w:hAnsi="Arial" w:cs="Arial"/>
                <w:b/>
                <w:bCs/>
                <w:color w:val="000000" w:themeColor="text1"/>
                <w:sz w:val="20"/>
                <w:szCs w:val="20"/>
              </w:rPr>
              <w:t>Characteristic</w:t>
            </w:r>
          </w:p>
        </w:tc>
        <w:tc>
          <w:tcPr>
            <w:tcW w:w="1705" w:type="dxa"/>
            <w:hideMark/>
          </w:tcPr>
          <w:p w14:paraId="603E26EC" w14:textId="77777777" w:rsidR="00D47E8B" w:rsidRPr="005C7305" w:rsidRDefault="00D47E8B">
            <w:pPr>
              <w:spacing w:after="120" w:line="276" w:lineRule="auto"/>
              <w:jc w:val="center"/>
              <w:rPr>
                <w:rFonts w:ascii="Arial" w:hAnsi="Arial" w:cs="Arial"/>
                <w:color w:val="000000" w:themeColor="text1"/>
                <w:sz w:val="20"/>
                <w:szCs w:val="20"/>
              </w:rPr>
            </w:pPr>
            <w:r w:rsidRPr="005C7305">
              <w:rPr>
                <w:rFonts w:ascii="Arial" w:hAnsi="Arial" w:cs="Arial"/>
                <w:b/>
                <w:bCs/>
                <w:color w:val="000000" w:themeColor="text1"/>
                <w:sz w:val="20"/>
                <w:szCs w:val="20"/>
              </w:rPr>
              <w:t>Frequency</w:t>
            </w:r>
          </w:p>
        </w:tc>
        <w:tc>
          <w:tcPr>
            <w:tcW w:w="1164" w:type="dxa"/>
            <w:hideMark/>
          </w:tcPr>
          <w:p w14:paraId="4B68165B" w14:textId="77777777" w:rsidR="00D47E8B" w:rsidRPr="005C7305" w:rsidRDefault="00D47E8B">
            <w:pPr>
              <w:spacing w:after="120" w:line="276" w:lineRule="auto"/>
              <w:jc w:val="center"/>
              <w:rPr>
                <w:rFonts w:ascii="Arial" w:hAnsi="Arial" w:cs="Arial"/>
                <w:color w:val="000000" w:themeColor="text1"/>
                <w:sz w:val="20"/>
                <w:szCs w:val="20"/>
              </w:rPr>
            </w:pPr>
            <w:r w:rsidRPr="005C7305">
              <w:rPr>
                <w:rFonts w:ascii="Arial" w:hAnsi="Arial" w:cs="Arial"/>
                <w:b/>
                <w:bCs/>
                <w:color w:val="000000" w:themeColor="text1"/>
                <w:sz w:val="20"/>
                <w:szCs w:val="20"/>
              </w:rPr>
              <w:t>%</w:t>
            </w:r>
          </w:p>
        </w:tc>
      </w:tr>
      <w:tr w:rsidR="00D47E8B" w:rsidRPr="005C7305" w14:paraId="756C0706" w14:textId="77777777" w:rsidTr="005A061D">
        <w:trPr>
          <w:trHeight w:val="139"/>
        </w:trPr>
        <w:tc>
          <w:tcPr>
            <w:tcW w:w="3158" w:type="dxa"/>
            <w:hideMark/>
          </w:tcPr>
          <w:p w14:paraId="5BE81BCD" w14:textId="77777777" w:rsidR="00D47E8B" w:rsidRPr="005C7305" w:rsidRDefault="00D47E8B">
            <w:pPr>
              <w:spacing w:after="120" w:line="276" w:lineRule="auto"/>
              <w:rPr>
                <w:rFonts w:ascii="Arial" w:hAnsi="Arial" w:cs="Arial"/>
                <w:sz w:val="20"/>
                <w:szCs w:val="20"/>
              </w:rPr>
            </w:pPr>
            <w:r w:rsidRPr="005C7305">
              <w:rPr>
                <w:rFonts w:ascii="Arial" w:hAnsi="Arial" w:cs="Arial"/>
                <w:b/>
                <w:bCs/>
                <w:color w:val="000000"/>
                <w:sz w:val="20"/>
                <w:szCs w:val="20"/>
              </w:rPr>
              <w:t>I. Age</w:t>
            </w:r>
          </w:p>
        </w:tc>
        <w:tc>
          <w:tcPr>
            <w:tcW w:w="1705" w:type="dxa"/>
          </w:tcPr>
          <w:p w14:paraId="727F5CF7" w14:textId="77777777" w:rsidR="00D47E8B" w:rsidRPr="005C7305" w:rsidRDefault="00D47E8B">
            <w:pPr>
              <w:spacing w:after="120" w:line="276" w:lineRule="auto"/>
              <w:jc w:val="center"/>
              <w:rPr>
                <w:rFonts w:ascii="Arial" w:hAnsi="Arial" w:cs="Arial"/>
                <w:sz w:val="20"/>
                <w:szCs w:val="20"/>
              </w:rPr>
            </w:pPr>
          </w:p>
        </w:tc>
        <w:tc>
          <w:tcPr>
            <w:tcW w:w="1164" w:type="dxa"/>
          </w:tcPr>
          <w:p w14:paraId="1B1E533D" w14:textId="77777777" w:rsidR="00D47E8B" w:rsidRPr="005C7305" w:rsidRDefault="00D47E8B">
            <w:pPr>
              <w:spacing w:after="120" w:line="276" w:lineRule="auto"/>
              <w:jc w:val="center"/>
              <w:rPr>
                <w:rFonts w:ascii="Arial" w:hAnsi="Arial" w:cs="Arial"/>
                <w:sz w:val="20"/>
                <w:szCs w:val="20"/>
              </w:rPr>
            </w:pPr>
          </w:p>
        </w:tc>
      </w:tr>
      <w:tr w:rsidR="00D47E8B" w:rsidRPr="005C7305" w14:paraId="21BDD3E2" w14:textId="77777777" w:rsidTr="005A061D">
        <w:trPr>
          <w:trHeight w:val="139"/>
        </w:trPr>
        <w:tc>
          <w:tcPr>
            <w:tcW w:w="3158" w:type="dxa"/>
            <w:hideMark/>
          </w:tcPr>
          <w:p w14:paraId="4C567667"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Young (&lt;35 yrs)</w:t>
            </w:r>
          </w:p>
        </w:tc>
        <w:tc>
          <w:tcPr>
            <w:tcW w:w="1705" w:type="dxa"/>
            <w:hideMark/>
          </w:tcPr>
          <w:p w14:paraId="2C0925C3"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4</w:t>
            </w:r>
          </w:p>
        </w:tc>
        <w:tc>
          <w:tcPr>
            <w:tcW w:w="1164" w:type="dxa"/>
            <w:hideMark/>
          </w:tcPr>
          <w:p w14:paraId="75FA633B"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4.44</w:t>
            </w:r>
          </w:p>
        </w:tc>
      </w:tr>
      <w:tr w:rsidR="00D47E8B" w:rsidRPr="005C7305" w14:paraId="4B94CAE1" w14:textId="77777777" w:rsidTr="005A061D">
        <w:trPr>
          <w:trHeight w:val="139"/>
        </w:trPr>
        <w:tc>
          <w:tcPr>
            <w:tcW w:w="3158" w:type="dxa"/>
            <w:hideMark/>
          </w:tcPr>
          <w:p w14:paraId="0A764BEA"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Middle age (35–55 yrs)</w:t>
            </w:r>
          </w:p>
        </w:tc>
        <w:tc>
          <w:tcPr>
            <w:tcW w:w="1705" w:type="dxa"/>
            <w:hideMark/>
          </w:tcPr>
          <w:p w14:paraId="774AF611"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22</w:t>
            </w:r>
          </w:p>
        </w:tc>
        <w:tc>
          <w:tcPr>
            <w:tcW w:w="1164" w:type="dxa"/>
            <w:hideMark/>
          </w:tcPr>
          <w:p w14:paraId="11CEF4DF"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24.45</w:t>
            </w:r>
          </w:p>
        </w:tc>
      </w:tr>
      <w:tr w:rsidR="00D47E8B" w:rsidRPr="005C7305" w14:paraId="5B859B13" w14:textId="77777777" w:rsidTr="005A061D">
        <w:trPr>
          <w:trHeight w:val="139"/>
        </w:trPr>
        <w:tc>
          <w:tcPr>
            <w:tcW w:w="3158" w:type="dxa"/>
            <w:hideMark/>
          </w:tcPr>
          <w:p w14:paraId="2637F899"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Old age (&gt;55 yrs)</w:t>
            </w:r>
          </w:p>
        </w:tc>
        <w:tc>
          <w:tcPr>
            <w:tcW w:w="1705" w:type="dxa"/>
            <w:hideMark/>
          </w:tcPr>
          <w:p w14:paraId="4C48DDC6"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64</w:t>
            </w:r>
          </w:p>
        </w:tc>
        <w:tc>
          <w:tcPr>
            <w:tcW w:w="1164" w:type="dxa"/>
            <w:hideMark/>
          </w:tcPr>
          <w:p w14:paraId="2270C6C1"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71.11</w:t>
            </w:r>
          </w:p>
        </w:tc>
      </w:tr>
      <w:tr w:rsidR="00D47E8B" w:rsidRPr="005C7305" w14:paraId="63CC1664" w14:textId="77777777" w:rsidTr="005A061D">
        <w:trPr>
          <w:trHeight w:val="139"/>
        </w:trPr>
        <w:tc>
          <w:tcPr>
            <w:tcW w:w="3158" w:type="dxa"/>
            <w:hideMark/>
          </w:tcPr>
          <w:p w14:paraId="2F9B1440" w14:textId="77777777" w:rsidR="00D47E8B" w:rsidRPr="005C7305" w:rsidRDefault="00D47E8B">
            <w:pPr>
              <w:spacing w:after="120" w:line="276" w:lineRule="auto"/>
              <w:rPr>
                <w:rFonts w:ascii="Arial" w:hAnsi="Arial" w:cs="Arial"/>
                <w:sz w:val="20"/>
                <w:szCs w:val="20"/>
              </w:rPr>
            </w:pPr>
            <w:r w:rsidRPr="005C7305">
              <w:rPr>
                <w:rFonts w:ascii="Arial" w:hAnsi="Arial" w:cs="Arial"/>
                <w:b/>
                <w:bCs/>
                <w:color w:val="000000"/>
                <w:sz w:val="20"/>
                <w:szCs w:val="20"/>
              </w:rPr>
              <w:t>II. Gender</w:t>
            </w:r>
          </w:p>
        </w:tc>
        <w:tc>
          <w:tcPr>
            <w:tcW w:w="1705" w:type="dxa"/>
          </w:tcPr>
          <w:p w14:paraId="6B64A7C0" w14:textId="77777777" w:rsidR="00D47E8B" w:rsidRPr="005C7305" w:rsidRDefault="00D47E8B">
            <w:pPr>
              <w:spacing w:after="120" w:line="276" w:lineRule="auto"/>
              <w:jc w:val="center"/>
              <w:rPr>
                <w:rFonts w:ascii="Arial" w:hAnsi="Arial" w:cs="Arial"/>
                <w:sz w:val="20"/>
                <w:szCs w:val="20"/>
              </w:rPr>
            </w:pPr>
          </w:p>
        </w:tc>
        <w:tc>
          <w:tcPr>
            <w:tcW w:w="1164" w:type="dxa"/>
          </w:tcPr>
          <w:p w14:paraId="0F845C0D" w14:textId="77777777" w:rsidR="00D47E8B" w:rsidRPr="005C7305" w:rsidRDefault="00D47E8B">
            <w:pPr>
              <w:spacing w:after="120" w:line="276" w:lineRule="auto"/>
              <w:jc w:val="center"/>
              <w:rPr>
                <w:rFonts w:ascii="Arial" w:hAnsi="Arial" w:cs="Arial"/>
                <w:sz w:val="20"/>
                <w:szCs w:val="20"/>
              </w:rPr>
            </w:pPr>
          </w:p>
        </w:tc>
      </w:tr>
      <w:tr w:rsidR="00D47E8B" w:rsidRPr="005C7305" w14:paraId="5050CBFF" w14:textId="77777777" w:rsidTr="005A061D">
        <w:trPr>
          <w:trHeight w:val="139"/>
        </w:trPr>
        <w:tc>
          <w:tcPr>
            <w:tcW w:w="3158" w:type="dxa"/>
            <w:hideMark/>
          </w:tcPr>
          <w:p w14:paraId="2783F8F5"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Male</w:t>
            </w:r>
          </w:p>
        </w:tc>
        <w:tc>
          <w:tcPr>
            <w:tcW w:w="1705" w:type="dxa"/>
            <w:hideMark/>
          </w:tcPr>
          <w:p w14:paraId="0CF2A7CC"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79</w:t>
            </w:r>
          </w:p>
        </w:tc>
        <w:tc>
          <w:tcPr>
            <w:tcW w:w="1164" w:type="dxa"/>
            <w:hideMark/>
          </w:tcPr>
          <w:p w14:paraId="541BF9F3"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87.78</w:t>
            </w:r>
          </w:p>
        </w:tc>
      </w:tr>
      <w:tr w:rsidR="00D47E8B" w:rsidRPr="005C7305" w14:paraId="35CA832E" w14:textId="77777777" w:rsidTr="005A061D">
        <w:trPr>
          <w:trHeight w:val="139"/>
        </w:trPr>
        <w:tc>
          <w:tcPr>
            <w:tcW w:w="3158" w:type="dxa"/>
            <w:hideMark/>
          </w:tcPr>
          <w:p w14:paraId="46AEE4FB"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Female</w:t>
            </w:r>
          </w:p>
        </w:tc>
        <w:tc>
          <w:tcPr>
            <w:tcW w:w="1705" w:type="dxa"/>
            <w:hideMark/>
          </w:tcPr>
          <w:p w14:paraId="3E9347E0"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11</w:t>
            </w:r>
          </w:p>
        </w:tc>
        <w:tc>
          <w:tcPr>
            <w:tcW w:w="1164" w:type="dxa"/>
            <w:hideMark/>
          </w:tcPr>
          <w:p w14:paraId="33393C49"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12.22</w:t>
            </w:r>
          </w:p>
        </w:tc>
      </w:tr>
      <w:tr w:rsidR="00D47E8B" w:rsidRPr="005C7305" w14:paraId="05E0B559" w14:textId="77777777" w:rsidTr="005A061D">
        <w:trPr>
          <w:trHeight w:val="139"/>
        </w:trPr>
        <w:tc>
          <w:tcPr>
            <w:tcW w:w="3158" w:type="dxa"/>
            <w:hideMark/>
          </w:tcPr>
          <w:p w14:paraId="35173A34" w14:textId="77777777" w:rsidR="00D47E8B" w:rsidRPr="005C7305" w:rsidRDefault="00D47E8B">
            <w:pPr>
              <w:spacing w:after="120" w:line="276" w:lineRule="auto"/>
              <w:rPr>
                <w:rFonts w:ascii="Arial" w:hAnsi="Arial" w:cs="Arial"/>
                <w:sz w:val="20"/>
                <w:szCs w:val="20"/>
              </w:rPr>
            </w:pPr>
            <w:r w:rsidRPr="005C7305">
              <w:rPr>
                <w:rFonts w:ascii="Arial" w:hAnsi="Arial" w:cs="Arial"/>
                <w:b/>
                <w:bCs/>
                <w:color w:val="000000"/>
                <w:sz w:val="20"/>
                <w:szCs w:val="20"/>
              </w:rPr>
              <w:t>III. Education</w:t>
            </w:r>
          </w:p>
        </w:tc>
        <w:tc>
          <w:tcPr>
            <w:tcW w:w="1705" w:type="dxa"/>
          </w:tcPr>
          <w:p w14:paraId="5720A319" w14:textId="77777777" w:rsidR="00D47E8B" w:rsidRPr="005C7305" w:rsidRDefault="00D47E8B">
            <w:pPr>
              <w:spacing w:after="120" w:line="276" w:lineRule="auto"/>
              <w:jc w:val="center"/>
              <w:rPr>
                <w:rFonts w:ascii="Arial" w:hAnsi="Arial" w:cs="Arial"/>
                <w:sz w:val="20"/>
                <w:szCs w:val="20"/>
              </w:rPr>
            </w:pPr>
          </w:p>
        </w:tc>
        <w:tc>
          <w:tcPr>
            <w:tcW w:w="1164" w:type="dxa"/>
          </w:tcPr>
          <w:p w14:paraId="1A1DD77E" w14:textId="77777777" w:rsidR="00D47E8B" w:rsidRPr="005C7305" w:rsidRDefault="00D47E8B">
            <w:pPr>
              <w:spacing w:after="120" w:line="276" w:lineRule="auto"/>
              <w:jc w:val="center"/>
              <w:rPr>
                <w:rFonts w:ascii="Arial" w:hAnsi="Arial" w:cs="Arial"/>
                <w:sz w:val="20"/>
                <w:szCs w:val="20"/>
              </w:rPr>
            </w:pPr>
          </w:p>
        </w:tc>
      </w:tr>
      <w:tr w:rsidR="00D47E8B" w:rsidRPr="005C7305" w14:paraId="3E67280A" w14:textId="77777777" w:rsidTr="005A061D">
        <w:trPr>
          <w:trHeight w:val="139"/>
        </w:trPr>
        <w:tc>
          <w:tcPr>
            <w:tcW w:w="3158" w:type="dxa"/>
            <w:hideMark/>
          </w:tcPr>
          <w:p w14:paraId="1899D021"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lastRenderedPageBreak/>
              <w:t xml:space="preserve">  Primary</w:t>
            </w:r>
          </w:p>
        </w:tc>
        <w:tc>
          <w:tcPr>
            <w:tcW w:w="1705" w:type="dxa"/>
            <w:hideMark/>
          </w:tcPr>
          <w:p w14:paraId="5FD24FB0"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11</w:t>
            </w:r>
          </w:p>
        </w:tc>
        <w:tc>
          <w:tcPr>
            <w:tcW w:w="1164" w:type="dxa"/>
            <w:hideMark/>
          </w:tcPr>
          <w:p w14:paraId="2247FAA4"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12.22</w:t>
            </w:r>
          </w:p>
        </w:tc>
      </w:tr>
      <w:tr w:rsidR="00D47E8B" w:rsidRPr="005C7305" w14:paraId="33FCA6ED" w14:textId="77777777" w:rsidTr="005A061D">
        <w:trPr>
          <w:trHeight w:val="139"/>
        </w:trPr>
        <w:tc>
          <w:tcPr>
            <w:tcW w:w="3158" w:type="dxa"/>
            <w:hideMark/>
          </w:tcPr>
          <w:p w14:paraId="1677E5E5"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High school</w:t>
            </w:r>
          </w:p>
        </w:tc>
        <w:tc>
          <w:tcPr>
            <w:tcW w:w="1705" w:type="dxa"/>
            <w:hideMark/>
          </w:tcPr>
          <w:p w14:paraId="10BB4900"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20</w:t>
            </w:r>
          </w:p>
        </w:tc>
        <w:tc>
          <w:tcPr>
            <w:tcW w:w="1164" w:type="dxa"/>
            <w:hideMark/>
          </w:tcPr>
          <w:p w14:paraId="7BEC516C"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22.22</w:t>
            </w:r>
          </w:p>
        </w:tc>
      </w:tr>
      <w:tr w:rsidR="00D47E8B" w:rsidRPr="005C7305" w14:paraId="1DC8EDBE" w14:textId="77777777" w:rsidTr="005A061D">
        <w:trPr>
          <w:trHeight w:val="139"/>
        </w:trPr>
        <w:tc>
          <w:tcPr>
            <w:tcW w:w="3158" w:type="dxa"/>
            <w:hideMark/>
          </w:tcPr>
          <w:p w14:paraId="7E9CB453"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Higher secondary</w:t>
            </w:r>
          </w:p>
        </w:tc>
        <w:tc>
          <w:tcPr>
            <w:tcW w:w="1705" w:type="dxa"/>
            <w:hideMark/>
          </w:tcPr>
          <w:p w14:paraId="5CBED960"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49</w:t>
            </w:r>
          </w:p>
        </w:tc>
        <w:tc>
          <w:tcPr>
            <w:tcW w:w="1164" w:type="dxa"/>
            <w:hideMark/>
          </w:tcPr>
          <w:p w14:paraId="20A61038"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54.44</w:t>
            </w:r>
          </w:p>
        </w:tc>
      </w:tr>
      <w:tr w:rsidR="00D47E8B" w:rsidRPr="005C7305" w14:paraId="6581854B" w14:textId="77777777" w:rsidTr="005A061D">
        <w:trPr>
          <w:trHeight w:val="139"/>
        </w:trPr>
        <w:tc>
          <w:tcPr>
            <w:tcW w:w="3158" w:type="dxa"/>
            <w:hideMark/>
          </w:tcPr>
          <w:p w14:paraId="40554ABF"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Undergraduate</w:t>
            </w:r>
          </w:p>
        </w:tc>
        <w:tc>
          <w:tcPr>
            <w:tcW w:w="1705" w:type="dxa"/>
            <w:hideMark/>
          </w:tcPr>
          <w:p w14:paraId="2321481F"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10</w:t>
            </w:r>
          </w:p>
        </w:tc>
        <w:tc>
          <w:tcPr>
            <w:tcW w:w="1164" w:type="dxa"/>
            <w:hideMark/>
          </w:tcPr>
          <w:p w14:paraId="4ED892B8"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11.11</w:t>
            </w:r>
          </w:p>
        </w:tc>
      </w:tr>
      <w:tr w:rsidR="00D47E8B" w:rsidRPr="005C7305" w14:paraId="37AAA986" w14:textId="77777777" w:rsidTr="005A061D">
        <w:trPr>
          <w:trHeight w:val="139"/>
        </w:trPr>
        <w:tc>
          <w:tcPr>
            <w:tcW w:w="3158" w:type="dxa"/>
            <w:hideMark/>
          </w:tcPr>
          <w:p w14:paraId="34E37007" w14:textId="77777777" w:rsidR="00D47E8B" w:rsidRPr="005C7305" w:rsidRDefault="00D47E8B">
            <w:pPr>
              <w:spacing w:after="120" w:line="276" w:lineRule="auto"/>
              <w:rPr>
                <w:rFonts w:ascii="Arial" w:hAnsi="Arial" w:cs="Arial"/>
                <w:sz w:val="20"/>
                <w:szCs w:val="20"/>
              </w:rPr>
            </w:pPr>
            <w:r w:rsidRPr="005C7305">
              <w:rPr>
                <w:rFonts w:ascii="Arial" w:hAnsi="Arial" w:cs="Arial"/>
                <w:b/>
                <w:bCs/>
                <w:color w:val="000000"/>
                <w:sz w:val="20"/>
                <w:szCs w:val="20"/>
              </w:rPr>
              <w:t>IV. Family Type</w:t>
            </w:r>
          </w:p>
        </w:tc>
        <w:tc>
          <w:tcPr>
            <w:tcW w:w="1705" w:type="dxa"/>
          </w:tcPr>
          <w:p w14:paraId="144D97F5" w14:textId="77777777" w:rsidR="00D47E8B" w:rsidRPr="005C7305" w:rsidRDefault="00D47E8B">
            <w:pPr>
              <w:spacing w:after="120" w:line="276" w:lineRule="auto"/>
              <w:jc w:val="center"/>
              <w:rPr>
                <w:rFonts w:ascii="Arial" w:hAnsi="Arial" w:cs="Arial"/>
                <w:sz w:val="20"/>
                <w:szCs w:val="20"/>
              </w:rPr>
            </w:pPr>
          </w:p>
        </w:tc>
        <w:tc>
          <w:tcPr>
            <w:tcW w:w="1164" w:type="dxa"/>
          </w:tcPr>
          <w:p w14:paraId="7FCB5C8E" w14:textId="77777777" w:rsidR="00D47E8B" w:rsidRPr="005C7305" w:rsidRDefault="00D47E8B">
            <w:pPr>
              <w:spacing w:after="120" w:line="276" w:lineRule="auto"/>
              <w:jc w:val="center"/>
              <w:rPr>
                <w:rFonts w:ascii="Arial" w:hAnsi="Arial" w:cs="Arial"/>
                <w:sz w:val="20"/>
                <w:szCs w:val="20"/>
              </w:rPr>
            </w:pPr>
          </w:p>
        </w:tc>
      </w:tr>
      <w:tr w:rsidR="00D47E8B" w:rsidRPr="005C7305" w14:paraId="09CCBB78" w14:textId="77777777" w:rsidTr="005A061D">
        <w:trPr>
          <w:trHeight w:val="139"/>
        </w:trPr>
        <w:tc>
          <w:tcPr>
            <w:tcW w:w="3158" w:type="dxa"/>
            <w:hideMark/>
          </w:tcPr>
          <w:p w14:paraId="29364FED"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Nuclear (&lt;5 members)</w:t>
            </w:r>
          </w:p>
        </w:tc>
        <w:tc>
          <w:tcPr>
            <w:tcW w:w="1705" w:type="dxa"/>
            <w:hideMark/>
          </w:tcPr>
          <w:p w14:paraId="23A4ED33"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67</w:t>
            </w:r>
          </w:p>
        </w:tc>
        <w:tc>
          <w:tcPr>
            <w:tcW w:w="1164" w:type="dxa"/>
            <w:hideMark/>
          </w:tcPr>
          <w:p w14:paraId="092C768D"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74.44</w:t>
            </w:r>
          </w:p>
        </w:tc>
      </w:tr>
      <w:tr w:rsidR="00D47E8B" w:rsidRPr="005C7305" w14:paraId="7BBAA601" w14:textId="77777777" w:rsidTr="005A061D">
        <w:trPr>
          <w:trHeight w:val="139"/>
        </w:trPr>
        <w:tc>
          <w:tcPr>
            <w:tcW w:w="3158" w:type="dxa"/>
            <w:hideMark/>
          </w:tcPr>
          <w:p w14:paraId="0E409F92"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Joint (≥5 members)</w:t>
            </w:r>
          </w:p>
        </w:tc>
        <w:tc>
          <w:tcPr>
            <w:tcW w:w="1705" w:type="dxa"/>
            <w:hideMark/>
          </w:tcPr>
          <w:p w14:paraId="6036679F"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23</w:t>
            </w:r>
          </w:p>
        </w:tc>
        <w:tc>
          <w:tcPr>
            <w:tcW w:w="1164" w:type="dxa"/>
            <w:hideMark/>
          </w:tcPr>
          <w:p w14:paraId="223238D2"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25.56</w:t>
            </w:r>
          </w:p>
        </w:tc>
      </w:tr>
      <w:tr w:rsidR="00D47E8B" w:rsidRPr="005C7305" w14:paraId="2C849F3D" w14:textId="77777777" w:rsidTr="005A061D">
        <w:trPr>
          <w:trHeight w:val="139"/>
        </w:trPr>
        <w:tc>
          <w:tcPr>
            <w:tcW w:w="3158" w:type="dxa"/>
            <w:hideMark/>
          </w:tcPr>
          <w:p w14:paraId="427F6CC6" w14:textId="77777777" w:rsidR="00D47E8B" w:rsidRPr="005C7305" w:rsidRDefault="00D47E8B">
            <w:pPr>
              <w:spacing w:after="120" w:line="276" w:lineRule="auto"/>
              <w:rPr>
                <w:rFonts w:ascii="Arial" w:hAnsi="Arial" w:cs="Arial"/>
                <w:sz w:val="20"/>
                <w:szCs w:val="20"/>
              </w:rPr>
            </w:pPr>
            <w:r w:rsidRPr="005C7305">
              <w:rPr>
                <w:rFonts w:ascii="Arial" w:hAnsi="Arial" w:cs="Arial"/>
                <w:b/>
                <w:bCs/>
                <w:color w:val="000000"/>
                <w:sz w:val="20"/>
                <w:szCs w:val="20"/>
              </w:rPr>
              <w:t>V. Farming Occupation</w:t>
            </w:r>
          </w:p>
        </w:tc>
        <w:tc>
          <w:tcPr>
            <w:tcW w:w="1705" w:type="dxa"/>
          </w:tcPr>
          <w:p w14:paraId="2D7CBDE0" w14:textId="77777777" w:rsidR="00D47E8B" w:rsidRPr="005C7305" w:rsidRDefault="00D47E8B">
            <w:pPr>
              <w:spacing w:after="120" w:line="276" w:lineRule="auto"/>
              <w:jc w:val="center"/>
              <w:rPr>
                <w:rFonts w:ascii="Arial" w:hAnsi="Arial" w:cs="Arial"/>
                <w:sz w:val="20"/>
                <w:szCs w:val="20"/>
              </w:rPr>
            </w:pPr>
          </w:p>
        </w:tc>
        <w:tc>
          <w:tcPr>
            <w:tcW w:w="1164" w:type="dxa"/>
          </w:tcPr>
          <w:p w14:paraId="258CFAF7" w14:textId="77777777" w:rsidR="00D47E8B" w:rsidRPr="005C7305" w:rsidRDefault="00D47E8B">
            <w:pPr>
              <w:spacing w:after="120" w:line="276" w:lineRule="auto"/>
              <w:jc w:val="center"/>
              <w:rPr>
                <w:rFonts w:ascii="Arial" w:hAnsi="Arial" w:cs="Arial"/>
                <w:sz w:val="20"/>
                <w:szCs w:val="20"/>
              </w:rPr>
            </w:pPr>
          </w:p>
        </w:tc>
      </w:tr>
      <w:tr w:rsidR="00D47E8B" w:rsidRPr="005C7305" w14:paraId="2196DC53" w14:textId="77777777" w:rsidTr="005A061D">
        <w:trPr>
          <w:trHeight w:val="139"/>
        </w:trPr>
        <w:tc>
          <w:tcPr>
            <w:tcW w:w="3158" w:type="dxa"/>
            <w:hideMark/>
          </w:tcPr>
          <w:p w14:paraId="76DDA1E7"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Major occupation</w:t>
            </w:r>
          </w:p>
        </w:tc>
        <w:tc>
          <w:tcPr>
            <w:tcW w:w="1705" w:type="dxa"/>
            <w:hideMark/>
          </w:tcPr>
          <w:p w14:paraId="2F990458"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65</w:t>
            </w:r>
          </w:p>
        </w:tc>
        <w:tc>
          <w:tcPr>
            <w:tcW w:w="1164" w:type="dxa"/>
            <w:hideMark/>
          </w:tcPr>
          <w:p w14:paraId="1C486D53"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72.22</w:t>
            </w:r>
          </w:p>
        </w:tc>
      </w:tr>
      <w:tr w:rsidR="00D47E8B" w:rsidRPr="005C7305" w14:paraId="22ACF23A" w14:textId="77777777" w:rsidTr="005A061D">
        <w:trPr>
          <w:trHeight w:val="139"/>
        </w:trPr>
        <w:tc>
          <w:tcPr>
            <w:tcW w:w="3158" w:type="dxa"/>
            <w:hideMark/>
          </w:tcPr>
          <w:p w14:paraId="338F2775"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Subsidiary occupation</w:t>
            </w:r>
          </w:p>
        </w:tc>
        <w:tc>
          <w:tcPr>
            <w:tcW w:w="1705" w:type="dxa"/>
            <w:hideMark/>
          </w:tcPr>
          <w:p w14:paraId="15E97C0A"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25</w:t>
            </w:r>
          </w:p>
        </w:tc>
        <w:tc>
          <w:tcPr>
            <w:tcW w:w="1164" w:type="dxa"/>
            <w:hideMark/>
          </w:tcPr>
          <w:p w14:paraId="39483884"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27.78</w:t>
            </w:r>
          </w:p>
        </w:tc>
      </w:tr>
      <w:tr w:rsidR="00D47E8B" w:rsidRPr="005C7305" w14:paraId="1177F22A" w14:textId="77777777" w:rsidTr="005A061D">
        <w:trPr>
          <w:trHeight w:val="139"/>
        </w:trPr>
        <w:tc>
          <w:tcPr>
            <w:tcW w:w="3158" w:type="dxa"/>
            <w:hideMark/>
          </w:tcPr>
          <w:p w14:paraId="5FD55F7A" w14:textId="77777777" w:rsidR="00D47E8B" w:rsidRPr="005C7305" w:rsidRDefault="00D47E8B">
            <w:pPr>
              <w:spacing w:after="120" w:line="276" w:lineRule="auto"/>
              <w:rPr>
                <w:rFonts w:ascii="Arial" w:hAnsi="Arial" w:cs="Arial"/>
                <w:sz w:val="20"/>
                <w:szCs w:val="20"/>
              </w:rPr>
            </w:pPr>
            <w:r w:rsidRPr="005C7305">
              <w:rPr>
                <w:rFonts w:ascii="Arial" w:hAnsi="Arial" w:cs="Arial"/>
                <w:b/>
                <w:bCs/>
                <w:color w:val="000000"/>
                <w:sz w:val="20"/>
                <w:szCs w:val="20"/>
              </w:rPr>
              <w:t>VI. Area under IFS</w:t>
            </w:r>
          </w:p>
        </w:tc>
        <w:tc>
          <w:tcPr>
            <w:tcW w:w="1705" w:type="dxa"/>
          </w:tcPr>
          <w:p w14:paraId="17BCC54E" w14:textId="77777777" w:rsidR="00D47E8B" w:rsidRPr="005C7305" w:rsidRDefault="00D47E8B">
            <w:pPr>
              <w:spacing w:after="120" w:line="276" w:lineRule="auto"/>
              <w:jc w:val="center"/>
              <w:rPr>
                <w:rFonts w:ascii="Arial" w:hAnsi="Arial" w:cs="Arial"/>
                <w:sz w:val="20"/>
                <w:szCs w:val="20"/>
              </w:rPr>
            </w:pPr>
          </w:p>
        </w:tc>
        <w:tc>
          <w:tcPr>
            <w:tcW w:w="1164" w:type="dxa"/>
          </w:tcPr>
          <w:p w14:paraId="3FEA1016" w14:textId="77777777" w:rsidR="00D47E8B" w:rsidRPr="005C7305" w:rsidRDefault="00D47E8B">
            <w:pPr>
              <w:spacing w:after="120" w:line="276" w:lineRule="auto"/>
              <w:jc w:val="center"/>
              <w:rPr>
                <w:rFonts w:ascii="Arial" w:hAnsi="Arial" w:cs="Arial"/>
                <w:sz w:val="20"/>
                <w:szCs w:val="20"/>
              </w:rPr>
            </w:pPr>
          </w:p>
        </w:tc>
      </w:tr>
      <w:tr w:rsidR="00D47E8B" w:rsidRPr="005C7305" w14:paraId="7F837B82" w14:textId="77777777" w:rsidTr="005A061D">
        <w:trPr>
          <w:trHeight w:val="139"/>
        </w:trPr>
        <w:tc>
          <w:tcPr>
            <w:tcW w:w="3158" w:type="dxa"/>
            <w:hideMark/>
          </w:tcPr>
          <w:p w14:paraId="4191E463"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&lt; 1 acre</w:t>
            </w:r>
          </w:p>
        </w:tc>
        <w:tc>
          <w:tcPr>
            <w:tcW w:w="1705" w:type="dxa"/>
            <w:hideMark/>
          </w:tcPr>
          <w:p w14:paraId="14F38D79"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41</w:t>
            </w:r>
          </w:p>
        </w:tc>
        <w:tc>
          <w:tcPr>
            <w:tcW w:w="1164" w:type="dxa"/>
            <w:hideMark/>
          </w:tcPr>
          <w:p w14:paraId="5E8716D3"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45.56</w:t>
            </w:r>
          </w:p>
        </w:tc>
      </w:tr>
      <w:tr w:rsidR="00D47E8B" w:rsidRPr="005C7305" w14:paraId="2876650D" w14:textId="77777777" w:rsidTr="005A061D">
        <w:trPr>
          <w:trHeight w:val="139"/>
        </w:trPr>
        <w:tc>
          <w:tcPr>
            <w:tcW w:w="3158" w:type="dxa"/>
            <w:hideMark/>
          </w:tcPr>
          <w:p w14:paraId="722628C7"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1–2 acres</w:t>
            </w:r>
          </w:p>
        </w:tc>
        <w:tc>
          <w:tcPr>
            <w:tcW w:w="1705" w:type="dxa"/>
            <w:hideMark/>
          </w:tcPr>
          <w:p w14:paraId="3CF7528E"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34</w:t>
            </w:r>
          </w:p>
        </w:tc>
        <w:tc>
          <w:tcPr>
            <w:tcW w:w="1164" w:type="dxa"/>
            <w:hideMark/>
          </w:tcPr>
          <w:p w14:paraId="7726D997"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37.78</w:t>
            </w:r>
          </w:p>
        </w:tc>
      </w:tr>
      <w:tr w:rsidR="00D47E8B" w:rsidRPr="005C7305" w14:paraId="234BC12F" w14:textId="77777777" w:rsidTr="005A061D">
        <w:trPr>
          <w:trHeight w:val="139"/>
        </w:trPr>
        <w:tc>
          <w:tcPr>
            <w:tcW w:w="3158" w:type="dxa"/>
            <w:hideMark/>
          </w:tcPr>
          <w:p w14:paraId="610F6C7A"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&gt; 2 acres</w:t>
            </w:r>
          </w:p>
        </w:tc>
        <w:tc>
          <w:tcPr>
            <w:tcW w:w="1705" w:type="dxa"/>
            <w:hideMark/>
          </w:tcPr>
          <w:p w14:paraId="27C16C79"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15</w:t>
            </w:r>
          </w:p>
        </w:tc>
        <w:tc>
          <w:tcPr>
            <w:tcW w:w="1164" w:type="dxa"/>
            <w:hideMark/>
          </w:tcPr>
          <w:p w14:paraId="426B23DE"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16.67</w:t>
            </w:r>
          </w:p>
        </w:tc>
      </w:tr>
      <w:tr w:rsidR="00D47E8B" w:rsidRPr="005C7305" w14:paraId="15FEE7C1" w14:textId="77777777" w:rsidTr="005A061D">
        <w:trPr>
          <w:trHeight w:val="139"/>
        </w:trPr>
        <w:tc>
          <w:tcPr>
            <w:tcW w:w="3158" w:type="dxa"/>
            <w:hideMark/>
          </w:tcPr>
          <w:p w14:paraId="2C3EF121" w14:textId="77777777" w:rsidR="00D47E8B" w:rsidRPr="005C7305" w:rsidRDefault="00D47E8B">
            <w:pPr>
              <w:spacing w:after="120" w:line="276" w:lineRule="auto"/>
              <w:rPr>
                <w:rFonts w:ascii="Arial" w:hAnsi="Arial" w:cs="Arial"/>
                <w:sz w:val="20"/>
                <w:szCs w:val="20"/>
              </w:rPr>
            </w:pPr>
            <w:r w:rsidRPr="005C7305">
              <w:rPr>
                <w:rFonts w:ascii="Arial" w:hAnsi="Arial" w:cs="Arial"/>
                <w:b/>
                <w:bCs/>
                <w:color w:val="000000"/>
                <w:sz w:val="20"/>
                <w:szCs w:val="20"/>
              </w:rPr>
              <w:t>VII. Annual Family Income</w:t>
            </w:r>
          </w:p>
        </w:tc>
        <w:tc>
          <w:tcPr>
            <w:tcW w:w="1705" w:type="dxa"/>
          </w:tcPr>
          <w:p w14:paraId="05B55CA7" w14:textId="77777777" w:rsidR="00D47E8B" w:rsidRPr="005C7305" w:rsidRDefault="00D47E8B">
            <w:pPr>
              <w:spacing w:after="120" w:line="276" w:lineRule="auto"/>
              <w:jc w:val="center"/>
              <w:rPr>
                <w:rFonts w:ascii="Arial" w:hAnsi="Arial" w:cs="Arial"/>
                <w:sz w:val="20"/>
                <w:szCs w:val="20"/>
              </w:rPr>
            </w:pPr>
          </w:p>
        </w:tc>
        <w:tc>
          <w:tcPr>
            <w:tcW w:w="1164" w:type="dxa"/>
          </w:tcPr>
          <w:p w14:paraId="19B02818" w14:textId="77777777" w:rsidR="00D47E8B" w:rsidRPr="005C7305" w:rsidRDefault="00D47E8B">
            <w:pPr>
              <w:spacing w:after="120" w:line="276" w:lineRule="auto"/>
              <w:jc w:val="center"/>
              <w:rPr>
                <w:rFonts w:ascii="Arial" w:hAnsi="Arial" w:cs="Arial"/>
                <w:sz w:val="20"/>
                <w:szCs w:val="20"/>
              </w:rPr>
            </w:pPr>
          </w:p>
        </w:tc>
      </w:tr>
      <w:tr w:rsidR="00D47E8B" w:rsidRPr="005C7305" w14:paraId="2E00FCA5" w14:textId="77777777" w:rsidTr="005A061D">
        <w:trPr>
          <w:trHeight w:val="139"/>
        </w:trPr>
        <w:tc>
          <w:tcPr>
            <w:tcW w:w="3158" w:type="dxa"/>
            <w:hideMark/>
          </w:tcPr>
          <w:p w14:paraId="6F0D9214"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&lt; ₹1 lakh</w:t>
            </w:r>
          </w:p>
        </w:tc>
        <w:tc>
          <w:tcPr>
            <w:tcW w:w="1705" w:type="dxa"/>
            <w:hideMark/>
          </w:tcPr>
          <w:p w14:paraId="76AA0797"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11</w:t>
            </w:r>
          </w:p>
        </w:tc>
        <w:tc>
          <w:tcPr>
            <w:tcW w:w="1164" w:type="dxa"/>
            <w:hideMark/>
          </w:tcPr>
          <w:p w14:paraId="73F235A5"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12.22</w:t>
            </w:r>
          </w:p>
        </w:tc>
      </w:tr>
      <w:tr w:rsidR="00D47E8B" w:rsidRPr="005C7305" w14:paraId="0B301E3C" w14:textId="77777777" w:rsidTr="005A061D">
        <w:trPr>
          <w:trHeight w:val="139"/>
        </w:trPr>
        <w:tc>
          <w:tcPr>
            <w:tcW w:w="3158" w:type="dxa"/>
            <w:hideMark/>
          </w:tcPr>
          <w:p w14:paraId="76E90999"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₹1–2 lakh</w:t>
            </w:r>
          </w:p>
        </w:tc>
        <w:tc>
          <w:tcPr>
            <w:tcW w:w="1705" w:type="dxa"/>
            <w:hideMark/>
          </w:tcPr>
          <w:p w14:paraId="6522339B"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49</w:t>
            </w:r>
          </w:p>
        </w:tc>
        <w:tc>
          <w:tcPr>
            <w:tcW w:w="1164" w:type="dxa"/>
            <w:hideMark/>
          </w:tcPr>
          <w:p w14:paraId="6C22B96B"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54.44</w:t>
            </w:r>
          </w:p>
        </w:tc>
      </w:tr>
      <w:tr w:rsidR="00D47E8B" w:rsidRPr="005C7305" w14:paraId="4523B5CB" w14:textId="77777777" w:rsidTr="005A061D">
        <w:trPr>
          <w:trHeight w:val="139"/>
        </w:trPr>
        <w:tc>
          <w:tcPr>
            <w:tcW w:w="3158" w:type="dxa"/>
            <w:hideMark/>
          </w:tcPr>
          <w:p w14:paraId="500487B0"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₹2–4 lakh</w:t>
            </w:r>
          </w:p>
        </w:tc>
        <w:tc>
          <w:tcPr>
            <w:tcW w:w="1705" w:type="dxa"/>
            <w:hideMark/>
          </w:tcPr>
          <w:p w14:paraId="58D64500"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21</w:t>
            </w:r>
          </w:p>
        </w:tc>
        <w:tc>
          <w:tcPr>
            <w:tcW w:w="1164" w:type="dxa"/>
            <w:hideMark/>
          </w:tcPr>
          <w:p w14:paraId="2F21F794"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23.33</w:t>
            </w:r>
          </w:p>
        </w:tc>
      </w:tr>
      <w:tr w:rsidR="00D47E8B" w:rsidRPr="005C7305" w14:paraId="3142B025" w14:textId="77777777" w:rsidTr="005A061D">
        <w:trPr>
          <w:trHeight w:val="139"/>
        </w:trPr>
        <w:tc>
          <w:tcPr>
            <w:tcW w:w="3158" w:type="dxa"/>
            <w:hideMark/>
          </w:tcPr>
          <w:p w14:paraId="0601FC19"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&gt; ₹4 lakh</w:t>
            </w:r>
          </w:p>
        </w:tc>
        <w:tc>
          <w:tcPr>
            <w:tcW w:w="1705" w:type="dxa"/>
            <w:hideMark/>
          </w:tcPr>
          <w:p w14:paraId="15310C46"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9</w:t>
            </w:r>
          </w:p>
        </w:tc>
        <w:tc>
          <w:tcPr>
            <w:tcW w:w="1164" w:type="dxa"/>
            <w:hideMark/>
          </w:tcPr>
          <w:p w14:paraId="15B08DF5"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10.00</w:t>
            </w:r>
          </w:p>
        </w:tc>
      </w:tr>
      <w:tr w:rsidR="00D47E8B" w:rsidRPr="005C7305" w14:paraId="3C90707A" w14:textId="77777777" w:rsidTr="005A061D">
        <w:trPr>
          <w:trHeight w:val="139"/>
        </w:trPr>
        <w:tc>
          <w:tcPr>
            <w:tcW w:w="3158" w:type="dxa"/>
            <w:hideMark/>
          </w:tcPr>
          <w:p w14:paraId="666C417F" w14:textId="77777777" w:rsidR="00D47E8B" w:rsidRPr="005C7305" w:rsidRDefault="00D47E8B">
            <w:pPr>
              <w:spacing w:after="120" w:line="276" w:lineRule="auto"/>
              <w:rPr>
                <w:rFonts w:ascii="Arial" w:hAnsi="Arial" w:cs="Arial"/>
                <w:sz w:val="20"/>
                <w:szCs w:val="20"/>
              </w:rPr>
            </w:pPr>
            <w:r w:rsidRPr="005C7305">
              <w:rPr>
                <w:rFonts w:ascii="Arial" w:hAnsi="Arial" w:cs="Arial"/>
                <w:b/>
                <w:bCs/>
                <w:color w:val="000000"/>
                <w:sz w:val="20"/>
                <w:szCs w:val="20"/>
              </w:rPr>
              <w:t>VIII. Income from IFS</w:t>
            </w:r>
          </w:p>
        </w:tc>
        <w:tc>
          <w:tcPr>
            <w:tcW w:w="1705" w:type="dxa"/>
          </w:tcPr>
          <w:p w14:paraId="62199EF8" w14:textId="77777777" w:rsidR="00D47E8B" w:rsidRPr="005C7305" w:rsidRDefault="00D47E8B">
            <w:pPr>
              <w:spacing w:after="120" w:line="276" w:lineRule="auto"/>
              <w:jc w:val="center"/>
              <w:rPr>
                <w:rFonts w:ascii="Arial" w:hAnsi="Arial" w:cs="Arial"/>
                <w:sz w:val="20"/>
                <w:szCs w:val="20"/>
              </w:rPr>
            </w:pPr>
          </w:p>
        </w:tc>
        <w:tc>
          <w:tcPr>
            <w:tcW w:w="1164" w:type="dxa"/>
          </w:tcPr>
          <w:p w14:paraId="0BF47746" w14:textId="77777777" w:rsidR="00D47E8B" w:rsidRPr="005C7305" w:rsidRDefault="00D47E8B">
            <w:pPr>
              <w:spacing w:after="120" w:line="276" w:lineRule="auto"/>
              <w:jc w:val="center"/>
              <w:rPr>
                <w:rFonts w:ascii="Arial" w:hAnsi="Arial" w:cs="Arial"/>
                <w:sz w:val="20"/>
                <w:szCs w:val="20"/>
              </w:rPr>
            </w:pPr>
          </w:p>
        </w:tc>
      </w:tr>
      <w:tr w:rsidR="00D47E8B" w:rsidRPr="005C7305" w14:paraId="72FA109C" w14:textId="77777777" w:rsidTr="005A061D">
        <w:trPr>
          <w:trHeight w:val="139"/>
        </w:trPr>
        <w:tc>
          <w:tcPr>
            <w:tcW w:w="3158" w:type="dxa"/>
            <w:hideMark/>
          </w:tcPr>
          <w:p w14:paraId="0C37CD11"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&lt; ₹1 lakh</w:t>
            </w:r>
          </w:p>
        </w:tc>
        <w:tc>
          <w:tcPr>
            <w:tcW w:w="1705" w:type="dxa"/>
            <w:hideMark/>
          </w:tcPr>
          <w:p w14:paraId="53C2C95C"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29</w:t>
            </w:r>
          </w:p>
        </w:tc>
        <w:tc>
          <w:tcPr>
            <w:tcW w:w="1164" w:type="dxa"/>
            <w:hideMark/>
          </w:tcPr>
          <w:p w14:paraId="72B3B37F"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32.22</w:t>
            </w:r>
          </w:p>
        </w:tc>
      </w:tr>
      <w:tr w:rsidR="00D47E8B" w:rsidRPr="005C7305" w14:paraId="37FE6CC3" w14:textId="77777777" w:rsidTr="005A061D">
        <w:trPr>
          <w:trHeight w:val="139"/>
        </w:trPr>
        <w:tc>
          <w:tcPr>
            <w:tcW w:w="3158" w:type="dxa"/>
            <w:hideMark/>
          </w:tcPr>
          <w:p w14:paraId="7E5C2C13"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₹1–2 lakh</w:t>
            </w:r>
          </w:p>
        </w:tc>
        <w:tc>
          <w:tcPr>
            <w:tcW w:w="1705" w:type="dxa"/>
            <w:hideMark/>
          </w:tcPr>
          <w:p w14:paraId="3113DB66"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46</w:t>
            </w:r>
          </w:p>
        </w:tc>
        <w:tc>
          <w:tcPr>
            <w:tcW w:w="1164" w:type="dxa"/>
            <w:hideMark/>
          </w:tcPr>
          <w:p w14:paraId="61D4B3B1"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51.11</w:t>
            </w:r>
          </w:p>
        </w:tc>
      </w:tr>
      <w:tr w:rsidR="00D47E8B" w:rsidRPr="005C7305" w14:paraId="7A2517C3" w14:textId="77777777" w:rsidTr="005A061D">
        <w:trPr>
          <w:trHeight w:val="139"/>
        </w:trPr>
        <w:tc>
          <w:tcPr>
            <w:tcW w:w="3158" w:type="dxa"/>
            <w:hideMark/>
          </w:tcPr>
          <w:p w14:paraId="369F380D"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₹2–4 lakh</w:t>
            </w:r>
          </w:p>
        </w:tc>
        <w:tc>
          <w:tcPr>
            <w:tcW w:w="1705" w:type="dxa"/>
            <w:hideMark/>
          </w:tcPr>
          <w:p w14:paraId="153621F1"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13</w:t>
            </w:r>
          </w:p>
        </w:tc>
        <w:tc>
          <w:tcPr>
            <w:tcW w:w="1164" w:type="dxa"/>
            <w:hideMark/>
          </w:tcPr>
          <w:p w14:paraId="58C0DE82"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14.44</w:t>
            </w:r>
          </w:p>
        </w:tc>
      </w:tr>
      <w:tr w:rsidR="00D47E8B" w:rsidRPr="005C7305" w14:paraId="15149EAB" w14:textId="77777777" w:rsidTr="005A061D">
        <w:trPr>
          <w:trHeight w:val="139"/>
        </w:trPr>
        <w:tc>
          <w:tcPr>
            <w:tcW w:w="3158" w:type="dxa"/>
            <w:hideMark/>
          </w:tcPr>
          <w:p w14:paraId="7C0D7B50"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&gt; ₹4 lakh</w:t>
            </w:r>
          </w:p>
        </w:tc>
        <w:tc>
          <w:tcPr>
            <w:tcW w:w="1705" w:type="dxa"/>
            <w:hideMark/>
          </w:tcPr>
          <w:p w14:paraId="2C40A66C"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w:t>
            </w:r>
          </w:p>
        </w:tc>
        <w:tc>
          <w:tcPr>
            <w:tcW w:w="1164" w:type="dxa"/>
            <w:hideMark/>
          </w:tcPr>
          <w:p w14:paraId="473D488A"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2.22</w:t>
            </w:r>
          </w:p>
        </w:tc>
      </w:tr>
      <w:tr w:rsidR="00D47E8B" w:rsidRPr="005C7305" w14:paraId="0182D1C0" w14:textId="77777777" w:rsidTr="005A061D">
        <w:trPr>
          <w:trHeight w:val="139"/>
        </w:trPr>
        <w:tc>
          <w:tcPr>
            <w:tcW w:w="3158" w:type="dxa"/>
            <w:hideMark/>
          </w:tcPr>
          <w:p w14:paraId="5317B301" w14:textId="77777777" w:rsidR="00D47E8B" w:rsidRPr="005C7305" w:rsidRDefault="00D47E8B">
            <w:pPr>
              <w:spacing w:after="120" w:line="276" w:lineRule="auto"/>
              <w:rPr>
                <w:rFonts w:ascii="Arial" w:hAnsi="Arial" w:cs="Arial"/>
                <w:sz w:val="20"/>
                <w:szCs w:val="20"/>
              </w:rPr>
            </w:pPr>
            <w:r w:rsidRPr="005C7305">
              <w:rPr>
                <w:rFonts w:ascii="Arial" w:hAnsi="Arial" w:cs="Arial"/>
                <w:b/>
                <w:bCs/>
                <w:color w:val="000000"/>
                <w:sz w:val="20"/>
                <w:szCs w:val="20"/>
              </w:rPr>
              <w:t>IX. No. of Enterprises in IFS</w:t>
            </w:r>
          </w:p>
        </w:tc>
        <w:tc>
          <w:tcPr>
            <w:tcW w:w="1705" w:type="dxa"/>
          </w:tcPr>
          <w:p w14:paraId="4F3AFFA2" w14:textId="77777777" w:rsidR="00D47E8B" w:rsidRPr="005C7305" w:rsidRDefault="00D47E8B">
            <w:pPr>
              <w:spacing w:after="120" w:line="276" w:lineRule="auto"/>
              <w:jc w:val="center"/>
              <w:rPr>
                <w:rFonts w:ascii="Arial" w:hAnsi="Arial" w:cs="Arial"/>
                <w:sz w:val="20"/>
                <w:szCs w:val="20"/>
              </w:rPr>
            </w:pPr>
          </w:p>
        </w:tc>
        <w:tc>
          <w:tcPr>
            <w:tcW w:w="1164" w:type="dxa"/>
          </w:tcPr>
          <w:p w14:paraId="256DD4A0" w14:textId="77777777" w:rsidR="00D47E8B" w:rsidRPr="005C7305" w:rsidRDefault="00D47E8B">
            <w:pPr>
              <w:spacing w:after="120" w:line="276" w:lineRule="auto"/>
              <w:jc w:val="center"/>
              <w:rPr>
                <w:rFonts w:ascii="Arial" w:hAnsi="Arial" w:cs="Arial"/>
                <w:sz w:val="20"/>
                <w:szCs w:val="20"/>
              </w:rPr>
            </w:pPr>
          </w:p>
        </w:tc>
      </w:tr>
      <w:tr w:rsidR="00D47E8B" w:rsidRPr="005C7305" w14:paraId="7EFE68E8" w14:textId="77777777" w:rsidTr="005A061D">
        <w:trPr>
          <w:trHeight w:val="139"/>
        </w:trPr>
        <w:tc>
          <w:tcPr>
            <w:tcW w:w="3158" w:type="dxa"/>
            <w:hideMark/>
          </w:tcPr>
          <w:p w14:paraId="12B55B24"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2–4 enterprises</w:t>
            </w:r>
          </w:p>
        </w:tc>
        <w:tc>
          <w:tcPr>
            <w:tcW w:w="1705" w:type="dxa"/>
            <w:hideMark/>
          </w:tcPr>
          <w:p w14:paraId="527623E2"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56</w:t>
            </w:r>
          </w:p>
        </w:tc>
        <w:tc>
          <w:tcPr>
            <w:tcW w:w="1164" w:type="dxa"/>
            <w:hideMark/>
          </w:tcPr>
          <w:p w14:paraId="194B7619"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62.22</w:t>
            </w:r>
          </w:p>
        </w:tc>
      </w:tr>
      <w:tr w:rsidR="00D47E8B" w:rsidRPr="005C7305" w14:paraId="3A357CC3" w14:textId="77777777" w:rsidTr="005A061D">
        <w:trPr>
          <w:trHeight w:val="139"/>
        </w:trPr>
        <w:tc>
          <w:tcPr>
            <w:tcW w:w="3158" w:type="dxa"/>
            <w:hideMark/>
          </w:tcPr>
          <w:p w14:paraId="010B8598"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5–7 enterprises</w:t>
            </w:r>
          </w:p>
        </w:tc>
        <w:tc>
          <w:tcPr>
            <w:tcW w:w="1705" w:type="dxa"/>
            <w:hideMark/>
          </w:tcPr>
          <w:p w14:paraId="3210CEB1"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30</w:t>
            </w:r>
          </w:p>
        </w:tc>
        <w:tc>
          <w:tcPr>
            <w:tcW w:w="1164" w:type="dxa"/>
            <w:hideMark/>
          </w:tcPr>
          <w:p w14:paraId="49D6382A"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33.33</w:t>
            </w:r>
          </w:p>
        </w:tc>
      </w:tr>
      <w:tr w:rsidR="00D47E8B" w:rsidRPr="005C7305" w14:paraId="56C6DE0C" w14:textId="77777777" w:rsidTr="005A061D">
        <w:trPr>
          <w:trHeight w:val="139"/>
        </w:trPr>
        <w:tc>
          <w:tcPr>
            <w:tcW w:w="3158" w:type="dxa"/>
            <w:hideMark/>
          </w:tcPr>
          <w:p w14:paraId="31000A60"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&gt; 7 enterprises</w:t>
            </w:r>
          </w:p>
        </w:tc>
        <w:tc>
          <w:tcPr>
            <w:tcW w:w="1705" w:type="dxa"/>
            <w:hideMark/>
          </w:tcPr>
          <w:p w14:paraId="699ACDEE"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4</w:t>
            </w:r>
          </w:p>
        </w:tc>
        <w:tc>
          <w:tcPr>
            <w:tcW w:w="1164" w:type="dxa"/>
            <w:hideMark/>
          </w:tcPr>
          <w:p w14:paraId="72DB011E"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4.44</w:t>
            </w:r>
          </w:p>
        </w:tc>
      </w:tr>
      <w:tr w:rsidR="00D47E8B" w:rsidRPr="005C7305" w14:paraId="2B1EA5B9" w14:textId="77777777" w:rsidTr="005A061D">
        <w:trPr>
          <w:trHeight w:val="139"/>
        </w:trPr>
        <w:tc>
          <w:tcPr>
            <w:tcW w:w="3158" w:type="dxa"/>
            <w:hideMark/>
          </w:tcPr>
          <w:p w14:paraId="26415FD5" w14:textId="77777777" w:rsidR="00D47E8B" w:rsidRPr="005C7305" w:rsidRDefault="00D47E8B">
            <w:pPr>
              <w:spacing w:after="120" w:line="276" w:lineRule="auto"/>
              <w:rPr>
                <w:rFonts w:ascii="Arial" w:hAnsi="Arial" w:cs="Arial"/>
                <w:sz w:val="20"/>
                <w:szCs w:val="20"/>
              </w:rPr>
            </w:pPr>
            <w:r w:rsidRPr="005C7305">
              <w:rPr>
                <w:rFonts w:ascii="Arial" w:hAnsi="Arial" w:cs="Arial"/>
                <w:b/>
                <w:bCs/>
                <w:color w:val="000000"/>
                <w:sz w:val="20"/>
                <w:szCs w:val="20"/>
              </w:rPr>
              <w:t>X. Social Participation</w:t>
            </w:r>
          </w:p>
        </w:tc>
        <w:tc>
          <w:tcPr>
            <w:tcW w:w="1705" w:type="dxa"/>
          </w:tcPr>
          <w:p w14:paraId="35063051" w14:textId="77777777" w:rsidR="00D47E8B" w:rsidRPr="005C7305" w:rsidRDefault="00D47E8B">
            <w:pPr>
              <w:spacing w:after="120" w:line="276" w:lineRule="auto"/>
              <w:jc w:val="center"/>
              <w:rPr>
                <w:rFonts w:ascii="Arial" w:hAnsi="Arial" w:cs="Arial"/>
                <w:sz w:val="20"/>
                <w:szCs w:val="20"/>
              </w:rPr>
            </w:pPr>
          </w:p>
        </w:tc>
        <w:tc>
          <w:tcPr>
            <w:tcW w:w="1164" w:type="dxa"/>
          </w:tcPr>
          <w:p w14:paraId="49786745" w14:textId="77777777" w:rsidR="00D47E8B" w:rsidRPr="005C7305" w:rsidRDefault="00D47E8B">
            <w:pPr>
              <w:spacing w:after="120" w:line="276" w:lineRule="auto"/>
              <w:jc w:val="center"/>
              <w:rPr>
                <w:rFonts w:ascii="Arial" w:hAnsi="Arial" w:cs="Arial"/>
                <w:sz w:val="20"/>
                <w:szCs w:val="20"/>
              </w:rPr>
            </w:pPr>
          </w:p>
        </w:tc>
      </w:tr>
      <w:tr w:rsidR="00D47E8B" w:rsidRPr="005C7305" w14:paraId="3A5A2471" w14:textId="77777777" w:rsidTr="005A061D">
        <w:trPr>
          <w:trHeight w:val="139"/>
        </w:trPr>
        <w:tc>
          <w:tcPr>
            <w:tcW w:w="3158" w:type="dxa"/>
            <w:hideMark/>
          </w:tcPr>
          <w:p w14:paraId="51C87403" w14:textId="2D638C51"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Member of one </w:t>
            </w:r>
            <w:r w:rsidR="008B5624" w:rsidRPr="005C7305">
              <w:rPr>
                <w:rFonts w:ascii="Arial" w:hAnsi="Arial" w:cs="Arial"/>
                <w:color w:val="000000"/>
                <w:sz w:val="20"/>
                <w:szCs w:val="20"/>
              </w:rPr>
              <w:t>organization</w:t>
            </w:r>
          </w:p>
        </w:tc>
        <w:tc>
          <w:tcPr>
            <w:tcW w:w="1705" w:type="dxa"/>
            <w:hideMark/>
          </w:tcPr>
          <w:p w14:paraId="12176DB6"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38</w:t>
            </w:r>
          </w:p>
        </w:tc>
        <w:tc>
          <w:tcPr>
            <w:tcW w:w="1164" w:type="dxa"/>
            <w:hideMark/>
          </w:tcPr>
          <w:p w14:paraId="27D891B2"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42.22</w:t>
            </w:r>
          </w:p>
        </w:tc>
      </w:tr>
      <w:tr w:rsidR="00D47E8B" w:rsidRPr="005C7305" w14:paraId="230828D9" w14:textId="77777777" w:rsidTr="005A061D">
        <w:trPr>
          <w:trHeight w:val="139"/>
        </w:trPr>
        <w:tc>
          <w:tcPr>
            <w:tcW w:w="3158" w:type="dxa"/>
            <w:hideMark/>
          </w:tcPr>
          <w:p w14:paraId="2F34E788"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Member of &gt;1 </w:t>
            </w:r>
            <w:proofErr w:type="spellStart"/>
            <w:r w:rsidRPr="005C7305">
              <w:rPr>
                <w:rFonts w:ascii="Arial" w:hAnsi="Arial" w:cs="Arial"/>
                <w:color w:val="000000"/>
                <w:sz w:val="20"/>
                <w:szCs w:val="20"/>
              </w:rPr>
              <w:t>organisation</w:t>
            </w:r>
            <w:proofErr w:type="spellEnd"/>
          </w:p>
        </w:tc>
        <w:tc>
          <w:tcPr>
            <w:tcW w:w="1705" w:type="dxa"/>
            <w:hideMark/>
          </w:tcPr>
          <w:p w14:paraId="1BA31623"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43</w:t>
            </w:r>
          </w:p>
        </w:tc>
        <w:tc>
          <w:tcPr>
            <w:tcW w:w="1164" w:type="dxa"/>
            <w:hideMark/>
          </w:tcPr>
          <w:p w14:paraId="5A950C5D"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47.78</w:t>
            </w:r>
          </w:p>
        </w:tc>
      </w:tr>
      <w:tr w:rsidR="00D47E8B" w:rsidRPr="005C7305" w14:paraId="22229331" w14:textId="77777777" w:rsidTr="005A061D">
        <w:trPr>
          <w:trHeight w:val="139"/>
        </w:trPr>
        <w:tc>
          <w:tcPr>
            <w:tcW w:w="3158" w:type="dxa"/>
            <w:hideMark/>
          </w:tcPr>
          <w:p w14:paraId="0B13D73D"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lastRenderedPageBreak/>
              <w:t xml:space="preserve">  Leadership role</w:t>
            </w:r>
          </w:p>
        </w:tc>
        <w:tc>
          <w:tcPr>
            <w:tcW w:w="1705" w:type="dxa"/>
            <w:hideMark/>
          </w:tcPr>
          <w:p w14:paraId="133500CD"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9</w:t>
            </w:r>
          </w:p>
        </w:tc>
        <w:tc>
          <w:tcPr>
            <w:tcW w:w="1164" w:type="dxa"/>
            <w:hideMark/>
          </w:tcPr>
          <w:p w14:paraId="736C7071"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10.00</w:t>
            </w:r>
          </w:p>
        </w:tc>
      </w:tr>
      <w:tr w:rsidR="00D47E8B" w:rsidRPr="005C7305" w14:paraId="68BCA7D6" w14:textId="77777777" w:rsidTr="005A061D">
        <w:trPr>
          <w:trHeight w:val="139"/>
        </w:trPr>
        <w:tc>
          <w:tcPr>
            <w:tcW w:w="3158" w:type="dxa"/>
            <w:hideMark/>
          </w:tcPr>
          <w:p w14:paraId="23758742" w14:textId="77777777" w:rsidR="00D47E8B" w:rsidRPr="005C7305" w:rsidRDefault="00D47E8B">
            <w:pPr>
              <w:spacing w:after="120" w:line="276" w:lineRule="auto"/>
              <w:rPr>
                <w:rFonts w:ascii="Arial" w:hAnsi="Arial" w:cs="Arial"/>
                <w:sz w:val="20"/>
                <w:szCs w:val="20"/>
              </w:rPr>
            </w:pPr>
            <w:r w:rsidRPr="005C7305">
              <w:rPr>
                <w:rFonts w:ascii="Arial" w:hAnsi="Arial" w:cs="Arial"/>
                <w:b/>
                <w:bCs/>
                <w:color w:val="000000"/>
                <w:sz w:val="20"/>
                <w:szCs w:val="20"/>
              </w:rPr>
              <w:t>XI. Credit Acquisition</w:t>
            </w:r>
          </w:p>
        </w:tc>
        <w:tc>
          <w:tcPr>
            <w:tcW w:w="1705" w:type="dxa"/>
          </w:tcPr>
          <w:p w14:paraId="6ED2BB40" w14:textId="77777777" w:rsidR="00D47E8B" w:rsidRPr="005C7305" w:rsidRDefault="00D47E8B">
            <w:pPr>
              <w:spacing w:after="120" w:line="276" w:lineRule="auto"/>
              <w:jc w:val="center"/>
              <w:rPr>
                <w:rFonts w:ascii="Arial" w:hAnsi="Arial" w:cs="Arial"/>
                <w:sz w:val="20"/>
                <w:szCs w:val="20"/>
              </w:rPr>
            </w:pPr>
          </w:p>
        </w:tc>
        <w:tc>
          <w:tcPr>
            <w:tcW w:w="1164" w:type="dxa"/>
          </w:tcPr>
          <w:p w14:paraId="25668302" w14:textId="77777777" w:rsidR="00D47E8B" w:rsidRPr="005C7305" w:rsidRDefault="00D47E8B">
            <w:pPr>
              <w:spacing w:after="120" w:line="276" w:lineRule="auto"/>
              <w:jc w:val="center"/>
              <w:rPr>
                <w:rFonts w:ascii="Arial" w:hAnsi="Arial" w:cs="Arial"/>
                <w:sz w:val="20"/>
                <w:szCs w:val="20"/>
              </w:rPr>
            </w:pPr>
          </w:p>
        </w:tc>
      </w:tr>
      <w:tr w:rsidR="00D47E8B" w:rsidRPr="005C7305" w14:paraId="231C7012" w14:textId="77777777" w:rsidTr="005A061D">
        <w:trPr>
          <w:trHeight w:val="139"/>
        </w:trPr>
        <w:tc>
          <w:tcPr>
            <w:tcW w:w="3158" w:type="dxa"/>
            <w:hideMark/>
          </w:tcPr>
          <w:p w14:paraId="287F9ADB"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Nil</w:t>
            </w:r>
          </w:p>
        </w:tc>
        <w:tc>
          <w:tcPr>
            <w:tcW w:w="1705" w:type="dxa"/>
            <w:hideMark/>
          </w:tcPr>
          <w:p w14:paraId="42647C6E"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10</w:t>
            </w:r>
          </w:p>
        </w:tc>
        <w:tc>
          <w:tcPr>
            <w:tcW w:w="1164" w:type="dxa"/>
            <w:hideMark/>
          </w:tcPr>
          <w:p w14:paraId="24065CA2"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11.11</w:t>
            </w:r>
          </w:p>
        </w:tc>
      </w:tr>
      <w:tr w:rsidR="00D47E8B" w:rsidRPr="005C7305" w14:paraId="69DD033E" w14:textId="77777777" w:rsidTr="005A061D">
        <w:trPr>
          <w:trHeight w:val="139"/>
        </w:trPr>
        <w:tc>
          <w:tcPr>
            <w:tcW w:w="3158" w:type="dxa"/>
            <w:hideMark/>
          </w:tcPr>
          <w:p w14:paraId="15042561"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Short-term (&lt;12 months)</w:t>
            </w:r>
          </w:p>
        </w:tc>
        <w:tc>
          <w:tcPr>
            <w:tcW w:w="1705" w:type="dxa"/>
            <w:hideMark/>
          </w:tcPr>
          <w:p w14:paraId="5B1AAE9D"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55</w:t>
            </w:r>
          </w:p>
        </w:tc>
        <w:tc>
          <w:tcPr>
            <w:tcW w:w="1164" w:type="dxa"/>
            <w:hideMark/>
          </w:tcPr>
          <w:p w14:paraId="29A9959A"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61.11</w:t>
            </w:r>
          </w:p>
        </w:tc>
      </w:tr>
      <w:tr w:rsidR="00D47E8B" w:rsidRPr="005C7305" w14:paraId="179EB0F9" w14:textId="77777777" w:rsidTr="005A061D">
        <w:trPr>
          <w:trHeight w:val="139"/>
        </w:trPr>
        <w:tc>
          <w:tcPr>
            <w:tcW w:w="3158" w:type="dxa"/>
            <w:hideMark/>
          </w:tcPr>
          <w:p w14:paraId="5ED25A9B"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Medium-term (12–36 months)</w:t>
            </w:r>
          </w:p>
        </w:tc>
        <w:tc>
          <w:tcPr>
            <w:tcW w:w="1705" w:type="dxa"/>
            <w:hideMark/>
          </w:tcPr>
          <w:p w14:paraId="46EADA87"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18</w:t>
            </w:r>
          </w:p>
        </w:tc>
        <w:tc>
          <w:tcPr>
            <w:tcW w:w="1164" w:type="dxa"/>
            <w:hideMark/>
          </w:tcPr>
          <w:p w14:paraId="3ACE4E4D"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20.00</w:t>
            </w:r>
          </w:p>
        </w:tc>
      </w:tr>
      <w:tr w:rsidR="00D47E8B" w:rsidRPr="005C7305" w14:paraId="59896C1E" w14:textId="77777777" w:rsidTr="005A061D">
        <w:trPr>
          <w:trHeight w:val="623"/>
        </w:trPr>
        <w:tc>
          <w:tcPr>
            <w:tcW w:w="3158" w:type="dxa"/>
            <w:hideMark/>
          </w:tcPr>
          <w:p w14:paraId="3DF8017F"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Long-term (&gt;36 months)</w:t>
            </w:r>
          </w:p>
        </w:tc>
        <w:tc>
          <w:tcPr>
            <w:tcW w:w="1705" w:type="dxa"/>
            <w:hideMark/>
          </w:tcPr>
          <w:p w14:paraId="6E5E3216"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7</w:t>
            </w:r>
          </w:p>
        </w:tc>
        <w:tc>
          <w:tcPr>
            <w:tcW w:w="1164" w:type="dxa"/>
            <w:hideMark/>
          </w:tcPr>
          <w:p w14:paraId="2EB464BD"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7.78</w:t>
            </w:r>
          </w:p>
        </w:tc>
      </w:tr>
      <w:tr w:rsidR="00D47E8B" w:rsidRPr="005C7305" w14:paraId="5164E2D5" w14:textId="77777777" w:rsidTr="005A061D">
        <w:trPr>
          <w:trHeight w:val="362"/>
        </w:trPr>
        <w:tc>
          <w:tcPr>
            <w:tcW w:w="3158" w:type="dxa"/>
            <w:hideMark/>
          </w:tcPr>
          <w:p w14:paraId="0805A35A" w14:textId="77777777" w:rsidR="00D47E8B" w:rsidRPr="005C7305" w:rsidRDefault="00D47E8B">
            <w:pPr>
              <w:spacing w:after="120" w:line="276" w:lineRule="auto"/>
              <w:rPr>
                <w:rFonts w:ascii="Arial" w:hAnsi="Arial" w:cs="Arial"/>
                <w:sz w:val="20"/>
                <w:szCs w:val="20"/>
              </w:rPr>
            </w:pPr>
            <w:r w:rsidRPr="005C7305">
              <w:rPr>
                <w:rFonts w:ascii="Arial" w:hAnsi="Arial" w:cs="Arial"/>
                <w:b/>
                <w:bCs/>
                <w:color w:val="000000"/>
                <w:sz w:val="20"/>
                <w:szCs w:val="20"/>
              </w:rPr>
              <w:t>XII. Source of Credit</w:t>
            </w:r>
          </w:p>
        </w:tc>
        <w:tc>
          <w:tcPr>
            <w:tcW w:w="1705" w:type="dxa"/>
          </w:tcPr>
          <w:p w14:paraId="5B586F1D" w14:textId="77777777" w:rsidR="00D47E8B" w:rsidRPr="005C7305" w:rsidRDefault="00D47E8B">
            <w:pPr>
              <w:spacing w:after="120" w:line="276" w:lineRule="auto"/>
              <w:jc w:val="center"/>
              <w:rPr>
                <w:rFonts w:ascii="Arial" w:hAnsi="Arial" w:cs="Arial"/>
                <w:sz w:val="20"/>
                <w:szCs w:val="20"/>
              </w:rPr>
            </w:pPr>
          </w:p>
        </w:tc>
        <w:tc>
          <w:tcPr>
            <w:tcW w:w="1164" w:type="dxa"/>
          </w:tcPr>
          <w:p w14:paraId="6AAB86F2" w14:textId="77777777" w:rsidR="00D47E8B" w:rsidRPr="005C7305" w:rsidRDefault="00D47E8B">
            <w:pPr>
              <w:spacing w:after="120" w:line="276" w:lineRule="auto"/>
              <w:jc w:val="center"/>
              <w:rPr>
                <w:rFonts w:ascii="Arial" w:hAnsi="Arial" w:cs="Arial"/>
                <w:sz w:val="20"/>
                <w:szCs w:val="20"/>
              </w:rPr>
            </w:pPr>
          </w:p>
        </w:tc>
      </w:tr>
      <w:tr w:rsidR="00D47E8B" w:rsidRPr="005C7305" w14:paraId="0BBC6BEB" w14:textId="77777777" w:rsidTr="005A061D">
        <w:trPr>
          <w:trHeight w:val="376"/>
        </w:trPr>
        <w:tc>
          <w:tcPr>
            <w:tcW w:w="3158" w:type="dxa"/>
            <w:hideMark/>
          </w:tcPr>
          <w:p w14:paraId="265ED4F4"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Nil</w:t>
            </w:r>
          </w:p>
        </w:tc>
        <w:tc>
          <w:tcPr>
            <w:tcW w:w="1705" w:type="dxa"/>
            <w:hideMark/>
          </w:tcPr>
          <w:p w14:paraId="1F1C6ABC"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10</w:t>
            </w:r>
          </w:p>
        </w:tc>
        <w:tc>
          <w:tcPr>
            <w:tcW w:w="1164" w:type="dxa"/>
            <w:hideMark/>
          </w:tcPr>
          <w:p w14:paraId="20377CD3"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11.11</w:t>
            </w:r>
          </w:p>
        </w:tc>
      </w:tr>
      <w:tr w:rsidR="00D47E8B" w:rsidRPr="005C7305" w14:paraId="2F373A89" w14:textId="77777777" w:rsidTr="005A061D">
        <w:trPr>
          <w:trHeight w:val="362"/>
        </w:trPr>
        <w:tc>
          <w:tcPr>
            <w:tcW w:w="3158" w:type="dxa"/>
            <w:hideMark/>
          </w:tcPr>
          <w:p w14:paraId="5684D1DD"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w:t>
            </w:r>
            <w:proofErr w:type="spellStart"/>
            <w:r w:rsidRPr="005C7305">
              <w:rPr>
                <w:rFonts w:ascii="Arial" w:hAnsi="Arial" w:cs="Arial"/>
                <w:color w:val="000000"/>
                <w:sz w:val="20"/>
                <w:szCs w:val="20"/>
              </w:rPr>
              <w:t>Nationalised</w:t>
            </w:r>
            <w:proofErr w:type="spellEnd"/>
            <w:r w:rsidRPr="005C7305">
              <w:rPr>
                <w:rFonts w:ascii="Arial" w:hAnsi="Arial" w:cs="Arial"/>
                <w:color w:val="000000"/>
                <w:sz w:val="20"/>
                <w:szCs w:val="20"/>
              </w:rPr>
              <w:t xml:space="preserve"> bank</w:t>
            </w:r>
          </w:p>
        </w:tc>
        <w:tc>
          <w:tcPr>
            <w:tcW w:w="1705" w:type="dxa"/>
            <w:hideMark/>
          </w:tcPr>
          <w:p w14:paraId="4073EDAB"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35</w:t>
            </w:r>
          </w:p>
        </w:tc>
        <w:tc>
          <w:tcPr>
            <w:tcW w:w="1164" w:type="dxa"/>
            <w:hideMark/>
          </w:tcPr>
          <w:p w14:paraId="3A717F8E"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38.89</w:t>
            </w:r>
          </w:p>
        </w:tc>
      </w:tr>
      <w:tr w:rsidR="00D47E8B" w:rsidRPr="005C7305" w14:paraId="7A2ED9D9" w14:textId="77777777" w:rsidTr="005A061D">
        <w:trPr>
          <w:trHeight w:val="362"/>
        </w:trPr>
        <w:tc>
          <w:tcPr>
            <w:tcW w:w="3158" w:type="dxa"/>
            <w:hideMark/>
          </w:tcPr>
          <w:p w14:paraId="74CD6C56"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Co-operative society</w:t>
            </w:r>
          </w:p>
        </w:tc>
        <w:tc>
          <w:tcPr>
            <w:tcW w:w="1705" w:type="dxa"/>
            <w:hideMark/>
          </w:tcPr>
          <w:p w14:paraId="07C225E4"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32</w:t>
            </w:r>
          </w:p>
        </w:tc>
        <w:tc>
          <w:tcPr>
            <w:tcW w:w="1164" w:type="dxa"/>
            <w:hideMark/>
          </w:tcPr>
          <w:p w14:paraId="3E345F0A"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35.56</w:t>
            </w:r>
          </w:p>
        </w:tc>
      </w:tr>
      <w:tr w:rsidR="00D47E8B" w:rsidRPr="005C7305" w14:paraId="6536D454" w14:textId="77777777" w:rsidTr="005A061D">
        <w:trPr>
          <w:trHeight w:val="362"/>
        </w:trPr>
        <w:tc>
          <w:tcPr>
            <w:tcW w:w="3158" w:type="dxa"/>
            <w:hideMark/>
          </w:tcPr>
          <w:p w14:paraId="72684427"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Friends/Relatives</w:t>
            </w:r>
          </w:p>
        </w:tc>
        <w:tc>
          <w:tcPr>
            <w:tcW w:w="1705" w:type="dxa"/>
            <w:hideMark/>
          </w:tcPr>
          <w:p w14:paraId="250B82C8"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7</w:t>
            </w:r>
          </w:p>
        </w:tc>
        <w:tc>
          <w:tcPr>
            <w:tcW w:w="1164" w:type="dxa"/>
            <w:hideMark/>
          </w:tcPr>
          <w:p w14:paraId="45A4FAD0"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7.78</w:t>
            </w:r>
          </w:p>
        </w:tc>
      </w:tr>
      <w:tr w:rsidR="00D47E8B" w:rsidRPr="005C7305" w14:paraId="0B621CAA" w14:textId="77777777" w:rsidTr="005A061D">
        <w:trPr>
          <w:trHeight w:val="376"/>
        </w:trPr>
        <w:tc>
          <w:tcPr>
            <w:tcW w:w="3158" w:type="dxa"/>
            <w:hideMark/>
          </w:tcPr>
          <w:p w14:paraId="037C8165" w14:textId="77777777" w:rsidR="00D47E8B" w:rsidRPr="005C7305" w:rsidRDefault="00D47E8B">
            <w:pPr>
              <w:spacing w:after="120" w:line="276" w:lineRule="auto"/>
              <w:rPr>
                <w:rFonts w:ascii="Arial" w:hAnsi="Arial" w:cs="Arial"/>
                <w:sz w:val="20"/>
                <w:szCs w:val="20"/>
              </w:rPr>
            </w:pPr>
            <w:r w:rsidRPr="005C7305">
              <w:rPr>
                <w:rFonts w:ascii="Arial" w:hAnsi="Arial" w:cs="Arial"/>
                <w:color w:val="000000"/>
                <w:sz w:val="20"/>
                <w:szCs w:val="20"/>
              </w:rPr>
              <w:t xml:space="preserve">  Money lenders</w:t>
            </w:r>
          </w:p>
        </w:tc>
        <w:tc>
          <w:tcPr>
            <w:tcW w:w="1705" w:type="dxa"/>
            <w:hideMark/>
          </w:tcPr>
          <w:p w14:paraId="5A7CC23A"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6</w:t>
            </w:r>
          </w:p>
        </w:tc>
        <w:tc>
          <w:tcPr>
            <w:tcW w:w="1164" w:type="dxa"/>
            <w:hideMark/>
          </w:tcPr>
          <w:p w14:paraId="7F34104B" w14:textId="77777777" w:rsidR="00D47E8B" w:rsidRPr="005C7305" w:rsidRDefault="00D47E8B">
            <w:pPr>
              <w:spacing w:after="120" w:line="276" w:lineRule="auto"/>
              <w:jc w:val="center"/>
              <w:rPr>
                <w:rFonts w:ascii="Arial" w:hAnsi="Arial" w:cs="Arial"/>
                <w:sz w:val="20"/>
                <w:szCs w:val="20"/>
              </w:rPr>
            </w:pPr>
            <w:r w:rsidRPr="005C7305">
              <w:rPr>
                <w:rFonts w:ascii="Arial" w:hAnsi="Arial" w:cs="Arial"/>
                <w:color w:val="000000"/>
                <w:sz w:val="20"/>
                <w:szCs w:val="20"/>
              </w:rPr>
              <w:t>6.67</w:t>
            </w:r>
          </w:p>
        </w:tc>
      </w:tr>
    </w:tbl>
    <w:p w14:paraId="4DF24C58" w14:textId="77777777" w:rsidR="00D47E8B" w:rsidRPr="005C7305" w:rsidRDefault="00D47E8B" w:rsidP="00D47E8B">
      <w:pPr>
        <w:pStyle w:val="Body"/>
        <w:spacing w:before="40" w:after="160"/>
        <w:rPr>
          <w:rFonts w:ascii="Arial" w:hAnsi="Arial" w:cs="Arial"/>
          <w:i/>
          <w:iCs/>
          <w:color w:val="000000"/>
          <w:sz w:val="18"/>
          <w:szCs w:val="18"/>
        </w:rPr>
      </w:pPr>
      <w:r w:rsidRPr="005C7305">
        <w:rPr>
          <w:rFonts w:ascii="Arial" w:hAnsi="Arial" w:cs="Arial"/>
          <w:i/>
          <w:iCs/>
          <w:color w:val="000000"/>
          <w:sz w:val="18"/>
          <w:szCs w:val="18"/>
        </w:rPr>
        <w:t>Source: Primary survey data (2023–24).</w:t>
      </w:r>
    </w:p>
    <w:p w14:paraId="6367BAB6" w14:textId="5C138B15" w:rsidR="00CD2183" w:rsidRPr="005C7305" w:rsidRDefault="00CD2183" w:rsidP="00CD2183">
      <w:pPr>
        <w:pStyle w:val="Body"/>
        <w:rPr>
          <w:rFonts w:ascii="Arial" w:hAnsi="Arial" w:cs="Arial"/>
        </w:rPr>
      </w:pPr>
      <w:r w:rsidRPr="005C7305">
        <w:rPr>
          <w:rFonts w:ascii="Arial" w:hAnsi="Arial" w:cs="Arial"/>
          <w:color w:val="000000"/>
        </w:rPr>
        <w:t xml:space="preserve">The community was markedly ageing: 71.11% of respondents were in the old age group (&gt;55 years) and only 4.44% were young (&lt;35 years), reflecting rural youth outmigration to urban </w:t>
      </w:r>
      <w:proofErr w:type="spellStart"/>
      <w:r w:rsidRPr="005C7305">
        <w:rPr>
          <w:rFonts w:ascii="Arial" w:hAnsi="Arial" w:cs="Arial"/>
          <w:color w:val="000000"/>
        </w:rPr>
        <w:t>centres</w:t>
      </w:r>
      <w:proofErr w:type="spellEnd"/>
      <w:r w:rsidRPr="005C7305">
        <w:rPr>
          <w:rFonts w:ascii="Arial" w:hAnsi="Arial" w:cs="Arial"/>
          <w:color w:val="000000"/>
        </w:rPr>
        <w:t xml:space="preserve"> and Gulf countries</w:t>
      </w:r>
      <w:r w:rsidR="00F3107C" w:rsidRPr="005C7305">
        <w:rPr>
          <w:rFonts w:ascii="Arial" w:hAnsi="Arial" w:cs="Arial"/>
          <w:color w:val="000000"/>
        </w:rPr>
        <w:t xml:space="preserve">. </w:t>
      </w:r>
      <w:r w:rsidR="00C1584C" w:rsidRPr="005C7305">
        <w:rPr>
          <w:rFonts w:ascii="Arial" w:hAnsi="Arial" w:cs="Arial"/>
        </w:rPr>
        <w:t xml:space="preserve">This reflects the broader trend of youth migration from agriculture in Kerala, as documented by Jacob et al. (2018), who noted that below sea-level farming conditions and diminishing returns from monoculture have consistently pushed younger generations away from the sector. </w:t>
      </w:r>
      <w:r w:rsidRPr="005C7305">
        <w:rPr>
          <w:rFonts w:ascii="Arial" w:hAnsi="Arial" w:cs="Arial"/>
          <w:color w:val="000000"/>
        </w:rPr>
        <w:t xml:space="preserve">Gender disparity was </w:t>
      </w:r>
      <w:r w:rsidR="006D7F87">
        <w:rPr>
          <w:rFonts w:ascii="Arial" w:hAnsi="Arial" w:cs="Arial"/>
          <w:color w:val="000000"/>
        </w:rPr>
        <w:t>evident</w:t>
      </w:r>
      <w:r w:rsidRPr="005C7305">
        <w:rPr>
          <w:rFonts w:ascii="Arial" w:hAnsi="Arial" w:cs="Arial"/>
          <w:color w:val="000000"/>
        </w:rPr>
        <w:t xml:space="preserve">, with 87.78% male respondents. No illiteracy was observed; 54.44% had higher secondary education, consistent with Kerala's literacy record. Nuclear families predominated (74.44%), reducing available farm </w:t>
      </w:r>
      <w:proofErr w:type="spellStart"/>
      <w:r w:rsidRPr="005C7305">
        <w:rPr>
          <w:rFonts w:ascii="Arial" w:hAnsi="Arial" w:cs="Arial"/>
          <w:color w:val="000000"/>
        </w:rPr>
        <w:t>labour</w:t>
      </w:r>
      <w:proofErr w:type="spellEnd"/>
      <w:r w:rsidRPr="005C7305">
        <w:rPr>
          <w:rFonts w:ascii="Arial" w:hAnsi="Arial" w:cs="Arial"/>
          <w:color w:val="000000"/>
        </w:rPr>
        <w:t>.</w:t>
      </w:r>
      <w:r w:rsidR="006D7F87">
        <w:rPr>
          <w:rFonts w:ascii="Arial" w:hAnsi="Arial" w:cs="Arial"/>
          <w:color w:val="000000"/>
        </w:rPr>
        <w:t xml:space="preserve"> </w:t>
      </w:r>
      <w:r w:rsidRPr="005C7305">
        <w:rPr>
          <w:rFonts w:ascii="Arial" w:hAnsi="Arial" w:cs="Arial"/>
          <w:color w:val="000000"/>
        </w:rPr>
        <w:t>Landholdings were small: 45.56% farmed less than one acre. Income</w:t>
      </w:r>
      <w:r w:rsidR="006D7F87">
        <w:rPr>
          <w:rFonts w:ascii="Arial" w:hAnsi="Arial" w:cs="Arial"/>
          <w:color w:val="000000"/>
        </w:rPr>
        <w:t xml:space="preserve"> from IFS </w:t>
      </w:r>
      <w:r w:rsidRPr="005C7305">
        <w:rPr>
          <w:rFonts w:ascii="Arial" w:hAnsi="Arial" w:cs="Arial"/>
          <w:color w:val="000000"/>
        </w:rPr>
        <w:t xml:space="preserve">were predominantly in the </w:t>
      </w:r>
      <w:r w:rsidR="006D7F87">
        <w:rPr>
          <w:rFonts w:ascii="Arial" w:hAnsi="Arial" w:cs="Arial"/>
          <w:color w:val="000000"/>
        </w:rPr>
        <w:t xml:space="preserve">range of </w:t>
      </w:r>
      <w:r w:rsidRPr="005C7305">
        <w:rPr>
          <w:rFonts w:ascii="Arial" w:hAnsi="Arial" w:cs="Arial"/>
          <w:color w:val="000000"/>
        </w:rPr>
        <w:t>₹1–2 lakh. Most respondents (62.22%) operated only 2</w:t>
      </w:r>
      <w:r w:rsidR="00A13921" w:rsidRPr="005C7305">
        <w:rPr>
          <w:rFonts w:ascii="Arial" w:hAnsi="Arial" w:cs="Arial"/>
          <w:color w:val="000000"/>
        </w:rPr>
        <w:t>-</w:t>
      </w:r>
      <w:r w:rsidRPr="005C7305">
        <w:rPr>
          <w:rFonts w:ascii="Arial" w:hAnsi="Arial" w:cs="Arial"/>
          <w:color w:val="000000"/>
        </w:rPr>
        <w:t xml:space="preserve">4 IFS enterprises, indicating limited enterprise diversification. Short-term credit dominated (61.11%), primarily from </w:t>
      </w:r>
      <w:proofErr w:type="spellStart"/>
      <w:r w:rsidRPr="005C7305">
        <w:rPr>
          <w:rFonts w:ascii="Arial" w:hAnsi="Arial" w:cs="Arial"/>
          <w:color w:val="000000"/>
        </w:rPr>
        <w:t>nationalised</w:t>
      </w:r>
      <w:proofErr w:type="spellEnd"/>
      <w:r w:rsidRPr="005C7305">
        <w:rPr>
          <w:rFonts w:ascii="Arial" w:hAnsi="Arial" w:cs="Arial"/>
          <w:color w:val="000000"/>
        </w:rPr>
        <w:t xml:space="preserve"> banks (38.89%) and co-operative societies (35.56%).</w:t>
      </w:r>
    </w:p>
    <w:p w14:paraId="1D72C3CB" w14:textId="77777777" w:rsidR="00CD2183" w:rsidRPr="005C7305" w:rsidRDefault="00CD2183" w:rsidP="00CD2183">
      <w:pPr>
        <w:pStyle w:val="Body"/>
        <w:rPr>
          <w:rFonts w:ascii="Arial" w:hAnsi="Arial" w:cs="Arial"/>
        </w:rPr>
      </w:pPr>
      <w:r w:rsidRPr="005C7305">
        <w:rPr>
          <w:rFonts w:ascii="Arial" w:hAnsi="Arial" w:cs="Arial"/>
          <w:color w:val="000000"/>
        </w:rPr>
        <w:t xml:space="preserve">Extension contact was highest with Krishi Bhavan (56.67% regular contact; Table 2), while Agricultural Service </w:t>
      </w:r>
      <w:proofErr w:type="spellStart"/>
      <w:r w:rsidRPr="005C7305">
        <w:rPr>
          <w:rFonts w:ascii="Arial" w:hAnsi="Arial" w:cs="Arial"/>
          <w:color w:val="000000"/>
        </w:rPr>
        <w:t>Centres</w:t>
      </w:r>
      <w:proofErr w:type="spellEnd"/>
      <w:r w:rsidRPr="005C7305">
        <w:rPr>
          <w:rFonts w:ascii="Arial" w:hAnsi="Arial" w:cs="Arial"/>
          <w:color w:val="000000"/>
        </w:rPr>
        <w:t xml:space="preserve"> had the highest 'never' contact rate (23.33%), indicating a significant institutional extension gap.</w:t>
      </w:r>
    </w:p>
    <w:p w14:paraId="56CDF6E5" w14:textId="77777777" w:rsidR="005A061D" w:rsidRPr="005C7305" w:rsidRDefault="005A061D" w:rsidP="005A061D">
      <w:pPr>
        <w:pStyle w:val="Body"/>
        <w:spacing w:before="200" w:after="80"/>
        <w:rPr>
          <w:rFonts w:ascii="Arial" w:hAnsi="Arial" w:cs="Arial"/>
        </w:rPr>
      </w:pPr>
      <w:r w:rsidRPr="005C7305">
        <w:rPr>
          <w:rFonts w:ascii="Arial" w:hAnsi="Arial" w:cs="Arial"/>
          <w:b/>
          <w:bCs/>
          <w:color w:val="000000"/>
        </w:rPr>
        <w:t>Table 3. Frequency of extension contact among IFS farmers (N = 90)</w:t>
      </w:r>
    </w:p>
    <w:p w14:paraId="36859937" w14:textId="77777777" w:rsidR="00CD2183" w:rsidRPr="005C7305" w:rsidRDefault="00CD2183" w:rsidP="00D47E8B">
      <w:pPr>
        <w:pStyle w:val="Body"/>
        <w:spacing w:before="40" w:after="160"/>
        <w:rPr>
          <w:rFonts w:ascii="Arial" w:hAnsi="Arial" w:cs="Arial"/>
          <w:i/>
          <w:iCs/>
          <w:color w:val="000000"/>
          <w:sz w:val="18"/>
          <w:szCs w:val="18"/>
        </w:rPr>
      </w:pPr>
    </w:p>
    <w:tbl>
      <w:tblPr>
        <w:tblStyle w:val="TableGrid"/>
        <w:tblW w:w="8208" w:type="dxa"/>
        <w:tblLook w:val="04A0" w:firstRow="1" w:lastRow="0" w:firstColumn="1" w:lastColumn="0" w:noHBand="0" w:noVBand="1"/>
      </w:tblPr>
      <w:tblGrid>
        <w:gridCol w:w="3667"/>
        <w:gridCol w:w="1511"/>
        <w:gridCol w:w="1519"/>
        <w:gridCol w:w="1511"/>
      </w:tblGrid>
      <w:tr w:rsidR="005A061D" w:rsidRPr="005C7305" w14:paraId="29562534" w14:textId="77777777" w:rsidTr="005A061D">
        <w:tc>
          <w:tcPr>
            <w:tcW w:w="3667" w:type="dxa"/>
            <w:hideMark/>
          </w:tcPr>
          <w:p w14:paraId="3E53ADA5" w14:textId="77777777" w:rsidR="005A061D" w:rsidRPr="005C7305" w:rsidRDefault="005A061D">
            <w:pPr>
              <w:spacing w:after="120" w:line="276" w:lineRule="auto"/>
              <w:jc w:val="center"/>
              <w:rPr>
                <w:rFonts w:ascii="Arial" w:hAnsi="Arial" w:cs="Arial"/>
                <w:color w:val="000000" w:themeColor="text1"/>
                <w:sz w:val="20"/>
                <w:szCs w:val="20"/>
              </w:rPr>
            </w:pPr>
            <w:r w:rsidRPr="005C7305">
              <w:rPr>
                <w:rFonts w:ascii="Arial" w:hAnsi="Arial" w:cs="Arial"/>
                <w:b/>
                <w:bCs/>
                <w:color w:val="000000" w:themeColor="text1"/>
                <w:sz w:val="20"/>
                <w:szCs w:val="20"/>
              </w:rPr>
              <w:t>Extension Source</w:t>
            </w:r>
          </w:p>
        </w:tc>
        <w:tc>
          <w:tcPr>
            <w:tcW w:w="1511" w:type="dxa"/>
            <w:hideMark/>
          </w:tcPr>
          <w:p w14:paraId="2B39648A" w14:textId="77777777" w:rsidR="005A061D" w:rsidRPr="005C7305" w:rsidRDefault="005A061D">
            <w:pPr>
              <w:spacing w:after="120" w:line="276" w:lineRule="auto"/>
              <w:jc w:val="center"/>
              <w:rPr>
                <w:rFonts w:ascii="Arial" w:hAnsi="Arial" w:cs="Arial"/>
                <w:color w:val="000000" w:themeColor="text1"/>
                <w:sz w:val="20"/>
                <w:szCs w:val="20"/>
              </w:rPr>
            </w:pPr>
            <w:r w:rsidRPr="005C7305">
              <w:rPr>
                <w:rFonts w:ascii="Arial" w:hAnsi="Arial" w:cs="Arial"/>
                <w:b/>
                <w:bCs/>
                <w:color w:val="000000" w:themeColor="text1"/>
                <w:sz w:val="20"/>
                <w:szCs w:val="20"/>
              </w:rPr>
              <w:t>Regular (%)</w:t>
            </w:r>
          </w:p>
        </w:tc>
        <w:tc>
          <w:tcPr>
            <w:tcW w:w="1519" w:type="dxa"/>
            <w:hideMark/>
          </w:tcPr>
          <w:p w14:paraId="53D2D48E" w14:textId="77777777" w:rsidR="005A061D" w:rsidRPr="005C7305" w:rsidRDefault="005A061D">
            <w:pPr>
              <w:spacing w:after="120" w:line="276" w:lineRule="auto"/>
              <w:jc w:val="center"/>
              <w:rPr>
                <w:rFonts w:ascii="Arial" w:hAnsi="Arial" w:cs="Arial"/>
                <w:color w:val="000000" w:themeColor="text1"/>
                <w:sz w:val="20"/>
                <w:szCs w:val="20"/>
              </w:rPr>
            </w:pPr>
            <w:r w:rsidRPr="005C7305">
              <w:rPr>
                <w:rFonts w:ascii="Arial" w:hAnsi="Arial" w:cs="Arial"/>
                <w:b/>
                <w:bCs/>
                <w:color w:val="000000" w:themeColor="text1"/>
                <w:sz w:val="20"/>
                <w:szCs w:val="20"/>
              </w:rPr>
              <w:t>Occasional (%)</w:t>
            </w:r>
          </w:p>
        </w:tc>
        <w:tc>
          <w:tcPr>
            <w:tcW w:w="1511" w:type="dxa"/>
            <w:hideMark/>
          </w:tcPr>
          <w:p w14:paraId="5A311DEE" w14:textId="77777777" w:rsidR="005A061D" w:rsidRPr="005C7305" w:rsidRDefault="005A061D">
            <w:pPr>
              <w:spacing w:after="120" w:line="276" w:lineRule="auto"/>
              <w:jc w:val="center"/>
              <w:rPr>
                <w:rFonts w:ascii="Arial" w:hAnsi="Arial" w:cs="Arial"/>
                <w:color w:val="000000" w:themeColor="text1"/>
                <w:sz w:val="20"/>
                <w:szCs w:val="20"/>
              </w:rPr>
            </w:pPr>
            <w:r w:rsidRPr="005C7305">
              <w:rPr>
                <w:rFonts w:ascii="Arial" w:hAnsi="Arial" w:cs="Arial"/>
                <w:b/>
                <w:bCs/>
                <w:color w:val="000000" w:themeColor="text1"/>
                <w:sz w:val="20"/>
                <w:szCs w:val="20"/>
              </w:rPr>
              <w:t>Never (%)</w:t>
            </w:r>
          </w:p>
        </w:tc>
      </w:tr>
      <w:tr w:rsidR="005A061D" w:rsidRPr="005C7305" w14:paraId="228E3072" w14:textId="77777777" w:rsidTr="005A061D">
        <w:tc>
          <w:tcPr>
            <w:tcW w:w="3667" w:type="dxa"/>
            <w:hideMark/>
          </w:tcPr>
          <w:p w14:paraId="68DE0B63" w14:textId="77777777" w:rsidR="005A061D" w:rsidRPr="005C7305" w:rsidRDefault="005A061D">
            <w:pPr>
              <w:spacing w:after="120" w:line="276" w:lineRule="auto"/>
              <w:rPr>
                <w:rFonts w:ascii="Arial" w:hAnsi="Arial" w:cs="Arial"/>
                <w:sz w:val="20"/>
                <w:szCs w:val="20"/>
              </w:rPr>
            </w:pPr>
            <w:r w:rsidRPr="005C7305">
              <w:rPr>
                <w:rFonts w:ascii="Arial" w:hAnsi="Arial" w:cs="Arial"/>
                <w:color w:val="000000"/>
                <w:sz w:val="20"/>
                <w:szCs w:val="20"/>
              </w:rPr>
              <w:t>Krishi Bhavan (KB)</w:t>
            </w:r>
          </w:p>
        </w:tc>
        <w:tc>
          <w:tcPr>
            <w:tcW w:w="1511" w:type="dxa"/>
            <w:hideMark/>
          </w:tcPr>
          <w:p w14:paraId="2967CA74" w14:textId="77777777" w:rsidR="005A061D" w:rsidRPr="005C7305" w:rsidRDefault="005A061D">
            <w:pPr>
              <w:spacing w:after="120" w:line="276" w:lineRule="auto"/>
              <w:jc w:val="center"/>
              <w:rPr>
                <w:rFonts w:ascii="Arial" w:hAnsi="Arial" w:cs="Arial"/>
                <w:sz w:val="20"/>
                <w:szCs w:val="20"/>
              </w:rPr>
            </w:pPr>
            <w:r w:rsidRPr="005C7305">
              <w:rPr>
                <w:rFonts w:ascii="Arial" w:hAnsi="Arial" w:cs="Arial"/>
                <w:color w:val="000000"/>
                <w:sz w:val="20"/>
                <w:szCs w:val="20"/>
              </w:rPr>
              <w:t>56.67</w:t>
            </w:r>
          </w:p>
        </w:tc>
        <w:tc>
          <w:tcPr>
            <w:tcW w:w="1519" w:type="dxa"/>
            <w:hideMark/>
          </w:tcPr>
          <w:p w14:paraId="0DCE96CA" w14:textId="77777777" w:rsidR="005A061D" w:rsidRPr="005C7305" w:rsidRDefault="005A061D">
            <w:pPr>
              <w:spacing w:after="120" w:line="276" w:lineRule="auto"/>
              <w:jc w:val="center"/>
              <w:rPr>
                <w:rFonts w:ascii="Arial" w:hAnsi="Arial" w:cs="Arial"/>
                <w:sz w:val="20"/>
                <w:szCs w:val="20"/>
              </w:rPr>
            </w:pPr>
            <w:r w:rsidRPr="005C7305">
              <w:rPr>
                <w:rFonts w:ascii="Arial" w:hAnsi="Arial" w:cs="Arial"/>
                <w:color w:val="000000"/>
                <w:sz w:val="20"/>
                <w:szCs w:val="20"/>
              </w:rPr>
              <w:t>37.78</w:t>
            </w:r>
          </w:p>
        </w:tc>
        <w:tc>
          <w:tcPr>
            <w:tcW w:w="1511" w:type="dxa"/>
            <w:hideMark/>
          </w:tcPr>
          <w:p w14:paraId="497B8445" w14:textId="77777777" w:rsidR="005A061D" w:rsidRPr="005C7305" w:rsidRDefault="005A061D">
            <w:pPr>
              <w:spacing w:after="120" w:line="276" w:lineRule="auto"/>
              <w:jc w:val="center"/>
              <w:rPr>
                <w:rFonts w:ascii="Arial" w:hAnsi="Arial" w:cs="Arial"/>
                <w:sz w:val="20"/>
                <w:szCs w:val="20"/>
              </w:rPr>
            </w:pPr>
            <w:r w:rsidRPr="005C7305">
              <w:rPr>
                <w:rFonts w:ascii="Arial" w:hAnsi="Arial" w:cs="Arial"/>
                <w:color w:val="000000"/>
                <w:sz w:val="20"/>
                <w:szCs w:val="20"/>
              </w:rPr>
              <w:t>5.56</w:t>
            </w:r>
          </w:p>
        </w:tc>
      </w:tr>
      <w:tr w:rsidR="005A061D" w:rsidRPr="005C7305" w14:paraId="4942BF61" w14:textId="77777777" w:rsidTr="005A061D">
        <w:tc>
          <w:tcPr>
            <w:tcW w:w="3667" w:type="dxa"/>
            <w:hideMark/>
          </w:tcPr>
          <w:p w14:paraId="43E55609" w14:textId="77777777" w:rsidR="005A061D" w:rsidRPr="005C7305" w:rsidRDefault="005A061D">
            <w:pPr>
              <w:spacing w:after="120" w:line="276" w:lineRule="auto"/>
              <w:rPr>
                <w:rFonts w:ascii="Arial" w:hAnsi="Arial" w:cs="Arial"/>
                <w:sz w:val="20"/>
                <w:szCs w:val="20"/>
              </w:rPr>
            </w:pPr>
            <w:r w:rsidRPr="005C7305">
              <w:rPr>
                <w:rFonts w:ascii="Arial" w:hAnsi="Arial" w:cs="Arial"/>
                <w:color w:val="000000"/>
                <w:sz w:val="20"/>
                <w:szCs w:val="20"/>
              </w:rPr>
              <w:t>RARS / KVK</w:t>
            </w:r>
          </w:p>
        </w:tc>
        <w:tc>
          <w:tcPr>
            <w:tcW w:w="1511" w:type="dxa"/>
            <w:hideMark/>
          </w:tcPr>
          <w:p w14:paraId="50228231" w14:textId="77777777" w:rsidR="005A061D" w:rsidRPr="005C7305" w:rsidRDefault="005A061D">
            <w:pPr>
              <w:spacing w:after="120" w:line="276" w:lineRule="auto"/>
              <w:jc w:val="center"/>
              <w:rPr>
                <w:rFonts w:ascii="Arial" w:hAnsi="Arial" w:cs="Arial"/>
                <w:sz w:val="20"/>
                <w:szCs w:val="20"/>
              </w:rPr>
            </w:pPr>
            <w:r w:rsidRPr="005C7305">
              <w:rPr>
                <w:rFonts w:ascii="Arial" w:hAnsi="Arial" w:cs="Arial"/>
                <w:color w:val="000000"/>
                <w:sz w:val="20"/>
                <w:szCs w:val="20"/>
              </w:rPr>
              <w:t>35.56</w:t>
            </w:r>
          </w:p>
        </w:tc>
        <w:tc>
          <w:tcPr>
            <w:tcW w:w="1519" w:type="dxa"/>
            <w:hideMark/>
          </w:tcPr>
          <w:p w14:paraId="56E9735B" w14:textId="77777777" w:rsidR="005A061D" w:rsidRPr="005C7305" w:rsidRDefault="005A061D">
            <w:pPr>
              <w:spacing w:after="120" w:line="276" w:lineRule="auto"/>
              <w:jc w:val="center"/>
              <w:rPr>
                <w:rFonts w:ascii="Arial" w:hAnsi="Arial" w:cs="Arial"/>
                <w:sz w:val="20"/>
                <w:szCs w:val="20"/>
              </w:rPr>
            </w:pPr>
            <w:r w:rsidRPr="005C7305">
              <w:rPr>
                <w:rFonts w:ascii="Arial" w:hAnsi="Arial" w:cs="Arial"/>
                <w:color w:val="000000"/>
                <w:sz w:val="20"/>
                <w:szCs w:val="20"/>
              </w:rPr>
              <w:t>51.11</w:t>
            </w:r>
          </w:p>
        </w:tc>
        <w:tc>
          <w:tcPr>
            <w:tcW w:w="1511" w:type="dxa"/>
            <w:hideMark/>
          </w:tcPr>
          <w:p w14:paraId="54FB56EE" w14:textId="77777777" w:rsidR="005A061D" w:rsidRPr="005C7305" w:rsidRDefault="005A061D">
            <w:pPr>
              <w:spacing w:after="120" w:line="276" w:lineRule="auto"/>
              <w:jc w:val="center"/>
              <w:rPr>
                <w:rFonts w:ascii="Arial" w:hAnsi="Arial" w:cs="Arial"/>
                <w:sz w:val="20"/>
                <w:szCs w:val="20"/>
              </w:rPr>
            </w:pPr>
            <w:r w:rsidRPr="005C7305">
              <w:rPr>
                <w:rFonts w:ascii="Arial" w:hAnsi="Arial" w:cs="Arial"/>
                <w:color w:val="000000"/>
                <w:sz w:val="20"/>
                <w:szCs w:val="20"/>
              </w:rPr>
              <w:t>13.33</w:t>
            </w:r>
          </w:p>
        </w:tc>
      </w:tr>
      <w:tr w:rsidR="005A061D" w:rsidRPr="005C7305" w14:paraId="4C9C30F0" w14:textId="77777777" w:rsidTr="005A061D">
        <w:tc>
          <w:tcPr>
            <w:tcW w:w="3667" w:type="dxa"/>
            <w:hideMark/>
          </w:tcPr>
          <w:p w14:paraId="20B4BAB1" w14:textId="77777777" w:rsidR="005A061D" w:rsidRPr="005C7305" w:rsidRDefault="005A061D">
            <w:pPr>
              <w:spacing w:after="120" w:line="276" w:lineRule="auto"/>
              <w:rPr>
                <w:rFonts w:ascii="Arial" w:hAnsi="Arial" w:cs="Arial"/>
                <w:sz w:val="20"/>
                <w:szCs w:val="20"/>
              </w:rPr>
            </w:pPr>
            <w:proofErr w:type="spellStart"/>
            <w:r w:rsidRPr="005C7305">
              <w:rPr>
                <w:rFonts w:ascii="Arial" w:hAnsi="Arial" w:cs="Arial"/>
                <w:color w:val="000000"/>
                <w:sz w:val="20"/>
                <w:szCs w:val="20"/>
              </w:rPr>
              <w:t>Agrl</w:t>
            </w:r>
            <w:proofErr w:type="spellEnd"/>
            <w:r w:rsidRPr="005C7305">
              <w:rPr>
                <w:rFonts w:ascii="Arial" w:hAnsi="Arial" w:cs="Arial"/>
                <w:color w:val="000000"/>
                <w:sz w:val="20"/>
                <w:szCs w:val="20"/>
              </w:rPr>
              <w:t>. Service Centre (ASC)</w:t>
            </w:r>
          </w:p>
        </w:tc>
        <w:tc>
          <w:tcPr>
            <w:tcW w:w="1511" w:type="dxa"/>
            <w:hideMark/>
          </w:tcPr>
          <w:p w14:paraId="506AD298" w14:textId="77777777" w:rsidR="005A061D" w:rsidRPr="005C7305" w:rsidRDefault="005A061D">
            <w:pPr>
              <w:spacing w:after="120" w:line="276" w:lineRule="auto"/>
              <w:jc w:val="center"/>
              <w:rPr>
                <w:rFonts w:ascii="Arial" w:hAnsi="Arial" w:cs="Arial"/>
                <w:sz w:val="20"/>
                <w:szCs w:val="20"/>
              </w:rPr>
            </w:pPr>
            <w:r w:rsidRPr="005C7305">
              <w:rPr>
                <w:rFonts w:ascii="Arial" w:hAnsi="Arial" w:cs="Arial"/>
                <w:color w:val="000000"/>
                <w:sz w:val="20"/>
                <w:szCs w:val="20"/>
              </w:rPr>
              <w:t>18.89</w:t>
            </w:r>
          </w:p>
        </w:tc>
        <w:tc>
          <w:tcPr>
            <w:tcW w:w="1519" w:type="dxa"/>
            <w:hideMark/>
          </w:tcPr>
          <w:p w14:paraId="2D1DF733" w14:textId="77777777" w:rsidR="005A061D" w:rsidRPr="005C7305" w:rsidRDefault="005A061D">
            <w:pPr>
              <w:spacing w:after="120" w:line="276" w:lineRule="auto"/>
              <w:jc w:val="center"/>
              <w:rPr>
                <w:rFonts w:ascii="Arial" w:hAnsi="Arial" w:cs="Arial"/>
                <w:sz w:val="20"/>
                <w:szCs w:val="20"/>
              </w:rPr>
            </w:pPr>
            <w:r w:rsidRPr="005C7305">
              <w:rPr>
                <w:rFonts w:ascii="Arial" w:hAnsi="Arial" w:cs="Arial"/>
                <w:color w:val="000000"/>
                <w:sz w:val="20"/>
                <w:szCs w:val="20"/>
              </w:rPr>
              <w:t>57.78</w:t>
            </w:r>
          </w:p>
        </w:tc>
        <w:tc>
          <w:tcPr>
            <w:tcW w:w="1511" w:type="dxa"/>
            <w:hideMark/>
          </w:tcPr>
          <w:p w14:paraId="71A11B2B" w14:textId="77777777" w:rsidR="005A061D" w:rsidRPr="005C7305" w:rsidRDefault="005A061D">
            <w:pPr>
              <w:spacing w:after="120" w:line="276" w:lineRule="auto"/>
              <w:jc w:val="center"/>
              <w:rPr>
                <w:rFonts w:ascii="Arial" w:hAnsi="Arial" w:cs="Arial"/>
                <w:sz w:val="20"/>
                <w:szCs w:val="20"/>
              </w:rPr>
            </w:pPr>
            <w:r w:rsidRPr="005C7305">
              <w:rPr>
                <w:rFonts w:ascii="Arial" w:hAnsi="Arial" w:cs="Arial"/>
                <w:color w:val="000000"/>
                <w:sz w:val="20"/>
                <w:szCs w:val="20"/>
              </w:rPr>
              <w:t>23.33</w:t>
            </w:r>
          </w:p>
        </w:tc>
      </w:tr>
      <w:tr w:rsidR="005A061D" w:rsidRPr="005C7305" w14:paraId="3DFA72A0" w14:textId="77777777" w:rsidTr="005A061D">
        <w:tc>
          <w:tcPr>
            <w:tcW w:w="3667" w:type="dxa"/>
            <w:hideMark/>
          </w:tcPr>
          <w:p w14:paraId="1F0E4BD2" w14:textId="77777777" w:rsidR="005A061D" w:rsidRPr="005C7305" w:rsidRDefault="005A061D">
            <w:pPr>
              <w:spacing w:after="120" w:line="276" w:lineRule="auto"/>
              <w:rPr>
                <w:rFonts w:ascii="Arial" w:hAnsi="Arial" w:cs="Arial"/>
                <w:sz w:val="20"/>
                <w:szCs w:val="20"/>
              </w:rPr>
            </w:pPr>
            <w:r w:rsidRPr="005C7305">
              <w:rPr>
                <w:rFonts w:ascii="Arial" w:hAnsi="Arial" w:cs="Arial"/>
                <w:color w:val="000000"/>
                <w:sz w:val="20"/>
                <w:szCs w:val="20"/>
              </w:rPr>
              <w:t>Progressive Farmer</w:t>
            </w:r>
          </w:p>
        </w:tc>
        <w:tc>
          <w:tcPr>
            <w:tcW w:w="1511" w:type="dxa"/>
            <w:hideMark/>
          </w:tcPr>
          <w:p w14:paraId="027F6899" w14:textId="77777777" w:rsidR="005A061D" w:rsidRPr="005C7305" w:rsidRDefault="005A061D">
            <w:pPr>
              <w:spacing w:after="120" w:line="276" w:lineRule="auto"/>
              <w:jc w:val="center"/>
              <w:rPr>
                <w:rFonts w:ascii="Arial" w:hAnsi="Arial" w:cs="Arial"/>
                <w:sz w:val="20"/>
                <w:szCs w:val="20"/>
              </w:rPr>
            </w:pPr>
            <w:r w:rsidRPr="005C7305">
              <w:rPr>
                <w:rFonts w:ascii="Arial" w:hAnsi="Arial" w:cs="Arial"/>
                <w:color w:val="000000"/>
                <w:sz w:val="20"/>
                <w:szCs w:val="20"/>
              </w:rPr>
              <w:t>43.33</w:t>
            </w:r>
          </w:p>
        </w:tc>
        <w:tc>
          <w:tcPr>
            <w:tcW w:w="1519" w:type="dxa"/>
            <w:hideMark/>
          </w:tcPr>
          <w:p w14:paraId="6CDC569F" w14:textId="77777777" w:rsidR="005A061D" w:rsidRPr="005C7305" w:rsidRDefault="005A061D">
            <w:pPr>
              <w:spacing w:after="120" w:line="276" w:lineRule="auto"/>
              <w:jc w:val="center"/>
              <w:rPr>
                <w:rFonts w:ascii="Arial" w:hAnsi="Arial" w:cs="Arial"/>
                <w:sz w:val="20"/>
                <w:szCs w:val="20"/>
              </w:rPr>
            </w:pPr>
            <w:r w:rsidRPr="005C7305">
              <w:rPr>
                <w:rFonts w:ascii="Arial" w:hAnsi="Arial" w:cs="Arial"/>
                <w:color w:val="000000"/>
                <w:sz w:val="20"/>
                <w:szCs w:val="20"/>
              </w:rPr>
              <w:t>50.00</w:t>
            </w:r>
          </w:p>
        </w:tc>
        <w:tc>
          <w:tcPr>
            <w:tcW w:w="1511" w:type="dxa"/>
            <w:hideMark/>
          </w:tcPr>
          <w:p w14:paraId="5BF415F0" w14:textId="77777777" w:rsidR="005A061D" w:rsidRPr="005C7305" w:rsidRDefault="005A061D">
            <w:pPr>
              <w:spacing w:after="120" w:line="276" w:lineRule="auto"/>
              <w:jc w:val="center"/>
              <w:rPr>
                <w:rFonts w:ascii="Arial" w:hAnsi="Arial" w:cs="Arial"/>
                <w:sz w:val="20"/>
                <w:szCs w:val="20"/>
              </w:rPr>
            </w:pPr>
            <w:r w:rsidRPr="005C7305">
              <w:rPr>
                <w:rFonts w:ascii="Arial" w:hAnsi="Arial" w:cs="Arial"/>
                <w:color w:val="000000"/>
                <w:sz w:val="20"/>
                <w:szCs w:val="20"/>
              </w:rPr>
              <w:t>6.67</w:t>
            </w:r>
          </w:p>
        </w:tc>
      </w:tr>
    </w:tbl>
    <w:p w14:paraId="4C0C472E" w14:textId="313686C2" w:rsidR="005A061D" w:rsidRPr="005C7305" w:rsidRDefault="005A061D" w:rsidP="005A061D">
      <w:pPr>
        <w:pStyle w:val="Body"/>
        <w:spacing w:before="40" w:after="160"/>
        <w:rPr>
          <w:rFonts w:ascii="Arial" w:hAnsi="Arial" w:cs="Arial"/>
        </w:rPr>
      </w:pPr>
      <w:r w:rsidRPr="005C7305">
        <w:rPr>
          <w:rFonts w:ascii="Arial" w:hAnsi="Arial" w:cs="Arial"/>
          <w:i/>
          <w:iCs/>
          <w:color w:val="000000"/>
          <w:sz w:val="18"/>
          <w:szCs w:val="18"/>
        </w:rPr>
        <w:lastRenderedPageBreak/>
        <w:t>Source: Primary survey data (</w:t>
      </w:r>
      <w:r w:rsidR="0084016E" w:rsidRPr="005C7305">
        <w:rPr>
          <w:rFonts w:ascii="Arial" w:hAnsi="Arial" w:cs="Arial"/>
          <w:i/>
          <w:iCs/>
          <w:color w:val="000000"/>
          <w:sz w:val="18"/>
          <w:szCs w:val="18"/>
        </w:rPr>
        <w:t>2023-24</w:t>
      </w:r>
      <w:r w:rsidRPr="005C7305">
        <w:rPr>
          <w:rFonts w:ascii="Arial" w:hAnsi="Arial" w:cs="Arial"/>
          <w:i/>
          <w:iCs/>
          <w:color w:val="000000"/>
          <w:sz w:val="18"/>
          <w:szCs w:val="18"/>
        </w:rPr>
        <w:t>).</w:t>
      </w:r>
    </w:p>
    <w:p w14:paraId="0E138E80" w14:textId="77777777" w:rsidR="00D620E3" w:rsidRPr="005C7305" w:rsidRDefault="00D620E3" w:rsidP="00D620E3">
      <w:pPr>
        <w:pStyle w:val="Body"/>
        <w:spacing w:before="180" w:after="80"/>
        <w:rPr>
          <w:rFonts w:ascii="Arial" w:hAnsi="Arial" w:cs="Arial"/>
        </w:rPr>
      </w:pPr>
      <w:r w:rsidRPr="005C7305">
        <w:rPr>
          <w:rFonts w:ascii="Arial" w:hAnsi="Arial" w:cs="Arial"/>
          <w:b/>
          <w:bCs/>
          <w:color w:val="000000"/>
        </w:rPr>
        <w:t>3.2 Sustainable Livelihood Security Index (SLSI)</w:t>
      </w:r>
    </w:p>
    <w:p w14:paraId="1F4E6F5C" w14:textId="77777777" w:rsidR="00D620E3" w:rsidRPr="005C7305" w:rsidRDefault="00D620E3" w:rsidP="00D620E3">
      <w:pPr>
        <w:pStyle w:val="Body"/>
        <w:rPr>
          <w:rFonts w:ascii="Arial" w:hAnsi="Arial" w:cs="Arial"/>
        </w:rPr>
      </w:pPr>
      <w:r w:rsidRPr="005C7305">
        <w:rPr>
          <w:rFonts w:ascii="Arial" w:hAnsi="Arial" w:cs="Arial"/>
          <w:color w:val="000000"/>
        </w:rPr>
        <w:t>SLSI sub-index scores and the overall index are presented in Table 4 and Figs. 2-3.</w:t>
      </w:r>
    </w:p>
    <w:p w14:paraId="1F12F25E" w14:textId="2F356ECD" w:rsidR="00D47E8B" w:rsidRPr="005C7305" w:rsidRDefault="00D620E3" w:rsidP="00D620E3">
      <w:pPr>
        <w:spacing w:before="200" w:after="80" w:line="276" w:lineRule="auto"/>
        <w:jc w:val="both"/>
        <w:rPr>
          <w:rFonts w:ascii="Arial" w:eastAsia="Arial" w:hAnsi="Arial" w:cs="Arial"/>
          <w:b/>
          <w:bCs/>
          <w:color w:val="000000"/>
          <w:lang w:val="en-IN" w:eastAsia="en-IN" w:bidi="ml-IN"/>
        </w:rPr>
      </w:pPr>
      <w:r w:rsidRPr="005C7305">
        <w:rPr>
          <w:rFonts w:ascii="Arial" w:eastAsia="Arial" w:hAnsi="Arial" w:cs="Arial"/>
          <w:b/>
          <w:bCs/>
          <w:color w:val="000000"/>
          <w:lang w:val="en-IN" w:eastAsia="en-IN" w:bidi="ml-IN"/>
        </w:rPr>
        <w:t xml:space="preserve">Table </w:t>
      </w:r>
      <w:r w:rsidR="00B832A5" w:rsidRPr="005C7305">
        <w:rPr>
          <w:rFonts w:ascii="Arial" w:eastAsia="Arial" w:hAnsi="Arial" w:cs="Arial"/>
          <w:b/>
          <w:bCs/>
          <w:color w:val="000000"/>
          <w:lang w:val="en-IN" w:eastAsia="en-IN" w:bidi="ml-IN"/>
        </w:rPr>
        <w:t>4</w:t>
      </w:r>
      <w:r w:rsidRPr="005C7305">
        <w:rPr>
          <w:rFonts w:ascii="Arial" w:eastAsia="Arial" w:hAnsi="Arial" w:cs="Arial"/>
          <w:b/>
          <w:bCs/>
          <w:color w:val="000000"/>
          <w:lang w:val="en-IN" w:eastAsia="en-IN" w:bidi="ml-IN"/>
        </w:rPr>
        <w:t xml:space="preserve">. Sustainable Livelihood Security Index of rice-based IFS farmers in </w:t>
      </w:r>
      <w:proofErr w:type="spellStart"/>
      <w:r w:rsidRPr="005C7305">
        <w:rPr>
          <w:rFonts w:ascii="Arial" w:eastAsia="Arial" w:hAnsi="Arial" w:cs="Arial"/>
          <w:b/>
          <w:bCs/>
          <w:color w:val="000000"/>
          <w:lang w:val="en-IN" w:eastAsia="en-IN" w:bidi="ml-IN"/>
        </w:rPr>
        <w:t>Kuttanad</w:t>
      </w:r>
      <w:proofErr w:type="spellEnd"/>
      <w:r w:rsidRPr="005C7305">
        <w:rPr>
          <w:rFonts w:ascii="Arial" w:eastAsia="Arial" w:hAnsi="Arial" w:cs="Arial"/>
          <w:b/>
          <w:bCs/>
          <w:color w:val="000000"/>
          <w:lang w:val="en-IN" w:eastAsia="en-IN" w:bidi="ml-IN"/>
        </w:rPr>
        <w:t xml:space="preserve"> (N = 90)</w:t>
      </w:r>
    </w:p>
    <w:tbl>
      <w:tblPr>
        <w:tblStyle w:val="TableGrid"/>
        <w:tblW w:w="6588" w:type="dxa"/>
        <w:tblInd w:w="819" w:type="dxa"/>
        <w:tblLook w:val="04A0" w:firstRow="1" w:lastRow="0" w:firstColumn="1" w:lastColumn="0" w:noHBand="0" w:noVBand="1"/>
      </w:tblPr>
      <w:tblGrid>
        <w:gridCol w:w="3168"/>
        <w:gridCol w:w="1800"/>
        <w:gridCol w:w="1620"/>
      </w:tblGrid>
      <w:tr w:rsidR="00D620E3" w:rsidRPr="005C7305" w14:paraId="79189135" w14:textId="77777777" w:rsidTr="00D620E3">
        <w:tc>
          <w:tcPr>
            <w:tcW w:w="3168" w:type="dxa"/>
            <w:hideMark/>
          </w:tcPr>
          <w:p w14:paraId="34E8C0BD" w14:textId="77777777" w:rsidR="00D620E3" w:rsidRPr="005C7305" w:rsidRDefault="00D620E3">
            <w:pPr>
              <w:spacing w:after="120" w:line="276" w:lineRule="auto"/>
              <w:jc w:val="center"/>
              <w:rPr>
                <w:rFonts w:ascii="Arial" w:hAnsi="Arial" w:cs="Arial"/>
                <w:color w:val="000000" w:themeColor="text1"/>
                <w:sz w:val="20"/>
                <w:szCs w:val="20"/>
              </w:rPr>
            </w:pPr>
            <w:r w:rsidRPr="005C7305">
              <w:rPr>
                <w:rFonts w:ascii="Arial" w:hAnsi="Arial" w:cs="Arial"/>
                <w:b/>
                <w:bCs/>
                <w:color w:val="000000" w:themeColor="text1"/>
                <w:sz w:val="20"/>
                <w:szCs w:val="20"/>
              </w:rPr>
              <w:t>Livelihood Security Dimension</w:t>
            </w:r>
          </w:p>
        </w:tc>
        <w:tc>
          <w:tcPr>
            <w:tcW w:w="1800" w:type="dxa"/>
            <w:hideMark/>
          </w:tcPr>
          <w:p w14:paraId="6036DC2A" w14:textId="77777777" w:rsidR="00D620E3" w:rsidRPr="005C7305" w:rsidRDefault="00D620E3">
            <w:pPr>
              <w:spacing w:after="120" w:line="276" w:lineRule="auto"/>
              <w:jc w:val="center"/>
              <w:rPr>
                <w:rFonts w:ascii="Arial" w:hAnsi="Arial" w:cs="Arial"/>
                <w:color w:val="000000" w:themeColor="text1"/>
                <w:sz w:val="20"/>
                <w:szCs w:val="20"/>
              </w:rPr>
            </w:pPr>
            <w:r w:rsidRPr="005C7305">
              <w:rPr>
                <w:rFonts w:ascii="Arial" w:hAnsi="Arial" w:cs="Arial"/>
                <w:b/>
                <w:bCs/>
                <w:color w:val="000000" w:themeColor="text1"/>
                <w:sz w:val="20"/>
                <w:szCs w:val="20"/>
              </w:rPr>
              <w:t>Index Score</w:t>
            </w:r>
          </w:p>
        </w:tc>
        <w:tc>
          <w:tcPr>
            <w:tcW w:w="1620" w:type="dxa"/>
            <w:hideMark/>
          </w:tcPr>
          <w:p w14:paraId="33A9185E" w14:textId="77777777" w:rsidR="00D620E3" w:rsidRPr="005C7305" w:rsidRDefault="00D620E3">
            <w:pPr>
              <w:spacing w:after="120" w:line="276" w:lineRule="auto"/>
              <w:jc w:val="center"/>
              <w:rPr>
                <w:rFonts w:ascii="Arial" w:hAnsi="Arial" w:cs="Arial"/>
                <w:color w:val="000000" w:themeColor="text1"/>
                <w:sz w:val="20"/>
                <w:szCs w:val="20"/>
              </w:rPr>
            </w:pPr>
            <w:r w:rsidRPr="005C7305">
              <w:rPr>
                <w:rFonts w:ascii="Arial" w:hAnsi="Arial" w:cs="Arial"/>
                <w:b/>
                <w:bCs/>
                <w:color w:val="000000" w:themeColor="text1"/>
                <w:sz w:val="20"/>
                <w:szCs w:val="20"/>
              </w:rPr>
              <w:t>Security Level</w:t>
            </w:r>
          </w:p>
        </w:tc>
      </w:tr>
      <w:tr w:rsidR="00D620E3" w:rsidRPr="005C7305" w14:paraId="1CB95302" w14:textId="77777777" w:rsidTr="00D620E3">
        <w:tc>
          <w:tcPr>
            <w:tcW w:w="3168" w:type="dxa"/>
            <w:hideMark/>
          </w:tcPr>
          <w:p w14:paraId="3E878DE6"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Food Security</w:t>
            </w:r>
          </w:p>
        </w:tc>
        <w:tc>
          <w:tcPr>
            <w:tcW w:w="1800" w:type="dxa"/>
            <w:hideMark/>
          </w:tcPr>
          <w:p w14:paraId="715B7CE7" w14:textId="77777777" w:rsidR="00D620E3" w:rsidRPr="005C7305" w:rsidRDefault="00D620E3">
            <w:pPr>
              <w:spacing w:after="120" w:line="276" w:lineRule="auto"/>
              <w:jc w:val="center"/>
              <w:rPr>
                <w:rFonts w:ascii="Arial" w:hAnsi="Arial" w:cs="Arial"/>
                <w:sz w:val="20"/>
                <w:szCs w:val="20"/>
              </w:rPr>
            </w:pPr>
            <w:r w:rsidRPr="005C7305">
              <w:rPr>
                <w:rFonts w:ascii="Arial" w:hAnsi="Arial" w:cs="Arial"/>
                <w:color w:val="000000"/>
                <w:sz w:val="20"/>
                <w:szCs w:val="20"/>
              </w:rPr>
              <w:t>0.605</w:t>
            </w:r>
          </w:p>
        </w:tc>
        <w:tc>
          <w:tcPr>
            <w:tcW w:w="1620" w:type="dxa"/>
            <w:hideMark/>
          </w:tcPr>
          <w:p w14:paraId="5DD3ADA4"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Medium</w:t>
            </w:r>
          </w:p>
        </w:tc>
      </w:tr>
      <w:tr w:rsidR="00D620E3" w:rsidRPr="005C7305" w14:paraId="03592F0C" w14:textId="77777777" w:rsidTr="00D620E3">
        <w:tc>
          <w:tcPr>
            <w:tcW w:w="3168" w:type="dxa"/>
            <w:hideMark/>
          </w:tcPr>
          <w:p w14:paraId="0CB232D2"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Occupational Security</w:t>
            </w:r>
          </w:p>
        </w:tc>
        <w:tc>
          <w:tcPr>
            <w:tcW w:w="1800" w:type="dxa"/>
            <w:hideMark/>
          </w:tcPr>
          <w:p w14:paraId="2B545385" w14:textId="77777777" w:rsidR="00D620E3" w:rsidRPr="005C7305" w:rsidRDefault="00D620E3">
            <w:pPr>
              <w:spacing w:after="120" w:line="276" w:lineRule="auto"/>
              <w:jc w:val="center"/>
              <w:rPr>
                <w:rFonts w:ascii="Arial" w:hAnsi="Arial" w:cs="Arial"/>
                <w:sz w:val="20"/>
                <w:szCs w:val="20"/>
              </w:rPr>
            </w:pPr>
            <w:r w:rsidRPr="005C7305">
              <w:rPr>
                <w:rFonts w:ascii="Arial" w:hAnsi="Arial" w:cs="Arial"/>
                <w:color w:val="000000"/>
                <w:sz w:val="20"/>
                <w:szCs w:val="20"/>
              </w:rPr>
              <w:t>0.664</w:t>
            </w:r>
          </w:p>
        </w:tc>
        <w:tc>
          <w:tcPr>
            <w:tcW w:w="1620" w:type="dxa"/>
            <w:hideMark/>
          </w:tcPr>
          <w:p w14:paraId="5D14D5C1"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Medium</w:t>
            </w:r>
          </w:p>
        </w:tc>
      </w:tr>
      <w:tr w:rsidR="00D620E3" w:rsidRPr="005C7305" w14:paraId="3F2423C1" w14:textId="77777777" w:rsidTr="00D620E3">
        <w:tc>
          <w:tcPr>
            <w:tcW w:w="3168" w:type="dxa"/>
            <w:hideMark/>
          </w:tcPr>
          <w:p w14:paraId="0F6EA259"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Habitat Security</w:t>
            </w:r>
          </w:p>
        </w:tc>
        <w:tc>
          <w:tcPr>
            <w:tcW w:w="1800" w:type="dxa"/>
            <w:hideMark/>
          </w:tcPr>
          <w:p w14:paraId="2256F2A5" w14:textId="77777777" w:rsidR="00D620E3" w:rsidRPr="005C7305" w:rsidRDefault="00D620E3">
            <w:pPr>
              <w:spacing w:after="120" w:line="276" w:lineRule="auto"/>
              <w:jc w:val="center"/>
              <w:rPr>
                <w:rFonts w:ascii="Arial" w:hAnsi="Arial" w:cs="Arial"/>
                <w:sz w:val="20"/>
                <w:szCs w:val="20"/>
              </w:rPr>
            </w:pPr>
            <w:r w:rsidRPr="005C7305">
              <w:rPr>
                <w:rFonts w:ascii="Arial" w:hAnsi="Arial" w:cs="Arial"/>
                <w:color w:val="000000"/>
                <w:sz w:val="20"/>
                <w:szCs w:val="20"/>
              </w:rPr>
              <w:t>0.931</w:t>
            </w:r>
          </w:p>
        </w:tc>
        <w:tc>
          <w:tcPr>
            <w:tcW w:w="1620" w:type="dxa"/>
            <w:hideMark/>
          </w:tcPr>
          <w:p w14:paraId="7CA77443"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High</w:t>
            </w:r>
          </w:p>
        </w:tc>
      </w:tr>
      <w:tr w:rsidR="00D620E3" w:rsidRPr="005C7305" w14:paraId="234B663F" w14:textId="77777777" w:rsidTr="00D620E3">
        <w:tc>
          <w:tcPr>
            <w:tcW w:w="3168" w:type="dxa"/>
            <w:hideMark/>
          </w:tcPr>
          <w:p w14:paraId="687C6EDD"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Education Security</w:t>
            </w:r>
          </w:p>
        </w:tc>
        <w:tc>
          <w:tcPr>
            <w:tcW w:w="1800" w:type="dxa"/>
            <w:hideMark/>
          </w:tcPr>
          <w:p w14:paraId="08B606A1" w14:textId="77777777" w:rsidR="00D620E3" w:rsidRPr="005C7305" w:rsidRDefault="00D620E3">
            <w:pPr>
              <w:spacing w:after="120" w:line="276" w:lineRule="auto"/>
              <w:jc w:val="center"/>
              <w:rPr>
                <w:rFonts w:ascii="Arial" w:hAnsi="Arial" w:cs="Arial"/>
                <w:sz w:val="20"/>
                <w:szCs w:val="20"/>
              </w:rPr>
            </w:pPr>
            <w:r w:rsidRPr="005C7305">
              <w:rPr>
                <w:rFonts w:ascii="Arial" w:hAnsi="Arial" w:cs="Arial"/>
                <w:color w:val="000000"/>
                <w:sz w:val="20"/>
                <w:szCs w:val="20"/>
              </w:rPr>
              <w:t>0.894</w:t>
            </w:r>
          </w:p>
        </w:tc>
        <w:tc>
          <w:tcPr>
            <w:tcW w:w="1620" w:type="dxa"/>
            <w:hideMark/>
          </w:tcPr>
          <w:p w14:paraId="4A290902"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High</w:t>
            </w:r>
          </w:p>
        </w:tc>
      </w:tr>
      <w:tr w:rsidR="00D620E3" w:rsidRPr="005C7305" w14:paraId="4532BBE1" w14:textId="77777777" w:rsidTr="00D620E3">
        <w:tc>
          <w:tcPr>
            <w:tcW w:w="3168" w:type="dxa"/>
            <w:hideMark/>
          </w:tcPr>
          <w:p w14:paraId="1E9E5488"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Social Security</w:t>
            </w:r>
          </w:p>
        </w:tc>
        <w:tc>
          <w:tcPr>
            <w:tcW w:w="1800" w:type="dxa"/>
            <w:hideMark/>
          </w:tcPr>
          <w:p w14:paraId="3B1DB07C" w14:textId="77777777" w:rsidR="00D620E3" w:rsidRPr="005C7305" w:rsidRDefault="00D620E3">
            <w:pPr>
              <w:spacing w:after="120" w:line="276" w:lineRule="auto"/>
              <w:jc w:val="center"/>
              <w:rPr>
                <w:rFonts w:ascii="Arial" w:hAnsi="Arial" w:cs="Arial"/>
                <w:sz w:val="20"/>
                <w:szCs w:val="20"/>
              </w:rPr>
            </w:pPr>
            <w:r w:rsidRPr="005C7305">
              <w:rPr>
                <w:rFonts w:ascii="Arial" w:hAnsi="Arial" w:cs="Arial"/>
                <w:color w:val="000000"/>
                <w:sz w:val="20"/>
                <w:szCs w:val="20"/>
              </w:rPr>
              <w:t>0.915</w:t>
            </w:r>
          </w:p>
        </w:tc>
        <w:tc>
          <w:tcPr>
            <w:tcW w:w="1620" w:type="dxa"/>
            <w:hideMark/>
          </w:tcPr>
          <w:p w14:paraId="7D085F08"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High</w:t>
            </w:r>
          </w:p>
        </w:tc>
      </w:tr>
      <w:tr w:rsidR="00D620E3" w:rsidRPr="005C7305" w14:paraId="75E106F8" w14:textId="77777777" w:rsidTr="00D620E3">
        <w:tc>
          <w:tcPr>
            <w:tcW w:w="3168" w:type="dxa"/>
            <w:hideMark/>
          </w:tcPr>
          <w:p w14:paraId="465E77E3"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Health Security</w:t>
            </w:r>
          </w:p>
        </w:tc>
        <w:tc>
          <w:tcPr>
            <w:tcW w:w="1800" w:type="dxa"/>
            <w:hideMark/>
          </w:tcPr>
          <w:p w14:paraId="312A0E71" w14:textId="77777777" w:rsidR="00D620E3" w:rsidRPr="005C7305" w:rsidRDefault="00D620E3">
            <w:pPr>
              <w:spacing w:after="120" w:line="276" w:lineRule="auto"/>
              <w:jc w:val="center"/>
              <w:rPr>
                <w:rFonts w:ascii="Arial" w:hAnsi="Arial" w:cs="Arial"/>
                <w:sz w:val="20"/>
                <w:szCs w:val="20"/>
              </w:rPr>
            </w:pPr>
            <w:r w:rsidRPr="005C7305">
              <w:rPr>
                <w:rFonts w:ascii="Arial" w:hAnsi="Arial" w:cs="Arial"/>
                <w:color w:val="000000"/>
                <w:sz w:val="20"/>
                <w:szCs w:val="20"/>
              </w:rPr>
              <w:t>0.820</w:t>
            </w:r>
          </w:p>
        </w:tc>
        <w:tc>
          <w:tcPr>
            <w:tcW w:w="1620" w:type="dxa"/>
            <w:hideMark/>
          </w:tcPr>
          <w:p w14:paraId="3578C9C3"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High</w:t>
            </w:r>
          </w:p>
        </w:tc>
      </w:tr>
      <w:tr w:rsidR="00D620E3" w:rsidRPr="005C7305" w14:paraId="328A745C" w14:textId="77777777" w:rsidTr="00D620E3">
        <w:tc>
          <w:tcPr>
            <w:tcW w:w="3168" w:type="dxa"/>
            <w:hideMark/>
          </w:tcPr>
          <w:p w14:paraId="54D53CB9"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Environmental Security</w:t>
            </w:r>
          </w:p>
        </w:tc>
        <w:tc>
          <w:tcPr>
            <w:tcW w:w="1800" w:type="dxa"/>
            <w:hideMark/>
          </w:tcPr>
          <w:p w14:paraId="13875CF3" w14:textId="77777777" w:rsidR="00D620E3" w:rsidRPr="005C7305" w:rsidRDefault="00D620E3">
            <w:pPr>
              <w:spacing w:after="120" w:line="276" w:lineRule="auto"/>
              <w:jc w:val="center"/>
              <w:rPr>
                <w:rFonts w:ascii="Arial" w:hAnsi="Arial" w:cs="Arial"/>
                <w:sz w:val="20"/>
                <w:szCs w:val="20"/>
              </w:rPr>
            </w:pPr>
            <w:r w:rsidRPr="005C7305">
              <w:rPr>
                <w:rFonts w:ascii="Arial" w:hAnsi="Arial" w:cs="Arial"/>
                <w:color w:val="000000"/>
                <w:sz w:val="20"/>
                <w:szCs w:val="20"/>
              </w:rPr>
              <w:t>0.511</w:t>
            </w:r>
          </w:p>
        </w:tc>
        <w:tc>
          <w:tcPr>
            <w:tcW w:w="1620" w:type="dxa"/>
            <w:hideMark/>
          </w:tcPr>
          <w:p w14:paraId="4B05A4A7" w14:textId="77777777" w:rsidR="00D620E3" w:rsidRPr="005C7305" w:rsidRDefault="00D620E3">
            <w:pPr>
              <w:spacing w:after="120" w:line="276" w:lineRule="auto"/>
              <w:rPr>
                <w:rFonts w:ascii="Arial" w:hAnsi="Arial" w:cs="Arial"/>
                <w:sz w:val="20"/>
                <w:szCs w:val="20"/>
              </w:rPr>
            </w:pPr>
            <w:r w:rsidRPr="005C7305">
              <w:rPr>
                <w:rFonts w:ascii="Arial" w:hAnsi="Arial" w:cs="Arial"/>
                <w:color w:val="000000"/>
                <w:sz w:val="20"/>
                <w:szCs w:val="20"/>
              </w:rPr>
              <w:t>Medium (low boundary)</w:t>
            </w:r>
          </w:p>
        </w:tc>
      </w:tr>
      <w:tr w:rsidR="00D620E3" w:rsidRPr="005C7305" w14:paraId="0C3C0C19" w14:textId="77777777" w:rsidTr="00D620E3">
        <w:tc>
          <w:tcPr>
            <w:tcW w:w="3168" w:type="dxa"/>
            <w:hideMark/>
          </w:tcPr>
          <w:p w14:paraId="049EB129" w14:textId="77777777" w:rsidR="00D620E3" w:rsidRPr="005C7305" w:rsidRDefault="00D620E3">
            <w:pPr>
              <w:spacing w:after="120" w:line="276" w:lineRule="auto"/>
              <w:rPr>
                <w:rFonts w:ascii="Arial" w:hAnsi="Arial" w:cs="Arial"/>
                <w:sz w:val="20"/>
                <w:szCs w:val="20"/>
              </w:rPr>
            </w:pPr>
            <w:r w:rsidRPr="005C7305">
              <w:rPr>
                <w:rFonts w:ascii="Arial" w:hAnsi="Arial" w:cs="Arial"/>
                <w:b/>
                <w:bCs/>
                <w:color w:val="000000"/>
                <w:sz w:val="20"/>
                <w:szCs w:val="20"/>
              </w:rPr>
              <w:t>Overall SLSI</w:t>
            </w:r>
          </w:p>
        </w:tc>
        <w:tc>
          <w:tcPr>
            <w:tcW w:w="1800" w:type="dxa"/>
            <w:hideMark/>
          </w:tcPr>
          <w:p w14:paraId="56FF2D29" w14:textId="77777777" w:rsidR="00D620E3" w:rsidRPr="005C7305" w:rsidRDefault="00D620E3">
            <w:pPr>
              <w:spacing w:after="120" w:line="276" w:lineRule="auto"/>
              <w:jc w:val="center"/>
              <w:rPr>
                <w:rFonts w:ascii="Arial" w:hAnsi="Arial" w:cs="Arial"/>
                <w:sz w:val="20"/>
                <w:szCs w:val="20"/>
              </w:rPr>
            </w:pPr>
            <w:r w:rsidRPr="005C7305">
              <w:rPr>
                <w:rFonts w:ascii="Arial" w:hAnsi="Arial" w:cs="Arial"/>
                <w:b/>
                <w:bCs/>
                <w:color w:val="000000"/>
                <w:sz w:val="20"/>
                <w:szCs w:val="20"/>
              </w:rPr>
              <w:t>0.763</w:t>
            </w:r>
          </w:p>
        </w:tc>
        <w:tc>
          <w:tcPr>
            <w:tcW w:w="1620" w:type="dxa"/>
            <w:hideMark/>
          </w:tcPr>
          <w:p w14:paraId="167471BD" w14:textId="77777777" w:rsidR="00D620E3" w:rsidRPr="005C7305" w:rsidRDefault="00D620E3">
            <w:pPr>
              <w:spacing w:after="120" w:line="276" w:lineRule="auto"/>
              <w:rPr>
                <w:rFonts w:ascii="Arial" w:hAnsi="Arial" w:cs="Arial"/>
                <w:sz w:val="20"/>
                <w:szCs w:val="20"/>
              </w:rPr>
            </w:pPr>
            <w:r w:rsidRPr="005C7305">
              <w:rPr>
                <w:rFonts w:ascii="Arial" w:hAnsi="Arial" w:cs="Arial"/>
                <w:b/>
                <w:bCs/>
                <w:color w:val="000000"/>
                <w:sz w:val="20"/>
                <w:szCs w:val="20"/>
              </w:rPr>
              <w:t>Medium–High boundary</w:t>
            </w:r>
          </w:p>
        </w:tc>
      </w:tr>
    </w:tbl>
    <w:p w14:paraId="76A8C38A" w14:textId="77777777" w:rsidR="006456E6" w:rsidRPr="005C7305" w:rsidRDefault="00D620E3" w:rsidP="00D620E3">
      <w:pPr>
        <w:spacing w:before="200" w:after="80" w:line="276" w:lineRule="auto"/>
        <w:jc w:val="both"/>
        <w:rPr>
          <w:rFonts w:ascii="Arial" w:hAnsi="Arial" w:cs="Arial"/>
          <w:i/>
          <w:iCs/>
          <w:color w:val="000000"/>
          <w:sz w:val="18"/>
          <w:szCs w:val="18"/>
        </w:rPr>
      </w:pPr>
      <w:r w:rsidRPr="005C7305">
        <w:rPr>
          <w:rFonts w:ascii="Arial" w:hAnsi="Arial" w:cs="Arial"/>
          <w:i/>
          <w:iCs/>
          <w:color w:val="000000"/>
          <w:sz w:val="18"/>
          <w:szCs w:val="18"/>
        </w:rPr>
        <w:t xml:space="preserve">Low = 0.00–0.50; Medium = 0.51–0.75; High = 0.76–1.00. </w:t>
      </w:r>
    </w:p>
    <w:p w14:paraId="436288A2" w14:textId="77777777" w:rsidR="00D620E3" w:rsidRPr="005C7305" w:rsidRDefault="00D620E3" w:rsidP="00D620E3">
      <w:pPr>
        <w:spacing w:before="200" w:after="80" w:line="276" w:lineRule="auto"/>
        <w:jc w:val="both"/>
        <w:rPr>
          <w:rFonts w:ascii="Arial" w:hAnsi="Arial" w:cs="Arial"/>
          <w:i/>
          <w:iCs/>
          <w:color w:val="000000"/>
          <w:sz w:val="18"/>
          <w:szCs w:val="18"/>
        </w:rPr>
      </w:pPr>
      <w:r w:rsidRPr="005C7305">
        <w:rPr>
          <w:rFonts w:ascii="Arial" w:hAnsi="Arial" w:cs="Arial"/>
          <w:i/>
          <w:iCs/>
          <w:color w:val="000000"/>
          <w:sz w:val="18"/>
          <w:szCs w:val="18"/>
        </w:rPr>
        <w:t>Source: Computed from primary data.</w:t>
      </w:r>
    </w:p>
    <w:p w14:paraId="3620804D" w14:textId="77777777" w:rsidR="00D620E3" w:rsidRPr="005C7305" w:rsidRDefault="00D620E3" w:rsidP="00D620E3">
      <w:pPr>
        <w:spacing w:before="200" w:after="80" w:line="276" w:lineRule="auto"/>
        <w:jc w:val="both"/>
        <w:rPr>
          <w:rFonts w:ascii="Arial" w:eastAsia="Arial" w:hAnsi="Arial" w:cs="Arial"/>
          <w:lang w:val="en-IN" w:eastAsia="en-IN" w:bidi="ml-IN"/>
        </w:rPr>
      </w:pPr>
      <w:r w:rsidRPr="005C7305">
        <w:rPr>
          <w:rFonts w:ascii="Arial" w:hAnsi="Arial" w:cs="Arial"/>
          <w:noProof/>
          <w:lang w:val="en-IN" w:eastAsia="en-IN" w:bidi="ml-IN"/>
        </w:rPr>
        <w:drawing>
          <wp:inline distT="0" distB="0" distL="0" distR="0" wp14:anchorId="5260B3AA" wp14:editId="62D9587F">
            <wp:extent cx="5212080" cy="3345532"/>
            <wp:effectExtent l="0" t="0" r="762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4F9A9E" w14:textId="0748FDD9" w:rsidR="00BE3C71" w:rsidRPr="00363602" w:rsidRDefault="007F11CA" w:rsidP="00BE3C71">
      <w:pPr>
        <w:spacing w:before="60" w:after="200" w:line="276" w:lineRule="auto"/>
        <w:rPr>
          <w:rFonts w:ascii="Arial" w:hAnsi="Arial" w:cs="Arial"/>
          <w:i/>
          <w:iCs/>
          <w:color w:val="444444"/>
          <w:sz w:val="18"/>
          <w:szCs w:val="18"/>
          <w:lang w:val="en-IN" w:eastAsia="en-IN"/>
        </w:rPr>
      </w:pPr>
      <w:r w:rsidRPr="005C7305">
        <w:rPr>
          <w:rFonts w:ascii="Arial" w:eastAsia="Arial" w:hAnsi="Arial" w:cs="Arial"/>
          <w:b/>
          <w:bCs/>
          <w:color w:val="000000"/>
          <w:lang w:val="en-IN" w:eastAsia="en-IN" w:bidi="ml-IN"/>
        </w:rPr>
        <w:lastRenderedPageBreak/>
        <w:t xml:space="preserve">Fig </w:t>
      </w:r>
      <w:r w:rsidR="008B5624" w:rsidRPr="005C7305">
        <w:rPr>
          <w:rFonts w:ascii="Arial" w:eastAsia="Arial" w:hAnsi="Arial" w:cs="Arial"/>
          <w:b/>
          <w:bCs/>
          <w:color w:val="000000"/>
          <w:lang w:val="en-IN" w:eastAsia="en-IN" w:bidi="ml-IN"/>
        </w:rPr>
        <w:t>1</w:t>
      </w:r>
      <w:r w:rsidRPr="005C7305">
        <w:rPr>
          <w:rFonts w:ascii="Arial" w:eastAsia="Arial" w:hAnsi="Arial" w:cs="Arial"/>
          <w:b/>
          <w:bCs/>
          <w:color w:val="000000"/>
          <w:lang w:val="en-IN" w:eastAsia="en-IN" w:bidi="ml-IN"/>
        </w:rPr>
        <w:t xml:space="preserve">. Radar chart of SLSI sub-index scores for rice-based IFS farmers in </w:t>
      </w:r>
      <w:proofErr w:type="spellStart"/>
      <w:r w:rsidRPr="005C7305">
        <w:rPr>
          <w:rFonts w:ascii="Arial" w:eastAsia="Arial" w:hAnsi="Arial" w:cs="Arial"/>
          <w:b/>
          <w:bCs/>
          <w:color w:val="000000"/>
          <w:lang w:val="en-IN" w:eastAsia="en-IN" w:bidi="ml-IN"/>
        </w:rPr>
        <w:t>Kuttanad</w:t>
      </w:r>
      <w:proofErr w:type="spellEnd"/>
      <w:r w:rsidRPr="005C7305">
        <w:rPr>
          <w:rFonts w:ascii="Arial" w:eastAsia="Arial" w:hAnsi="Arial" w:cs="Arial"/>
          <w:b/>
          <w:bCs/>
          <w:color w:val="000000"/>
          <w:lang w:val="en-IN" w:eastAsia="en-IN" w:bidi="ml-IN"/>
        </w:rPr>
        <w:t xml:space="preserve"> (N = 90)</w:t>
      </w:r>
      <w:r w:rsidR="00BE3C71">
        <w:rPr>
          <w:rFonts w:ascii="Arial" w:eastAsia="Arial" w:hAnsi="Arial" w:cs="Arial"/>
          <w:b/>
          <w:bCs/>
          <w:color w:val="000000"/>
          <w:lang w:val="en-IN" w:eastAsia="en-IN" w:bidi="ml-IN"/>
        </w:rPr>
        <w:t xml:space="preserve"> </w:t>
      </w:r>
      <w:r w:rsidR="00BE3C71" w:rsidRPr="00363602">
        <w:rPr>
          <w:rFonts w:ascii="Arial" w:hAnsi="Arial" w:cs="Arial"/>
          <w:i/>
          <w:iCs/>
          <w:color w:val="444444"/>
          <w:sz w:val="18"/>
          <w:szCs w:val="18"/>
          <w:lang w:val="en-IN" w:eastAsia="en-IN"/>
        </w:rPr>
        <w:t>(Chart/</w:t>
      </w:r>
      <w:r w:rsidR="00363602" w:rsidRPr="00363602">
        <w:rPr>
          <w:rFonts w:ascii="Arial" w:hAnsi="Arial" w:cs="Arial"/>
          <w:i/>
          <w:iCs/>
          <w:color w:val="444444"/>
          <w:sz w:val="18"/>
          <w:szCs w:val="18"/>
          <w:lang w:val="en-IN" w:eastAsia="en-IN"/>
        </w:rPr>
        <w:t>graph/</w:t>
      </w:r>
      <w:r w:rsidR="00BE3C71" w:rsidRPr="00363602">
        <w:rPr>
          <w:rFonts w:ascii="Arial" w:hAnsi="Arial" w:cs="Arial"/>
          <w:i/>
          <w:iCs/>
          <w:color w:val="444444"/>
          <w:sz w:val="18"/>
          <w:szCs w:val="18"/>
          <w:lang w:val="en-IN" w:eastAsia="en-IN"/>
        </w:rPr>
        <w:t>Image generated using</w:t>
      </w:r>
      <w:r w:rsidR="00363602" w:rsidRPr="00363602">
        <w:rPr>
          <w:rFonts w:ascii="Arial" w:hAnsi="Arial" w:cs="Arial"/>
          <w:i/>
          <w:iCs/>
          <w:color w:val="444444"/>
          <w:sz w:val="18"/>
          <w:szCs w:val="18"/>
          <w:lang w:val="en-IN" w:eastAsia="en-IN"/>
        </w:rPr>
        <w:t xml:space="preserve"> </w:t>
      </w:r>
      <w:proofErr w:type="gramStart"/>
      <w:r w:rsidR="00363602" w:rsidRPr="00363602">
        <w:rPr>
          <w:rFonts w:ascii="Arial" w:hAnsi="Arial" w:cs="Arial"/>
          <w:i/>
          <w:iCs/>
          <w:color w:val="444444"/>
          <w:sz w:val="18"/>
          <w:szCs w:val="18"/>
          <w:lang w:val="en-IN" w:eastAsia="en-IN"/>
        </w:rPr>
        <w:t xml:space="preserve">Microsoft </w:t>
      </w:r>
      <w:r w:rsidR="00BE3C71" w:rsidRPr="00363602">
        <w:rPr>
          <w:rFonts w:ascii="Arial" w:hAnsi="Arial" w:cs="Arial"/>
          <w:i/>
          <w:iCs/>
          <w:color w:val="444444"/>
          <w:sz w:val="18"/>
          <w:szCs w:val="18"/>
          <w:lang w:val="en-IN" w:eastAsia="en-IN"/>
        </w:rPr>
        <w:t xml:space="preserve"> excel</w:t>
      </w:r>
      <w:proofErr w:type="gramEnd"/>
      <w:r w:rsidR="00BE3C71" w:rsidRPr="00363602">
        <w:rPr>
          <w:rFonts w:ascii="Arial" w:hAnsi="Arial" w:cs="Arial"/>
          <w:i/>
          <w:iCs/>
          <w:color w:val="444444"/>
          <w:sz w:val="18"/>
          <w:szCs w:val="18"/>
          <w:lang w:val="en-IN" w:eastAsia="en-IN"/>
        </w:rPr>
        <w:t>)</w:t>
      </w:r>
    </w:p>
    <w:p w14:paraId="0C8B3918" w14:textId="23B14F6E" w:rsidR="007F11CA" w:rsidRPr="005C7305" w:rsidRDefault="001B48D1" w:rsidP="002E4219">
      <w:pPr>
        <w:pStyle w:val="Body"/>
        <w:rPr>
          <w:rFonts w:ascii="Arial" w:hAnsi="Arial" w:cs="Arial"/>
          <w:color w:val="000000"/>
        </w:rPr>
      </w:pPr>
      <w:r>
        <w:rPr>
          <w:rFonts w:ascii="Arial" w:hAnsi="Arial" w:cs="Arial"/>
          <w:color w:val="000000"/>
        </w:rPr>
        <w:t>O</w:t>
      </w:r>
      <w:r w:rsidR="00A07235">
        <w:rPr>
          <w:rFonts w:ascii="Arial" w:hAnsi="Arial" w:cs="Arial"/>
          <w:color w:val="000000"/>
        </w:rPr>
        <w:t>n</w:t>
      </w:r>
      <w:r>
        <w:rPr>
          <w:rFonts w:ascii="Arial" w:hAnsi="Arial" w:cs="Arial"/>
          <w:color w:val="000000"/>
        </w:rPr>
        <w:t xml:space="preserve"> assessing various sub dimensions of SLSI, h</w:t>
      </w:r>
      <w:r w:rsidR="007F11CA" w:rsidRPr="005C7305">
        <w:rPr>
          <w:rFonts w:ascii="Arial" w:hAnsi="Arial" w:cs="Arial"/>
          <w:color w:val="000000"/>
        </w:rPr>
        <w:t>abitat security (0.931) was</w:t>
      </w:r>
      <w:r>
        <w:rPr>
          <w:rFonts w:ascii="Arial" w:hAnsi="Arial" w:cs="Arial"/>
          <w:color w:val="000000"/>
        </w:rPr>
        <w:t xml:space="preserve"> found</w:t>
      </w:r>
      <w:r w:rsidR="007F11CA" w:rsidRPr="005C7305">
        <w:rPr>
          <w:rFonts w:ascii="Arial" w:hAnsi="Arial" w:cs="Arial"/>
          <w:color w:val="000000"/>
        </w:rPr>
        <w:t xml:space="preserve"> highest, reflecting Kerala's </w:t>
      </w:r>
      <w:r w:rsidR="00A07235">
        <w:rPr>
          <w:rFonts w:ascii="Arial" w:hAnsi="Arial" w:cs="Arial"/>
          <w:color w:val="000000"/>
        </w:rPr>
        <w:t xml:space="preserve">continued </w:t>
      </w:r>
      <w:r w:rsidR="006A67B4">
        <w:rPr>
          <w:rFonts w:ascii="Arial" w:hAnsi="Arial" w:cs="Arial"/>
          <w:color w:val="000000"/>
        </w:rPr>
        <w:t>obligation</w:t>
      </w:r>
      <w:r>
        <w:rPr>
          <w:rFonts w:ascii="Arial" w:hAnsi="Arial" w:cs="Arial"/>
          <w:color w:val="000000"/>
        </w:rPr>
        <w:t xml:space="preserve"> </w:t>
      </w:r>
      <w:r w:rsidR="00A07235">
        <w:rPr>
          <w:rFonts w:ascii="Arial" w:hAnsi="Arial" w:cs="Arial"/>
          <w:color w:val="000000"/>
        </w:rPr>
        <w:t xml:space="preserve">in </w:t>
      </w:r>
      <w:r>
        <w:rPr>
          <w:rFonts w:ascii="Arial" w:hAnsi="Arial" w:cs="Arial"/>
          <w:color w:val="000000"/>
        </w:rPr>
        <w:t>ensur</w:t>
      </w:r>
      <w:r w:rsidR="00A07235">
        <w:rPr>
          <w:rFonts w:ascii="Arial" w:hAnsi="Arial" w:cs="Arial"/>
          <w:color w:val="000000"/>
        </w:rPr>
        <w:t>ing</w:t>
      </w:r>
      <w:r w:rsidR="007F11CA" w:rsidRPr="005C7305">
        <w:rPr>
          <w:rFonts w:ascii="Arial" w:hAnsi="Arial" w:cs="Arial"/>
          <w:color w:val="000000"/>
        </w:rPr>
        <w:t xml:space="preserve"> pucca housing, electricity, safe water, and sanitation through decades of state </w:t>
      </w:r>
      <w:r w:rsidR="006A67B4">
        <w:rPr>
          <w:rFonts w:ascii="Arial" w:hAnsi="Arial" w:cs="Arial"/>
          <w:color w:val="000000"/>
        </w:rPr>
        <w:t>intervention</w:t>
      </w:r>
      <w:r w:rsidR="005E5E30" w:rsidRPr="005C7305">
        <w:rPr>
          <w:rFonts w:ascii="Arial" w:hAnsi="Arial" w:cs="Arial"/>
          <w:color w:val="000000"/>
        </w:rPr>
        <w:t xml:space="preserve">. </w:t>
      </w:r>
      <w:r w:rsidR="002E4219" w:rsidRPr="005C7305">
        <w:rPr>
          <w:rFonts w:ascii="Arial" w:hAnsi="Arial" w:cs="Arial"/>
          <w:color w:val="000000"/>
        </w:rPr>
        <w:t xml:space="preserve">High social security (0.915) indicates strong community </w:t>
      </w:r>
      <w:proofErr w:type="spellStart"/>
      <w:r w:rsidR="000313BB">
        <w:rPr>
          <w:rFonts w:ascii="Arial" w:hAnsi="Arial" w:cs="Arial"/>
          <w:color w:val="000000"/>
        </w:rPr>
        <w:t>concensus</w:t>
      </w:r>
      <w:proofErr w:type="spellEnd"/>
      <w:r w:rsidR="002E4219" w:rsidRPr="005C7305">
        <w:rPr>
          <w:rFonts w:ascii="Arial" w:hAnsi="Arial" w:cs="Arial"/>
          <w:color w:val="000000"/>
        </w:rPr>
        <w:t xml:space="preserve">, widespread </w:t>
      </w:r>
      <w:proofErr w:type="spellStart"/>
      <w:r w:rsidR="002E4219" w:rsidRPr="005C7305">
        <w:rPr>
          <w:rFonts w:ascii="Arial" w:hAnsi="Arial" w:cs="Arial"/>
          <w:color w:val="000000"/>
        </w:rPr>
        <w:t>organisational</w:t>
      </w:r>
      <w:proofErr w:type="spellEnd"/>
      <w:r w:rsidR="002E4219" w:rsidRPr="005C7305">
        <w:rPr>
          <w:rFonts w:ascii="Arial" w:hAnsi="Arial" w:cs="Arial"/>
          <w:color w:val="000000"/>
        </w:rPr>
        <w:t xml:space="preserve"> membership, and the perception that social status positively supports livelihood</w:t>
      </w:r>
      <w:r w:rsidR="00C1584C" w:rsidRPr="005C7305">
        <w:rPr>
          <w:rFonts w:ascii="Arial" w:hAnsi="Arial" w:cs="Arial"/>
          <w:color w:val="000000"/>
        </w:rPr>
        <w:t>.</w:t>
      </w:r>
      <w:r w:rsidR="002E4219" w:rsidRPr="005C7305">
        <w:rPr>
          <w:rFonts w:ascii="Arial" w:hAnsi="Arial" w:cs="Arial"/>
          <w:color w:val="000000"/>
        </w:rPr>
        <w:t xml:space="preserve"> </w:t>
      </w:r>
      <w:r w:rsidR="00C1584C" w:rsidRPr="005C7305">
        <w:rPr>
          <w:rFonts w:ascii="Arial" w:hAnsi="Arial" w:cs="Arial"/>
        </w:rPr>
        <w:t>This finding is consistent with Sabyasachi et al. (2021), who identified social participation as a significant correlate of livelihood security among small farmers, and with Hidayat et al. (2022), who found that social capital and cultural cohesion are significant determinants of livelihood resilience in floodplain wetland communities</w:t>
      </w:r>
      <w:r w:rsidR="00C1584C" w:rsidRPr="005C7305">
        <w:rPr>
          <w:rFonts w:ascii="Arial" w:hAnsi="Arial" w:cs="Arial"/>
          <w:color w:val="000000"/>
        </w:rPr>
        <w:t>.</w:t>
      </w:r>
      <w:r w:rsidR="002E4219" w:rsidRPr="005C7305">
        <w:rPr>
          <w:rFonts w:ascii="Arial" w:hAnsi="Arial" w:cs="Arial"/>
          <w:color w:val="000000"/>
        </w:rPr>
        <w:t xml:space="preserve"> </w:t>
      </w:r>
      <w:r w:rsidR="007F11CA" w:rsidRPr="005C7305">
        <w:rPr>
          <w:rFonts w:ascii="Arial" w:hAnsi="Arial" w:cs="Arial"/>
          <w:color w:val="000000"/>
        </w:rPr>
        <w:t xml:space="preserve">Education security (0.894) was consistent with Kerala's </w:t>
      </w:r>
      <w:r w:rsidR="009D3DEF">
        <w:rPr>
          <w:rFonts w:ascii="Arial" w:hAnsi="Arial" w:cs="Arial"/>
          <w:color w:val="000000"/>
        </w:rPr>
        <w:t xml:space="preserve">higher </w:t>
      </w:r>
      <w:r w:rsidR="007F11CA" w:rsidRPr="005C7305">
        <w:rPr>
          <w:rFonts w:ascii="Arial" w:hAnsi="Arial" w:cs="Arial"/>
          <w:color w:val="000000"/>
        </w:rPr>
        <w:t xml:space="preserve">literacy </w:t>
      </w:r>
      <w:r w:rsidR="009D3DEF">
        <w:rPr>
          <w:rFonts w:ascii="Arial" w:hAnsi="Arial" w:cs="Arial"/>
          <w:color w:val="000000"/>
        </w:rPr>
        <w:t>rate</w:t>
      </w:r>
      <w:r w:rsidR="007F11CA" w:rsidRPr="005C7305">
        <w:rPr>
          <w:rFonts w:ascii="Arial" w:hAnsi="Arial" w:cs="Arial"/>
          <w:color w:val="000000"/>
        </w:rPr>
        <w:t xml:space="preserve">. Health security (0.820) reflected </w:t>
      </w:r>
      <w:r w:rsidR="00101D66">
        <w:rPr>
          <w:rFonts w:ascii="Arial" w:hAnsi="Arial" w:cs="Arial"/>
          <w:color w:val="000000"/>
        </w:rPr>
        <w:t>the strong</w:t>
      </w:r>
      <w:r w:rsidR="007F11CA" w:rsidRPr="005C7305">
        <w:rPr>
          <w:rFonts w:ascii="Arial" w:hAnsi="Arial" w:cs="Arial"/>
          <w:color w:val="000000"/>
        </w:rPr>
        <w:t xml:space="preserve"> healthcare access and the documented nutritional benefit of IFS dietary diversity (Singh et al., 2020</w:t>
      </w:r>
      <w:r w:rsidR="001B3B9B" w:rsidRPr="005C7305">
        <w:rPr>
          <w:rFonts w:ascii="Arial" w:hAnsi="Arial" w:cs="Arial"/>
          <w:color w:val="000000"/>
        </w:rPr>
        <w:t xml:space="preserve">). </w:t>
      </w:r>
      <w:r w:rsidR="005F4047" w:rsidRPr="005C7305">
        <w:rPr>
          <w:rFonts w:ascii="Arial" w:hAnsi="Arial" w:cs="Arial"/>
          <w:color w:val="000000"/>
        </w:rPr>
        <w:t xml:space="preserve">The finding </w:t>
      </w:r>
      <w:proofErr w:type="gramStart"/>
      <w:r w:rsidR="005F4047" w:rsidRPr="005C7305">
        <w:rPr>
          <w:rFonts w:ascii="Arial" w:hAnsi="Arial" w:cs="Arial"/>
          <w:color w:val="000000"/>
        </w:rPr>
        <w:t>is in agreement</w:t>
      </w:r>
      <w:proofErr w:type="gramEnd"/>
      <w:r w:rsidR="005F4047" w:rsidRPr="005C7305">
        <w:rPr>
          <w:rFonts w:ascii="Arial" w:hAnsi="Arial" w:cs="Arial"/>
          <w:color w:val="000000"/>
        </w:rPr>
        <w:t xml:space="preserve"> with</w:t>
      </w:r>
      <w:r w:rsidR="001B4356" w:rsidRPr="005C7305">
        <w:rPr>
          <w:rFonts w:ascii="Arial" w:eastAsia="Arial" w:hAnsi="Arial" w:cs="Arial"/>
          <w:color w:val="000000"/>
        </w:rPr>
        <w:t xml:space="preserve"> Kowsalya</w:t>
      </w:r>
      <w:r w:rsidR="00F5792D" w:rsidRPr="005C7305">
        <w:rPr>
          <w:rFonts w:ascii="Arial" w:eastAsia="Arial" w:hAnsi="Arial" w:cs="Arial"/>
          <w:color w:val="000000"/>
        </w:rPr>
        <w:t xml:space="preserve"> and Krishnamoorthy</w:t>
      </w:r>
      <w:r w:rsidR="001B4356" w:rsidRPr="005C7305">
        <w:rPr>
          <w:rFonts w:ascii="Arial" w:eastAsia="Arial" w:hAnsi="Arial" w:cs="Arial"/>
          <w:color w:val="000000"/>
        </w:rPr>
        <w:t xml:space="preserve"> (2017), who reported that IFS demonstration </w:t>
      </w:r>
      <w:proofErr w:type="spellStart"/>
      <w:r w:rsidR="001B4356" w:rsidRPr="005C7305">
        <w:rPr>
          <w:rFonts w:ascii="Arial" w:eastAsia="Arial" w:hAnsi="Arial" w:cs="Arial"/>
          <w:color w:val="000000"/>
        </w:rPr>
        <w:t>programmes</w:t>
      </w:r>
      <w:proofErr w:type="spellEnd"/>
      <w:r w:rsidR="001B4356" w:rsidRPr="005C7305">
        <w:rPr>
          <w:rFonts w:ascii="Arial" w:eastAsia="Arial" w:hAnsi="Arial" w:cs="Arial"/>
          <w:color w:val="000000"/>
        </w:rPr>
        <w:t xml:space="preserve"> improved nutritional security among beneficiary farmers</w:t>
      </w:r>
      <w:r w:rsidR="00101D66">
        <w:rPr>
          <w:rFonts w:ascii="Arial" w:eastAsia="Arial" w:hAnsi="Arial" w:cs="Arial"/>
          <w:color w:val="000000"/>
        </w:rPr>
        <w:t>.</w:t>
      </w:r>
    </w:p>
    <w:p w14:paraId="541A1859" w14:textId="68EB94C2" w:rsidR="0057422B" w:rsidRPr="005C7305" w:rsidRDefault="0057422B" w:rsidP="0057422B">
      <w:pPr>
        <w:pStyle w:val="Body"/>
        <w:rPr>
          <w:rFonts w:ascii="Arial" w:hAnsi="Arial" w:cs="Arial"/>
        </w:rPr>
      </w:pPr>
      <w:r w:rsidRPr="005C7305">
        <w:rPr>
          <w:rFonts w:ascii="Arial" w:hAnsi="Arial" w:cs="Arial"/>
        </w:rPr>
        <w:t xml:space="preserve">Occupational security (0.664) remained at medium level, with several respondents reporting seasonal employment patterns and income supplementation through non-farm </w:t>
      </w:r>
      <w:proofErr w:type="spellStart"/>
      <w:proofErr w:type="gramStart"/>
      <w:r w:rsidRPr="005C7305">
        <w:rPr>
          <w:rFonts w:ascii="Arial" w:hAnsi="Arial" w:cs="Arial"/>
        </w:rPr>
        <w:t>activities</w:t>
      </w:r>
      <w:r w:rsidR="00101D66">
        <w:rPr>
          <w:rFonts w:ascii="Arial" w:hAnsi="Arial" w:cs="Arial"/>
        </w:rPr>
        <w:t>.This</w:t>
      </w:r>
      <w:proofErr w:type="spellEnd"/>
      <w:proofErr w:type="gramEnd"/>
      <w:r w:rsidR="00101D66">
        <w:rPr>
          <w:rFonts w:ascii="Arial" w:hAnsi="Arial" w:cs="Arial"/>
        </w:rPr>
        <w:t xml:space="preserve"> also </w:t>
      </w:r>
      <w:r w:rsidR="00101D66" w:rsidRPr="005C7305">
        <w:rPr>
          <w:rFonts w:ascii="Arial" w:hAnsi="Arial" w:cs="Arial"/>
        </w:rPr>
        <w:t>reflects</w:t>
      </w:r>
      <w:r w:rsidRPr="005C7305">
        <w:rPr>
          <w:rFonts w:ascii="Arial" w:hAnsi="Arial" w:cs="Arial"/>
        </w:rPr>
        <w:t xml:space="preserve"> the agrarian stress in </w:t>
      </w:r>
      <w:proofErr w:type="spellStart"/>
      <w:r w:rsidRPr="005C7305">
        <w:rPr>
          <w:rFonts w:ascii="Arial" w:hAnsi="Arial" w:cs="Arial"/>
        </w:rPr>
        <w:t>Kuttanad</w:t>
      </w:r>
      <w:proofErr w:type="spellEnd"/>
      <w:r w:rsidRPr="005C7305">
        <w:rPr>
          <w:rFonts w:ascii="Arial" w:hAnsi="Arial" w:cs="Arial"/>
        </w:rPr>
        <w:t xml:space="preserve"> documented by </w:t>
      </w:r>
      <w:proofErr w:type="spellStart"/>
      <w:r w:rsidRPr="005C7305">
        <w:rPr>
          <w:rFonts w:ascii="Arial" w:hAnsi="Arial" w:cs="Arial"/>
        </w:rPr>
        <w:t>Jayan</w:t>
      </w:r>
      <w:proofErr w:type="spellEnd"/>
      <w:r w:rsidRPr="005C7305">
        <w:rPr>
          <w:rFonts w:ascii="Arial" w:hAnsi="Arial" w:cs="Arial"/>
        </w:rPr>
        <w:t xml:space="preserve"> and Sathyanathan (2010). Food security (0.605) was the second most vulnerable dimension. Per capita food production and grain stock adequacy were the weaker indicators, while </w:t>
      </w:r>
      <w:r w:rsidR="00380456">
        <w:rPr>
          <w:rFonts w:ascii="Arial" w:hAnsi="Arial" w:cs="Arial"/>
        </w:rPr>
        <w:t xml:space="preserve">perception scores for </w:t>
      </w:r>
      <w:r w:rsidRPr="005C7305">
        <w:rPr>
          <w:rFonts w:ascii="Arial" w:hAnsi="Arial" w:cs="Arial"/>
        </w:rPr>
        <w:t>food availability and quality were comparatively better. The integration of crop and livestock components in IFS has been shown to improve food availability and reduce market dependency (Begum et al., 2016), though the present study indicates that this benefit has not yet translated into uniformly high food security across the sample. This is consistent with Sri Chandana et al. (2023), who reported medium food and nutritional security (53.97%) among IFS farmers in Andhra Pradesh, attributing the moderate scores to gaps in dietary knowledge and income inadequacy.</w:t>
      </w:r>
    </w:p>
    <w:p w14:paraId="0824E4E1" w14:textId="28DCE995" w:rsidR="0057422B" w:rsidRPr="005C7305" w:rsidRDefault="0057422B" w:rsidP="0057422B">
      <w:pPr>
        <w:pStyle w:val="Body"/>
        <w:rPr>
          <w:rFonts w:ascii="Arial" w:hAnsi="Arial" w:cs="Arial"/>
          <w:color w:val="EE0000"/>
        </w:rPr>
      </w:pPr>
      <w:r w:rsidRPr="005C7305">
        <w:rPr>
          <w:rFonts w:ascii="Arial" w:hAnsi="Arial" w:cs="Arial"/>
        </w:rPr>
        <w:t xml:space="preserve">Environmental security (0.511) was the most vulnerable dimension, barely above the low security threshold. This finding is not surprising given </w:t>
      </w:r>
      <w:proofErr w:type="spellStart"/>
      <w:r w:rsidRPr="005C7305">
        <w:rPr>
          <w:rFonts w:ascii="Arial" w:hAnsi="Arial" w:cs="Arial"/>
        </w:rPr>
        <w:t>Kuttanad's</w:t>
      </w:r>
      <w:proofErr w:type="spellEnd"/>
      <w:r w:rsidRPr="005C7305">
        <w:rPr>
          <w:rFonts w:ascii="Arial" w:hAnsi="Arial" w:cs="Arial"/>
        </w:rPr>
        <w:t xml:space="preserve"> well-documented environmental challenges, including flood-prone below sea-level conditions, soil and water pollution, groundwater stress, and the increasing impact of climate change on farming operations (Jayan and Sathyanathan, 2010).</w:t>
      </w:r>
      <w:r w:rsidR="00455C12" w:rsidRPr="005C7305">
        <w:rPr>
          <w:rFonts w:ascii="Arial" w:hAnsi="Arial" w:cs="Arial"/>
        </w:rPr>
        <w:t xml:space="preserve"> Fatima et al. (2023) similarly identified inadequate eco-friendly practice adoption and limited sustainable resource management as primary constraints on environmental security in IFS evaluations across northwestern India. The environmental vulnerability of wetland farming communities is well established: Imdad et al. (2025) found that flood exposure, water quality deterioration, and anthropogenic pressures are the dominant drivers of livelihood vulnerability in wetland ecosystems, while Feng et al. (2024) demonstrated that wetland degradation directly threatens farm household income structures. Sri Chandana et al. (2023) reported comparable findings in Andhra Pradesh, where 47.09 per cent of IFS farmers had only medium environmental security, attributing it to inadequate adoption of eco-friendly practices</w:t>
      </w:r>
      <w:r w:rsidR="00455C12" w:rsidRPr="005C7305">
        <w:rPr>
          <w:rFonts w:ascii="Arial" w:hAnsi="Arial" w:cs="Arial"/>
          <w:color w:val="EE0000"/>
        </w:rPr>
        <w:t>.</w:t>
      </w:r>
      <w:r w:rsidR="00455C12" w:rsidRPr="005C7305">
        <w:rPr>
          <w:rFonts w:ascii="Arial" w:hAnsi="Arial" w:cs="Arial"/>
        </w:rPr>
        <w:t xml:space="preserve"> The present finding reinforces the urgent need for targeted environmental security interventions specific to below sea-level farming ecosystems</w:t>
      </w:r>
    </w:p>
    <w:p w14:paraId="1187BB69" w14:textId="2C54C388" w:rsidR="00455C12" w:rsidRPr="005C7305" w:rsidRDefault="00455C12" w:rsidP="0057422B">
      <w:pPr>
        <w:pStyle w:val="Body"/>
        <w:rPr>
          <w:rFonts w:ascii="Arial" w:hAnsi="Arial" w:cs="Arial"/>
          <w:color w:val="EE0000"/>
        </w:rPr>
      </w:pPr>
      <w:r w:rsidRPr="005C7305">
        <w:rPr>
          <w:rFonts w:ascii="Arial" w:hAnsi="Arial" w:cs="Arial"/>
        </w:rPr>
        <w:t>The overall mean SLSI of 0.763 is positioned at the lower boundary of the high-security category indicating that while the community has broadly achieved livelihood security, it remains in a</w:t>
      </w:r>
      <w:r w:rsidR="007256D9">
        <w:rPr>
          <w:rFonts w:ascii="Arial" w:hAnsi="Arial" w:cs="Arial"/>
        </w:rPr>
        <w:t xml:space="preserve">n uncertain </w:t>
      </w:r>
      <w:r w:rsidRPr="005C7305">
        <w:rPr>
          <w:rFonts w:ascii="Arial" w:hAnsi="Arial" w:cs="Arial"/>
        </w:rPr>
        <w:t>zone where further deterioration in environmental or food security could shift the overall index back into the medium-security range</w:t>
      </w:r>
      <w:r w:rsidRPr="005C7305">
        <w:rPr>
          <w:rFonts w:ascii="Arial" w:hAnsi="Arial" w:cs="Arial"/>
          <w:color w:val="EE0000"/>
        </w:rPr>
        <w:t xml:space="preserve">. </w:t>
      </w:r>
    </w:p>
    <w:p w14:paraId="0A6D375A" w14:textId="61D3E0A3" w:rsidR="0057422B" w:rsidRPr="005C7305" w:rsidRDefault="00533466" w:rsidP="0057422B">
      <w:pPr>
        <w:pStyle w:val="Body"/>
        <w:rPr>
          <w:rFonts w:ascii="Arial" w:hAnsi="Arial" w:cs="Arial"/>
          <w:b/>
          <w:bCs/>
        </w:rPr>
      </w:pPr>
      <w:r w:rsidRPr="005C7305">
        <w:rPr>
          <w:rFonts w:ascii="Arial" w:hAnsi="Arial" w:cs="Arial"/>
          <w:b/>
          <w:bCs/>
        </w:rPr>
        <w:t xml:space="preserve">3.3 Correlation between </w:t>
      </w:r>
      <w:r w:rsidR="007256D9">
        <w:rPr>
          <w:rFonts w:ascii="Arial" w:hAnsi="Arial" w:cs="Arial"/>
          <w:b/>
          <w:bCs/>
        </w:rPr>
        <w:t>s</w:t>
      </w:r>
      <w:r w:rsidRPr="005C7305">
        <w:rPr>
          <w:rFonts w:ascii="Arial" w:hAnsi="Arial" w:cs="Arial"/>
          <w:b/>
          <w:bCs/>
        </w:rPr>
        <w:t xml:space="preserve">ocioeconomic </w:t>
      </w:r>
      <w:r w:rsidR="007256D9">
        <w:rPr>
          <w:rFonts w:ascii="Arial" w:hAnsi="Arial" w:cs="Arial"/>
          <w:b/>
          <w:bCs/>
        </w:rPr>
        <w:t>v</w:t>
      </w:r>
      <w:r w:rsidRPr="005C7305">
        <w:rPr>
          <w:rFonts w:ascii="Arial" w:hAnsi="Arial" w:cs="Arial"/>
          <w:b/>
          <w:bCs/>
        </w:rPr>
        <w:t>ariables and SLSI Sub-indices</w:t>
      </w:r>
    </w:p>
    <w:p w14:paraId="1AF1203C" w14:textId="08002BD8" w:rsidR="00533466" w:rsidRPr="005C7305" w:rsidRDefault="00533466" w:rsidP="00533466">
      <w:pPr>
        <w:pStyle w:val="Body"/>
        <w:rPr>
          <w:rFonts w:ascii="Arial" w:hAnsi="Arial" w:cs="Arial"/>
        </w:rPr>
      </w:pPr>
      <w:r w:rsidRPr="005C7305">
        <w:rPr>
          <w:rFonts w:ascii="Arial" w:hAnsi="Arial" w:cs="Arial"/>
        </w:rPr>
        <w:lastRenderedPageBreak/>
        <w:t xml:space="preserve">Pearson's correlation between 12 independent variables and all seven SLSI sub-indices and overall SLSI is presented in Table </w:t>
      </w:r>
      <w:r w:rsidR="00B832A5" w:rsidRPr="005C7305">
        <w:rPr>
          <w:rFonts w:ascii="Arial" w:hAnsi="Arial" w:cs="Arial"/>
        </w:rPr>
        <w:t>5</w:t>
      </w:r>
      <w:r w:rsidRPr="005C7305">
        <w:rPr>
          <w:rFonts w:ascii="Arial" w:hAnsi="Arial" w:cs="Arial"/>
        </w:rPr>
        <w:t xml:space="preserve">. </w:t>
      </w:r>
      <w:r w:rsidR="00455C12" w:rsidRPr="005C7305">
        <w:rPr>
          <w:rFonts w:ascii="Arial" w:hAnsi="Arial" w:cs="Arial"/>
        </w:rPr>
        <w:t>Six statistically significant associations were identified at the sub-index level; none were significant for overall SLSI.</w:t>
      </w:r>
    </w:p>
    <w:p w14:paraId="2F6E5B8A" w14:textId="668CABFF" w:rsidR="00533466" w:rsidRPr="005C7305" w:rsidRDefault="00533466" w:rsidP="00533466">
      <w:pPr>
        <w:pStyle w:val="Body"/>
        <w:rPr>
          <w:rFonts w:ascii="Arial" w:hAnsi="Arial" w:cs="Arial"/>
        </w:rPr>
      </w:pPr>
      <w:r w:rsidRPr="005C7305">
        <w:rPr>
          <w:rFonts w:ascii="Arial" w:hAnsi="Arial" w:cs="Arial"/>
          <w:b/>
          <w:bCs/>
          <w:color w:val="000000"/>
        </w:rPr>
        <w:t xml:space="preserve">Table </w:t>
      </w:r>
      <w:r w:rsidR="00B832A5" w:rsidRPr="005C7305">
        <w:rPr>
          <w:rFonts w:ascii="Arial" w:hAnsi="Arial" w:cs="Arial"/>
          <w:b/>
          <w:bCs/>
          <w:color w:val="000000"/>
        </w:rPr>
        <w:t>5</w:t>
      </w:r>
      <w:r w:rsidRPr="005C7305">
        <w:rPr>
          <w:rFonts w:ascii="Arial" w:hAnsi="Arial" w:cs="Arial"/>
          <w:b/>
          <w:bCs/>
          <w:color w:val="000000"/>
        </w:rPr>
        <w:t>. Pearson's correlation matrix - socioeconomic variables and SLSI sub-indices (N = 90)</w:t>
      </w:r>
    </w:p>
    <w:tbl>
      <w:tblPr>
        <w:tblStyle w:val="PlainTable2"/>
        <w:tblW w:w="5000" w:type="pct"/>
        <w:tblLook w:val="0000" w:firstRow="0" w:lastRow="0" w:firstColumn="0" w:lastColumn="0" w:noHBand="0" w:noVBand="0"/>
      </w:tblPr>
      <w:tblGrid>
        <w:gridCol w:w="2028"/>
        <w:gridCol w:w="723"/>
        <w:gridCol w:w="800"/>
        <w:gridCol w:w="723"/>
        <w:gridCol w:w="878"/>
        <w:gridCol w:w="800"/>
        <w:gridCol w:w="723"/>
        <w:gridCol w:w="800"/>
        <w:gridCol w:w="723"/>
      </w:tblGrid>
      <w:tr w:rsidR="001B3B9B" w:rsidRPr="005C7305" w14:paraId="4E12B463" w14:textId="77777777" w:rsidTr="005C7305">
        <w:trPr>
          <w:cnfStyle w:val="000000100000" w:firstRow="0" w:lastRow="0" w:firstColumn="0" w:lastColumn="0" w:oddVBand="0" w:evenVBand="0" w:oddHBand="1" w:evenHBand="0" w:firstRowFirstColumn="0" w:firstRowLastColumn="0" w:lastRowFirstColumn="0" w:lastRowLastColumn="0"/>
          <w:trHeight w:val="237"/>
        </w:trPr>
        <w:tc>
          <w:tcPr>
            <w:cnfStyle w:val="000010000000" w:firstRow="0" w:lastRow="0" w:firstColumn="0" w:lastColumn="0" w:oddVBand="1" w:evenVBand="0" w:oddHBand="0" w:evenHBand="0" w:firstRowFirstColumn="0" w:firstRowLastColumn="0" w:lastRowFirstColumn="0" w:lastRowLastColumn="0"/>
            <w:tcW w:w="1301" w:type="pct"/>
            <w:shd w:val="clear" w:color="auto" w:fill="E5B8B7" w:themeFill="accent2" w:themeFillTint="66"/>
          </w:tcPr>
          <w:p w14:paraId="37BA8A62" w14:textId="77777777" w:rsidR="00533466" w:rsidRPr="005C7305" w:rsidRDefault="00533466" w:rsidP="00F365FC">
            <w:pPr>
              <w:jc w:val="center"/>
              <w:rPr>
                <w:rFonts w:ascii="Arial" w:hAnsi="Arial" w:cs="Arial"/>
                <w:color w:val="000000" w:themeColor="text1"/>
              </w:rPr>
            </w:pPr>
            <w:r w:rsidRPr="005C7305">
              <w:rPr>
                <w:rFonts w:ascii="Arial" w:hAnsi="Arial" w:cs="Arial"/>
                <w:b/>
                <w:bCs/>
                <w:color w:val="000000" w:themeColor="text1"/>
              </w:rPr>
              <w:t>Variable</w:t>
            </w:r>
          </w:p>
        </w:tc>
        <w:tc>
          <w:tcPr>
            <w:cnfStyle w:val="000001000000" w:firstRow="0" w:lastRow="0" w:firstColumn="0" w:lastColumn="0" w:oddVBand="0" w:evenVBand="1" w:oddHBand="0" w:evenHBand="0" w:firstRowFirstColumn="0" w:firstRowLastColumn="0" w:lastRowFirstColumn="0" w:lastRowLastColumn="0"/>
            <w:tcW w:w="421" w:type="pct"/>
            <w:shd w:val="clear" w:color="auto" w:fill="E5B8B7" w:themeFill="accent2" w:themeFillTint="66"/>
          </w:tcPr>
          <w:p w14:paraId="0A5BB5DC" w14:textId="77777777" w:rsidR="00533466" w:rsidRPr="005C7305" w:rsidRDefault="00533466" w:rsidP="00F365FC">
            <w:pPr>
              <w:jc w:val="center"/>
              <w:rPr>
                <w:rFonts w:ascii="Arial" w:hAnsi="Arial" w:cs="Arial"/>
                <w:color w:val="000000" w:themeColor="text1"/>
              </w:rPr>
            </w:pPr>
            <w:r w:rsidRPr="005C7305">
              <w:rPr>
                <w:rFonts w:ascii="Arial" w:hAnsi="Arial" w:cs="Arial"/>
                <w:b/>
                <w:bCs/>
                <w:color w:val="000000" w:themeColor="text1"/>
              </w:rPr>
              <w:t>Food</w:t>
            </w:r>
          </w:p>
        </w:tc>
        <w:tc>
          <w:tcPr>
            <w:cnfStyle w:val="000010000000" w:firstRow="0" w:lastRow="0" w:firstColumn="0" w:lastColumn="0" w:oddVBand="1" w:evenVBand="0" w:oddHBand="0" w:evenHBand="0" w:firstRowFirstColumn="0" w:firstRowLastColumn="0" w:lastRowFirstColumn="0" w:lastRowLastColumn="0"/>
            <w:tcW w:w="464" w:type="pct"/>
            <w:shd w:val="clear" w:color="auto" w:fill="E5B8B7" w:themeFill="accent2" w:themeFillTint="66"/>
          </w:tcPr>
          <w:p w14:paraId="7B5C6DBE" w14:textId="77777777" w:rsidR="00533466" w:rsidRPr="005C7305" w:rsidRDefault="00533466" w:rsidP="00F365FC">
            <w:pPr>
              <w:jc w:val="center"/>
              <w:rPr>
                <w:rFonts w:ascii="Arial" w:hAnsi="Arial" w:cs="Arial"/>
                <w:color w:val="000000" w:themeColor="text1"/>
              </w:rPr>
            </w:pPr>
            <w:r w:rsidRPr="005C7305">
              <w:rPr>
                <w:rFonts w:ascii="Arial" w:hAnsi="Arial" w:cs="Arial"/>
                <w:b/>
                <w:bCs/>
                <w:color w:val="000000" w:themeColor="text1"/>
              </w:rPr>
              <w:t>Occ.</w:t>
            </w:r>
          </w:p>
        </w:tc>
        <w:tc>
          <w:tcPr>
            <w:cnfStyle w:val="000001000000" w:firstRow="0" w:lastRow="0" w:firstColumn="0" w:lastColumn="0" w:oddVBand="0" w:evenVBand="1" w:oddHBand="0" w:evenHBand="0" w:firstRowFirstColumn="0" w:firstRowLastColumn="0" w:lastRowFirstColumn="0" w:lastRowLastColumn="0"/>
            <w:tcW w:w="477" w:type="pct"/>
            <w:shd w:val="clear" w:color="auto" w:fill="E5B8B7" w:themeFill="accent2" w:themeFillTint="66"/>
          </w:tcPr>
          <w:p w14:paraId="23EB1467" w14:textId="77777777" w:rsidR="00533466" w:rsidRPr="005C7305" w:rsidRDefault="00533466" w:rsidP="00F365FC">
            <w:pPr>
              <w:jc w:val="center"/>
              <w:rPr>
                <w:rFonts w:ascii="Arial" w:hAnsi="Arial" w:cs="Arial"/>
                <w:color w:val="000000" w:themeColor="text1"/>
              </w:rPr>
            </w:pPr>
            <w:r w:rsidRPr="005C7305">
              <w:rPr>
                <w:rFonts w:ascii="Arial" w:hAnsi="Arial" w:cs="Arial"/>
                <w:b/>
                <w:bCs/>
                <w:color w:val="000000" w:themeColor="text1"/>
              </w:rPr>
              <w:t>Hab.</w:t>
            </w:r>
          </w:p>
        </w:tc>
        <w:tc>
          <w:tcPr>
            <w:cnfStyle w:val="000010000000" w:firstRow="0" w:lastRow="0" w:firstColumn="0" w:lastColumn="0" w:oddVBand="1" w:evenVBand="0" w:oddHBand="0" w:evenHBand="0" w:firstRowFirstColumn="0" w:firstRowLastColumn="0" w:lastRowFirstColumn="0" w:lastRowLastColumn="0"/>
            <w:tcW w:w="510" w:type="pct"/>
            <w:shd w:val="clear" w:color="auto" w:fill="E5B8B7" w:themeFill="accent2" w:themeFillTint="66"/>
          </w:tcPr>
          <w:p w14:paraId="0C7A68FF" w14:textId="77777777" w:rsidR="00533466" w:rsidRPr="005C7305" w:rsidRDefault="00533466" w:rsidP="00F365FC">
            <w:pPr>
              <w:jc w:val="center"/>
              <w:rPr>
                <w:rFonts w:ascii="Arial" w:hAnsi="Arial" w:cs="Arial"/>
                <w:color w:val="000000" w:themeColor="text1"/>
              </w:rPr>
            </w:pPr>
            <w:r w:rsidRPr="005C7305">
              <w:rPr>
                <w:rFonts w:ascii="Arial" w:hAnsi="Arial" w:cs="Arial"/>
                <w:b/>
                <w:bCs/>
                <w:color w:val="000000" w:themeColor="text1"/>
              </w:rPr>
              <w:t>Edu.</w:t>
            </w:r>
          </w:p>
        </w:tc>
        <w:tc>
          <w:tcPr>
            <w:cnfStyle w:val="000001000000" w:firstRow="0" w:lastRow="0" w:firstColumn="0" w:lastColumn="0" w:oddVBand="0" w:evenVBand="1" w:oddHBand="0" w:evenHBand="0" w:firstRowFirstColumn="0" w:firstRowLastColumn="0" w:lastRowFirstColumn="0" w:lastRowLastColumn="0"/>
            <w:tcW w:w="464" w:type="pct"/>
            <w:shd w:val="clear" w:color="auto" w:fill="E5B8B7" w:themeFill="accent2" w:themeFillTint="66"/>
          </w:tcPr>
          <w:p w14:paraId="4F1AAD3E" w14:textId="77777777" w:rsidR="00533466" w:rsidRPr="005C7305" w:rsidRDefault="00533466" w:rsidP="00F365FC">
            <w:pPr>
              <w:jc w:val="center"/>
              <w:rPr>
                <w:rFonts w:ascii="Arial" w:hAnsi="Arial" w:cs="Arial"/>
                <w:color w:val="000000" w:themeColor="text1"/>
              </w:rPr>
            </w:pPr>
            <w:r w:rsidRPr="005C7305">
              <w:rPr>
                <w:rFonts w:ascii="Arial" w:hAnsi="Arial" w:cs="Arial"/>
                <w:b/>
                <w:bCs/>
                <w:color w:val="000000" w:themeColor="text1"/>
              </w:rPr>
              <w:t>Soc.</w:t>
            </w:r>
          </w:p>
        </w:tc>
        <w:tc>
          <w:tcPr>
            <w:cnfStyle w:val="000010000000" w:firstRow="0" w:lastRow="0" w:firstColumn="0" w:lastColumn="0" w:oddVBand="1" w:evenVBand="0" w:oddHBand="0" w:evenHBand="0" w:firstRowFirstColumn="0" w:firstRowLastColumn="0" w:lastRowFirstColumn="0" w:lastRowLastColumn="0"/>
            <w:tcW w:w="421" w:type="pct"/>
            <w:shd w:val="clear" w:color="auto" w:fill="E5B8B7" w:themeFill="accent2" w:themeFillTint="66"/>
          </w:tcPr>
          <w:p w14:paraId="4D74FC9D" w14:textId="77777777" w:rsidR="00533466" w:rsidRPr="005C7305" w:rsidRDefault="00533466" w:rsidP="00F365FC">
            <w:pPr>
              <w:jc w:val="center"/>
              <w:rPr>
                <w:rFonts w:ascii="Arial" w:hAnsi="Arial" w:cs="Arial"/>
                <w:color w:val="000000" w:themeColor="text1"/>
              </w:rPr>
            </w:pPr>
            <w:proofErr w:type="spellStart"/>
            <w:r w:rsidRPr="005C7305">
              <w:rPr>
                <w:rFonts w:ascii="Arial" w:hAnsi="Arial" w:cs="Arial"/>
                <w:b/>
                <w:bCs/>
                <w:color w:val="000000" w:themeColor="text1"/>
              </w:rPr>
              <w:t>Hlt</w:t>
            </w:r>
            <w:proofErr w:type="spellEnd"/>
            <w:r w:rsidRPr="005C7305">
              <w:rPr>
                <w:rFonts w:ascii="Arial" w:hAnsi="Arial" w:cs="Arial"/>
                <w:b/>
                <w:bCs/>
                <w:color w:val="000000" w:themeColor="text1"/>
              </w:rPr>
              <w:t>.</w:t>
            </w:r>
          </w:p>
        </w:tc>
        <w:tc>
          <w:tcPr>
            <w:cnfStyle w:val="000001000000" w:firstRow="0" w:lastRow="0" w:firstColumn="0" w:lastColumn="0" w:oddVBand="0" w:evenVBand="1" w:oddHBand="0" w:evenHBand="0" w:firstRowFirstColumn="0" w:firstRowLastColumn="0" w:lastRowFirstColumn="0" w:lastRowLastColumn="0"/>
            <w:tcW w:w="464" w:type="pct"/>
            <w:shd w:val="clear" w:color="auto" w:fill="E5B8B7" w:themeFill="accent2" w:themeFillTint="66"/>
          </w:tcPr>
          <w:p w14:paraId="1C0BEBC1" w14:textId="77777777" w:rsidR="00533466" w:rsidRPr="005C7305" w:rsidRDefault="00533466" w:rsidP="00F365FC">
            <w:pPr>
              <w:jc w:val="center"/>
              <w:rPr>
                <w:rFonts w:ascii="Arial" w:hAnsi="Arial" w:cs="Arial"/>
                <w:color w:val="000000" w:themeColor="text1"/>
              </w:rPr>
            </w:pPr>
            <w:r w:rsidRPr="005C7305">
              <w:rPr>
                <w:rFonts w:ascii="Arial" w:hAnsi="Arial" w:cs="Arial"/>
                <w:b/>
                <w:bCs/>
                <w:color w:val="000000" w:themeColor="text1"/>
              </w:rPr>
              <w:t>Env.</w:t>
            </w:r>
          </w:p>
        </w:tc>
        <w:tc>
          <w:tcPr>
            <w:cnfStyle w:val="000010000000" w:firstRow="0" w:lastRow="0" w:firstColumn="0" w:lastColumn="0" w:oddVBand="1" w:evenVBand="0" w:oddHBand="0" w:evenHBand="0" w:firstRowFirstColumn="0" w:firstRowLastColumn="0" w:lastRowFirstColumn="0" w:lastRowLastColumn="0"/>
            <w:tcW w:w="477" w:type="pct"/>
            <w:shd w:val="clear" w:color="auto" w:fill="E5B8B7" w:themeFill="accent2" w:themeFillTint="66"/>
          </w:tcPr>
          <w:p w14:paraId="106000FD" w14:textId="77777777" w:rsidR="00533466" w:rsidRPr="005C7305" w:rsidRDefault="00533466" w:rsidP="00F365FC">
            <w:pPr>
              <w:jc w:val="center"/>
              <w:rPr>
                <w:rFonts w:ascii="Arial" w:hAnsi="Arial" w:cs="Arial"/>
                <w:color w:val="000000" w:themeColor="text1"/>
              </w:rPr>
            </w:pPr>
            <w:r w:rsidRPr="005C7305">
              <w:rPr>
                <w:rFonts w:ascii="Arial" w:hAnsi="Arial" w:cs="Arial"/>
                <w:b/>
                <w:bCs/>
                <w:color w:val="000000" w:themeColor="text1"/>
              </w:rPr>
              <w:t>SLSI</w:t>
            </w:r>
          </w:p>
        </w:tc>
      </w:tr>
      <w:tr w:rsidR="001B3B9B" w:rsidRPr="005C7305" w14:paraId="505CFD38" w14:textId="77777777" w:rsidTr="005C7305">
        <w:trPr>
          <w:trHeight w:val="237"/>
        </w:trPr>
        <w:tc>
          <w:tcPr>
            <w:cnfStyle w:val="000010000000" w:firstRow="0" w:lastRow="0" w:firstColumn="0" w:lastColumn="0" w:oddVBand="1" w:evenVBand="0" w:oddHBand="0" w:evenHBand="0" w:firstRowFirstColumn="0" w:firstRowLastColumn="0" w:lastRowFirstColumn="0" w:lastRowLastColumn="0"/>
            <w:tcW w:w="1301" w:type="pct"/>
          </w:tcPr>
          <w:p w14:paraId="3E9F28EF" w14:textId="77777777" w:rsidR="00533466" w:rsidRPr="005C7305" w:rsidRDefault="00533466" w:rsidP="00F365FC">
            <w:pPr>
              <w:rPr>
                <w:rFonts w:ascii="Arial" w:hAnsi="Arial" w:cs="Arial"/>
                <w:b/>
                <w:bCs/>
              </w:rPr>
            </w:pPr>
            <w:r w:rsidRPr="005C7305">
              <w:rPr>
                <w:rFonts w:ascii="Arial" w:hAnsi="Arial" w:cs="Arial"/>
                <w:b/>
                <w:bCs/>
                <w:color w:val="000000"/>
              </w:rPr>
              <w:t>No. of enterprises</w:t>
            </w:r>
          </w:p>
        </w:tc>
        <w:tc>
          <w:tcPr>
            <w:cnfStyle w:val="000001000000" w:firstRow="0" w:lastRow="0" w:firstColumn="0" w:lastColumn="0" w:oddVBand="0" w:evenVBand="1" w:oddHBand="0" w:evenHBand="0" w:firstRowFirstColumn="0" w:firstRowLastColumn="0" w:lastRowFirstColumn="0" w:lastRowLastColumn="0"/>
            <w:tcW w:w="421" w:type="pct"/>
          </w:tcPr>
          <w:p w14:paraId="7AF23309" w14:textId="77777777" w:rsidR="00533466" w:rsidRPr="005C7305" w:rsidRDefault="00533466" w:rsidP="00F365FC">
            <w:pPr>
              <w:jc w:val="center"/>
              <w:rPr>
                <w:rFonts w:ascii="Arial" w:hAnsi="Arial" w:cs="Arial"/>
              </w:rPr>
            </w:pPr>
            <w:r w:rsidRPr="005C7305">
              <w:rPr>
                <w:rFonts w:ascii="Arial" w:hAnsi="Arial" w:cs="Arial"/>
                <w:color w:val="000000"/>
              </w:rPr>
              <w:t>+.036</w:t>
            </w:r>
          </w:p>
        </w:tc>
        <w:tc>
          <w:tcPr>
            <w:cnfStyle w:val="000010000000" w:firstRow="0" w:lastRow="0" w:firstColumn="0" w:lastColumn="0" w:oddVBand="1" w:evenVBand="0" w:oddHBand="0" w:evenHBand="0" w:firstRowFirstColumn="0" w:firstRowLastColumn="0" w:lastRowFirstColumn="0" w:lastRowLastColumn="0"/>
            <w:tcW w:w="464" w:type="pct"/>
          </w:tcPr>
          <w:p w14:paraId="389CD4C9" w14:textId="77777777" w:rsidR="00533466" w:rsidRPr="005C7305" w:rsidRDefault="00533466" w:rsidP="00F365FC">
            <w:pPr>
              <w:jc w:val="center"/>
              <w:rPr>
                <w:rFonts w:ascii="Arial" w:hAnsi="Arial" w:cs="Arial"/>
              </w:rPr>
            </w:pPr>
            <w:r w:rsidRPr="005C7305">
              <w:rPr>
                <w:rFonts w:ascii="Arial" w:hAnsi="Arial" w:cs="Arial"/>
                <w:color w:val="000000"/>
              </w:rPr>
              <w:t>-.042</w:t>
            </w:r>
          </w:p>
        </w:tc>
        <w:tc>
          <w:tcPr>
            <w:cnfStyle w:val="000001000000" w:firstRow="0" w:lastRow="0" w:firstColumn="0" w:lastColumn="0" w:oddVBand="0" w:evenVBand="1" w:oddHBand="0" w:evenHBand="0" w:firstRowFirstColumn="0" w:firstRowLastColumn="0" w:lastRowFirstColumn="0" w:lastRowLastColumn="0"/>
            <w:tcW w:w="477" w:type="pct"/>
          </w:tcPr>
          <w:p w14:paraId="739BE7E0" w14:textId="77777777" w:rsidR="00533466" w:rsidRPr="005C7305" w:rsidRDefault="00533466" w:rsidP="00F365FC">
            <w:pPr>
              <w:jc w:val="center"/>
              <w:rPr>
                <w:rFonts w:ascii="Arial" w:hAnsi="Arial" w:cs="Arial"/>
              </w:rPr>
            </w:pPr>
            <w:r w:rsidRPr="005C7305">
              <w:rPr>
                <w:rFonts w:ascii="Arial" w:hAnsi="Arial" w:cs="Arial"/>
                <w:color w:val="000000"/>
              </w:rPr>
              <w:t>-.015</w:t>
            </w:r>
          </w:p>
        </w:tc>
        <w:tc>
          <w:tcPr>
            <w:cnfStyle w:val="000010000000" w:firstRow="0" w:lastRow="0" w:firstColumn="0" w:lastColumn="0" w:oddVBand="1" w:evenVBand="0" w:oddHBand="0" w:evenHBand="0" w:firstRowFirstColumn="0" w:firstRowLastColumn="0" w:lastRowFirstColumn="0" w:lastRowLastColumn="0"/>
            <w:tcW w:w="510" w:type="pct"/>
          </w:tcPr>
          <w:p w14:paraId="3F1B79CE" w14:textId="77777777" w:rsidR="00533466" w:rsidRPr="005C7305" w:rsidRDefault="00533466" w:rsidP="00F365FC">
            <w:pPr>
              <w:jc w:val="center"/>
              <w:rPr>
                <w:rFonts w:ascii="Arial" w:hAnsi="Arial" w:cs="Arial"/>
              </w:rPr>
            </w:pPr>
            <w:r w:rsidRPr="005C7305">
              <w:rPr>
                <w:rFonts w:ascii="Arial" w:hAnsi="Arial" w:cs="Arial"/>
                <w:color w:val="000000"/>
              </w:rPr>
              <w:t>+.099</w:t>
            </w:r>
          </w:p>
        </w:tc>
        <w:tc>
          <w:tcPr>
            <w:cnfStyle w:val="000001000000" w:firstRow="0" w:lastRow="0" w:firstColumn="0" w:lastColumn="0" w:oddVBand="0" w:evenVBand="1" w:oddHBand="0" w:evenHBand="0" w:firstRowFirstColumn="0" w:firstRowLastColumn="0" w:lastRowFirstColumn="0" w:lastRowLastColumn="0"/>
            <w:tcW w:w="464" w:type="pct"/>
          </w:tcPr>
          <w:p w14:paraId="1C1CB060" w14:textId="77777777" w:rsidR="00533466" w:rsidRPr="005C7305" w:rsidRDefault="00533466" w:rsidP="00F365FC">
            <w:pPr>
              <w:jc w:val="center"/>
              <w:rPr>
                <w:rFonts w:ascii="Arial" w:hAnsi="Arial" w:cs="Arial"/>
              </w:rPr>
            </w:pPr>
            <w:r w:rsidRPr="005C7305">
              <w:rPr>
                <w:rFonts w:ascii="Arial" w:hAnsi="Arial" w:cs="Arial"/>
                <w:color w:val="000000"/>
              </w:rPr>
              <w:t>+.076</w:t>
            </w:r>
          </w:p>
        </w:tc>
        <w:tc>
          <w:tcPr>
            <w:cnfStyle w:val="000010000000" w:firstRow="0" w:lastRow="0" w:firstColumn="0" w:lastColumn="0" w:oddVBand="1" w:evenVBand="0" w:oddHBand="0" w:evenHBand="0" w:firstRowFirstColumn="0" w:firstRowLastColumn="0" w:lastRowFirstColumn="0" w:lastRowLastColumn="0"/>
            <w:tcW w:w="421" w:type="pct"/>
          </w:tcPr>
          <w:p w14:paraId="13A712DE" w14:textId="77777777" w:rsidR="00533466" w:rsidRPr="005C7305" w:rsidRDefault="00533466" w:rsidP="00F365FC">
            <w:pPr>
              <w:jc w:val="center"/>
              <w:rPr>
                <w:rFonts w:ascii="Arial" w:hAnsi="Arial" w:cs="Arial"/>
              </w:rPr>
            </w:pPr>
            <w:r w:rsidRPr="005C7305">
              <w:rPr>
                <w:rFonts w:ascii="Arial" w:hAnsi="Arial" w:cs="Arial"/>
                <w:color w:val="000000"/>
              </w:rPr>
              <w:t>+.081</w:t>
            </w:r>
          </w:p>
        </w:tc>
        <w:tc>
          <w:tcPr>
            <w:cnfStyle w:val="000001000000" w:firstRow="0" w:lastRow="0" w:firstColumn="0" w:lastColumn="0" w:oddVBand="0" w:evenVBand="1" w:oddHBand="0" w:evenHBand="0" w:firstRowFirstColumn="0" w:firstRowLastColumn="0" w:lastRowFirstColumn="0" w:lastRowLastColumn="0"/>
            <w:tcW w:w="464" w:type="pct"/>
          </w:tcPr>
          <w:p w14:paraId="0B8B86C6" w14:textId="77777777" w:rsidR="00533466" w:rsidRPr="005C7305" w:rsidRDefault="00533466" w:rsidP="00F365FC">
            <w:pPr>
              <w:jc w:val="center"/>
              <w:rPr>
                <w:rFonts w:ascii="Arial" w:hAnsi="Arial" w:cs="Arial"/>
              </w:rPr>
            </w:pPr>
            <w:r w:rsidRPr="005C7305">
              <w:rPr>
                <w:rFonts w:ascii="Arial" w:hAnsi="Arial" w:cs="Arial"/>
                <w:color w:val="000000"/>
              </w:rPr>
              <w:t>+.035</w:t>
            </w:r>
          </w:p>
        </w:tc>
        <w:tc>
          <w:tcPr>
            <w:cnfStyle w:val="000010000000" w:firstRow="0" w:lastRow="0" w:firstColumn="0" w:lastColumn="0" w:oddVBand="1" w:evenVBand="0" w:oddHBand="0" w:evenHBand="0" w:firstRowFirstColumn="0" w:firstRowLastColumn="0" w:lastRowFirstColumn="0" w:lastRowLastColumn="0"/>
            <w:tcW w:w="477" w:type="pct"/>
          </w:tcPr>
          <w:p w14:paraId="02BE0F48" w14:textId="77777777" w:rsidR="00533466" w:rsidRPr="005C7305" w:rsidRDefault="00533466" w:rsidP="00F365FC">
            <w:pPr>
              <w:jc w:val="center"/>
              <w:rPr>
                <w:rFonts w:ascii="Arial" w:hAnsi="Arial" w:cs="Arial"/>
              </w:rPr>
            </w:pPr>
            <w:r w:rsidRPr="005C7305">
              <w:rPr>
                <w:rFonts w:ascii="Arial" w:hAnsi="Arial" w:cs="Arial"/>
                <w:color w:val="000000"/>
              </w:rPr>
              <w:t>+.071</w:t>
            </w:r>
          </w:p>
        </w:tc>
      </w:tr>
      <w:tr w:rsidR="001B3B9B" w:rsidRPr="005C7305" w14:paraId="2A7B7FFD" w14:textId="77777777" w:rsidTr="005C7305">
        <w:trPr>
          <w:cnfStyle w:val="000000100000" w:firstRow="0" w:lastRow="0" w:firstColumn="0" w:lastColumn="0" w:oddVBand="0" w:evenVBand="0" w:oddHBand="1" w:evenHBand="0" w:firstRowFirstColumn="0" w:firstRowLastColumn="0" w:lastRowFirstColumn="0" w:lastRowLastColumn="0"/>
          <w:trHeight w:val="237"/>
        </w:trPr>
        <w:tc>
          <w:tcPr>
            <w:cnfStyle w:val="000010000000" w:firstRow="0" w:lastRow="0" w:firstColumn="0" w:lastColumn="0" w:oddVBand="1" w:evenVBand="0" w:oddHBand="0" w:evenHBand="0" w:firstRowFirstColumn="0" w:firstRowLastColumn="0" w:lastRowFirstColumn="0" w:lastRowLastColumn="0"/>
            <w:tcW w:w="1301" w:type="pct"/>
          </w:tcPr>
          <w:p w14:paraId="1A6B32CD" w14:textId="77777777" w:rsidR="00533466" w:rsidRPr="005C7305" w:rsidRDefault="00533466" w:rsidP="00F365FC">
            <w:pPr>
              <w:rPr>
                <w:rFonts w:ascii="Arial" w:hAnsi="Arial" w:cs="Arial"/>
                <w:b/>
                <w:bCs/>
              </w:rPr>
            </w:pPr>
            <w:r w:rsidRPr="005C7305">
              <w:rPr>
                <w:rFonts w:ascii="Arial" w:hAnsi="Arial" w:cs="Arial"/>
                <w:b/>
                <w:bCs/>
                <w:color w:val="000000"/>
              </w:rPr>
              <w:t>IFS income</w:t>
            </w:r>
          </w:p>
        </w:tc>
        <w:tc>
          <w:tcPr>
            <w:cnfStyle w:val="000001000000" w:firstRow="0" w:lastRow="0" w:firstColumn="0" w:lastColumn="0" w:oddVBand="0" w:evenVBand="1" w:oddHBand="0" w:evenHBand="0" w:firstRowFirstColumn="0" w:firstRowLastColumn="0" w:lastRowFirstColumn="0" w:lastRowLastColumn="0"/>
            <w:tcW w:w="421" w:type="pct"/>
          </w:tcPr>
          <w:p w14:paraId="1D88AAB5" w14:textId="77777777" w:rsidR="00533466" w:rsidRPr="005C7305" w:rsidRDefault="00533466" w:rsidP="00F365FC">
            <w:pPr>
              <w:jc w:val="center"/>
              <w:rPr>
                <w:rFonts w:ascii="Arial" w:hAnsi="Arial" w:cs="Arial"/>
              </w:rPr>
            </w:pPr>
            <w:r w:rsidRPr="005C7305">
              <w:rPr>
                <w:rFonts w:ascii="Arial" w:hAnsi="Arial" w:cs="Arial"/>
                <w:color w:val="000000"/>
              </w:rPr>
              <w:t>-.042</w:t>
            </w:r>
          </w:p>
        </w:tc>
        <w:tc>
          <w:tcPr>
            <w:cnfStyle w:val="000010000000" w:firstRow="0" w:lastRow="0" w:firstColumn="0" w:lastColumn="0" w:oddVBand="1" w:evenVBand="0" w:oddHBand="0" w:evenHBand="0" w:firstRowFirstColumn="0" w:firstRowLastColumn="0" w:lastRowFirstColumn="0" w:lastRowLastColumn="0"/>
            <w:tcW w:w="464" w:type="pct"/>
          </w:tcPr>
          <w:p w14:paraId="1F099921" w14:textId="77777777" w:rsidR="00533466" w:rsidRPr="005C7305" w:rsidRDefault="00533466" w:rsidP="00F365FC">
            <w:pPr>
              <w:jc w:val="center"/>
              <w:rPr>
                <w:rFonts w:ascii="Arial" w:hAnsi="Arial" w:cs="Arial"/>
              </w:rPr>
            </w:pPr>
            <w:r w:rsidRPr="005C7305">
              <w:rPr>
                <w:rFonts w:ascii="Arial" w:hAnsi="Arial" w:cs="Arial"/>
                <w:color w:val="000000"/>
              </w:rPr>
              <w:t>-.114</w:t>
            </w:r>
          </w:p>
        </w:tc>
        <w:tc>
          <w:tcPr>
            <w:cnfStyle w:val="000001000000" w:firstRow="0" w:lastRow="0" w:firstColumn="0" w:lastColumn="0" w:oddVBand="0" w:evenVBand="1" w:oddHBand="0" w:evenHBand="0" w:firstRowFirstColumn="0" w:firstRowLastColumn="0" w:lastRowFirstColumn="0" w:lastRowLastColumn="0"/>
            <w:tcW w:w="477" w:type="pct"/>
          </w:tcPr>
          <w:p w14:paraId="4E444361" w14:textId="77777777" w:rsidR="00533466" w:rsidRPr="005C7305" w:rsidRDefault="00533466" w:rsidP="00F365FC">
            <w:pPr>
              <w:jc w:val="center"/>
              <w:rPr>
                <w:rFonts w:ascii="Arial" w:hAnsi="Arial" w:cs="Arial"/>
              </w:rPr>
            </w:pPr>
            <w:r w:rsidRPr="005C7305">
              <w:rPr>
                <w:rFonts w:ascii="Arial" w:hAnsi="Arial" w:cs="Arial"/>
                <w:color w:val="000000"/>
              </w:rPr>
              <w:t>+.018</w:t>
            </w:r>
          </w:p>
        </w:tc>
        <w:tc>
          <w:tcPr>
            <w:cnfStyle w:val="000010000000" w:firstRow="0" w:lastRow="0" w:firstColumn="0" w:lastColumn="0" w:oddVBand="1" w:evenVBand="0" w:oddHBand="0" w:evenHBand="0" w:firstRowFirstColumn="0" w:firstRowLastColumn="0" w:lastRowFirstColumn="0" w:lastRowLastColumn="0"/>
            <w:tcW w:w="510" w:type="pct"/>
          </w:tcPr>
          <w:p w14:paraId="2BD9C984" w14:textId="77777777" w:rsidR="00533466" w:rsidRPr="005C7305" w:rsidRDefault="00533466" w:rsidP="00F365FC">
            <w:pPr>
              <w:jc w:val="center"/>
              <w:rPr>
                <w:rFonts w:ascii="Arial" w:hAnsi="Arial" w:cs="Arial"/>
              </w:rPr>
            </w:pPr>
            <w:r w:rsidRPr="005C7305">
              <w:rPr>
                <w:rFonts w:ascii="Arial" w:hAnsi="Arial" w:cs="Arial"/>
                <w:color w:val="000000"/>
              </w:rPr>
              <w:t>+.056</w:t>
            </w:r>
          </w:p>
        </w:tc>
        <w:tc>
          <w:tcPr>
            <w:cnfStyle w:val="000001000000" w:firstRow="0" w:lastRow="0" w:firstColumn="0" w:lastColumn="0" w:oddVBand="0" w:evenVBand="1" w:oddHBand="0" w:evenHBand="0" w:firstRowFirstColumn="0" w:firstRowLastColumn="0" w:lastRowFirstColumn="0" w:lastRowLastColumn="0"/>
            <w:tcW w:w="464" w:type="pct"/>
          </w:tcPr>
          <w:p w14:paraId="5D14884B" w14:textId="77777777" w:rsidR="00533466" w:rsidRPr="005C7305" w:rsidRDefault="00533466" w:rsidP="00F365FC">
            <w:pPr>
              <w:jc w:val="center"/>
              <w:rPr>
                <w:rFonts w:ascii="Arial" w:hAnsi="Arial" w:cs="Arial"/>
              </w:rPr>
            </w:pPr>
            <w:r w:rsidRPr="005C7305">
              <w:rPr>
                <w:rFonts w:ascii="Arial" w:hAnsi="Arial" w:cs="Arial"/>
                <w:color w:val="000000"/>
              </w:rPr>
              <w:t>+.171</w:t>
            </w:r>
          </w:p>
        </w:tc>
        <w:tc>
          <w:tcPr>
            <w:cnfStyle w:val="000010000000" w:firstRow="0" w:lastRow="0" w:firstColumn="0" w:lastColumn="0" w:oddVBand="1" w:evenVBand="0" w:oddHBand="0" w:evenHBand="0" w:firstRowFirstColumn="0" w:firstRowLastColumn="0" w:lastRowFirstColumn="0" w:lastRowLastColumn="0"/>
            <w:tcW w:w="421" w:type="pct"/>
          </w:tcPr>
          <w:p w14:paraId="77BDA00D" w14:textId="77777777" w:rsidR="00533466" w:rsidRPr="005C7305" w:rsidRDefault="00533466" w:rsidP="00F365FC">
            <w:pPr>
              <w:jc w:val="center"/>
              <w:rPr>
                <w:rFonts w:ascii="Arial" w:hAnsi="Arial" w:cs="Arial"/>
              </w:rPr>
            </w:pPr>
            <w:r w:rsidRPr="005C7305">
              <w:rPr>
                <w:rFonts w:ascii="Arial" w:hAnsi="Arial" w:cs="Arial"/>
                <w:color w:val="000000"/>
              </w:rPr>
              <w:t>+.123</w:t>
            </w:r>
          </w:p>
        </w:tc>
        <w:tc>
          <w:tcPr>
            <w:cnfStyle w:val="000001000000" w:firstRow="0" w:lastRow="0" w:firstColumn="0" w:lastColumn="0" w:oddVBand="0" w:evenVBand="1" w:oddHBand="0" w:evenHBand="0" w:firstRowFirstColumn="0" w:firstRowLastColumn="0" w:lastRowFirstColumn="0" w:lastRowLastColumn="0"/>
            <w:tcW w:w="464" w:type="pct"/>
          </w:tcPr>
          <w:p w14:paraId="40B207C3" w14:textId="77777777" w:rsidR="00533466" w:rsidRPr="005C7305" w:rsidRDefault="00533466" w:rsidP="00F365FC">
            <w:pPr>
              <w:jc w:val="center"/>
              <w:rPr>
                <w:rFonts w:ascii="Arial" w:hAnsi="Arial" w:cs="Arial"/>
              </w:rPr>
            </w:pPr>
            <w:r w:rsidRPr="005C7305">
              <w:rPr>
                <w:rFonts w:ascii="Arial" w:hAnsi="Arial" w:cs="Arial"/>
                <w:color w:val="000000"/>
              </w:rPr>
              <w:t>+.046</w:t>
            </w:r>
          </w:p>
        </w:tc>
        <w:tc>
          <w:tcPr>
            <w:cnfStyle w:val="000010000000" w:firstRow="0" w:lastRow="0" w:firstColumn="0" w:lastColumn="0" w:oddVBand="1" w:evenVBand="0" w:oddHBand="0" w:evenHBand="0" w:firstRowFirstColumn="0" w:firstRowLastColumn="0" w:lastRowFirstColumn="0" w:lastRowLastColumn="0"/>
            <w:tcW w:w="477" w:type="pct"/>
          </w:tcPr>
          <w:p w14:paraId="08E09331" w14:textId="77777777" w:rsidR="00533466" w:rsidRPr="005C7305" w:rsidRDefault="00533466" w:rsidP="00F365FC">
            <w:pPr>
              <w:jc w:val="center"/>
              <w:rPr>
                <w:rFonts w:ascii="Arial" w:hAnsi="Arial" w:cs="Arial"/>
              </w:rPr>
            </w:pPr>
            <w:r w:rsidRPr="005C7305">
              <w:rPr>
                <w:rFonts w:ascii="Arial" w:hAnsi="Arial" w:cs="Arial"/>
                <w:color w:val="000000"/>
              </w:rPr>
              <w:t>+.033</w:t>
            </w:r>
          </w:p>
        </w:tc>
      </w:tr>
      <w:tr w:rsidR="001B3B9B" w:rsidRPr="005C7305" w14:paraId="2867B4E5" w14:textId="77777777" w:rsidTr="005C7305">
        <w:trPr>
          <w:trHeight w:val="237"/>
        </w:trPr>
        <w:tc>
          <w:tcPr>
            <w:cnfStyle w:val="000010000000" w:firstRow="0" w:lastRow="0" w:firstColumn="0" w:lastColumn="0" w:oddVBand="1" w:evenVBand="0" w:oddHBand="0" w:evenHBand="0" w:firstRowFirstColumn="0" w:firstRowLastColumn="0" w:lastRowFirstColumn="0" w:lastRowLastColumn="0"/>
            <w:tcW w:w="1301" w:type="pct"/>
          </w:tcPr>
          <w:p w14:paraId="5EE9E7CC" w14:textId="77777777" w:rsidR="00533466" w:rsidRPr="005C7305" w:rsidRDefault="00533466" w:rsidP="00F365FC">
            <w:pPr>
              <w:rPr>
                <w:rFonts w:ascii="Arial" w:hAnsi="Arial" w:cs="Arial"/>
                <w:b/>
                <w:bCs/>
              </w:rPr>
            </w:pPr>
            <w:r w:rsidRPr="005C7305">
              <w:rPr>
                <w:rFonts w:ascii="Arial" w:hAnsi="Arial" w:cs="Arial"/>
                <w:b/>
                <w:bCs/>
                <w:color w:val="000000"/>
              </w:rPr>
              <w:t>Annual income</w:t>
            </w:r>
          </w:p>
        </w:tc>
        <w:tc>
          <w:tcPr>
            <w:cnfStyle w:val="000001000000" w:firstRow="0" w:lastRow="0" w:firstColumn="0" w:lastColumn="0" w:oddVBand="0" w:evenVBand="1" w:oddHBand="0" w:evenHBand="0" w:firstRowFirstColumn="0" w:firstRowLastColumn="0" w:lastRowFirstColumn="0" w:lastRowLastColumn="0"/>
            <w:tcW w:w="421" w:type="pct"/>
          </w:tcPr>
          <w:p w14:paraId="4E6E639C" w14:textId="77777777" w:rsidR="00533466" w:rsidRPr="005C7305" w:rsidRDefault="00533466" w:rsidP="00F365FC">
            <w:pPr>
              <w:jc w:val="center"/>
              <w:rPr>
                <w:rFonts w:ascii="Arial" w:hAnsi="Arial" w:cs="Arial"/>
              </w:rPr>
            </w:pPr>
            <w:r w:rsidRPr="005C7305">
              <w:rPr>
                <w:rFonts w:ascii="Arial" w:hAnsi="Arial" w:cs="Arial"/>
                <w:color w:val="000000"/>
              </w:rPr>
              <w:t>-.027</w:t>
            </w:r>
          </w:p>
        </w:tc>
        <w:tc>
          <w:tcPr>
            <w:cnfStyle w:val="000010000000" w:firstRow="0" w:lastRow="0" w:firstColumn="0" w:lastColumn="0" w:oddVBand="1" w:evenVBand="0" w:oddHBand="0" w:evenHBand="0" w:firstRowFirstColumn="0" w:firstRowLastColumn="0" w:lastRowFirstColumn="0" w:lastRowLastColumn="0"/>
            <w:tcW w:w="464" w:type="pct"/>
          </w:tcPr>
          <w:p w14:paraId="7BF04417" w14:textId="77777777" w:rsidR="00533466" w:rsidRPr="005C7305" w:rsidRDefault="00533466" w:rsidP="00F365FC">
            <w:pPr>
              <w:jc w:val="center"/>
              <w:rPr>
                <w:rFonts w:ascii="Arial" w:hAnsi="Arial" w:cs="Arial"/>
              </w:rPr>
            </w:pPr>
            <w:r w:rsidRPr="005C7305">
              <w:rPr>
                <w:rFonts w:ascii="Arial" w:hAnsi="Arial" w:cs="Arial"/>
                <w:color w:val="000000"/>
              </w:rPr>
              <w:t>-.106</w:t>
            </w:r>
          </w:p>
        </w:tc>
        <w:tc>
          <w:tcPr>
            <w:cnfStyle w:val="000001000000" w:firstRow="0" w:lastRow="0" w:firstColumn="0" w:lastColumn="0" w:oddVBand="0" w:evenVBand="1" w:oddHBand="0" w:evenHBand="0" w:firstRowFirstColumn="0" w:firstRowLastColumn="0" w:lastRowFirstColumn="0" w:lastRowLastColumn="0"/>
            <w:tcW w:w="477" w:type="pct"/>
          </w:tcPr>
          <w:p w14:paraId="4B712030" w14:textId="77777777" w:rsidR="00533466" w:rsidRPr="005C7305" w:rsidRDefault="00533466" w:rsidP="00F365FC">
            <w:pPr>
              <w:jc w:val="center"/>
              <w:rPr>
                <w:rFonts w:ascii="Arial" w:hAnsi="Arial" w:cs="Arial"/>
              </w:rPr>
            </w:pPr>
            <w:r w:rsidRPr="005C7305">
              <w:rPr>
                <w:rFonts w:ascii="Arial" w:hAnsi="Arial" w:cs="Arial"/>
                <w:color w:val="000000"/>
              </w:rPr>
              <w:t>+.019</w:t>
            </w:r>
          </w:p>
        </w:tc>
        <w:tc>
          <w:tcPr>
            <w:cnfStyle w:val="000010000000" w:firstRow="0" w:lastRow="0" w:firstColumn="0" w:lastColumn="0" w:oddVBand="1" w:evenVBand="0" w:oddHBand="0" w:evenHBand="0" w:firstRowFirstColumn="0" w:firstRowLastColumn="0" w:lastRowFirstColumn="0" w:lastRowLastColumn="0"/>
            <w:tcW w:w="510" w:type="pct"/>
          </w:tcPr>
          <w:p w14:paraId="4DECB8C3" w14:textId="77777777" w:rsidR="00533466" w:rsidRPr="005C7305" w:rsidRDefault="00533466" w:rsidP="00F365FC">
            <w:pPr>
              <w:jc w:val="center"/>
              <w:rPr>
                <w:rFonts w:ascii="Arial" w:hAnsi="Arial" w:cs="Arial"/>
              </w:rPr>
            </w:pPr>
            <w:r w:rsidRPr="005C7305">
              <w:rPr>
                <w:rFonts w:ascii="Arial" w:hAnsi="Arial" w:cs="Arial"/>
                <w:color w:val="000000"/>
              </w:rPr>
              <w:t>-.107</w:t>
            </w:r>
          </w:p>
        </w:tc>
        <w:tc>
          <w:tcPr>
            <w:cnfStyle w:val="000001000000" w:firstRow="0" w:lastRow="0" w:firstColumn="0" w:lastColumn="0" w:oddVBand="0" w:evenVBand="1" w:oddHBand="0" w:evenHBand="0" w:firstRowFirstColumn="0" w:firstRowLastColumn="0" w:lastRowFirstColumn="0" w:lastRowLastColumn="0"/>
            <w:tcW w:w="464" w:type="pct"/>
          </w:tcPr>
          <w:p w14:paraId="0D78FD31" w14:textId="77777777" w:rsidR="00533466" w:rsidRPr="005C7305" w:rsidRDefault="00533466" w:rsidP="00F365FC">
            <w:pPr>
              <w:jc w:val="center"/>
              <w:rPr>
                <w:rFonts w:ascii="Arial" w:hAnsi="Arial" w:cs="Arial"/>
              </w:rPr>
            </w:pPr>
            <w:r w:rsidRPr="005C7305">
              <w:rPr>
                <w:rFonts w:ascii="Arial" w:hAnsi="Arial" w:cs="Arial"/>
                <w:color w:val="000000"/>
              </w:rPr>
              <w:t>+.036</w:t>
            </w:r>
          </w:p>
        </w:tc>
        <w:tc>
          <w:tcPr>
            <w:cnfStyle w:val="000010000000" w:firstRow="0" w:lastRow="0" w:firstColumn="0" w:lastColumn="0" w:oddVBand="1" w:evenVBand="0" w:oddHBand="0" w:evenHBand="0" w:firstRowFirstColumn="0" w:firstRowLastColumn="0" w:lastRowFirstColumn="0" w:lastRowLastColumn="0"/>
            <w:tcW w:w="421" w:type="pct"/>
          </w:tcPr>
          <w:p w14:paraId="7595E6F0" w14:textId="77777777" w:rsidR="00533466" w:rsidRPr="005C7305" w:rsidRDefault="00533466" w:rsidP="00F365FC">
            <w:pPr>
              <w:jc w:val="center"/>
              <w:rPr>
                <w:rFonts w:ascii="Arial" w:hAnsi="Arial" w:cs="Arial"/>
              </w:rPr>
            </w:pPr>
            <w:r w:rsidRPr="005C7305">
              <w:rPr>
                <w:rFonts w:ascii="Arial" w:hAnsi="Arial" w:cs="Arial"/>
                <w:color w:val="000000"/>
              </w:rPr>
              <w:t>+.040</w:t>
            </w:r>
          </w:p>
        </w:tc>
        <w:tc>
          <w:tcPr>
            <w:cnfStyle w:val="000001000000" w:firstRow="0" w:lastRow="0" w:firstColumn="0" w:lastColumn="0" w:oddVBand="0" w:evenVBand="1" w:oddHBand="0" w:evenHBand="0" w:firstRowFirstColumn="0" w:firstRowLastColumn="0" w:lastRowFirstColumn="0" w:lastRowLastColumn="0"/>
            <w:tcW w:w="464" w:type="pct"/>
          </w:tcPr>
          <w:p w14:paraId="12C9707D" w14:textId="77777777" w:rsidR="00533466" w:rsidRPr="005C7305" w:rsidRDefault="00533466" w:rsidP="00F365FC">
            <w:pPr>
              <w:jc w:val="center"/>
              <w:rPr>
                <w:rFonts w:ascii="Arial" w:hAnsi="Arial" w:cs="Arial"/>
              </w:rPr>
            </w:pPr>
            <w:r w:rsidRPr="005C7305">
              <w:rPr>
                <w:rFonts w:ascii="Arial" w:hAnsi="Arial" w:cs="Arial"/>
                <w:color w:val="000000"/>
              </w:rPr>
              <w:t>+.050</w:t>
            </w:r>
          </w:p>
        </w:tc>
        <w:tc>
          <w:tcPr>
            <w:cnfStyle w:val="000010000000" w:firstRow="0" w:lastRow="0" w:firstColumn="0" w:lastColumn="0" w:oddVBand="1" w:evenVBand="0" w:oddHBand="0" w:evenHBand="0" w:firstRowFirstColumn="0" w:firstRowLastColumn="0" w:lastRowFirstColumn="0" w:lastRowLastColumn="0"/>
            <w:tcW w:w="477" w:type="pct"/>
          </w:tcPr>
          <w:p w14:paraId="54ED2315" w14:textId="77777777" w:rsidR="00533466" w:rsidRPr="005C7305" w:rsidRDefault="00533466" w:rsidP="00F365FC">
            <w:pPr>
              <w:jc w:val="center"/>
              <w:rPr>
                <w:rFonts w:ascii="Arial" w:hAnsi="Arial" w:cs="Arial"/>
              </w:rPr>
            </w:pPr>
            <w:r w:rsidRPr="005C7305">
              <w:rPr>
                <w:rFonts w:ascii="Arial" w:hAnsi="Arial" w:cs="Arial"/>
                <w:color w:val="000000"/>
              </w:rPr>
              <w:t>-.074</w:t>
            </w:r>
          </w:p>
        </w:tc>
      </w:tr>
      <w:tr w:rsidR="001B3B9B" w:rsidRPr="005C7305" w14:paraId="49707CAB" w14:textId="77777777" w:rsidTr="005C7305">
        <w:trPr>
          <w:cnfStyle w:val="000000100000" w:firstRow="0" w:lastRow="0" w:firstColumn="0" w:lastColumn="0" w:oddVBand="0" w:evenVBand="0" w:oddHBand="1" w:evenHBand="0" w:firstRowFirstColumn="0" w:firstRowLastColumn="0" w:lastRowFirstColumn="0" w:lastRowLastColumn="0"/>
          <w:trHeight w:val="475"/>
        </w:trPr>
        <w:tc>
          <w:tcPr>
            <w:cnfStyle w:val="000010000000" w:firstRow="0" w:lastRow="0" w:firstColumn="0" w:lastColumn="0" w:oddVBand="1" w:evenVBand="0" w:oddHBand="0" w:evenHBand="0" w:firstRowFirstColumn="0" w:firstRowLastColumn="0" w:lastRowFirstColumn="0" w:lastRowLastColumn="0"/>
            <w:tcW w:w="1301" w:type="pct"/>
          </w:tcPr>
          <w:p w14:paraId="2D938DFC" w14:textId="77777777" w:rsidR="00533466" w:rsidRPr="005C7305" w:rsidRDefault="00533466" w:rsidP="00F365FC">
            <w:pPr>
              <w:rPr>
                <w:rFonts w:ascii="Arial" w:hAnsi="Arial" w:cs="Arial"/>
                <w:b/>
                <w:bCs/>
              </w:rPr>
            </w:pPr>
            <w:r w:rsidRPr="005C7305">
              <w:rPr>
                <w:rFonts w:ascii="Arial" w:hAnsi="Arial" w:cs="Arial"/>
                <w:b/>
                <w:bCs/>
                <w:color w:val="000000"/>
              </w:rPr>
              <w:t>Farming occupation</w:t>
            </w:r>
          </w:p>
        </w:tc>
        <w:tc>
          <w:tcPr>
            <w:cnfStyle w:val="000001000000" w:firstRow="0" w:lastRow="0" w:firstColumn="0" w:lastColumn="0" w:oddVBand="0" w:evenVBand="1" w:oddHBand="0" w:evenHBand="0" w:firstRowFirstColumn="0" w:firstRowLastColumn="0" w:lastRowFirstColumn="0" w:lastRowLastColumn="0"/>
            <w:tcW w:w="421" w:type="pct"/>
          </w:tcPr>
          <w:p w14:paraId="10BAB964" w14:textId="77777777" w:rsidR="00533466" w:rsidRPr="005C7305" w:rsidRDefault="00533466" w:rsidP="00F365FC">
            <w:pPr>
              <w:jc w:val="center"/>
              <w:rPr>
                <w:rFonts w:ascii="Arial" w:hAnsi="Arial" w:cs="Arial"/>
              </w:rPr>
            </w:pPr>
            <w:r w:rsidRPr="005C7305">
              <w:rPr>
                <w:rFonts w:ascii="Arial" w:hAnsi="Arial" w:cs="Arial"/>
                <w:color w:val="000000"/>
              </w:rPr>
              <w:t>-.059</w:t>
            </w:r>
          </w:p>
        </w:tc>
        <w:tc>
          <w:tcPr>
            <w:cnfStyle w:val="000010000000" w:firstRow="0" w:lastRow="0" w:firstColumn="0" w:lastColumn="0" w:oddVBand="1" w:evenVBand="0" w:oddHBand="0" w:evenHBand="0" w:firstRowFirstColumn="0" w:firstRowLastColumn="0" w:lastRowFirstColumn="0" w:lastRowLastColumn="0"/>
            <w:tcW w:w="464" w:type="pct"/>
          </w:tcPr>
          <w:p w14:paraId="6666F7AF" w14:textId="77777777" w:rsidR="00533466" w:rsidRPr="005C7305" w:rsidRDefault="00533466" w:rsidP="00F365FC">
            <w:pPr>
              <w:jc w:val="center"/>
              <w:rPr>
                <w:rFonts w:ascii="Arial" w:hAnsi="Arial" w:cs="Arial"/>
              </w:rPr>
            </w:pPr>
            <w:r w:rsidRPr="005C7305">
              <w:rPr>
                <w:rFonts w:ascii="Arial" w:hAnsi="Arial" w:cs="Arial"/>
                <w:color w:val="000000"/>
              </w:rPr>
              <w:t>+.011</w:t>
            </w:r>
          </w:p>
        </w:tc>
        <w:tc>
          <w:tcPr>
            <w:cnfStyle w:val="000001000000" w:firstRow="0" w:lastRow="0" w:firstColumn="0" w:lastColumn="0" w:oddVBand="0" w:evenVBand="1" w:oddHBand="0" w:evenHBand="0" w:firstRowFirstColumn="0" w:firstRowLastColumn="0" w:lastRowFirstColumn="0" w:lastRowLastColumn="0"/>
            <w:tcW w:w="477" w:type="pct"/>
          </w:tcPr>
          <w:p w14:paraId="1738E3EC" w14:textId="77777777" w:rsidR="00533466" w:rsidRPr="005C7305" w:rsidRDefault="00533466" w:rsidP="00F365FC">
            <w:pPr>
              <w:jc w:val="center"/>
              <w:rPr>
                <w:rFonts w:ascii="Arial" w:hAnsi="Arial" w:cs="Arial"/>
              </w:rPr>
            </w:pPr>
            <w:r w:rsidRPr="005C7305">
              <w:rPr>
                <w:rFonts w:ascii="Arial" w:hAnsi="Arial" w:cs="Arial"/>
                <w:color w:val="000000"/>
              </w:rPr>
              <w:t>+.042</w:t>
            </w:r>
          </w:p>
        </w:tc>
        <w:tc>
          <w:tcPr>
            <w:cnfStyle w:val="000010000000" w:firstRow="0" w:lastRow="0" w:firstColumn="0" w:lastColumn="0" w:oddVBand="1" w:evenVBand="0" w:oddHBand="0" w:evenHBand="0" w:firstRowFirstColumn="0" w:firstRowLastColumn="0" w:lastRowFirstColumn="0" w:lastRowLastColumn="0"/>
            <w:tcW w:w="510" w:type="pct"/>
          </w:tcPr>
          <w:p w14:paraId="7C8C850F" w14:textId="77777777" w:rsidR="00533466" w:rsidRPr="005C7305" w:rsidRDefault="00533466" w:rsidP="00F365FC">
            <w:pPr>
              <w:jc w:val="center"/>
              <w:rPr>
                <w:rFonts w:ascii="Arial" w:hAnsi="Arial" w:cs="Arial"/>
              </w:rPr>
            </w:pPr>
            <w:r w:rsidRPr="005C7305">
              <w:rPr>
                <w:rFonts w:ascii="Arial" w:hAnsi="Arial" w:cs="Arial"/>
                <w:color w:val="000000"/>
              </w:rPr>
              <w:t>-.171</w:t>
            </w:r>
          </w:p>
        </w:tc>
        <w:tc>
          <w:tcPr>
            <w:cnfStyle w:val="000001000000" w:firstRow="0" w:lastRow="0" w:firstColumn="0" w:lastColumn="0" w:oddVBand="0" w:evenVBand="1" w:oddHBand="0" w:evenHBand="0" w:firstRowFirstColumn="0" w:firstRowLastColumn="0" w:lastRowFirstColumn="0" w:lastRowLastColumn="0"/>
            <w:tcW w:w="464" w:type="pct"/>
          </w:tcPr>
          <w:p w14:paraId="35D996B9" w14:textId="77777777" w:rsidR="00533466" w:rsidRPr="005C7305" w:rsidRDefault="00533466" w:rsidP="00F365FC">
            <w:pPr>
              <w:jc w:val="center"/>
              <w:rPr>
                <w:rFonts w:ascii="Arial" w:hAnsi="Arial" w:cs="Arial"/>
              </w:rPr>
            </w:pPr>
            <w:r w:rsidRPr="005C7305">
              <w:rPr>
                <w:rFonts w:ascii="Arial" w:hAnsi="Arial" w:cs="Arial"/>
                <w:color w:val="000000"/>
              </w:rPr>
              <w:t>-.149</w:t>
            </w:r>
          </w:p>
        </w:tc>
        <w:tc>
          <w:tcPr>
            <w:cnfStyle w:val="000010000000" w:firstRow="0" w:lastRow="0" w:firstColumn="0" w:lastColumn="0" w:oddVBand="1" w:evenVBand="0" w:oddHBand="0" w:evenHBand="0" w:firstRowFirstColumn="0" w:firstRowLastColumn="0" w:lastRowFirstColumn="0" w:lastRowLastColumn="0"/>
            <w:tcW w:w="421" w:type="pct"/>
          </w:tcPr>
          <w:p w14:paraId="7777FDDD" w14:textId="77777777" w:rsidR="00533466" w:rsidRPr="005C7305" w:rsidRDefault="00533466" w:rsidP="00F365FC">
            <w:pPr>
              <w:jc w:val="center"/>
              <w:rPr>
                <w:rFonts w:ascii="Arial" w:hAnsi="Arial" w:cs="Arial"/>
              </w:rPr>
            </w:pPr>
            <w:r w:rsidRPr="005C7305">
              <w:rPr>
                <w:rFonts w:ascii="Arial" w:hAnsi="Arial" w:cs="Arial"/>
                <w:color w:val="000000"/>
              </w:rPr>
              <w:t>-.147</w:t>
            </w:r>
          </w:p>
        </w:tc>
        <w:tc>
          <w:tcPr>
            <w:cnfStyle w:val="000001000000" w:firstRow="0" w:lastRow="0" w:firstColumn="0" w:lastColumn="0" w:oddVBand="0" w:evenVBand="1" w:oddHBand="0" w:evenHBand="0" w:firstRowFirstColumn="0" w:firstRowLastColumn="0" w:lastRowFirstColumn="0" w:lastRowLastColumn="0"/>
            <w:tcW w:w="464" w:type="pct"/>
          </w:tcPr>
          <w:p w14:paraId="5152EC23" w14:textId="77777777" w:rsidR="00533466" w:rsidRPr="005C7305" w:rsidRDefault="00533466" w:rsidP="00F365FC">
            <w:pPr>
              <w:jc w:val="center"/>
              <w:rPr>
                <w:rFonts w:ascii="Arial" w:hAnsi="Arial" w:cs="Arial"/>
              </w:rPr>
            </w:pPr>
            <w:r w:rsidRPr="005C7305">
              <w:rPr>
                <w:rFonts w:ascii="Arial" w:hAnsi="Arial" w:cs="Arial"/>
                <w:color w:val="000000"/>
              </w:rPr>
              <w:t>-.014</w:t>
            </w:r>
          </w:p>
        </w:tc>
        <w:tc>
          <w:tcPr>
            <w:cnfStyle w:val="000010000000" w:firstRow="0" w:lastRow="0" w:firstColumn="0" w:lastColumn="0" w:oddVBand="1" w:evenVBand="0" w:oddHBand="0" w:evenHBand="0" w:firstRowFirstColumn="0" w:firstRowLastColumn="0" w:lastRowFirstColumn="0" w:lastRowLastColumn="0"/>
            <w:tcW w:w="477" w:type="pct"/>
          </w:tcPr>
          <w:p w14:paraId="7539E76F" w14:textId="77777777" w:rsidR="00533466" w:rsidRPr="005C7305" w:rsidRDefault="00533466" w:rsidP="00F365FC">
            <w:pPr>
              <w:jc w:val="center"/>
              <w:rPr>
                <w:rFonts w:ascii="Arial" w:hAnsi="Arial" w:cs="Arial"/>
              </w:rPr>
            </w:pPr>
            <w:r w:rsidRPr="005C7305">
              <w:rPr>
                <w:rFonts w:ascii="Arial" w:hAnsi="Arial" w:cs="Arial"/>
                <w:color w:val="000000"/>
              </w:rPr>
              <w:t>-.149</w:t>
            </w:r>
          </w:p>
        </w:tc>
      </w:tr>
      <w:tr w:rsidR="001B3B9B" w:rsidRPr="005C7305" w14:paraId="4502349F" w14:textId="77777777" w:rsidTr="005C7305">
        <w:trPr>
          <w:trHeight w:val="475"/>
        </w:trPr>
        <w:tc>
          <w:tcPr>
            <w:cnfStyle w:val="000010000000" w:firstRow="0" w:lastRow="0" w:firstColumn="0" w:lastColumn="0" w:oddVBand="1" w:evenVBand="0" w:oddHBand="0" w:evenHBand="0" w:firstRowFirstColumn="0" w:firstRowLastColumn="0" w:lastRowFirstColumn="0" w:lastRowLastColumn="0"/>
            <w:tcW w:w="1301" w:type="pct"/>
          </w:tcPr>
          <w:p w14:paraId="7B6B82F6" w14:textId="77777777" w:rsidR="00533466" w:rsidRPr="005C7305" w:rsidRDefault="00533466" w:rsidP="00F365FC">
            <w:pPr>
              <w:rPr>
                <w:rFonts w:ascii="Arial" w:hAnsi="Arial" w:cs="Arial"/>
                <w:b/>
                <w:bCs/>
              </w:rPr>
            </w:pPr>
            <w:r w:rsidRPr="005C7305">
              <w:rPr>
                <w:rFonts w:ascii="Arial" w:hAnsi="Arial" w:cs="Arial"/>
                <w:b/>
                <w:bCs/>
                <w:color w:val="000000"/>
              </w:rPr>
              <w:t>Credit acquisition</w:t>
            </w:r>
          </w:p>
        </w:tc>
        <w:tc>
          <w:tcPr>
            <w:cnfStyle w:val="000001000000" w:firstRow="0" w:lastRow="0" w:firstColumn="0" w:lastColumn="0" w:oddVBand="0" w:evenVBand="1" w:oddHBand="0" w:evenHBand="0" w:firstRowFirstColumn="0" w:firstRowLastColumn="0" w:lastRowFirstColumn="0" w:lastRowLastColumn="0"/>
            <w:tcW w:w="421" w:type="pct"/>
          </w:tcPr>
          <w:p w14:paraId="668C0536" w14:textId="77777777" w:rsidR="00533466" w:rsidRPr="005C7305" w:rsidRDefault="00533466" w:rsidP="00F365FC">
            <w:pPr>
              <w:jc w:val="center"/>
              <w:rPr>
                <w:rFonts w:ascii="Arial" w:hAnsi="Arial" w:cs="Arial"/>
                <w:color w:val="EE0000"/>
              </w:rPr>
            </w:pPr>
            <w:r w:rsidRPr="005C7305">
              <w:rPr>
                <w:rFonts w:ascii="Arial" w:hAnsi="Arial" w:cs="Arial"/>
                <w:b/>
                <w:bCs/>
                <w:color w:val="EE0000"/>
              </w:rPr>
              <w:t>-.251*</w:t>
            </w:r>
          </w:p>
        </w:tc>
        <w:tc>
          <w:tcPr>
            <w:cnfStyle w:val="000010000000" w:firstRow="0" w:lastRow="0" w:firstColumn="0" w:lastColumn="0" w:oddVBand="1" w:evenVBand="0" w:oddHBand="0" w:evenHBand="0" w:firstRowFirstColumn="0" w:firstRowLastColumn="0" w:lastRowFirstColumn="0" w:lastRowLastColumn="0"/>
            <w:tcW w:w="464" w:type="pct"/>
          </w:tcPr>
          <w:p w14:paraId="24B0CD8C" w14:textId="77777777" w:rsidR="00533466" w:rsidRPr="005C7305" w:rsidRDefault="00533466" w:rsidP="00F365FC">
            <w:pPr>
              <w:jc w:val="center"/>
              <w:rPr>
                <w:rFonts w:ascii="Arial" w:hAnsi="Arial" w:cs="Arial"/>
                <w:color w:val="943634" w:themeColor="accent2" w:themeShade="BF"/>
              </w:rPr>
            </w:pPr>
            <w:r w:rsidRPr="005C7305">
              <w:rPr>
                <w:rFonts w:ascii="Arial" w:hAnsi="Arial" w:cs="Arial"/>
              </w:rPr>
              <w:t>-.181</w:t>
            </w:r>
          </w:p>
        </w:tc>
        <w:tc>
          <w:tcPr>
            <w:cnfStyle w:val="000001000000" w:firstRow="0" w:lastRow="0" w:firstColumn="0" w:lastColumn="0" w:oddVBand="0" w:evenVBand="1" w:oddHBand="0" w:evenHBand="0" w:firstRowFirstColumn="0" w:firstRowLastColumn="0" w:lastRowFirstColumn="0" w:lastRowLastColumn="0"/>
            <w:tcW w:w="477" w:type="pct"/>
          </w:tcPr>
          <w:p w14:paraId="2DCA4109" w14:textId="77777777" w:rsidR="00533466" w:rsidRPr="005C7305" w:rsidRDefault="00533466" w:rsidP="00F365FC">
            <w:pPr>
              <w:jc w:val="center"/>
              <w:rPr>
                <w:rFonts w:ascii="Arial" w:hAnsi="Arial" w:cs="Arial"/>
              </w:rPr>
            </w:pPr>
            <w:r w:rsidRPr="005C7305">
              <w:rPr>
                <w:rFonts w:ascii="Arial" w:hAnsi="Arial" w:cs="Arial"/>
                <w:color w:val="000000"/>
              </w:rPr>
              <w:t>+.029</w:t>
            </w:r>
          </w:p>
        </w:tc>
        <w:tc>
          <w:tcPr>
            <w:cnfStyle w:val="000010000000" w:firstRow="0" w:lastRow="0" w:firstColumn="0" w:lastColumn="0" w:oddVBand="1" w:evenVBand="0" w:oddHBand="0" w:evenHBand="0" w:firstRowFirstColumn="0" w:firstRowLastColumn="0" w:lastRowFirstColumn="0" w:lastRowLastColumn="0"/>
            <w:tcW w:w="510" w:type="pct"/>
          </w:tcPr>
          <w:p w14:paraId="432DD38E" w14:textId="77777777" w:rsidR="00533466" w:rsidRPr="005C7305" w:rsidRDefault="00533466" w:rsidP="00F365FC">
            <w:pPr>
              <w:jc w:val="center"/>
              <w:rPr>
                <w:rFonts w:ascii="Arial" w:hAnsi="Arial" w:cs="Arial"/>
                <w:color w:val="EE0000"/>
              </w:rPr>
            </w:pPr>
            <w:r w:rsidRPr="005C7305">
              <w:rPr>
                <w:rFonts w:ascii="Arial" w:hAnsi="Arial" w:cs="Arial"/>
                <w:b/>
                <w:bCs/>
                <w:color w:val="EE0000"/>
              </w:rPr>
              <w:t>+.287**</w:t>
            </w:r>
          </w:p>
        </w:tc>
        <w:tc>
          <w:tcPr>
            <w:cnfStyle w:val="000001000000" w:firstRow="0" w:lastRow="0" w:firstColumn="0" w:lastColumn="0" w:oddVBand="0" w:evenVBand="1" w:oddHBand="0" w:evenHBand="0" w:firstRowFirstColumn="0" w:firstRowLastColumn="0" w:lastRowFirstColumn="0" w:lastRowLastColumn="0"/>
            <w:tcW w:w="464" w:type="pct"/>
          </w:tcPr>
          <w:p w14:paraId="5019CDE5" w14:textId="77777777" w:rsidR="00533466" w:rsidRPr="005C7305" w:rsidRDefault="00533466" w:rsidP="00F365FC">
            <w:pPr>
              <w:jc w:val="center"/>
              <w:rPr>
                <w:rFonts w:ascii="Arial" w:hAnsi="Arial" w:cs="Arial"/>
              </w:rPr>
            </w:pPr>
            <w:r w:rsidRPr="005C7305">
              <w:rPr>
                <w:rFonts w:ascii="Arial" w:hAnsi="Arial" w:cs="Arial"/>
                <w:color w:val="000000"/>
              </w:rPr>
              <w:t>+.055</w:t>
            </w:r>
          </w:p>
        </w:tc>
        <w:tc>
          <w:tcPr>
            <w:cnfStyle w:val="000010000000" w:firstRow="0" w:lastRow="0" w:firstColumn="0" w:lastColumn="0" w:oddVBand="1" w:evenVBand="0" w:oddHBand="0" w:evenHBand="0" w:firstRowFirstColumn="0" w:firstRowLastColumn="0" w:lastRowFirstColumn="0" w:lastRowLastColumn="0"/>
            <w:tcW w:w="421" w:type="pct"/>
          </w:tcPr>
          <w:p w14:paraId="08FCA5D5" w14:textId="77777777" w:rsidR="00533466" w:rsidRPr="005C7305" w:rsidRDefault="00533466" w:rsidP="00F365FC">
            <w:pPr>
              <w:jc w:val="center"/>
              <w:rPr>
                <w:rFonts w:ascii="Arial" w:hAnsi="Arial" w:cs="Arial"/>
              </w:rPr>
            </w:pPr>
            <w:r w:rsidRPr="005C7305">
              <w:rPr>
                <w:rFonts w:ascii="Arial" w:hAnsi="Arial" w:cs="Arial"/>
                <w:color w:val="000000"/>
              </w:rPr>
              <w:t>-.121</w:t>
            </w:r>
          </w:p>
        </w:tc>
        <w:tc>
          <w:tcPr>
            <w:cnfStyle w:val="000001000000" w:firstRow="0" w:lastRow="0" w:firstColumn="0" w:lastColumn="0" w:oddVBand="0" w:evenVBand="1" w:oddHBand="0" w:evenHBand="0" w:firstRowFirstColumn="0" w:firstRowLastColumn="0" w:lastRowFirstColumn="0" w:lastRowLastColumn="0"/>
            <w:tcW w:w="464" w:type="pct"/>
          </w:tcPr>
          <w:p w14:paraId="5F729579" w14:textId="77777777" w:rsidR="00533466" w:rsidRPr="005C7305" w:rsidRDefault="00533466" w:rsidP="00F365FC">
            <w:pPr>
              <w:jc w:val="center"/>
              <w:rPr>
                <w:rFonts w:ascii="Arial" w:hAnsi="Arial" w:cs="Arial"/>
              </w:rPr>
            </w:pPr>
            <w:r w:rsidRPr="005C7305">
              <w:rPr>
                <w:rFonts w:ascii="Arial" w:hAnsi="Arial" w:cs="Arial"/>
                <w:color w:val="000000"/>
              </w:rPr>
              <w:t>-.095</w:t>
            </w:r>
          </w:p>
        </w:tc>
        <w:tc>
          <w:tcPr>
            <w:cnfStyle w:val="000010000000" w:firstRow="0" w:lastRow="0" w:firstColumn="0" w:lastColumn="0" w:oddVBand="1" w:evenVBand="0" w:oddHBand="0" w:evenHBand="0" w:firstRowFirstColumn="0" w:firstRowLastColumn="0" w:lastRowFirstColumn="0" w:lastRowLastColumn="0"/>
            <w:tcW w:w="477" w:type="pct"/>
          </w:tcPr>
          <w:p w14:paraId="49DD2C88" w14:textId="77777777" w:rsidR="00533466" w:rsidRPr="005C7305" w:rsidRDefault="00533466" w:rsidP="00F365FC">
            <w:pPr>
              <w:jc w:val="center"/>
              <w:rPr>
                <w:rFonts w:ascii="Arial" w:hAnsi="Arial" w:cs="Arial"/>
              </w:rPr>
            </w:pPr>
            <w:r w:rsidRPr="005C7305">
              <w:rPr>
                <w:rFonts w:ascii="Arial" w:hAnsi="Arial" w:cs="Arial"/>
                <w:color w:val="000000"/>
              </w:rPr>
              <w:t>-.128</w:t>
            </w:r>
          </w:p>
        </w:tc>
      </w:tr>
      <w:tr w:rsidR="001B3B9B" w:rsidRPr="005C7305" w14:paraId="3083EEB3" w14:textId="77777777" w:rsidTr="005C7305">
        <w:trPr>
          <w:cnfStyle w:val="000000100000" w:firstRow="0" w:lastRow="0" w:firstColumn="0" w:lastColumn="0" w:oddVBand="0" w:evenVBand="0" w:oddHBand="1" w:evenHBand="0" w:firstRowFirstColumn="0" w:firstRowLastColumn="0" w:lastRowFirstColumn="0" w:lastRowLastColumn="0"/>
          <w:trHeight w:val="475"/>
        </w:trPr>
        <w:tc>
          <w:tcPr>
            <w:cnfStyle w:val="000010000000" w:firstRow="0" w:lastRow="0" w:firstColumn="0" w:lastColumn="0" w:oddVBand="1" w:evenVBand="0" w:oddHBand="0" w:evenHBand="0" w:firstRowFirstColumn="0" w:firstRowLastColumn="0" w:lastRowFirstColumn="0" w:lastRowLastColumn="0"/>
            <w:tcW w:w="1301" w:type="pct"/>
          </w:tcPr>
          <w:p w14:paraId="00A9A217" w14:textId="77777777" w:rsidR="00533466" w:rsidRPr="005C7305" w:rsidRDefault="00533466" w:rsidP="00F365FC">
            <w:pPr>
              <w:rPr>
                <w:rFonts w:ascii="Arial" w:hAnsi="Arial" w:cs="Arial"/>
                <w:b/>
                <w:bCs/>
              </w:rPr>
            </w:pPr>
            <w:r w:rsidRPr="005C7305">
              <w:rPr>
                <w:rFonts w:ascii="Arial" w:hAnsi="Arial" w:cs="Arial"/>
                <w:b/>
                <w:bCs/>
                <w:color w:val="000000"/>
              </w:rPr>
              <w:t>Social participation</w:t>
            </w:r>
          </w:p>
        </w:tc>
        <w:tc>
          <w:tcPr>
            <w:cnfStyle w:val="000001000000" w:firstRow="0" w:lastRow="0" w:firstColumn="0" w:lastColumn="0" w:oddVBand="0" w:evenVBand="1" w:oddHBand="0" w:evenHBand="0" w:firstRowFirstColumn="0" w:firstRowLastColumn="0" w:lastRowFirstColumn="0" w:lastRowLastColumn="0"/>
            <w:tcW w:w="421" w:type="pct"/>
          </w:tcPr>
          <w:p w14:paraId="06BBF62B" w14:textId="77777777" w:rsidR="00533466" w:rsidRPr="005C7305" w:rsidRDefault="00533466" w:rsidP="00F365FC">
            <w:pPr>
              <w:jc w:val="center"/>
              <w:rPr>
                <w:rFonts w:ascii="Arial" w:hAnsi="Arial" w:cs="Arial"/>
              </w:rPr>
            </w:pPr>
            <w:r w:rsidRPr="005C7305">
              <w:rPr>
                <w:rFonts w:ascii="Arial" w:hAnsi="Arial" w:cs="Arial"/>
                <w:color w:val="000000"/>
              </w:rPr>
              <w:t>+.043</w:t>
            </w:r>
          </w:p>
        </w:tc>
        <w:tc>
          <w:tcPr>
            <w:cnfStyle w:val="000010000000" w:firstRow="0" w:lastRow="0" w:firstColumn="0" w:lastColumn="0" w:oddVBand="1" w:evenVBand="0" w:oddHBand="0" w:evenHBand="0" w:firstRowFirstColumn="0" w:firstRowLastColumn="0" w:lastRowFirstColumn="0" w:lastRowLastColumn="0"/>
            <w:tcW w:w="464" w:type="pct"/>
          </w:tcPr>
          <w:p w14:paraId="73DF90BB" w14:textId="77777777" w:rsidR="00533466" w:rsidRPr="005C7305" w:rsidRDefault="00533466" w:rsidP="00F365FC">
            <w:pPr>
              <w:jc w:val="center"/>
              <w:rPr>
                <w:rFonts w:ascii="Arial" w:hAnsi="Arial" w:cs="Arial"/>
                <w:color w:val="EE0000"/>
              </w:rPr>
            </w:pPr>
            <w:r w:rsidRPr="005C7305">
              <w:rPr>
                <w:rFonts w:ascii="Arial" w:hAnsi="Arial" w:cs="Arial"/>
                <w:b/>
                <w:bCs/>
                <w:color w:val="EE0000"/>
              </w:rPr>
              <w:t>+.230*</w:t>
            </w:r>
          </w:p>
        </w:tc>
        <w:tc>
          <w:tcPr>
            <w:cnfStyle w:val="000001000000" w:firstRow="0" w:lastRow="0" w:firstColumn="0" w:lastColumn="0" w:oddVBand="0" w:evenVBand="1" w:oddHBand="0" w:evenHBand="0" w:firstRowFirstColumn="0" w:firstRowLastColumn="0" w:lastRowFirstColumn="0" w:lastRowLastColumn="0"/>
            <w:tcW w:w="477" w:type="pct"/>
          </w:tcPr>
          <w:p w14:paraId="62C05BB7" w14:textId="77777777" w:rsidR="00533466" w:rsidRPr="005C7305" w:rsidRDefault="00533466" w:rsidP="00F365FC">
            <w:pPr>
              <w:jc w:val="center"/>
              <w:rPr>
                <w:rFonts w:ascii="Arial" w:hAnsi="Arial" w:cs="Arial"/>
              </w:rPr>
            </w:pPr>
            <w:r w:rsidRPr="005C7305">
              <w:rPr>
                <w:rFonts w:ascii="Arial" w:hAnsi="Arial" w:cs="Arial"/>
                <w:color w:val="000000"/>
              </w:rPr>
              <w:t>+.091</w:t>
            </w:r>
          </w:p>
        </w:tc>
        <w:tc>
          <w:tcPr>
            <w:cnfStyle w:val="000010000000" w:firstRow="0" w:lastRow="0" w:firstColumn="0" w:lastColumn="0" w:oddVBand="1" w:evenVBand="0" w:oddHBand="0" w:evenHBand="0" w:firstRowFirstColumn="0" w:firstRowLastColumn="0" w:lastRowFirstColumn="0" w:lastRowLastColumn="0"/>
            <w:tcW w:w="510" w:type="pct"/>
          </w:tcPr>
          <w:p w14:paraId="088B74CB" w14:textId="77777777" w:rsidR="00533466" w:rsidRPr="005C7305" w:rsidRDefault="00533466" w:rsidP="00F365FC">
            <w:pPr>
              <w:jc w:val="center"/>
              <w:rPr>
                <w:rFonts w:ascii="Arial" w:hAnsi="Arial" w:cs="Arial"/>
              </w:rPr>
            </w:pPr>
            <w:r w:rsidRPr="005C7305">
              <w:rPr>
                <w:rFonts w:ascii="Arial" w:hAnsi="Arial" w:cs="Arial"/>
                <w:color w:val="000000"/>
              </w:rPr>
              <w:t>+.104</w:t>
            </w:r>
          </w:p>
        </w:tc>
        <w:tc>
          <w:tcPr>
            <w:cnfStyle w:val="000001000000" w:firstRow="0" w:lastRow="0" w:firstColumn="0" w:lastColumn="0" w:oddVBand="0" w:evenVBand="1" w:oddHBand="0" w:evenHBand="0" w:firstRowFirstColumn="0" w:firstRowLastColumn="0" w:lastRowFirstColumn="0" w:lastRowLastColumn="0"/>
            <w:tcW w:w="464" w:type="pct"/>
          </w:tcPr>
          <w:p w14:paraId="690C4624" w14:textId="77777777" w:rsidR="00533466" w:rsidRPr="005C7305" w:rsidRDefault="00533466" w:rsidP="00F365FC">
            <w:pPr>
              <w:jc w:val="center"/>
              <w:rPr>
                <w:rFonts w:ascii="Arial" w:hAnsi="Arial" w:cs="Arial"/>
              </w:rPr>
            </w:pPr>
            <w:r w:rsidRPr="005C7305">
              <w:rPr>
                <w:rFonts w:ascii="Arial" w:hAnsi="Arial" w:cs="Arial"/>
                <w:color w:val="000000"/>
              </w:rPr>
              <w:t>-.134</w:t>
            </w:r>
          </w:p>
        </w:tc>
        <w:tc>
          <w:tcPr>
            <w:cnfStyle w:val="000010000000" w:firstRow="0" w:lastRow="0" w:firstColumn="0" w:lastColumn="0" w:oddVBand="1" w:evenVBand="0" w:oddHBand="0" w:evenHBand="0" w:firstRowFirstColumn="0" w:firstRowLastColumn="0" w:lastRowFirstColumn="0" w:lastRowLastColumn="0"/>
            <w:tcW w:w="421" w:type="pct"/>
          </w:tcPr>
          <w:p w14:paraId="16EBCE57" w14:textId="77777777" w:rsidR="00533466" w:rsidRPr="005C7305" w:rsidRDefault="00533466" w:rsidP="00F365FC">
            <w:pPr>
              <w:jc w:val="center"/>
              <w:rPr>
                <w:rFonts w:ascii="Arial" w:hAnsi="Arial" w:cs="Arial"/>
              </w:rPr>
            </w:pPr>
            <w:r w:rsidRPr="005C7305">
              <w:rPr>
                <w:rFonts w:ascii="Arial" w:hAnsi="Arial" w:cs="Arial"/>
                <w:color w:val="000000"/>
              </w:rPr>
              <w:t>+.043</w:t>
            </w:r>
          </w:p>
        </w:tc>
        <w:tc>
          <w:tcPr>
            <w:cnfStyle w:val="000001000000" w:firstRow="0" w:lastRow="0" w:firstColumn="0" w:lastColumn="0" w:oddVBand="0" w:evenVBand="1" w:oddHBand="0" w:evenHBand="0" w:firstRowFirstColumn="0" w:firstRowLastColumn="0" w:lastRowFirstColumn="0" w:lastRowLastColumn="0"/>
            <w:tcW w:w="464" w:type="pct"/>
          </w:tcPr>
          <w:p w14:paraId="6F578B5C" w14:textId="77777777" w:rsidR="00533466" w:rsidRPr="005C7305" w:rsidRDefault="00533466" w:rsidP="00F365FC">
            <w:pPr>
              <w:jc w:val="center"/>
              <w:rPr>
                <w:rFonts w:ascii="Arial" w:hAnsi="Arial" w:cs="Arial"/>
              </w:rPr>
            </w:pPr>
            <w:r w:rsidRPr="005C7305">
              <w:rPr>
                <w:rFonts w:ascii="Arial" w:hAnsi="Arial" w:cs="Arial"/>
                <w:color w:val="000000"/>
              </w:rPr>
              <w:t>-.021</w:t>
            </w:r>
          </w:p>
        </w:tc>
        <w:tc>
          <w:tcPr>
            <w:cnfStyle w:val="000010000000" w:firstRow="0" w:lastRow="0" w:firstColumn="0" w:lastColumn="0" w:oddVBand="1" w:evenVBand="0" w:oddHBand="0" w:evenHBand="0" w:firstRowFirstColumn="0" w:firstRowLastColumn="0" w:lastRowFirstColumn="0" w:lastRowLastColumn="0"/>
            <w:tcW w:w="477" w:type="pct"/>
          </w:tcPr>
          <w:p w14:paraId="0C8A4BA0" w14:textId="77777777" w:rsidR="00533466" w:rsidRPr="005C7305" w:rsidRDefault="00533466" w:rsidP="00F365FC">
            <w:pPr>
              <w:jc w:val="center"/>
              <w:rPr>
                <w:rFonts w:ascii="Arial" w:hAnsi="Arial" w:cs="Arial"/>
                <w:color w:val="943634" w:themeColor="accent2" w:themeShade="BF"/>
              </w:rPr>
            </w:pPr>
            <w:r w:rsidRPr="005C7305">
              <w:rPr>
                <w:rFonts w:ascii="Arial" w:hAnsi="Arial" w:cs="Arial"/>
              </w:rPr>
              <w:t>+.189</w:t>
            </w:r>
          </w:p>
        </w:tc>
      </w:tr>
      <w:tr w:rsidR="001B3B9B" w:rsidRPr="005C7305" w14:paraId="2662237D" w14:textId="77777777" w:rsidTr="005C7305">
        <w:trPr>
          <w:trHeight w:val="237"/>
        </w:trPr>
        <w:tc>
          <w:tcPr>
            <w:cnfStyle w:val="000010000000" w:firstRow="0" w:lastRow="0" w:firstColumn="0" w:lastColumn="0" w:oddVBand="1" w:evenVBand="0" w:oddHBand="0" w:evenHBand="0" w:firstRowFirstColumn="0" w:firstRowLastColumn="0" w:lastRowFirstColumn="0" w:lastRowLastColumn="0"/>
            <w:tcW w:w="1301" w:type="pct"/>
          </w:tcPr>
          <w:p w14:paraId="50691DFF" w14:textId="77777777" w:rsidR="00533466" w:rsidRPr="005C7305" w:rsidRDefault="00533466" w:rsidP="00F365FC">
            <w:pPr>
              <w:rPr>
                <w:rFonts w:ascii="Arial" w:hAnsi="Arial" w:cs="Arial"/>
                <w:b/>
                <w:bCs/>
              </w:rPr>
            </w:pPr>
            <w:r w:rsidRPr="005C7305">
              <w:rPr>
                <w:rFonts w:ascii="Arial" w:hAnsi="Arial" w:cs="Arial"/>
                <w:b/>
                <w:bCs/>
                <w:color w:val="000000"/>
              </w:rPr>
              <w:t>Education</w:t>
            </w:r>
          </w:p>
        </w:tc>
        <w:tc>
          <w:tcPr>
            <w:cnfStyle w:val="000001000000" w:firstRow="0" w:lastRow="0" w:firstColumn="0" w:lastColumn="0" w:oddVBand="0" w:evenVBand="1" w:oddHBand="0" w:evenHBand="0" w:firstRowFirstColumn="0" w:firstRowLastColumn="0" w:lastRowFirstColumn="0" w:lastRowLastColumn="0"/>
            <w:tcW w:w="421" w:type="pct"/>
          </w:tcPr>
          <w:p w14:paraId="6BB098B9" w14:textId="77777777" w:rsidR="00533466" w:rsidRPr="005C7305" w:rsidRDefault="00533466" w:rsidP="00F365FC">
            <w:pPr>
              <w:jc w:val="center"/>
              <w:rPr>
                <w:rFonts w:ascii="Arial" w:hAnsi="Arial" w:cs="Arial"/>
              </w:rPr>
            </w:pPr>
            <w:r w:rsidRPr="005C7305">
              <w:rPr>
                <w:rFonts w:ascii="Arial" w:hAnsi="Arial" w:cs="Arial"/>
                <w:color w:val="000000"/>
              </w:rPr>
              <w:t>+.020</w:t>
            </w:r>
          </w:p>
        </w:tc>
        <w:tc>
          <w:tcPr>
            <w:cnfStyle w:val="000010000000" w:firstRow="0" w:lastRow="0" w:firstColumn="0" w:lastColumn="0" w:oddVBand="1" w:evenVBand="0" w:oddHBand="0" w:evenHBand="0" w:firstRowFirstColumn="0" w:firstRowLastColumn="0" w:lastRowFirstColumn="0" w:lastRowLastColumn="0"/>
            <w:tcW w:w="464" w:type="pct"/>
          </w:tcPr>
          <w:p w14:paraId="70DFF048" w14:textId="77777777" w:rsidR="00533466" w:rsidRPr="005C7305" w:rsidRDefault="00533466" w:rsidP="00F365FC">
            <w:pPr>
              <w:jc w:val="center"/>
              <w:rPr>
                <w:rFonts w:ascii="Arial" w:hAnsi="Arial" w:cs="Arial"/>
              </w:rPr>
            </w:pPr>
            <w:r w:rsidRPr="005C7305">
              <w:rPr>
                <w:rFonts w:ascii="Arial" w:hAnsi="Arial" w:cs="Arial"/>
                <w:color w:val="000000"/>
              </w:rPr>
              <w:t>-.010</w:t>
            </w:r>
          </w:p>
        </w:tc>
        <w:tc>
          <w:tcPr>
            <w:cnfStyle w:val="000001000000" w:firstRow="0" w:lastRow="0" w:firstColumn="0" w:lastColumn="0" w:oddVBand="0" w:evenVBand="1" w:oddHBand="0" w:evenHBand="0" w:firstRowFirstColumn="0" w:firstRowLastColumn="0" w:lastRowFirstColumn="0" w:lastRowLastColumn="0"/>
            <w:tcW w:w="477" w:type="pct"/>
          </w:tcPr>
          <w:p w14:paraId="5A11FCC1" w14:textId="77777777" w:rsidR="00533466" w:rsidRPr="005C7305" w:rsidRDefault="00533466" w:rsidP="00F365FC">
            <w:pPr>
              <w:jc w:val="center"/>
              <w:rPr>
                <w:rFonts w:ascii="Arial" w:hAnsi="Arial" w:cs="Arial"/>
                <w:color w:val="943634" w:themeColor="accent2" w:themeShade="BF"/>
              </w:rPr>
            </w:pPr>
            <w:r w:rsidRPr="005C7305">
              <w:rPr>
                <w:rFonts w:ascii="Arial" w:hAnsi="Arial" w:cs="Arial"/>
              </w:rPr>
              <w:t>+.194</w:t>
            </w:r>
          </w:p>
        </w:tc>
        <w:tc>
          <w:tcPr>
            <w:cnfStyle w:val="000010000000" w:firstRow="0" w:lastRow="0" w:firstColumn="0" w:lastColumn="0" w:oddVBand="1" w:evenVBand="0" w:oddHBand="0" w:evenHBand="0" w:firstRowFirstColumn="0" w:firstRowLastColumn="0" w:lastRowFirstColumn="0" w:lastRowLastColumn="0"/>
            <w:tcW w:w="510" w:type="pct"/>
          </w:tcPr>
          <w:p w14:paraId="7F1A6907" w14:textId="77777777" w:rsidR="00533466" w:rsidRPr="005C7305" w:rsidRDefault="00533466" w:rsidP="00F365FC">
            <w:pPr>
              <w:jc w:val="center"/>
              <w:rPr>
                <w:rFonts w:ascii="Arial" w:hAnsi="Arial" w:cs="Arial"/>
              </w:rPr>
            </w:pPr>
            <w:r w:rsidRPr="005C7305">
              <w:rPr>
                <w:rFonts w:ascii="Arial" w:hAnsi="Arial" w:cs="Arial"/>
                <w:color w:val="000000"/>
              </w:rPr>
              <w:t>-.059</w:t>
            </w:r>
          </w:p>
        </w:tc>
        <w:tc>
          <w:tcPr>
            <w:cnfStyle w:val="000001000000" w:firstRow="0" w:lastRow="0" w:firstColumn="0" w:lastColumn="0" w:oddVBand="0" w:evenVBand="1" w:oddHBand="0" w:evenHBand="0" w:firstRowFirstColumn="0" w:firstRowLastColumn="0" w:lastRowFirstColumn="0" w:lastRowLastColumn="0"/>
            <w:tcW w:w="464" w:type="pct"/>
          </w:tcPr>
          <w:p w14:paraId="333C277B" w14:textId="77777777" w:rsidR="00533466" w:rsidRPr="005C7305" w:rsidRDefault="00533466" w:rsidP="00F365FC">
            <w:pPr>
              <w:jc w:val="center"/>
              <w:rPr>
                <w:rFonts w:ascii="Arial" w:hAnsi="Arial" w:cs="Arial"/>
              </w:rPr>
            </w:pPr>
            <w:r w:rsidRPr="005C7305">
              <w:rPr>
                <w:rFonts w:ascii="Arial" w:hAnsi="Arial" w:cs="Arial"/>
                <w:color w:val="000000"/>
              </w:rPr>
              <w:t>-.128</w:t>
            </w:r>
          </w:p>
        </w:tc>
        <w:tc>
          <w:tcPr>
            <w:cnfStyle w:val="000010000000" w:firstRow="0" w:lastRow="0" w:firstColumn="0" w:lastColumn="0" w:oddVBand="1" w:evenVBand="0" w:oddHBand="0" w:evenHBand="0" w:firstRowFirstColumn="0" w:firstRowLastColumn="0" w:lastRowFirstColumn="0" w:lastRowLastColumn="0"/>
            <w:tcW w:w="421" w:type="pct"/>
          </w:tcPr>
          <w:p w14:paraId="25C36FEE" w14:textId="77777777" w:rsidR="00533466" w:rsidRPr="005C7305" w:rsidRDefault="00533466" w:rsidP="00F365FC">
            <w:pPr>
              <w:jc w:val="center"/>
              <w:rPr>
                <w:rFonts w:ascii="Arial" w:hAnsi="Arial" w:cs="Arial"/>
              </w:rPr>
            </w:pPr>
            <w:r w:rsidRPr="005C7305">
              <w:rPr>
                <w:rFonts w:ascii="Arial" w:hAnsi="Arial" w:cs="Arial"/>
                <w:color w:val="000000"/>
              </w:rPr>
              <w:t>-.119</w:t>
            </w:r>
          </w:p>
        </w:tc>
        <w:tc>
          <w:tcPr>
            <w:cnfStyle w:val="000001000000" w:firstRow="0" w:lastRow="0" w:firstColumn="0" w:lastColumn="0" w:oddVBand="0" w:evenVBand="1" w:oddHBand="0" w:evenHBand="0" w:firstRowFirstColumn="0" w:firstRowLastColumn="0" w:lastRowFirstColumn="0" w:lastRowLastColumn="0"/>
            <w:tcW w:w="464" w:type="pct"/>
          </w:tcPr>
          <w:p w14:paraId="55A9B38F" w14:textId="77777777" w:rsidR="00533466" w:rsidRPr="005C7305" w:rsidRDefault="00533466" w:rsidP="00F365FC">
            <w:pPr>
              <w:jc w:val="center"/>
              <w:rPr>
                <w:rFonts w:ascii="Arial" w:hAnsi="Arial" w:cs="Arial"/>
              </w:rPr>
            </w:pPr>
            <w:r w:rsidRPr="005C7305">
              <w:rPr>
                <w:rFonts w:ascii="Arial" w:hAnsi="Arial" w:cs="Arial"/>
                <w:color w:val="000000"/>
              </w:rPr>
              <w:t>-.170</w:t>
            </w:r>
          </w:p>
        </w:tc>
        <w:tc>
          <w:tcPr>
            <w:cnfStyle w:val="000010000000" w:firstRow="0" w:lastRow="0" w:firstColumn="0" w:lastColumn="0" w:oddVBand="1" w:evenVBand="0" w:oddHBand="0" w:evenHBand="0" w:firstRowFirstColumn="0" w:firstRowLastColumn="0" w:lastRowFirstColumn="0" w:lastRowLastColumn="0"/>
            <w:tcW w:w="477" w:type="pct"/>
          </w:tcPr>
          <w:p w14:paraId="6A5A5455" w14:textId="77777777" w:rsidR="00533466" w:rsidRPr="005C7305" w:rsidRDefault="00533466" w:rsidP="00F365FC">
            <w:pPr>
              <w:jc w:val="center"/>
              <w:rPr>
                <w:rFonts w:ascii="Arial" w:hAnsi="Arial" w:cs="Arial"/>
              </w:rPr>
            </w:pPr>
            <w:r w:rsidRPr="005C7305">
              <w:rPr>
                <w:rFonts w:ascii="Arial" w:hAnsi="Arial" w:cs="Arial"/>
                <w:color w:val="000000"/>
              </w:rPr>
              <w:t>-.085</w:t>
            </w:r>
          </w:p>
        </w:tc>
      </w:tr>
      <w:tr w:rsidR="001B3B9B" w:rsidRPr="005C7305" w14:paraId="09F49607" w14:textId="77777777" w:rsidTr="005C7305">
        <w:trPr>
          <w:cnfStyle w:val="000000100000" w:firstRow="0" w:lastRow="0" w:firstColumn="0" w:lastColumn="0" w:oddVBand="0" w:evenVBand="0" w:oddHBand="1" w:evenHBand="0" w:firstRowFirstColumn="0" w:firstRowLastColumn="0" w:lastRowFirstColumn="0" w:lastRowLastColumn="0"/>
          <w:trHeight w:val="237"/>
        </w:trPr>
        <w:tc>
          <w:tcPr>
            <w:cnfStyle w:val="000010000000" w:firstRow="0" w:lastRow="0" w:firstColumn="0" w:lastColumn="0" w:oddVBand="1" w:evenVBand="0" w:oddHBand="0" w:evenHBand="0" w:firstRowFirstColumn="0" w:firstRowLastColumn="0" w:lastRowFirstColumn="0" w:lastRowLastColumn="0"/>
            <w:tcW w:w="1301" w:type="pct"/>
          </w:tcPr>
          <w:p w14:paraId="1DF82763" w14:textId="77777777" w:rsidR="00533466" w:rsidRPr="005C7305" w:rsidRDefault="00533466" w:rsidP="00F365FC">
            <w:pPr>
              <w:rPr>
                <w:rFonts w:ascii="Arial" w:hAnsi="Arial" w:cs="Arial"/>
                <w:b/>
                <w:bCs/>
              </w:rPr>
            </w:pPr>
            <w:r w:rsidRPr="005C7305">
              <w:rPr>
                <w:rFonts w:ascii="Arial" w:hAnsi="Arial" w:cs="Arial"/>
                <w:b/>
                <w:bCs/>
                <w:color w:val="000000"/>
              </w:rPr>
              <w:t>Area under IFS</w:t>
            </w:r>
          </w:p>
        </w:tc>
        <w:tc>
          <w:tcPr>
            <w:cnfStyle w:val="000001000000" w:firstRow="0" w:lastRow="0" w:firstColumn="0" w:lastColumn="0" w:oddVBand="0" w:evenVBand="1" w:oddHBand="0" w:evenHBand="0" w:firstRowFirstColumn="0" w:firstRowLastColumn="0" w:lastRowFirstColumn="0" w:lastRowLastColumn="0"/>
            <w:tcW w:w="421" w:type="pct"/>
          </w:tcPr>
          <w:p w14:paraId="540BC48D" w14:textId="77777777" w:rsidR="00533466" w:rsidRPr="005C7305" w:rsidRDefault="00533466" w:rsidP="00F365FC">
            <w:pPr>
              <w:jc w:val="center"/>
              <w:rPr>
                <w:rFonts w:ascii="Arial" w:hAnsi="Arial" w:cs="Arial"/>
              </w:rPr>
            </w:pPr>
            <w:r w:rsidRPr="005C7305">
              <w:rPr>
                <w:rFonts w:ascii="Arial" w:hAnsi="Arial" w:cs="Arial"/>
                <w:color w:val="000000"/>
              </w:rPr>
              <w:t>-.141</w:t>
            </w:r>
          </w:p>
        </w:tc>
        <w:tc>
          <w:tcPr>
            <w:cnfStyle w:val="000010000000" w:firstRow="0" w:lastRow="0" w:firstColumn="0" w:lastColumn="0" w:oddVBand="1" w:evenVBand="0" w:oddHBand="0" w:evenHBand="0" w:firstRowFirstColumn="0" w:firstRowLastColumn="0" w:lastRowFirstColumn="0" w:lastRowLastColumn="0"/>
            <w:tcW w:w="464" w:type="pct"/>
          </w:tcPr>
          <w:p w14:paraId="628028EA" w14:textId="77777777" w:rsidR="00533466" w:rsidRPr="005C7305" w:rsidRDefault="00533466" w:rsidP="00F365FC">
            <w:pPr>
              <w:jc w:val="center"/>
              <w:rPr>
                <w:rFonts w:ascii="Arial" w:hAnsi="Arial" w:cs="Arial"/>
              </w:rPr>
            </w:pPr>
            <w:r w:rsidRPr="005C7305">
              <w:rPr>
                <w:rFonts w:ascii="Arial" w:hAnsi="Arial" w:cs="Arial"/>
                <w:color w:val="000000"/>
              </w:rPr>
              <w:t>-.090</w:t>
            </w:r>
          </w:p>
        </w:tc>
        <w:tc>
          <w:tcPr>
            <w:cnfStyle w:val="000001000000" w:firstRow="0" w:lastRow="0" w:firstColumn="0" w:lastColumn="0" w:oddVBand="0" w:evenVBand="1" w:oddHBand="0" w:evenHBand="0" w:firstRowFirstColumn="0" w:firstRowLastColumn="0" w:lastRowFirstColumn="0" w:lastRowLastColumn="0"/>
            <w:tcW w:w="477" w:type="pct"/>
          </w:tcPr>
          <w:p w14:paraId="69AE9516" w14:textId="77777777" w:rsidR="00533466" w:rsidRPr="005C7305" w:rsidRDefault="00533466" w:rsidP="00F365FC">
            <w:pPr>
              <w:jc w:val="center"/>
              <w:rPr>
                <w:rFonts w:ascii="Arial" w:hAnsi="Arial" w:cs="Arial"/>
              </w:rPr>
            </w:pPr>
            <w:r w:rsidRPr="005C7305">
              <w:rPr>
                <w:rFonts w:ascii="Arial" w:hAnsi="Arial" w:cs="Arial"/>
                <w:color w:val="000000"/>
              </w:rPr>
              <w:t>-.006</w:t>
            </w:r>
          </w:p>
        </w:tc>
        <w:tc>
          <w:tcPr>
            <w:cnfStyle w:val="000010000000" w:firstRow="0" w:lastRow="0" w:firstColumn="0" w:lastColumn="0" w:oddVBand="1" w:evenVBand="0" w:oddHBand="0" w:evenHBand="0" w:firstRowFirstColumn="0" w:firstRowLastColumn="0" w:lastRowFirstColumn="0" w:lastRowLastColumn="0"/>
            <w:tcW w:w="510" w:type="pct"/>
          </w:tcPr>
          <w:p w14:paraId="699A6566" w14:textId="77777777" w:rsidR="00533466" w:rsidRPr="005C7305" w:rsidRDefault="00533466" w:rsidP="00F365FC">
            <w:pPr>
              <w:jc w:val="center"/>
              <w:rPr>
                <w:rFonts w:ascii="Arial" w:hAnsi="Arial" w:cs="Arial"/>
              </w:rPr>
            </w:pPr>
            <w:r w:rsidRPr="005C7305">
              <w:rPr>
                <w:rFonts w:ascii="Arial" w:hAnsi="Arial" w:cs="Arial"/>
                <w:color w:val="000000"/>
              </w:rPr>
              <w:t>+.020</w:t>
            </w:r>
          </w:p>
        </w:tc>
        <w:tc>
          <w:tcPr>
            <w:cnfStyle w:val="000001000000" w:firstRow="0" w:lastRow="0" w:firstColumn="0" w:lastColumn="0" w:oddVBand="0" w:evenVBand="1" w:oddHBand="0" w:evenHBand="0" w:firstRowFirstColumn="0" w:firstRowLastColumn="0" w:lastRowFirstColumn="0" w:lastRowLastColumn="0"/>
            <w:tcW w:w="464" w:type="pct"/>
          </w:tcPr>
          <w:p w14:paraId="6330F649" w14:textId="77777777" w:rsidR="00533466" w:rsidRPr="005C7305" w:rsidRDefault="00533466" w:rsidP="00F365FC">
            <w:pPr>
              <w:jc w:val="center"/>
              <w:rPr>
                <w:rFonts w:ascii="Arial" w:hAnsi="Arial" w:cs="Arial"/>
              </w:rPr>
            </w:pPr>
            <w:r w:rsidRPr="005C7305">
              <w:rPr>
                <w:rFonts w:ascii="Arial" w:hAnsi="Arial" w:cs="Arial"/>
                <w:color w:val="000000"/>
              </w:rPr>
              <w:t>+.012</w:t>
            </w:r>
          </w:p>
        </w:tc>
        <w:tc>
          <w:tcPr>
            <w:cnfStyle w:val="000010000000" w:firstRow="0" w:lastRow="0" w:firstColumn="0" w:lastColumn="0" w:oddVBand="1" w:evenVBand="0" w:oddHBand="0" w:evenHBand="0" w:firstRowFirstColumn="0" w:firstRowLastColumn="0" w:lastRowFirstColumn="0" w:lastRowLastColumn="0"/>
            <w:tcW w:w="421" w:type="pct"/>
          </w:tcPr>
          <w:p w14:paraId="68652E80" w14:textId="77777777" w:rsidR="00533466" w:rsidRPr="005C7305" w:rsidRDefault="00533466" w:rsidP="00F365FC">
            <w:pPr>
              <w:jc w:val="center"/>
              <w:rPr>
                <w:rFonts w:ascii="Arial" w:hAnsi="Arial" w:cs="Arial"/>
              </w:rPr>
            </w:pPr>
            <w:r w:rsidRPr="005C7305">
              <w:rPr>
                <w:rFonts w:ascii="Arial" w:hAnsi="Arial" w:cs="Arial"/>
                <w:color w:val="000000"/>
              </w:rPr>
              <w:t>+.052</w:t>
            </w:r>
          </w:p>
        </w:tc>
        <w:tc>
          <w:tcPr>
            <w:cnfStyle w:val="000001000000" w:firstRow="0" w:lastRow="0" w:firstColumn="0" w:lastColumn="0" w:oddVBand="0" w:evenVBand="1" w:oddHBand="0" w:evenHBand="0" w:firstRowFirstColumn="0" w:firstRowLastColumn="0" w:lastRowFirstColumn="0" w:lastRowLastColumn="0"/>
            <w:tcW w:w="464" w:type="pct"/>
          </w:tcPr>
          <w:p w14:paraId="0CB5D87E" w14:textId="77777777" w:rsidR="00533466" w:rsidRPr="005C7305" w:rsidRDefault="00533466" w:rsidP="00F365FC">
            <w:pPr>
              <w:jc w:val="center"/>
              <w:rPr>
                <w:rFonts w:ascii="Arial" w:hAnsi="Arial" w:cs="Arial"/>
              </w:rPr>
            </w:pPr>
            <w:r w:rsidRPr="005C7305">
              <w:rPr>
                <w:rFonts w:ascii="Arial" w:hAnsi="Arial" w:cs="Arial"/>
                <w:color w:val="000000"/>
              </w:rPr>
              <w:t>-.153</w:t>
            </w:r>
          </w:p>
        </w:tc>
        <w:tc>
          <w:tcPr>
            <w:cnfStyle w:val="000010000000" w:firstRow="0" w:lastRow="0" w:firstColumn="0" w:lastColumn="0" w:oddVBand="1" w:evenVBand="0" w:oddHBand="0" w:evenHBand="0" w:firstRowFirstColumn="0" w:firstRowLastColumn="0" w:lastRowFirstColumn="0" w:lastRowLastColumn="0"/>
            <w:tcW w:w="477" w:type="pct"/>
          </w:tcPr>
          <w:p w14:paraId="373F1425" w14:textId="77777777" w:rsidR="00533466" w:rsidRPr="005C7305" w:rsidRDefault="00533466" w:rsidP="00F365FC">
            <w:pPr>
              <w:jc w:val="center"/>
              <w:rPr>
                <w:rFonts w:ascii="Arial" w:hAnsi="Arial" w:cs="Arial"/>
              </w:rPr>
            </w:pPr>
            <w:r w:rsidRPr="005C7305">
              <w:rPr>
                <w:rFonts w:ascii="Arial" w:hAnsi="Arial" w:cs="Arial"/>
                <w:color w:val="000000"/>
              </w:rPr>
              <w:t>-.120</w:t>
            </w:r>
          </w:p>
        </w:tc>
      </w:tr>
      <w:tr w:rsidR="001B3B9B" w:rsidRPr="005C7305" w14:paraId="4EE57688" w14:textId="77777777" w:rsidTr="005C7305">
        <w:trPr>
          <w:trHeight w:val="237"/>
        </w:trPr>
        <w:tc>
          <w:tcPr>
            <w:cnfStyle w:val="000010000000" w:firstRow="0" w:lastRow="0" w:firstColumn="0" w:lastColumn="0" w:oddVBand="1" w:evenVBand="0" w:oddHBand="0" w:evenHBand="0" w:firstRowFirstColumn="0" w:firstRowLastColumn="0" w:lastRowFirstColumn="0" w:lastRowLastColumn="0"/>
            <w:tcW w:w="1301" w:type="pct"/>
          </w:tcPr>
          <w:p w14:paraId="072C4212" w14:textId="77777777" w:rsidR="00533466" w:rsidRPr="005C7305" w:rsidRDefault="00533466" w:rsidP="00F365FC">
            <w:pPr>
              <w:rPr>
                <w:rFonts w:ascii="Arial" w:hAnsi="Arial" w:cs="Arial"/>
                <w:b/>
                <w:bCs/>
              </w:rPr>
            </w:pPr>
            <w:r w:rsidRPr="005C7305">
              <w:rPr>
                <w:rFonts w:ascii="Arial" w:hAnsi="Arial" w:cs="Arial"/>
                <w:b/>
                <w:bCs/>
                <w:color w:val="000000"/>
              </w:rPr>
              <w:t>Age</w:t>
            </w:r>
          </w:p>
        </w:tc>
        <w:tc>
          <w:tcPr>
            <w:cnfStyle w:val="000001000000" w:firstRow="0" w:lastRow="0" w:firstColumn="0" w:lastColumn="0" w:oddVBand="0" w:evenVBand="1" w:oddHBand="0" w:evenHBand="0" w:firstRowFirstColumn="0" w:firstRowLastColumn="0" w:lastRowFirstColumn="0" w:lastRowLastColumn="0"/>
            <w:tcW w:w="421" w:type="pct"/>
          </w:tcPr>
          <w:p w14:paraId="47EF5081" w14:textId="77777777" w:rsidR="00533466" w:rsidRPr="005C7305" w:rsidRDefault="00533466" w:rsidP="00F365FC">
            <w:pPr>
              <w:jc w:val="center"/>
              <w:rPr>
                <w:rFonts w:ascii="Arial" w:hAnsi="Arial" w:cs="Arial"/>
              </w:rPr>
            </w:pPr>
            <w:r w:rsidRPr="005C7305">
              <w:rPr>
                <w:rFonts w:ascii="Arial" w:hAnsi="Arial" w:cs="Arial"/>
                <w:color w:val="000000"/>
              </w:rPr>
              <w:t>+.030</w:t>
            </w:r>
          </w:p>
        </w:tc>
        <w:tc>
          <w:tcPr>
            <w:cnfStyle w:val="000010000000" w:firstRow="0" w:lastRow="0" w:firstColumn="0" w:lastColumn="0" w:oddVBand="1" w:evenVBand="0" w:oddHBand="0" w:evenHBand="0" w:firstRowFirstColumn="0" w:firstRowLastColumn="0" w:lastRowFirstColumn="0" w:lastRowLastColumn="0"/>
            <w:tcW w:w="464" w:type="pct"/>
          </w:tcPr>
          <w:p w14:paraId="42F045E5" w14:textId="77777777" w:rsidR="00533466" w:rsidRPr="005C7305" w:rsidRDefault="00533466" w:rsidP="00F365FC">
            <w:pPr>
              <w:jc w:val="center"/>
              <w:rPr>
                <w:rFonts w:ascii="Arial" w:hAnsi="Arial" w:cs="Arial"/>
              </w:rPr>
            </w:pPr>
            <w:r w:rsidRPr="005C7305">
              <w:rPr>
                <w:rFonts w:ascii="Arial" w:hAnsi="Arial" w:cs="Arial"/>
                <w:color w:val="000000"/>
              </w:rPr>
              <w:t>+.129</w:t>
            </w:r>
          </w:p>
        </w:tc>
        <w:tc>
          <w:tcPr>
            <w:cnfStyle w:val="000001000000" w:firstRow="0" w:lastRow="0" w:firstColumn="0" w:lastColumn="0" w:oddVBand="0" w:evenVBand="1" w:oddHBand="0" w:evenHBand="0" w:firstRowFirstColumn="0" w:firstRowLastColumn="0" w:lastRowFirstColumn="0" w:lastRowLastColumn="0"/>
            <w:tcW w:w="477" w:type="pct"/>
          </w:tcPr>
          <w:p w14:paraId="16B644A6" w14:textId="77777777" w:rsidR="00533466" w:rsidRPr="005C7305" w:rsidRDefault="00533466" w:rsidP="00F365FC">
            <w:pPr>
              <w:jc w:val="center"/>
              <w:rPr>
                <w:rFonts w:ascii="Arial" w:hAnsi="Arial" w:cs="Arial"/>
              </w:rPr>
            </w:pPr>
            <w:r w:rsidRPr="005C7305">
              <w:rPr>
                <w:rFonts w:ascii="Arial" w:hAnsi="Arial" w:cs="Arial"/>
                <w:color w:val="000000"/>
              </w:rPr>
              <w:t>-.083</w:t>
            </w:r>
          </w:p>
        </w:tc>
        <w:tc>
          <w:tcPr>
            <w:cnfStyle w:val="000010000000" w:firstRow="0" w:lastRow="0" w:firstColumn="0" w:lastColumn="0" w:oddVBand="1" w:evenVBand="0" w:oddHBand="0" w:evenHBand="0" w:firstRowFirstColumn="0" w:firstRowLastColumn="0" w:lastRowFirstColumn="0" w:lastRowLastColumn="0"/>
            <w:tcW w:w="510" w:type="pct"/>
          </w:tcPr>
          <w:p w14:paraId="697461B4" w14:textId="77777777" w:rsidR="00533466" w:rsidRPr="005C7305" w:rsidRDefault="00533466" w:rsidP="00F365FC">
            <w:pPr>
              <w:jc w:val="center"/>
              <w:rPr>
                <w:rFonts w:ascii="Arial" w:hAnsi="Arial" w:cs="Arial"/>
              </w:rPr>
            </w:pPr>
            <w:r w:rsidRPr="005C7305">
              <w:rPr>
                <w:rFonts w:ascii="Arial" w:hAnsi="Arial" w:cs="Arial"/>
                <w:color w:val="000000"/>
              </w:rPr>
              <w:t>-.118</w:t>
            </w:r>
          </w:p>
        </w:tc>
        <w:tc>
          <w:tcPr>
            <w:cnfStyle w:val="000001000000" w:firstRow="0" w:lastRow="0" w:firstColumn="0" w:lastColumn="0" w:oddVBand="0" w:evenVBand="1" w:oddHBand="0" w:evenHBand="0" w:firstRowFirstColumn="0" w:firstRowLastColumn="0" w:lastRowFirstColumn="0" w:lastRowLastColumn="0"/>
            <w:tcW w:w="464" w:type="pct"/>
          </w:tcPr>
          <w:p w14:paraId="30D52895" w14:textId="77777777" w:rsidR="00533466" w:rsidRPr="005C7305" w:rsidRDefault="00533466" w:rsidP="00F365FC">
            <w:pPr>
              <w:jc w:val="center"/>
              <w:rPr>
                <w:rFonts w:ascii="Arial" w:hAnsi="Arial" w:cs="Arial"/>
              </w:rPr>
            </w:pPr>
            <w:r w:rsidRPr="005C7305">
              <w:rPr>
                <w:rFonts w:ascii="Arial" w:hAnsi="Arial" w:cs="Arial"/>
                <w:color w:val="000000"/>
              </w:rPr>
              <w:t>-.122</w:t>
            </w:r>
          </w:p>
        </w:tc>
        <w:tc>
          <w:tcPr>
            <w:cnfStyle w:val="000010000000" w:firstRow="0" w:lastRow="0" w:firstColumn="0" w:lastColumn="0" w:oddVBand="1" w:evenVBand="0" w:oddHBand="0" w:evenHBand="0" w:firstRowFirstColumn="0" w:firstRowLastColumn="0" w:lastRowFirstColumn="0" w:lastRowLastColumn="0"/>
            <w:tcW w:w="421" w:type="pct"/>
          </w:tcPr>
          <w:p w14:paraId="7C82AF12" w14:textId="77777777" w:rsidR="00533466" w:rsidRPr="005C7305" w:rsidRDefault="00533466" w:rsidP="00F365FC">
            <w:pPr>
              <w:jc w:val="center"/>
              <w:rPr>
                <w:rFonts w:ascii="Arial" w:hAnsi="Arial" w:cs="Arial"/>
              </w:rPr>
            </w:pPr>
            <w:r w:rsidRPr="005C7305">
              <w:rPr>
                <w:rFonts w:ascii="Arial" w:hAnsi="Arial" w:cs="Arial"/>
                <w:color w:val="000000"/>
              </w:rPr>
              <w:t>-.052</w:t>
            </w:r>
          </w:p>
        </w:tc>
        <w:tc>
          <w:tcPr>
            <w:cnfStyle w:val="000001000000" w:firstRow="0" w:lastRow="0" w:firstColumn="0" w:lastColumn="0" w:oddVBand="0" w:evenVBand="1" w:oddHBand="0" w:evenHBand="0" w:firstRowFirstColumn="0" w:firstRowLastColumn="0" w:lastRowFirstColumn="0" w:lastRowLastColumn="0"/>
            <w:tcW w:w="464" w:type="pct"/>
          </w:tcPr>
          <w:p w14:paraId="3C8348AA" w14:textId="77777777" w:rsidR="00533466" w:rsidRPr="005C7305" w:rsidRDefault="00533466" w:rsidP="00F365FC">
            <w:pPr>
              <w:jc w:val="center"/>
              <w:rPr>
                <w:rFonts w:ascii="Arial" w:hAnsi="Arial" w:cs="Arial"/>
              </w:rPr>
            </w:pPr>
            <w:r w:rsidRPr="005C7305">
              <w:rPr>
                <w:rFonts w:ascii="Arial" w:hAnsi="Arial" w:cs="Arial"/>
                <w:color w:val="000000"/>
              </w:rPr>
              <w:t>+.003</w:t>
            </w:r>
          </w:p>
        </w:tc>
        <w:tc>
          <w:tcPr>
            <w:cnfStyle w:val="000010000000" w:firstRow="0" w:lastRow="0" w:firstColumn="0" w:lastColumn="0" w:oddVBand="1" w:evenVBand="0" w:oddHBand="0" w:evenHBand="0" w:firstRowFirstColumn="0" w:firstRowLastColumn="0" w:lastRowFirstColumn="0" w:lastRowLastColumn="0"/>
            <w:tcW w:w="477" w:type="pct"/>
          </w:tcPr>
          <w:p w14:paraId="138776CE" w14:textId="77777777" w:rsidR="00533466" w:rsidRPr="005C7305" w:rsidRDefault="00533466" w:rsidP="00F365FC">
            <w:pPr>
              <w:jc w:val="center"/>
              <w:rPr>
                <w:rFonts w:ascii="Arial" w:hAnsi="Arial" w:cs="Arial"/>
              </w:rPr>
            </w:pPr>
            <w:r w:rsidRPr="005C7305">
              <w:rPr>
                <w:rFonts w:ascii="Arial" w:hAnsi="Arial" w:cs="Arial"/>
                <w:color w:val="000000"/>
              </w:rPr>
              <w:t>-.021</w:t>
            </w:r>
          </w:p>
        </w:tc>
      </w:tr>
      <w:tr w:rsidR="001B3B9B" w:rsidRPr="005C7305" w14:paraId="1785E6E7" w14:textId="77777777" w:rsidTr="005C7305">
        <w:trPr>
          <w:cnfStyle w:val="000000100000" w:firstRow="0" w:lastRow="0" w:firstColumn="0" w:lastColumn="0" w:oddVBand="0" w:evenVBand="0" w:oddHBand="1" w:evenHBand="0" w:firstRowFirstColumn="0" w:firstRowLastColumn="0" w:lastRowFirstColumn="0" w:lastRowLastColumn="0"/>
          <w:trHeight w:val="237"/>
        </w:trPr>
        <w:tc>
          <w:tcPr>
            <w:cnfStyle w:val="000010000000" w:firstRow="0" w:lastRow="0" w:firstColumn="0" w:lastColumn="0" w:oddVBand="1" w:evenVBand="0" w:oddHBand="0" w:evenHBand="0" w:firstRowFirstColumn="0" w:firstRowLastColumn="0" w:lastRowFirstColumn="0" w:lastRowLastColumn="0"/>
            <w:tcW w:w="1301" w:type="pct"/>
          </w:tcPr>
          <w:p w14:paraId="54011400" w14:textId="77777777" w:rsidR="00533466" w:rsidRPr="005C7305" w:rsidRDefault="00533466" w:rsidP="00F365FC">
            <w:pPr>
              <w:rPr>
                <w:rFonts w:ascii="Arial" w:hAnsi="Arial" w:cs="Arial"/>
                <w:b/>
                <w:bCs/>
              </w:rPr>
            </w:pPr>
            <w:r w:rsidRPr="005C7305">
              <w:rPr>
                <w:rFonts w:ascii="Arial" w:hAnsi="Arial" w:cs="Arial"/>
                <w:b/>
                <w:bCs/>
                <w:color w:val="000000"/>
              </w:rPr>
              <w:t>Gender</w:t>
            </w:r>
          </w:p>
        </w:tc>
        <w:tc>
          <w:tcPr>
            <w:cnfStyle w:val="000001000000" w:firstRow="0" w:lastRow="0" w:firstColumn="0" w:lastColumn="0" w:oddVBand="0" w:evenVBand="1" w:oddHBand="0" w:evenHBand="0" w:firstRowFirstColumn="0" w:firstRowLastColumn="0" w:lastRowFirstColumn="0" w:lastRowLastColumn="0"/>
            <w:tcW w:w="421" w:type="pct"/>
          </w:tcPr>
          <w:p w14:paraId="4869209C" w14:textId="77777777" w:rsidR="00533466" w:rsidRPr="005C7305" w:rsidRDefault="00533466" w:rsidP="00F365FC">
            <w:pPr>
              <w:jc w:val="center"/>
              <w:rPr>
                <w:rFonts w:ascii="Arial" w:hAnsi="Arial" w:cs="Arial"/>
              </w:rPr>
            </w:pPr>
            <w:r w:rsidRPr="005C7305">
              <w:rPr>
                <w:rFonts w:ascii="Arial" w:hAnsi="Arial" w:cs="Arial"/>
                <w:color w:val="000000"/>
              </w:rPr>
              <w:t>+.031</w:t>
            </w:r>
          </w:p>
        </w:tc>
        <w:tc>
          <w:tcPr>
            <w:cnfStyle w:val="000010000000" w:firstRow="0" w:lastRow="0" w:firstColumn="0" w:lastColumn="0" w:oddVBand="1" w:evenVBand="0" w:oddHBand="0" w:evenHBand="0" w:firstRowFirstColumn="0" w:firstRowLastColumn="0" w:lastRowFirstColumn="0" w:lastRowLastColumn="0"/>
            <w:tcW w:w="464" w:type="pct"/>
          </w:tcPr>
          <w:p w14:paraId="0414EDFF" w14:textId="77777777" w:rsidR="00533466" w:rsidRPr="005C7305" w:rsidRDefault="00533466" w:rsidP="00F365FC">
            <w:pPr>
              <w:jc w:val="center"/>
              <w:rPr>
                <w:rFonts w:ascii="Arial" w:hAnsi="Arial" w:cs="Arial"/>
              </w:rPr>
            </w:pPr>
            <w:r w:rsidRPr="005C7305">
              <w:rPr>
                <w:rFonts w:ascii="Arial" w:hAnsi="Arial" w:cs="Arial"/>
                <w:color w:val="000000"/>
              </w:rPr>
              <w:t>-.056</w:t>
            </w:r>
          </w:p>
        </w:tc>
        <w:tc>
          <w:tcPr>
            <w:cnfStyle w:val="000001000000" w:firstRow="0" w:lastRow="0" w:firstColumn="0" w:lastColumn="0" w:oddVBand="0" w:evenVBand="1" w:oddHBand="0" w:evenHBand="0" w:firstRowFirstColumn="0" w:firstRowLastColumn="0" w:lastRowFirstColumn="0" w:lastRowLastColumn="0"/>
            <w:tcW w:w="477" w:type="pct"/>
          </w:tcPr>
          <w:p w14:paraId="31FB03A3" w14:textId="77777777" w:rsidR="00533466" w:rsidRPr="005C7305" w:rsidRDefault="00533466" w:rsidP="00F365FC">
            <w:pPr>
              <w:jc w:val="center"/>
              <w:rPr>
                <w:rFonts w:ascii="Arial" w:hAnsi="Arial" w:cs="Arial"/>
              </w:rPr>
            </w:pPr>
            <w:r w:rsidRPr="005C7305">
              <w:rPr>
                <w:rFonts w:ascii="Arial" w:hAnsi="Arial" w:cs="Arial"/>
                <w:color w:val="000000"/>
              </w:rPr>
              <w:t>+.003</w:t>
            </w:r>
          </w:p>
        </w:tc>
        <w:tc>
          <w:tcPr>
            <w:cnfStyle w:val="000010000000" w:firstRow="0" w:lastRow="0" w:firstColumn="0" w:lastColumn="0" w:oddVBand="1" w:evenVBand="0" w:oddHBand="0" w:evenHBand="0" w:firstRowFirstColumn="0" w:firstRowLastColumn="0" w:lastRowFirstColumn="0" w:lastRowLastColumn="0"/>
            <w:tcW w:w="510" w:type="pct"/>
          </w:tcPr>
          <w:p w14:paraId="05C7604E" w14:textId="77777777" w:rsidR="00533466" w:rsidRPr="005C7305" w:rsidRDefault="00533466" w:rsidP="00F365FC">
            <w:pPr>
              <w:jc w:val="center"/>
              <w:rPr>
                <w:rFonts w:ascii="Arial" w:hAnsi="Arial" w:cs="Arial"/>
              </w:rPr>
            </w:pPr>
            <w:r w:rsidRPr="005C7305">
              <w:rPr>
                <w:rFonts w:ascii="Arial" w:hAnsi="Arial" w:cs="Arial"/>
                <w:color w:val="000000"/>
              </w:rPr>
              <w:t>+.157</w:t>
            </w:r>
          </w:p>
        </w:tc>
        <w:tc>
          <w:tcPr>
            <w:cnfStyle w:val="000001000000" w:firstRow="0" w:lastRow="0" w:firstColumn="0" w:lastColumn="0" w:oddVBand="0" w:evenVBand="1" w:oddHBand="0" w:evenHBand="0" w:firstRowFirstColumn="0" w:firstRowLastColumn="0" w:lastRowFirstColumn="0" w:lastRowLastColumn="0"/>
            <w:tcW w:w="464" w:type="pct"/>
          </w:tcPr>
          <w:p w14:paraId="4CC64CE1" w14:textId="77777777" w:rsidR="00533466" w:rsidRPr="005C7305" w:rsidRDefault="00533466" w:rsidP="00F365FC">
            <w:pPr>
              <w:jc w:val="center"/>
              <w:rPr>
                <w:rFonts w:ascii="Arial" w:hAnsi="Arial" w:cs="Arial"/>
              </w:rPr>
            </w:pPr>
            <w:r w:rsidRPr="005C7305">
              <w:rPr>
                <w:rFonts w:ascii="Arial" w:hAnsi="Arial" w:cs="Arial"/>
                <w:color w:val="000000"/>
              </w:rPr>
              <w:t>+.063</w:t>
            </w:r>
          </w:p>
        </w:tc>
        <w:tc>
          <w:tcPr>
            <w:cnfStyle w:val="000010000000" w:firstRow="0" w:lastRow="0" w:firstColumn="0" w:lastColumn="0" w:oddVBand="1" w:evenVBand="0" w:oddHBand="0" w:evenHBand="0" w:firstRowFirstColumn="0" w:firstRowLastColumn="0" w:lastRowFirstColumn="0" w:lastRowLastColumn="0"/>
            <w:tcW w:w="421" w:type="pct"/>
          </w:tcPr>
          <w:p w14:paraId="6E802495" w14:textId="77777777" w:rsidR="00533466" w:rsidRPr="005C7305" w:rsidRDefault="00533466" w:rsidP="00F365FC">
            <w:pPr>
              <w:jc w:val="center"/>
              <w:rPr>
                <w:rFonts w:ascii="Arial" w:hAnsi="Arial" w:cs="Arial"/>
              </w:rPr>
            </w:pPr>
            <w:r w:rsidRPr="005C7305">
              <w:rPr>
                <w:rFonts w:ascii="Arial" w:hAnsi="Arial" w:cs="Arial"/>
                <w:color w:val="000000"/>
              </w:rPr>
              <w:t>+.040</w:t>
            </w:r>
          </w:p>
        </w:tc>
        <w:tc>
          <w:tcPr>
            <w:cnfStyle w:val="000001000000" w:firstRow="0" w:lastRow="0" w:firstColumn="0" w:lastColumn="0" w:oddVBand="0" w:evenVBand="1" w:oddHBand="0" w:evenHBand="0" w:firstRowFirstColumn="0" w:firstRowLastColumn="0" w:lastRowFirstColumn="0" w:lastRowLastColumn="0"/>
            <w:tcW w:w="464" w:type="pct"/>
          </w:tcPr>
          <w:p w14:paraId="450867F5" w14:textId="77777777" w:rsidR="00533466" w:rsidRPr="005C7305" w:rsidRDefault="00533466" w:rsidP="00F365FC">
            <w:pPr>
              <w:jc w:val="center"/>
              <w:rPr>
                <w:rFonts w:ascii="Arial" w:hAnsi="Arial" w:cs="Arial"/>
                <w:color w:val="943634" w:themeColor="accent2" w:themeShade="BF"/>
              </w:rPr>
            </w:pPr>
            <w:r w:rsidRPr="005C7305">
              <w:rPr>
                <w:rFonts w:ascii="Arial" w:hAnsi="Arial" w:cs="Arial"/>
              </w:rPr>
              <w:t>-.180</w:t>
            </w:r>
          </w:p>
        </w:tc>
        <w:tc>
          <w:tcPr>
            <w:cnfStyle w:val="000010000000" w:firstRow="0" w:lastRow="0" w:firstColumn="0" w:lastColumn="0" w:oddVBand="1" w:evenVBand="0" w:oddHBand="0" w:evenHBand="0" w:firstRowFirstColumn="0" w:firstRowLastColumn="0" w:lastRowFirstColumn="0" w:lastRowLastColumn="0"/>
            <w:tcW w:w="477" w:type="pct"/>
          </w:tcPr>
          <w:p w14:paraId="6E88F758" w14:textId="77777777" w:rsidR="00533466" w:rsidRPr="005C7305" w:rsidRDefault="00533466" w:rsidP="00F365FC">
            <w:pPr>
              <w:jc w:val="center"/>
              <w:rPr>
                <w:rFonts w:ascii="Arial" w:hAnsi="Arial" w:cs="Arial"/>
              </w:rPr>
            </w:pPr>
            <w:r w:rsidRPr="005C7305">
              <w:rPr>
                <w:rFonts w:ascii="Arial" w:hAnsi="Arial" w:cs="Arial"/>
                <w:color w:val="000000"/>
              </w:rPr>
              <w:t>+.013</w:t>
            </w:r>
          </w:p>
        </w:tc>
      </w:tr>
      <w:tr w:rsidR="001B3B9B" w:rsidRPr="005C7305" w14:paraId="07B50E4B" w14:textId="77777777" w:rsidTr="005C7305">
        <w:trPr>
          <w:trHeight w:val="237"/>
        </w:trPr>
        <w:tc>
          <w:tcPr>
            <w:cnfStyle w:val="000010000000" w:firstRow="0" w:lastRow="0" w:firstColumn="0" w:lastColumn="0" w:oddVBand="1" w:evenVBand="0" w:oddHBand="0" w:evenHBand="0" w:firstRowFirstColumn="0" w:firstRowLastColumn="0" w:lastRowFirstColumn="0" w:lastRowLastColumn="0"/>
            <w:tcW w:w="1301" w:type="pct"/>
          </w:tcPr>
          <w:p w14:paraId="06F7F02E" w14:textId="77777777" w:rsidR="00533466" w:rsidRPr="005C7305" w:rsidRDefault="00533466" w:rsidP="00F365FC">
            <w:pPr>
              <w:rPr>
                <w:rFonts w:ascii="Arial" w:hAnsi="Arial" w:cs="Arial"/>
                <w:b/>
                <w:bCs/>
              </w:rPr>
            </w:pPr>
            <w:r w:rsidRPr="005C7305">
              <w:rPr>
                <w:rFonts w:ascii="Arial" w:hAnsi="Arial" w:cs="Arial"/>
                <w:b/>
                <w:bCs/>
                <w:color w:val="000000"/>
              </w:rPr>
              <w:t>Family type</w:t>
            </w:r>
          </w:p>
        </w:tc>
        <w:tc>
          <w:tcPr>
            <w:cnfStyle w:val="000001000000" w:firstRow="0" w:lastRow="0" w:firstColumn="0" w:lastColumn="0" w:oddVBand="0" w:evenVBand="1" w:oddHBand="0" w:evenHBand="0" w:firstRowFirstColumn="0" w:firstRowLastColumn="0" w:lastRowFirstColumn="0" w:lastRowLastColumn="0"/>
            <w:tcW w:w="421" w:type="pct"/>
          </w:tcPr>
          <w:p w14:paraId="70C5DA64" w14:textId="77777777" w:rsidR="00533466" w:rsidRPr="005C7305" w:rsidRDefault="00533466" w:rsidP="00F365FC">
            <w:pPr>
              <w:jc w:val="center"/>
              <w:rPr>
                <w:rFonts w:ascii="Arial" w:hAnsi="Arial" w:cs="Arial"/>
              </w:rPr>
            </w:pPr>
            <w:r w:rsidRPr="005C7305">
              <w:rPr>
                <w:rFonts w:ascii="Arial" w:hAnsi="Arial" w:cs="Arial"/>
                <w:color w:val="000000"/>
              </w:rPr>
              <w:t>-.092</w:t>
            </w:r>
          </w:p>
        </w:tc>
        <w:tc>
          <w:tcPr>
            <w:cnfStyle w:val="000010000000" w:firstRow="0" w:lastRow="0" w:firstColumn="0" w:lastColumn="0" w:oddVBand="1" w:evenVBand="0" w:oddHBand="0" w:evenHBand="0" w:firstRowFirstColumn="0" w:firstRowLastColumn="0" w:lastRowFirstColumn="0" w:lastRowLastColumn="0"/>
            <w:tcW w:w="464" w:type="pct"/>
          </w:tcPr>
          <w:p w14:paraId="71582BAE" w14:textId="77777777" w:rsidR="00533466" w:rsidRPr="005C7305" w:rsidRDefault="00533466" w:rsidP="00F365FC">
            <w:pPr>
              <w:jc w:val="center"/>
              <w:rPr>
                <w:rFonts w:ascii="Arial" w:hAnsi="Arial" w:cs="Arial"/>
              </w:rPr>
            </w:pPr>
            <w:r w:rsidRPr="005C7305">
              <w:rPr>
                <w:rFonts w:ascii="Arial" w:hAnsi="Arial" w:cs="Arial"/>
                <w:color w:val="000000"/>
              </w:rPr>
              <w:t>-.001</w:t>
            </w:r>
          </w:p>
        </w:tc>
        <w:tc>
          <w:tcPr>
            <w:cnfStyle w:val="000001000000" w:firstRow="0" w:lastRow="0" w:firstColumn="0" w:lastColumn="0" w:oddVBand="0" w:evenVBand="1" w:oddHBand="0" w:evenHBand="0" w:firstRowFirstColumn="0" w:firstRowLastColumn="0" w:lastRowFirstColumn="0" w:lastRowLastColumn="0"/>
            <w:tcW w:w="477" w:type="pct"/>
          </w:tcPr>
          <w:p w14:paraId="5E90AE11" w14:textId="77777777" w:rsidR="00533466" w:rsidRPr="005C7305" w:rsidRDefault="00533466" w:rsidP="00F365FC">
            <w:pPr>
              <w:jc w:val="center"/>
              <w:rPr>
                <w:rFonts w:ascii="Arial" w:hAnsi="Arial" w:cs="Arial"/>
              </w:rPr>
            </w:pPr>
            <w:r w:rsidRPr="005C7305">
              <w:rPr>
                <w:rFonts w:ascii="Arial" w:hAnsi="Arial" w:cs="Arial"/>
                <w:color w:val="000000"/>
              </w:rPr>
              <w:t>+.018</w:t>
            </w:r>
          </w:p>
        </w:tc>
        <w:tc>
          <w:tcPr>
            <w:cnfStyle w:val="000010000000" w:firstRow="0" w:lastRow="0" w:firstColumn="0" w:lastColumn="0" w:oddVBand="1" w:evenVBand="0" w:oddHBand="0" w:evenHBand="0" w:firstRowFirstColumn="0" w:firstRowLastColumn="0" w:lastRowFirstColumn="0" w:lastRowLastColumn="0"/>
            <w:tcW w:w="510" w:type="pct"/>
          </w:tcPr>
          <w:p w14:paraId="6F72A5C1" w14:textId="77777777" w:rsidR="00533466" w:rsidRPr="005C7305" w:rsidRDefault="00533466" w:rsidP="00F365FC">
            <w:pPr>
              <w:jc w:val="center"/>
              <w:rPr>
                <w:rFonts w:ascii="Arial" w:hAnsi="Arial" w:cs="Arial"/>
              </w:rPr>
            </w:pPr>
            <w:r w:rsidRPr="005C7305">
              <w:rPr>
                <w:rFonts w:ascii="Arial" w:hAnsi="Arial" w:cs="Arial"/>
                <w:color w:val="000000"/>
              </w:rPr>
              <w:t>-.074</w:t>
            </w:r>
          </w:p>
        </w:tc>
        <w:tc>
          <w:tcPr>
            <w:cnfStyle w:val="000001000000" w:firstRow="0" w:lastRow="0" w:firstColumn="0" w:lastColumn="0" w:oddVBand="0" w:evenVBand="1" w:oddHBand="0" w:evenHBand="0" w:firstRowFirstColumn="0" w:firstRowLastColumn="0" w:lastRowFirstColumn="0" w:lastRowLastColumn="0"/>
            <w:tcW w:w="464" w:type="pct"/>
          </w:tcPr>
          <w:p w14:paraId="1C4DC651" w14:textId="77777777" w:rsidR="00533466" w:rsidRPr="005C7305" w:rsidRDefault="00533466" w:rsidP="00F365FC">
            <w:pPr>
              <w:jc w:val="center"/>
              <w:rPr>
                <w:rFonts w:ascii="Arial" w:hAnsi="Arial" w:cs="Arial"/>
                <w:color w:val="EE0000"/>
              </w:rPr>
            </w:pPr>
            <w:r w:rsidRPr="005C7305">
              <w:rPr>
                <w:rFonts w:ascii="Arial" w:hAnsi="Arial" w:cs="Arial"/>
                <w:b/>
                <w:bCs/>
                <w:color w:val="EE0000"/>
              </w:rPr>
              <w:t>+.226*</w:t>
            </w:r>
          </w:p>
        </w:tc>
        <w:tc>
          <w:tcPr>
            <w:cnfStyle w:val="000010000000" w:firstRow="0" w:lastRow="0" w:firstColumn="0" w:lastColumn="0" w:oddVBand="1" w:evenVBand="0" w:oddHBand="0" w:evenHBand="0" w:firstRowFirstColumn="0" w:firstRowLastColumn="0" w:lastRowFirstColumn="0" w:lastRowLastColumn="0"/>
            <w:tcW w:w="421" w:type="pct"/>
          </w:tcPr>
          <w:p w14:paraId="6EBDC5CC" w14:textId="77777777" w:rsidR="00533466" w:rsidRPr="005C7305" w:rsidRDefault="00533466" w:rsidP="00F365FC">
            <w:pPr>
              <w:jc w:val="center"/>
              <w:rPr>
                <w:rFonts w:ascii="Arial" w:hAnsi="Arial" w:cs="Arial"/>
              </w:rPr>
            </w:pPr>
            <w:r w:rsidRPr="005C7305">
              <w:rPr>
                <w:rFonts w:ascii="Arial" w:hAnsi="Arial" w:cs="Arial"/>
                <w:color w:val="000000"/>
              </w:rPr>
              <w:t>-.077</w:t>
            </w:r>
          </w:p>
        </w:tc>
        <w:tc>
          <w:tcPr>
            <w:cnfStyle w:val="000001000000" w:firstRow="0" w:lastRow="0" w:firstColumn="0" w:lastColumn="0" w:oddVBand="0" w:evenVBand="1" w:oddHBand="0" w:evenHBand="0" w:firstRowFirstColumn="0" w:firstRowLastColumn="0" w:lastRowFirstColumn="0" w:lastRowLastColumn="0"/>
            <w:tcW w:w="464" w:type="pct"/>
          </w:tcPr>
          <w:p w14:paraId="015A220B" w14:textId="77777777" w:rsidR="00533466" w:rsidRPr="005C7305" w:rsidRDefault="00533466" w:rsidP="00F365FC">
            <w:pPr>
              <w:jc w:val="center"/>
              <w:rPr>
                <w:rFonts w:ascii="Arial" w:hAnsi="Arial" w:cs="Arial"/>
                <w:color w:val="EE0000"/>
              </w:rPr>
            </w:pPr>
            <w:r w:rsidRPr="005C7305">
              <w:rPr>
                <w:rFonts w:ascii="Arial" w:hAnsi="Arial" w:cs="Arial"/>
                <w:b/>
                <w:bCs/>
                <w:color w:val="EE0000"/>
              </w:rPr>
              <w:t>+.216*</w:t>
            </w:r>
          </w:p>
        </w:tc>
        <w:tc>
          <w:tcPr>
            <w:cnfStyle w:val="000010000000" w:firstRow="0" w:lastRow="0" w:firstColumn="0" w:lastColumn="0" w:oddVBand="1" w:evenVBand="0" w:oddHBand="0" w:evenHBand="0" w:firstRowFirstColumn="0" w:firstRowLastColumn="0" w:lastRowFirstColumn="0" w:lastRowLastColumn="0"/>
            <w:tcW w:w="477" w:type="pct"/>
          </w:tcPr>
          <w:p w14:paraId="79D8A814" w14:textId="77777777" w:rsidR="00533466" w:rsidRPr="005C7305" w:rsidRDefault="00533466" w:rsidP="00F365FC">
            <w:pPr>
              <w:jc w:val="center"/>
              <w:rPr>
                <w:rFonts w:ascii="Arial" w:hAnsi="Arial" w:cs="Arial"/>
              </w:rPr>
            </w:pPr>
            <w:r w:rsidRPr="005C7305">
              <w:rPr>
                <w:rFonts w:ascii="Arial" w:hAnsi="Arial" w:cs="Arial"/>
                <w:color w:val="000000"/>
              </w:rPr>
              <w:t>+.044</w:t>
            </w:r>
          </w:p>
        </w:tc>
      </w:tr>
      <w:tr w:rsidR="001B3B9B" w:rsidRPr="005C7305" w14:paraId="0938163B" w14:textId="77777777" w:rsidTr="005C7305">
        <w:trPr>
          <w:cnfStyle w:val="000000100000" w:firstRow="0" w:lastRow="0" w:firstColumn="0" w:lastColumn="0" w:oddVBand="0" w:evenVBand="0" w:oddHBand="1" w:evenHBand="0" w:firstRowFirstColumn="0" w:firstRowLastColumn="0" w:lastRowFirstColumn="0" w:lastRowLastColumn="0"/>
          <w:trHeight w:val="237"/>
        </w:trPr>
        <w:tc>
          <w:tcPr>
            <w:cnfStyle w:val="000010000000" w:firstRow="0" w:lastRow="0" w:firstColumn="0" w:lastColumn="0" w:oddVBand="1" w:evenVBand="0" w:oddHBand="0" w:evenHBand="0" w:firstRowFirstColumn="0" w:firstRowLastColumn="0" w:lastRowFirstColumn="0" w:lastRowLastColumn="0"/>
            <w:tcW w:w="1301" w:type="pct"/>
          </w:tcPr>
          <w:p w14:paraId="47F1F809" w14:textId="77777777" w:rsidR="00533466" w:rsidRPr="005C7305" w:rsidRDefault="00533466" w:rsidP="00F365FC">
            <w:pPr>
              <w:rPr>
                <w:rFonts w:ascii="Arial" w:hAnsi="Arial" w:cs="Arial"/>
                <w:b/>
                <w:bCs/>
              </w:rPr>
            </w:pPr>
            <w:r w:rsidRPr="005C7305">
              <w:rPr>
                <w:rFonts w:ascii="Arial" w:hAnsi="Arial" w:cs="Arial"/>
                <w:b/>
                <w:bCs/>
                <w:color w:val="000000"/>
              </w:rPr>
              <w:t>Source of credit</w:t>
            </w:r>
          </w:p>
        </w:tc>
        <w:tc>
          <w:tcPr>
            <w:cnfStyle w:val="000001000000" w:firstRow="0" w:lastRow="0" w:firstColumn="0" w:lastColumn="0" w:oddVBand="0" w:evenVBand="1" w:oddHBand="0" w:evenHBand="0" w:firstRowFirstColumn="0" w:firstRowLastColumn="0" w:lastRowFirstColumn="0" w:lastRowLastColumn="0"/>
            <w:tcW w:w="421" w:type="pct"/>
          </w:tcPr>
          <w:p w14:paraId="28C5523A" w14:textId="77777777" w:rsidR="00533466" w:rsidRPr="005C7305" w:rsidRDefault="00533466" w:rsidP="00F365FC">
            <w:pPr>
              <w:jc w:val="center"/>
              <w:rPr>
                <w:rFonts w:ascii="Arial" w:hAnsi="Arial" w:cs="Arial"/>
              </w:rPr>
            </w:pPr>
            <w:r w:rsidRPr="005C7305">
              <w:rPr>
                <w:rFonts w:ascii="Arial" w:hAnsi="Arial" w:cs="Arial"/>
                <w:color w:val="000000"/>
              </w:rPr>
              <w:t>-.097</w:t>
            </w:r>
          </w:p>
        </w:tc>
        <w:tc>
          <w:tcPr>
            <w:cnfStyle w:val="000010000000" w:firstRow="0" w:lastRow="0" w:firstColumn="0" w:lastColumn="0" w:oddVBand="1" w:evenVBand="0" w:oddHBand="0" w:evenHBand="0" w:firstRowFirstColumn="0" w:firstRowLastColumn="0" w:lastRowFirstColumn="0" w:lastRowLastColumn="0"/>
            <w:tcW w:w="464" w:type="pct"/>
          </w:tcPr>
          <w:p w14:paraId="34F0568F" w14:textId="77777777" w:rsidR="00533466" w:rsidRPr="005C7305" w:rsidRDefault="00533466" w:rsidP="00F365FC">
            <w:pPr>
              <w:jc w:val="center"/>
              <w:rPr>
                <w:rFonts w:ascii="Arial" w:hAnsi="Arial" w:cs="Arial"/>
                <w:color w:val="EE0000"/>
              </w:rPr>
            </w:pPr>
            <w:r w:rsidRPr="005C7305">
              <w:rPr>
                <w:rFonts w:ascii="Arial" w:hAnsi="Arial" w:cs="Arial"/>
                <w:b/>
                <w:bCs/>
                <w:color w:val="EE0000"/>
              </w:rPr>
              <w:t>-.225*</w:t>
            </w:r>
          </w:p>
        </w:tc>
        <w:tc>
          <w:tcPr>
            <w:cnfStyle w:val="000001000000" w:firstRow="0" w:lastRow="0" w:firstColumn="0" w:lastColumn="0" w:oddVBand="0" w:evenVBand="1" w:oddHBand="0" w:evenHBand="0" w:firstRowFirstColumn="0" w:firstRowLastColumn="0" w:lastRowFirstColumn="0" w:lastRowLastColumn="0"/>
            <w:tcW w:w="477" w:type="pct"/>
          </w:tcPr>
          <w:p w14:paraId="03357D7A" w14:textId="77777777" w:rsidR="00533466" w:rsidRPr="005C7305" w:rsidRDefault="00533466" w:rsidP="00F365FC">
            <w:pPr>
              <w:jc w:val="center"/>
              <w:rPr>
                <w:rFonts w:ascii="Arial" w:hAnsi="Arial" w:cs="Arial"/>
              </w:rPr>
            </w:pPr>
            <w:r w:rsidRPr="005C7305">
              <w:rPr>
                <w:rFonts w:ascii="Arial" w:hAnsi="Arial" w:cs="Arial"/>
                <w:color w:val="000000"/>
              </w:rPr>
              <w:t>-.099</w:t>
            </w:r>
          </w:p>
        </w:tc>
        <w:tc>
          <w:tcPr>
            <w:cnfStyle w:val="000010000000" w:firstRow="0" w:lastRow="0" w:firstColumn="0" w:lastColumn="0" w:oddVBand="1" w:evenVBand="0" w:oddHBand="0" w:evenHBand="0" w:firstRowFirstColumn="0" w:firstRowLastColumn="0" w:lastRowFirstColumn="0" w:lastRowLastColumn="0"/>
            <w:tcW w:w="510" w:type="pct"/>
          </w:tcPr>
          <w:p w14:paraId="361B5669" w14:textId="77777777" w:rsidR="00533466" w:rsidRPr="005C7305" w:rsidRDefault="00533466" w:rsidP="00F365FC">
            <w:pPr>
              <w:jc w:val="center"/>
              <w:rPr>
                <w:rFonts w:ascii="Arial" w:hAnsi="Arial" w:cs="Arial"/>
              </w:rPr>
            </w:pPr>
            <w:r w:rsidRPr="005C7305">
              <w:rPr>
                <w:rFonts w:ascii="Arial" w:hAnsi="Arial" w:cs="Arial"/>
                <w:color w:val="000000"/>
              </w:rPr>
              <w:t>+.137</w:t>
            </w:r>
          </w:p>
        </w:tc>
        <w:tc>
          <w:tcPr>
            <w:cnfStyle w:val="000001000000" w:firstRow="0" w:lastRow="0" w:firstColumn="0" w:lastColumn="0" w:oddVBand="0" w:evenVBand="1" w:oddHBand="0" w:evenHBand="0" w:firstRowFirstColumn="0" w:firstRowLastColumn="0" w:lastRowFirstColumn="0" w:lastRowLastColumn="0"/>
            <w:tcW w:w="464" w:type="pct"/>
          </w:tcPr>
          <w:p w14:paraId="51CED09D" w14:textId="77777777" w:rsidR="00533466" w:rsidRPr="005C7305" w:rsidRDefault="00533466" w:rsidP="00F365FC">
            <w:pPr>
              <w:jc w:val="center"/>
              <w:rPr>
                <w:rFonts w:ascii="Arial" w:hAnsi="Arial" w:cs="Arial"/>
              </w:rPr>
            </w:pPr>
            <w:r w:rsidRPr="005C7305">
              <w:rPr>
                <w:rFonts w:ascii="Arial" w:hAnsi="Arial" w:cs="Arial"/>
                <w:color w:val="000000"/>
              </w:rPr>
              <w:t>+.020</w:t>
            </w:r>
          </w:p>
        </w:tc>
        <w:tc>
          <w:tcPr>
            <w:cnfStyle w:val="000010000000" w:firstRow="0" w:lastRow="0" w:firstColumn="0" w:lastColumn="0" w:oddVBand="1" w:evenVBand="0" w:oddHBand="0" w:evenHBand="0" w:firstRowFirstColumn="0" w:firstRowLastColumn="0" w:lastRowFirstColumn="0" w:lastRowLastColumn="0"/>
            <w:tcW w:w="421" w:type="pct"/>
          </w:tcPr>
          <w:p w14:paraId="0625F90C" w14:textId="77777777" w:rsidR="00533466" w:rsidRPr="005C7305" w:rsidRDefault="00533466" w:rsidP="00F365FC">
            <w:pPr>
              <w:jc w:val="center"/>
              <w:rPr>
                <w:rFonts w:ascii="Arial" w:hAnsi="Arial" w:cs="Arial"/>
              </w:rPr>
            </w:pPr>
            <w:r w:rsidRPr="005C7305">
              <w:rPr>
                <w:rFonts w:ascii="Arial" w:hAnsi="Arial" w:cs="Arial"/>
                <w:color w:val="000000"/>
              </w:rPr>
              <w:t>+.067</w:t>
            </w:r>
          </w:p>
        </w:tc>
        <w:tc>
          <w:tcPr>
            <w:cnfStyle w:val="000001000000" w:firstRow="0" w:lastRow="0" w:firstColumn="0" w:lastColumn="0" w:oddVBand="0" w:evenVBand="1" w:oddHBand="0" w:evenHBand="0" w:firstRowFirstColumn="0" w:firstRowLastColumn="0" w:lastRowFirstColumn="0" w:lastRowLastColumn="0"/>
            <w:tcW w:w="464" w:type="pct"/>
          </w:tcPr>
          <w:p w14:paraId="79CFE4F2" w14:textId="77777777" w:rsidR="00533466" w:rsidRPr="005C7305" w:rsidRDefault="00533466" w:rsidP="00F365FC">
            <w:pPr>
              <w:jc w:val="center"/>
              <w:rPr>
                <w:rFonts w:ascii="Arial" w:hAnsi="Arial" w:cs="Arial"/>
              </w:rPr>
            </w:pPr>
            <w:r w:rsidRPr="005C7305">
              <w:rPr>
                <w:rFonts w:ascii="Arial" w:hAnsi="Arial" w:cs="Arial"/>
                <w:color w:val="000000"/>
              </w:rPr>
              <w:t>-.097</w:t>
            </w:r>
          </w:p>
        </w:tc>
        <w:tc>
          <w:tcPr>
            <w:cnfStyle w:val="000010000000" w:firstRow="0" w:lastRow="0" w:firstColumn="0" w:lastColumn="0" w:oddVBand="1" w:evenVBand="0" w:oddHBand="0" w:evenHBand="0" w:firstRowFirstColumn="0" w:firstRowLastColumn="0" w:lastRowFirstColumn="0" w:lastRowLastColumn="0"/>
            <w:tcW w:w="477" w:type="pct"/>
          </w:tcPr>
          <w:p w14:paraId="378F22D5" w14:textId="77777777" w:rsidR="00533466" w:rsidRPr="005C7305" w:rsidRDefault="00533466" w:rsidP="00F365FC">
            <w:pPr>
              <w:jc w:val="center"/>
              <w:rPr>
                <w:rFonts w:ascii="Arial" w:hAnsi="Arial" w:cs="Arial"/>
              </w:rPr>
            </w:pPr>
            <w:r w:rsidRPr="005C7305">
              <w:rPr>
                <w:rFonts w:ascii="Arial" w:hAnsi="Arial" w:cs="Arial"/>
                <w:color w:val="000000"/>
              </w:rPr>
              <w:t>-.149</w:t>
            </w:r>
          </w:p>
        </w:tc>
      </w:tr>
    </w:tbl>
    <w:p w14:paraId="47B98889" w14:textId="55A23BA1" w:rsidR="00652791" w:rsidRPr="005C7305" w:rsidRDefault="00533466" w:rsidP="00652791">
      <w:pPr>
        <w:pStyle w:val="Body"/>
        <w:spacing w:after="0"/>
        <w:rPr>
          <w:rFonts w:ascii="Arial" w:hAnsi="Arial" w:cs="Arial"/>
        </w:rPr>
      </w:pPr>
      <w:r w:rsidRPr="005C7305">
        <w:rPr>
          <w:rFonts w:ascii="Arial" w:hAnsi="Arial" w:cs="Arial"/>
          <w:i/>
          <w:iCs/>
          <w:color w:val="000000"/>
          <w:sz w:val="18"/>
          <w:szCs w:val="18"/>
          <w:lang w:val="fr-FR"/>
        </w:rPr>
        <w:t>**P &lt; .</w:t>
      </w:r>
      <w:proofErr w:type="gramStart"/>
      <w:r w:rsidRPr="005C7305">
        <w:rPr>
          <w:rFonts w:ascii="Arial" w:hAnsi="Arial" w:cs="Arial"/>
          <w:i/>
          <w:iCs/>
          <w:color w:val="000000"/>
          <w:sz w:val="18"/>
          <w:szCs w:val="18"/>
          <w:lang w:val="fr-FR"/>
        </w:rPr>
        <w:t>01;</w:t>
      </w:r>
      <w:proofErr w:type="gramEnd"/>
      <w:r w:rsidRPr="005C7305">
        <w:rPr>
          <w:rFonts w:ascii="Arial" w:hAnsi="Arial" w:cs="Arial"/>
          <w:i/>
          <w:iCs/>
          <w:color w:val="000000"/>
          <w:sz w:val="18"/>
          <w:szCs w:val="18"/>
          <w:lang w:val="fr-FR"/>
        </w:rPr>
        <w:t xml:space="preserve"> *P &lt; .05</w:t>
      </w:r>
      <w:r w:rsidR="001B3B9B" w:rsidRPr="005C7305">
        <w:rPr>
          <w:rFonts w:ascii="Arial" w:hAnsi="Arial" w:cs="Arial"/>
          <w:i/>
          <w:iCs/>
          <w:color w:val="000000"/>
          <w:sz w:val="18"/>
          <w:szCs w:val="18"/>
          <w:lang w:val="fr-FR"/>
        </w:rPr>
        <w:t xml:space="preserve">. </w:t>
      </w:r>
      <w:proofErr w:type="spellStart"/>
      <w:r w:rsidR="00652791" w:rsidRPr="005C7305">
        <w:rPr>
          <w:rFonts w:ascii="Arial" w:hAnsi="Arial" w:cs="Arial"/>
          <w:i/>
          <w:iCs/>
          <w:color w:val="000000"/>
          <w:sz w:val="18"/>
          <w:szCs w:val="18"/>
          <w:lang w:val="fr-FR"/>
        </w:rPr>
        <w:t>Occ</w:t>
      </w:r>
      <w:proofErr w:type="spellEnd"/>
      <w:r w:rsidR="00652791" w:rsidRPr="005C7305">
        <w:rPr>
          <w:rFonts w:ascii="Arial" w:hAnsi="Arial" w:cs="Arial"/>
          <w:i/>
          <w:iCs/>
          <w:color w:val="000000"/>
          <w:sz w:val="18"/>
          <w:szCs w:val="18"/>
          <w:lang w:val="fr-FR"/>
        </w:rPr>
        <w:t xml:space="preserve">. = </w:t>
      </w:r>
      <w:proofErr w:type="spellStart"/>
      <w:proofErr w:type="gramStart"/>
      <w:r w:rsidR="00652791" w:rsidRPr="005C7305">
        <w:rPr>
          <w:rFonts w:ascii="Arial" w:hAnsi="Arial" w:cs="Arial"/>
          <w:i/>
          <w:iCs/>
          <w:color w:val="000000"/>
          <w:sz w:val="18"/>
          <w:szCs w:val="18"/>
          <w:lang w:val="fr-FR"/>
        </w:rPr>
        <w:t>Occupational</w:t>
      </w:r>
      <w:proofErr w:type="spellEnd"/>
      <w:r w:rsidR="00652791" w:rsidRPr="005C7305">
        <w:rPr>
          <w:rFonts w:ascii="Arial" w:hAnsi="Arial" w:cs="Arial"/>
          <w:i/>
          <w:iCs/>
          <w:color w:val="000000"/>
          <w:sz w:val="18"/>
          <w:szCs w:val="18"/>
          <w:lang w:val="fr-FR"/>
        </w:rPr>
        <w:t>;</w:t>
      </w:r>
      <w:proofErr w:type="gramEnd"/>
      <w:r w:rsidR="00652791" w:rsidRPr="005C7305">
        <w:rPr>
          <w:rFonts w:ascii="Arial" w:hAnsi="Arial" w:cs="Arial"/>
          <w:i/>
          <w:iCs/>
          <w:color w:val="000000"/>
          <w:sz w:val="18"/>
          <w:szCs w:val="18"/>
          <w:lang w:val="fr-FR"/>
        </w:rPr>
        <w:t xml:space="preserve"> Hab. = Habitat; Edu. </w:t>
      </w:r>
      <w:r w:rsidR="00652791" w:rsidRPr="005C7305">
        <w:rPr>
          <w:rFonts w:ascii="Arial" w:hAnsi="Arial" w:cs="Arial"/>
          <w:i/>
          <w:iCs/>
          <w:color w:val="000000"/>
          <w:sz w:val="18"/>
          <w:szCs w:val="18"/>
        </w:rPr>
        <w:t xml:space="preserve">= Education; Soc. = Social; </w:t>
      </w:r>
      <w:proofErr w:type="spellStart"/>
      <w:r w:rsidR="00652791" w:rsidRPr="005C7305">
        <w:rPr>
          <w:rFonts w:ascii="Arial" w:hAnsi="Arial" w:cs="Arial"/>
          <w:i/>
          <w:iCs/>
          <w:color w:val="000000"/>
          <w:sz w:val="18"/>
          <w:szCs w:val="18"/>
        </w:rPr>
        <w:t>Hlt</w:t>
      </w:r>
      <w:proofErr w:type="spellEnd"/>
      <w:r w:rsidR="00652791" w:rsidRPr="005C7305">
        <w:rPr>
          <w:rFonts w:ascii="Arial" w:hAnsi="Arial" w:cs="Arial"/>
          <w:i/>
          <w:iCs/>
          <w:color w:val="000000"/>
          <w:sz w:val="18"/>
          <w:szCs w:val="18"/>
        </w:rPr>
        <w:t>. = Health; Env. = Environmental. Source: Computed from primary data.</w:t>
      </w:r>
    </w:p>
    <w:p w14:paraId="33B7C4F7" w14:textId="77777777" w:rsidR="00533466" w:rsidRPr="005C7305" w:rsidRDefault="00533466" w:rsidP="00652791">
      <w:pPr>
        <w:pStyle w:val="Body"/>
        <w:spacing w:after="0"/>
        <w:rPr>
          <w:rFonts w:ascii="Arial" w:hAnsi="Arial" w:cs="Arial"/>
        </w:rPr>
      </w:pPr>
    </w:p>
    <w:p w14:paraId="016208BB" w14:textId="44D75D16" w:rsidR="00455C12" w:rsidRPr="005C7305" w:rsidRDefault="00277BBC" w:rsidP="00455C12">
      <w:pPr>
        <w:pStyle w:val="Figure"/>
        <w:spacing w:before="60" w:line="240" w:lineRule="auto"/>
        <w:jc w:val="both"/>
        <w:rPr>
          <w:rFonts w:ascii="Arial" w:hAnsi="Arial" w:cs="Arial"/>
        </w:rPr>
      </w:pPr>
      <w:r w:rsidRPr="005C7305">
        <w:rPr>
          <w:rFonts w:ascii="Arial" w:hAnsi="Arial" w:cs="Arial"/>
        </w:rPr>
        <w:t xml:space="preserve">Credit acquisition showed a significant negative correlation with food security (r = −0.251, P = </w:t>
      </w:r>
      <w:r w:rsidR="00455C12" w:rsidRPr="005C7305">
        <w:rPr>
          <w:rFonts w:ascii="Arial" w:hAnsi="Arial" w:cs="Arial"/>
        </w:rPr>
        <w:t>0</w:t>
      </w:r>
      <w:r w:rsidRPr="005C7305">
        <w:rPr>
          <w:rFonts w:ascii="Arial" w:hAnsi="Arial" w:cs="Arial"/>
        </w:rPr>
        <w:t xml:space="preserve">.017) and a highly significant positive correlation with education security (r = +0.287, P = </w:t>
      </w:r>
      <w:r w:rsidR="00455C12" w:rsidRPr="005C7305">
        <w:rPr>
          <w:rFonts w:ascii="Arial" w:hAnsi="Arial" w:cs="Arial"/>
        </w:rPr>
        <w:t>0</w:t>
      </w:r>
      <w:r w:rsidRPr="005C7305">
        <w:rPr>
          <w:rFonts w:ascii="Arial" w:hAnsi="Arial" w:cs="Arial"/>
        </w:rPr>
        <w:t xml:space="preserve">.006), with a marginal negative association with occupational security (r = −0.181, P = </w:t>
      </w:r>
      <w:r w:rsidR="00455C12" w:rsidRPr="005C7305">
        <w:rPr>
          <w:rFonts w:ascii="Arial" w:hAnsi="Arial" w:cs="Arial"/>
        </w:rPr>
        <w:t>0</w:t>
      </w:r>
      <w:r w:rsidRPr="005C7305">
        <w:rPr>
          <w:rFonts w:ascii="Arial" w:hAnsi="Arial" w:cs="Arial"/>
        </w:rPr>
        <w:t>.088). The negative association between credit acquisition and food security suggests that short-term debt obligations</w:t>
      </w:r>
      <w:r w:rsidR="007D0C2D">
        <w:rPr>
          <w:rFonts w:ascii="Arial" w:hAnsi="Arial" w:cs="Arial"/>
        </w:rPr>
        <w:t xml:space="preserve"> of farmers results in</w:t>
      </w:r>
      <w:r w:rsidRPr="005C7305">
        <w:rPr>
          <w:rFonts w:ascii="Arial" w:hAnsi="Arial" w:cs="Arial"/>
        </w:rPr>
        <w:t xml:space="preserve"> </w:t>
      </w:r>
      <w:r w:rsidR="007D0C2D" w:rsidRPr="005C7305">
        <w:rPr>
          <w:rFonts w:ascii="Arial" w:hAnsi="Arial" w:cs="Arial"/>
        </w:rPr>
        <w:t>divers</w:t>
      </w:r>
      <w:r w:rsidR="007D0C2D">
        <w:rPr>
          <w:rFonts w:ascii="Arial" w:hAnsi="Arial" w:cs="Arial"/>
        </w:rPr>
        <w:t>ion of</w:t>
      </w:r>
      <w:r w:rsidRPr="005C7305">
        <w:rPr>
          <w:rFonts w:ascii="Arial" w:hAnsi="Arial" w:cs="Arial"/>
        </w:rPr>
        <w:t xml:space="preserve"> household resources away from food expenditure and production investment</w:t>
      </w:r>
      <w:r w:rsidR="007D0C2D">
        <w:rPr>
          <w:rFonts w:ascii="Arial" w:hAnsi="Arial" w:cs="Arial"/>
        </w:rPr>
        <w:t xml:space="preserve"> thereby</w:t>
      </w:r>
      <w:r w:rsidRPr="005C7305">
        <w:rPr>
          <w:rFonts w:ascii="Arial" w:hAnsi="Arial" w:cs="Arial"/>
        </w:rPr>
        <w:t xml:space="preserve"> reducing dietary security</w:t>
      </w:r>
      <w:r w:rsidR="00E3591C">
        <w:rPr>
          <w:rFonts w:ascii="Arial" w:hAnsi="Arial" w:cs="Arial"/>
        </w:rPr>
        <w:t>. The results are in line with</w:t>
      </w:r>
      <w:r w:rsidRPr="005C7305">
        <w:rPr>
          <w:rFonts w:ascii="Arial" w:hAnsi="Arial" w:cs="Arial"/>
        </w:rPr>
        <w:t xml:space="preserve"> a pattern </w:t>
      </w:r>
      <w:r w:rsidR="00357FCE">
        <w:rPr>
          <w:rFonts w:ascii="Arial" w:hAnsi="Arial" w:cs="Arial"/>
        </w:rPr>
        <w:t>reported by</w:t>
      </w:r>
      <w:r w:rsidRPr="005C7305">
        <w:rPr>
          <w:rFonts w:ascii="Arial" w:hAnsi="Arial" w:cs="Arial"/>
        </w:rPr>
        <w:t xml:space="preserve"> </w:t>
      </w:r>
      <w:proofErr w:type="spellStart"/>
      <w:r w:rsidRPr="005C7305">
        <w:rPr>
          <w:rFonts w:ascii="Arial" w:hAnsi="Arial" w:cs="Arial"/>
        </w:rPr>
        <w:t>Puste</w:t>
      </w:r>
      <w:proofErr w:type="spellEnd"/>
      <w:r w:rsidRPr="005C7305">
        <w:rPr>
          <w:rFonts w:ascii="Arial" w:hAnsi="Arial" w:cs="Arial"/>
        </w:rPr>
        <w:t xml:space="preserve"> et al. (2013), who noted that financial stress among smallholder IFS farmers constrains optimal resource allocation across livelihood dimensions. The positive association with education security, however, indicates that credit </w:t>
      </w:r>
      <w:r w:rsidR="00357FCE">
        <w:rPr>
          <w:rFonts w:ascii="Arial" w:hAnsi="Arial" w:cs="Arial"/>
        </w:rPr>
        <w:t xml:space="preserve">availed </w:t>
      </w:r>
      <w:r w:rsidRPr="005C7305">
        <w:rPr>
          <w:rFonts w:ascii="Arial" w:hAnsi="Arial" w:cs="Arial"/>
        </w:rPr>
        <w:t xml:space="preserve">also enables </w:t>
      </w:r>
      <w:r w:rsidR="00357FCE">
        <w:rPr>
          <w:rFonts w:ascii="Arial" w:hAnsi="Arial" w:cs="Arial"/>
        </w:rPr>
        <w:t xml:space="preserve">the farmer to </w:t>
      </w:r>
      <w:r w:rsidRPr="005C7305">
        <w:rPr>
          <w:rFonts w:ascii="Arial" w:hAnsi="Arial" w:cs="Arial"/>
        </w:rPr>
        <w:t xml:space="preserve">invest in </w:t>
      </w:r>
      <w:r w:rsidR="00357FCE">
        <w:rPr>
          <w:rFonts w:ascii="Arial" w:hAnsi="Arial" w:cs="Arial"/>
        </w:rPr>
        <w:t xml:space="preserve">their </w:t>
      </w:r>
      <w:r w:rsidRPr="005C7305">
        <w:rPr>
          <w:rFonts w:ascii="Arial" w:hAnsi="Arial" w:cs="Arial"/>
        </w:rPr>
        <w:t xml:space="preserve">children's education, which </w:t>
      </w:r>
      <w:r w:rsidR="00F01451" w:rsidRPr="005C7305">
        <w:rPr>
          <w:rFonts w:ascii="Arial" w:hAnsi="Arial" w:cs="Arial"/>
        </w:rPr>
        <w:t xml:space="preserve">the general </w:t>
      </w:r>
      <w:proofErr w:type="spellStart"/>
      <w:r w:rsidR="00F01451" w:rsidRPr="005C7305">
        <w:rPr>
          <w:rFonts w:ascii="Arial" w:hAnsi="Arial" w:cs="Arial"/>
        </w:rPr>
        <w:t>public</w:t>
      </w:r>
      <w:r w:rsidRPr="005C7305">
        <w:rPr>
          <w:rFonts w:ascii="Arial" w:hAnsi="Arial" w:cs="Arial"/>
        </w:rPr>
        <w:t>in</w:t>
      </w:r>
      <w:proofErr w:type="spellEnd"/>
      <w:r w:rsidRPr="005C7305">
        <w:rPr>
          <w:rFonts w:ascii="Arial" w:hAnsi="Arial" w:cs="Arial"/>
        </w:rPr>
        <w:t xml:space="preserve"> Kerala </w:t>
      </w:r>
      <w:proofErr w:type="spellStart"/>
      <w:r w:rsidRPr="005C7305">
        <w:rPr>
          <w:rFonts w:ascii="Arial" w:hAnsi="Arial" w:cs="Arial"/>
        </w:rPr>
        <w:t>prioritise</w:t>
      </w:r>
      <w:proofErr w:type="spellEnd"/>
      <w:r w:rsidRPr="005C7305">
        <w:rPr>
          <w:rFonts w:ascii="Arial" w:hAnsi="Arial" w:cs="Arial"/>
        </w:rPr>
        <w:t xml:space="preserve"> even under</w:t>
      </w:r>
      <w:r w:rsidR="00357FCE">
        <w:rPr>
          <w:rFonts w:ascii="Arial" w:hAnsi="Arial" w:cs="Arial"/>
        </w:rPr>
        <w:t xml:space="preserve"> significant</w:t>
      </w:r>
      <w:r w:rsidRPr="005C7305">
        <w:rPr>
          <w:rFonts w:ascii="Arial" w:hAnsi="Arial" w:cs="Arial"/>
        </w:rPr>
        <w:t xml:space="preserve"> financial constraint. </w:t>
      </w:r>
      <w:r w:rsidR="00455C12" w:rsidRPr="005C7305">
        <w:rPr>
          <w:rFonts w:ascii="Arial" w:hAnsi="Arial" w:cs="Arial"/>
        </w:rPr>
        <w:t xml:space="preserve">Raghavendra et al. (2024) similarly found that credit access was a </w:t>
      </w:r>
      <w:r w:rsidR="00E30BD9">
        <w:rPr>
          <w:rFonts w:ascii="Arial" w:hAnsi="Arial" w:cs="Arial"/>
        </w:rPr>
        <w:t>major</w:t>
      </w:r>
      <w:r w:rsidR="00455C12" w:rsidRPr="005C7305">
        <w:rPr>
          <w:rFonts w:ascii="Arial" w:hAnsi="Arial" w:cs="Arial"/>
        </w:rPr>
        <w:t xml:space="preserve"> determinant of IFS adoption and improved livelihoods in Kerala, while Shivaji et al. (2018) reported that institutional credit was associated with better human capital outcomes despite adverse effects on immediate consumption security.</w:t>
      </w:r>
    </w:p>
    <w:p w14:paraId="4F750CC2" w14:textId="0226362D" w:rsidR="00F86B3B" w:rsidRPr="005C7305" w:rsidRDefault="00277BBC" w:rsidP="00F86B3B">
      <w:pPr>
        <w:pStyle w:val="Figure"/>
        <w:spacing w:before="60" w:line="240" w:lineRule="auto"/>
        <w:jc w:val="both"/>
        <w:rPr>
          <w:rFonts w:ascii="Arial" w:hAnsi="Arial" w:cs="Arial"/>
        </w:rPr>
      </w:pPr>
      <w:r w:rsidRPr="005C7305">
        <w:rPr>
          <w:rFonts w:ascii="Arial" w:hAnsi="Arial" w:cs="Arial"/>
          <w:color w:val="000000"/>
        </w:rPr>
        <w:t>Social participation showed a significant positive correlation with occupational security (</w:t>
      </w:r>
      <w:r w:rsidRPr="005C7305">
        <w:rPr>
          <w:rFonts w:ascii="Arial" w:hAnsi="Arial" w:cs="Arial"/>
          <w:i/>
          <w:iCs/>
          <w:color w:val="000000"/>
        </w:rPr>
        <w:t>r</w:t>
      </w:r>
      <w:r w:rsidRPr="005C7305">
        <w:rPr>
          <w:rFonts w:ascii="Arial" w:hAnsi="Arial" w:cs="Arial"/>
          <w:color w:val="000000"/>
        </w:rPr>
        <w:t xml:space="preserve"> = +0.230, </w:t>
      </w:r>
      <w:r w:rsidRPr="005C7305">
        <w:rPr>
          <w:rFonts w:ascii="Arial" w:hAnsi="Arial" w:cs="Arial"/>
          <w:i/>
          <w:iCs/>
          <w:color w:val="000000"/>
        </w:rPr>
        <w:t>P</w:t>
      </w:r>
      <w:r w:rsidRPr="005C7305">
        <w:rPr>
          <w:rFonts w:ascii="Arial" w:hAnsi="Arial" w:cs="Arial"/>
          <w:color w:val="000000"/>
        </w:rPr>
        <w:t xml:space="preserve"> = </w:t>
      </w:r>
      <w:r w:rsidR="00455C12" w:rsidRPr="005C7305">
        <w:rPr>
          <w:rFonts w:ascii="Arial" w:hAnsi="Arial" w:cs="Arial"/>
          <w:color w:val="000000"/>
        </w:rPr>
        <w:t>0</w:t>
      </w:r>
      <w:r w:rsidRPr="005C7305">
        <w:rPr>
          <w:rFonts w:ascii="Arial" w:hAnsi="Arial" w:cs="Arial"/>
          <w:color w:val="000000"/>
        </w:rPr>
        <w:t xml:space="preserve">.029) and a marginal positive </w:t>
      </w:r>
      <w:r w:rsidR="00EC2E3C">
        <w:rPr>
          <w:rFonts w:ascii="Arial" w:hAnsi="Arial" w:cs="Arial"/>
          <w:color w:val="000000"/>
        </w:rPr>
        <w:t>relation</w:t>
      </w:r>
      <w:r w:rsidRPr="005C7305">
        <w:rPr>
          <w:rFonts w:ascii="Arial" w:hAnsi="Arial" w:cs="Arial"/>
          <w:color w:val="000000"/>
        </w:rPr>
        <w:t xml:space="preserve"> with overall SLSI (</w:t>
      </w:r>
      <w:r w:rsidRPr="005C7305">
        <w:rPr>
          <w:rFonts w:ascii="Arial" w:hAnsi="Arial" w:cs="Arial"/>
          <w:i/>
          <w:iCs/>
          <w:color w:val="000000"/>
        </w:rPr>
        <w:t>r</w:t>
      </w:r>
      <w:r w:rsidRPr="005C7305">
        <w:rPr>
          <w:rFonts w:ascii="Arial" w:hAnsi="Arial" w:cs="Arial"/>
          <w:color w:val="000000"/>
        </w:rPr>
        <w:t xml:space="preserve"> = +0.189, </w:t>
      </w:r>
      <w:r w:rsidRPr="005C7305">
        <w:rPr>
          <w:rFonts w:ascii="Arial" w:hAnsi="Arial" w:cs="Arial"/>
          <w:i/>
          <w:iCs/>
          <w:color w:val="000000"/>
        </w:rPr>
        <w:t>P</w:t>
      </w:r>
      <w:r w:rsidRPr="005C7305">
        <w:rPr>
          <w:rFonts w:ascii="Arial" w:hAnsi="Arial" w:cs="Arial"/>
          <w:color w:val="000000"/>
        </w:rPr>
        <w:t xml:space="preserve"> = .075). Farmers with higher </w:t>
      </w:r>
      <w:proofErr w:type="spellStart"/>
      <w:r w:rsidRPr="005C7305">
        <w:rPr>
          <w:rFonts w:ascii="Arial" w:hAnsi="Arial" w:cs="Arial"/>
          <w:color w:val="000000"/>
        </w:rPr>
        <w:t>organisational</w:t>
      </w:r>
      <w:proofErr w:type="spellEnd"/>
      <w:r w:rsidRPr="005C7305">
        <w:rPr>
          <w:rFonts w:ascii="Arial" w:hAnsi="Arial" w:cs="Arial"/>
          <w:color w:val="000000"/>
        </w:rPr>
        <w:t xml:space="preserve"> membership and community engagement reported more </w:t>
      </w:r>
      <w:proofErr w:type="gramStart"/>
      <w:r w:rsidRPr="005C7305">
        <w:rPr>
          <w:rFonts w:ascii="Arial" w:hAnsi="Arial" w:cs="Arial"/>
          <w:color w:val="000000"/>
        </w:rPr>
        <w:t xml:space="preserve">stable </w:t>
      </w:r>
      <w:r w:rsidR="00EC2E3C">
        <w:rPr>
          <w:rFonts w:ascii="Arial" w:hAnsi="Arial" w:cs="Arial"/>
          <w:color w:val="000000"/>
        </w:rPr>
        <w:t xml:space="preserve"> and</w:t>
      </w:r>
      <w:proofErr w:type="gramEnd"/>
      <w:r w:rsidR="00EC2E3C">
        <w:rPr>
          <w:rFonts w:ascii="Arial" w:hAnsi="Arial" w:cs="Arial"/>
          <w:color w:val="000000"/>
        </w:rPr>
        <w:t xml:space="preserve"> </w:t>
      </w:r>
      <w:r w:rsidRPr="005C7305">
        <w:rPr>
          <w:rFonts w:ascii="Arial" w:hAnsi="Arial" w:cs="Arial"/>
          <w:color w:val="000000"/>
        </w:rPr>
        <w:t>year</w:t>
      </w:r>
      <w:r w:rsidR="00EC2E3C">
        <w:rPr>
          <w:rFonts w:ascii="Arial" w:hAnsi="Arial" w:cs="Arial"/>
          <w:color w:val="000000"/>
        </w:rPr>
        <w:t xml:space="preserve"> </w:t>
      </w:r>
      <w:r w:rsidRPr="005C7305">
        <w:rPr>
          <w:rFonts w:ascii="Arial" w:hAnsi="Arial" w:cs="Arial"/>
          <w:color w:val="000000"/>
        </w:rPr>
        <w:t>round employment a</w:t>
      </w:r>
      <w:r w:rsidR="00EC2E3C">
        <w:rPr>
          <w:rFonts w:ascii="Arial" w:hAnsi="Arial" w:cs="Arial"/>
          <w:color w:val="000000"/>
        </w:rPr>
        <w:t xml:space="preserve">long with </w:t>
      </w:r>
      <w:r w:rsidRPr="005C7305">
        <w:rPr>
          <w:rFonts w:ascii="Arial" w:hAnsi="Arial" w:cs="Arial"/>
          <w:color w:val="000000"/>
        </w:rPr>
        <w:t xml:space="preserve">greater occupational satisfaction. This finding supports the role of social capital in </w:t>
      </w:r>
      <w:proofErr w:type="spellStart"/>
      <w:r w:rsidRPr="005C7305">
        <w:rPr>
          <w:rFonts w:ascii="Arial" w:hAnsi="Arial" w:cs="Arial"/>
          <w:color w:val="000000"/>
        </w:rPr>
        <w:t>stabilising</w:t>
      </w:r>
      <w:proofErr w:type="spellEnd"/>
      <w:r w:rsidRPr="005C7305">
        <w:rPr>
          <w:rFonts w:ascii="Arial" w:hAnsi="Arial" w:cs="Arial"/>
          <w:color w:val="000000"/>
        </w:rPr>
        <w:t xml:space="preserve"> livelihood outcomes through collective access to markets, technology, and institutional support</w:t>
      </w:r>
      <w:r w:rsidR="00AC76A8" w:rsidRPr="005C7305">
        <w:rPr>
          <w:rFonts w:ascii="Arial" w:hAnsi="Arial" w:cs="Arial"/>
          <w:color w:val="000000"/>
        </w:rPr>
        <w:t>.</w:t>
      </w:r>
      <w:r w:rsidR="00F86B3B" w:rsidRPr="005C7305">
        <w:rPr>
          <w:rFonts w:ascii="Arial" w:hAnsi="Arial" w:cs="Arial"/>
        </w:rPr>
        <w:t xml:space="preserve"> Ponnusamy et al. (2015) found that farmers with stronger social networks </w:t>
      </w:r>
      <w:r w:rsidR="006238CC">
        <w:rPr>
          <w:rFonts w:ascii="Arial" w:hAnsi="Arial" w:cs="Arial"/>
        </w:rPr>
        <w:t>continuously</w:t>
      </w:r>
      <w:r w:rsidR="00F86B3B" w:rsidRPr="005C7305">
        <w:rPr>
          <w:rFonts w:ascii="Arial" w:hAnsi="Arial" w:cs="Arial"/>
        </w:rPr>
        <w:t xml:space="preserve"> reported higher occupational security scores, and Sabyasachi et al. (2021) identified social participation as a significant </w:t>
      </w:r>
      <w:r w:rsidR="006238CC">
        <w:rPr>
          <w:rFonts w:ascii="Arial" w:hAnsi="Arial" w:cs="Arial"/>
        </w:rPr>
        <w:t>factor affecting</w:t>
      </w:r>
      <w:r w:rsidR="00E502AD">
        <w:rPr>
          <w:rFonts w:ascii="Arial" w:hAnsi="Arial" w:cs="Arial"/>
        </w:rPr>
        <w:t xml:space="preserve"> the </w:t>
      </w:r>
      <w:r w:rsidR="00F86B3B" w:rsidRPr="005C7305">
        <w:rPr>
          <w:rFonts w:ascii="Arial" w:hAnsi="Arial" w:cs="Arial"/>
        </w:rPr>
        <w:t xml:space="preserve">livelihood security among small farmers. </w:t>
      </w:r>
      <w:proofErr w:type="spellStart"/>
      <w:r w:rsidR="00E502AD">
        <w:rPr>
          <w:rFonts w:ascii="Arial" w:hAnsi="Arial" w:cs="Arial"/>
        </w:rPr>
        <w:t>SImilarly</w:t>
      </w:r>
      <w:proofErr w:type="spellEnd"/>
      <w:r w:rsidR="00F86B3B" w:rsidRPr="005C7305">
        <w:rPr>
          <w:rFonts w:ascii="Arial" w:hAnsi="Arial" w:cs="Arial"/>
        </w:rPr>
        <w:t xml:space="preserve">, </w:t>
      </w:r>
      <w:proofErr w:type="spellStart"/>
      <w:r w:rsidR="00F86B3B" w:rsidRPr="005C7305">
        <w:rPr>
          <w:rFonts w:ascii="Arial" w:hAnsi="Arial" w:cs="Arial"/>
        </w:rPr>
        <w:t>Hidayat</w:t>
      </w:r>
      <w:proofErr w:type="spellEnd"/>
      <w:r w:rsidR="00F86B3B" w:rsidRPr="005C7305">
        <w:rPr>
          <w:rFonts w:ascii="Arial" w:hAnsi="Arial" w:cs="Arial"/>
        </w:rPr>
        <w:t xml:space="preserve"> et al. (2022) found that community social norms and collective action significantly enhance livelihood resilience in floodplain farming systems.</w:t>
      </w:r>
    </w:p>
    <w:p w14:paraId="1D5E9F14" w14:textId="277C46E1" w:rsidR="00277BBC" w:rsidRPr="005C7305" w:rsidRDefault="00277BBC" w:rsidP="00F86B3B">
      <w:pPr>
        <w:pStyle w:val="Figure"/>
        <w:spacing w:before="60" w:line="240" w:lineRule="auto"/>
        <w:jc w:val="both"/>
        <w:rPr>
          <w:rFonts w:ascii="Arial" w:hAnsi="Arial" w:cs="Arial"/>
          <w:color w:val="000000"/>
          <w:lang w:val="en-IN"/>
        </w:rPr>
      </w:pPr>
      <w:r w:rsidRPr="005C7305">
        <w:rPr>
          <w:rFonts w:ascii="Arial" w:hAnsi="Arial" w:cs="Arial"/>
          <w:color w:val="000000"/>
          <w:lang w:val="en-IN"/>
        </w:rPr>
        <w:lastRenderedPageBreak/>
        <w:t>Source of credit showed a significant negative correlation with occupational security (</w:t>
      </w:r>
      <w:r w:rsidRPr="005C7305">
        <w:rPr>
          <w:rFonts w:ascii="Arial" w:hAnsi="Arial" w:cs="Arial"/>
          <w:i/>
          <w:iCs/>
          <w:color w:val="000000"/>
          <w:lang w:val="en-IN"/>
        </w:rPr>
        <w:t>r</w:t>
      </w:r>
      <w:r w:rsidRPr="005C7305">
        <w:rPr>
          <w:rFonts w:ascii="Arial" w:hAnsi="Arial" w:cs="Arial"/>
          <w:color w:val="000000"/>
          <w:lang w:val="en-IN"/>
        </w:rPr>
        <w:t xml:space="preserve"> = −0.225, </w:t>
      </w:r>
      <w:r w:rsidRPr="005C7305">
        <w:rPr>
          <w:rFonts w:ascii="Arial" w:hAnsi="Arial" w:cs="Arial"/>
          <w:i/>
          <w:iCs/>
          <w:color w:val="000000"/>
          <w:lang w:val="en-IN"/>
        </w:rPr>
        <w:t>P</w:t>
      </w:r>
      <w:r w:rsidRPr="005C7305">
        <w:rPr>
          <w:rFonts w:ascii="Arial" w:hAnsi="Arial" w:cs="Arial"/>
          <w:color w:val="000000"/>
          <w:lang w:val="en-IN"/>
        </w:rPr>
        <w:t xml:space="preserve"> = </w:t>
      </w:r>
      <w:r w:rsidR="00F86B3B" w:rsidRPr="005C7305">
        <w:rPr>
          <w:rFonts w:ascii="Arial" w:hAnsi="Arial" w:cs="Arial"/>
          <w:color w:val="000000"/>
          <w:lang w:val="en-IN"/>
        </w:rPr>
        <w:t>0</w:t>
      </w:r>
      <w:r w:rsidRPr="005C7305">
        <w:rPr>
          <w:rFonts w:ascii="Arial" w:hAnsi="Arial" w:cs="Arial"/>
          <w:color w:val="000000"/>
          <w:lang w:val="en-IN"/>
        </w:rPr>
        <w:t>.033). Farmers dependent on formal institutional credit</w:t>
      </w:r>
      <w:r w:rsidR="001C00B0">
        <w:rPr>
          <w:rFonts w:ascii="Arial" w:hAnsi="Arial" w:cs="Arial"/>
          <w:color w:val="000000"/>
          <w:lang w:val="en-IN"/>
        </w:rPr>
        <w:t xml:space="preserve"> like</w:t>
      </w:r>
      <w:r w:rsidRPr="005C7305">
        <w:rPr>
          <w:rFonts w:ascii="Arial" w:hAnsi="Arial" w:cs="Arial"/>
          <w:color w:val="000000"/>
          <w:lang w:val="en-IN"/>
        </w:rPr>
        <w:t xml:space="preserve"> nationalised banks and co-operative societies</w:t>
      </w:r>
      <w:r w:rsidR="001C00B0">
        <w:rPr>
          <w:rFonts w:ascii="Arial" w:hAnsi="Arial" w:cs="Arial"/>
          <w:color w:val="000000"/>
          <w:lang w:val="en-IN"/>
        </w:rPr>
        <w:t xml:space="preserve">, </w:t>
      </w:r>
      <w:r w:rsidRPr="005C7305">
        <w:rPr>
          <w:rFonts w:ascii="Arial" w:hAnsi="Arial" w:cs="Arial"/>
          <w:color w:val="000000"/>
          <w:lang w:val="en-IN"/>
        </w:rPr>
        <w:t xml:space="preserve">reported lower </w:t>
      </w:r>
      <w:r w:rsidR="003055AC">
        <w:rPr>
          <w:rFonts w:ascii="Arial" w:hAnsi="Arial" w:cs="Arial"/>
          <w:color w:val="000000"/>
          <w:lang w:val="en-IN"/>
        </w:rPr>
        <w:t xml:space="preserve">scores for </w:t>
      </w:r>
      <w:r w:rsidRPr="005C7305">
        <w:rPr>
          <w:rFonts w:ascii="Arial" w:hAnsi="Arial" w:cs="Arial"/>
          <w:color w:val="000000"/>
          <w:lang w:val="en-IN"/>
        </w:rPr>
        <w:t>occupational security</w:t>
      </w:r>
      <w:r w:rsidR="00F86B3B" w:rsidRPr="005C7305">
        <w:rPr>
          <w:rFonts w:ascii="Arial" w:hAnsi="Arial" w:cs="Arial"/>
          <w:color w:val="000000"/>
          <w:lang w:val="en-IN"/>
        </w:rPr>
        <w:t>.</w:t>
      </w:r>
      <w:r w:rsidR="00F86B3B" w:rsidRPr="005C7305">
        <w:rPr>
          <w:rFonts w:ascii="Arial" w:hAnsi="Arial" w:cs="Arial"/>
        </w:rPr>
        <w:t xml:space="preserve"> </w:t>
      </w:r>
      <w:r w:rsidR="00F86B3B" w:rsidRPr="005C7305">
        <w:rPr>
          <w:rFonts w:ascii="Arial" w:hAnsi="Arial" w:cs="Arial"/>
          <w:color w:val="000000"/>
          <w:lang w:val="en-IN"/>
        </w:rPr>
        <w:t xml:space="preserve">Structured formal repayment obligations appear to </w:t>
      </w:r>
      <w:r w:rsidR="003055AC">
        <w:rPr>
          <w:rFonts w:ascii="Arial" w:hAnsi="Arial" w:cs="Arial"/>
          <w:color w:val="000000"/>
          <w:lang w:val="en-IN"/>
        </w:rPr>
        <w:t>affect the</w:t>
      </w:r>
      <w:r w:rsidR="00F86B3B" w:rsidRPr="005C7305">
        <w:rPr>
          <w:rFonts w:ascii="Arial" w:hAnsi="Arial" w:cs="Arial"/>
          <w:color w:val="000000"/>
          <w:lang w:val="en-IN"/>
        </w:rPr>
        <w:t xml:space="preserve"> flexible </w:t>
      </w:r>
      <w:r w:rsidR="003055AC" w:rsidRPr="005C7305">
        <w:rPr>
          <w:rFonts w:ascii="Arial" w:hAnsi="Arial" w:cs="Arial"/>
          <w:color w:val="000000"/>
          <w:lang w:val="en-IN"/>
        </w:rPr>
        <w:t xml:space="preserve">investment </w:t>
      </w:r>
      <w:r w:rsidR="003055AC">
        <w:rPr>
          <w:rFonts w:ascii="Arial" w:hAnsi="Arial" w:cs="Arial"/>
          <w:color w:val="000000"/>
          <w:lang w:val="en-IN"/>
        </w:rPr>
        <w:t xml:space="preserve">required </w:t>
      </w:r>
      <w:r w:rsidR="00F86B3B" w:rsidRPr="005C7305">
        <w:rPr>
          <w:rFonts w:ascii="Arial" w:hAnsi="Arial" w:cs="Arial"/>
          <w:color w:val="000000"/>
          <w:lang w:val="en-IN"/>
        </w:rPr>
        <w:t>in IFS enterprises and seasonal labour management. Designing IFS specific, flexible credit products that accommodate the seasonal and enterprise-level cash flow patterns of below sea-level farming households could address this gap.</w:t>
      </w:r>
    </w:p>
    <w:p w14:paraId="2BB3D9D0" w14:textId="3207E83E" w:rsidR="00F86B3B" w:rsidRPr="005C7305" w:rsidRDefault="00277BBC" w:rsidP="00F86B3B">
      <w:pPr>
        <w:pStyle w:val="Figure"/>
        <w:spacing w:before="60" w:line="240" w:lineRule="auto"/>
        <w:jc w:val="both"/>
        <w:rPr>
          <w:rFonts w:ascii="Arial" w:hAnsi="Arial" w:cs="Arial"/>
          <w:color w:val="000000"/>
          <w:lang w:val="en-IN"/>
        </w:rPr>
      </w:pPr>
      <w:r w:rsidRPr="005C7305">
        <w:rPr>
          <w:rFonts w:ascii="Arial" w:hAnsi="Arial" w:cs="Arial"/>
          <w:color w:val="000000"/>
          <w:lang w:val="en-IN"/>
        </w:rPr>
        <w:t xml:space="preserve">Family type </w:t>
      </w:r>
      <w:r w:rsidR="005F3906">
        <w:rPr>
          <w:rFonts w:ascii="Arial" w:hAnsi="Arial" w:cs="Arial"/>
          <w:color w:val="000000"/>
          <w:lang w:val="en-IN"/>
        </w:rPr>
        <w:t>is found to have positive influence on</w:t>
      </w:r>
      <w:r w:rsidRPr="005C7305">
        <w:rPr>
          <w:rFonts w:ascii="Arial" w:hAnsi="Arial" w:cs="Arial"/>
          <w:color w:val="000000"/>
          <w:lang w:val="en-IN"/>
        </w:rPr>
        <w:t xml:space="preserve"> both social security (</w:t>
      </w:r>
      <w:r w:rsidRPr="005C7305">
        <w:rPr>
          <w:rFonts w:ascii="Arial" w:hAnsi="Arial" w:cs="Arial"/>
          <w:i/>
          <w:iCs/>
          <w:color w:val="000000"/>
          <w:lang w:val="en-IN"/>
        </w:rPr>
        <w:t>r</w:t>
      </w:r>
      <w:r w:rsidRPr="005C7305">
        <w:rPr>
          <w:rFonts w:ascii="Arial" w:hAnsi="Arial" w:cs="Arial"/>
          <w:color w:val="000000"/>
          <w:lang w:val="en-IN"/>
        </w:rPr>
        <w:t xml:space="preserve"> = +0.226, </w:t>
      </w:r>
      <w:r w:rsidRPr="005C7305">
        <w:rPr>
          <w:rFonts w:ascii="Arial" w:hAnsi="Arial" w:cs="Arial"/>
          <w:i/>
          <w:iCs/>
          <w:color w:val="000000"/>
          <w:lang w:val="en-IN"/>
        </w:rPr>
        <w:t>P</w:t>
      </w:r>
      <w:r w:rsidRPr="005C7305">
        <w:rPr>
          <w:rFonts w:ascii="Arial" w:hAnsi="Arial" w:cs="Arial"/>
          <w:color w:val="000000"/>
          <w:lang w:val="en-IN"/>
        </w:rPr>
        <w:t xml:space="preserve"> = </w:t>
      </w:r>
      <w:r w:rsidR="00F86B3B" w:rsidRPr="005C7305">
        <w:rPr>
          <w:rFonts w:ascii="Arial" w:hAnsi="Arial" w:cs="Arial"/>
          <w:color w:val="000000"/>
          <w:lang w:val="en-IN"/>
        </w:rPr>
        <w:t>0</w:t>
      </w:r>
      <w:r w:rsidRPr="005C7305">
        <w:rPr>
          <w:rFonts w:ascii="Arial" w:hAnsi="Arial" w:cs="Arial"/>
          <w:color w:val="000000"/>
          <w:lang w:val="en-IN"/>
        </w:rPr>
        <w:t>.032) and environmental security (</w:t>
      </w:r>
      <w:r w:rsidRPr="005C7305">
        <w:rPr>
          <w:rFonts w:ascii="Arial" w:hAnsi="Arial" w:cs="Arial"/>
          <w:i/>
          <w:iCs/>
          <w:color w:val="000000"/>
          <w:lang w:val="en-IN"/>
        </w:rPr>
        <w:t>r</w:t>
      </w:r>
      <w:r w:rsidRPr="005C7305">
        <w:rPr>
          <w:rFonts w:ascii="Arial" w:hAnsi="Arial" w:cs="Arial"/>
          <w:color w:val="000000"/>
          <w:lang w:val="en-IN"/>
        </w:rPr>
        <w:t xml:space="preserve"> = +0.216, </w:t>
      </w:r>
      <w:r w:rsidRPr="005C7305">
        <w:rPr>
          <w:rFonts w:ascii="Arial" w:hAnsi="Arial" w:cs="Arial"/>
          <w:i/>
          <w:iCs/>
          <w:color w:val="000000"/>
          <w:lang w:val="en-IN"/>
        </w:rPr>
        <w:t>P</w:t>
      </w:r>
      <w:r w:rsidRPr="005C7305">
        <w:rPr>
          <w:rFonts w:ascii="Arial" w:hAnsi="Arial" w:cs="Arial"/>
          <w:color w:val="000000"/>
          <w:lang w:val="en-IN"/>
        </w:rPr>
        <w:t xml:space="preserve"> = </w:t>
      </w:r>
      <w:r w:rsidR="00F86B3B" w:rsidRPr="005C7305">
        <w:rPr>
          <w:rFonts w:ascii="Arial" w:hAnsi="Arial" w:cs="Arial"/>
          <w:color w:val="000000"/>
          <w:lang w:val="en-IN"/>
        </w:rPr>
        <w:t>0</w:t>
      </w:r>
      <w:r w:rsidRPr="005C7305">
        <w:rPr>
          <w:rFonts w:ascii="Arial" w:hAnsi="Arial" w:cs="Arial"/>
          <w:color w:val="000000"/>
          <w:lang w:val="en-IN"/>
        </w:rPr>
        <w:t xml:space="preserve">.041). </w:t>
      </w:r>
      <w:r w:rsidR="00F86B3B" w:rsidRPr="005C7305">
        <w:rPr>
          <w:rFonts w:ascii="Arial" w:hAnsi="Arial" w:cs="Arial"/>
          <w:color w:val="000000"/>
          <w:lang w:val="en-IN"/>
        </w:rPr>
        <w:t xml:space="preserve">Joint families reported higher scores on both dimensions. The </w:t>
      </w:r>
      <w:proofErr w:type="gramStart"/>
      <w:r w:rsidR="00F86B3B" w:rsidRPr="005C7305">
        <w:rPr>
          <w:rFonts w:ascii="Arial" w:hAnsi="Arial" w:cs="Arial"/>
          <w:color w:val="000000"/>
          <w:lang w:val="en-IN"/>
        </w:rPr>
        <w:t>finding</w:t>
      </w:r>
      <w:r w:rsidR="00EC5EBA">
        <w:rPr>
          <w:rFonts w:ascii="Arial" w:hAnsi="Arial" w:cs="Arial"/>
          <w:color w:val="000000"/>
          <w:lang w:val="en-IN"/>
        </w:rPr>
        <w:t>s  with</w:t>
      </w:r>
      <w:proofErr w:type="gramEnd"/>
      <w:r w:rsidR="00EC5EBA">
        <w:rPr>
          <w:rFonts w:ascii="Arial" w:hAnsi="Arial" w:cs="Arial"/>
          <w:color w:val="000000"/>
          <w:lang w:val="en-IN"/>
        </w:rPr>
        <w:t xml:space="preserve"> regard to social security</w:t>
      </w:r>
      <w:r w:rsidR="00F86B3B" w:rsidRPr="005C7305">
        <w:rPr>
          <w:rFonts w:ascii="Arial" w:hAnsi="Arial" w:cs="Arial"/>
          <w:color w:val="000000"/>
          <w:lang w:val="en-IN"/>
        </w:rPr>
        <w:t xml:space="preserve"> reflects the community embeddedness and collective network advantages of larger household units. The positive association with environmental security likely reflects the greater labour availability in joint households for sustainable farming </w:t>
      </w:r>
      <w:r w:rsidR="0040551F" w:rsidRPr="005C7305">
        <w:rPr>
          <w:rFonts w:ascii="Arial" w:hAnsi="Arial" w:cs="Arial"/>
          <w:color w:val="000000"/>
          <w:lang w:val="en-IN"/>
        </w:rPr>
        <w:t xml:space="preserve">practices which are </w:t>
      </w:r>
      <w:r w:rsidR="00BF5AA1">
        <w:rPr>
          <w:rFonts w:ascii="Arial" w:hAnsi="Arial" w:cs="Arial"/>
          <w:color w:val="000000"/>
          <w:lang w:val="en-IN"/>
        </w:rPr>
        <w:t xml:space="preserve">known to be </w:t>
      </w:r>
      <w:r w:rsidR="00F86B3B" w:rsidRPr="005C7305">
        <w:rPr>
          <w:rFonts w:ascii="Arial" w:hAnsi="Arial" w:cs="Arial"/>
          <w:color w:val="000000"/>
          <w:lang w:val="en-IN"/>
        </w:rPr>
        <w:t>labour</w:t>
      </w:r>
      <w:r w:rsidR="00BF5AA1">
        <w:rPr>
          <w:rFonts w:ascii="Arial" w:hAnsi="Arial" w:cs="Arial"/>
          <w:color w:val="000000"/>
          <w:lang w:val="en-IN"/>
        </w:rPr>
        <w:t xml:space="preserve"> </w:t>
      </w:r>
      <w:r w:rsidR="00F86B3B" w:rsidRPr="005C7305">
        <w:rPr>
          <w:rFonts w:ascii="Arial" w:hAnsi="Arial" w:cs="Arial"/>
          <w:color w:val="000000"/>
          <w:lang w:val="en-IN"/>
        </w:rPr>
        <w:t xml:space="preserve">intensive and less accessible to nuclear families. Vani and Ritu (2022) noted household composition and labour availability </w:t>
      </w:r>
      <w:r w:rsidR="00556B45">
        <w:rPr>
          <w:rFonts w:ascii="Arial" w:hAnsi="Arial" w:cs="Arial"/>
          <w:color w:val="000000"/>
          <w:lang w:val="en-IN"/>
        </w:rPr>
        <w:t>as</w:t>
      </w:r>
      <w:r w:rsidR="00F86B3B" w:rsidRPr="005C7305">
        <w:rPr>
          <w:rFonts w:ascii="Arial" w:hAnsi="Arial" w:cs="Arial"/>
          <w:color w:val="000000"/>
          <w:lang w:val="en-IN"/>
        </w:rPr>
        <w:t xml:space="preserve"> significant determinants of sustainable practice adoption in IFS systems.</w:t>
      </w:r>
    </w:p>
    <w:p w14:paraId="5209822E" w14:textId="61A115C7" w:rsidR="00277BBC" w:rsidRPr="005C7305" w:rsidRDefault="004F0A6D" w:rsidP="00F86B3B">
      <w:pPr>
        <w:pStyle w:val="Figure"/>
        <w:spacing w:before="60" w:line="240" w:lineRule="auto"/>
        <w:jc w:val="both"/>
        <w:rPr>
          <w:rFonts w:ascii="Arial" w:eastAsia="Arial" w:hAnsi="Arial" w:cs="Arial"/>
          <w:color w:val="EE0000"/>
        </w:rPr>
      </w:pPr>
      <w:r w:rsidRPr="005C7305">
        <w:rPr>
          <w:rFonts w:ascii="Arial" w:eastAsia="Arial" w:hAnsi="Arial" w:cs="Arial"/>
          <w:color w:val="000000"/>
        </w:rPr>
        <w:t xml:space="preserve">The absence of any statistically significant correlation between the 12 socioeconomic variables and overall SLSI indicates that background characteristics such as age, income, landholding size, educational qualification, and credit </w:t>
      </w:r>
      <w:proofErr w:type="spellStart"/>
      <w:r w:rsidRPr="005C7305">
        <w:rPr>
          <w:rFonts w:ascii="Arial" w:eastAsia="Arial" w:hAnsi="Arial" w:cs="Arial"/>
          <w:color w:val="000000"/>
        </w:rPr>
        <w:t>behaviour</w:t>
      </w:r>
      <w:proofErr w:type="spellEnd"/>
      <w:r w:rsidRPr="005C7305">
        <w:rPr>
          <w:rFonts w:ascii="Arial" w:eastAsia="Arial" w:hAnsi="Arial" w:cs="Arial"/>
          <w:color w:val="000000"/>
        </w:rPr>
        <w:t xml:space="preserve"> do not determine the overall livelihood security level achieved by IFS farmers in </w:t>
      </w:r>
      <w:proofErr w:type="spellStart"/>
      <w:r w:rsidRPr="005C7305">
        <w:rPr>
          <w:rFonts w:ascii="Arial" w:eastAsia="Arial" w:hAnsi="Arial" w:cs="Arial"/>
          <w:color w:val="000000"/>
        </w:rPr>
        <w:t>Kuttanad</w:t>
      </w:r>
      <w:proofErr w:type="spellEnd"/>
      <w:r w:rsidR="0040551F" w:rsidRPr="005C7305">
        <w:rPr>
          <w:rFonts w:ascii="Arial" w:eastAsia="Arial" w:hAnsi="Arial" w:cs="Arial"/>
          <w:color w:val="000000"/>
        </w:rPr>
        <w:t xml:space="preserve">. </w:t>
      </w:r>
      <w:r w:rsidR="0040551F" w:rsidRPr="005C7305">
        <w:rPr>
          <w:rFonts w:ascii="Arial" w:eastAsia="Arial" w:hAnsi="Arial" w:cs="Arial"/>
        </w:rPr>
        <w:t xml:space="preserve">This pattern is consistent with the relatively narrow spread of overall SLSI scores observed (range: 0.504 - 0.962; SD = 0.078), pointing to a broadly </w:t>
      </w:r>
      <w:r w:rsidR="00556B45">
        <w:rPr>
          <w:rFonts w:ascii="Arial" w:eastAsia="Arial" w:hAnsi="Arial" w:cs="Arial"/>
        </w:rPr>
        <w:t>uniform</w:t>
      </w:r>
      <w:r w:rsidR="0040551F" w:rsidRPr="005C7305">
        <w:rPr>
          <w:rFonts w:ascii="Arial" w:eastAsia="Arial" w:hAnsi="Arial" w:cs="Arial"/>
        </w:rPr>
        <w:t xml:space="preserve"> livelihood security profile across the community. The </w:t>
      </w:r>
      <w:r w:rsidR="00FA1296">
        <w:rPr>
          <w:rFonts w:ascii="Arial" w:eastAsia="Arial" w:hAnsi="Arial" w:cs="Arial"/>
        </w:rPr>
        <w:t>similar</w:t>
      </w:r>
      <w:r w:rsidR="0040551F" w:rsidRPr="005C7305">
        <w:rPr>
          <w:rFonts w:ascii="Arial" w:eastAsia="Arial" w:hAnsi="Arial" w:cs="Arial"/>
        </w:rPr>
        <w:t xml:space="preserve"> high scores on habitat, education, social, and health security </w:t>
      </w:r>
      <w:proofErr w:type="gramStart"/>
      <w:r w:rsidR="0040551F" w:rsidRPr="005C7305">
        <w:rPr>
          <w:rFonts w:ascii="Arial" w:eastAsia="Arial" w:hAnsi="Arial" w:cs="Arial"/>
        </w:rPr>
        <w:t>dimensions  appear</w:t>
      </w:r>
      <w:proofErr w:type="gramEnd"/>
      <w:r w:rsidR="0040551F" w:rsidRPr="005C7305">
        <w:rPr>
          <w:rFonts w:ascii="Arial" w:eastAsia="Arial" w:hAnsi="Arial" w:cs="Arial"/>
        </w:rPr>
        <w:t xml:space="preserve"> to be the primary driver of this convergence. The </w:t>
      </w:r>
      <w:r w:rsidR="00FA1296">
        <w:rPr>
          <w:rFonts w:ascii="Arial" w:eastAsia="Arial" w:hAnsi="Arial" w:cs="Arial"/>
        </w:rPr>
        <w:t>direction of</w:t>
      </w:r>
      <w:r w:rsidR="0040551F" w:rsidRPr="005C7305">
        <w:rPr>
          <w:rFonts w:ascii="Arial" w:eastAsia="Arial" w:hAnsi="Arial" w:cs="Arial"/>
        </w:rPr>
        <w:t xml:space="preserve"> consistency of associations (enterprises with food security r = +0.036; IFS income with overall SLSI r = +0.033) suggests these relationships exist but are </w:t>
      </w:r>
      <w:r w:rsidR="0044168D">
        <w:rPr>
          <w:rFonts w:ascii="Arial" w:eastAsia="Arial" w:hAnsi="Arial" w:cs="Arial"/>
        </w:rPr>
        <w:t>weakened</w:t>
      </w:r>
      <w:r w:rsidR="0040551F" w:rsidRPr="005C7305">
        <w:rPr>
          <w:rFonts w:ascii="Arial" w:eastAsia="Arial" w:hAnsi="Arial" w:cs="Arial"/>
        </w:rPr>
        <w:t xml:space="preserve"> under current conditions, as Ponnusamy and Devi (2017) observed that livelihood benefits of IFS become more measurable as enterprise integration deepens.</w:t>
      </w:r>
    </w:p>
    <w:p w14:paraId="12577BBB" w14:textId="4593EFB5" w:rsidR="002348DA" w:rsidRPr="005C7305" w:rsidRDefault="002348DA" w:rsidP="00896342">
      <w:pPr>
        <w:pStyle w:val="Figure"/>
        <w:spacing w:before="60" w:line="240" w:lineRule="auto"/>
        <w:jc w:val="both"/>
        <w:rPr>
          <w:rFonts w:ascii="Arial" w:hAnsi="Arial" w:cs="Arial"/>
          <w:color w:val="000000"/>
          <w:lang w:val="en-IN"/>
        </w:rPr>
      </w:pPr>
      <w:r w:rsidRPr="005C7305">
        <w:rPr>
          <w:rFonts w:ascii="Arial" w:eastAsia="Arial" w:hAnsi="Arial" w:cs="Arial"/>
          <w:color w:val="000000"/>
        </w:rPr>
        <w:t>Figure 2</w:t>
      </w:r>
      <w:r w:rsidR="00314EB7" w:rsidRPr="005C7305">
        <w:rPr>
          <w:rFonts w:ascii="Arial" w:eastAsia="Arial" w:hAnsi="Arial" w:cs="Arial"/>
          <w:color w:val="000000"/>
        </w:rPr>
        <w:t xml:space="preserve"> </w:t>
      </w:r>
      <w:r w:rsidRPr="005C7305">
        <w:rPr>
          <w:rFonts w:ascii="Arial" w:eastAsia="Arial" w:hAnsi="Arial" w:cs="Arial"/>
          <w:color w:val="000000"/>
        </w:rPr>
        <w:t>represents the correlation heatmap of socioeconomic variables against SLSI sub-indices</w:t>
      </w:r>
      <w:r w:rsidR="00896342" w:rsidRPr="005C7305">
        <w:rPr>
          <w:rFonts w:ascii="Arial" w:eastAsia="Arial" w:hAnsi="Arial" w:cs="Arial"/>
          <w:color w:val="000000"/>
        </w:rPr>
        <w:t xml:space="preserve"> and figure 3 is the summary diagram clearly showing </w:t>
      </w:r>
      <w:proofErr w:type="gramStart"/>
      <w:r w:rsidR="00896342" w:rsidRPr="005C7305">
        <w:rPr>
          <w:rFonts w:ascii="Arial" w:eastAsia="Arial" w:hAnsi="Arial" w:cs="Arial"/>
          <w:color w:val="000000"/>
        </w:rPr>
        <w:t>the  six</w:t>
      </w:r>
      <w:proofErr w:type="gramEnd"/>
      <w:r w:rsidR="00896342" w:rsidRPr="005C7305">
        <w:rPr>
          <w:rFonts w:ascii="Arial" w:eastAsia="Arial" w:hAnsi="Arial" w:cs="Arial"/>
          <w:color w:val="000000"/>
        </w:rPr>
        <w:t xml:space="preserve"> statistically significant correlations (</w:t>
      </w:r>
      <w:r w:rsidR="00D11AF7">
        <w:rPr>
          <w:rFonts w:ascii="Arial" w:eastAsia="Arial" w:hAnsi="Arial" w:cs="Arial"/>
          <w:i/>
          <w:iCs/>
          <w:color w:val="000000"/>
        </w:rPr>
        <w:t>p</w:t>
      </w:r>
      <w:r w:rsidR="00896342" w:rsidRPr="005C7305">
        <w:rPr>
          <w:rFonts w:ascii="Arial" w:eastAsia="Arial" w:hAnsi="Arial" w:cs="Arial"/>
          <w:color w:val="000000"/>
        </w:rPr>
        <w:t>&lt; .05)</w:t>
      </w:r>
    </w:p>
    <w:p w14:paraId="51D3F63A" w14:textId="3A9A9B2C" w:rsidR="002948DA" w:rsidRPr="005C7305" w:rsidRDefault="002948DA" w:rsidP="002948DA">
      <w:pPr>
        <w:pStyle w:val="Figure"/>
        <w:spacing w:before="60"/>
        <w:rPr>
          <w:rFonts w:ascii="Arial" w:hAnsi="Arial" w:cs="Arial"/>
          <w:b/>
          <w:bCs/>
          <w:color w:val="000000"/>
        </w:rPr>
      </w:pPr>
      <w:r w:rsidRPr="005C7305">
        <w:rPr>
          <w:rFonts w:ascii="Arial" w:hAnsi="Arial" w:cs="Arial"/>
          <w:b/>
          <w:bCs/>
          <w:color w:val="000000"/>
        </w:rPr>
        <w:t xml:space="preserve">Fig </w:t>
      </w:r>
      <w:r w:rsidR="002348DA" w:rsidRPr="005C7305">
        <w:rPr>
          <w:rFonts w:ascii="Arial" w:hAnsi="Arial" w:cs="Arial"/>
          <w:b/>
          <w:bCs/>
          <w:color w:val="000000"/>
        </w:rPr>
        <w:t>2</w:t>
      </w:r>
      <w:r w:rsidRPr="005C7305">
        <w:rPr>
          <w:rFonts w:ascii="Arial" w:hAnsi="Arial" w:cs="Arial"/>
          <w:b/>
          <w:bCs/>
          <w:color w:val="000000"/>
        </w:rPr>
        <w:t xml:space="preserve">. Correlation heatmap of socioeconomic variables against SLSI sub-indices </w:t>
      </w:r>
      <w:r w:rsidR="0061378C" w:rsidRPr="005C7305">
        <w:rPr>
          <w:rFonts w:ascii="Arial" w:hAnsi="Arial" w:cs="Arial"/>
          <w:b/>
          <w:bCs/>
          <w:color w:val="000000"/>
        </w:rPr>
        <w:t>(N=90)</w:t>
      </w:r>
    </w:p>
    <w:tbl>
      <w:tblPr>
        <w:tblW w:w="5000" w:type="pct"/>
        <w:tblLayout w:type="fixed"/>
        <w:tblLook w:val="04A0" w:firstRow="1" w:lastRow="0" w:firstColumn="1" w:lastColumn="0" w:noHBand="0" w:noVBand="1"/>
      </w:tblPr>
      <w:tblGrid>
        <w:gridCol w:w="1086"/>
        <w:gridCol w:w="890"/>
        <w:gridCol w:w="899"/>
        <w:gridCol w:w="900"/>
        <w:gridCol w:w="926"/>
        <w:gridCol w:w="874"/>
        <w:gridCol w:w="900"/>
        <w:gridCol w:w="900"/>
        <w:gridCol w:w="823"/>
      </w:tblGrid>
      <w:tr w:rsidR="005C7305" w:rsidRPr="005C7305" w14:paraId="7D350AE2" w14:textId="77777777" w:rsidTr="005C7305">
        <w:trPr>
          <w:trHeight w:val="705"/>
        </w:trPr>
        <w:tc>
          <w:tcPr>
            <w:tcW w:w="662" w:type="pct"/>
            <w:tcBorders>
              <w:top w:val="single" w:sz="4" w:space="0" w:color="auto"/>
              <w:left w:val="single" w:sz="4" w:space="0" w:color="auto"/>
              <w:bottom w:val="nil"/>
              <w:right w:val="nil"/>
            </w:tcBorders>
            <w:shd w:val="clear" w:color="000000" w:fill="FFFFFF"/>
            <w:vAlign w:val="center"/>
            <w:hideMark/>
          </w:tcPr>
          <w:p w14:paraId="482AC32B" w14:textId="77777777" w:rsidR="00A22074" w:rsidRPr="00A22074" w:rsidRDefault="00A22074" w:rsidP="00A22074">
            <w:pPr>
              <w:jc w:val="center"/>
              <w:rPr>
                <w:rFonts w:ascii="Arial" w:hAnsi="Arial" w:cs="Arial"/>
                <w:b/>
                <w:bCs/>
                <w:color w:val="000000"/>
                <w:sz w:val="14"/>
                <w:szCs w:val="14"/>
                <w:lang w:val="en-IN" w:eastAsia="en-IN"/>
              </w:rPr>
            </w:pPr>
            <w:r w:rsidRPr="00A22074">
              <w:rPr>
                <w:rFonts w:ascii="Arial" w:hAnsi="Arial" w:cs="Arial"/>
                <w:b/>
                <w:bCs/>
                <w:color w:val="000000"/>
                <w:sz w:val="14"/>
                <w:szCs w:val="14"/>
                <w:lang w:val="en-IN" w:eastAsia="en-IN"/>
              </w:rPr>
              <w:t> </w:t>
            </w:r>
          </w:p>
        </w:tc>
        <w:tc>
          <w:tcPr>
            <w:tcW w:w="543" w:type="pct"/>
            <w:tcBorders>
              <w:top w:val="single" w:sz="4" w:space="0" w:color="auto"/>
              <w:left w:val="nil"/>
              <w:bottom w:val="nil"/>
              <w:right w:val="nil"/>
            </w:tcBorders>
            <w:shd w:val="clear" w:color="000000" w:fill="FFFFFF"/>
            <w:vAlign w:val="center"/>
            <w:hideMark/>
          </w:tcPr>
          <w:p w14:paraId="2B8E278F"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Food Security</w:t>
            </w:r>
          </w:p>
        </w:tc>
        <w:tc>
          <w:tcPr>
            <w:tcW w:w="548" w:type="pct"/>
            <w:tcBorders>
              <w:top w:val="single" w:sz="4" w:space="0" w:color="auto"/>
              <w:left w:val="nil"/>
              <w:bottom w:val="nil"/>
              <w:right w:val="nil"/>
            </w:tcBorders>
            <w:shd w:val="clear" w:color="000000" w:fill="FFFFFF"/>
            <w:vAlign w:val="center"/>
            <w:hideMark/>
          </w:tcPr>
          <w:p w14:paraId="079051C0"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Occupational Security</w:t>
            </w:r>
          </w:p>
        </w:tc>
        <w:tc>
          <w:tcPr>
            <w:tcW w:w="549" w:type="pct"/>
            <w:tcBorders>
              <w:top w:val="single" w:sz="4" w:space="0" w:color="auto"/>
              <w:left w:val="nil"/>
              <w:bottom w:val="nil"/>
              <w:right w:val="nil"/>
            </w:tcBorders>
            <w:shd w:val="clear" w:color="000000" w:fill="FFFFFF"/>
            <w:vAlign w:val="center"/>
            <w:hideMark/>
          </w:tcPr>
          <w:p w14:paraId="469CDA16"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Habitat Security</w:t>
            </w:r>
          </w:p>
        </w:tc>
        <w:tc>
          <w:tcPr>
            <w:tcW w:w="565" w:type="pct"/>
            <w:tcBorders>
              <w:top w:val="single" w:sz="4" w:space="0" w:color="auto"/>
              <w:left w:val="nil"/>
              <w:bottom w:val="nil"/>
              <w:right w:val="nil"/>
            </w:tcBorders>
            <w:shd w:val="clear" w:color="000000" w:fill="FFFFFF"/>
            <w:vAlign w:val="center"/>
            <w:hideMark/>
          </w:tcPr>
          <w:p w14:paraId="0A6765B2"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Education Security</w:t>
            </w:r>
          </w:p>
        </w:tc>
        <w:tc>
          <w:tcPr>
            <w:tcW w:w="533" w:type="pct"/>
            <w:tcBorders>
              <w:top w:val="single" w:sz="4" w:space="0" w:color="auto"/>
              <w:left w:val="nil"/>
              <w:bottom w:val="nil"/>
              <w:right w:val="nil"/>
            </w:tcBorders>
            <w:shd w:val="clear" w:color="000000" w:fill="FFFFFF"/>
            <w:vAlign w:val="center"/>
            <w:hideMark/>
          </w:tcPr>
          <w:p w14:paraId="3BB52020"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Social Security</w:t>
            </w:r>
          </w:p>
        </w:tc>
        <w:tc>
          <w:tcPr>
            <w:tcW w:w="549" w:type="pct"/>
            <w:tcBorders>
              <w:top w:val="single" w:sz="4" w:space="0" w:color="auto"/>
              <w:left w:val="nil"/>
              <w:bottom w:val="nil"/>
              <w:right w:val="nil"/>
            </w:tcBorders>
            <w:shd w:val="clear" w:color="000000" w:fill="FFFFFF"/>
            <w:vAlign w:val="center"/>
            <w:hideMark/>
          </w:tcPr>
          <w:p w14:paraId="2E9E49E3"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Health Security</w:t>
            </w:r>
          </w:p>
        </w:tc>
        <w:tc>
          <w:tcPr>
            <w:tcW w:w="549" w:type="pct"/>
            <w:tcBorders>
              <w:top w:val="single" w:sz="4" w:space="0" w:color="auto"/>
              <w:left w:val="nil"/>
              <w:bottom w:val="nil"/>
              <w:right w:val="nil"/>
            </w:tcBorders>
            <w:shd w:val="clear" w:color="000000" w:fill="FFFFFF"/>
            <w:vAlign w:val="center"/>
            <w:hideMark/>
          </w:tcPr>
          <w:p w14:paraId="09855047"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Environmental Security</w:t>
            </w:r>
          </w:p>
        </w:tc>
        <w:tc>
          <w:tcPr>
            <w:tcW w:w="502" w:type="pct"/>
            <w:tcBorders>
              <w:top w:val="single" w:sz="4" w:space="0" w:color="auto"/>
              <w:left w:val="nil"/>
              <w:bottom w:val="nil"/>
              <w:right w:val="single" w:sz="4" w:space="0" w:color="auto"/>
            </w:tcBorders>
            <w:shd w:val="clear" w:color="000000" w:fill="FFFFFF"/>
            <w:vAlign w:val="center"/>
            <w:hideMark/>
          </w:tcPr>
          <w:p w14:paraId="5A6559DB"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Overall SLSI</w:t>
            </w:r>
          </w:p>
        </w:tc>
      </w:tr>
      <w:tr w:rsidR="005C7305" w:rsidRPr="005C7305" w14:paraId="231C93A0" w14:textId="77777777" w:rsidTr="005C7305">
        <w:trPr>
          <w:trHeight w:val="616"/>
        </w:trPr>
        <w:tc>
          <w:tcPr>
            <w:tcW w:w="662" w:type="pct"/>
            <w:tcBorders>
              <w:top w:val="nil"/>
              <w:left w:val="single" w:sz="4" w:space="0" w:color="auto"/>
              <w:bottom w:val="nil"/>
              <w:right w:val="nil"/>
            </w:tcBorders>
            <w:shd w:val="clear" w:color="000000" w:fill="FFFFFF"/>
            <w:vAlign w:val="center"/>
            <w:hideMark/>
          </w:tcPr>
          <w:p w14:paraId="76EF889E" w14:textId="77777777" w:rsidR="00A22074" w:rsidRPr="00A22074" w:rsidRDefault="00A22074" w:rsidP="00A22074">
            <w:pPr>
              <w:rPr>
                <w:rFonts w:ascii="Arial" w:hAnsi="Arial" w:cs="Arial"/>
                <w:b/>
                <w:bCs/>
                <w:color w:val="000000"/>
                <w:sz w:val="14"/>
                <w:szCs w:val="14"/>
                <w:lang w:val="en-IN" w:eastAsia="en-IN"/>
              </w:rPr>
            </w:pPr>
            <w:r w:rsidRPr="00A22074">
              <w:rPr>
                <w:rFonts w:ascii="Arial" w:hAnsi="Arial" w:cs="Arial"/>
                <w:b/>
                <w:bCs/>
                <w:color w:val="000000"/>
                <w:sz w:val="14"/>
                <w:szCs w:val="14"/>
                <w:lang w:val="en-IN" w:eastAsia="en-IN"/>
              </w:rPr>
              <w:t>No. of enterprises</w:t>
            </w:r>
          </w:p>
        </w:tc>
        <w:tc>
          <w:tcPr>
            <w:tcW w:w="543" w:type="pct"/>
            <w:tcBorders>
              <w:top w:val="nil"/>
              <w:left w:val="nil"/>
              <w:bottom w:val="single" w:sz="4" w:space="0" w:color="AAAAAA"/>
              <w:right w:val="single" w:sz="4" w:space="0" w:color="AAAAAA"/>
            </w:tcBorders>
            <w:shd w:val="clear" w:color="000000" w:fill="FBECEA"/>
            <w:noWrap/>
            <w:vAlign w:val="center"/>
            <w:hideMark/>
          </w:tcPr>
          <w:p w14:paraId="5E5913CD"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+0.036</w:t>
            </w:r>
          </w:p>
        </w:tc>
        <w:tc>
          <w:tcPr>
            <w:tcW w:w="548" w:type="pct"/>
            <w:tcBorders>
              <w:top w:val="nil"/>
              <w:left w:val="single" w:sz="4" w:space="0" w:color="AAAAAA"/>
              <w:bottom w:val="single" w:sz="4" w:space="0" w:color="AAAAAA"/>
              <w:right w:val="single" w:sz="4" w:space="0" w:color="AAAAAA"/>
            </w:tcBorders>
            <w:shd w:val="clear" w:color="000000" w:fill="DFE9F3"/>
            <w:noWrap/>
            <w:vAlign w:val="center"/>
            <w:hideMark/>
          </w:tcPr>
          <w:p w14:paraId="1A5989CC"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-0.042</w:t>
            </w:r>
          </w:p>
        </w:tc>
        <w:tc>
          <w:tcPr>
            <w:tcW w:w="549" w:type="pct"/>
            <w:tcBorders>
              <w:top w:val="nil"/>
              <w:left w:val="single" w:sz="4" w:space="0" w:color="AAAAAA"/>
              <w:bottom w:val="single" w:sz="4" w:space="0" w:color="AAAAAA"/>
              <w:right w:val="single" w:sz="4" w:space="0" w:color="AAAAAA"/>
            </w:tcBorders>
            <w:shd w:val="clear" w:color="000000" w:fill="F3F7FA"/>
            <w:noWrap/>
            <w:vAlign w:val="center"/>
            <w:hideMark/>
          </w:tcPr>
          <w:p w14:paraId="78082748"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-0.015</w:t>
            </w:r>
          </w:p>
        </w:tc>
        <w:tc>
          <w:tcPr>
            <w:tcW w:w="565" w:type="pct"/>
            <w:tcBorders>
              <w:top w:val="nil"/>
              <w:left w:val="single" w:sz="4" w:space="0" w:color="AAAAAA"/>
              <w:bottom w:val="single" w:sz="4" w:space="0" w:color="AAAAAA"/>
              <w:right w:val="single" w:sz="4" w:space="0" w:color="AAAAAA"/>
            </w:tcBorders>
            <w:shd w:val="clear" w:color="000000" w:fill="F2CBC5"/>
            <w:noWrap/>
            <w:vAlign w:val="center"/>
            <w:hideMark/>
          </w:tcPr>
          <w:p w14:paraId="6BD7DCA1"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+0.099</w:t>
            </w:r>
          </w:p>
        </w:tc>
        <w:tc>
          <w:tcPr>
            <w:tcW w:w="533" w:type="pct"/>
            <w:tcBorders>
              <w:top w:val="nil"/>
              <w:left w:val="single" w:sz="4" w:space="0" w:color="AAAAAA"/>
              <w:bottom w:val="single" w:sz="4" w:space="0" w:color="AAAAAA"/>
              <w:right w:val="single" w:sz="4" w:space="0" w:color="AAAAAA"/>
            </w:tcBorders>
            <w:shd w:val="clear" w:color="000000" w:fill="F5D7D2"/>
            <w:noWrap/>
            <w:vAlign w:val="center"/>
            <w:hideMark/>
          </w:tcPr>
          <w:p w14:paraId="533806D8"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+0.076</w:t>
            </w:r>
          </w:p>
        </w:tc>
        <w:tc>
          <w:tcPr>
            <w:tcW w:w="549" w:type="pct"/>
            <w:tcBorders>
              <w:top w:val="nil"/>
              <w:left w:val="single" w:sz="4" w:space="0" w:color="AAAAAA"/>
              <w:bottom w:val="single" w:sz="4" w:space="0" w:color="AAAAAA"/>
              <w:right w:val="single" w:sz="4" w:space="0" w:color="AAAAAA"/>
            </w:tcBorders>
            <w:shd w:val="clear" w:color="000000" w:fill="F4D5CF"/>
            <w:noWrap/>
            <w:vAlign w:val="center"/>
            <w:hideMark/>
          </w:tcPr>
          <w:p w14:paraId="276B7E23"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+0.081</w:t>
            </w:r>
          </w:p>
        </w:tc>
        <w:tc>
          <w:tcPr>
            <w:tcW w:w="549" w:type="pct"/>
            <w:tcBorders>
              <w:top w:val="nil"/>
              <w:left w:val="single" w:sz="4" w:space="0" w:color="AAAAAA"/>
              <w:bottom w:val="single" w:sz="4" w:space="0" w:color="AAAAAA"/>
              <w:right w:val="single" w:sz="4" w:space="0" w:color="AAAAAA"/>
            </w:tcBorders>
            <w:shd w:val="clear" w:color="000000" w:fill="FBEDEB"/>
            <w:noWrap/>
            <w:vAlign w:val="center"/>
            <w:hideMark/>
          </w:tcPr>
          <w:p w14:paraId="61D2CD3E"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+0.035</w:t>
            </w:r>
          </w:p>
        </w:tc>
        <w:tc>
          <w:tcPr>
            <w:tcW w:w="502" w:type="pct"/>
            <w:tcBorders>
              <w:top w:val="nil"/>
              <w:left w:val="single" w:sz="4" w:space="0" w:color="AAAAAA"/>
              <w:bottom w:val="single" w:sz="4" w:space="0" w:color="AAAAAA"/>
              <w:right w:val="single" w:sz="4" w:space="0" w:color="auto"/>
            </w:tcBorders>
            <w:shd w:val="clear" w:color="000000" w:fill="F6DAD5"/>
            <w:noWrap/>
            <w:vAlign w:val="center"/>
            <w:hideMark/>
          </w:tcPr>
          <w:p w14:paraId="6F18BD21"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+0.071</w:t>
            </w:r>
          </w:p>
        </w:tc>
      </w:tr>
      <w:tr w:rsidR="005C7305" w:rsidRPr="005C7305" w14:paraId="673BF044" w14:textId="77777777" w:rsidTr="005C7305">
        <w:trPr>
          <w:trHeight w:val="572"/>
        </w:trPr>
        <w:tc>
          <w:tcPr>
            <w:tcW w:w="662" w:type="pct"/>
            <w:tcBorders>
              <w:top w:val="nil"/>
              <w:left w:val="single" w:sz="4" w:space="0" w:color="auto"/>
              <w:bottom w:val="nil"/>
              <w:right w:val="nil"/>
            </w:tcBorders>
            <w:shd w:val="clear" w:color="000000" w:fill="FFFFFF"/>
            <w:vAlign w:val="center"/>
            <w:hideMark/>
          </w:tcPr>
          <w:p w14:paraId="1A5825B0" w14:textId="77777777" w:rsidR="00A22074" w:rsidRPr="00A22074" w:rsidRDefault="00A22074" w:rsidP="00A22074">
            <w:pPr>
              <w:rPr>
                <w:rFonts w:ascii="Arial" w:hAnsi="Arial" w:cs="Arial"/>
                <w:b/>
                <w:bCs/>
                <w:color w:val="000000"/>
                <w:sz w:val="14"/>
                <w:szCs w:val="14"/>
                <w:lang w:val="en-IN" w:eastAsia="en-IN"/>
              </w:rPr>
            </w:pPr>
            <w:r w:rsidRPr="00A22074">
              <w:rPr>
                <w:rFonts w:ascii="Arial" w:hAnsi="Arial" w:cs="Arial"/>
                <w:b/>
                <w:bCs/>
                <w:color w:val="000000"/>
                <w:sz w:val="14"/>
                <w:szCs w:val="14"/>
                <w:lang w:val="en-IN" w:eastAsia="en-IN"/>
              </w:rPr>
              <w:t>Income from IFS</w:t>
            </w:r>
          </w:p>
        </w:tc>
        <w:tc>
          <w:tcPr>
            <w:tcW w:w="543" w:type="pct"/>
            <w:tcBorders>
              <w:top w:val="single" w:sz="4" w:space="0" w:color="AAAAAA"/>
              <w:left w:val="nil"/>
              <w:bottom w:val="single" w:sz="4" w:space="0" w:color="AAAAAA"/>
              <w:right w:val="single" w:sz="4" w:space="0" w:color="AAAAAA"/>
            </w:tcBorders>
            <w:shd w:val="clear" w:color="000000" w:fill="DFE9F3"/>
            <w:noWrap/>
            <w:vAlign w:val="center"/>
            <w:hideMark/>
          </w:tcPr>
          <w:p w14:paraId="42AA8C22"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-0.042</w:t>
            </w:r>
          </w:p>
        </w:tc>
        <w:tc>
          <w:tcPr>
            <w:tcW w:w="548" w:type="pct"/>
            <w:tcBorders>
              <w:top w:val="single" w:sz="4" w:space="0" w:color="AAAAAA"/>
              <w:left w:val="single" w:sz="4" w:space="0" w:color="AAAAAA"/>
              <w:bottom w:val="single" w:sz="4" w:space="0" w:color="AAAAAA"/>
              <w:right w:val="single" w:sz="4" w:space="0" w:color="AAAAAA"/>
            </w:tcBorders>
            <w:shd w:val="clear" w:color="000000" w:fill="AAC4DF"/>
            <w:noWrap/>
            <w:vAlign w:val="center"/>
            <w:hideMark/>
          </w:tcPr>
          <w:p w14:paraId="23CEBADC"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-0.114</w:t>
            </w:r>
          </w:p>
        </w:tc>
        <w:tc>
          <w:tcPr>
            <w:tcW w:w="549" w:type="pct"/>
            <w:tcBorders>
              <w:top w:val="single" w:sz="4" w:space="0" w:color="AAAAAA"/>
              <w:left w:val="single" w:sz="4" w:space="0" w:color="AAAAAA"/>
              <w:bottom w:val="single" w:sz="4" w:space="0" w:color="AAAAAA"/>
              <w:right w:val="single" w:sz="4" w:space="0" w:color="AAAAAA"/>
            </w:tcBorders>
            <w:shd w:val="clear" w:color="000000" w:fill="FDF6F5"/>
            <w:noWrap/>
            <w:vAlign w:val="center"/>
            <w:hideMark/>
          </w:tcPr>
          <w:p w14:paraId="4CE360D7"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+0.018</w:t>
            </w:r>
          </w:p>
        </w:tc>
        <w:tc>
          <w:tcPr>
            <w:tcW w:w="565" w:type="pct"/>
            <w:tcBorders>
              <w:top w:val="single" w:sz="4" w:space="0" w:color="AAAAAA"/>
              <w:left w:val="single" w:sz="4" w:space="0" w:color="AAAAAA"/>
              <w:bottom w:val="single" w:sz="4" w:space="0" w:color="AAAAAA"/>
              <w:right w:val="single" w:sz="4" w:space="0" w:color="AAAAAA"/>
            </w:tcBorders>
            <w:shd w:val="clear" w:color="000000" w:fill="F8E2DE"/>
            <w:noWrap/>
            <w:vAlign w:val="center"/>
            <w:hideMark/>
          </w:tcPr>
          <w:p w14:paraId="4A06E68E"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+0.056</w:t>
            </w:r>
          </w:p>
        </w:tc>
        <w:tc>
          <w:tcPr>
            <w:tcW w:w="533" w:type="pct"/>
            <w:tcBorders>
              <w:top w:val="single" w:sz="4" w:space="0" w:color="AAAAAA"/>
              <w:left w:val="single" w:sz="4" w:space="0" w:color="AAAAAA"/>
              <w:bottom w:val="single" w:sz="4" w:space="0" w:color="AAAAAA"/>
              <w:right w:val="single" w:sz="4" w:space="0" w:color="AAAAAA"/>
            </w:tcBorders>
            <w:shd w:val="clear" w:color="000000" w:fill="E8A59A"/>
            <w:noWrap/>
            <w:vAlign w:val="center"/>
            <w:hideMark/>
          </w:tcPr>
          <w:p w14:paraId="05C7B63F"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+0.171</w:t>
            </w:r>
          </w:p>
        </w:tc>
        <w:tc>
          <w:tcPr>
            <w:tcW w:w="549" w:type="pct"/>
            <w:tcBorders>
              <w:top w:val="single" w:sz="4" w:space="0" w:color="AAAAAA"/>
              <w:left w:val="single" w:sz="4" w:space="0" w:color="AAAAAA"/>
              <w:bottom w:val="single" w:sz="4" w:space="0" w:color="AAAAAA"/>
              <w:right w:val="single" w:sz="4" w:space="0" w:color="AAAAAA"/>
            </w:tcBorders>
            <w:shd w:val="clear" w:color="000000" w:fill="EFBEB7"/>
            <w:noWrap/>
            <w:vAlign w:val="center"/>
            <w:hideMark/>
          </w:tcPr>
          <w:p w14:paraId="59A74E80"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+0.123</w:t>
            </w:r>
          </w:p>
        </w:tc>
        <w:tc>
          <w:tcPr>
            <w:tcW w:w="549" w:type="pct"/>
            <w:tcBorders>
              <w:top w:val="single" w:sz="4" w:space="0" w:color="AAAAAA"/>
              <w:left w:val="single" w:sz="4" w:space="0" w:color="AAAAAA"/>
              <w:bottom w:val="single" w:sz="4" w:space="0" w:color="AAAAAA"/>
              <w:right w:val="single" w:sz="4" w:space="0" w:color="AAAAAA"/>
            </w:tcBorders>
            <w:shd w:val="clear" w:color="000000" w:fill="F9E7E4"/>
            <w:noWrap/>
            <w:vAlign w:val="center"/>
            <w:hideMark/>
          </w:tcPr>
          <w:p w14:paraId="027B6683"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+0.046</w:t>
            </w:r>
          </w:p>
        </w:tc>
        <w:tc>
          <w:tcPr>
            <w:tcW w:w="502" w:type="pct"/>
            <w:tcBorders>
              <w:top w:val="single" w:sz="4" w:space="0" w:color="AAAAAA"/>
              <w:left w:val="single" w:sz="4" w:space="0" w:color="AAAAAA"/>
              <w:bottom w:val="single" w:sz="4" w:space="0" w:color="AAAAAA"/>
              <w:right w:val="single" w:sz="4" w:space="0" w:color="auto"/>
            </w:tcBorders>
            <w:shd w:val="clear" w:color="000000" w:fill="FBEEEC"/>
            <w:noWrap/>
            <w:vAlign w:val="center"/>
            <w:hideMark/>
          </w:tcPr>
          <w:p w14:paraId="5318532E"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+0.033</w:t>
            </w:r>
          </w:p>
        </w:tc>
      </w:tr>
      <w:tr w:rsidR="005C7305" w:rsidRPr="005C7305" w14:paraId="1B7D0E22" w14:textId="77777777" w:rsidTr="005C7305">
        <w:trPr>
          <w:trHeight w:val="551"/>
        </w:trPr>
        <w:tc>
          <w:tcPr>
            <w:tcW w:w="662" w:type="pct"/>
            <w:tcBorders>
              <w:top w:val="nil"/>
              <w:left w:val="single" w:sz="4" w:space="0" w:color="auto"/>
              <w:bottom w:val="nil"/>
              <w:right w:val="nil"/>
            </w:tcBorders>
            <w:shd w:val="clear" w:color="000000" w:fill="FFFFFF"/>
            <w:vAlign w:val="center"/>
            <w:hideMark/>
          </w:tcPr>
          <w:p w14:paraId="017D4868" w14:textId="77777777" w:rsidR="00A22074" w:rsidRPr="00A22074" w:rsidRDefault="00A22074" w:rsidP="00A22074">
            <w:pPr>
              <w:rPr>
                <w:rFonts w:ascii="Arial" w:hAnsi="Arial" w:cs="Arial"/>
                <w:b/>
                <w:bCs/>
                <w:color w:val="000000"/>
                <w:sz w:val="14"/>
                <w:szCs w:val="14"/>
                <w:lang w:val="en-IN" w:eastAsia="en-IN"/>
              </w:rPr>
            </w:pPr>
            <w:r w:rsidRPr="00A22074">
              <w:rPr>
                <w:rFonts w:ascii="Arial" w:hAnsi="Arial" w:cs="Arial"/>
                <w:b/>
                <w:bCs/>
                <w:color w:val="000000"/>
                <w:sz w:val="14"/>
                <w:szCs w:val="14"/>
                <w:lang w:val="en-IN" w:eastAsia="en-IN"/>
              </w:rPr>
              <w:t>Annual family income</w:t>
            </w:r>
          </w:p>
        </w:tc>
        <w:tc>
          <w:tcPr>
            <w:tcW w:w="543" w:type="pct"/>
            <w:tcBorders>
              <w:top w:val="single" w:sz="4" w:space="0" w:color="AAAAAA"/>
              <w:left w:val="nil"/>
              <w:bottom w:val="single" w:sz="4" w:space="0" w:color="AAAAAA"/>
              <w:right w:val="single" w:sz="4" w:space="0" w:color="AAAAAA"/>
            </w:tcBorders>
            <w:shd w:val="clear" w:color="000000" w:fill="EBF1F7"/>
            <w:noWrap/>
            <w:vAlign w:val="center"/>
            <w:hideMark/>
          </w:tcPr>
          <w:p w14:paraId="3E4F803E"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-0.027</w:t>
            </w:r>
          </w:p>
        </w:tc>
        <w:tc>
          <w:tcPr>
            <w:tcW w:w="548" w:type="pct"/>
            <w:tcBorders>
              <w:top w:val="single" w:sz="4" w:space="0" w:color="AAAAAA"/>
              <w:left w:val="single" w:sz="4" w:space="0" w:color="AAAAAA"/>
              <w:bottom w:val="single" w:sz="4" w:space="0" w:color="AAAAAA"/>
              <w:right w:val="single" w:sz="4" w:space="0" w:color="AAAAAA"/>
            </w:tcBorders>
            <w:shd w:val="clear" w:color="000000" w:fill="B0C8E1"/>
            <w:noWrap/>
            <w:vAlign w:val="center"/>
            <w:hideMark/>
          </w:tcPr>
          <w:p w14:paraId="0AF7A8CA"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-0.106</w:t>
            </w:r>
          </w:p>
        </w:tc>
        <w:tc>
          <w:tcPr>
            <w:tcW w:w="549" w:type="pct"/>
            <w:tcBorders>
              <w:top w:val="single" w:sz="4" w:space="0" w:color="AAAAAA"/>
              <w:left w:val="single" w:sz="4" w:space="0" w:color="AAAAAA"/>
              <w:bottom w:val="single" w:sz="4" w:space="0" w:color="AAAAAA"/>
              <w:right w:val="single" w:sz="4" w:space="0" w:color="AAAAAA"/>
            </w:tcBorders>
            <w:shd w:val="clear" w:color="000000" w:fill="FDF5F4"/>
            <w:noWrap/>
            <w:vAlign w:val="center"/>
            <w:hideMark/>
          </w:tcPr>
          <w:p w14:paraId="5A12F94A"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+0.019</w:t>
            </w:r>
          </w:p>
        </w:tc>
        <w:tc>
          <w:tcPr>
            <w:tcW w:w="565" w:type="pct"/>
            <w:tcBorders>
              <w:top w:val="single" w:sz="4" w:space="0" w:color="AAAAAA"/>
              <w:left w:val="single" w:sz="4" w:space="0" w:color="AAAAAA"/>
              <w:bottom w:val="single" w:sz="4" w:space="0" w:color="AAAAAA"/>
              <w:right w:val="single" w:sz="4" w:space="0" w:color="AAAAAA"/>
            </w:tcBorders>
            <w:shd w:val="clear" w:color="000000" w:fill="AFC8E1"/>
            <w:noWrap/>
            <w:vAlign w:val="center"/>
            <w:hideMark/>
          </w:tcPr>
          <w:p w14:paraId="24F276A8"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-0.107</w:t>
            </w:r>
          </w:p>
        </w:tc>
        <w:tc>
          <w:tcPr>
            <w:tcW w:w="533" w:type="pct"/>
            <w:tcBorders>
              <w:top w:val="single" w:sz="4" w:space="0" w:color="AAAAAA"/>
              <w:left w:val="single" w:sz="4" w:space="0" w:color="AAAAAA"/>
              <w:bottom w:val="single" w:sz="4" w:space="0" w:color="AAAAAA"/>
              <w:right w:val="single" w:sz="4" w:space="0" w:color="AAAAAA"/>
            </w:tcBorders>
            <w:shd w:val="clear" w:color="000000" w:fill="FBECEA"/>
            <w:noWrap/>
            <w:vAlign w:val="center"/>
            <w:hideMark/>
          </w:tcPr>
          <w:p w14:paraId="04BEDEA8"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+0.036</w:t>
            </w:r>
          </w:p>
        </w:tc>
        <w:tc>
          <w:tcPr>
            <w:tcW w:w="549" w:type="pct"/>
            <w:tcBorders>
              <w:top w:val="single" w:sz="4" w:space="0" w:color="AAAAAA"/>
              <w:left w:val="single" w:sz="4" w:space="0" w:color="AAAAAA"/>
              <w:bottom w:val="single" w:sz="4" w:space="0" w:color="AAAAAA"/>
              <w:right w:val="single" w:sz="4" w:space="0" w:color="AAAAAA"/>
            </w:tcBorders>
            <w:shd w:val="clear" w:color="000000" w:fill="FAEAE8"/>
            <w:noWrap/>
            <w:vAlign w:val="center"/>
            <w:hideMark/>
          </w:tcPr>
          <w:p w14:paraId="29707B6B"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+0.040</w:t>
            </w:r>
          </w:p>
        </w:tc>
        <w:tc>
          <w:tcPr>
            <w:tcW w:w="549" w:type="pct"/>
            <w:tcBorders>
              <w:top w:val="single" w:sz="4" w:space="0" w:color="AAAAAA"/>
              <w:left w:val="single" w:sz="4" w:space="0" w:color="AAAAAA"/>
              <w:bottom w:val="single" w:sz="4" w:space="0" w:color="AAAAAA"/>
              <w:right w:val="single" w:sz="4" w:space="0" w:color="AAAAAA"/>
            </w:tcBorders>
            <w:shd w:val="clear" w:color="000000" w:fill="F9E5E2"/>
            <w:noWrap/>
            <w:vAlign w:val="center"/>
            <w:hideMark/>
          </w:tcPr>
          <w:p w14:paraId="5B3B8E0A"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+0.050</w:t>
            </w:r>
          </w:p>
        </w:tc>
        <w:tc>
          <w:tcPr>
            <w:tcW w:w="502" w:type="pct"/>
            <w:tcBorders>
              <w:top w:val="single" w:sz="4" w:space="0" w:color="AAAAAA"/>
              <w:left w:val="single" w:sz="4" w:space="0" w:color="AAAAAA"/>
              <w:bottom w:val="single" w:sz="4" w:space="0" w:color="AAAAAA"/>
              <w:right w:val="single" w:sz="4" w:space="0" w:color="auto"/>
            </w:tcBorders>
            <w:shd w:val="clear" w:color="000000" w:fill="C8D9EA"/>
            <w:noWrap/>
            <w:vAlign w:val="center"/>
            <w:hideMark/>
          </w:tcPr>
          <w:p w14:paraId="16C4EB21"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-0.074</w:t>
            </w:r>
          </w:p>
        </w:tc>
      </w:tr>
      <w:tr w:rsidR="005C7305" w:rsidRPr="005C7305" w14:paraId="0A29F194" w14:textId="77777777" w:rsidTr="005C7305">
        <w:trPr>
          <w:trHeight w:val="595"/>
        </w:trPr>
        <w:tc>
          <w:tcPr>
            <w:tcW w:w="662" w:type="pct"/>
            <w:tcBorders>
              <w:top w:val="nil"/>
              <w:left w:val="single" w:sz="4" w:space="0" w:color="auto"/>
              <w:bottom w:val="nil"/>
              <w:right w:val="nil"/>
            </w:tcBorders>
            <w:shd w:val="clear" w:color="000000" w:fill="FFFFFF"/>
            <w:vAlign w:val="center"/>
            <w:hideMark/>
          </w:tcPr>
          <w:p w14:paraId="2793EA39" w14:textId="77777777" w:rsidR="00A22074" w:rsidRPr="00A22074" w:rsidRDefault="00A22074" w:rsidP="00A22074">
            <w:pPr>
              <w:rPr>
                <w:rFonts w:ascii="Arial" w:hAnsi="Arial" w:cs="Arial"/>
                <w:b/>
                <w:bCs/>
                <w:color w:val="000000"/>
                <w:sz w:val="14"/>
                <w:szCs w:val="14"/>
                <w:lang w:val="en-IN" w:eastAsia="en-IN"/>
              </w:rPr>
            </w:pPr>
            <w:r w:rsidRPr="00A22074">
              <w:rPr>
                <w:rFonts w:ascii="Arial" w:hAnsi="Arial" w:cs="Arial"/>
                <w:b/>
                <w:bCs/>
                <w:color w:val="000000"/>
                <w:sz w:val="14"/>
                <w:szCs w:val="14"/>
                <w:lang w:val="en-IN" w:eastAsia="en-IN"/>
              </w:rPr>
              <w:t>Farming occupation</w:t>
            </w:r>
          </w:p>
        </w:tc>
        <w:tc>
          <w:tcPr>
            <w:tcW w:w="543" w:type="pct"/>
            <w:tcBorders>
              <w:top w:val="single" w:sz="4" w:space="0" w:color="AAAAAA"/>
              <w:left w:val="nil"/>
              <w:bottom w:val="nil"/>
              <w:right w:val="single" w:sz="4" w:space="0" w:color="AAAAAA"/>
            </w:tcBorders>
            <w:shd w:val="clear" w:color="000000" w:fill="D3E0EE"/>
            <w:noWrap/>
            <w:vAlign w:val="center"/>
            <w:hideMark/>
          </w:tcPr>
          <w:p w14:paraId="708D4533"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-0.059</w:t>
            </w:r>
          </w:p>
        </w:tc>
        <w:tc>
          <w:tcPr>
            <w:tcW w:w="548" w:type="pct"/>
            <w:tcBorders>
              <w:top w:val="single" w:sz="4" w:space="0" w:color="AAAAAA"/>
              <w:left w:val="single" w:sz="4" w:space="0" w:color="AAAAAA"/>
              <w:bottom w:val="single" w:sz="4" w:space="0" w:color="AAAAAA"/>
              <w:right w:val="single" w:sz="4" w:space="0" w:color="AAAAAA"/>
            </w:tcBorders>
            <w:shd w:val="clear" w:color="000000" w:fill="FEFAF9"/>
            <w:noWrap/>
            <w:vAlign w:val="center"/>
            <w:hideMark/>
          </w:tcPr>
          <w:p w14:paraId="76A4B414"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+0.011</w:t>
            </w:r>
          </w:p>
        </w:tc>
        <w:tc>
          <w:tcPr>
            <w:tcW w:w="549" w:type="pct"/>
            <w:tcBorders>
              <w:top w:val="single" w:sz="4" w:space="0" w:color="AAAAAA"/>
              <w:left w:val="single" w:sz="4" w:space="0" w:color="AAAAAA"/>
              <w:bottom w:val="single" w:sz="4" w:space="0" w:color="AAAAAA"/>
              <w:right w:val="single" w:sz="4" w:space="0" w:color="AAAAAA"/>
            </w:tcBorders>
            <w:shd w:val="clear" w:color="000000" w:fill="FAE9E7"/>
            <w:noWrap/>
            <w:vAlign w:val="center"/>
            <w:hideMark/>
          </w:tcPr>
          <w:p w14:paraId="279D5B87"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+0.042</w:t>
            </w:r>
          </w:p>
        </w:tc>
        <w:tc>
          <w:tcPr>
            <w:tcW w:w="565" w:type="pct"/>
            <w:tcBorders>
              <w:top w:val="single" w:sz="4" w:space="0" w:color="AAAAAA"/>
              <w:left w:val="single" w:sz="4" w:space="0" w:color="AAAAAA"/>
              <w:bottom w:val="nil"/>
              <w:right w:val="single" w:sz="4" w:space="0" w:color="AAAAAA"/>
            </w:tcBorders>
            <w:shd w:val="clear" w:color="000000" w:fill="80A7CF"/>
            <w:noWrap/>
            <w:vAlign w:val="center"/>
            <w:hideMark/>
          </w:tcPr>
          <w:p w14:paraId="5ACD120C"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-0.171</w:t>
            </w:r>
          </w:p>
        </w:tc>
        <w:tc>
          <w:tcPr>
            <w:tcW w:w="533" w:type="pct"/>
            <w:tcBorders>
              <w:top w:val="single" w:sz="4" w:space="0" w:color="AAAAAA"/>
              <w:left w:val="single" w:sz="4" w:space="0" w:color="AAAAAA"/>
              <w:bottom w:val="single" w:sz="4" w:space="0" w:color="AAAAAA"/>
              <w:right w:val="single" w:sz="4" w:space="0" w:color="AAAAAA"/>
            </w:tcBorders>
            <w:shd w:val="clear" w:color="000000" w:fill="90B3D5"/>
            <w:noWrap/>
            <w:vAlign w:val="center"/>
            <w:hideMark/>
          </w:tcPr>
          <w:p w14:paraId="083A458F"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-0.149</w:t>
            </w:r>
          </w:p>
        </w:tc>
        <w:tc>
          <w:tcPr>
            <w:tcW w:w="549" w:type="pct"/>
            <w:tcBorders>
              <w:top w:val="single" w:sz="4" w:space="0" w:color="AAAAAA"/>
              <w:left w:val="single" w:sz="4" w:space="0" w:color="AAAAAA"/>
              <w:bottom w:val="single" w:sz="4" w:space="0" w:color="AAAAAA"/>
              <w:right w:val="single" w:sz="4" w:space="0" w:color="AAAAAA"/>
            </w:tcBorders>
            <w:shd w:val="clear" w:color="000000" w:fill="92B4D6"/>
            <w:noWrap/>
            <w:vAlign w:val="center"/>
            <w:hideMark/>
          </w:tcPr>
          <w:p w14:paraId="3E8B2157"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-0.147</w:t>
            </w:r>
          </w:p>
        </w:tc>
        <w:tc>
          <w:tcPr>
            <w:tcW w:w="549" w:type="pct"/>
            <w:tcBorders>
              <w:top w:val="single" w:sz="4" w:space="0" w:color="AAAAAA"/>
              <w:left w:val="single" w:sz="4" w:space="0" w:color="AAAAAA"/>
              <w:bottom w:val="single" w:sz="4" w:space="0" w:color="AAAAAA"/>
              <w:right w:val="single" w:sz="4" w:space="0" w:color="AAAAAA"/>
            </w:tcBorders>
            <w:shd w:val="clear" w:color="000000" w:fill="F4F7FB"/>
            <w:noWrap/>
            <w:vAlign w:val="center"/>
            <w:hideMark/>
          </w:tcPr>
          <w:p w14:paraId="7A8AEEC1"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-0.014</w:t>
            </w:r>
          </w:p>
        </w:tc>
        <w:tc>
          <w:tcPr>
            <w:tcW w:w="502" w:type="pct"/>
            <w:tcBorders>
              <w:top w:val="single" w:sz="4" w:space="0" w:color="AAAAAA"/>
              <w:left w:val="single" w:sz="4" w:space="0" w:color="AAAAAA"/>
              <w:bottom w:val="single" w:sz="4" w:space="0" w:color="AAAAAA"/>
              <w:right w:val="single" w:sz="4" w:space="0" w:color="auto"/>
            </w:tcBorders>
            <w:shd w:val="clear" w:color="000000" w:fill="90B3D5"/>
            <w:noWrap/>
            <w:vAlign w:val="center"/>
            <w:hideMark/>
          </w:tcPr>
          <w:p w14:paraId="3EF64E63"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-0.149</w:t>
            </w:r>
          </w:p>
        </w:tc>
      </w:tr>
      <w:tr w:rsidR="005C7305" w:rsidRPr="005C7305" w14:paraId="478A56AC" w14:textId="77777777" w:rsidTr="005C7305">
        <w:trPr>
          <w:trHeight w:val="572"/>
        </w:trPr>
        <w:tc>
          <w:tcPr>
            <w:tcW w:w="662" w:type="pct"/>
            <w:tcBorders>
              <w:top w:val="nil"/>
              <w:left w:val="single" w:sz="4" w:space="0" w:color="auto"/>
              <w:bottom w:val="nil"/>
              <w:right w:val="nil"/>
            </w:tcBorders>
            <w:shd w:val="clear" w:color="000000" w:fill="FFFFFF"/>
            <w:vAlign w:val="center"/>
            <w:hideMark/>
          </w:tcPr>
          <w:p w14:paraId="0625646E" w14:textId="77777777" w:rsidR="00A22074" w:rsidRPr="00A22074" w:rsidRDefault="00A22074" w:rsidP="00A22074">
            <w:pPr>
              <w:rPr>
                <w:rFonts w:ascii="Arial" w:hAnsi="Arial" w:cs="Arial"/>
                <w:b/>
                <w:bCs/>
                <w:color w:val="000000"/>
                <w:sz w:val="14"/>
                <w:szCs w:val="14"/>
                <w:lang w:val="en-IN" w:eastAsia="en-IN"/>
              </w:rPr>
            </w:pPr>
            <w:r w:rsidRPr="00A22074">
              <w:rPr>
                <w:rFonts w:ascii="Arial" w:hAnsi="Arial" w:cs="Arial"/>
                <w:b/>
                <w:bCs/>
                <w:color w:val="000000"/>
                <w:sz w:val="14"/>
                <w:szCs w:val="14"/>
                <w:lang w:val="en-IN" w:eastAsia="en-IN"/>
              </w:rPr>
              <w:t>Credit acquisition</w:t>
            </w:r>
          </w:p>
        </w:tc>
        <w:tc>
          <w:tcPr>
            <w:tcW w:w="543" w:type="pct"/>
            <w:tcBorders>
              <w:top w:val="single" w:sz="12" w:space="0" w:color="366092"/>
              <w:left w:val="single" w:sz="12" w:space="0" w:color="366092"/>
              <w:bottom w:val="single" w:sz="12" w:space="0" w:color="366092"/>
              <w:right w:val="single" w:sz="12" w:space="0" w:color="366092"/>
            </w:tcBorders>
            <w:shd w:val="clear" w:color="000000" w:fill="538DD5"/>
            <w:noWrap/>
            <w:vAlign w:val="center"/>
            <w:hideMark/>
          </w:tcPr>
          <w:p w14:paraId="638A8323"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-0.251*</w:t>
            </w:r>
          </w:p>
        </w:tc>
        <w:tc>
          <w:tcPr>
            <w:tcW w:w="548" w:type="pct"/>
            <w:tcBorders>
              <w:top w:val="single" w:sz="4" w:space="0" w:color="AAAAAA"/>
              <w:left w:val="nil"/>
              <w:bottom w:val="nil"/>
              <w:right w:val="single" w:sz="4" w:space="0" w:color="AAAAAA"/>
            </w:tcBorders>
            <w:shd w:val="clear" w:color="000000" w:fill="79A2CC"/>
            <w:noWrap/>
            <w:vAlign w:val="center"/>
            <w:hideMark/>
          </w:tcPr>
          <w:p w14:paraId="53D5B1E0"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-0.181</w:t>
            </w:r>
          </w:p>
        </w:tc>
        <w:tc>
          <w:tcPr>
            <w:tcW w:w="549" w:type="pct"/>
            <w:tcBorders>
              <w:top w:val="single" w:sz="4" w:space="0" w:color="AAAAAA"/>
              <w:left w:val="single" w:sz="4" w:space="0" w:color="AAAAAA"/>
              <w:bottom w:val="single" w:sz="4" w:space="0" w:color="AAAAAA"/>
              <w:right w:val="nil"/>
            </w:tcBorders>
            <w:shd w:val="clear" w:color="000000" w:fill="FCF0EE"/>
            <w:noWrap/>
            <w:vAlign w:val="center"/>
            <w:hideMark/>
          </w:tcPr>
          <w:p w14:paraId="4815C840"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+0.029</w:t>
            </w:r>
          </w:p>
        </w:tc>
        <w:tc>
          <w:tcPr>
            <w:tcW w:w="565" w:type="pct"/>
            <w:tcBorders>
              <w:top w:val="single" w:sz="12" w:space="0" w:color="A83D3A"/>
              <w:left w:val="single" w:sz="12" w:space="0" w:color="A83D3A"/>
              <w:bottom w:val="single" w:sz="12" w:space="0" w:color="A83D3A"/>
              <w:right w:val="single" w:sz="12" w:space="0" w:color="A83D3A"/>
            </w:tcBorders>
            <w:shd w:val="clear" w:color="000000" w:fill="BE4542"/>
            <w:noWrap/>
            <w:vAlign w:val="center"/>
            <w:hideMark/>
          </w:tcPr>
          <w:p w14:paraId="06B00BFB"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+0.287**</w:t>
            </w:r>
          </w:p>
        </w:tc>
        <w:tc>
          <w:tcPr>
            <w:tcW w:w="533" w:type="pct"/>
            <w:tcBorders>
              <w:top w:val="single" w:sz="4" w:space="0" w:color="AAAAAA"/>
              <w:left w:val="nil"/>
              <w:bottom w:val="single" w:sz="4" w:space="0" w:color="AAAAAA"/>
              <w:right w:val="single" w:sz="4" w:space="0" w:color="AAAAAA"/>
            </w:tcBorders>
            <w:shd w:val="clear" w:color="000000" w:fill="F8E2DF"/>
            <w:noWrap/>
            <w:vAlign w:val="center"/>
            <w:hideMark/>
          </w:tcPr>
          <w:p w14:paraId="2AC84FA9"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+0.055</w:t>
            </w:r>
          </w:p>
        </w:tc>
        <w:tc>
          <w:tcPr>
            <w:tcW w:w="549" w:type="pct"/>
            <w:tcBorders>
              <w:top w:val="single" w:sz="4" w:space="0" w:color="AAAAAA"/>
              <w:left w:val="single" w:sz="4" w:space="0" w:color="AAAAAA"/>
              <w:bottom w:val="single" w:sz="4" w:space="0" w:color="AAAAAA"/>
              <w:right w:val="single" w:sz="4" w:space="0" w:color="AAAAAA"/>
            </w:tcBorders>
            <w:shd w:val="clear" w:color="000000" w:fill="A5C1DD"/>
            <w:noWrap/>
            <w:vAlign w:val="center"/>
            <w:hideMark/>
          </w:tcPr>
          <w:p w14:paraId="61A4D811"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-0.121</w:t>
            </w:r>
          </w:p>
        </w:tc>
        <w:tc>
          <w:tcPr>
            <w:tcW w:w="549" w:type="pct"/>
            <w:tcBorders>
              <w:top w:val="single" w:sz="4" w:space="0" w:color="AAAAAA"/>
              <w:left w:val="single" w:sz="4" w:space="0" w:color="AAAAAA"/>
              <w:bottom w:val="single" w:sz="4" w:space="0" w:color="AAAAAA"/>
              <w:right w:val="single" w:sz="4" w:space="0" w:color="AAAAAA"/>
            </w:tcBorders>
            <w:shd w:val="clear" w:color="000000" w:fill="B8CEE4"/>
            <w:noWrap/>
            <w:vAlign w:val="center"/>
            <w:hideMark/>
          </w:tcPr>
          <w:p w14:paraId="0C01DD92"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-0.095</w:t>
            </w:r>
          </w:p>
        </w:tc>
        <w:tc>
          <w:tcPr>
            <w:tcW w:w="502" w:type="pct"/>
            <w:tcBorders>
              <w:top w:val="single" w:sz="4" w:space="0" w:color="AAAAAA"/>
              <w:left w:val="single" w:sz="4" w:space="0" w:color="AAAAAA"/>
              <w:bottom w:val="single" w:sz="4" w:space="0" w:color="AAAAAA"/>
              <w:right w:val="single" w:sz="4" w:space="0" w:color="auto"/>
            </w:tcBorders>
            <w:shd w:val="clear" w:color="000000" w:fill="A0BDDB"/>
            <w:noWrap/>
            <w:vAlign w:val="center"/>
            <w:hideMark/>
          </w:tcPr>
          <w:p w14:paraId="3E9DD1E7"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-0.128</w:t>
            </w:r>
          </w:p>
        </w:tc>
      </w:tr>
      <w:tr w:rsidR="005C7305" w:rsidRPr="005C7305" w14:paraId="3E099580" w14:textId="77777777" w:rsidTr="005C7305">
        <w:trPr>
          <w:trHeight w:val="583"/>
        </w:trPr>
        <w:tc>
          <w:tcPr>
            <w:tcW w:w="662" w:type="pct"/>
            <w:tcBorders>
              <w:top w:val="nil"/>
              <w:left w:val="single" w:sz="4" w:space="0" w:color="auto"/>
              <w:bottom w:val="nil"/>
              <w:right w:val="nil"/>
            </w:tcBorders>
            <w:shd w:val="clear" w:color="000000" w:fill="FFFFFF"/>
            <w:vAlign w:val="center"/>
            <w:hideMark/>
          </w:tcPr>
          <w:p w14:paraId="212BD077" w14:textId="77777777" w:rsidR="00A22074" w:rsidRPr="00A22074" w:rsidRDefault="00A22074" w:rsidP="00A22074">
            <w:pPr>
              <w:rPr>
                <w:rFonts w:ascii="Arial" w:hAnsi="Arial" w:cs="Arial"/>
                <w:b/>
                <w:bCs/>
                <w:color w:val="000000"/>
                <w:sz w:val="14"/>
                <w:szCs w:val="14"/>
                <w:lang w:val="en-IN" w:eastAsia="en-IN"/>
              </w:rPr>
            </w:pPr>
            <w:r w:rsidRPr="00A22074">
              <w:rPr>
                <w:rFonts w:ascii="Arial" w:hAnsi="Arial" w:cs="Arial"/>
                <w:b/>
                <w:bCs/>
                <w:color w:val="000000"/>
                <w:sz w:val="14"/>
                <w:szCs w:val="14"/>
                <w:lang w:val="en-IN" w:eastAsia="en-IN"/>
              </w:rPr>
              <w:lastRenderedPageBreak/>
              <w:t>Social participation</w:t>
            </w:r>
          </w:p>
        </w:tc>
        <w:tc>
          <w:tcPr>
            <w:tcW w:w="543" w:type="pct"/>
            <w:tcBorders>
              <w:top w:val="nil"/>
              <w:left w:val="nil"/>
              <w:bottom w:val="single" w:sz="4" w:space="0" w:color="AAAAAA"/>
              <w:right w:val="nil"/>
            </w:tcBorders>
            <w:shd w:val="clear" w:color="000000" w:fill="FAE9E6"/>
            <w:noWrap/>
            <w:vAlign w:val="center"/>
            <w:hideMark/>
          </w:tcPr>
          <w:p w14:paraId="28E91FC0"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+0.043</w:t>
            </w:r>
          </w:p>
        </w:tc>
        <w:tc>
          <w:tcPr>
            <w:tcW w:w="548" w:type="pct"/>
            <w:tcBorders>
              <w:top w:val="single" w:sz="12" w:space="0" w:color="A83D3A"/>
              <w:left w:val="single" w:sz="12" w:space="0" w:color="A83D3A"/>
              <w:bottom w:val="single" w:sz="12" w:space="0" w:color="A83D3A"/>
              <w:right w:val="single" w:sz="12" w:space="0" w:color="A83D3A"/>
            </w:tcBorders>
            <w:shd w:val="clear" w:color="000000" w:fill="DA9694"/>
            <w:noWrap/>
            <w:vAlign w:val="center"/>
            <w:hideMark/>
          </w:tcPr>
          <w:p w14:paraId="1273DD46"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+0.230*</w:t>
            </w:r>
          </w:p>
        </w:tc>
        <w:tc>
          <w:tcPr>
            <w:tcW w:w="549" w:type="pct"/>
            <w:tcBorders>
              <w:top w:val="single" w:sz="4" w:space="0" w:color="AAAAAA"/>
              <w:left w:val="nil"/>
              <w:bottom w:val="single" w:sz="4" w:space="0" w:color="AAAAAA"/>
              <w:right w:val="single" w:sz="4" w:space="0" w:color="AAAAAA"/>
            </w:tcBorders>
            <w:shd w:val="clear" w:color="000000" w:fill="F3CFCA"/>
            <w:noWrap/>
            <w:vAlign w:val="center"/>
            <w:hideMark/>
          </w:tcPr>
          <w:p w14:paraId="01FC75B7"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+0.091</w:t>
            </w:r>
          </w:p>
        </w:tc>
        <w:tc>
          <w:tcPr>
            <w:tcW w:w="565" w:type="pct"/>
            <w:tcBorders>
              <w:top w:val="nil"/>
              <w:left w:val="single" w:sz="4" w:space="0" w:color="AAAAAA"/>
              <w:bottom w:val="single" w:sz="4" w:space="0" w:color="AAAAAA"/>
              <w:right w:val="single" w:sz="4" w:space="0" w:color="AAAAAA"/>
            </w:tcBorders>
            <w:shd w:val="clear" w:color="000000" w:fill="F1C8C2"/>
            <w:noWrap/>
            <w:vAlign w:val="center"/>
            <w:hideMark/>
          </w:tcPr>
          <w:p w14:paraId="4D3C9232"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+0.104</w:t>
            </w:r>
          </w:p>
        </w:tc>
        <w:tc>
          <w:tcPr>
            <w:tcW w:w="533" w:type="pct"/>
            <w:tcBorders>
              <w:top w:val="single" w:sz="4" w:space="0" w:color="AAAAAA"/>
              <w:left w:val="single" w:sz="4" w:space="0" w:color="AAAAAA"/>
              <w:bottom w:val="single" w:sz="4" w:space="0" w:color="AAAAAA"/>
              <w:right w:val="single" w:sz="4" w:space="0" w:color="AAAAAA"/>
            </w:tcBorders>
            <w:shd w:val="clear" w:color="000000" w:fill="9BBAD9"/>
            <w:noWrap/>
            <w:vAlign w:val="center"/>
            <w:hideMark/>
          </w:tcPr>
          <w:p w14:paraId="27C16228"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-0.134</w:t>
            </w:r>
          </w:p>
        </w:tc>
        <w:tc>
          <w:tcPr>
            <w:tcW w:w="549" w:type="pct"/>
            <w:tcBorders>
              <w:top w:val="single" w:sz="4" w:space="0" w:color="AAAAAA"/>
              <w:left w:val="single" w:sz="4" w:space="0" w:color="AAAAAA"/>
              <w:bottom w:val="single" w:sz="4" w:space="0" w:color="AAAAAA"/>
              <w:right w:val="single" w:sz="4" w:space="0" w:color="AAAAAA"/>
            </w:tcBorders>
            <w:shd w:val="clear" w:color="000000" w:fill="FAE9E6"/>
            <w:noWrap/>
            <w:vAlign w:val="center"/>
            <w:hideMark/>
          </w:tcPr>
          <w:p w14:paraId="40DF68C8"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+0.043</w:t>
            </w:r>
          </w:p>
        </w:tc>
        <w:tc>
          <w:tcPr>
            <w:tcW w:w="549" w:type="pct"/>
            <w:tcBorders>
              <w:top w:val="single" w:sz="4" w:space="0" w:color="AAAAAA"/>
              <w:left w:val="single" w:sz="4" w:space="0" w:color="AAAAAA"/>
              <w:bottom w:val="single" w:sz="4" w:space="0" w:color="AAAAAA"/>
              <w:right w:val="single" w:sz="4" w:space="0" w:color="AAAAAA"/>
            </w:tcBorders>
            <w:shd w:val="clear" w:color="000000" w:fill="EFF4F9"/>
            <w:noWrap/>
            <w:vAlign w:val="center"/>
            <w:hideMark/>
          </w:tcPr>
          <w:p w14:paraId="55C388BC"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-0.021</w:t>
            </w:r>
          </w:p>
        </w:tc>
        <w:tc>
          <w:tcPr>
            <w:tcW w:w="502" w:type="pct"/>
            <w:tcBorders>
              <w:top w:val="single" w:sz="4" w:space="0" w:color="AAAAAA"/>
              <w:left w:val="single" w:sz="4" w:space="0" w:color="AAAAAA"/>
              <w:bottom w:val="single" w:sz="4" w:space="0" w:color="AAAAAA"/>
              <w:right w:val="single" w:sz="4" w:space="0" w:color="auto"/>
            </w:tcBorders>
            <w:shd w:val="clear" w:color="000000" w:fill="E69B8F"/>
            <w:noWrap/>
            <w:vAlign w:val="center"/>
            <w:hideMark/>
          </w:tcPr>
          <w:p w14:paraId="49618A75"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+0.189</w:t>
            </w:r>
          </w:p>
        </w:tc>
      </w:tr>
      <w:tr w:rsidR="005C7305" w:rsidRPr="005C7305" w14:paraId="4786647D" w14:textId="77777777" w:rsidTr="005C7305">
        <w:trPr>
          <w:trHeight w:val="605"/>
        </w:trPr>
        <w:tc>
          <w:tcPr>
            <w:tcW w:w="662" w:type="pct"/>
            <w:tcBorders>
              <w:top w:val="nil"/>
              <w:left w:val="single" w:sz="4" w:space="0" w:color="auto"/>
              <w:bottom w:val="nil"/>
              <w:right w:val="nil"/>
            </w:tcBorders>
            <w:shd w:val="clear" w:color="000000" w:fill="FFFFFF"/>
            <w:vAlign w:val="center"/>
            <w:hideMark/>
          </w:tcPr>
          <w:p w14:paraId="10B93807" w14:textId="77777777" w:rsidR="00A22074" w:rsidRPr="00A22074" w:rsidRDefault="00A22074" w:rsidP="00A22074">
            <w:pPr>
              <w:rPr>
                <w:rFonts w:ascii="Arial" w:hAnsi="Arial" w:cs="Arial"/>
                <w:b/>
                <w:bCs/>
                <w:color w:val="000000"/>
                <w:sz w:val="14"/>
                <w:szCs w:val="14"/>
                <w:lang w:val="en-IN" w:eastAsia="en-IN"/>
              </w:rPr>
            </w:pPr>
            <w:r w:rsidRPr="00A22074">
              <w:rPr>
                <w:rFonts w:ascii="Arial" w:hAnsi="Arial" w:cs="Arial"/>
                <w:b/>
                <w:bCs/>
                <w:color w:val="000000"/>
                <w:sz w:val="14"/>
                <w:szCs w:val="14"/>
                <w:lang w:val="en-IN" w:eastAsia="en-IN"/>
              </w:rPr>
              <w:t>Education</w:t>
            </w:r>
          </w:p>
        </w:tc>
        <w:tc>
          <w:tcPr>
            <w:tcW w:w="543" w:type="pct"/>
            <w:tcBorders>
              <w:top w:val="single" w:sz="4" w:space="0" w:color="AAAAAA"/>
              <w:left w:val="nil"/>
              <w:bottom w:val="single" w:sz="4" w:space="0" w:color="AAAAAA"/>
              <w:right w:val="single" w:sz="4" w:space="0" w:color="AAAAAA"/>
            </w:tcBorders>
            <w:shd w:val="clear" w:color="000000" w:fill="FDF5F4"/>
            <w:noWrap/>
            <w:vAlign w:val="center"/>
            <w:hideMark/>
          </w:tcPr>
          <w:p w14:paraId="2CA726EE"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+0.020</w:t>
            </w:r>
          </w:p>
        </w:tc>
        <w:tc>
          <w:tcPr>
            <w:tcW w:w="548" w:type="pct"/>
            <w:tcBorders>
              <w:top w:val="nil"/>
              <w:left w:val="single" w:sz="4" w:space="0" w:color="AAAAAA"/>
              <w:bottom w:val="single" w:sz="4" w:space="0" w:color="AAAAAA"/>
              <w:right w:val="single" w:sz="4" w:space="0" w:color="AAAAAA"/>
            </w:tcBorders>
            <w:shd w:val="clear" w:color="000000" w:fill="F7F9FC"/>
            <w:noWrap/>
            <w:vAlign w:val="center"/>
            <w:hideMark/>
          </w:tcPr>
          <w:p w14:paraId="238D4FC1"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-0.010</w:t>
            </w:r>
          </w:p>
        </w:tc>
        <w:tc>
          <w:tcPr>
            <w:tcW w:w="549" w:type="pct"/>
            <w:tcBorders>
              <w:top w:val="single" w:sz="4" w:space="0" w:color="AAAAAA"/>
              <w:left w:val="single" w:sz="4" w:space="0" w:color="AAAAAA"/>
              <w:bottom w:val="single" w:sz="4" w:space="0" w:color="AAAAAA"/>
              <w:right w:val="single" w:sz="4" w:space="0" w:color="AAAAAA"/>
            </w:tcBorders>
            <w:shd w:val="clear" w:color="000000" w:fill="E5998C"/>
            <w:noWrap/>
            <w:vAlign w:val="center"/>
            <w:hideMark/>
          </w:tcPr>
          <w:p w14:paraId="7F396A0A"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+0.194</w:t>
            </w:r>
          </w:p>
        </w:tc>
        <w:tc>
          <w:tcPr>
            <w:tcW w:w="565" w:type="pct"/>
            <w:tcBorders>
              <w:top w:val="single" w:sz="4" w:space="0" w:color="AAAAAA"/>
              <w:left w:val="single" w:sz="4" w:space="0" w:color="AAAAAA"/>
              <w:bottom w:val="single" w:sz="4" w:space="0" w:color="AAAAAA"/>
              <w:right w:val="single" w:sz="4" w:space="0" w:color="AAAAAA"/>
            </w:tcBorders>
            <w:shd w:val="clear" w:color="000000" w:fill="D3E0EE"/>
            <w:noWrap/>
            <w:vAlign w:val="center"/>
            <w:hideMark/>
          </w:tcPr>
          <w:p w14:paraId="58A5F40C"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-0.059</w:t>
            </w:r>
          </w:p>
        </w:tc>
        <w:tc>
          <w:tcPr>
            <w:tcW w:w="533" w:type="pct"/>
            <w:tcBorders>
              <w:top w:val="single" w:sz="4" w:space="0" w:color="AAAAAA"/>
              <w:left w:val="single" w:sz="4" w:space="0" w:color="AAAAAA"/>
              <w:bottom w:val="single" w:sz="4" w:space="0" w:color="AAAAAA"/>
              <w:right w:val="single" w:sz="4" w:space="0" w:color="AAAAAA"/>
            </w:tcBorders>
            <w:shd w:val="clear" w:color="000000" w:fill="A0BDDB"/>
            <w:noWrap/>
            <w:vAlign w:val="center"/>
            <w:hideMark/>
          </w:tcPr>
          <w:p w14:paraId="71905848"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-0.128</w:t>
            </w:r>
          </w:p>
        </w:tc>
        <w:tc>
          <w:tcPr>
            <w:tcW w:w="549" w:type="pct"/>
            <w:tcBorders>
              <w:top w:val="single" w:sz="4" w:space="0" w:color="AAAAAA"/>
              <w:left w:val="single" w:sz="4" w:space="0" w:color="AAAAAA"/>
              <w:bottom w:val="single" w:sz="4" w:space="0" w:color="AAAAAA"/>
              <w:right w:val="single" w:sz="4" w:space="0" w:color="AAAAAA"/>
            </w:tcBorders>
            <w:shd w:val="clear" w:color="000000" w:fill="A6C2DE"/>
            <w:noWrap/>
            <w:vAlign w:val="center"/>
            <w:hideMark/>
          </w:tcPr>
          <w:p w14:paraId="4997BFE3"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-0.119</w:t>
            </w:r>
          </w:p>
        </w:tc>
        <w:tc>
          <w:tcPr>
            <w:tcW w:w="549" w:type="pct"/>
            <w:tcBorders>
              <w:top w:val="single" w:sz="4" w:space="0" w:color="AAAAAA"/>
              <w:left w:val="single" w:sz="4" w:space="0" w:color="AAAAAA"/>
              <w:bottom w:val="single" w:sz="4" w:space="0" w:color="AAAAAA"/>
              <w:right w:val="single" w:sz="4" w:space="0" w:color="AAAAAA"/>
            </w:tcBorders>
            <w:shd w:val="clear" w:color="000000" w:fill="81A8CF"/>
            <w:noWrap/>
            <w:vAlign w:val="center"/>
            <w:hideMark/>
          </w:tcPr>
          <w:p w14:paraId="5DA93983"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-0.170</w:t>
            </w:r>
          </w:p>
        </w:tc>
        <w:tc>
          <w:tcPr>
            <w:tcW w:w="502" w:type="pct"/>
            <w:tcBorders>
              <w:top w:val="single" w:sz="4" w:space="0" w:color="AAAAAA"/>
              <w:left w:val="single" w:sz="4" w:space="0" w:color="AAAAAA"/>
              <w:bottom w:val="single" w:sz="4" w:space="0" w:color="AAAAAA"/>
              <w:right w:val="single" w:sz="4" w:space="0" w:color="auto"/>
            </w:tcBorders>
            <w:shd w:val="clear" w:color="000000" w:fill="C0D3E7"/>
            <w:noWrap/>
            <w:vAlign w:val="center"/>
            <w:hideMark/>
          </w:tcPr>
          <w:p w14:paraId="40102C75"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-0.085</w:t>
            </w:r>
          </w:p>
        </w:tc>
      </w:tr>
      <w:tr w:rsidR="005C7305" w:rsidRPr="005C7305" w14:paraId="3902E74E" w14:textId="77777777" w:rsidTr="005C7305">
        <w:trPr>
          <w:trHeight w:val="583"/>
        </w:trPr>
        <w:tc>
          <w:tcPr>
            <w:tcW w:w="662" w:type="pct"/>
            <w:tcBorders>
              <w:top w:val="nil"/>
              <w:left w:val="single" w:sz="4" w:space="0" w:color="auto"/>
              <w:bottom w:val="nil"/>
              <w:right w:val="nil"/>
            </w:tcBorders>
            <w:shd w:val="clear" w:color="000000" w:fill="FFFFFF"/>
            <w:vAlign w:val="center"/>
            <w:hideMark/>
          </w:tcPr>
          <w:p w14:paraId="09C9DD0A" w14:textId="77777777" w:rsidR="00A22074" w:rsidRPr="00A22074" w:rsidRDefault="00A22074" w:rsidP="00A22074">
            <w:pPr>
              <w:rPr>
                <w:rFonts w:ascii="Arial" w:hAnsi="Arial" w:cs="Arial"/>
                <w:b/>
                <w:bCs/>
                <w:color w:val="000000"/>
                <w:sz w:val="14"/>
                <w:szCs w:val="14"/>
                <w:lang w:val="en-IN" w:eastAsia="en-IN"/>
              </w:rPr>
            </w:pPr>
            <w:r w:rsidRPr="00A22074">
              <w:rPr>
                <w:rFonts w:ascii="Arial" w:hAnsi="Arial" w:cs="Arial"/>
                <w:b/>
                <w:bCs/>
                <w:color w:val="000000"/>
                <w:sz w:val="14"/>
                <w:szCs w:val="14"/>
                <w:lang w:val="en-IN" w:eastAsia="en-IN"/>
              </w:rPr>
              <w:t>Area under IFS</w:t>
            </w:r>
          </w:p>
        </w:tc>
        <w:tc>
          <w:tcPr>
            <w:tcW w:w="543" w:type="pct"/>
            <w:tcBorders>
              <w:top w:val="single" w:sz="4" w:space="0" w:color="AAAAAA"/>
              <w:left w:val="nil"/>
              <w:bottom w:val="single" w:sz="4" w:space="0" w:color="AAAAAA"/>
              <w:right w:val="single" w:sz="4" w:space="0" w:color="AAAAAA"/>
            </w:tcBorders>
            <w:shd w:val="clear" w:color="000000" w:fill="96B7D7"/>
            <w:noWrap/>
            <w:vAlign w:val="center"/>
            <w:hideMark/>
          </w:tcPr>
          <w:p w14:paraId="20318301"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-0.141</w:t>
            </w:r>
          </w:p>
        </w:tc>
        <w:tc>
          <w:tcPr>
            <w:tcW w:w="548" w:type="pct"/>
            <w:tcBorders>
              <w:top w:val="single" w:sz="4" w:space="0" w:color="AAAAAA"/>
              <w:left w:val="single" w:sz="4" w:space="0" w:color="AAAAAA"/>
              <w:bottom w:val="single" w:sz="4" w:space="0" w:color="AAAAAA"/>
              <w:right w:val="single" w:sz="4" w:space="0" w:color="AAAAAA"/>
            </w:tcBorders>
            <w:shd w:val="clear" w:color="000000" w:fill="BCD1E6"/>
            <w:noWrap/>
            <w:vAlign w:val="center"/>
            <w:hideMark/>
          </w:tcPr>
          <w:p w14:paraId="267B83F3"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-0.090</w:t>
            </w:r>
          </w:p>
        </w:tc>
        <w:tc>
          <w:tcPr>
            <w:tcW w:w="549" w:type="pct"/>
            <w:tcBorders>
              <w:top w:val="single" w:sz="4" w:space="0" w:color="AAAAAA"/>
              <w:left w:val="single" w:sz="4" w:space="0" w:color="AAAAAA"/>
              <w:bottom w:val="single" w:sz="4" w:space="0" w:color="AAAAAA"/>
              <w:right w:val="single" w:sz="4" w:space="0" w:color="AAAAAA"/>
            </w:tcBorders>
            <w:shd w:val="clear" w:color="000000" w:fill="FAFBFD"/>
            <w:noWrap/>
            <w:vAlign w:val="center"/>
            <w:hideMark/>
          </w:tcPr>
          <w:p w14:paraId="6B81B8CC"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-0.006</w:t>
            </w:r>
          </w:p>
        </w:tc>
        <w:tc>
          <w:tcPr>
            <w:tcW w:w="565" w:type="pct"/>
            <w:tcBorders>
              <w:top w:val="single" w:sz="4" w:space="0" w:color="AAAAAA"/>
              <w:left w:val="single" w:sz="4" w:space="0" w:color="AAAAAA"/>
              <w:bottom w:val="single" w:sz="4" w:space="0" w:color="AAAAAA"/>
              <w:right w:val="single" w:sz="4" w:space="0" w:color="AAAAAA"/>
            </w:tcBorders>
            <w:shd w:val="clear" w:color="000000" w:fill="FDF5F4"/>
            <w:noWrap/>
            <w:vAlign w:val="center"/>
            <w:hideMark/>
          </w:tcPr>
          <w:p w14:paraId="6A9B5ACD"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+0.020</w:t>
            </w:r>
          </w:p>
        </w:tc>
        <w:tc>
          <w:tcPr>
            <w:tcW w:w="533" w:type="pct"/>
            <w:tcBorders>
              <w:top w:val="single" w:sz="4" w:space="0" w:color="AAAAAA"/>
              <w:left w:val="single" w:sz="4" w:space="0" w:color="AAAAAA"/>
              <w:bottom w:val="single" w:sz="4" w:space="0" w:color="AAAAAA"/>
              <w:right w:val="single" w:sz="4" w:space="0" w:color="AAAAAA"/>
            </w:tcBorders>
            <w:shd w:val="clear" w:color="000000" w:fill="FEF9F8"/>
            <w:noWrap/>
            <w:vAlign w:val="center"/>
            <w:hideMark/>
          </w:tcPr>
          <w:p w14:paraId="64F74B81"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+0.012</w:t>
            </w:r>
          </w:p>
        </w:tc>
        <w:tc>
          <w:tcPr>
            <w:tcW w:w="549" w:type="pct"/>
            <w:tcBorders>
              <w:top w:val="single" w:sz="4" w:space="0" w:color="AAAAAA"/>
              <w:left w:val="single" w:sz="4" w:space="0" w:color="AAAAAA"/>
              <w:bottom w:val="single" w:sz="4" w:space="0" w:color="AAAAAA"/>
              <w:right w:val="single" w:sz="4" w:space="0" w:color="AAAAAA"/>
            </w:tcBorders>
            <w:shd w:val="clear" w:color="000000" w:fill="F8E4E1"/>
            <w:noWrap/>
            <w:vAlign w:val="center"/>
            <w:hideMark/>
          </w:tcPr>
          <w:p w14:paraId="7E187651"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+0.052</w:t>
            </w:r>
          </w:p>
        </w:tc>
        <w:tc>
          <w:tcPr>
            <w:tcW w:w="549" w:type="pct"/>
            <w:tcBorders>
              <w:top w:val="single" w:sz="4" w:space="0" w:color="AAAAAA"/>
              <w:left w:val="single" w:sz="4" w:space="0" w:color="AAAAAA"/>
              <w:bottom w:val="single" w:sz="4" w:space="0" w:color="AAAAAA"/>
              <w:right w:val="single" w:sz="4" w:space="0" w:color="AAAAAA"/>
            </w:tcBorders>
            <w:shd w:val="clear" w:color="000000" w:fill="8DB0D4"/>
            <w:noWrap/>
            <w:vAlign w:val="center"/>
            <w:hideMark/>
          </w:tcPr>
          <w:p w14:paraId="0B7FF532"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-0.153</w:t>
            </w:r>
          </w:p>
        </w:tc>
        <w:tc>
          <w:tcPr>
            <w:tcW w:w="502" w:type="pct"/>
            <w:tcBorders>
              <w:top w:val="single" w:sz="4" w:space="0" w:color="AAAAAA"/>
              <w:left w:val="single" w:sz="4" w:space="0" w:color="AAAAAA"/>
              <w:bottom w:val="single" w:sz="4" w:space="0" w:color="AAAAAA"/>
              <w:right w:val="single" w:sz="4" w:space="0" w:color="auto"/>
            </w:tcBorders>
            <w:shd w:val="clear" w:color="000000" w:fill="A6C1DD"/>
            <w:noWrap/>
            <w:vAlign w:val="center"/>
            <w:hideMark/>
          </w:tcPr>
          <w:p w14:paraId="46EE24B4"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-0.120</w:t>
            </w:r>
          </w:p>
        </w:tc>
      </w:tr>
      <w:tr w:rsidR="005C7305" w:rsidRPr="005C7305" w14:paraId="1F8C7C0B" w14:textId="77777777" w:rsidTr="005C7305">
        <w:trPr>
          <w:trHeight w:val="572"/>
        </w:trPr>
        <w:tc>
          <w:tcPr>
            <w:tcW w:w="662" w:type="pct"/>
            <w:tcBorders>
              <w:top w:val="nil"/>
              <w:left w:val="single" w:sz="4" w:space="0" w:color="auto"/>
              <w:bottom w:val="nil"/>
              <w:right w:val="nil"/>
            </w:tcBorders>
            <w:shd w:val="clear" w:color="000000" w:fill="FFFFFF"/>
            <w:vAlign w:val="center"/>
            <w:hideMark/>
          </w:tcPr>
          <w:p w14:paraId="3F7073FA" w14:textId="77777777" w:rsidR="00A22074" w:rsidRPr="00A22074" w:rsidRDefault="00A22074" w:rsidP="00A22074">
            <w:pPr>
              <w:rPr>
                <w:rFonts w:ascii="Arial" w:hAnsi="Arial" w:cs="Arial"/>
                <w:b/>
                <w:bCs/>
                <w:color w:val="000000"/>
                <w:sz w:val="14"/>
                <w:szCs w:val="14"/>
                <w:lang w:val="en-IN" w:eastAsia="en-IN"/>
              </w:rPr>
            </w:pPr>
            <w:r w:rsidRPr="00A22074">
              <w:rPr>
                <w:rFonts w:ascii="Arial" w:hAnsi="Arial" w:cs="Arial"/>
                <w:b/>
                <w:bCs/>
                <w:color w:val="000000"/>
                <w:sz w:val="14"/>
                <w:szCs w:val="14"/>
                <w:lang w:val="en-IN" w:eastAsia="en-IN"/>
              </w:rPr>
              <w:t>Age</w:t>
            </w:r>
          </w:p>
        </w:tc>
        <w:tc>
          <w:tcPr>
            <w:tcW w:w="543" w:type="pct"/>
            <w:tcBorders>
              <w:top w:val="single" w:sz="4" w:space="0" w:color="AAAAAA"/>
              <w:left w:val="nil"/>
              <w:bottom w:val="single" w:sz="4" w:space="0" w:color="AAAAAA"/>
              <w:right w:val="single" w:sz="4" w:space="0" w:color="AAAAAA"/>
            </w:tcBorders>
            <w:shd w:val="clear" w:color="000000" w:fill="FBF0EE"/>
            <w:noWrap/>
            <w:vAlign w:val="center"/>
            <w:hideMark/>
          </w:tcPr>
          <w:p w14:paraId="581E1316"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+0.030</w:t>
            </w:r>
          </w:p>
        </w:tc>
        <w:tc>
          <w:tcPr>
            <w:tcW w:w="548" w:type="pct"/>
            <w:tcBorders>
              <w:top w:val="single" w:sz="4" w:space="0" w:color="AAAAAA"/>
              <w:left w:val="single" w:sz="4" w:space="0" w:color="AAAAAA"/>
              <w:bottom w:val="single" w:sz="4" w:space="0" w:color="AAAAAA"/>
              <w:right w:val="single" w:sz="4" w:space="0" w:color="AAAAAA"/>
            </w:tcBorders>
            <w:shd w:val="clear" w:color="000000" w:fill="EEBBB3"/>
            <w:noWrap/>
            <w:vAlign w:val="center"/>
            <w:hideMark/>
          </w:tcPr>
          <w:p w14:paraId="14CF27F5"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+0.129</w:t>
            </w:r>
          </w:p>
        </w:tc>
        <w:tc>
          <w:tcPr>
            <w:tcW w:w="549" w:type="pct"/>
            <w:tcBorders>
              <w:top w:val="single" w:sz="4" w:space="0" w:color="AAAAAA"/>
              <w:left w:val="single" w:sz="4" w:space="0" w:color="AAAAAA"/>
              <w:bottom w:val="single" w:sz="4" w:space="0" w:color="AAAAAA"/>
              <w:right w:val="single" w:sz="4" w:space="0" w:color="AAAAAA"/>
            </w:tcBorders>
            <w:shd w:val="clear" w:color="000000" w:fill="C1D4E8"/>
            <w:noWrap/>
            <w:vAlign w:val="center"/>
            <w:hideMark/>
          </w:tcPr>
          <w:p w14:paraId="6A3CAA3C"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-0.083</w:t>
            </w:r>
          </w:p>
        </w:tc>
        <w:tc>
          <w:tcPr>
            <w:tcW w:w="565" w:type="pct"/>
            <w:tcBorders>
              <w:top w:val="single" w:sz="4" w:space="0" w:color="AAAAAA"/>
              <w:left w:val="single" w:sz="4" w:space="0" w:color="AAAAAA"/>
              <w:bottom w:val="single" w:sz="4" w:space="0" w:color="AAAAAA"/>
              <w:right w:val="single" w:sz="4" w:space="0" w:color="AAAAAA"/>
            </w:tcBorders>
            <w:shd w:val="clear" w:color="000000" w:fill="A7C2DE"/>
            <w:noWrap/>
            <w:vAlign w:val="center"/>
            <w:hideMark/>
          </w:tcPr>
          <w:p w14:paraId="345B9D89"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-0.118</w:t>
            </w:r>
          </w:p>
        </w:tc>
        <w:tc>
          <w:tcPr>
            <w:tcW w:w="533" w:type="pct"/>
            <w:tcBorders>
              <w:top w:val="single" w:sz="4" w:space="0" w:color="AAAAAA"/>
              <w:left w:val="single" w:sz="4" w:space="0" w:color="AAAAAA"/>
              <w:bottom w:val="single" w:sz="4" w:space="0" w:color="AAAAAA"/>
              <w:right w:val="single" w:sz="4" w:space="0" w:color="AAAAAA"/>
            </w:tcBorders>
            <w:shd w:val="clear" w:color="000000" w:fill="A4C0DD"/>
            <w:noWrap/>
            <w:vAlign w:val="center"/>
            <w:hideMark/>
          </w:tcPr>
          <w:p w14:paraId="39B74D2A"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-0.122</w:t>
            </w:r>
          </w:p>
        </w:tc>
        <w:tc>
          <w:tcPr>
            <w:tcW w:w="549" w:type="pct"/>
            <w:tcBorders>
              <w:top w:val="single" w:sz="4" w:space="0" w:color="AAAAAA"/>
              <w:left w:val="single" w:sz="4" w:space="0" w:color="AAAAAA"/>
              <w:bottom w:val="single" w:sz="4" w:space="0" w:color="AAAAAA"/>
              <w:right w:val="single" w:sz="4" w:space="0" w:color="AAAAAA"/>
            </w:tcBorders>
            <w:shd w:val="clear" w:color="000000" w:fill="D8E4F0"/>
            <w:noWrap/>
            <w:vAlign w:val="center"/>
            <w:hideMark/>
          </w:tcPr>
          <w:p w14:paraId="4818072B"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-0.052</w:t>
            </w:r>
          </w:p>
        </w:tc>
        <w:tc>
          <w:tcPr>
            <w:tcW w:w="549" w:type="pct"/>
            <w:tcBorders>
              <w:top w:val="single" w:sz="4" w:space="0" w:color="AAAAAA"/>
              <w:left w:val="single" w:sz="4" w:space="0" w:color="AAAAAA"/>
              <w:bottom w:val="single" w:sz="4" w:space="0" w:color="AAAAAA"/>
              <w:right w:val="single" w:sz="4" w:space="0" w:color="AAAAAA"/>
            </w:tcBorders>
            <w:shd w:val="clear" w:color="000000" w:fill="FFFEFE"/>
            <w:noWrap/>
            <w:vAlign w:val="center"/>
            <w:hideMark/>
          </w:tcPr>
          <w:p w14:paraId="5CD7DE53"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+0.003</w:t>
            </w:r>
          </w:p>
        </w:tc>
        <w:tc>
          <w:tcPr>
            <w:tcW w:w="502" w:type="pct"/>
            <w:tcBorders>
              <w:top w:val="single" w:sz="4" w:space="0" w:color="AAAAAA"/>
              <w:left w:val="single" w:sz="4" w:space="0" w:color="AAAAAA"/>
              <w:bottom w:val="single" w:sz="4" w:space="0" w:color="AAAAAA"/>
              <w:right w:val="single" w:sz="4" w:space="0" w:color="auto"/>
            </w:tcBorders>
            <w:shd w:val="clear" w:color="000000" w:fill="EFF4F9"/>
            <w:noWrap/>
            <w:vAlign w:val="center"/>
            <w:hideMark/>
          </w:tcPr>
          <w:p w14:paraId="607910F5"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-0.021</w:t>
            </w:r>
          </w:p>
        </w:tc>
      </w:tr>
      <w:tr w:rsidR="005C7305" w:rsidRPr="005C7305" w14:paraId="0B3340AA" w14:textId="77777777" w:rsidTr="005C7305">
        <w:trPr>
          <w:trHeight w:val="595"/>
        </w:trPr>
        <w:tc>
          <w:tcPr>
            <w:tcW w:w="662" w:type="pct"/>
            <w:tcBorders>
              <w:top w:val="nil"/>
              <w:left w:val="single" w:sz="4" w:space="0" w:color="auto"/>
              <w:bottom w:val="nil"/>
              <w:right w:val="nil"/>
            </w:tcBorders>
            <w:shd w:val="clear" w:color="000000" w:fill="FFFFFF"/>
            <w:vAlign w:val="center"/>
            <w:hideMark/>
          </w:tcPr>
          <w:p w14:paraId="6B7F8131" w14:textId="77777777" w:rsidR="00A22074" w:rsidRPr="00A22074" w:rsidRDefault="00A22074" w:rsidP="00A22074">
            <w:pPr>
              <w:rPr>
                <w:rFonts w:ascii="Arial" w:hAnsi="Arial" w:cs="Arial"/>
                <w:b/>
                <w:bCs/>
                <w:color w:val="000000"/>
                <w:sz w:val="14"/>
                <w:szCs w:val="14"/>
                <w:lang w:val="en-IN" w:eastAsia="en-IN"/>
              </w:rPr>
            </w:pPr>
            <w:r w:rsidRPr="00A22074">
              <w:rPr>
                <w:rFonts w:ascii="Arial" w:hAnsi="Arial" w:cs="Arial"/>
                <w:b/>
                <w:bCs/>
                <w:color w:val="000000"/>
                <w:sz w:val="14"/>
                <w:szCs w:val="14"/>
                <w:lang w:val="en-IN" w:eastAsia="en-IN"/>
              </w:rPr>
              <w:t>Gender</w:t>
            </w:r>
          </w:p>
        </w:tc>
        <w:tc>
          <w:tcPr>
            <w:tcW w:w="543" w:type="pct"/>
            <w:tcBorders>
              <w:top w:val="single" w:sz="4" w:space="0" w:color="AAAAAA"/>
              <w:left w:val="nil"/>
              <w:bottom w:val="single" w:sz="4" w:space="0" w:color="AAAAAA"/>
              <w:right w:val="single" w:sz="4" w:space="0" w:color="AAAAAA"/>
            </w:tcBorders>
            <w:shd w:val="clear" w:color="000000" w:fill="FBEFED"/>
            <w:noWrap/>
            <w:vAlign w:val="center"/>
            <w:hideMark/>
          </w:tcPr>
          <w:p w14:paraId="158C34C8"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+0.031</w:t>
            </w:r>
          </w:p>
        </w:tc>
        <w:tc>
          <w:tcPr>
            <w:tcW w:w="548" w:type="pct"/>
            <w:tcBorders>
              <w:top w:val="single" w:sz="4" w:space="0" w:color="AAAAAA"/>
              <w:left w:val="single" w:sz="4" w:space="0" w:color="AAAAAA"/>
              <w:bottom w:val="single" w:sz="4" w:space="0" w:color="AAAAAA"/>
              <w:right w:val="single" w:sz="4" w:space="0" w:color="AAAAAA"/>
            </w:tcBorders>
            <w:shd w:val="clear" w:color="000000" w:fill="D5E2EF"/>
            <w:noWrap/>
            <w:vAlign w:val="center"/>
            <w:hideMark/>
          </w:tcPr>
          <w:p w14:paraId="3ED1996C"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-0.056</w:t>
            </w:r>
          </w:p>
        </w:tc>
        <w:tc>
          <w:tcPr>
            <w:tcW w:w="549" w:type="pct"/>
            <w:tcBorders>
              <w:top w:val="single" w:sz="4" w:space="0" w:color="AAAAAA"/>
              <w:left w:val="single" w:sz="4" w:space="0" w:color="AAAAAA"/>
              <w:bottom w:val="single" w:sz="4" w:space="0" w:color="AAAAAA"/>
              <w:right w:val="single" w:sz="4" w:space="0" w:color="AAAAAA"/>
            </w:tcBorders>
            <w:shd w:val="clear" w:color="000000" w:fill="FFFEFE"/>
            <w:noWrap/>
            <w:vAlign w:val="center"/>
            <w:hideMark/>
          </w:tcPr>
          <w:p w14:paraId="09F7A9FE"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+0.003</w:t>
            </w:r>
          </w:p>
        </w:tc>
        <w:tc>
          <w:tcPr>
            <w:tcW w:w="565" w:type="pct"/>
            <w:tcBorders>
              <w:top w:val="single" w:sz="4" w:space="0" w:color="AAAAAA"/>
              <w:left w:val="single" w:sz="4" w:space="0" w:color="AAAAAA"/>
              <w:bottom w:val="single" w:sz="4" w:space="0" w:color="AAAAAA"/>
              <w:right w:val="single" w:sz="4" w:space="0" w:color="AAAAAA"/>
            </w:tcBorders>
            <w:shd w:val="clear" w:color="000000" w:fill="EAACA2"/>
            <w:noWrap/>
            <w:vAlign w:val="center"/>
            <w:hideMark/>
          </w:tcPr>
          <w:p w14:paraId="7D411C02"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+0.157</w:t>
            </w:r>
          </w:p>
        </w:tc>
        <w:tc>
          <w:tcPr>
            <w:tcW w:w="533" w:type="pct"/>
            <w:tcBorders>
              <w:top w:val="single" w:sz="4" w:space="0" w:color="AAAAAA"/>
              <w:left w:val="single" w:sz="4" w:space="0" w:color="AAAAAA"/>
              <w:bottom w:val="nil"/>
              <w:right w:val="single" w:sz="4" w:space="0" w:color="AAAAAA"/>
            </w:tcBorders>
            <w:shd w:val="clear" w:color="000000" w:fill="F7DEDA"/>
            <w:noWrap/>
            <w:vAlign w:val="center"/>
            <w:hideMark/>
          </w:tcPr>
          <w:p w14:paraId="45DC7568"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+0.063</w:t>
            </w:r>
          </w:p>
        </w:tc>
        <w:tc>
          <w:tcPr>
            <w:tcW w:w="549" w:type="pct"/>
            <w:tcBorders>
              <w:top w:val="single" w:sz="4" w:space="0" w:color="AAAAAA"/>
              <w:left w:val="single" w:sz="4" w:space="0" w:color="AAAAAA"/>
              <w:bottom w:val="single" w:sz="4" w:space="0" w:color="AAAAAA"/>
              <w:right w:val="single" w:sz="4" w:space="0" w:color="AAAAAA"/>
            </w:tcBorders>
            <w:shd w:val="clear" w:color="000000" w:fill="FAEAE8"/>
            <w:noWrap/>
            <w:vAlign w:val="center"/>
            <w:hideMark/>
          </w:tcPr>
          <w:p w14:paraId="3590FA36"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+0.040</w:t>
            </w:r>
          </w:p>
        </w:tc>
        <w:tc>
          <w:tcPr>
            <w:tcW w:w="549" w:type="pct"/>
            <w:tcBorders>
              <w:top w:val="single" w:sz="4" w:space="0" w:color="AAAAAA"/>
              <w:left w:val="single" w:sz="4" w:space="0" w:color="AAAAAA"/>
              <w:bottom w:val="nil"/>
              <w:right w:val="single" w:sz="4" w:space="0" w:color="AAAAAA"/>
            </w:tcBorders>
            <w:shd w:val="clear" w:color="000000" w:fill="79A3CD"/>
            <w:noWrap/>
            <w:vAlign w:val="center"/>
            <w:hideMark/>
          </w:tcPr>
          <w:p w14:paraId="15DBC4E2"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-0.180</w:t>
            </w:r>
          </w:p>
        </w:tc>
        <w:tc>
          <w:tcPr>
            <w:tcW w:w="502" w:type="pct"/>
            <w:tcBorders>
              <w:top w:val="single" w:sz="4" w:space="0" w:color="AAAAAA"/>
              <w:left w:val="single" w:sz="4" w:space="0" w:color="AAAAAA"/>
              <w:bottom w:val="single" w:sz="4" w:space="0" w:color="AAAAAA"/>
              <w:right w:val="single" w:sz="4" w:space="0" w:color="auto"/>
            </w:tcBorders>
            <w:shd w:val="clear" w:color="000000" w:fill="FEF9F8"/>
            <w:noWrap/>
            <w:vAlign w:val="center"/>
            <w:hideMark/>
          </w:tcPr>
          <w:p w14:paraId="2B1CCEB8"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+0.013</w:t>
            </w:r>
          </w:p>
        </w:tc>
      </w:tr>
      <w:tr w:rsidR="005C7305" w:rsidRPr="005C7305" w14:paraId="320BFEDB" w14:textId="77777777" w:rsidTr="005C7305">
        <w:trPr>
          <w:trHeight w:val="551"/>
        </w:trPr>
        <w:tc>
          <w:tcPr>
            <w:tcW w:w="662" w:type="pct"/>
            <w:tcBorders>
              <w:top w:val="nil"/>
              <w:left w:val="single" w:sz="4" w:space="0" w:color="auto"/>
              <w:bottom w:val="nil"/>
              <w:right w:val="nil"/>
            </w:tcBorders>
            <w:shd w:val="clear" w:color="000000" w:fill="FFFFFF"/>
            <w:vAlign w:val="center"/>
            <w:hideMark/>
          </w:tcPr>
          <w:p w14:paraId="484468BD" w14:textId="77777777" w:rsidR="00A22074" w:rsidRPr="00A22074" w:rsidRDefault="00A22074" w:rsidP="00A22074">
            <w:pPr>
              <w:rPr>
                <w:rFonts w:ascii="Arial" w:hAnsi="Arial" w:cs="Arial"/>
                <w:b/>
                <w:bCs/>
                <w:color w:val="000000"/>
                <w:sz w:val="14"/>
                <w:szCs w:val="14"/>
                <w:lang w:val="en-IN" w:eastAsia="en-IN"/>
              </w:rPr>
            </w:pPr>
            <w:r w:rsidRPr="00A22074">
              <w:rPr>
                <w:rFonts w:ascii="Arial" w:hAnsi="Arial" w:cs="Arial"/>
                <w:b/>
                <w:bCs/>
                <w:color w:val="000000"/>
                <w:sz w:val="14"/>
                <w:szCs w:val="14"/>
                <w:lang w:val="en-IN" w:eastAsia="en-IN"/>
              </w:rPr>
              <w:t>Family type</w:t>
            </w:r>
          </w:p>
        </w:tc>
        <w:tc>
          <w:tcPr>
            <w:tcW w:w="543" w:type="pct"/>
            <w:tcBorders>
              <w:top w:val="single" w:sz="4" w:space="0" w:color="AAAAAA"/>
              <w:left w:val="nil"/>
              <w:bottom w:val="single" w:sz="4" w:space="0" w:color="AAAAAA"/>
              <w:right w:val="single" w:sz="4" w:space="0" w:color="AAAAAA"/>
            </w:tcBorders>
            <w:shd w:val="clear" w:color="000000" w:fill="BAD0E5"/>
            <w:noWrap/>
            <w:vAlign w:val="center"/>
            <w:hideMark/>
          </w:tcPr>
          <w:p w14:paraId="0372F03B"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-0.092</w:t>
            </w:r>
          </w:p>
        </w:tc>
        <w:tc>
          <w:tcPr>
            <w:tcW w:w="548" w:type="pct"/>
            <w:tcBorders>
              <w:top w:val="single" w:sz="4" w:space="0" w:color="AAAAAA"/>
              <w:left w:val="single" w:sz="4" w:space="0" w:color="AAAAAA"/>
              <w:bottom w:val="nil"/>
              <w:right w:val="single" w:sz="4" w:space="0" w:color="AAAAAA"/>
            </w:tcBorders>
            <w:shd w:val="clear" w:color="000000" w:fill="FEFEFE"/>
            <w:noWrap/>
            <w:vAlign w:val="center"/>
            <w:hideMark/>
          </w:tcPr>
          <w:p w14:paraId="6B76CB8B"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-0.001</w:t>
            </w:r>
          </w:p>
        </w:tc>
        <w:tc>
          <w:tcPr>
            <w:tcW w:w="549" w:type="pct"/>
            <w:tcBorders>
              <w:top w:val="single" w:sz="4" w:space="0" w:color="AAAAAA"/>
              <w:left w:val="single" w:sz="4" w:space="0" w:color="AAAAAA"/>
              <w:bottom w:val="single" w:sz="4" w:space="0" w:color="AAAAAA"/>
              <w:right w:val="single" w:sz="4" w:space="0" w:color="AAAAAA"/>
            </w:tcBorders>
            <w:shd w:val="clear" w:color="000000" w:fill="FDF6F5"/>
            <w:noWrap/>
            <w:vAlign w:val="center"/>
            <w:hideMark/>
          </w:tcPr>
          <w:p w14:paraId="476B719B"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+0.018</w:t>
            </w:r>
          </w:p>
        </w:tc>
        <w:tc>
          <w:tcPr>
            <w:tcW w:w="565" w:type="pct"/>
            <w:tcBorders>
              <w:top w:val="single" w:sz="4" w:space="0" w:color="AAAAAA"/>
              <w:left w:val="single" w:sz="4" w:space="0" w:color="AAAAAA"/>
              <w:bottom w:val="single" w:sz="4" w:space="0" w:color="AAAAAA"/>
              <w:right w:val="nil"/>
            </w:tcBorders>
            <w:shd w:val="clear" w:color="000000" w:fill="C8D9EA"/>
            <w:noWrap/>
            <w:vAlign w:val="center"/>
            <w:hideMark/>
          </w:tcPr>
          <w:p w14:paraId="7FF2268A"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-0.074</w:t>
            </w:r>
          </w:p>
        </w:tc>
        <w:tc>
          <w:tcPr>
            <w:tcW w:w="533" w:type="pct"/>
            <w:tcBorders>
              <w:top w:val="single" w:sz="12" w:space="0" w:color="963634"/>
              <w:left w:val="single" w:sz="12" w:space="0" w:color="963634"/>
              <w:bottom w:val="single" w:sz="12" w:space="0" w:color="963634"/>
              <w:right w:val="single" w:sz="12" w:space="0" w:color="963634"/>
            </w:tcBorders>
            <w:shd w:val="clear" w:color="000000" w:fill="DA9694"/>
            <w:noWrap/>
            <w:vAlign w:val="center"/>
            <w:hideMark/>
          </w:tcPr>
          <w:p w14:paraId="07BD772B"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+0.226*</w:t>
            </w:r>
          </w:p>
        </w:tc>
        <w:tc>
          <w:tcPr>
            <w:tcW w:w="549" w:type="pct"/>
            <w:tcBorders>
              <w:top w:val="single" w:sz="4" w:space="0" w:color="AAAAAA"/>
              <w:left w:val="nil"/>
              <w:bottom w:val="single" w:sz="4" w:space="0" w:color="AAAAAA"/>
              <w:right w:val="nil"/>
            </w:tcBorders>
            <w:shd w:val="clear" w:color="000000" w:fill="C6D7E9"/>
            <w:noWrap/>
            <w:vAlign w:val="center"/>
            <w:hideMark/>
          </w:tcPr>
          <w:p w14:paraId="0A9169FE"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-0.077</w:t>
            </w:r>
          </w:p>
        </w:tc>
        <w:tc>
          <w:tcPr>
            <w:tcW w:w="549" w:type="pct"/>
            <w:tcBorders>
              <w:top w:val="single" w:sz="12" w:space="0" w:color="A83D3A"/>
              <w:left w:val="single" w:sz="12" w:space="0" w:color="A83D3A"/>
              <w:bottom w:val="single" w:sz="12" w:space="0" w:color="A83D3A"/>
              <w:right w:val="single" w:sz="12" w:space="0" w:color="A83D3A"/>
            </w:tcBorders>
            <w:shd w:val="clear" w:color="000000" w:fill="DA9694"/>
            <w:noWrap/>
            <w:vAlign w:val="center"/>
            <w:hideMark/>
          </w:tcPr>
          <w:p w14:paraId="079BDFB0"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+0.216*</w:t>
            </w:r>
          </w:p>
        </w:tc>
        <w:tc>
          <w:tcPr>
            <w:tcW w:w="502" w:type="pct"/>
            <w:tcBorders>
              <w:top w:val="single" w:sz="4" w:space="0" w:color="AAAAAA"/>
              <w:left w:val="nil"/>
              <w:bottom w:val="single" w:sz="4" w:space="0" w:color="AAAAAA"/>
              <w:right w:val="single" w:sz="4" w:space="0" w:color="auto"/>
            </w:tcBorders>
            <w:shd w:val="clear" w:color="000000" w:fill="F9E8E5"/>
            <w:noWrap/>
            <w:vAlign w:val="center"/>
            <w:hideMark/>
          </w:tcPr>
          <w:p w14:paraId="01E10F13"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+0.044</w:t>
            </w:r>
          </w:p>
        </w:tc>
      </w:tr>
      <w:tr w:rsidR="005C7305" w:rsidRPr="005C7305" w14:paraId="649041A9" w14:textId="77777777" w:rsidTr="005C7305">
        <w:trPr>
          <w:trHeight w:val="649"/>
        </w:trPr>
        <w:tc>
          <w:tcPr>
            <w:tcW w:w="662" w:type="pct"/>
            <w:tcBorders>
              <w:top w:val="nil"/>
              <w:left w:val="single" w:sz="4" w:space="0" w:color="auto"/>
              <w:bottom w:val="single" w:sz="4" w:space="0" w:color="auto"/>
              <w:right w:val="nil"/>
            </w:tcBorders>
            <w:shd w:val="clear" w:color="000000" w:fill="FFFFFF"/>
            <w:vAlign w:val="center"/>
            <w:hideMark/>
          </w:tcPr>
          <w:p w14:paraId="113CDED2" w14:textId="77777777" w:rsidR="00A22074" w:rsidRPr="00A22074" w:rsidRDefault="00A22074" w:rsidP="00A22074">
            <w:pPr>
              <w:rPr>
                <w:rFonts w:ascii="Arial" w:hAnsi="Arial" w:cs="Arial"/>
                <w:b/>
                <w:bCs/>
                <w:color w:val="000000"/>
                <w:sz w:val="14"/>
                <w:szCs w:val="14"/>
                <w:lang w:val="en-IN" w:eastAsia="en-IN"/>
              </w:rPr>
            </w:pPr>
            <w:r w:rsidRPr="00A22074">
              <w:rPr>
                <w:rFonts w:ascii="Arial" w:hAnsi="Arial" w:cs="Arial"/>
                <w:b/>
                <w:bCs/>
                <w:color w:val="000000"/>
                <w:sz w:val="14"/>
                <w:szCs w:val="14"/>
                <w:lang w:val="en-IN" w:eastAsia="en-IN"/>
              </w:rPr>
              <w:t>Source of credit</w:t>
            </w:r>
          </w:p>
        </w:tc>
        <w:tc>
          <w:tcPr>
            <w:tcW w:w="543" w:type="pct"/>
            <w:tcBorders>
              <w:top w:val="single" w:sz="4" w:space="0" w:color="AAAAAA"/>
              <w:left w:val="nil"/>
              <w:bottom w:val="single" w:sz="4" w:space="0" w:color="auto"/>
              <w:right w:val="nil"/>
            </w:tcBorders>
            <w:shd w:val="clear" w:color="000000" w:fill="B7CDE4"/>
            <w:noWrap/>
            <w:vAlign w:val="center"/>
            <w:hideMark/>
          </w:tcPr>
          <w:p w14:paraId="673CDECD"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-0.097</w:t>
            </w:r>
          </w:p>
        </w:tc>
        <w:tc>
          <w:tcPr>
            <w:tcW w:w="548" w:type="pct"/>
            <w:tcBorders>
              <w:top w:val="single" w:sz="12" w:space="0" w:color="366092"/>
              <w:left w:val="single" w:sz="12" w:space="0" w:color="366092"/>
              <w:bottom w:val="single" w:sz="4" w:space="0" w:color="auto"/>
              <w:right w:val="single" w:sz="12" w:space="0" w:color="366092"/>
            </w:tcBorders>
            <w:shd w:val="clear" w:color="000000" w:fill="538DD5"/>
            <w:noWrap/>
            <w:vAlign w:val="center"/>
            <w:hideMark/>
          </w:tcPr>
          <w:p w14:paraId="253C4760" w14:textId="77777777" w:rsidR="00A22074" w:rsidRPr="00A22074" w:rsidRDefault="00A22074" w:rsidP="00A22074">
            <w:pPr>
              <w:jc w:val="center"/>
              <w:rPr>
                <w:rFonts w:ascii="Arial" w:hAnsi="Arial" w:cs="Arial"/>
                <w:b/>
                <w:bCs/>
                <w:sz w:val="14"/>
                <w:szCs w:val="14"/>
                <w:lang w:val="en-IN" w:eastAsia="en-IN"/>
              </w:rPr>
            </w:pPr>
            <w:r w:rsidRPr="00A22074">
              <w:rPr>
                <w:rFonts w:ascii="Arial" w:hAnsi="Arial" w:cs="Arial"/>
                <w:b/>
                <w:bCs/>
                <w:sz w:val="14"/>
                <w:szCs w:val="14"/>
                <w:lang w:val="en-IN" w:eastAsia="en-IN"/>
              </w:rPr>
              <w:t>-0.225*</w:t>
            </w:r>
          </w:p>
        </w:tc>
        <w:tc>
          <w:tcPr>
            <w:tcW w:w="549" w:type="pct"/>
            <w:tcBorders>
              <w:top w:val="single" w:sz="4" w:space="0" w:color="AAAAAA"/>
              <w:left w:val="nil"/>
              <w:bottom w:val="single" w:sz="4" w:space="0" w:color="auto"/>
              <w:right w:val="single" w:sz="4" w:space="0" w:color="AAAAAA"/>
            </w:tcBorders>
            <w:shd w:val="clear" w:color="000000" w:fill="B5CCE3"/>
            <w:noWrap/>
            <w:vAlign w:val="center"/>
            <w:hideMark/>
          </w:tcPr>
          <w:p w14:paraId="148AECBE"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-0.099</w:t>
            </w:r>
          </w:p>
        </w:tc>
        <w:tc>
          <w:tcPr>
            <w:tcW w:w="565" w:type="pct"/>
            <w:tcBorders>
              <w:top w:val="single" w:sz="4" w:space="0" w:color="AAAAAA"/>
              <w:left w:val="single" w:sz="4" w:space="0" w:color="AAAAAA"/>
              <w:bottom w:val="single" w:sz="4" w:space="0" w:color="auto"/>
              <w:right w:val="single" w:sz="4" w:space="0" w:color="AAAAAA"/>
            </w:tcBorders>
            <w:shd w:val="clear" w:color="000000" w:fill="EDB7AE"/>
            <w:noWrap/>
            <w:vAlign w:val="center"/>
            <w:hideMark/>
          </w:tcPr>
          <w:p w14:paraId="30A8F7B6"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+0.137</w:t>
            </w:r>
          </w:p>
        </w:tc>
        <w:tc>
          <w:tcPr>
            <w:tcW w:w="533" w:type="pct"/>
            <w:tcBorders>
              <w:top w:val="nil"/>
              <w:left w:val="single" w:sz="4" w:space="0" w:color="AAAAAA"/>
              <w:bottom w:val="single" w:sz="4" w:space="0" w:color="auto"/>
              <w:right w:val="single" w:sz="4" w:space="0" w:color="AAAAAA"/>
            </w:tcBorders>
            <w:shd w:val="clear" w:color="000000" w:fill="FDF5F4"/>
            <w:noWrap/>
            <w:vAlign w:val="center"/>
            <w:hideMark/>
          </w:tcPr>
          <w:p w14:paraId="5D33CDEB"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+0.020</w:t>
            </w:r>
          </w:p>
        </w:tc>
        <w:tc>
          <w:tcPr>
            <w:tcW w:w="549" w:type="pct"/>
            <w:tcBorders>
              <w:top w:val="single" w:sz="4" w:space="0" w:color="AAAAAA"/>
              <w:left w:val="single" w:sz="4" w:space="0" w:color="AAAAAA"/>
              <w:bottom w:val="single" w:sz="4" w:space="0" w:color="auto"/>
              <w:right w:val="single" w:sz="4" w:space="0" w:color="AAAAAA"/>
            </w:tcBorders>
            <w:shd w:val="clear" w:color="000000" w:fill="F6DCD8"/>
            <w:noWrap/>
            <w:vAlign w:val="center"/>
            <w:hideMark/>
          </w:tcPr>
          <w:p w14:paraId="276F912E"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+0.067</w:t>
            </w:r>
          </w:p>
        </w:tc>
        <w:tc>
          <w:tcPr>
            <w:tcW w:w="549" w:type="pct"/>
            <w:tcBorders>
              <w:top w:val="nil"/>
              <w:left w:val="single" w:sz="4" w:space="0" w:color="AAAAAA"/>
              <w:bottom w:val="single" w:sz="4" w:space="0" w:color="auto"/>
              <w:right w:val="single" w:sz="4" w:space="0" w:color="AAAAAA"/>
            </w:tcBorders>
            <w:shd w:val="clear" w:color="000000" w:fill="B7CDE4"/>
            <w:noWrap/>
            <w:vAlign w:val="center"/>
            <w:hideMark/>
          </w:tcPr>
          <w:p w14:paraId="7E215F42"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-0.097</w:t>
            </w:r>
          </w:p>
        </w:tc>
        <w:tc>
          <w:tcPr>
            <w:tcW w:w="502" w:type="pct"/>
            <w:tcBorders>
              <w:top w:val="single" w:sz="4" w:space="0" w:color="AAAAAA"/>
              <w:left w:val="single" w:sz="4" w:space="0" w:color="AAAAAA"/>
              <w:bottom w:val="single" w:sz="4" w:space="0" w:color="auto"/>
              <w:right w:val="single" w:sz="4" w:space="0" w:color="auto"/>
            </w:tcBorders>
            <w:shd w:val="clear" w:color="000000" w:fill="90B3D5"/>
            <w:noWrap/>
            <w:vAlign w:val="center"/>
            <w:hideMark/>
          </w:tcPr>
          <w:p w14:paraId="6150671A" w14:textId="77777777" w:rsidR="00A22074" w:rsidRPr="00A22074" w:rsidRDefault="00A22074" w:rsidP="00A22074">
            <w:pPr>
              <w:jc w:val="center"/>
              <w:rPr>
                <w:rFonts w:ascii="Arial" w:hAnsi="Arial" w:cs="Arial"/>
                <w:sz w:val="14"/>
                <w:szCs w:val="14"/>
                <w:lang w:val="en-IN" w:eastAsia="en-IN"/>
              </w:rPr>
            </w:pPr>
            <w:r w:rsidRPr="00A22074">
              <w:rPr>
                <w:rFonts w:ascii="Arial" w:hAnsi="Arial" w:cs="Arial"/>
                <w:sz w:val="14"/>
                <w:szCs w:val="14"/>
                <w:lang w:val="en-IN" w:eastAsia="en-IN"/>
              </w:rPr>
              <w:t>-0.149</w:t>
            </w:r>
          </w:p>
        </w:tc>
      </w:tr>
      <w:tr w:rsidR="00A22074" w:rsidRPr="00A22074" w14:paraId="1985B314" w14:textId="77777777" w:rsidTr="006306F2">
        <w:trPr>
          <w:trHeight w:val="440"/>
        </w:trPr>
        <w:tc>
          <w:tcPr>
            <w:tcW w:w="5000" w:type="pct"/>
            <w:gridSpan w:val="9"/>
            <w:tcBorders>
              <w:top w:val="nil"/>
              <w:left w:val="nil"/>
              <w:bottom w:val="nil"/>
              <w:right w:val="nil"/>
            </w:tcBorders>
            <w:vAlign w:val="center"/>
            <w:hideMark/>
          </w:tcPr>
          <w:p w14:paraId="0D33DBD8" w14:textId="77777777" w:rsidR="00A22074" w:rsidRPr="00A22074" w:rsidRDefault="00A22074" w:rsidP="00A22074">
            <w:pPr>
              <w:rPr>
                <w:rFonts w:ascii="Arial" w:hAnsi="Arial" w:cs="Arial"/>
                <w:i/>
                <w:iCs/>
                <w:color w:val="444444"/>
                <w:sz w:val="18"/>
                <w:szCs w:val="18"/>
                <w:lang w:val="en-IN" w:eastAsia="en-IN"/>
              </w:rPr>
            </w:pPr>
            <w:r w:rsidRPr="00A22074">
              <w:rPr>
                <w:rFonts w:ascii="Arial" w:hAnsi="Arial" w:cs="Arial"/>
                <w:i/>
                <w:iCs/>
                <w:color w:val="444444"/>
                <w:sz w:val="18"/>
                <w:szCs w:val="18"/>
                <w:lang w:val="en-IN" w:eastAsia="en-IN"/>
              </w:rPr>
              <w:t>Colour scale: Blue = negative correlation    White = zero    Red = positive correlation    ** P &lt; 0.01    * P &lt; 0.05    Bold = statistically significant</w:t>
            </w:r>
          </w:p>
        </w:tc>
      </w:tr>
      <w:tr w:rsidR="00A22074" w:rsidRPr="00A22074" w14:paraId="14B0AE6D" w14:textId="77777777" w:rsidTr="006306F2">
        <w:trPr>
          <w:trHeight w:val="352"/>
        </w:trPr>
        <w:tc>
          <w:tcPr>
            <w:tcW w:w="5000" w:type="pct"/>
            <w:gridSpan w:val="9"/>
            <w:tcBorders>
              <w:top w:val="nil"/>
              <w:left w:val="nil"/>
              <w:bottom w:val="nil"/>
              <w:right w:val="nil"/>
            </w:tcBorders>
            <w:vAlign w:val="center"/>
            <w:hideMark/>
          </w:tcPr>
          <w:p w14:paraId="3933D64A" w14:textId="0600047B" w:rsidR="00A22074" w:rsidRPr="00A22074" w:rsidRDefault="00A22074" w:rsidP="00A22074">
            <w:pPr>
              <w:rPr>
                <w:rFonts w:ascii="Arial" w:hAnsi="Arial" w:cs="Arial"/>
                <w:i/>
                <w:iCs/>
                <w:color w:val="444444"/>
                <w:sz w:val="18"/>
                <w:szCs w:val="18"/>
                <w:lang w:val="en-IN" w:eastAsia="en-IN"/>
              </w:rPr>
            </w:pPr>
            <w:r w:rsidRPr="00A22074">
              <w:rPr>
                <w:rFonts w:ascii="Arial" w:hAnsi="Arial" w:cs="Arial"/>
                <w:i/>
                <w:iCs/>
                <w:color w:val="444444"/>
                <w:sz w:val="18"/>
                <w:szCs w:val="18"/>
                <w:lang w:val="en-IN" w:eastAsia="en-IN"/>
              </w:rPr>
              <w:t>Computed from primary survey data (N = 90)</w:t>
            </w:r>
            <w:r w:rsidR="00363602">
              <w:rPr>
                <w:rFonts w:ascii="Arial" w:hAnsi="Arial" w:cs="Arial"/>
                <w:i/>
                <w:iCs/>
                <w:color w:val="444444"/>
                <w:sz w:val="18"/>
                <w:szCs w:val="18"/>
                <w:lang w:val="en-IN" w:eastAsia="en-IN"/>
              </w:rPr>
              <w:t>.</w:t>
            </w:r>
            <w:r w:rsidR="00363602" w:rsidRPr="00BE3C71">
              <w:rPr>
                <w:rFonts w:ascii="Arial" w:eastAsia="Arial" w:hAnsi="Arial" w:cs="Arial"/>
                <w:i/>
                <w:iCs/>
                <w:color w:val="000000"/>
                <w:lang w:val="en-IN" w:eastAsia="en-IN" w:bidi="ml-IN"/>
              </w:rPr>
              <w:t xml:space="preserve"> </w:t>
            </w:r>
            <w:r w:rsidR="00363602" w:rsidRPr="00363602">
              <w:rPr>
                <w:rFonts w:ascii="Arial" w:hAnsi="Arial" w:cs="Arial"/>
                <w:i/>
                <w:iCs/>
                <w:color w:val="444444"/>
                <w:sz w:val="18"/>
                <w:szCs w:val="18"/>
                <w:lang w:val="en-IN" w:eastAsia="en-IN"/>
              </w:rPr>
              <w:t xml:space="preserve"> Chart/graph/Image generated using </w:t>
            </w:r>
            <w:proofErr w:type="gramStart"/>
            <w:r w:rsidR="00363602" w:rsidRPr="00363602">
              <w:rPr>
                <w:rFonts w:ascii="Arial" w:hAnsi="Arial" w:cs="Arial"/>
                <w:i/>
                <w:iCs/>
                <w:color w:val="444444"/>
                <w:sz w:val="18"/>
                <w:szCs w:val="18"/>
                <w:lang w:val="en-IN" w:eastAsia="en-IN"/>
              </w:rPr>
              <w:t>Microsoft  excel</w:t>
            </w:r>
            <w:proofErr w:type="gramEnd"/>
            <w:r w:rsidR="00363602">
              <w:rPr>
                <w:rFonts w:ascii="Arial" w:hAnsi="Arial" w:cs="Arial"/>
                <w:i/>
                <w:iCs/>
                <w:color w:val="444444"/>
                <w:sz w:val="18"/>
                <w:szCs w:val="18"/>
                <w:lang w:val="en-IN" w:eastAsia="en-IN"/>
              </w:rPr>
              <w:t>.</w:t>
            </w:r>
          </w:p>
        </w:tc>
      </w:tr>
    </w:tbl>
    <w:p w14:paraId="7313207A" w14:textId="77777777" w:rsidR="00314EB7" w:rsidRPr="005C7305" w:rsidRDefault="00314EB7" w:rsidP="00441B6F">
      <w:pPr>
        <w:jc w:val="both"/>
        <w:rPr>
          <w:rFonts w:ascii="Arial" w:hAnsi="Arial" w:cs="Arial"/>
          <w:u w:val="single"/>
          <w:lang w:val="en-GB" w:eastAsia="en-GB"/>
        </w:rPr>
      </w:pPr>
    </w:p>
    <w:p w14:paraId="3585801D" w14:textId="614FAD27" w:rsidR="00314EB7" w:rsidRPr="005C7305" w:rsidRDefault="00896342" w:rsidP="00441B6F">
      <w:pPr>
        <w:jc w:val="both"/>
        <w:rPr>
          <w:rFonts w:ascii="Arial" w:hAnsi="Arial" w:cs="Arial"/>
          <w:u w:val="single"/>
          <w:lang w:val="en-GB" w:eastAsia="en-GB"/>
        </w:rPr>
      </w:pPr>
      <w:r w:rsidRPr="005C7305">
        <w:rPr>
          <w:rFonts w:ascii="Arial" w:hAnsi="Arial" w:cs="Arial"/>
          <w:b/>
          <w:bCs/>
          <w:color w:val="000000"/>
        </w:rPr>
        <w:t xml:space="preserve">Fig 3. </w:t>
      </w:r>
      <w:r w:rsidR="008C1D4E" w:rsidRPr="005C7305">
        <w:rPr>
          <w:rFonts w:ascii="Arial" w:hAnsi="Arial" w:cs="Arial"/>
          <w:b/>
          <w:bCs/>
          <w:color w:val="000000"/>
        </w:rPr>
        <w:t xml:space="preserve">Significant correlation between </w:t>
      </w:r>
      <w:r w:rsidR="00363602">
        <w:rPr>
          <w:rFonts w:ascii="Arial" w:hAnsi="Arial" w:cs="Arial"/>
          <w:b/>
          <w:bCs/>
          <w:color w:val="000000"/>
        </w:rPr>
        <w:t>s</w:t>
      </w:r>
      <w:r w:rsidR="008C1D4E" w:rsidRPr="005C7305">
        <w:rPr>
          <w:rFonts w:ascii="Arial" w:hAnsi="Arial" w:cs="Arial"/>
          <w:b/>
          <w:bCs/>
          <w:color w:val="000000"/>
        </w:rPr>
        <w:t xml:space="preserve">ocio economic variables and SLSI </w:t>
      </w:r>
      <w:proofErr w:type="spellStart"/>
      <w:r w:rsidR="008C1D4E" w:rsidRPr="005C7305">
        <w:rPr>
          <w:rFonts w:ascii="Arial" w:hAnsi="Arial" w:cs="Arial"/>
          <w:b/>
          <w:bCs/>
          <w:color w:val="000000"/>
        </w:rPr>
        <w:t>sub indices</w:t>
      </w:r>
      <w:proofErr w:type="spellEnd"/>
      <w:r w:rsidR="0061378C" w:rsidRPr="005C7305">
        <w:rPr>
          <w:rFonts w:ascii="Arial" w:hAnsi="Arial" w:cs="Arial"/>
          <w:b/>
          <w:bCs/>
          <w:color w:val="000000"/>
        </w:rPr>
        <w:t xml:space="preserve"> (N=90)</w:t>
      </w:r>
    </w:p>
    <w:p w14:paraId="7A08E072" w14:textId="46032764" w:rsidR="00AC76A8" w:rsidRPr="005C7305" w:rsidRDefault="00025029" w:rsidP="00441B6F">
      <w:pPr>
        <w:jc w:val="both"/>
        <w:rPr>
          <w:rFonts w:ascii="Arial" w:hAnsi="Arial" w:cs="Arial"/>
          <w:u w:val="single"/>
          <w:lang w:eastAsia="en-GB"/>
        </w:rPr>
      </w:pPr>
      <w:r w:rsidRPr="005C7305">
        <w:rPr>
          <w:rFonts w:ascii="Arial" w:hAnsi="Arial" w:cs="Arial"/>
          <w:noProof/>
        </w:rPr>
        <w:drawing>
          <wp:inline distT="0" distB="0" distL="0" distR="0" wp14:anchorId="50CF6BBC" wp14:editId="47216E0C">
            <wp:extent cx="5200275" cy="2456953"/>
            <wp:effectExtent l="0" t="0" r="635" b="635"/>
            <wp:docPr id="1468535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6138" cy="2459723"/>
                    </a:xfrm>
                    <a:prstGeom prst="rect">
                      <a:avLst/>
                    </a:prstGeom>
                    <a:noFill/>
                    <a:ln>
                      <a:noFill/>
                    </a:ln>
                  </pic:spPr>
                </pic:pic>
              </a:graphicData>
            </a:graphic>
          </wp:inline>
        </w:drawing>
      </w:r>
    </w:p>
    <w:p w14:paraId="664D51D6" w14:textId="506379D8" w:rsidR="00025029" w:rsidRPr="005C7305" w:rsidRDefault="00025029" w:rsidP="00025029">
      <w:pPr>
        <w:rPr>
          <w:rFonts w:ascii="Arial" w:hAnsi="Arial" w:cs="Arial"/>
          <w:i/>
          <w:iCs/>
          <w:sz w:val="18"/>
          <w:szCs w:val="18"/>
          <w:lang w:eastAsia="en-GB"/>
        </w:rPr>
      </w:pPr>
      <w:r w:rsidRPr="005C7305">
        <w:rPr>
          <w:rFonts w:ascii="Arial" w:hAnsi="Arial" w:cs="Arial"/>
          <w:i/>
          <w:iCs/>
          <w:sz w:val="18"/>
          <w:szCs w:val="18"/>
          <w:lang w:eastAsia="en-GB"/>
        </w:rPr>
        <w:t>Note:</w:t>
      </w:r>
      <w:r w:rsidRPr="005C7305">
        <w:rPr>
          <w:rFonts w:ascii="Arial" w:hAnsi="Arial" w:cs="Arial"/>
          <w:i/>
          <w:iCs/>
          <w:sz w:val="18"/>
          <w:szCs w:val="18"/>
        </w:rPr>
        <w:t xml:space="preserve"> </w:t>
      </w:r>
      <w:r w:rsidRPr="005C7305">
        <w:rPr>
          <w:rFonts w:ascii="Arial" w:hAnsi="Arial" w:cs="Arial"/>
          <w:i/>
          <w:iCs/>
          <w:sz w:val="18"/>
          <w:szCs w:val="18"/>
          <w:lang w:eastAsia="en-GB"/>
        </w:rPr>
        <w:t>*p &lt; .05; **p &lt; .01</w:t>
      </w:r>
      <w:r w:rsidR="00363602">
        <w:rPr>
          <w:rFonts w:ascii="Arial" w:hAnsi="Arial" w:cs="Arial"/>
          <w:i/>
          <w:iCs/>
          <w:sz w:val="18"/>
          <w:szCs w:val="18"/>
          <w:lang w:eastAsia="en-GB"/>
        </w:rPr>
        <w:t xml:space="preserve">. </w:t>
      </w:r>
      <w:r w:rsidR="00363602" w:rsidRPr="00363602">
        <w:rPr>
          <w:rFonts w:ascii="Arial" w:hAnsi="Arial" w:cs="Arial"/>
          <w:i/>
          <w:iCs/>
          <w:color w:val="444444"/>
          <w:sz w:val="18"/>
          <w:szCs w:val="18"/>
          <w:lang w:val="en-IN" w:eastAsia="en-IN"/>
        </w:rPr>
        <w:t xml:space="preserve">Chart/graph/Image generated using </w:t>
      </w:r>
      <w:proofErr w:type="gramStart"/>
      <w:r w:rsidR="00363602" w:rsidRPr="00363602">
        <w:rPr>
          <w:rFonts w:ascii="Arial" w:hAnsi="Arial" w:cs="Arial"/>
          <w:i/>
          <w:iCs/>
          <w:color w:val="444444"/>
          <w:sz w:val="18"/>
          <w:szCs w:val="18"/>
          <w:lang w:val="en-IN" w:eastAsia="en-IN"/>
        </w:rPr>
        <w:t>Microsoft  excel</w:t>
      </w:r>
      <w:proofErr w:type="gramEnd"/>
    </w:p>
    <w:p w14:paraId="41976150" w14:textId="4BA3C753" w:rsidR="004F0A6D" w:rsidRPr="005C7305" w:rsidRDefault="004F0A6D" w:rsidP="004F0A6D">
      <w:pPr>
        <w:pStyle w:val="Heading1"/>
        <w:rPr>
          <w:rFonts w:eastAsia="Arial" w:cs="Arial"/>
          <w:bCs/>
          <w:sz w:val="22"/>
          <w:szCs w:val="22"/>
        </w:rPr>
      </w:pPr>
      <w:r w:rsidRPr="005C7305">
        <w:rPr>
          <w:rFonts w:eastAsia="Arial" w:cs="Arial"/>
          <w:bCs/>
          <w:sz w:val="22"/>
          <w:szCs w:val="22"/>
        </w:rPr>
        <w:t xml:space="preserve">4. </w:t>
      </w:r>
      <w:r w:rsidR="00F25403" w:rsidRPr="005C7305">
        <w:rPr>
          <w:rFonts w:eastAsia="Arial" w:cs="Arial"/>
          <w:bCs/>
          <w:sz w:val="22"/>
          <w:szCs w:val="22"/>
        </w:rPr>
        <w:t xml:space="preserve">CONCLUSION, POLICY IMPLICATIONS AND LIMITATIONS </w:t>
      </w:r>
      <w:r w:rsidRPr="005C7305">
        <w:rPr>
          <w:rFonts w:eastAsia="Arial" w:cs="Arial"/>
          <w:bCs/>
          <w:sz w:val="22"/>
          <w:szCs w:val="22"/>
        </w:rPr>
        <w:t>CONCLUSION</w:t>
      </w:r>
    </w:p>
    <w:p w14:paraId="7B844794" w14:textId="77777777" w:rsidR="00F25403" w:rsidRPr="005C7305" w:rsidRDefault="00F25403" w:rsidP="00F25403">
      <w:pPr>
        <w:rPr>
          <w:rFonts w:ascii="Arial" w:eastAsia="Arial" w:hAnsi="Arial" w:cs="Arial"/>
        </w:rPr>
      </w:pPr>
    </w:p>
    <w:p w14:paraId="64DBCECA" w14:textId="192C2099" w:rsidR="00F25403" w:rsidRPr="005C7305" w:rsidRDefault="00F25403" w:rsidP="00F25403">
      <w:pPr>
        <w:rPr>
          <w:rFonts w:ascii="Arial" w:eastAsia="Arial" w:hAnsi="Arial" w:cs="Arial"/>
          <w:b/>
          <w:bCs/>
          <w:color w:val="000000"/>
          <w:lang w:val="en-IN"/>
        </w:rPr>
      </w:pPr>
      <w:r w:rsidRPr="005C7305">
        <w:rPr>
          <w:rFonts w:ascii="Arial" w:eastAsia="Arial" w:hAnsi="Arial" w:cs="Arial"/>
          <w:b/>
          <w:bCs/>
          <w:color w:val="000000"/>
          <w:lang w:val="en-IN"/>
        </w:rPr>
        <w:t>4.1 Conclusion</w:t>
      </w:r>
    </w:p>
    <w:p w14:paraId="4BCB9564" w14:textId="77777777" w:rsidR="00F25403" w:rsidRPr="005C7305" w:rsidRDefault="00F25403" w:rsidP="00F25403">
      <w:pPr>
        <w:rPr>
          <w:rFonts w:ascii="Arial" w:hAnsi="Arial" w:cs="Arial"/>
        </w:rPr>
      </w:pPr>
    </w:p>
    <w:p w14:paraId="677D031E" w14:textId="04F2638A" w:rsidR="004F0A6D" w:rsidRPr="005C7305" w:rsidRDefault="004F0A6D" w:rsidP="00B80404">
      <w:pPr>
        <w:spacing w:after="120"/>
        <w:jc w:val="both"/>
        <w:rPr>
          <w:rFonts w:ascii="Arial" w:eastAsia="Arial" w:hAnsi="Arial" w:cs="Arial"/>
          <w:color w:val="000000"/>
        </w:rPr>
      </w:pPr>
      <w:r w:rsidRPr="005C7305">
        <w:rPr>
          <w:rFonts w:ascii="Arial" w:eastAsia="Arial" w:hAnsi="Arial" w:cs="Arial"/>
          <w:color w:val="000000"/>
        </w:rPr>
        <w:t xml:space="preserve">This study provides comprehensive sub-index level SLSI analysis for rice-based IFS farmers in </w:t>
      </w:r>
      <w:proofErr w:type="spellStart"/>
      <w:r w:rsidRPr="005C7305">
        <w:rPr>
          <w:rFonts w:ascii="Arial" w:eastAsia="Arial" w:hAnsi="Arial" w:cs="Arial"/>
          <w:color w:val="000000"/>
        </w:rPr>
        <w:t>Kuttanad's</w:t>
      </w:r>
      <w:proofErr w:type="spellEnd"/>
      <w:r w:rsidRPr="005C7305">
        <w:rPr>
          <w:rFonts w:ascii="Arial" w:eastAsia="Arial" w:hAnsi="Arial" w:cs="Arial"/>
          <w:color w:val="000000"/>
        </w:rPr>
        <w:t xml:space="preserve"> below sea-level farming ecosystem. The overall SLSI of 0.763 indicates medium-to-high livelihood security. Habitat, social, and education security were strongest, indicating the regions strong public service infrastructure. Environmental security (0.511) and food security (0.605) were the most vulnerable dimensions, </w:t>
      </w:r>
      <w:r w:rsidR="00141D46">
        <w:rPr>
          <w:rFonts w:ascii="Arial" w:eastAsia="Arial" w:hAnsi="Arial" w:cs="Arial"/>
          <w:color w:val="000000"/>
        </w:rPr>
        <w:t>that require urgent</w:t>
      </w:r>
      <w:r w:rsidRPr="005C7305">
        <w:rPr>
          <w:rFonts w:ascii="Arial" w:eastAsia="Arial" w:hAnsi="Arial" w:cs="Arial"/>
          <w:color w:val="000000"/>
        </w:rPr>
        <w:t xml:space="preserve"> intervention. Six </w:t>
      </w:r>
      <w:r w:rsidRPr="005C7305">
        <w:rPr>
          <w:rFonts w:ascii="Arial" w:eastAsia="Arial" w:hAnsi="Arial" w:cs="Arial"/>
          <w:color w:val="000000"/>
        </w:rPr>
        <w:lastRenderedPageBreak/>
        <w:t>significant sub-index level correlations were identified: credit acquisition with food security and education security; social participation with occupational security; source of credit with occupational security; and family type with social and environmental security. None of the socioeconomic variables significantly predicted overall SLSI, indicating broadly equitable livelihood outcomes across socioeconomic subgroups in this community.</w:t>
      </w:r>
    </w:p>
    <w:p w14:paraId="02381A6B" w14:textId="77777777" w:rsidR="00F25403" w:rsidRPr="005C7305" w:rsidRDefault="00F25403" w:rsidP="00F25403">
      <w:pPr>
        <w:spacing w:after="120"/>
        <w:jc w:val="both"/>
        <w:rPr>
          <w:rFonts w:ascii="Arial" w:eastAsia="Arial" w:hAnsi="Arial" w:cs="Arial"/>
          <w:b/>
          <w:bCs/>
          <w:color w:val="000000"/>
          <w:lang w:val="en-IN"/>
        </w:rPr>
      </w:pPr>
      <w:r w:rsidRPr="005C7305">
        <w:rPr>
          <w:rFonts w:ascii="Arial" w:eastAsia="Arial" w:hAnsi="Arial" w:cs="Arial"/>
          <w:b/>
          <w:bCs/>
          <w:color w:val="000000"/>
          <w:lang w:val="en-IN"/>
        </w:rPr>
        <w:t>4.2 Policy Implications</w:t>
      </w:r>
    </w:p>
    <w:p w14:paraId="46802BB7" w14:textId="28615914" w:rsidR="00F25403" w:rsidRPr="005C7305" w:rsidRDefault="00F25403" w:rsidP="00F25403">
      <w:pPr>
        <w:spacing w:after="120"/>
        <w:jc w:val="both"/>
        <w:rPr>
          <w:rFonts w:ascii="Arial" w:eastAsia="Arial" w:hAnsi="Arial" w:cs="Arial"/>
          <w:lang w:val="en-IN"/>
        </w:rPr>
      </w:pPr>
      <w:r w:rsidRPr="005C7305">
        <w:rPr>
          <w:rFonts w:ascii="Arial" w:eastAsia="Arial" w:hAnsi="Arial" w:cs="Arial"/>
          <w:color w:val="000000"/>
          <w:lang w:val="en-IN"/>
        </w:rPr>
        <w:t xml:space="preserve">The findings of this study have direct implications for agricultural policy, </w:t>
      </w:r>
      <w:r w:rsidR="00964AF9">
        <w:rPr>
          <w:rFonts w:ascii="Arial" w:eastAsia="Arial" w:hAnsi="Arial" w:cs="Arial"/>
          <w:color w:val="000000"/>
          <w:lang w:val="en-IN"/>
        </w:rPr>
        <w:t xml:space="preserve">strengthening </w:t>
      </w:r>
      <w:r w:rsidRPr="005C7305">
        <w:rPr>
          <w:rFonts w:ascii="Arial" w:eastAsia="Arial" w:hAnsi="Arial" w:cs="Arial"/>
          <w:color w:val="000000"/>
          <w:lang w:val="en-IN"/>
        </w:rPr>
        <w:t xml:space="preserve">extension </w:t>
      </w:r>
      <w:r w:rsidR="00964AF9">
        <w:rPr>
          <w:rFonts w:ascii="Arial" w:eastAsia="Arial" w:hAnsi="Arial" w:cs="Arial"/>
          <w:color w:val="000000"/>
          <w:lang w:val="en-IN"/>
        </w:rPr>
        <w:t>base</w:t>
      </w:r>
      <w:r w:rsidRPr="005C7305">
        <w:rPr>
          <w:rFonts w:ascii="Arial" w:eastAsia="Arial" w:hAnsi="Arial" w:cs="Arial"/>
          <w:color w:val="000000"/>
          <w:lang w:val="en-IN"/>
        </w:rPr>
        <w:t xml:space="preserve">, and rural development planning in </w:t>
      </w:r>
      <w:proofErr w:type="spellStart"/>
      <w:r w:rsidRPr="005C7305">
        <w:rPr>
          <w:rFonts w:ascii="Arial" w:eastAsia="Arial" w:hAnsi="Arial" w:cs="Arial"/>
          <w:color w:val="000000"/>
          <w:lang w:val="en-IN"/>
        </w:rPr>
        <w:t>Kuttanad</w:t>
      </w:r>
      <w:proofErr w:type="spellEnd"/>
      <w:r w:rsidRPr="005C7305">
        <w:rPr>
          <w:rFonts w:ascii="Arial" w:eastAsia="Arial" w:hAnsi="Arial" w:cs="Arial"/>
          <w:color w:val="000000"/>
          <w:lang w:val="en-IN"/>
        </w:rPr>
        <w:t xml:space="preserve"> and </w:t>
      </w:r>
      <w:r w:rsidR="00964AF9">
        <w:rPr>
          <w:rFonts w:ascii="Arial" w:eastAsia="Arial" w:hAnsi="Arial" w:cs="Arial"/>
          <w:color w:val="000000"/>
          <w:lang w:val="en-IN"/>
        </w:rPr>
        <w:t xml:space="preserve">other </w:t>
      </w:r>
      <w:r w:rsidRPr="005C7305">
        <w:rPr>
          <w:rFonts w:ascii="Arial" w:eastAsia="Arial" w:hAnsi="Arial" w:cs="Arial"/>
          <w:color w:val="000000"/>
          <w:lang w:val="en-IN"/>
        </w:rPr>
        <w:t>comparable wetland farming regions.</w:t>
      </w:r>
      <w:r w:rsidR="00964AF9">
        <w:rPr>
          <w:rFonts w:ascii="Arial" w:eastAsia="Arial" w:hAnsi="Arial" w:cs="Arial"/>
          <w:color w:val="000000"/>
          <w:lang w:val="en-IN"/>
        </w:rPr>
        <w:t xml:space="preserve"> </w:t>
      </w:r>
      <w:r w:rsidRPr="005C7305">
        <w:rPr>
          <w:rFonts w:ascii="Arial" w:eastAsia="Arial" w:hAnsi="Arial" w:cs="Arial"/>
          <w:color w:val="000000"/>
          <w:lang w:val="en-IN"/>
        </w:rPr>
        <w:t xml:space="preserve">As per the results of this study, environmental security rehabilitation is the urgent priority. This requires an integrated approach </w:t>
      </w:r>
      <w:proofErr w:type="gramStart"/>
      <w:r w:rsidR="00B021AB">
        <w:rPr>
          <w:rFonts w:ascii="Arial" w:eastAsia="Arial" w:hAnsi="Arial" w:cs="Arial"/>
          <w:color w:val="000000"/>
          <w:lang w:val="en-IN"/>
        </w:rPr>
        <w:t xml:space="preserve">including </w:t>
      </w:r>
      <w:r w:rsidRPr="005C7305">
        <w:rPr>
          <w:rFonts w:ascii="Arial" w:eastAsia="Arial" w:hAnsi="Arial" w:cs="Arial"/>
          <w:color w:val="000000"/>
          <w:lang w:val="en-IN"/>
        </w:rPr>
        <w:t xml:space="preserve"> flood</w:t>
      </w:r>
      <w:proofErr w:type="gramEnd"/>
      <w:r w:rsidRPr="005C7305">
        <w:rPr>
          <w:rFonts w:ascii="Arial" w:eastAsia="Arial" w:hAnsi="Arial" w:cs="Arial"/>
          <w:color w:val="000000"/>
          <w:lang w:val="en-IN"/>
        </w:rPr>
        <w:t xml:space="preserve"> management</w:t>
      </w:r>
      <w:r w:rsidR="00E92F9E">
        <w:rPr>
          <w:rFonts w:ascii="Arial" w:eastAsia="Arial" w:hAnsi="Arial" w:cs="Arial"/>
          <w:color w:val="000000"/>
          <w:lang w:val="en-IN"/>
        </w:rPr>
        <w:t>,</w:t>
      </w:r>
      <w:r w:rsidRPr="005C7305">
        <w:rPr>
          <w:rFonts w:ascii="Arial" w:eastAsia="Arial" w:hAnsi="Arial" w:cs="Arial"/>
          <w:color w:val="000000"/>
          <w:lang w:val="en-IN"/>
        </w:rPr>
        <w:t xml:space="preserve"> </w:t>
      </w:r>
      <w:r w:rsidR="00E92F9E">
        <w:rPr>
          <w:rFonts w:ascii="Arial" w:eastAsia="Arial" w:hAnsi="Arial" w:cs="Arial"/>
          <w:color w:val="000000"/>
          <w:lang w:val="en-IN"/>
        </w:rPr>
        <w:t>polder</w:t>
      </w:r>
      <w:r w:rsidRPr="005C7305">
        <w:rPr>
          <w:rFonts w:ascii="Arial" w:eastAsia="Arial" w:hAnsi="Arial" w:cs="Arial"/>
          <w:color w:val="000000"/>
          <w:lang w:val="en-IN"/>
        </w:rPr>
        <w:t xml:space="preserve"> maintenance, </w:t>
      </w:r>
      <w:r w:rsidR="00E92F9E">
        <w:rPr>
          <w:rFonts w:ascii="Arial" w:eastAsia="Arial" w:hAnsi="Arial" w:cs="Arial"/>
          <w:color w:val="000000"/>
          <w:lang w:val="en-IN"/>
        </w:rPr>
        <w:t>regulation of pollution in</w:t>
      </w:r>
      <w:r w:rsidRPr="005C7305">
        <w:rPr>
          <w:rFonts w:ascii="Arial" w:eastAsia="Arial" w:hAnsi="Arial" w:cs="Arial"/>
          <w:color w:val="000000"/>
          <w:lang w:val="en-IN"/>
        </w:rPr>
        <w:t xml:space="preserve"> agricultural waterways, promotion of organic farming and bio-pesticide use within IFS, and </w:t>
      </w:r>
      <w:r w:rsidR="00BE7995">
        <w:rPr>
          <w:rFonts w:ascii="Arial" w:eastAsia="Arial" w:hAnsi="Arial" w:cs="Arial"/>
          <w:color w:val="000000"/>
          <w:lang w:val="en-IN"/>
        </w:rPr>
        <w:t>continued</w:t>
      </w:r>
      <w:r w:rsidRPr="005C7305">
        <w:rPr>
          <w:rFonts w:ascii="Arial" w:eastAsia="Arial" w:hAnsi="Arial" w:cs="Arial"/>
          <w:color w:val="000000"/>
          <w:lang w:val="en-IN"/>
        </w:rPr>
        <w:t xml:space="preserve"> farmer training on climate adaptation practices. </w:t>
      </w:r>
      <w:r w:rsidRPr="005C7305">
        <w:rPr>
          <w:rFonts w:ascii="Arial" w:eastAsia="Arial" w:hAnsi="Arial" w:cs="Arial"/>
          <w:lang w:val="en-IN"/>
        </w:rPr>
        <w:t xml:space="preserve">The integration of IFS models as a climate adaptation strategy within </w:t>
      </w:r>
      <w:proofErr w:type="spellStart"/>
      <w:r w:rsidRPr="005C7305">
        <w:rPr>
          <w:rFonts w:ascii="Arial" w:eastAsia="Arial" w:hAnsi="Arial" w:cs="Arial"/>
          <w:lang w:val="en-IN"/>
        </w:rPr>
        <w:t>Kuttanad’s</w:t>
      </w:r>
      <w:proofErr w:type="spellEnd"/>
      <w:r w:rsidRPr="005C7305">
        <w:rPr>
          <w:rFonts w:ascii="Arial" w:eastAsia="Arial" w:hAnsi="Arial" w:cs="Arial"/>
          <w:lang w:val="en-IN"/>
        </w:rPr>
        <w:t xml:space="preserve"> broader </w:t>
      </w:r>
      <w:proofErr w:type="spellStart"/>
      <w:r w:rsidRPr="005C7305">
        <w:rPr>
          <w:rFonts w:ascii="Arial" w:eastAsia="Arial" w:hAnsi="Arial" w:cs="Arial"/>
          <w:lang w:val="en-IN"/>
        </w:rPr>
        <w:t>agro</w:t>
      </w:r>
      <w:proofErr w:type="spellEnd"/>
      <w:r w:rsidRPr="005C7305">
        <w:rPr>
          <w:rFonts w:ascii="Arial" w:eastAsia="Arial" w:hAnsi="Arial" w:cs="Arial"/>
          <w:lang w:val="en-IN"/>
        </w:rPr>
        <w:t>-ecological management plan is supported by the emerging international evidence on IFS and climate resilience (Paramesh et al., 2022b; Bhagat et al., 2024).</w:t>
      </w:r>
    </w:p>
    <w:p w14:paraId="3E19E459" w14:textId="3ED00FC6" w:rsidR="00F25403" w:rsidRPr="005C7305" w:rsidRDefault="00F25403" w:rsidP="00F25403">
      <w:pPr>
        <w:spacing w:after="120"/>
        <w:jc w:val="both"/>
        <w:rPr>
          <w:rFonts w:ascii="Arial" w:eastAsia="Arial" w:hAnsi="Arial" w:cs="Arial"/>
          <w:color w:val="000000"/>
          <w:lang w:val="en-IN"/>
        </w:rPr>
      </w:pPr>
      <w:r w:rsidRPr="005C7305">
        <w:rPr>
          <w:rFonts w:ascii="Arial" w:eastAsia="Arial" w:hAnsi="Arial" w:cs="Arial"/>
          <w:color w:val="000000"/>
          <w:lang w:val="en-IN"/>
        </w:rPr>
        <w:t xml:space="preserve">Second, credit restructuring is essential. Short-term credit currently dominates (61.11 per cent of respondents), and </w:t>
      </w:r>
      <w:r w:rsidR="00BE7995">
        <w:rPr>
          <w:rFonts w:ascii="Arial" w:eastAsia="Arial" w:hAnsi="Arial" w:cs="Arial"/>
          <w:color w:val="000000"/>
          <w:lang w:val="en-IN"/>
        </w:rPr>
        <w:t xml:space="preserve">is </w:t>
      </w:r>
      <w:r w:rsidRPr="005C7305">
        <w:rPr>
          <w:rFonts w:ascii="Arial" w:eastAsia="Arial" w:hAnsi="Arial" w:cs="Arial"/>
          <w:color w:val="000000"/>
          <w:lang w:val="en-IN"/>
        </w:rPr>
        <w:t>negative associat</w:t>
      </w:r>
      <w:r w:rsidR="00BE7995">
        <w:rPr>
          <w:rFonts w:ascii="Arial" w:eastAsia="Arial" w:hAnsi="Arial" w:cs="Arial"/>
          <w:color w:val="000000"/>
          <w:lang w:val="en-IN"/>
        </w:rPr>
        <w:t>ed</w:t>
      </w:r>
      <w:r w:rsidRPr="005C7305">
        <w:rPr>
          <w:rFonts w:ascii="Arial" w:eastAsia="Arial" w:hAnsi="Arial" w:cs="Arial"/>
          <w:color w:val="000000"/>
          <w:lang w:val="en-IN"/>
        </w:rPr>
        <w:t xml:space="preserve"> with food security</w:t>
      </w:r>
      <w:r w:rsidR="00BE7995">
        <w:rPr>
          <w:rFonts w:ascii="Arial" w:eastAsia="Arial" w:hAnsi="Arial" w:cs="Arial"/>
          <w:color w:val="000000"/>
          <w:lang w:val="en-IN"/>
        </w:rPr>
        <w:t>. This</w:t>
      </w:r>
      <w:r w:rsidRPr="005C7305">
        <w:rPr>
          <w:rFonts w:ascii="Arial" w:eastAsia="Arial" w:hAnsi="Arial" w:cs="Arial"/>
          <w:color w:val="000000"/>
          <w:lang w:val="en-IN"/>
        </w:rPr>
        <w:t xml:space="preserve"> indicates that debt repayment pressure is actively undermining household nutrition. Agricultural credit products need to be restructured from short-term to medium-term (12</w:t>
      </w:r>
      <w:r w:rsidR="00BE7995">
        <w:rPr>
          <w:rFonts w:ascii="Arial" w:eastAsia="Arial" w:hAnsi="Arial" w:cs="Arial"/>
          <w:color w:val="000000"/>
          <w:lang w:val="en-IN"/>
        </w:rPr>
        <w:t xml:space="preserve"> to </w:t>
      </w:r>
      <w:r w:rsidRPr="005C7305">
        <w:rPr>
          <w:rFonts w:ascii="Arial" w:eastAsia="Arial" w:hAnsi="Arial" w:cs="Arial"/>
          <w:color w:val="000000"/>
          <w:lang w:val="en-IN"/>
        </w:rPr>
        <w:t xml:space="preserve">36 months), with repayment schedules </w:t>
      </w:r>
      <w:r w:rsidR="00BE7995">
        <w:rPr>
          <w:rFonts w:ascii="Arial" w:eastAsia="Arial" w:hAnsi="Arial" w:cs="Arial"/>
          <w:color w:val="000000"/>
          <w:lang w:val="en-IN"/>
        </w:rPr>
        <w:t>coinciding the</w:t>
      </w:r>
      <w:r w:rsidRPr="005C7305">
        <w:rPr>
          <w:rFonts w:ascii="Arial" w:eastAsia="Arial" w:hAnsi="Arial" w:cs="Arial"/>
          <w:color w:val="000000"/>
          <w:lang w:val="en-IN"/>
        </w:rPr>
        <w:t xml:space="preserve"> seasonal cash flow patterns of IFS enterprises. The positive association of credit access with education security suggests that </w:t>
      </w:r>
      <w:r w:rsidR="00BE7995">
        <w:rPr>
          <w:rFonts w:ascii="Arial" w:eastAsia="Arial" w:hAnsi="Arial" w:cs="Arial"/>
          <w:color w:val="000000"/>
          <w:lang w:val="en-IN"/>
        </w:rPr>
        <w:t>loans</w:t>
      </w:r>
      <w:r w:rsidRPr="005C7305">
        <w:rPr>
          <w:rFonts w:ascii="Arial" w:eastAsia="Arial" w:hAnsi="Arial" w:cs="Arial"/>
          <w:color w:val="000000"/>
          <w:lang w:val="en-IN"/>
        </w:rPr>
        <w:t xml:space="preserve"> </w:t>
      </w:r>
      <w:r w:rsidR="00BE7995">
        <w:rPr>
          <w:rFonts w:ascii="Arial" w:eastAsia="Arial" w:hAnsi="Arial" w:cs="Arial"/>
          <w:color w:val="000000"/>
          <w:lang w:val="en-IN"/>
        </w:rPr>
        <w:t xml:space="preserve">for educational purposes </w:t>
      </w:r>
      <w:r w:rsidRPr="005C7305">
        <w:rPr>
          <w:rFonts w:ascii="Arial" w:eastAsia="Arial" w:hAnsi="Arial" w:cs="Arial"/>
          <w:color w:val="000000"/>
          <w:lang w:val="en-IN"/>
        </w:rPr>
        <w:t>or scholarship provisions could be built into credit disbursement frameworks.</w:t>
      </w:r>
    </w:p>
    <w:p w14:paraId="0259EE25" w14:textId="57CFF4AC" w:rsidR="00F25403" w:rsidRPr="005C7305" w:rsidRDefault="00F25403" w:rsidP="00F25403">
      <w:pPr>
        <w:spacing w:after="120"/>
        <w:jc w:val="both"/>
        <w:rPr>
          <w:rFonts w:ascii="Arial" w:eastAsia="Arial" w:hAnsi="Arial" w:cs="Arial"/>
          <w:color w:val="000000"/>
          <w:lang w:val="en-IN"/>
        </w:rPr>
      </w:pPr>
      <w:r w:rsidRPr="005C7305">
        <w:rPr>
          <w:rFonts w:ascii="Arial" w:eastAsia="Arial" w:hAnsi="Arial" w:cs="Arial"/>
          <w:color w:val="000000"/>
          <w:lang w:val="en-IN"/>
        </w:rPr>
        <w:t xml:space="preserve">Third, farmer organisations and social capital networks should be actively strengthened. Social participation was the most consistent positive correlate of occupational security. Promoting farmer producer organisations, </w:t>
      </w:r>
      <w:r w:rsidR="00DB2BAE">
        <w:rPr>
          <w:rFonts w:ascii="Arial" w:eastAsia="Arial" w:hAnsi="Arial" w:cs="Arial"/>
          <w:color w:val="000000"/>
          <w:lang w:val="en-IN"/>
        </w:rPr>
        <w:t xml:space="preserve">formation of </w:t>
      </w:r>
      <w:r w:rsidRPr="005C7305">
        <w:rPr>
          <w:rFonts w:ascii="Arial" w:eastAsia="Arial" w:hAnsi="Arial" w:cs="Arial"/>
          <w:color w:val="000000"/>
          <w:lang w:val="en-IN"/>
        </w:rPr>
        <w:t>self-help group</w:t>
      </w:r>
      <w:r w:rsidR="00DB2BAE">
        <w:rPr>
          <w:rFonts w:ascii="Arial" w:eastAsia="Arial" w:hAnsi="Arial" w:cs="Arial"/>
          <w:color w:val="000000"/>
          <w:lang w:val="en-IN"/>
        </w:rPr>
        <w:t xml:space="preserve">s, </w:t>
      </w:r>
      <w:r w:rsidRPr="005C7305">
        <w:rPr>
          <w:rFonts w:ascii="Arial" w:eastAsia="Arial" w:hAnsi="Arial" w:cs="Arial"/>
          <w:color w:val="000000"/>
          <w:lang w:val="en-IN"/>
        </w:rPr>
        <w:t xml:space="preserve">and collective marketing platforms would </w:t>
      </w:r>
      <w:r w:rsidR="006C34B2">
        <w:rPr>
          <w:rFonts w:ascii="Arial" w:eastAsia="Arial" w:hAnsi="Arial" w:cs="Arial"/>
          <w:color w:val="000000"/>
          <w:lang w:val="en-IN"/>
        </w:rPr>
        <w:t xml:space="preserve">utilise </w:t>
      </w:r>
      <w:r w:rsidR="006C34B2" w:rsidRPr="005C7305">
        <w:rPr>
          <w:rFonts w:ascii="Arial" w:eastAsia="Arial" w:hAnsi="Arial" w:cs="Arial"/>
          <w:color w:val="000000"/>
          <w:lang w:val="en-IN"/>
        </w:rPr>
        <w:t>this</w:t>
      </w:r>
      <w:r w:rsidRPr="005C7305">
        <w:rPr>
          <w:rFonts w:ascii="Arial" w:eastAsia="Arial" w:hAnsi="Arial" w:cs="Arial"/>
          <w:color w:val="000000"/>
          <w:lang w:val="en-IN"/>
        </w:rPr>
        <w:t xml:space="preserve"> social capital advantage</w:t>
      </w:r>
      <w:r w:rsidR="005548E0">
        <w:rPr>
          <w:rFonts w:ascii="Arial" w:eastAsia="Arial" w:hAnsi="Arial" w:cs="Arial"/>
          <w:color w:val="000000"/>
          <w:lang w:val="en-IN"/>
        </w:rPr>
        <w:t xml:space="preserve"> more effectively</w:t>
      </w:r>
      <w:r w:rsidRPr="005C7305">
        <w:rPr>
          <w:rFonts w:ascii="Arial" w:eastAsia="Arial" w:hAnsi="Arial" w:cs="Arial"/>
          <w:color w:val="000000"/>
          <w:lang w:val="en-IN"/>
        </w:rPr>
        <w:t xml:space="preserve"> for livelihood improvement.</w:t>
      </w:r>
    </w:p>
    <w:p w14:paraId="4F11C3AD" w14:textId="77777777" w:rsidR="00F25403" w:rsidRPr="005C7305" w:rsidRDefault="00F25403" w:rsidP="00F25403">
      <w:pPr>
        <w:spacing w:after="120"/>
        <w:jc w:val="both"/>
        <w:rPr>
          <w:rFonts w:ascii="Arial" w:eastAsia="Arial" w:hAnsi="Arial" w:cs="Arial"/>
          <w:color w:val="000000"/>
          <w:lang w:val="en-IN"/>
        </w:rPr>
      </w:pPr>
      <w:r w:rsidRPr="005C7305">
        <w:rPr>
          <w:rFonts w:ascii="Arial" w:eastAsia="Arial" w:hAnsi="Arial" w:cs="Arial"/>
          <w:color w:val="000000"/>
          <w:lang w:val="en-IN"/>
        </w:rPr>
        <w:t>Fourth, the labour advantage of joint households in maintaining environmental security practices points to the value of supporting collective farming and group land management arrangements among nuclear household clusters. Extension agencies should consider promoting joint enterprise groups among neighbouring smallholder nuclear families to replicate the labour and resource-sharing benefits of joint family structures.</w:t>
      </w:r>
    </w:p>
    <w:p w14:paraId="778CB391" w14:textId="44E277D1" w:rsidR="00F25403" w:rsidRPr="005C7305" w:rsidRDefault="00F25403" w:rsidP="00F25403">
      <w:pPr>
        <w:spacing w:after="120"/>
        <w:jc w:val="both"/>
        <w:rPr>
          <w:rFonts w:ascii="Arial" w:eastAsia="Arial" w:hAnsi="Arial" w:cs="Arial"/>
          <w:color w:val="000000"/>
          <w:lang w:val="en-IN"/>
        </w:rPr>
      </w:pPr>
      <w:r w:rsidRPr="005C7305">
        <w:rPr>
          <w:rFonts w:ascii="Arial" w:eastAsia="Arial" w:hAnsi="Arial" w:cs="Arial"/>
          <w:color w:val="000000"/>
          <w:lang w:val="en-IN"/>
        </w:rPr>
        <w:t xml:space="preserve">Fifth, </w:t>
      </w:r>
      <w:r w:rsidR="00E93D7E">
        <w:rPr>
          <w:rFonts w:ascii="Arial" w:eastAsia="Arial" w:hAnsi="Arial" w:cs="Arial"/>
          <w:color w:val="000000"/>
          <w:lang w:val="en-IN"/>
        </w:rPr>
        <w:t xml:space="preserve">the efforts of extension system </w:t>
      </w:r>
      <w:proofErr w:type="gramStart"/>
      <w:r w:rsidRPr="005C7305">
        <w:rPr>
          <w:rFonts w:ascii="Arial" w:eastAsia="Arial" w:hAnsi="Arial" w:cs="Arial"/>
          <w:color w:val="000000"/>
          <w:lang w:val="en-IN"/>
        </w:rPr>
        <w:t>needs</w:t>
      </w:r>
      <w:proofErr w:type="gramEnd"/>
      <w:r w:rsidRPr="005C7305">
        <w:rPr>
          <w:rFonts w:ascii="Arial" w:eastAsia="Arial" w:hAnsi="Arial" w:cs="Arial"/>
          <w:color w:val="000000"/>
          <w:lang w:val="en-IN"/>
        </w:rPr>
        <w:t xml:space="preserve"> to be scaled up. Krishi Bhavan contact was regular for only 56.67 per cent of respondents and RARS/KVK contact for only 35.56 per cent. Increasing the frequency and depth of IFS</w:t>
      </w:r>
      <w:r w:rsidR="00E93D7E">
        <w:rPr>
          <w:rFonts w:ascii="Arial" w:eastAsia="Arial" w:hAnsi="Arial" w:cs="Arial"/>
          <w:color w:val="000000"/>
          <w:lang w:val="en-IN"/>
        </w:rPr>
        <w:t xml:space="preserve"> </w:t>
      </w:r>
      <w:r w:rsidRPr="005C7305">
        <w:rPr>
          <w:rFonts w:ascii="Arial" w:eastAsia="Arial" w:hAnsi="Arial" w:cs="Arial"/>
          <w:color w:val="000000"/>
          <w:lang w:val="en-IN"/>
        </w:rPr>
        <w:t>specific extension contact, particularly through farmer field schools and on-farm demonstrations, is critical for technology transfer.</w:t>
      </w:r>
    </w:p>
    <w:p w14:paraId="6BD1ABD9" w14:textId="77777777" w:rsidR="00F25403" w:rsidRPr="005C7305" w:rsidRDefault="00F25403" w:rsidP="00F25403">
      <w:pPr>
        <w:spacing w:after="120"/>
        <w:jc w:val="both"/>
        <w:rPr>
          <w:rFonts w:ascii="Arial" w:eastAsia="Arial" w:hAnsi="Arial" w:cs="Arial"/>
          <w:b/>
          <w:bCs/>
          <w:color w:val="000000"/>
          <w:lang w:val="en-IN"/>
        </w:rPr>
      </w:pPr>
      <w:r w:rsidRPr="005C7305">
        <w:rPr>
          <w:rFonts w:ascii="Arial" w:eastAsia="Arial" w:hAnsi="Arial" w:cs="Arial"/>
          <w:b/>
          <w:bCs/>
          <w:color w:val="000000"/>
          <w:lang w:val="en-IN"/>
        </w:rPr>
        <w:t>4.3 Limitations</w:t>
      </w:r>
    </w:p>
    <w:p w14:paraId="6ABAC5D0" w14:textId="5C337E3D" w:rsidR="00BD6FB4" w:rsidRPr="005C7305" w:rsidRDefault="00F25403" w:rsidP="00F25403">
      <w:pPr>
        <w:spacing w:after="120"/>
        <w:jc w:val="both"/>
        <w:rPr>
          <w:rFonts w:ascii="Arial" w:eastAsia="Arial" w:hAnsi="Arial" w:cs="Arial"/>
          <w:color w:val="000000"/>
          <w:lang w:val="en-IN"/>
        </w:rPr>
      </w:pPr>
      <w:r w:rsidRPr="005C7305">
        <w:rPr>
          <w:rFonts w:ascii="Arial" w:eastAsia="Arial" w:hAnsi="Arial" w:cs="Arial"/>
          <w:color w:val="000000"/>
          <w:lang w:val="en-IN"/>
        </w:rPr>
        <w:t xml:space="preserve">This study has several limitations that should be considered when interpreting its findings. First, the cross-sectional design does not permit causal inference; </w:t>
      </w:r>
      <w:proofErr w:type="gramStart"/>
      <w:r w:rsidRPr="005C7305">
        <w:rPr>
          <w:rFonts w:ascii="Arial" w:eastAsia="Arial" w:hAnsi="Arial" w:cs="Arial"/>
          <w:color w:val="000000"/>
          <w:lang w:val="en-IN"/>
        </w:rPr>
        <w:t>thus</w:t>
      </w:r>
      <w:proofErr w:type="gramEnd"/>
      <w:r w:rsidRPr="005C7305">
        <w:rPr>
          <w:rFonts w:ascii="Arial" w:eastAsia="Arial" w:hAnsi="Arial" w:cs="Arial"/>
          <w:color w:val="000000"/>
          <w:lang w:val="en-IN"/>
        </w:rPr>
        <w:t xml:space="preserve"> the significant relationship identified should be interpreted as associational rather than directional. Second, the criterion based purposive sampling used in the study, although appropriate for accessing a specific IFS farming community, limits the statistical generalisability of findings beyond the sampled population. Third, all SLSI scores are based on self-reported interview data, and thus subject to potential recall biases. Fourth, the study covers only four villages within </w:t>
      </w:r>
      <w:proofErr w:type="spellStart"/>
      <w:r w:rsidRPr="005C7305">
        <w:rPr>
          <w:rFonts w:ascii="Arial" w:eastAsia="Arial" w:hAnsi="Arial" w:cs="Arial"/>
          <w:color w:val="000000"/>
          <w:lang w:val="en-IN"/>
        </w:rPr>
        <w:t>Kuttanad</w:t>
      </w:r>
      <w:proofErr w:type="spellEnd"/>
      <w:r w:rsidR="00E02B24">
        <w:rPr>
          <w:rFonts w:ascii="Arial" w:eastAsia="Arial" w:hAnsi="Arial" w:cs="Arial"/>
          <w:color w:val="000000"/>
          <w:lang w:val="en-IN"/>
        </w:rPr>
        <w:t>,</w:t>
      </w:r>
      <w:r w:rsidRPr="005C7305">
        <w:rPr>
          <w:rFonts w:ascii="Arial" w:eastAsia="Arial" w:hAnsi="Arial" w:cs="Arial"/>
          <w:color w:val="000000"/>
          <w:lang w:val="en-IN"/>
        </w:rPr>
        <w:t xml:space="preserve"> inclusion of villages distinctively re</w:t>
      </w:r>
      <w:bookmarkStart w:id="0" w:name="_GoBack"/>
      <w:bookmarkEnd w:id="0"/>
      <w:r w:rsidRPr="005C7305">
        <w:rPr>
          <w:rFonts w:ascii="Arial" w:eastAsia="Arial" w:hAnsi="Arial" w:cs="Arial"/>
          <w:color w:val="000000"/>
          <w:lang w:val="en-IN"/>
        </w:rPr>
        <w:t xml:space="preserve">presenting upper, lower, and north sub-zones of </w:t>
      </w:r>
      <w:proofErr w:type="spellStart"/>
      <w:r w:rsidRPr="005C7305">
        <w:rPr>
          <w:rFonts w:ascii="Arial" w:eastAsia="Arial" w:hAnsi="Arial" w:cs="Arial"/>
          <w:color w:val="000000"/>
          <w:lang w:val="en-IN"/>
        </w:rPr>
        <w:t>Kuttanad</w:t>
      </w:r>
      <w:proofErr w:type="spellEnd"/>
      <w:r w:rsidRPr="005C7305">
        <w:rPr>
          <w:rFonts w:ascii="Arial" w:eastAsia="Arial" w:hAnsi="Arial" w:cs="Arial"/>
          <w:color w:val="000000"/>
          <w:lang w:val="en-IN"/>
        </w:rPr>
        <w:t xml:space="preserve"> would have strengthened the representativeness of findings. Future research should consider longitudinal designs, larger probabilistic samples, and independent verification of SLSI indicators to strengthen the evidence base.</w:t>
      </w:r>
    </w:p>
    <w:p w14:paraId="7B085A4C" w14:textId="77777777" w:rsidR="00F25403" w:rsidRPr="005C7305" w:rsidRDefault="00F25403" w:rsidP="00F25403">
      <w:pPr>
        <w:spacing w:after="120"/>
        <w:jc w:val="both"/>
        <w:rPr>
          <w:rFonts w:ascii="Arial" w:eastAsia="Arial" w:hAnsi="Arial" w:cs="Arial"/>
          <w:color w:val="000000"/>
          <w:lang w:val="en-IN"/>
        </w:rPr>
      </w:pPr>
    </w:p>
    <w:p w14:paraId="0F200E3D" w14:textId="77777777" w:rsidR="00BD6FB4" w:rsidRPr="008D0CD5" w:rsidRDefault="00BD6FB4" w:rsidP="00BD6FB4">
      <w:pPr>
        <w:rPr>
          <w:rFonts w:ascii="Arial" w:eastAsia="Calibri" w:hAnsi="Arial" w:cs="Arial"/>
          <w:b/>
          <w:bCs/>
          <w:kern w:val="2"/>
          <w:sz w:val="22"/>
          <w:szCs w:val="22"/>
        </w:rPr>
      </w:pPr>
      <w:bookmarkStart w:id="1" w:name="_Hlk198031404"/>
      <w:r w:rsidRPr="008D0CD5">
        <w:rPr>
          <w:rFonts w:ascii="Arial" w:eastAsia="Calibri" w:hAnsi="Arial" w:cs="Arial"/>
          <w:b/>
          <w:bCs/>
          <w:kern w:val="2"/>
          <w:sz w:val="22"/>
          <w:szCs w:val="22"/>
        </w:rPr>
        <w:lastRenderedPageBreak/>
        <w:t>Disclaimer (Artificial intelligence)</w:t>
      </w:r>
    </w:p>
    <w:p w14:paraId="5BCEEF22" w14:textId="77777777" w:rsidR="00BD6FB4" w:rsidRPr="008D0CD5" w:rsidRDefault="00BD6FB4" w:rsidP="00BD6FB4">
      <w:pPr>
        <w:rPr>
          <w:rFonts w:ascii="Arial" w:eastAsia="Calibri" w:hAnsi="Arial" w:cs="Arial"/>
          <w:kern w:val="2"/>
          <w:sz w:val="22"/>
          <w:szCs w:val="22"/>
        </w:rPr>
      </w:pPr>
    </w:p>
    <w:p w14:paraId="2CB8D54D" w14:textId="49D7FDEF" w:rsidR="00BD6FB4" w:rsidRPr="008D0CD5" w:rsidRDefault="00BD6FB4" w:rsidP="008D0CD5">
      <w:pPr>
        <w:jc w:val="both"/>
        <w:rPr>
          <w:rFonts w:ascii="Arial" w:eastAsia="Calibri" w:hAnsi="Arial" w:cs="Arial"/>
          <w:kern w:val="2"/>
        </w:rPr>
      </w:pPr>
      <w:r w:rsidRPr="008D0CD5">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
    <w:p w14:paraId="22D16E31" w14:textId="77777777" w:rsidR="00AC76A8" w:rsidRPr="005C7305" w:rsidRDefault="00AC76A8" w:rsidP="00441B6F">
      <w:pPr>
        <w:jc w:val="both"/>
        <w:rPr>
          <w:rFonts w:ascii="Arial" w:hAnsi="Arial" w:cs="Arial"/>
          <w:u w:val="single"/>
          <w:lang w:eastAsia="en-GB"/>
        </w:rPr>
      </w:pPr>
    </w:p>
    <w:p w14:paraId="577D2158" w14:textId="77777777" w:rsidR="00860000" w:rsidRPr="005C7305" w:rsidRDefault="00860000" w:rsidP="00441B6F">
      <w:pPr>
        <w:pStyle w:val="ReferHead"/>
        <w:spacing w:after="0"/>
        <w:jc w:val="both"/>
        <w:rPr>
          <w:rFonts w:ascii="Arial" w:hAnsi="Arial" w:cs="Arial"/>
        </w:rPr>
      </w:pPr>
    </w:p>
    <w:p w14:paraId="76751B1C" w14:textId="77777777" w:rsidR="00B01FCD" w:rsidRPr="005C7305" w:rsidRDefault="00B01FCD" w:rsidP="00441B6F">
      <w:pPr>
        <w:pStyle w:val="ReferHead"/>
        <w:spacing w:after="0"/>
        <w:jc w:val="both"/>
        <w:rPr>
          <w:rFonts w:ascii="Arial" w:hAnsi="Arial" w:cs="Arial"/>
        </w:rPr>
      </w:pPr>
      <w:r w:rsidRPr="005C7305">
        <w:rPr>
          <w:rFonts w:ascii="Arial" w:hAnsi="Arial" w:cs="Arial"/>
        </w:rPr>
        <w:t>References</w:t>
      </w:r>
    </w:p>
    <w:p w14:paraId="059E01D4" w14:textId="77777777" w:rsidR="00583124" w:rsidRPr="005C7305" w:rsidRDefault="00583124" w:rsidP="00441B6F">
      <w:pPr>
        <w:pStyle w:val="ReferHead"/>
        <w:spacing w:after="0"/>
        <w:jc w:val="both"/>
        <w:rPr>
          <w:rFonts w:ascii="Arial" w:hAnsi="Arial" w:cs="Arial"/>
        </w:rPr>
      </w:pPr>
    </w:p>
    <w:p w14:paraId="078A639E" w14:textId="101A954C" w:rsidR="005A49B2" w:rsidRPr="005C7305" w:rsidRDefault="00583124" w:rsidP="005A49B2">
      <w:pPr>
        <w:pStyle w:val="Body"/>
        <w:numPr>
          <w:ilvl w:val="0"/>
          <w:numId w:val="31"/>
        </w:numPr>
        <w:spacing w:after="0"/>
        <w:rPr>
          <w:rFonts w:ascii="Arial" w:hAnsi="Arial" w:cs="Arial"/>
        </w:rPr>
      </w:pPr>
      <w:proofErr w:type="spellStart"/>
      <w:r w:rsidRPr="005C7305">
        <w:rPr>
          <w:rFonts w:ascii="Arial" w:hAnsi="Arial" w:cs="Arial"/>
          <w:lang w:val="fr-FR"/>
        </w:rPr>
        <w:t>Thampatti</w:t>
      </w:r>
      <w:proofErr w:type="spellEnd"/>
      <w:r w:rsidRPr="005C7305">
        <w:rPr>
          <w:rFonts w:ascii="Arial" w:hAnsi="Arial" w:cs="Arial"/>
          <w:lang w:val="fr-FR"/>
        </w:rPr>
        <w:t xml:space="preserve">, K. M., &amp; Padmakumar, K. G. (1999). </w:t>
      </w:r>
      <w:r w:rsidRPr="005C7305">
        <w:rPr>
          <w:rFonts w:ascii="Arial" w:hAnsi="Arial" w:cs="Arial"/>
        </w:rPr>
        <w:t xml:space="preserve">Nature watch: Rice bowl in turmoil - the </w:t>
      </w:r>
      <w:proofErr w:type="spellStart"/>
      <w:r w:rsidRPr="005C7305">
        <w:rPr>
          <w:rFonts w:ascii="Arial" w:hAnsi="Arial" w:cs="Arial"/>
        </w:rPr>
        <w:t>Kuttanad</w:t>
      </w:r>
      <w:proofErr w:type="spellEnd"/>
      <w:r w:rsidRPr="005C7305">
        <w:rPr>
          <w:rFonts w:ascii="Arial" w:hAnsi="Arial" w:cs="Arial"/>
        </w:rPr>
        <w:t xml:space="preserve"> wetland ecosystem. </w:t>
      </w:r>
      <w:r w:rsidRPr="005C7305">
        <w:rPr>
          <w:rFonts w:ascii="Arial" w:hAnsi="Arial" w:cs="Arial"/>
          <w:i/>
          <w:iCs/>
        </w:rPr>
        <w:t>Resonance</w:t>
      </w:r>
      <w:r w:rsidRPr="005C7305">
        <w:rPr>
          <w:rFonts w:ascii="Arial" w:hAnsi="Arial" w:cs="Arial"/>
        </w:rPr>
        <w:t>, 4(3), 62–70.</w:t>
      </w:r>
      <w:r w:rsidR="006A60D3" w:rsidRPr="005C7305">
        <w:rPr>
          <w:rFonts w:ascii="Arial" w:hAnsi="Arial" w:cs="Arial"/>
        </w:rPr>
        <w:t xml:space="preserve"> </w:t>
      </w:r>
      <w:r w:rsidR="005A49B2" w:rsidRPr="005C7305">
        <w:rPr>
          <w:rFonts w:ascii="Arial" w:hAnsi="Arial" w:cs="Arial"/>
          <w:u w:val="single"/>
        </w:rPr>
        <w:t>https://doi.org/10.1007/BF02838725</w:t>
      </w:r>
    </w:p>
    <w:p w14:paraId="5A91ABD1" w14:textId="43D137AF" w:rsidR="006A60D3" w:rsidRPr="005C7305" w:rsidRDefault="00583124" w:rsidP="006A60D3">
      <w:pPr>
        <w:pStyle w:val="Body"/>
        <w:numPr>
          <w:ilvl w:val="0"/>
          <w:numId w:val="31"/>
        </w:numPr>
        <w:spacing w:after="0"/>
        <w:rPr>
          <w:rFonts w:ascii="Arial" w:hAnsi="Arial" w:cs="Arial"/>
        </w:rPr>
      </w:pPr>
      <w:r w:rsidRPr="005C7305">
        <w:rPr>
          <w:rFonts w:ascii="Arial" w:hAnsi="Arial" w:cs="Arial"/>
        </w:rPr>
        <w:t xml:space="preserve">Jayan, P. R., &amp; Sathyanathan, N. (2010). Overview of farming practices in the water-logged areas of Kerala, India. </w:t>
      </w:r>
      <w:r w:rsidRPr="005C7305">
        <w:rPr>
          <w:rFonts w:ascii="Arial" w:hAnsi="Arial" w:cs="Arial"/>
          <w:i/>
          <w:iCs/>
        </w:rPr>
        <w:t>International Journal of Agricultural and Biological Engineering</w:t>
      </w:r>
      <w:r w:rsidRPr="005C7305">
        <w:rPr>
          <w:rFonts w:ascii="Arial" w:hAnsi="Arial" w:cs="Arial"/>
        </w:rPr>
        <w:t>, 3(4), 28–43.</w:t>
      </w:r>
      <w:r w:rsidR="006A60D3" w:rsidRPr="005C7305">
        <w:rPr>
          <w:rFonts w:ascii="Arial" w:hAnsi="Arial" w:cs="Arial"/>
        </w:rPr>
        <w:t xml:space="preserve"> </w:t>
      </w:r>
      <w:hyperlink r:id="rId16" w:history="1">
        <w:r w:rsidR="006A60D3" w:rsidRPr="005C7305">
          <w:rPr>
            <w:rStyle w:val="Hyperlink"/>
            <w:rFonts w:ascii="Arial" w:hAnsi="Arial" w:cs="Arial"/>
            <w:color w:val="auto"/>
          </w:rPr>
          <w:t>https://doi.org/10.3965/j.issn.1934-6344.2010.04.028-043</w:t>
        </w:r>
      </w:hyperlink>
    </w:p>
    <w:p w14:paraId="7738F269" w14:textId="53C5A62C" w:rsidR="00B30167" w:rsidRPr="005C7305" w:rsidRDefault="0040551F" w:rsidP="006A60D3">
      <w:pPr>
        <w:pStyle w:val="Body"/>
        <w:numPr>
          <w:ilvl w:val="0"/>
          <w:numId w:val="31"/>
        </w:numPr>
        <w:spacing w:after="0"/>
        <w:rPr>
          <w:rFonts w:ascii="Arial" w:hAnsi="Arial" w:cs="Arial"/>
        </w:rPr>
      </w:pPr>
      <w:r w:rsidRPr="005C7305">
        <w:rPr>
          <w:rFonts w:ascii="Arial" w:hAnsi="Arial" w:cs="Arial"/>
        </w:rPr>
        <w:t xml:space="preserve">Feng, J., Wen, Y., Zhang, H., Duan, W., &amp; Hao, H. (2024). Wetland restoration, household income, and livelihood structure of farmers. </w:t>
      </w:r>
      <w:r w:rsidRPr="005C7305">
        <w:rPr>
          <w:rFonts w:ascii="Arial" w:hAnsi="Arial" w:cs="Arial"/>
          <w:i/>
          <w:iCs/>
        </w:rPr>
        <w:t>Frontiers in Sustainable Food Systems</w:t>
      </w:r>
      <w:r w:rsidRPr="005C7305">
        <w:rPr>
          <w:rFonts w:ascii="Arial" w:hAnsi="Arial" w:cs="Arial"/>
        </w:rPr>
        <w:t>, 8, 1</w:t>
      </w:r>
      <w:r w:rsidR="00D43010" w:rsidRPr="005C7305">
        <w:rPr>
          <w:rFonts w:ascii="Arial" w:hAnsi="Arial" w:cs="Arial"/>
        </w:rPr>
        <w:t>-14</w:t>
      </w:r>
      <w:r w:rsidRPr="005C7305">
        <w:rPr>
          <w:rFonts w:ascii="Arial" w:hAnsi="Arial" w:cs="Arial"/>
        </w:rPr>
        <w:t xml:space="preserve">. </w:t>
      </w:r>
      <w:hyperlink r:id="rId17" w:history="1">
        <w:r w:rsidR="00B30167" w:rsidRPr="005C7305">
          <w:rPr>
            <w:rStyle w:val="Hyperlink"/>
            <w:rFonts w:ascii="Arial" w:hAnsi="Arial" w:cs="Arial"/>
            <w:color w:val="auto"/>
          </w:rPr>
          <w:t>https://doi.org/10.3389/fsufs.2024.1256115</w:t>
        </w:r>
      </w:hyperlink>
    </w:p>
    <w:p w14:paraId="7A7D497A" w14:textId="2445E8C3" w:rsidR="0040551F" w:rsidRPr="005C7305" w:rsidRDefault="0040551F" w:rsidP="00B30167">
      <w:pPr>
        <w:pStyle w:val="ListParagraph"/>
        <w:numPr>
          <w:ilvl w:val="0"/>
          <w:numId w:val="31"/>
        </w:numPr>
        <w:spacing w:after="100"/>
        <w:jc w:val="both"/>
        <w:rPr>
          <w:rFonts w:ascii="Arial" w:hAnsi="Arial" w:cs="Arial"/>
        </w:rPr>
      </w:pPr>
      <w:r w:rsidRPr="005C7305">
        <w:rPr>
          <w:rFonts w:ascii="Arial" w:hAnsi="Arial" w:cs="Arial"/>
        </w:rPr>
        <w:t xml:space="preserve">Imdad, K., Sahana, M., </w:t>
      </w:r>
      <w:r w:rsidR="00B30167" w:rsidRPr="005C7305">
        <w:rPr>
          <w:rFonts w:ascii="Arial" w:hAnsi="Arial" w:cs="Arial"/>
        </w:rPr>
        <w:t xml:space="preserve">Gautam, O., Chaudhary, A., Misra, S., </w:t>
      </w:r>
      <w:r w:rsidR="008D0CD5">
        <w:rPr>
          <w:rFonts w:ascii="Arial" w:hAnsi="Arial" w:cs="Arial"/>
        </w:rPr>
        <w:t xml:space="preserve">&amp; </w:t>
      </w:r>
      <w:r w:rsidR="00B30167" w:rsidRPr="005C7305">
        <w:rPr>
          <w:rFonts w:ascii="Arial" w:hAnsi="Arial" w:cs="Arial"/>
        </w:rPr>
        <w:t>Dwivedi, S</w:t>
      </w:r>
      <w:r w:rsidR="008D0CD5">
        <w:rPr>
          <w:rFonts w:ascii="Arial" w:hAnsi="Arial" w:cs="Arial"/>
        </w:rPr>
        <w:t>, et al</w:t>
      </w:r>
      <w:r w:rsidR="00473DD6">
        <w:rPr>
          <w:rFonts w:ascii="Arial" w:hAnsi="Arial" w:cs="Arial"/>
        </w:rPr>
        <w:t xml:space="preserve">. </w:t>
      </w:r>
      <w:r w:rsidR="008D0CD5">
        <w:rPr>
          <w:rFonts w:ascii="Arial" w:hAnsi="Arial" w:cs="Arial"/>
        </w:rPr>
        <w:t xml:space="preserve"> </w:t>
      </w:r>
      <w:r w:rsidRPr="005C7305">
        <w:rPr>
          <w:rFonts w:ascii="Arial" w:hAnsi="Arial" w:cs="Arial"/>
        </w:rPr>
        <w:t xml:space="preserve">(2025). Anthropogenic and hydroclimatic drivers of livelihood vulnerability in wetland communities: A geospatial and pragmatic assessment. </w:t>
      </w:r>
      <w:r w:rsidRPr="005C7305">
        <w:rPr>
          <w:rFonts w:ascii="Arial" w:hAnsi="Arial" w:cs="Arial"/>
          <w:i/>
          <w:iCs/>
        </w:rPr>
        <w:t>Water Resources Management</w:t>
      </w:r>
      <w:r w:rsidR="00DB1E1D" w:rsidRPr="005C7305">
        <w:rPr>
          <w:rFonts w:ascii="Arial" w:hAnsi="Arial" w:cs="Arial"/>
        </w:rPr>
        <w:t>,</w:t>
      </w:r>
      <w:r w:rsidR="00B30167" w:rsidRPr="005C7305">
        <w:rPr>
          <w:rFonts w:ascii="Arial" w:hAnsi="Arial" w:cs="Arial"/>
        </w:rPr>
        <w:t xml:space="preserve"> 39</w:t>
      </w:r>
      <w:r w:rsidR="00DB1E1D" w:rsidRPr="005C7305">
        <w:rPr>
          <w:rFonts w:ascii="Arial" w:hAnsi="Arial" w:cs="Arial"/>
        </w:rPr>
        <w:t>,</w:t>
      </w:r>
      <w:r w:rsidR="00B30167" w:rsidRPr="005C7305">
        <w:rPr>
          <w:rFonts w:ascii="Arial" w:hAnsi="Arial" w:cs="Arial"/>
        </w:rPr>
        <w:t xml:space="preserve"> 2503-2525. </w:t>
      </w:r>
      <w:r w:rsidRPr="005C7305">
        <w:rPr>
          <w:rFonts w:ascii="Arial" w:hAnsi="Arial" w:cs="Arial"/>
        </w:rPr>
        <w:t xml:space="preserve"> </w:t>
      </w:r>
      <w:hyperlink r:id="rId18" w:history="1">
        <w:r w:rsidR="00B30167" w:rsidRPr="005C7305">
          <w:rPr>
            <w:rStyle w:val="Hyperlink"/>
            <w:rFonts w:ascii="Arial" w:hAnsi="Arial" w:cs="Arial"/>
            <w:color w:val="auto"/>
          </w:rPr>
          <w:t>https://doi.org/10.1007/s11269-024-04075-5</w:t>
        </w:r>
      </w:hyperlink>
    </w:p>
    <w:p w14:paraId="652DE168" w14:textId="77777777" w:rsidR="005C7305" w:rsidRPr="005C7305" w:rsidRDefault="007F03B5" w:rsidP="005C7305">
      <w:pPr>
        <w:pStyle w:val="ListParagraph"/>
        <w:numPr>
          <w:ilvl w:val="0"/>
          <w:numId w:val="31"/>
        </w:numPr>
        <w:spacing w:after="100"/>
        <w:jc w:val="both"/>
        <w:rPr>
          <w:rFonts w:ascii="Arial" w:hAnsi="Arial" w:cs="Arial"/>
        </w:rPr>
      </w:pPr>
      <w:r w:rsidRPr="005C7305">
        <w:rPr>
          <w:rFonts w:ascii="Arial" w:hAnsi="Arial" w:cs="Arial"/>
        </w:rPr>
        <w:t xml:space="preserve">Jacob, M., Mathew, M. M., &amp; Ray, J. G. (2018). Critical analysis of the ‘Globally Important Agricultural Heritage System (GIAHS)’ of the FAO: A case study of </w:t>
      </w:r>
      <w:proofErr w:type="spellStart"/>
      <w:r w:rsidRPr="005C7305">
        <w:rPr>
          <w:rFonts w:ascii="Arial" w:hAnsi="Arial" w:cs="Arial"/>
        </w:rPr>
        <w:t>Kuttanad</w:t>
      </w:r>
      <w:proofErr w:type="spellEnd"/>
      <w:r w:rsidRPr="005C7305">
        <w:rPr>
          <w:rFonts w:ascii="Arial" w:hAnsi="Arial" w:cs="Arial"/>
        </w:rPr>
        <w:t xml:space="preserve">, South India. </w:t>
      </w:r>
      <w:r w:rsidRPr="005C7305">
        <w:rPr>
          <w:rFonts w:ascii="Arial" w:hAnsi="Arial" w:cs="Arial"/>
          <w:i/>
          <w:iCs/>
        </w:rPr>
        <w:t>Modern Concepts and Developments in Agronomy</w:t>
      </w:r>
      <w:r w:rsidRPr="005C7305">
        <w:rPr>
          <w:rFonts w:ascii="Arial" w:hAnsi="Arial" w:cs="Arial"/>
        </w:rPr>
        <w:t xml:space="preserve">, 2(5). </w:t>
      </w:r>
      <w:hyperlink r:id="rId19" w:history="1">
        <w:r w:rsidRPr="005C7305">
          <w:rPr>
            <w:rStyle w:val="Hyperlink"/>
            <w:rFonts w:ascii="Arial" w:hAnsi="Arial" w:cs="Arial"/>
            <w:color w:val="auto"/>
          </w:rPr>
          <w:t>https://doi.org/10.31031/mcda.2018.03.000560</w:t>
        </w:r>
      </w:hyperlink>
    </w:p>
    <w:p w14:paraId="160DBB61" w14:textId="77777777" w:rsidR="005C7305" w:rsidRPr="005C7305" w:rsidRDefault="00583124" w:rsidP="005C7305">
      <w:pPr>
        <w:pStyle w:val="ListParagraph"/>
        <w:numPr>
          <w:ilvl w:val="0"/>
          <w:numId w:val="31"/>
        </w:numPr>
        <w:spacing w:after="100"/>
        <w:jc w:val="both"/>
        <w:rPr>
          <w:rFonts w:ascii="Arial" w:hAnsi="Arial" w:cs="Arial"/>
        </w:rPr>
      </w:pPr>
      <w:r w:rsidRPr="005C7305">
        <w:rPr>
          <w:rFonts w:ascii="Arial" w:hAnsi="Arial" w:cs="Arial"/>
        </w:rPr>
        <w:t xml:space="preserve">Edwards, P., </w:t>
      </w:r>
      <w:proofErr w:type="spellStart"/>
      <w:r w:rsidRPr="005C7305">
        <w:rPr>
          <w:rFonts w:ascii="Arial" w:hAnsi="Arial" w:cs="Arial"/>
        </w:rPr>
        <w:t>Kaewpaitoon</w:t>
      </w:r>
      <w:proofErr w:type="spellEnd"/>
      <w:r w:rsidRPr="005C7305">
        <w:rPr>
          <w:rFonts w:ascii="Arial" w:hAnsi="Arial" w:cs="Arial"/>
        </w:rPr>
        <w:t xml:space="preserve">, K., McCoy, E. W., &amp; </w:t>
      </w:r>
      <w:proofErr w:type="spellStart"/>
      <w:r w:rsidRPr="005C7305">
        <w:rPr>
          <w:rFonts w:ascii="Arial" w:hAnsi="Arial" w:cs="Arial"/>
        </w:rPr>
        <w:t>Chantachaeng</w:t>
      </w:r>
      <w:proofErr w:type="spellEnd"/>
      <w:r w:rsidRPr="005C7305">
        <w:rPr>
          <w:rFonts w:ascii="Arial" w:hAnsi="Arial" w:cs="Arial"/>
        </w:rPr>
        <w:t xml:space="preserve">, C. (1986). Pilot small scale crop/livestock/fish integrated farm. </w:t>
      </w:r>
      <w:r w:rsidRPr="005C7305">
        <w:rPr>
          <w:rFonts w:ascii="Arial" w:hAnsi="Arial" w:cs="Arial"/>
          <w:i/>
          <w:iCs/>
        </w:rPr>
        <w:t>AIT Research Report 184</w:t>
      </w:r>
      <w:r w:rsidRPr="005C7305">
        <w:rPr>
          <w:rFonts w:ascii="Arial" w:hAnsi="Arial" w:cs="Arial"/>
        </w:rPr>
        <w:t>. Asian Institute of Technology, Bangkok, Thailand. p. 131.</w:t>
      </w:r>
    </w:p>
    <w:p w14:paraId="4FF26A7D" w14:textId="2CDF8568" w:rsidR="00EB073B" w:rsidRPr="005C7305" w:rsidRDefault="00EB073B" w:rsidP="005C7305">
      <w:pPr>
        <w:pStyle w:val="ListParagraph"/>
        <w:numPr>
          <w:ilvl w:val="0"/>
          <w:numId w:val="31"/>
        </w:numPr>
        <w:spacing w:after="100"/>
        <w:jc w:val="both"/>
        <w:rPr>
          <w:rFonts w:ascii="Arial" w:hAnsi="Arial" w:cs="Arial"/>
        </w:rPr>
      </w:pPr>
      <w:r w:rsidRPr="005C7305">
        <w:rPr>
          <w:rFonts w:ascii="Arial" w:hAnsi="Arial" w:cs="Arial"/>
        </w:rPr>
        <w:t xml:space="preserve">Swaminathan, M. S. (2007). Measures to mitigate agrarian distress in Alappuzha and </w:t>
      </w:r>
      <w:proofErr w:type="spellStart"/>
      <w:r w:rsidRPr="005C7305">
        <w:rPr>
          <w:rFonts w:ascii="Arial" w:hAnsi="Arial" w:cs="Arial"/>
        </w:rPr>
        <w:t>Kuttanad</w:t>
      </w:r>
      <w:proofErr w:type="spellEnd"/>
      <w:r w:rsidRPr="005C7305">
        <w:rPr>
          <w:rFonts w:ascii="Arial" w:hAnsi="Arial" w:cs="Arial"/>
        </w:rPr>
        <w:t xml:space="preserve"> wetland ecosystem. Retrieved from </w:t>
      </w:r>
      <w:hyperlink r:id="rId20" w:history="1">
        <w:r w:rsidR="007F03B5" w:rsidRPr="005C7305">
          <w:rPr>
            <w:rStyle w:val="Hyperlink"/>
            <w:rFonts w:ascii="Arial" w:hAnsi="Arial" w:cs="Arial"/>
            <w:color w:val="auto"/>
            <w:lang w:val="en-IN"/>
          </w:rPr>
          <w:t>http://59.160.153.188/library/node/667</w:t>
        </w:r>
      </w:hyperlink>
    </w:p>
    <w:p w14:paraId="502EB791" w14:textId="71AFD8C9" w:rsidR="006A60D3" w:rsidRPr="005C7305" w:rsidRDefault="006A60D3" w:rsidP="006A60D3">
      <w:pPr>
        <w:pStyle w:val="ListParagraph"/>
        <w:numPr>
          <w:ilvl w:val="0"/>
          <w:numId w:val="31"/>
        </w:numPr>
        <w:spacing w:after="100"/>
        <w:jc w:val="both"/>
        <w:rPr>
          <w:rFonts w:ascii="Arial" w:hAnsi="Arial" w:cs="Arial"/>
        </w:rPr>
      </w:pPr>
      <w:r w:rsidRPr="005C7305">
        <w:rPr>
          <w:rFonts w:ascii="Arial" w:hAnsi="Arial" w:cs="Arial"/>
        </w:rPr>
        <w:t>Bhagat, T., Walia. S. S., Sharma. K., Singh. R., Singh. G., &amp; Hossain. A. (2024). The integrated farming system is an environmentally friendly and cost-effective approach to the sustainability of agri-food systems in the modern era of the changing climate: A comprehensive review</w:t>
      </w:r>
      <w:r w:rsidRPr="005C7305">
        <w:rPr>
          <w:rFonts w:ascii="Arial" w:hAnsi="Arial" w:cs="Arial"/>
          <w:i/>
          <w:iCs/>
        </w:rPr>
        <w:t>. Food and Energy Security</w:t>
      </w:r>
      <w:r w:rsidR="00DB1E1D" w:rsidRPr="005C7305">
        <w:rPr>
          <w:rFonts w:ascii="Arial" w:hAnsi="Arial" w:cs="Arial"/>
        </w:rPr>
        <w:t>,</w:t>
      </w:r>
      <w:r w:rsidRPr="005C7305">
        <w:rPr>
          <w:rFonts w:ascii="Arial" w:hAnsi="Arial" w:cs="Arial"/>
        </w:rPr>
        <w:t xml:space="preserve"> 13</w:t>
      </w:r>
      <w:r w:rsidR="00DB1E1D" w:rsidRPr="005C7305">
        <w:rPr>
          <w:rFonts w:ascii="Arial" w:hAnsi="Arial" w:cs="Arial"/>
        </w:rPr>
        <w:t>,</w:t>
      </w:r>
      <w:r w:rsidRPr="005C7305">
        <w:rPr>
          <w:rFonts w:ascii="Arial" w:hAnsi="Arial" w:cs="Arial"/>
        </w:rPr>
        <w:t xml:space="preserve"> e534.  </w:t>
      </w:r>
      <w:hyperlink r:id="rId21" w:history="1">
        <w:r w:rsidRPr="005C7305">
          <w:rPr>
            <w:rStyle w:val="Hyperlink"/>
            <w:rFonts w:ascii="Arial" w:hAnsi="Arial" w:cs="Arial"/>
            <w:color w:val="auto"/>
          </w:rPr>
          <w:t>https://doi.org/10.1002/fes3.534</w:t>
        </w:r>
      </w:hyperlink>
    </w:p>
    <w:p w14:paraId="17C6EAB2" w14:textId="183CAFDE" w:rsidR="00DC02A4" w:rsidRPr="005C7305" w:rsidRDefault="00DC02A4" w:rsidP="00DC02A4">
      <w:pPr>
        <w:pStyle w:val="ListParagraph"/>
        <w:numPr>
          <w:ilvl w:val="0"/>
          <w:numId w:val="31"/>
        </w:numPr>
        <w:spacing w:after="100"/>
        <w:jc w:val="both"/>
        <w:rPr>
          <w:rFonts w:ascii="Arial" w:hAnsi="Arial" w:cs="Arial"/>
        </w:rPr>
      </w:pPr>
      <w:r w:rsidRPr="005C7305">
        <w:rPr>
          <w:rFonts w:ascii="Arial" w:hAnsi="Arial" w:cs="Arial"/>
        </w:rPr>
        <w:t>Paramesh, V., Ravisankar, N., Behera, U. K., Arunachalam, V., Kumar, P.,</w:t>
      </w:r>
      <w:r w:rsidR="008D0CD5">
        <w:rPr>
          <w:rFonts w:ascii="Arial" w:hAnsi="Arial" w:cs="Arial"/>
        </w:rPr>
        <w:t xml:space="preserve"> &amp;</w:t>
      </w:r>
      <w:r w:rsidRPr="005C7305">
        <w:rPr>
          <w:rFonts w:ascii="Arial" w:hAnsi="Arial" w:cs="Arial"/>
        </w:rPr>
        <w:t xml:space="preserve"> Rajkumar, R. S</w:t>
      </w:r>
      <w:r w:rsidR="008D0CD5">
        <w:rPr>
          <w:rFonts w:ascii="Arial" w:hAnsi="Arial" w:cs="Arial"/>
        </w:rPr>
        <w:t>, et al</w:t>
      </w:r>
      <w:r w:rsidRPr="005C7305">
        <w:rPr>
          <w:rFonts w:ascii="Arial" w:hAnsi="Arial" w:cs="Arial"/>
        </w:rPr>
        <w:t xml:space="preserve">. (2022a). Integrated farming system approaches to achieve food and nutritional security for enhancing profitability, employment, and climate resilience in India. </w:t>
      </w:r>
      <w:r w:rsidRPr="005C7305">
        <w:rPr>
          <w:rFonts w:ascii="Arial" w:hAnsi="Arial" w:cs="Arial"/>
          <w:i/>
          <w:iCs/>
        </w:rPr>
        <w:t>Food and Energy Security</w:t>
      </w:r>
      <w:r w:rsidRPr="005C7305">
        <w:rPr>
          <w:rFonts w:ascii="Arial" w:hAnsi="Arial" w:cs="Arial"/>
        </w:rPr>
        <w:t xml:space="preserve">, 11(2), e321. </w:t>
      </w:r>
      <w:hyperlink r:id="rId22" w:history="1">
        <w:r w:rsidRPr="005C7305">
          <w:rPr>
            <w:rStyle w:val="Hyperlink"/>
            <w:rFonts w:ascii="Arial" w:hAnsi="Arial" w:cs="Arial"/>
            <w:color w:val="auto"/>
          </w:rPr>
          <w:t>https://doi.org/10.1002/fes3.321</w:t>
        </w:r>
      </w:hyperlink>
    </w:p>
    <w:p w14:paraId="56F7792C" w14:textId="021027DC" w:rsidR="00DC02A4" w:rsidRPr="005C7305" w:rsidRDefault="00DC02A4" w:rsidP="00DC02A4">
      <w:pPr>
        <w:pStyle w:val="ListParagraph"/>
        <w:numPr>
          <w:ilvl w:val="0"/>
          <w:numId w:val="31"/>
        </w:numPr>
        <w:spacing w:after="100"/>
        <w:jc w:val="both"/>
        <w:rPr>
          <w:rFonts w:ascii="Arial" w:hAnsi="Arial" w:cs="Arial"/>
        </w:rPr>
      </w:pPr>
      <w:r w:rsidRPr="005C7305">
        <w:rPr>
          <w:rFonts w:ascii="Arial" w:hAnsi="Arial" w:cs="Arial"/>
        </w:rPr>
        <w:t>Paramesh, V., Kumar, P., Shamim, M., Ravisankar, N., Arunachalam, V.,</w:t>
      </w:r>
      <w:r w:rsidR="00473DD6">
        <w:rPr>
          <w:rFonts w:ascii="Arial" w:hAnsi="Arial" w:cs="Arial"/>
        </w:rPr>
        <w:t xml:space="preserve"> &amp;</w:t>
      </w:r>
      <w:r w:rsidRPr="005C7305">
        <w:rPr>
          <w:rFonts w:ascii="Arial" w:hAnsi="Arial" w:cs="Arial"/>
        </w:rPr>
        <w:t xml:space="preserve"> Nath, A. J</w:t>
      </w:r>
      <w:r w:rsidR="00473DD6">
        <w:rPr>
          <w:rFonts w:ascii="Arial" w:hAnsi="Arial" w:cs="Arial"/>
        </w:rPr>
        <w:t>, et al.</w:t>
      </w:r>
      <w:r w:rsidRPr="005C7305">
        <w:rPr>
          <w:rFonts w:ascii="Arial" w:hAnsi="Arial" w:cs="Arial"/>
        </w:rPr>
        <w:t xml:space="preserve"> (2022b). Integrated Farming Systems as an adaptation strategy to climate change: Case studies from diverse </w:t>
      </w:r>
      <w:proofErr w:type="spellStart"/>
      <w:r w:rsidRPr="005C7305">
        <w:rPr>
          <w:rFonts w:ascii="Arial" w:hAnsi="Arial" w:cs="Arial"/>
        </w:rPr>
        <w:t>agro</w:t>
      </w:r>
      <w:proofErr w:type="spellEnd"/>
      <w:r w:rsidRPr="005C7305">
        <w:rPr>
          <w:rFonts w:ascii="Arial" w:hAnsi="Arial" w:cs="Arial"/>
        </w:rPr>
        <w:t xml:space="preserve">-climatic zones of India. </w:t>
      </w:r>
      <w:r w:rsidRPr="005C7305">
        <w:rPr>
          <w:rFonts w:ascii="Arial" w:hAnsi="Arial" w:cs="Arial"/>
          <w:i/>
          <w:iCs/>
        </w:rPr>
        <w:t>Sustainability</w:t>
      </w:r>
      <w:r w:rsidRPr="005C7305">
        <w:rPr>
          <w:rFonts w:ascii="Arial" w:hAnsi="Arial" w:cs="Arial"/>
        </w:rPr>
        <w:t xml:space="preserve">, 14(18), 11629. </w:t>
      </w:r>
      <w:hyperlink r:id="rId23" w:history="1">
        <w:r w:rsidRPr="005C7305">
          <w:rPr>
            <w:rStyle w:val="Hyperlink"/>
            <w:rFonts w:ascii="Arial" w:hAnsi="Arial" w:cs="Arial"/>
            <w:color w:val="auto"/>
          </w:rPr>
          <w:t>https://doi.org/10.3390/su141811629</w:t>
        </w:r>
      </w:hyperlink>
    </w:p>
    <w:p w14:paraId="68E6875F" w14:textId="3D4D1078" w:rsidR="00A61DD8" w:rsidRPr="005C7305" w:rsidRDefault="00C7071B" w:rsidP="00046D90">
      <w:pPr>
        <w:pStyle w:val="ListParagraph"/>
        <w:numPr>
          <w:ilvl w:val="0"/>
          <w:numId w:val="31"/>
        </w:numPr>
        <w:jc w:val="both"/>
        <w:rPr>
          <w:rFonts w:ascii="Arial" w:hAnsi="Arial" w:cs="Arial"/>
        </w:rPr>
      </w:pPr>
      <w:r w:rsidRPr="005C7305">
        <w:rPr>
          <w:rFonts w:ascii="Arial" w:hAnsi="Arial" w:cs="Arial"/>
        </w:rPr>
        <w:t xml:space="preserve">Raghavendra, K. J., John, J., Jacob, D., Rajendran, T., </w:t>
      </w:r>
      <w:proofErr w:type="spellStart"/>
      <w:r w:rsidRPr="005C7305">
        <w:rPr>
          <w:rFonts w:ascii="Arial" w:hAnsi="Arial" w:cs="Arial"/>
        </w:rPr>
        <w:t>Prusty</w:t>
      </w:r>
      <w:proofErr w:type="spellEnd"/>
      <w:r w:rsidRPr="005C7305">
        <w:rPr>
          <w:rFonts w:ascii="Arial" w:hAnsi="Arial" w:cs="Arial"/>
        </w:rPr>
        <w:t xml:space="preserve">, A. K., </w:t>
      </w:r>
      <w:r w:rsidR="00473DD6">
        <w:rPr>
          <w:rFonts w:ascii="Arial" w:hAnsi="Arial" w:cs="Arial"/>
        </w:rPr>
        <w:t xml:space="preserve">&amp; </w:t>
      </w:r>
      <w:r w:rsidRPr="005C7305">
        <w:rPr>
          <w:rFonts w:ascii="Arial" w:hAnsi="Arial" w:cs="Arial"/>
        </w:rPr>
        <w:t>Ansari, M. A</w:t>
      </w:r>
      <w:r w:rsidR="00473DD6">
        <w:rPr>
          <w:rFonts w:ascii="Arial" w:hAnsi="Arial" w:cs="Arial"/>
        </w:rPr>
        <w:t xml:space="preserve">, et al. </w:t>
      </w:r>
      <w:r w:rsidRPr="005C7305">
        <w:rPr>
          <w:rFonts w:ascii="Arial" w:hAnsi="Arial" w:cs="Arial"/>
        </w:rPr>
        <w:t xml:space="preserve">(2024). Unraveling determinants of integrated farming systems adoption for sustainable livelihood and dietary diversity. </w:t>
      </w:r>
      <w:r w:rsidRPr="005C7305">
        <w:rPr>
          <w:rFonts w:ascii="Arial" w:hAnsi="Arial" w:cs="Arial"/>
          <w:i/>
          <w:iCs/>
        </w:rPr>
        <w:t>Frontiers in Nutrition</w:t>
      </w:r>
      <w:r w:rsidRPr="005C7305">
        <w:rPr>
          <w:rFonts w:ascii="Arial" w:hAnsi="Arial" w:cs="Arial"/>
        </w:rPr>
        <w:t xml:space="preserve">, 11, 1264658. </w:t>
      </w:r>
      <w:hyperlink r:id="rId24" w:history="1">
        <w:r w:rsidRPr="005C7305">
          <w:rPr>
            <w:rStyle w:val="Hyperlink"/>
            <w:rFonts w:ascii="Arial" w:hAnsi="Arial" w:cs="Arial"/>
            <w:color w:val="auto"/>
          </w:rPr>
          <w:t>https://doi.org/10.3389/fnut.2024.1264658</w:t>
        </w:r>
      </w:hyperlink>
    </w:p>
    <w:p w14:paraId="18A57D47" w14:textId="14DF8C05" w:rsidR="00A61DD8" w:rsidRPr="005C7305" w:rsidRDefault="00EB073B" w:rsidP="0084016E">
      <w:pPr>
        <w:pStyle w:val="ListParagraph"/>
        <w:numPr>
          <w:ilvl w:val="0"/>
          <w:numId w:val="31"/>
        </w:numPr>
        <w:jc w:val="both"/>
        <w:rPr>
          <w:rFonts w:ascii="Arial" w:hAnsi="Arial" w:cs="Arial"/>
        </w:rPr>
      </w:pPr>
      <w:r w:rsidRPr="005C7305">
        <w:rPr>
          <w:rFonts w:ascii="Arial" w:eastAsia="Arial" w:hAnsi="Arial" w:cs="Arial"/>
          <w:lang w:val="fr-FR"/>
        </w:rPr>
        <w:t xml:space="preserve">Sri Chandana, T., Praveena, P. L. R. J., Lakshmi, T., Subramanyam, D., &amp; Ravindra Reddy, B. (2023). </w:t>
      </w:r>
      <w:r w:rsidRPr="005C7305">
        <w:rPr>
          <w:rFonts w:ascii="Arial" w:eastAsia="Arial" w:hAnsi="Arial" w:cs="Arial"/>
        </w:rPr>
        <w:t xml:space="preserve">Sustainable livelihood security of integrated farming systems practicing farmers through different enterprise combinations in Andhra Pradesh. </w:t>
      </w:r>
      <w:r w:rsidRPr="005C7305">
        <w:rPr>
          <w:rFonts w:ascii="Arial" w:eastAsia="Arial" w:hAnsi="Arial" w:cs="Arial"/>
          <w:i/>
          <w:iCs/>
        </w:rPr>
        <w:t>Indian Journal of Extension Education</w:t>
      </w:r>
      <w:r w:rsidRPr="005C7305">
        <w:rPr>
          <w:rFonts w:ascii="Arial" w:eastAsia="Arial" w:hAnsi="Arial" w:cs="Arial"/>
        </w:rPr>
        <w:t>, 59(1), 101–106.</w:t>
      </w:r>
      <w:r w:rsidR="00A61DD8" w:rsidRPr="005C7305">
        <w:rPr>
          <w:rFonts w:ascii="Arial" w:hAnsi="Arial" w:cs="Arial"/>
        </w:rPr>
        <w:t xml:space="preserve"> </w:t>
      </w:r>
      <w:hyperlink r:id="rId25" w:history="1">
        <w:r w:rsidR="00A61DD8" w:rsidRPr="005C7305">
          <w:rPr>
            <w:rStyle w:val="Hyperlink"/>
            <w:rFonts w:ascii="Arial" w:eastAsia="Arial" w:hAnsi="Arial" w:cs="Arial"/>
            <w:color w:val="auto"/>
          </w:rPr>
          <w:t>https://doi.org/10.48165/IJEE.2023.59121</w:t>
        </w:r>
      </w:hyperlink>
    </w:p>
    <w:p w14:paraId="2B04A47E" w14:textId="77777777" w:rsidR="0084016E" w:rsidRPr="005C7305" w:rsidRDefault="0084016E" w:rsidP="0084016E">
      <w:pPr>
        <w:pStyle w:val="ListParagraph"/>
        <w:numPr>
          <w:ilvl w:val="0"/>
          <w:numId w:val="31"/>
        </w:numPr>
        <w:spacing w:after="100"/>
        <w:jc w:val="both"/>
        <w:rPr>
          <w:rFonts w:ascii="Arial" w:hAnsi="Arial" w:cs="Arial"/>
        </w:rPr>
      </w:pPr>
      <w:r w:rsidRPr="005C7305">
        <w:rPr>
          <w:rFonts w:ascii="Arial" w:hAnsi="Arial" w:cs="Arial"/>
        </w:rPr>
        <w:lastRenderedPageBreak/>
        <w:t xml:space="preserve">Sabyasachi, P., Seema, N., Harikrishna, Y. V., &amp; </w:t>
      </w:r>
      <w:proofErr w:type="spellStart"/>
      <w:r w:rsidRPr="005C7305">
        <w:rPr>
          <w:rFonts w:ascii="Arial" w:hAnsi="Arial" w:cs="Arial"/>
        </w:rPr>
        <w:t>Venkteshwar</w:t>
      </w:r>
      <w:proofErr w:type="spellEnd"/>
      <w:r w:rsidRPr="005C7305">
        <w:rPr>
          <w:rFonts w:ascii="Arial" w:hAnsi="Arial" w:cs="Arial"/>
        </w:rPr>
        <w:t xml:space="preserve">, J. (2021). Socio-economic correlates of livelihood security of small farmers in Jabalpur district of Madhya Pradesh. </w:t>
      </w:r>
      <w:r w:rsidRPr="005C7305">
        <w:rPr>
          <w:rFonts w:ascii="Arial" w:hAnsi="Arial" w:cs="Arial"/>
          <w:i/>
          <w:iCs/>
        </w:rPr>
        <w:t>Indian Journal of Extension Education</w:t>
      </w:r>
      <w:r w:rsidRPr="005C7305">
        <w:rPr>
          <w:rFonts w:ascii="Arial" w:hAnsi="Arial" w:cs="Arial"/>
        </w:rPr>
        <w:t xml:space="preserve">, 57(3), 57–59. </w:t>
      </w:r>
      <w:hyperlink r:id="rId26" w:history="1">
        <w:r w:rsidRPr="005C7305">
          <w:rPr>
            <w:rStyle w:val="Hyperlink"/>
            <w:rFonts w:ascii="Arial" w:hAnsi="Arial" w:cs="Arial"/>
            <w:color w:val="auto"/>
          </w:rPr>
          <w:t>https://doi.org/10.48165/IJEE.2021.57314</w:t>
        </w:r>
      </w:hyperlink>
    </w:p>
    <w:p w14:paraId="43A0CA58" w14:textId="0D360477" w:rsidR="0084016E" w:rsidRPr="005C7305" w:rsidRDefault="0084016E" w:rsidP="00F5792D">
      <w:pPr>
        <w:pStyle w:val="ListParagraph"/>
        <w:numPr>
          <w:ilvl w:val="0"/>
          <w:numId w:val="31"/>
        </w:numPr>
        <w:spacing w:after="100"/>
        <w:jc w:val="both"/>
        <w:rPr>
          <w:rFonts w:ascii="Arial" w:hAnsi="Arial" w:cs="Arial"/>
        </w:rPr>
      </w:pPr>
      <w:r w:rsidRPr="005C7305">
        <w:rPr>
          <w:rFonts w:ascii="Arial" w:hAnsi="Arial" w:cs="Arial"/>
        </w:rPr>
        <w:t xml:space="preserve">Hidayat, A. S., </w:t>
      </w:r>
      <w:proofErr w:type="spellStart"/>
      <w:r w:rsidRPr="005C7305">
        <w:rPr>
          <w:rFonts w:ascii="Arial" w:hAnsi="Arial" w:cs="Arial"/>
        </w:rPr>
        <w:t>Rajiani</w:t>
      </w:r>
      <w:proofErr w:type="spellEnd"/>
      <w:r w:rsidRPr="005C7305">
        <w:rPr>
          <w:rFonts w:ascii="Arial" w:hAnsi="Arial" w:cs="Arial"/>
        </w:rPr>
        <w:t xml:space="preserve">, I., &amp; </w:t>
      </w:r>
      <w:proofErr w:type="spellStart"/>
      <w:r w:rsidRPr="005C7305">
        <w:rPr>
          <w:rFonts w:ascii="Arial" w:hAnsi="Arial" w:cs="Arial"/>
        </w:rPr>
        <w:t>Arisanty</w:t>
      </w:r>
      <w:proofErr w:type="spellEnd"/>
      <w:r w:rsidRPr="005C7305">
        <w:rPr>
          <w:rFonts w:ascii="Arial" w:hAnsi="Arial" w:cs="Arial"/>
        </w:rPr>
        <w:t xml:space="preserve">, D. (2022). Sustainability of floodplain wetland fisheries of rural Indonesia: Does culture enhance livelihood resilience? </w:t>
      </w:r>
      <w:r w:rsidRPr="005C7305">
        <w:rPr>
          <w:rFonts w:ascii="Arial" w:hAnsi="Arial" w:cs="Arial"/>
          <w:i/>
          <w:iCs/>
        </w:rPr>
        <w:t>Sustainability</w:t>
      </w:r>
      <w:r w:rsidRPr="005C7305">
        <w:rPr>
          <w:rFonts w:ascii="Arial" w:hAnsi="Arial" w:cs="Arial"/>
        </w:rPr>
        <w:t xml:space="preserve">, 14(1), 241. </w:t>
      </w:r>
      <w:hyperlink r:id="rId27" w:history="1">
        <w:r w:rsidRPr="005C7305">
          <w:rPr>
            <w:rStyle w:val="Hyperlink"/>
            <w:rFonts w:ascii="Arial" w:hAnsi="Arial" w:cs="Arial"/>
            <w:color w:val="auto"/>
          </w:rPr>
          <w:t>https://doi.org/10.3390/su14010241</w:t>
        </w:r>
      </w:hyperlink>
    </w:p>
    <w:p w14:paraId="48F80A83" w14:textId="496188A3" w:rsidR="00F84171" w:rsidRPr="005C7305" w:rsidRDefault="00F84171" w:rsidP="0084016E">
      <w:pPr>
        <w:pStyle w:val="ListParagraph"/>
        <w:numPr>
          <w:ilvl w:val="0"/>
          <w:numId w:val="31"/>
        </w:numPr>
        <w:spacing w:after="100"/>
        <w:jc w:val="both"/>
        <w:rPr>
          <w:rFonts w:ascii="Arial" w:hAnsi="Arial" w:cs="Arial"/>
        </w:rPr>
      </w:pPr>
      <w:r w:rsidRPr="005C7305">
        <w:rPr>
          <w:rFonts w:ascii="Arial" w:hAnsi="Arial" w:cs="Arial"/>
        </w:rPr>
        <w:t xml:space="preserve">Singh, V.K., Rathore, S.S., Singh, R.K., Upadhyay, P.K., Shekhawat, K., 2020. Integrated farming system approach for enhanced farm productivity, climate resilience and doubling farmers' income. </w:t>
      </w:r>
      <w:r w:rsidRPr="005C7305">
        <w:rPr>
          <w:rFonts w:ascii="Arial" w:hAnsi="Arial" w:cs="Arial"/>
          <w:i/>
          <w:iCs/>
        </w:rPr>
        <w:t>Indian Journal of Agriculture Science</w:t>
      </w:r>
      <w:r w:rsidRPr="005C7305">
        <w:rPr>
          <w:rFonts w:ascii="Arial" w:hAnsi="Arial" w:cs="Arial"/>
        </w:rPr>
        <w:t>. 90 (8), 1378–1388.</w:t>
      </w:r>
      <w:r w:rsidR="00F5792D" w:rsidRPr="005C7305">
        <w:rPr>
          <w:rFonts w:ascii="Arial" w:hAnsi="Arial" w:cs="Arial"/>
        </w:rPr>
        <w:t xml:space="preserve"> </w:t>
      </w:r>
      <w:hyperlink r:id="rId28" w:history="1">
        <w:r w:rsidR="00F5792D" w:rsidRPr="005C7305">
          <w:rPr>
            <w:rStyle w:val="Hyperlink"/>
            <w:rFonts w:ascii="Arial" w:hAnsi="Arial" w:cs="Arial"/>
            <w:color w:val="auto"/>
          </w:rPr>
          <w:t>https://doi.org/10.56093/ijas.v90i8.105884</w:t>
        </w:r>
      </w:hyperlink>
    </w:p>
    <w:p w14:paraId="148BCB1B" w14:textId="77777777" w:rsidR="00F5792D" w:rsidRPr="005C7305" w:rsidRDefault="00F5792D" w:rsidP="00857C48">
      <w:pPr>
        <w:pStyle w:val="ListParagraph"/>
        <w:numPr>
          <w:ilvl w:val="0"/>
          <w:numId w:val="31"/>
        </w:numPr>
        <w:jc w:val="both"/>
        <w:rPr>
          <w:rFonts w:ascii="Arial" w:hAnsi="Arial" w:cs="Arial"/>
        </w:rPr>
      </w:pPr>
      <w:r w:rsidRPr="005C7305">
        <w:rPr>
          <w:rFonts w:ascii="Arial" w:hAnsi="Arial" w:cs="Arial"/>
        </w:rPr>
        <w:t>Kowsalya, K. S.&amp; Krishnamurthy, B. (2017). A Comparative Analysis of Livelihood Security among Beneficiaries and Non-Beneficiaries of Integrated Farming System Demonstration. </w:t>
      </w:r>
      <w:r w:rsidRPr="005C7305">
        <w:rPr>
          <w:rFonts w:ascii="Arial" w:hAnsi="Arial" w:cs="Arial"/>
          <w:i/>
          <w:iCs/>
        </w:rPr>
        <w:t>Mysore Journal of Agricultural Sciences</w:t>
      </w:r>
      <w:r w:rsidRPr="005C7305">
        <w:rPr>
          <w:rFonts w:ascii="Arial" w:hAnsi="Arial" w:cs="Arial"/>
        </w:rPr>
        <w:t>, 51 (2), 309-314. </w:t>
      </w:r>
    </w:p>
    <w:p w14:paraId="61A15EBB" w14:textId="4A255071" w:rsidR="00B80404" w:rsidRPr="005C7305" w:rsidRDefault="00433B01" w:rsidP="00857C48">
      <w:pPr>
        <w:pStyle w:val="ListParagraph"/>
        <w:numPr>
          <w:ilvl w:val="0"/>
          <w:numId w:val="31"/>
        </w:numPr>
        <w:jc w:val="both"/>
        <w:rPr>
          <w:rFonts w:ascii="Arial" w:hAnsi="Arial" w:cs="Arial"/>
        </w:rPr>
      </w:pPr>
      <w:r w:rsidRPr="005C7305">
        <w:rPr>
          <w:rFonts w:ascii="Arial" w:hAnsi="Arial" w:cs="Arial"/>
        </w:rPr>
        <w:t xml:space="preserve">Begum, R. A., Miah, M. A. M., Rahman, M. Z., &amp; Sarker, M. A. (2016). Effect of integrated farming system in changing household food security of farmers in a Haor area. </w:t>
      </w:r>
      <w:r w:rsidRPr="005C7305">
        <w:rPr>
          <w:rFonts w:ascii="Arial" w:hAnsi="Arial" w:cs="Arial"/>
          <w:i/>
          <w:iCs/>
        </w:rPr>
        <w:t>Bangladesh Journal of Extension Education</w:t>
      </w:r>
      <w:r w:rsidRPr="005C7305">
        <w:rPr>
          <w:rFonts w:ascii="Arial" w:hAnsi="Arial" w:cs="Arial"/>
        </w:rPr>
        <w:t>, 28(1&amp;2), 83–90.</w:t>
      </w:r>
    </w:p>
    <w:p w14:paraId="2725123F" w14:textId="56EF07B0" w:rsidR="00F5792D" w:rsidRPr="005C7305" w:rsidRDefault="00F5792D" w:rsidP="00F5792D">
      <w:pPr>
        <w:pStyle w:val="ListParagraph"/>
        <w:numPr>
          <w:ilvl w:val="0"/>
          <w:numId w:val="31"/>
        </w:numPr>
        <w:spacing w:after="100"/>
        <w:jc w:val="both"/>
        <w:rPr>
          <w:rFonts w:ascii="Arial" w:hAnsi="Arial" w:cs="Arial"/>
        </w:rPr>
      </w:pPr>
      <w:r w:rsidRPr="005C7305">
        <w:rPr>
          <w:rFonts w:ascii="Arial" w:hAnsi="Arial" w:cs="Arial"/>
        </w:rPr>
        <w:t xml:space="preserve">Fatima, S., Singh, V. K., Babu, S., Singh, R., Upadhyay, </w:t>
      </w:r>
      <w:r w:rsidR="00473DD6">
        <w:rPr>
          <w:rFonts w:ascii="Arial" w:hAnsi="Arial" w:cs="Arial"/>
        </w:rPr>
        <w:t xml:space="preserve">&amp; </w:t>
      </w:r>
      <w:r w:rsidRPr="005C7305">
        <w:rPr>
          <w:rFonts w:ascii="Arial" w:hAnsi="Arial" w:cs="Arial"/>
        </w:rPr>
        <w:t>P. K., Rathore,</w:t>
      </w:r>
      <w:r w:rsidR="00473DD6">
        <w:rPr>
          <w:rFonts w:ascii="Arial" w:hAnsi="Arial" w:cs="Arial"/>
        </w:rPr>
        <w:t xml:space="preserve"> et.al. </w:t>
      </w:r>
      <w:r w:rsidRPr="005C7305">
        <w:rPr>
          <w:rFonts w:ascii="Arial" w:hAnsi="Arial" w:cs="Arial"/>
        </w:rPr>
        <w:t xml:space="preserve">(2023). Food production potential and environmental sustainability of different integrated farming system models in northwest India. </w:t>
      </w:r>
      <w:r w:rsidRPr="005C7305">
        <w:rPr>
          <w:rFonts w:ascii="Arial" w:hAnsi="Arial" w:cs="Arial"/>
          <w:i/>
          <w:iCs/>
        </w:rPr>
        <w:t>Frontiers in Sustainable Food Systems</w:t>
      </w:r>
      <w:r w:rsidRPr="005C7305">
        <w:rPr>
          <w:rFonts w:ascii="Arial" w:hAnsi="Arial" w:cs="Arial"/>
        </w:rPr>
        <w:t xml:space="preserve">, 7. </w:t>
      </w:r>
      <w:hyperlink r:id="rId29" w:history="1">
        <w:r w:rsidRPr="005C7305">
          <w:rPr>
            <w:rStyle w:val="Hyperlink"/>
            <w:rFonts w:ascii="Arial" w:hAnsi="Arial" w:cs="Arial"/>
            <w:color w:val="auto"/>
          </w:rPr>
          <w:t>https://doi.org/10.3389/fsufs.2023.959464</w:t>
        </w:r>
      </w:hyperlink>
    </w:p>
    <w:p w14:paraId="188ED242" w14:textId="5493A20B" w:rsidR="006306F2" w:rsidRPr="005C7305" w:rsidRDefault="00457C4A" w:rsidP="006306F2">
      <w:pPr>
        <w:pStyle w:val="ListParagraph"/>
        <w:numPr>
          <w:ilvl w:val="0"/>
          <w:numId w:val="31"/>
        </w:numPr>
        <w:spacing w:after="100"/>
        <w:jc w:val="both"/>
        <w:rPr>
          <w:rFonts w:ascii="Arial" w:hAnsi="Arial" w:cs="Arial"/>
        </w:rPr>
      </w:pPr>
      <w:proofErr w:type="spellStart"/>
      <w:r w:rsidRPr="005C7305">
        <w:rPr>
          <w:rFonts w:ascii="Arial" w:hAnsi="Arial" w:cs="Arial"/>
        </w:rPr>
        <w:t>Puste</w:t>
      </w:r>
      <w:proofErr w:type="spellEnd"/>
      <w:r w:rsidRPr="005C7305">
        <w:rPr>
          <w:rFonts w:ascii="Arial" w:hAnsi="Arial" w:cs="Arial"/>
        </w:rPr>
        <w:t xml:space="preserve">, A. M., Tanuj, K. M., Dasgupta, M., &amp; Maity, T. K. (2013). Productivity, profitability and livelihood improvement through integrated farming system for new alluvial zone of West Bengal. </w:t>
      </w:r>
      <w:r w:rsidRPr="005C7305">
        <w:rPr>
          <w:rFonts w:ascii="Arial" w:hAnsi="Arial" w:cs="Arial"/>
          <w:i/>
          <w:iCs/>
        </w:rPr>
        <w:t>Indian Journal of Agronomy</w:t>
      </w:r>
      <w:r w:rsidRPr="005C7305">
        <w:rPr>
          <w:rFonts w:ascii="Arial" w:hAnsi="Arial" w:cs="Arial"/>
        </w:rPr>
        <w:t>, 58(4), 451–458.</w:t>
      </w:r>
      <w:r w:rsidR="006306F2" w:rsidRPr="005C7305">
        <w:rPr>
          <w:rFonts w:ascii="Arial" w:hAnsi="Arial" w:cs="Arial"/>
        </w:rPr>
        <w:t xml:space="preserve"> </w:t>
      </w:r>
      <w:hyperlink r:id="rId30" w:history="1">
        <w:r w:rsidR="006306F2" w:rsidRPr="005C7305">
          <w:rPr>
            <w:rStyle w:val="Hyperlink"/>
            <w:rFonts w:ascii="Arial" w:hAnsi="Arial" w:cs="Arial"/>
            <w:color w:val="auto"/>
          </w:rPr>
          <w:t>https://doi.org/10.59797/ija.v58i4.4235</w:t>
        </w:r>
      </w:hyperlink>
    </w:p>
    <w:p w14:paraId="7D40C53B" w14:textId="6AD93FCC" w:rsidR="00457C4A" w:rsidRPr="005C7305" w:rsidRDefault="00B2296E" w:rsidP="006306F2">
      <w:pPr>
        <w:pStyle w:val="ListParagraph"/>
        <w:numPr>
          <w:ilvl w:val="0"/>
          <w:numId w:val="31"/>
        </w:numPr>
        <w:spacing w:after="100"/>
        <w:jc w:val="both"/>
        <w:rPr>
          <w:rFonts w:ascii="Arial" w:hAnsi="Arial" w:cs="Arial"/>
        </w:rPr>
      </w:pPr>
      <w:r w:rsidRPr="005C7305">
        <w:rPr>
          <w:rFonts w:ascii="Arial" w:hAnsi="Arial" w:cs="Arial"/>
        </w:rPr>
        <w:t xml:space="preserve">Shivaji, A., Gopal, S., Senthilkumar, R., Meena, B. S., &amp; Sagar, W. (2018). Assessing livelihood variation among smallholders </w:t>
      </w:r>
      <w:proofErr w:type="spellStart"/>
      <w:r w:rsidRPr="005C7305">
        <w:rPr>
          <w:rFonts w:ascii="Arial" w:hAnsi="Arial" w:cs="Arial"/>
        </w:rPr>
        <w:t>practising</w:t>
      </w:r>
      <w:proofErr w:type="spellEnd"/>
      <w:r w:rsidRPr="005C7305">
        <w:rPr>
          <w:rFonts w:ascii="Arial" w:hAnsi="Arial" w:cs="Arial"/>
        </w:rPr>
        <w:t xml:space="preserve"> integrated farming systems in tribal areas of Maharashtra. </w:t>
      </w:r>
      <w:r w:rsidRPr="005C7305">
        <w:rPr>
          <w:rFonts w:ascii="Arial" w:hAnsi="Arial" w:cs="Arial"/>
          <w:i/>
          <w:iCs/>
        </w:rPr>
        <w:t>Asian Journal of Extension Education</w:t>
      </w:r>
      <w:r w:rsidRPr="005C7305">
        <w:rPr>
          <w:rFonts w:ascii="Arial" w:hAnsi="Arial" w:cs="Arial"/>
        </w:rPr>
        <w:t>, 36, 151–164.</w:t>
      </w:r>
    </w:p>
    <w:p w14:paraId="4D723D12" w14:textId="27CFE53B" w:rsidR="006306F2" w:rsidRPr="005C7305" w:rsidRDefault="006306F2" w:rsidP="006306F2">
      <w:pPr>
        <w:pStyle w:val="ListParagraph"/>
        <w:numPr>
          <w:ilvl w:val="0"/>
          <w:numId w:val="31"/>
        </w:numPr>
        <w:spacing w:after="100"/>
        <w:jc w:val="both"/>
        <w:rPr>
          <w:rFonts w:ascii="Arial" w:hAnsi="Arial" w:cs="Arial"/>
        </w:rPr>
      </w:pPr>
      <w:r w:rsidRPr="005C7305">
        <w:rPr>
          <w:rFonts w:ascii="Arial" w:hAnsi="Arial" w:cs="Arial"/>
        </w:rPr>
        <w:t xml:space="preserve">Ponnusamy, K., Shukla, A. K., &amp; Kishore, K. (2015). Studies on sustainable livelihood of farmers in horticulture-based farming systems. </w:t>
      </w:r>
      <w:r w:rsidRPr="005C7305">
        <w:rPr>
          <w:rFonts w:ascii="Arial" w:hAnsi="Arial" w:cs="Arial"/>
          <w:i/>
          <w:iCs/>
        </w:rPr>
        <w:t>Indian Journal of Horticulture</w:t>
      </w:r>
      <w:r w:rsidRPr="005C7305">
        <w:rPr>
          <w:rFonts w:ascii="Arial" w:hAnsi="Arial" w:cs="Arial"/>
        </w:rPr>
        <w:t xml:space="preserve">, 72(2), 285–288. </w:t>
      </w:r>
      <w:hyperlink r:id="rId31" w:history="1">
        <w:r w:rsidRPr="005C7305">
          <w:rPr>
            <w:rStyle w:val="Hyperlink"/>
            <w:rFonts w:ascii="Arial" w:hAnsi="Arial" w:cs="Arial"/>
            <w:color w:val="auto"/>
          </w:rPr>
          <w:t>https://doi.org/10.5958/0974-0112.2015.00054.7</w:t>
        </w:r>
      </w:hyperlink>
    </w:p>
    <w:p w14:paraId="483A53BB" w14:textId="77777777" w:rsidR="005C7305" w:rsidRPr="005C7305" w:rsidRDefault="005C7305" w:rsidP="005C7305">
      <w:pPr>
        <w:pStyle w:val="ListParagraph"/>
        <w:numPr>
          <w:ilvl w:val="0"/>
          <w:numId w:val="31"/>
        </w:numPr>
        <w:jc w:val="both"/>
        <w:rPr>
          <w:rFonts w:ascii="Arial" w:hAnsi="Arial" w:cs="Arial"/>
        </w:rPr>
      </w:pPr>
      <w:r w:rsidRPr="005C7305">
        <w:rPr>
          <w:rFonts w:ascii="Arial" w:hAnsi="Arial" w:cs="Arial"/>
        </w:rPr>
        <w:t xml:space="preserve">Vani, C., &amp; Ritu, C. (2022). Extent of adoption of available components in the IFS units of Kerala. </w:t>
      </w:r>
      <w:r w:rsidRPr="005C7305">
        <w:rPr>
          <w:rFonts w:ascii="Arial" w:hAnsi="Arial" w:cs="Arial"/>
          <w:i/>
          <w:iCs/>
        </w:rPr>
        <w:t>Indian Journal of Extension Education</w:t>
      </w:r>
      <w:r w:rsidRPr="005C7305">
        <w:rPr>
          <w:rFonts w:ascii="Arial" w:hAnsi="Arial" w:cs="Arial"/>
        </w:rPr>
        <w:t xml:space="preserve">, 58(4), 130–133. </w:t>
      </w:r>
      <w:hyperlink r:id="rId32" w:history="1">
        <w:r w:rsidRPr="005C7305">
          <w:rPr>
            <w:rStyle w:val="Hyperlink"/>
            <w:rFonts w:ascii="Arial" w:hAnsi="Arial" w:cs="Arial"/>
            <w:color w:val="auto"/>
          </w:rPr>
          <w:t>https://doi.org/10.48165/IJEE.2022.58426</w:t>
        </w:r>
      </w:hyperlink>
    </w:p>
    <w:p w14:paraId="45303EA8" w14:textId="6BC6E489" w:rsidR="005C7305" w:rsidRPr="005C7305" w:rsidRDefault="005C7305" w:rsidP="005C7305">
      <w:pPr>
        <w:pStyle w:val="ListParagraph"/>
        <w:numPr>
          <w:ilvl w:val="0"/>
          <w:numId w:val="31"/>
        </w:numPr>
        <w:jc w:val="both"/>
        <w:rPr>
          <w:rFonts w:ascii="Arial" w:hAnsi="Arial" w:cs="Arial"/>
        </w:rPr>
      </w:pPr>
      <w:r w:rsidRPr="005C7305">
        <w:rPr>
          <w:rFonts w:ascii="Arial" w:hAnsi="Arial" w:cs="Arial"/>
        </w:rPr>
        <w:t xml:space="preserve">Ponnusamy, K., &amp; Devi, M. K. (2017). Impact of integrated farming system approach on doubling farmers income. </w:t>
      </w:r>
      <w:r w:rsidRPr="005C7305">
        <w:rPr>
          <w:rFonts w:ascii="Arial" w:hAnsi="Arial" w:cs="Arial"/>
          <w:i/>
          <w:iCs/>
        </w:rPr>
        <w:t>Agricultural Economics Research Review</w:t>
      </w:r>
      <w:r w:rsidRPr="005C7305">
        <w:rPr>
          <w:rFonts w:ascii="Arial" w:hAnsi="Arial" w:cs="Arial"/>
        </w:rPr>
        <w:t xml:space="preserve">, 30 (Conference Number), 233–240. </w:t>
      </w:r>
      <w:hyperlink r:id="rId33" w:history="1">
        <w:r w:rsidRPr="005C7305">
          <w:rPr>
            <w:rStyle w:val="Hyperlink"/>
            <w:rFonts w:ascii="Arial" w:hAnsi="Arial" w:cs="Arial"/>
            <w:color w:val="auto"/>
          </w:rPr>
          <w:t>https://doi.org/10.5958/0974-0279.2017.00037.4</w:t>
        </w:r>
      </w:hyperlink>
    </w:p>
    <w:p w14:paraId="6106A905" w14:textId="77777777" w:rsidR="00790ADA" w:rsidRPr="005C7305" w:rsidRDefault="00790ADA" w:rsidP="00441B6F">
      <w:pPr>
        <w:pStyle w:val="Body"/>
        <w:spacing w:after="0"/>
        <w:rPr>
          <w:rFonts w:ascii="Arial" w:hAnsi="Arial" w:cs="Arial"/>
        </w:rPr>
      </w:pPr>
    </w:p>
    <w:p w14:paraId="7BBDDB37" w14:textId="749087DD" w:rsidR="004D4277" w:rsidRPr="005C7305" w:rsidRDefault="004D4277" w:rsidP="00441B6F">
      <w:pPr>
        <w:pStyle w:val="Appendix"/>
        <w:spacing w:after="0"/>
        <w:jc w:val="both"/>
        <w:rPr>
          <w:rFonts w:ascii="Arial" w:hAnsi="Arial" w:cs="Arial"/>
          <w:b w:val="0"/>
        </w:rPr>
        <w:sectPr w:rsidR="004D4277" w:rsidRPr="005C7305" w:rsidSect="00C73047">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3D8FC34B" w14:textId="77777777" w:rsidR="00B01FCD" w:rsidRPr="005C7305" w:rsidRDefault="00B01FCD" w:rsidP="00441B6F">
      <w:pPr>
        <w:pStyle w:val="Appendix"/>
        <w:spacing w:after="0"/>
        <w:jc w:val="both"/>
        <w:rPr>
          <w:rFonts w:ascii="Arial" w:hAnsi="Arial" w:cs="Arial"/>
          <w:b w:val="0"/>
        </w:rPr>
      </w:pPr>
    </w:p>
    <w:sectPr w:rsidR="00B01FCD" w:rsidRPr="005C7305" w:rsidSect="00C730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109F4" w14:textId="77777777" w:rsidR="004D51D7" w:rsidRDefault="004D51D7" w:rsidP="00C37E61">
      <w:r>
        <w:separator/>
      </w:r>
    </w:p>
  </w:endnote>
  <w:endnote w:type="continuationSeparator" w:id="0">
    <w:p w14:paraId="29AC9854" w14:textId="77777777" w:rsidR="004D51D7" w:rsidRDefault="004D51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62A7" w14:textId="77777777" w:rsidR="003F046B" w:rsidRDefault="003F0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9682" w14:textId="77777777" w:rsidR="003F046B" w:rsidRDefault="003F0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F75FF" w14:textId="77777777" w:rsidR="005A061D" w:rsidRDefault="005A061D">
    <w:pPr>
      <w:pStyle w:val="Footer"/>
      <w:rPr>
        <w:rFonts w:ascii="Arial" w:hAnsi="Arial" w:cs="Arial"/>
        <w:sz w:val="16"/>
      </w:rPr>
    </w:pPr>
  </w:p>
  <w:p w14:paraId="718E63EB" w14:textId="77777777" w:rsidR="005A061D" w:rsidRDefault="005A061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E9C159E" w14:textId="77777777" w:rsidR="005A061D" w:rsidRDefault="005A061D">
    <w:pPr>
      <w:pStyle w:val="Footer"/>
      <w:rPr>
        <w:rFonts w:ascii="Arial" w:hAnsi="Arial" w:cs="Arial"/>
        <w:sz w:val="16"/>
      </w:rPr>
    </w:pPr>
  </w:p>
  <w:p w14:paraId="44F65A4A" w14:textId="612C4C87" w:rsidR="005A061D" w:rsidRPr="009E048A" w:rsidRDefault="005A061D">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FE31" w14:textId="77777777" w:rsidR="005A061D" w:rsidRPr="00C37E61" w:rsidRDefault="005A061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004FC" w14:textId="77777777" w:rsidR="004D51D7" w:rsidRDefault="004D51D7" w:rsidP="00C37E61">
      <w:r>
        <w:separator/>
      </w:r>
    </w:p>
  </w:footnote>
  <w:footnote w:type="continuationSeparator" w:id="0">
    <w:p w14:paraId="2CFAB292" w14:textId="77777777" w:rsidR="004D51D7" w:rsidRDefault="004D51D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D46E" w14:textId="227939AD" w:rsidR="003F046B" w:rsidRDefault="004D51D7">
    <w:pPr>
      <w:pStyle w:val="Header"/>
    </w:pPr>
    <w:r>
      <w:rPr>
        <w:noProof/>
      </w:rPr>
      <w:pict w14:anchorId="117A7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7297" o:spid="_x0000_s2050" type="#_x0000_t136" style="position:absolute;margin-left:0;margin-top:0;width:520.65pt;height:57.85pt;rotation:315;z-index:-251658239;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890C" w14:textId="4025E54B" w:rsidR="003F046B" w:rsidRDefault="004D51D7">
    <w:pPr>
      <w:pStyle w:val="Header"/>
    </w:pPr>
    <w:r>
      <w:rPr>
        <w:noProof/>
      </w:rPr>
      <w:pict w14:anchorId="257CC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7298" o:spid="_x0000_s2051" type="#_x0000_t136" style="position:absolute;margin-left:0;margin-top:0;width:520.65pt;height:57.85pt;rotation:315;z-index:-25165823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485FF" w14:textId="346FECCF" w:rsidR="005A061D" w:rsidRPr="00296529" w:rsidRDefault="004D51D7" w:rsidP="00296529">
    <w:pPr>
      <w:ind w:left="2160"/>
      <w:jc w:val="center"/>
      <w:rPr>
        <w:rFonts w:ascii="Times New Roman" w:eastAsia="Calibri" w:hAnsi="Times New Roman"/>
        <w:i/>
        <w:sz w:val="18"/>
        <w:szCs w:val="22"/>
      </w:rPr>
    </w:pPr>
    <w:r>
      <w:rPr>
        <w:noProof/>
      </w:rPr>
      <w:pict w14:anchorId="3613E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7296" o:spid="_x0000_s2049"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15758E" w14:textId="77777777" w:rsidR="005A061D" w:rsidRPr="00296529" w:rsidRDefault="005A061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64BC1F9" w14:textId="77777777" w:rsidR="005A061D" w:rsidRPr="00296529" w:rsidRDefault="005A061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5D2AD3" w14:textId="77777777" w:rsidR="005A061D" w:rsidRPr="00296529" w:rsidRDefault="005A061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40B16C" w14:textId="77777777" w:rsidR="005A061D" w:rsidRDefault="005A061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E37519" w14:textId="77777777" w:rsidR="005A061D" w:rsidRDefault="005A061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0FF308" w14:textId="77777777" w:rsidR="005A061D" w:rsidRDefault="005A061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7AF0A" w14:textId="0697EBD0" w:rsidR="003F046B" w:rsidRDefault="004D51D7">
    <w:pPr>
      <w:pStyle w:val="Header"/>
    </w:pPr>
    <w:r>
      <w:rPr>
        <w:noProof/>
      </w:rPr>
      <w:pict w14:anchorId="19986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7300" o:spid="_x0000_s2053" type="#_x0000_t136" style="position:absolute;margin-left:0;margin-top:0;width:520.65pt;height:57.85pt;rotation:315;z-index:-25165823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E8049" w14:textId="751ABC41" w:rsidR="003F046B" w:rsidRDefault="004D51D7">
    <w:pPr>
      <w:pStyle w:val="Header"/>
    </w:pPr>
    <w:r>
      <w:rPr>
        <w:noProof/>
      </w:rPr>
      <w:pict w14:anchorId="7E9A0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7301" o:spid="_x0000_s2054" type="#_x0000_t136" style="position:absolute;margin-left:0;margin-top:0;width:520.65pt;height:57.85pt;rotation:315;z-index:-251658235;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DDDF6" w14:textId="713D8B80" w:rsidR="003F046B" w:rsidRDefault="004D51D7">
    <w:pPr>
      <w:pStyle w:val="Header"/>
    </w:pPr>
    <w:r>
      <w:rPr>
        <w:noProof/>
      </w:rPr>
      <w:pict w14:anchorId="702C5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7299" o:spid="_x0000_s2052" type="#_x0000_t136" style="position:absolute;margin-left:0;margin-top:0;width:520.65pt;height:57.85pt;rotation:315;z-index:-251658237;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6B6C20"/>
    <w:multiLevelType w:val="hybridMultilevel"/>
    <w:tmpl w:val="9224E382"/>
    <w:lvl w:ilvl="0" w:tplc="4FE44FBE">
      <w:start w:val="1"/>
      <w:numFmt w:val="decimal"/>
      <w:lvlText w:val="%1."/>
      <w:lvlJc w:val="left"/>
      <w:pPr>
        <w:ind w:left="720" w:hanging="360"/>
      </w:pPr>
      <w:rPr>
        <w:rFonts w:ascii="Helvetica" w:hAnsi="Helvetica" w:cs="Times New Roman"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CAC"/>
    <w:rsid w:val="0002096D"/>
    <w:rsid w:val="00025029"/>
    <w:rsid w:val="00025BA1"/>
    <w:rsid w:val="00030174"/>
    <w:rsid w:val="000313BB"/>
    <w:rsid w:val="0004579C"/>
    <w:rsid w:val="00054B34"/>
    <w:rsid w:val="0005699F"/>
    <w:rsid w:val="000A47FA"/>
    <w:rsid w:val="000A499F"/>
    <w:rsid w:val="000A65D3"/>
    <w:rsid w:val="000B1E33"/>
    <w:rsid w:val="000B54F8"/>
    <w:rsid w:val="000D689F"/>
    <w:rsid w:val="000D796A"/>
    <w:rsid w:val="000E7B7B"/>
    <w:rsid w:val="000E7D62"/>
    <w:rsid w:val="00101D66"/>
    <w:rsid w:val="00103357"/>
    <w:rsid w:val="00123C9F"/>
    <w:rsid w:val="00126190"/>
    <w:rsid w:val="00130F17"/>
    <w:rsid w:val="001320BF"/>
    <w:rsid w:val="00141D46"/>
    <w:rsid w:val="0015420E"/>
    <w:rsid w:val="00163BC4"/>
    <w:rsid w:val="00191062"/>
    <w:rsid w:val="00192B72"/>
    <w:rsid w:val="001A29D8"/>
    <w:rsid w:val="001A5CAA"/>
    <w:rsid w:val="001B0427"/>
    <w:rsid w:val="001B3B9B"/>
    <w:rsid w:val="001B4356"/>
    <w:rsid w:val="001B48D1"/>
    <w:rsid w:val="001C00B0"/>
    <w:rsid w:val="001D3A51"/>
    <w:rsid w:val="001E10D2"/>
    <w:rsid w:val="001E25B4"/>
    <w:rsid w:val="001E44FE"/>
    <w:rsid w:val="00200595"/>
    <w:rsid w:val="00204835"/>
    <w:rsid w:val="002050FC"/>
    <w:rsid w:val="00227A0F"/>
    <w:rsid w:val="00231920"/>
    <w:rsid w:val="0023195C"/>
    <w:rsid w:val="002348DA"/>
    <w:rsid w:val="0024282C"/>
    <w:rsid w:val="002460DC"/>
    <w:rsid w:val="002506C4"/>
    <w:rsid w:val="00250985"/>
    <w:rsid w:val="00250CFB"/>
    <w:rsid w:val="00254C04"/>
    <w:rsid w:val="002556F6"/>
    <w:rsid w:val="0027391B"/>
    <w:rsid w:val="00277BBC"/>
    <w:rsid w:val="00282A8B"/>
    <w:rsid w:val="00283105"/>
    <w:rsid w:val="0028406D"/>
    <w:rsid w:val="00284C4C"/>
    <w:rsid w:val="00287E68"/>
    <w:rsid w:val="002948DA"/>
    <w:rsid w:val="00296529"/>
    <w:rsid w:val="002A5162"/>
    <w:rsid w:val="002B272D"/>
    <w:rsid w:val="002B27FB"/>
    <w:rsid w:val="002B685A"/>
    <w:rsid w:val="002B6E95"/>
    <w:rsid w:val="002C57D2"/>
    <w:rsid w:val="002D6BAF"/>
    <w:rsid w:val="002E0D56"/>
    <w:rsid w:val="002E19F9"/>
    <w:rsid w:val="002E4219"/>
    <w:rsid w:val="002F5A16"/>
    <w:rsid w:val="003055AC"/>
    <w:rsid w:val="003105FE"/>
    <w:rsid w:val="00314EB7"/>
    <w:rsid w:val="00315186"/>
    <w:rsid w:val="0033343E"/>
    <w:rsid w:val="003512C2"/>
    <w:rsid w:val="00357FCE"/>
    <w:rsid w:val="00363602"/>
    <w:rsid w:val="00371FB6"/>
    <w:rsid w:val="003763C1"/>
    <w:rsid w:val="00376BBE"/>
    <w:rsid w:val="00380456"/>
    <w:rsid w:val="0039224F"/>
    <w:rsid w:val="003A27ED"/>
    <w:rsid w:val="003A43A4"/>
    <w:rsid w:val="003A7E18"/>
    <w:rsid w:val="003B13AD"/>
    <w:rsid w:val="003C149D"/>
    <w:rsid w:val="003C4C86"/>
    <w:rsid w:val="003C5B6F"/>
    <w:rsid w:val="003C6258"/>
    <w:rsid w:val="003E2904"/>
    <w:rsid w:val="003F046B"/>
    <w:rsid w:val="00401927"/>
    <w:rsid w:val="0040551F"/>
    <w:rsid w:val="00406C80"/>
    <w:rsid w:val="0041027F"/>
    <w:rsid w:val="00412475"/>
    <w:rsid w:val="00423789"/>
    <w:rsid w:val="00433B01"/>
    <w:rsid w:val="00437E2C"/>
    <w:rsid w:val="00440F43"/>
    <w:rsid w:val="0044168D"/>
    <w:rsid w:val="00441B6F"/>
    <w:rsid w:val="00444470"/>
    <w:rsid w:val="00446221"/>
    <w:rsid w:val="00450E62"/>
    <w:rsid w:val="004539DB"/>
    <w:rsid w:val="00455C12"/>
    <w:rsid w:val="00457C4A"/>
    <w:rsid w:val="00471A80"/>
    <w:rsid w:val="00473DD6"/>
    <w:rsid w:val="004A63B0"/>
    <w:rsid w:val="004D305E"/>
    <w:rsid w:val="004D4277"/>
    <w:rsid w:val="004D51D7"/>
    <w:rsid w:val="004F0A6D"/>
    <w:rsid w:val="004F2461"/>
    <w:rsid w:val="00502516"/>
    <w:rsid w:val="005039E3"/>
    <w:rsid w:val="00505BA9"/>
    <w:rsid w:val="00505F06"/>
    <w:rsid w:val="00506828"/>
    <w:rsid w:val="00520555"/>
    <w:rsid w:val="00521794"/>
    <w:rsid w:val="005261D4"/>
    <w:rsid w:val="0053056E"/>
    <w:rsid w:val="00533466"/>
    <w:rsid w:val="00550F4C"/>
    <w:rsid w:val="005548E0"/>
    <w:rsid w:val="00554FDA"/>
    <w:rsid w:val="00556B45"/>
    <w:rsid w:val="0057422B"/>
    <w:rsid w:val="00583124"/>
    <w:rsid w:val="005841C4"/>
    <w:rsid w:val="005A061D"/>
    <w:rsid w:val="005A49B2"/>
    <w:rsid w:val="005C0AEC"/>
    <w:rsid w:val="005C7305"/>
    <w:rsid w:val="005C784C"/>
    <w:rsid w:val="005D17F6"/>
    <w:rsid w:val="005D6918"/>
    <w:rsid w:val="005E5539"/>
    <w:rsid w:val="005E5E30"/>
    <w:rsid w:val="005F3906"/>
    <w:rsid w:val="005F4047"/>
    <w:rsid w:val="00602BF5"/>
    <w:rsid w:val="0061203E"/>
    <w:rsid w:val="0061378C"/>
    <w:rsid w:val="00617903"/>
    <w:rsid w:val="00617FDD"/>
    <w:rsid w:val="006238CC"/>
    <w:rsid w:val="00623E4C"/>
    <w:rsid w:val="00624A7A"/>
    <w:rsid w:val="006306F2"/>
    <w:rsid w:val="00633614"/>
    <w:rsid w:val="00633F68"/>
    <w:rsid w:val="00635CCF"/>
    <w:rsid w:val="00636EB2"/>
    <w:rsid w:val="006375B8"/>
    <w:rsid w:val="006435E4"/>
    <w:rsid w:val="006456E6"/>
    <w:rsid w:val="00652791"/>
    <w:rsid w:val="0066510A"/>
    <w:rsid w:val="00673F9F"/>
    <w:rsid w:val="00683389"/>
    <w:rsid w:val="00686953"/>
    <w:rsid w:val="00687DEA"/>
    <w:rsid w:val="00687E67"/>
    <w:rsid w:val="006934F9"/>
    <w:rsid w:val="006967F7"/>
    <w:rsid w:val="006A06F8"/>
    <w:rsid w:val="006A250C"/>
    <w:rsid w:val="006A60D3"/>
    <w:rsid w:val="006A67B4"/>
    <w:rsid w:val="006B0228"/>
    <w:rsid w:val="006B17A0"/>
    <w:rsid w:val="006B21D3"/>
    <w:rsid w:val="006B2CEA"/>
    <w:rsid w:val="006B57D0"/>
    <w:rsid w:val="006C34B2"/>
    <w:rsid w:val="006C61FE"/>
    <w:rsid w:val="006D30FF"/>
    <w:rsid w:val="006D6940"/>
    <w:rsid w:val="006D7F87"/>
    <w:rsid w:val="006F11EC"/>
    <w:rsid w:val="0070082C"/>
    <w:rsid w:val="00705AF7"/>
    <w:rsid w:val="007148CA"/>
    <w:rsid w:val="007152FF"/>
    <w:rsid w:val="00720BEA"/>
    <w:rsid w:val="007256D9"/>
    <w:rsid w:val="007369E6"/>
    <w:rsid w:val="007461BE"/>
    <w:rsid w:val="0074693C"/>
    <w:rsid w:val="00746E59"/>
    <w:rsid w:val="00754C9A"/>
    <w:rsid w:val="0075599A"/>
    <w:rsid w:val="00761D52"/>
    <w:rsid w:val="0077749E"/>
    <w:rsid w:val="00790ADA"/>
    <w:rsid w:val="007B7C7F"/>
    <w:rsid w:val="007D0C2D"/>
    <w:rsid w:val="007D2288"/>
    <w:rsid w:val="007E088F"/>
    <w:rsid w:val="007E38D8"/>
    <w:rsid w:val="007F03B5"/>
    <w:rsid w:val="007F11CA"/>
    <w:rsid w:val="007F7B32"/>
    <w:rsid w:val="00804BC2"/>
    <w:rsid w:val="0081431A"/>
    <w:rsid w:val="0083216F"/>
    <w:rsid w:val="0084016E"/>
    <w:rsid w:val="00854CAC"/>
    <w:rsid w:val="00856FDE"/>
    <w:rsid w:val="00860000"/>
    <w:rsid w:val="00862C84"/>
    <w:rsid w:val="00863BD3"/>
    <w:rsid w:val="008641ED"/>
    <w:rsid w:val="00866D66"/>
    <w:rsid w:val="008671C6"/>
    <w:rsid w:val="00875803"/>
    <w:rsid w:val="0089056D"/>
    <w:rsid w:val="00896342"/>
    <w:rsid w:val="008B459E"/>
    <w:rsid w:val="008B5624"/>
    <w:rsid w:val="008B6A7D"/>
    <w:rsid w:val="008C1D4E"/>
    <w:rsid w:val="008C68E8"/>
    <w:rsid w:val="008D0CD5"/>
    <w:rsid w:val="008D5B2D"/>
    <w:rsid w:val="008E13AE"/>
    <w:rsid w:val="008E1506"/>
    <w:rsid w:val="008E653F"/>
    <w:rsid w:val="008E710C"/>
    <w:rsid w:val="008F69D6"/>
    <w:rsid w:val="00902823"/>
    <w:rsid w:val="0090714E"/>
    <w:rsid w:val="00912A72"/>
    <w:rsid w:val="00915CA6"/>
    <w:rsid w:val="00927834"/>
    <w:rsid w:val="009335FA"/>
    <w:rsid w:val="00943C0F"/>
    <w:rsid w:val="00947A77"/>
    <w:rsid w:val="009500A6"/>
    <w:rsid w:val="00957C18"/>
    <w:rsid w:val="00964AF9"/>
    <w:rsid w:val="009659BA"/>
    <w:rsid w:val="00983040"/>
    <w:rsid w:val="00986975"/>
    <w:rsid w:val="009B3FB9"/>
    <w:rsid w:val="009C2465"/>
    <w:rsid w:val="009C4337"/>
    <w:rsid w:val="009D35A0"/>
    <w:rsid w:val="009D3DEF"/>
    <w:rsid w:val="009D7EB7"/>
    <w:rsid w:val="009E048A"/>
    <w:rsid w:val="009E08E9"/>
    <w:rsid w:val="009E3DB9"/>
    <w:rsid w:val="009E6E35"/>
    <w:rsid w:val="009F0EDA"/>
    <w:rsid w:val="00A028CE"/>
    <w:rsid w:val="00A03B96"/>
    <w:rsid w:val="00A05B19"/>
    <w:rsid w:val="00A07235"/>
    <w:rsid w:val="00A1134E"/>
    <w:rsid w:val="00A13921"/>
    <w:rsid w:val="00A22074"/>
    <w:rsid w:val="00A24E7E"/>
    <w:rsid w:val="00A258C3"/>
    <w:rsid w:val="00A347C0"/>
    <w:rsid w:val="00A51431"/>
    <w:rsid w:val="00A539AD"/>
    <w:rsid w:val="00A610F3"/>
    <w:rsid w:val="00A61DD8"/>
    <w:rsid w:val="00A8309F"/>
    <w:rsid w:val="00A832E4"/>
    <w:rsid w:val="00A94063"/>
    <w:rsid w:val="00AA29A6"/>
    <w:rsid w:val="00AA6219"/>
    <w:rsid w:val="00AA74E0"/>
    <w:rsid w:val="00AB703F"/>
    <w:rsid w:val="00AC2883"/>
    <w:rsid w:val="00AC6BB8"/>
    <w:rsid w:val="00AC76A8"/>
    <w:rsid w:val="00AE008F"/>
    <w:rsid w:val="00B01FCD"/>
    <w:rsid w:val="00B021AB"/>
    <w:rsid w:val="00B141EC"/>
    <w:rsid w:val="00B1776C"/>
    <w:rsid w:val="00B2296E"/>
    <w:rsid w:val="00B30167"/>
    <w:rsid w:val="00B52583"/>
    <w:rsid w:val="00B52896"/>
    <w:rsid w:val="00B80404"/>
    <w:rsid w:val="00B832A5"/>
    <w:rsid w:val="00B95236"/>
    <w:rsid w:val="00B96BD9"/>
    <w:rsid w:val="00BA1B01"/>
    <w:rsid w:val="00BA2641"/>
    <w:rsid w:val="00BB11F4"/>
    <w:rsid w:val="00BB37AA"/>
    <w:rsid w:val="00BC2C89"/>
    <w:rsid w:val="00BC53A0"/>
    <w:rsid w:val="00BD6FB4"/>
    <w:rsid w:val="00BE3C71"/>
    <w:rsid w:val="00BE62AD"/>
    <w:rsid w:val="00BE7995"/>
    <w:rsid w:val="00BF121F"/>
    <w:rsid w:val="00BF1F80"/>
    <w:rsid w:val="00BF5AA1"/>
    <w:rsid w:val="00C1185F"/>
    <w:rsid w:val="00C14E61"/>
    <w:rsid w:val="00C1584C"/>
    <w:rsid w:val="00C166EF"/>
    <w:rsid w:val="00C17EB0"/>
    <w:rsid w:val="00C27408"/>
    <w:rsid w:val="00C27F5F"/>
    <w:rsid w:val="00C30A0F"/>
    <w:rsid w:val="00C37E61"/>
    <w:rsid w:val="00C5734F"/>
    <w:rsid w:val="00C612EE"/>
    <w:rsid w:val="00C7071B"/>
    <w:rsid w:val="00C70F1B"/>
    <w:rsid w:val="00C71A47"/>
    <w:rsid w:val="00C73047"/>
    <w:rsid w:val="00C7464C"/>
    <w:rsid w:val="00C85588"/>
    <w:rsid w:val="00C87E58"/>
    <w:rsid w:val="00CA346F"/>
    <w:rsid w:val="00CC3872"/>
    <w:rsid w:val="00CD2183"/>
    <w:rsid w:val="00CD6755"/>
    <w:rsid w:val="00CD6856"/>
    <w:rsid w:val="00CE0089"/>
    <w:rsid w:val="00CE793C"/>
    <w:rsid w:val="00CF193C"/>
    <w:rsid w:val="00D11AF7"/>
    <w:rsid w:val="00D173F1"/>
    <w:rsid w:val="00D27C60"/>
    <w:rsid w:val="00D4180C"/>
    <w:rsid w:val="00D43010"/>
    <w:rsid w:val="00D4608D"/>
    <w:rsid w:val="00D47E8B"/>
    <w:rsid w:val="00D50D25"/>
    <w:rsid w:val="00D57A97"/>
    <w:rsid w:val="00D620E3"/>
    <w:rsid w:val="00D74CB0"/>
    <w:rsid w:val="00D8295D"/>
    <w:rsid w:val="00DB1E1D"/>
    <w:rsid w:val="00DB2BAE"/>
    <w:rsid w:val="00DC02A4"/>
    <w:rsid w:val="00DC2A65"/>
    <w:rsid w:val="00DE15F0"/>
    <w:rsid w:val="00DE1DB0"/>
    <w:rsid w:val="00DE5663"/>
    <w:rsid w:val="00DE78AA"/>
    <w:rsid w:val="00DF76A1"/>
    <w:rsid w:val="00E02B24"/>
    <w:rsid w:val="00E04146"/>
    <w:rsid w:val="00E053D0"/>
    <w:rsid w:val="00E15994"/>
    <w:rsid w:val="00E30BD9"/>
    <w:rsid w:val="00E3114E"/>
    <w:rsid w:val="00E31A70"/>
    <w:rsid w:val="00E3591C"/>
    <w:rsid w:val="00E35B02"/>
    <w:rsid w:val="00E502AD"/>
    <w:rsid w:val="00E66496"/>
    <w:rsid w:val="00E66B35"/>
    <w:rsid w:val="00E66E10"/>
    <w:rsid w:val="00E769F6"/>
    <w:rsid w:val="00E8407C"/>
    <w:rsid w:val="00E84F3C"/>
    <w:rsid w:val="00E92F9E"/>
    <w:rsid w:val="00E93D7E"/>
    <w:rsid w:val="00EA012C"/>
    <w:rsid w:val="00EA4895"/>
    <w:rsid w:val="00EB073B"/>
    <w:rsid w:val="00EC2E3C"/>
    <w:rsid w:val="00EC5EBA"/>
    <w:rsid w:val="00EC6A55"/>
    <w:rsid w:val="00ED0288"/>
    <w:rsid w:val="00EE52CB"/>
    <w:rsid w:val="00EF581D"/>
    <w:rsid w:val="00EF7FD8"/>
    <w:rsid w:val="00F01451"/>
    <w:rsid w:val="00F06F59"/>
    <w:rsid w:val="00F17988"/>
    <w:rsid w:val="00F22149"/>
    <w:rsid w:val="00F25403"/>
    <w:rsid w:val="00F3107C"/>
    <w:rsid w:val="00F356BC"/>
    <w:rsid w:val="00F42DD8"/>
    <w:rsid w:val="00F469F0"/>
    <w:rsid w:val="00F53273"/>
    <w:rsid w:val="00F5792D"/>
    <w:rsid w:val="00F70DEB"/>
    <w:rsid w:val="00F755E4"/>
    <w:rsid w:val="00F77D02"/>
    <w:rsid w:val="00F84171"/>
    <w:rsid w:val="00F86B3B"/>
    <w:rsid w:val="00F87430"/>
    <w:rsid w:val="00F90D7D"/>
    <w:rsid w:val="00F922DD"/>
    <w:rsid w:val="00FA1296"/>
    <w:rsid w:val="00FA7B6A"/>
    <w:rsid w:val="00FB3A86"/>
    <w:rsid w:val="00FD36C8"/>
    <w:rsid w:val="00FD5297"/>
    <w:rsid w:val="00FE3BAA"/>
    <w:rsid w:val="00FF6F4F"/>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41449B"/>
  <w15:docId w15:val="{CD7E2EF4-B3FD-466D-9E67-3F869839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254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90D7D"/>
    <w:rPr>
      <w:rFonts w:ascii="Times New Roman" w:hAnsi="Times New Roman"/>
      <w:sz w:val="24"/>
      <w:szCs w:val="24"/>
    </w:rPr>
  </w:style>
  <w:style w:type="character" w:styleId="PlaceholderText">
    <w:name w:val="Placeholder Text"/>
    <w:basedOn w:val="DefaultParagraphFont"/>
    <w:uiPriority w:val="99"/>
    <w:semiHidden/>
    <w:rsid w:val="00986975"/>
    <w:rPr>
      <w:color w:val="808080"/>
    </w:rPr>
  </w:style>
  <w:style w:type="table" w:styleId="TableGridLight">
    <w:name w:val="Grid Table Light"/>
    <w:basedOn w:val="TableNormal"/>
    <w:uiPriority w:val="40"/>
    <w:rsid w:val="005334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34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EB073B"/>
    <w:rPr>
      <w:color w:val="605E5C"/>
      <w:shd w:val="clear" w:color="auto" w:fill="E1DFDD"/>
    </w:rPr>
  </w:style>
  <w:style w:type="paragraph" w:styleId="ListParagraph">
    <w:name w:val="List Paragraph"/>
    <w:basedOn w:val="Normal"/>
    <w:uiPriority w:val="34"/>
    <w:qFormat/>
    <w:rsid w:val="00EB073B"/>
    <w:pPr>
      <w:ind w:left="720"/>
      <w:contextualSpacing/>
    </w:pPr>
  </w:style>
  <w:style w:type="character" w:customStyle="1" w:styleId="Heading2Char">
    <w:name w:val="Heading 2 Char"/>
    <w:basedOn w:val="DefaultParagraphFont"/>
    <w:link w:val="Heading2"/>
    <w:semiHidden/>
    <w:rsid w:val="00F2540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9764323">
      <w:bodyDiv w:val="1"/>
      <w:marLeft w:val="0"/>
      <w:marRight w:val="0"/>
      <w:marTop w:val="0"/>
      <w:marBottom w:val="0"/>
      <w:divBdr>
        <w:top w:val="none" w:sz="0" w:space="0" w:color="auto"/>
        <w:left w:val="none" w:sz="0" w:space="0" w:color="auto"/>
        <w:bottom w:val="none" w:sz="0" w:space="0" w:color="auto"/>
        <w:right w:val="none" w:sz="0" w:space="0" w:color="auto"/>
      </w:divBdr>
    </w:div>
    <w:div w:id="123472957">
      <w:bodyDiv w:val="1"/>
      <w:marLeft w:val="0"/>
      <w:marRight w:val="0"/>
      <w:marTop w:val="0"/>
      <w:marBottom w:val="0"/>
      <w:divBdr>
        <w:top w:val="none" w:sz="0" w:space="0" w:color="auto"/>
        <w:left w:val="none" w:sz="0" w:space="0" w:color="auto"/>
        <w:bottom w:val="none" w:sz="0" w:space="0" w:color="auto"/>
        <w:right w:val="none" w:sz="0" w:space="0" w:color="auto"/>
      </w:divBdr>
    </w:div>
    <w:div w:id="12681827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9509653">
      <w:bodyDiv w:val="1"/>
      <w:marLeft w:val="0"/>
      <w:marRight w:val="0"/>
      <w:marTop w:val="0"/>
      <w:marBottom w:val="0"/>
      <w:divBdr>
        <w:top w:val="none" w:sz="0" w:space="0" w:color="auto"/>
        <w:left w:val="none" w:sz="0" w:space="0" w:color="auto"/>
        <w:bottom w:val="none" w:sz="0" w:space="0" w:color="auto"/>
        <w:right w:val="none" w:sz="0" w:space="0" w:color="auto"/>
      </w:divBdr>
    </w:div>
    <w:div w:id="22677205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3486437">
      <w:bodyDiv w:val="1"/>
      <w:marLeft w:val="0"/>
      <w:marRight w:val="0"/>
      <w:marTop w:val="0"/>
      <w:marBottom w:val="0"/>
      <w:divBdr>
        <w:top w:val="none" w:sz="0" w:space="0" w:color="auto"/>
        <w:left w:val="none" w:sz="0" w:space="0" w:color="auto"/>
        <w:bottom w:val="none" w:sz="0" w:space="0" w:color="auto"/>
        <w:right w:val="none" w:sz="0" w:space="0" w:color="auto"/>
      </w:divBdr>
    </w:div>
    <w:div w:id="429742392">
      <w:bodyDiv w:val="1"/>
      <w:marLeft w:val="0"/>
      <w:marRight w:val="0"/>
      <w:marTop w:val="0"/>
      <w:marBottom w:val="0"/>
      <w:divBdr>
        <w:top w:val="none" w:sz="0" w:space="0" w:color="auto"/>
        <w:left w:val="none" w:sz="0" w:space="0" w:color="auto"/>
        <w:bottom w:val="none" w:sz="0" w:space="0" w:color="auto"/>
        <w:right w:val="none" w:sz="0" w:space="0" w:color="auto"/>
      </w:divBdr>
    </w:div>
    <w:div w:id="431979543">
      <w:bodyDiv w:val="1"/>
      <w:marLeft w:val="0"/>
      <w:marRight w:val="0"/>
      <w:marTop w:val="0"/>
      <w:marBottom w:val="0"/>
      <w:divBdr>
        <w:top w:val="none" w:sz="0" w:space="0" w:color="auto"/>
        <w:left w:val="none" w:sz="0" w:space="0" w:color="auto"/>
        <w:bottom w:val="none" w:sz="0" w:space="0" w:color="auto"/>
        <w:right w:val="none" w:sz="0" w:space="0" w:color="auto"/>
      </w:divBdr>
    </w:div>
    <w:div w:id="49939332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3579863">
      <w:bodyDiv w:val="1"/>
      <w:marLeft w:val="0"/>
      <w:marRight w:val="0"/>
      <w:marTop w:val="0"/>
      <w:marBottom w:val="0"/>
      <w:divBdr>
        <w:top w:val="none" w:sz="0" w:space="0" w:color="auto"/>
        <w:left w:val="none" w:sz="0" w:space="0" w:color="auto"/>
        <w:bottom w:val="none" w:sz="0" w:space="0" w:color="auto"/>
        <w:right w:val="none" w:sz="0" w:space="0" w:color="auto"/>
      </w:divBdr>
    </w:div>
    <w:div w:id="708531142">
      <w:bodyDiv w:val="1"/>
      <w:marLeft w:val="0"/>
      <w:marRight w:val="0"/>
      <w:marTop w:val="0"/>
      <w:marBottom w:val="0"/>
      <w:divBdr>
        <w:top w:val="none" w:sz="0" w:space="0" w:color="auto"/>
        <w:left w:val="none" w:sz="0" w:space="0" w:color="auto"/>
        <w:bottom w:val="none" w:sz="0" w:space="0" w:color="auto"/>
        <w:right w:val="none" w:sz="0" w:space="0" w:color="auto"/>
      </w:divBdr>
    </w:div>
    <w:div w:id="821121749">
      <w:bodyDiv w:val="1"/>
      <w:marLeft w:val="0"/>
      <w:marRight w:val="0"/>
      <w:marTop w:val="0"/>
      <w:marBottom w:val="0"/>
      <w:divBdr>
        <w:top w:val="none" w:sz="0" w:space="0" w:color="auto"/>
        <w:left w:val="none" w:sz="0" w:space="0" w:color="auto"/>
        <w:bottom w:val="none" w:sz="0" w:space="0" w:color="auto"/>
        <w:right w:val="none" w:sz="0" w:space="0" w:color="auto"/>
      </w:divBdr>
    </w:div>
    <w:div w:id="915162192">
      <w:bodyDiv w:val="1"/>
      <w:marLeft w:val="0"/>
      <w:marRight w:val="0"/>
      <w:marTop w:val="0"/>
      <w:marBottom w:val="0"/>
      <w:divBdr>
        <w:top w:val="none" w:sz="0" w:space="0" w:color="auto"/>
        <w:left w:val="none" w:sz="0" w:space="0" w:color="auto"/>
        <w:bottom w:val="none" w:sz="0" w:space="0" w:color="auto"/>
        <w:right w:val="none" w:sz="0" w:space="0" w:color="auto"/>
      </w:divBdr>
    </w:div>
    <w:div w:id="93575362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8967811">
      <w:bodyDiv w:val="1"/>
      <w:marLeft w:val="0"/>
      <w:marRight w:val="0"/>
      <w:marTop w:val="0"/>
      <w:marBottom w:val="0"/>
      <w:divBdr>
        <w:top w:val="none" w:sz="0" w:space="0" w:color="auto"/>
        <w:left w:val="none" w:sz="0" w:space="0" w:color="auto"/>
        <w:bottom w:val="none" w:sz="0" w:space="0" w:color="auto"/>
        <w:right w:val="none" w:sz="0" w:space="0" w:color="auto"/>
      </w:divBdr>
    </w:div>
    <w:div w:id="105449940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6511981">
      <w:bodyDiv w:val="1"/>
      <w:marLeft w:val="0"/>
      <w:marRight w:val="0"/>
      <w:marTop w:val="0"/>
      <w:marBottom w:val="0"/>
      <w:divBdr>
        <w:top w:val="none" w:sz="0" w:space="0" w:color="auto"/>
        <w:left w:val="none" w:sz="0" w:space="0" w:color="auto"/>
        <w:bottom w:val="none" w:sz="0" w:space="0" w:color="auto"/>
        <w:right w:val="none" w:sz="0" w:space="0" w:color="auto"/>
      </w:divBdr>
      <w:divsChild>
        <w:div w:id="1073550162">
          <w:marLeft w:val="0"/>
          <w:marRight w:val="0"/>
          <w:marTop w:val="0"/>
          <w:marBottom w:val="0"/>
          <w:divBdr>
            <w:top w:val="none" w:sz="0" w:space="0" w:color="auto"/>
            <w:left w:val="none" w:sz="0" w:space="0" w:color="auto"/>
            <w:bottom w:val="none" w:sz="0" w:space="0" w:color="auto"/>
            <w:right w:val="none" w:sz="0" w:space="0" w:color="auto"/>
          </w:divBdr>
        </w:div>
        <w:div w:id="1222207362">
          <w:marLeft w:val="0"/>
          <w:marRight w:val="0"/>
          <w:marTop w:val="0"/>
          <w:marBottom w:val="0"/>
          <w:divBdr>
            <w:top w:val="none" w:sz="0" w:space="0" w:color="auto"/>
            <w:left w:val="none" w:sz="0" w:space="0" w:color="auto"/>
            <w:bottom w:val="none" w:sz="0" w:space="0" w:color="auto"/>
            <w:right w:val="none" w:sz="0" w:space="0" w:color="auto"/>
          </w:divBdr>
        </w:div>
        <w:div w:id="55202333">
          <w:marLeft w:val="0"/>
          <w:marRight w:val="0"/>
          <w:marTop w:val="0"/>
          <w:marBottom w:val="0"/>
          <w:divBdr>
            <w:top w:val="none" w:sz="0" w:space="0" w:color="auto"/>
            <w:left w:val="none" w:sz="0" w:space="0" w:color="auto"/>
            <w:bottom w:val="none" w:sz="0" w:space="0" w:color="auto"/>
            <w:right w:val="none" w:sz="0" w:space="0" w:color="auto"/>
          </w:divBdr>
        </w:div>
        <w:div w:id="912395769">
          <w:marLeft w:val="0"/>
          <w:marRight w:val="0"/>
          <w:marTop w:val="0"/>
          <w:marBottom w:val="0"/>
          <w:divBdr>
            <w:top w:val="none" w:sz="0" w:space="0" w:color="auto"/>
            <w:left w:val="none" w:sz="0" w:space="0" w:color="auto"/>
            <w:bottom w:val="none" w:sz="0" w:space="0" w:color="auto"/>
            <w:right w:val="none" w:sz="0" w:space="0" w:color="auto"/>
          </w:divBdr>
        </w:div>
        <w:div w:id="618298939">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7331096">
      <w:bodyDiv w:val="1"/>
      <w:marLeft w:val="0"/>
      <w:marRight w:val="0"/>
      <w:marTop w:val="0"/>
      <w:marBottom w:val="0"/>
      <w:divBdr>
        <w:top w:val="none" w:sz="0" w:space="0" w:color="auto"/>
        <w:left w:val="none" w:sz="0" w:space="0" w:color="auto"/>
        <w:bottom w:val="none" w:sz="0" w:space="0" w:color="auto"/>
        <w:right w:val="none" w:sz="0" w:space="0" w:color="auto"/>
      </w:divBdr>
    </w:div>
    <w:div w:id="1191603813">
      <w:bodyDiv w:val="1"/>
      <w:marLeft w:val="0"/>
      <w:marRight w:val="0"/>
      <w:marTop w:val="0"/>
      <w:marBottom w:val="0"/>
      <w:divBdr>
        <w:top w:val="none" w:sz="0" w:space="0" w:color="auto"/>
        <w:left w:val="none" w:sz="0" w:space="0" w:color="auto"/>
        <w:bottom w:val="none" w:sz="0" w:space="0" w:color="auto"/>
        <w:right w:val="none" w:sz="0" w:space="0" w:color="auto"/>
      </w:divBdr>
    </w:div>
    <w:div w:id="1292203029">
      <w:bodyDiv w:val="1"/>
      <w:marLeft w:val="0"/>
      <w:marRight w:val="0"/>
      <w:marTop w:val="0"/>
      <w:marBottom w:val="0"/>
      <w:divBdr>
        <w:top w:val="none" w:sz="0" w:space="0" w:color="auto"/>
        <w:left w:val="none" w:sz="0" w:space="0" w:color="auto"/>
        <w:bottom w:val="none" w:sz="0" w:space="0" w:color="auto"/>
        <w:right w:val="none" w:sz="0" w:space="0" w:color="auto"/>
      </w:divBdr>
    </w:div>
    <w:div w:id="1358431835">
      <w:bodyDiv w:val="1"/>
      <w:marLeft w:val="0"/>
      <w:marRight w:val="0"/>
      <w:marTop w:val="0"/>
      <w:marBottom w:val="0"/>
      <w:divBdr>
        <w:top w:val="none" w:sz="0" w:space="0" w:color="auto"/>
        <w:left w:val="none" w:sz="0" w:space="0" w:color="auto"/>
        <w:bottom w:val="none" w:sz="0" w:space="0" w:color="auto"/>
        <w:right w:val="none" w:sz="0" w:space="0" w:color="auto"/>
      </w:divBdr>
    </w:div>
    <w:div w:id="1379551767">
      <w:bodyDiv w:val="1"/>
      <w:marLeft w:val="0"/>
      <w:marRight w:val="0"/>
      <w:marTop w:val="0"/>
      <w:marBottom w:val="0"/>
      <w:divBdr>
        <w:top w:val="none" w:sz="0" w:space="0" w:color="auto"/>
        <w:left w:val="none" w:sz="0" w:space="0" w:color="auto"/>
        <w:bottom w:val="none" w:sz="0" w:space="0" w:color="auto"/>
        <w:right w:val="none" w:sz="0" w:space="0" w:color="auto"/>
      </w:divBdr>
    </w:div>
    <w:div w:id="1442265018">
      <w:bodyDiv w:val="1"/>
      <w:marLeft w:val="0"/>
      <w:marRight w:val="0"/>
      <w:marTop w:val="0"/>
      <w:marBottom w:val="0"/>
      <w:divBdr>
        <w:top w:val="none" w:sz="0" w:space="0" w:color="auto"/>
        <w:left w:val="none" w:sz="0" w:space="0" w:color="auto"/>
        <w:bottom w:val="none" w:sz="0" w:space="0" w:color="auto"/>
        <w:right w:val="none" w:sz="0" w:space="0" w:color="auto"/>
      </w:divBdr>
    </w:div>
    <w:div w:id="1502699175">
      <w:bodyDiv w:val="1"/>
      <w:marLeft w:val="0"/>
      <w:marRight w:val="0"/>
      <w:marTop w:val="0"/>
      <w:marBottom w:val="0"/>
      <w:divBdr>
        <w:top w:val="none" w:sz="0" w:space="0" w:color="auto"/>
        <w:left w:val="none" w:sz="0" w:space="0" w:color="auto"/>
        <w:bottom w:val="none" w:sz="0" w:space="0" w:color="auto"/>
        <w:right w:val="none" w:sz="0" w:space="0" w:color="auto"/>
      </w:divBdr>
    </w:div>
    <w:div w:id="1718117606">
      <w:bodyDiv w:val="1"/>
      <w:marLeft w:val="0"/>
      <w:marRight w:val="0"/>
      <w:marTop w:val="0"/>
      <w:marBottom w:val="0"/>
      <w:divBdr>
        <w:top w:val="none" w:sz="0" w:space="0" w:color="auto"/>
        <w:left w:val="none" w:sz="0" w:space="0" w:color="auto"/>
        <w:bottom w:val="none" w:sz="0" w:space="0" w:color="auto"/>
        <w:right w:val="none" w:sz="0" w:space="0" w:color="auto"/>
      </w:divBdr>
    </w:div>
    <w:div w:id="1731229220">
      <w:bodyDiv w:val="1"/>
      <w:marLeft w:val="0"/>
      <w:marRight w:val="0"/>
      <w:marTop w:val="0"/>
      <w:marBottom w:val="0"/>
      <w:divBdr>
        <w:top w:val="none" w:sz="0" w:space="0" w:color="auto"/>
        <w:left w:val="none" w:sz="0" w:space="0" w:color="auto"/>
        <w:bottom w:val="none" w:sz="0" w:space="0" w:color="auto"/>
        <w:right w:val="none" w:sz="0" w:space="0" w:color="auto"/>
      </w:divBdr>
    </w:div>
    <w:div w:id="174183285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7595742">
      <w:bodyDiv w:val="1"/>
      <w:marLeft w:val="0"/>
      <w:marRight w:val="0"/>
      <w:marTop w:val="0"/>
      <w:marBottom w:val="0"/>
      <w:divBdr>
        <w:top w:val="none" w:sz="0" w:space="0" w:color="auto"/>
        <w:left w:val="none" w:sz="0" w:space="0" w:color="auto"/>
        <w:bottom w:val="none" w:sz="0" w:space="0" w:color="auto"/>
        <w:right w:val="none" w:sz="0" w:space="0" w:color="auto"/>
      </w:divBdr>
    </w:div>
    <w:div w:id="1951011207">
      <w:bodyDiv w:val="1"/>
      <w:marLeft w:val="0"/>
      <w:marRight w:val="0"/>
      <w:marTop w:val="0"/>
      <w:marBottom w:val="0"/>
      <w:divBdr>
        <w:top w:val="none" w:sz="0" w:space="0" w:color="auto"/>
        <w:left w:val="none" w:sz="0" w:space="0" w:color="auto"/>
        <w:bottom w:val="none" w:sz="0" w:space="0" w:color="auto"/>
        <w:right w:val="none" w:sz="0" w:space="0" w:color="auto"/>
      </w:divBdr>
    </w:div>
    <w:div w:id="196333943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02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1269-024-04075-5" TargetMode="External"/><Relationship Id="rId26" Type="http://schemas.openxmlformats.org/officeDocument/2006/relationships/hyperlink" Target="https://doi.org/10.48165/IJEE.2021.57314" TargetMode="External"/><Relationship Id="rId39" Type="http://schemas.openxmlformats.org/officeDocument/2006/relationships/theme" Target="theme/theme1.xml"/><Relationship Id="rId21" Type="http://schemas.openxmlformats.org/officeDocument/2006/relationships/hyperlink" Target="https://doi.org/10.1002/fes3.534?urlappend=%3Futm_source%3Dresearchgate.net%26utm_medium%3Darticle"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sufs.2024.1256115" TargetMode="External"/><Relationship Id="rId25" Type="http://schemas.openxmlformats.org/officeDocument/2006/relationships/hyperlink" Target="https://doi.org/10.48165/IJEE.2023.59121" TargetMode="External"/><Relationship Id="rId33" Type="http://schemas.openxmlformats.org/officeDocument/2006/relationships/hyperlink" Target="https://doi.org/10.5958/0974-0279.2017.00037.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965/j.issn.1934-6344.2010.04.028-043" TargetMode="External"/><Relationship Id="rId20" Type="http://schemas.openxmlformats.org/officeDocument/2006/relationships/hyperlink" Target="http://59.160.153.188/library/node/667" TargetMode="External"/><Relationship Id="rId29" Type="http://schemas.openxmlformats.org/officeDocument/2006/relationships/hyperlink" Target="https://doi.org/10.3389/fsufs.2023.9594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nut.2024.1264658" TargetMode="External"/><Relationship Id="rId32" Type="http://schemas.openxmlformats.org/officeDocument/2006/relationships/hyperlink" Target="https://doi.org/10.48165/IJEE.2022.58426"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3390/su141811629" TargetMode="External"/><Relationship Id="rId28" Type="http://schemas.openxmlformats.org/officeDocument/2006/relationships/hyperlink" Target="https://doi.org/10.56093/ijas.v90i8.105884"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1031/mcda.2018.03.000560" TargetMode="External"/><Relationship Id="rId31" Type="http://schemas.openxmlformats.org/officeDocument/2006/relationships/hyperlink" Target="https://doi.org/10.5958/0974-0112.2015.00054.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2/fes3.321" TargetMode="External"/><Relationship Id="rId27" Type="http://schemas.openxmlformats.org/officeDocument/2006/relationships/hyperlink" Target="https://doi.org/10.3390/su14010241" TargetMode="External"/><Relationship Id="rId30" Type="http://schemas.openxmlformats.org/officeDocument/2006/relationships/hyperlink" Target="https://doi.org/10.59797/ija.v58i4.4235"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solidFill>
                  <a:schemeClr val="accent1">
                    <a:lumMod val="50000"/>
                  </a:schemeClr>
                </a:solidFill>
                <a:latin typeface="Arial" pitchFamily="34" charset="0"/>
                <a:cs typeface="Arial" pitchFamily="34" charset="0"/>
              </a:rPr>
              <a:t>Sustainable livelihood</a:t>
            </a:r>
            <a:r>
              <a:rPr lang="en-US" sz="1000" baseline="0">
                <a:solidFill>
                  <a:schemeClr val="accent1">
                    <a:lumMod val="50000"/>
                  </a:schemeClr>
                </a:solidFill>
                <a:latin typeface="Arial" pitchFamily="34" charset="0"/>
                <a:cs typeface="Arial" pitchFamily="34" charset="0"/>
              </a:rPr>
              <a:t> Security Index of IFS Farmers in Kuttanad </a:t>
            </a:r>
          </a:p>
          <a:p>
            <a:pPr>
              <a:defRPr/>
            </a:pPr>
            <a:r>
              <a:rPr lang="en-US" sz="1000" baseline="0">
                <a:solidFill>
                  <a:schemeClr val="accent1">
                    <a:lumMod val="50000"/>
                  </a:schemeClr>
                </a:solidFill>
                <a:latin typeface="Arial" pitchFamily="34" charset="0"/>
                <a:cs typeface="Arial" pitchFamily="34" charset="0"/>
              </a:rPr>
              <a:t>(Overall SLSI= 0.76)</a:t>
            </a:r>
            <a:endParaRPr lang="en-US" sz="1000">
              <a:solidFill>
                <a:schemeClr val="accent1">
                  <a:lumMod val="50000"/>
                </a:schemeClr>
              </a:solidFill>
              <a:latin typeface="Arial" pitchFamily="34" charset="0"/>
              <a:cs typeface="Arial" pitchFamily="34" charset="0"/>
            </a:endParaRPr>
          </a:p>
        </c:rich>
      </c:tx>
      <c:overlay val="0"/>
    </c:title>
    <c:autoTitleDeleted val="0"/>
    <c:plotArea>
      <c:layout/>
      <c:radarChart>
        <c:radarStyle val="marker"/>
        <c:varyColors val="0"/>
        <c:ser>
          <c:idx val="0"/>
          <c:order val="0"/>
          <c:tx>
            <c:strRef>
              <c:f>Sheet2!$B$1</c:f>
              <c:strCache>
                <c:ptCount val="1"/>
                <c:pt idx="0">
                  <c:v>Index Score</c:v>
                </c:pt>
              </c:strCache>
            </c:strRef>
          </c:tx>
          <c:marker>
            <c:symbol val="none"/>
          </c:marker>
          <c:dLbls>
            <c:dLbl>
              <c:idx val="0"/>
              <c:layout>
                <c:manualLayout>
                  <c:x val="1.6904422596169994E-2"/>
                  <c:y val="3.7293671624380284E-2"/>
                </c:manualLayout>
              </c:layout>
              <c:tx>
                <c:rich>
                  <a:bodyPr/>
                  <a:lstStyle/>
                  <a:p>
                    <a:r>
                      <a:rPr lang="en-US" b="1"/>
                      <a:t>0.605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E3-42C8-A296-B82A2F8F0183}"/>
                </c:ext>
              </c:extLst>
            </c:dLbl>
            <c:dLbl>
              <c:idx val="1"/>
              <c:layout>
                <c:manualLayout>
                  <c:x val="-1.2678288431061883E-2"/>
                  <c:y val="3.1473526528668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E3-42C8-A296-B82A2F8F0183}"/>
                </c:ext>
              </c:extLst>
            </c:dLbl>
            <c:dLbl>
              <c:idx val="2"/>
              <c:layout>
                <c:manualLayout>
                  <c:x val="-4.4374175890454261E-2"/>
                  <c:y val="3.4334756213092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E3-42C8-A296-B82A2F8F0183}"/>
                </c:ext>
              </c:extLst>
            </c:dLbl>
            <c:dLbl>
              <c:idx val="3"/>
              <c:layout>
                <c:manualLayout>
                  <c:x val="-3.2352464168669957E-2"/>
                  <c:y val="-9.7925836193552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E3-42C8-A296-B82A2F8F0183}"/>
                </c:ext>
              </c:extLst>
            </c:dLbl>
            <c:dLbl>
              <c:idx val="4"/>
              <c:layout>
                <c:manualLayout>
                  <c:x val="4.4671348800070152E-17"/>
                  <c:y val="-6.1901003832379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E3-42C8-A296-B82A2F8F0183}"/>
                </c:ext>
              </c:extLst>
            </c:dLbl>
            <c:dLbl>
              <c:idx val="5"/>
              <c:layout>
                <c:manualLayout>
                  <c:x val="6.3391442155309036E-3"/>
                  <c:y val="-3.4334756213092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E3-42C8-A296-B82A2F8F0183}"/>
                </c:ext>
              </c:extLst>
            </c:dLbl>
            <c:dLbl>
              <c:idx val="6"/>
              <c:layout>
                <c:manualLayout>
                  <c:x val="7.312614259597762E-3"/>
                  <c:y val="2.2792022792022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E3-42C8-A296-B82A2F8F0183}"/>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Sheet2!$A$2:$A$8</c:f>
              <c:strCache>
                <c:ptCount val="7"/>
                <c:pt idx="0">
                  <c:v>Food Security</c:v>
                </c:pt>
                <c:pt idx="1">
                  <c:v>Occupational Security</c:v>
                </c:pt>
                <c:pt idx="2">
                  <c:v>Habitat Security</c:v>
                </c:pt>
                <c:pt idx="3">
                  <c:v>Education Security</c:v>
                </c:pt>
                <c:pt idx="4">
                  <c:v>Social Security</c:v>
                </c:pt>
                <c:pt idx="5">
                  <c:v>Health Security</c:v>
                </c:pt>
                <c:pt idx="6">
                  <c:v>Environmental Security</c:v>
                </c:pt>
              </c:strCache>
            </c:strRef>
          </c:cat>
          <c:val>
            <c:numRef>
              <c:f>Sheet2!$B$2:$B$8</c:f>
              <c:numCache>
                <c:formatCode>General</c:formatCode>
                <c:ptCount val="7"/>
                <c:pt idx="0">
                  <c:v>0.60499999999999998</c:v>
                </c:pt>
                <c:pt idx="1">
                  <c:v>0.66400000000000003</c:v>
                </c:pt>
                <c:pt idx="2">
                  <c:v>0.93100000000000005</c:v>
                </c:pt>
                <c:pt idx="3">
                  <c:v>0.89400000000000002</c:v>
                </c:pt>
                <c:pt idx="4">
                  <c:v>0.91500000000000004</c:v>
                </c:pt>
                <c:pt idx="5">
                  <c:v>0.82</c:v>
                </c:pt>
                <c:pt idx="6">
                  <c:v>0.51100000000000001</c:v>
                </c:pt>
              </c:numCache>
            </c:numRef>
          </c:val>
          <c:extLst>
            <c:ext xmlns:c16="http://schemas.microsoft.com/office/drawing/2014/chart" uri="{C3380CC4-5D6E-409C-BE32-E72D297353CC}">
              <c16:uniqueId val="{00000007-9FE3-42C8-A296-B82A2F8F0183}"/>
            </c:ext>
          </c:extLst>
        </c:ser>
        <c:dLbls>
          <c:showLegendKey val="0"/>
          <c:showVal val="1"/>
          <c:showCatName val="0"/>
          <c:showSerName val="0"/>
          <c:showPercent val="0"/>
          <c:showBubbleSize val="0"/>
        </c:dLbls>
        <c:axId val="154931968"/>
        <c:axId val="154934656"/>
      </c:radarChart>
      <c:catAx>
        <c:axId val="154931968"/>
        <c:scaling>
          <c:orientation val="minMax"/>
        </c:scaling>
        <c:delete val="0"/>
        <c:axPos val="b"/>
        <c:majorGridlines/>
        <c:numFmt formatCode="General" sourceLinked="0"/>
        <c:majorTickMark val="none"/>
        <c:minorTickMark val="none"/>
        <c:tickLblPos val="nextTo"/>
        <c:spPr>
          <a:ln w="9525">
            <a:noFill/>
          </a:ln>
        </c:spPr>
        <c:txPr>
          <a:bodyPr/>
          <a:lstStyle/>
          <a:p>
            <a:pPr>
              <a:defRPr b="1">
                <a:latin typeface="Arial" pitchFamily="34" charset="0"/>
                <a:cs typeface="Arial" pitchFamily="34" charset="0"/>
              </a:defRPr>
            </a:pPr>
            <a:endParaRPr lang="en-US"/>
          </a:p>
        </c:txPr>
        <c:crossAx val="154934656"/>
        <c:crosses val="autoZero"/>
        <c:auto val="1"/>
        <c:lblAlgn val="ctr"/>
        <c:lblOffset val="100"/>
        <c:noMultiLvlLbl val="0"/>
      </c:catAx>
      <c:valAx>
        <c:axId val="154934656"/>
        <c:scaling>
          <c:orientation val="minMax"/>
          <c:max val="1"/>
          <c:min val="0"/>
        </c:scaling>
        <c:delete val="0"/>
        <c:axPos val="l"/>
        <c:majorGridlines/>
        <c:minorGridlines/>
        <c:numFmt formatCode="General" sourceLinked="1"/>
        <c:majorTickMark val="none"/>
        <c:minorTickMark val="none"/>
        <c:tickLblPos val="nextTo"/>
        <c:spPr>
          <a:gradFill>
            <a:gsLst>
              <a:gs pos="0">
                <a:schemeClr val="accent1">
                  <a:tint val="66000"/>
                  <a:satMod val="160000"/>
                </a:schemeClr>
              </a:gs>
              <a:gs pos="49000">
                <a:schemeClr val="accent1">
                  <a:tint val="44500"/>
                  <a:satMod val="160000"/>
                </a:schemeClr>
              </a:gs>
              <a:gs pos="100000">
                <a:schemeClr val="accent1">
                  <a:tint val="23500"/>
                  <a:satMod val="160000"/>
                </a:schemeClr>
              </a:gs>
            </a:gsLst>
            <a:lin ang="5400000" scaled="0"/>
          </a:gradFill>
        </c:spPr>
        <c:txPr>
          <a:bodyPr/>
          <a:lstStyle/>
          <a:p>
            <a:pPr>
              <a:defRPr>
                <a:latin typeface="Arial" pitchFamily="34" charset="0"/>
                <a:cs typeface="Arial" pitchFamily="34" charset="0"/>
              </a:defRPr>
            </a:pPr>
            <a:endParaRPr lang="en-US"/>
          </a:p>
        </c:txPr>
        <c:crossAx val="154931968"/>
        <c:crosses val="autoZero"/>
        <c:crossBetween val="between"/>
        <c:majorUnit val="0.25"/>
        <c:minorUnit val="0.25"/>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257CA-C9E0-4CF5-A435-68CB0295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14</Pages>
  <Words>5722</Words>
  <Characters>32617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38263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cp:revision>
  <cp:lastPrinted>1999-07-06T11:00:00Z</cp:lastPrinted>
  <dcterms:created xsi:type="dcterms:W3CDTF">2026-03-02T02:56:00Z</dcterms:created>
  <dcterms:modified xsi:type="dcterms:W3CDTF">2026-03-10T05:29:00Z</dcterms:modified>
</cp:coreProperties>
</file>