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D9C31" w14:textId="77777777" w:rsidR="00EC0E7C" w:rsidRPr="00EF1BDB" w:rsidRDefault="00EC0E7C" w:rsidP="00EC0E7C">
      <w:pPr>
        <w:pStyle w:val="NoSpacing"/>
        <w:jc w:val="right"/>
        <w:rPr>
          <w:rFonts w:ascii="Arial" w:hAnsi="Arial" w:cs="Arial"/>
          <w:b/>
          <w:i/>
          <w:sz w:val="32"/>
          <w:szCs w:val="32"/>
          <w:highlight w:val="yellow"/>
          <w:u w:val="single"/>
        </w:rPr>
      </w:pPr>
      <w:r w:rsidRPr="00EF1BDB">
        <w:rPr>
          <w:rFonts w:ascii="Arial" w:hAnsi="Arial" w:cs="Arial"/>
          <w:b/>
          <w:i/>
          <w:sz w:val="32"/>
          <w:szCs w:val="32"/>
          <w:highlight w:val="yellow"/>
          <w:u w:val="single"/>
        </w:rPr>
        <w:t>Review Article</w:t>
      </w:r>
    </w:p>
    <w:p w14:paraId="390A03A7" w14:textId="7FDEB2A6" w:rsidR="00EC0E7C" w:rsidRDefault="00EC0E7C" w:rsidP="00EF1BDB">
      <w:pPr>
        <w:pStyle w:val="NoSpacing"/>
        <w:jc w:val="right"/>
        <w:rPr>
          <w:rFonts w:ascii="Arial" w:hAnsi="Arial" w:cs="Arial"/>
          <w:b/>
          <w:sz w:val="32"/>
          <w:szCs w:val="32"/>
        </w:rPr>
      </w:pPr>
      <w:r w:rsidRPr="00EF1BDB">
        <w:rPr>
          <w:rFonts w:ascii="Arial" w:hAnsi="Arial" w:cs="Arial"/>
          <w:b/>
          <w:sz w:val="32"/>
          <w:szCs w:val="32"/>
          <w:highlight w:val="yellow"/>
        </w:rPr>
        <w:t xml:space="preserve"> </w:t>
      </w:r>
      <w:r w:rsidR="00EF1BDB" w:rsidRPr="00EF1BDB">
        <w:rPr>
          <w:rFonts w:ascii="Arial" w:hAnsi="Arial" w:cs="Arial"/>
          <w:b/>
          <w:sz w:val="32"/>
          <w:szCs w:val="32"/>
          <w:highlight w:val="yellow"/>
        </w:rPr>
        <w:t>Transgenic Crops: Advances in Genetic Engineering, Biofortification and Emerging Applications with Associated Biosafety Concerns</w:t>
      </w:r>
    </w:p>
    <w:p w14:paraId="1D7884E4" w14:textId="77777777" w:rsidR="00EF1BDB" w:rsidRPr="00E802D5" w:rsidRDefault="00EF1BDB" w:rsidP="00EF1BDB">
      <w:pPr>
        <w:pStyle w:val="NoSpacing"/>
        <w:jc w:val="right"/>
      </w:pPr>
    </w:p>
    <w:p w14:paraId="73E0AF09" w14:textId="77777777" w:rsidR="00EC0E7C" w:rsidRDefault="00EC0E7C" w:rsidP="00EC0E7C">
      <w:pPr>
        <w:spacing w:after="0" w:line="240" w:lineRule="auto"/>
        <w:rPr>
          <w:rFonts w:ascii="Times New Roman" w:eastAsia="Times New Roman" w:hAnsi="Times New Roman" w:cs="Times New Roman"/>
          <w:b/>
          <w:bCs/>
          <w:color w:val="000000"/>
          <w:sz w:val="24"/>
          <w:szCs w:val="24"/>
          <w:lang w:eastAsia="en-IN"/>
        </w:rPr>
      </w:pPr>
      <w:bookmarkStart w:id="0" w:name="_GoBack"/>
      <w:bookmarkEnd w:id="0"/>
    </w:p>
    <w:p w14:paraId="0DA7F0E5" w14:textId="77777777" w:rsidR="00EC0E7C" w:rsidRPr="00E802D5" w:rsidRDefault="00EC0E7C" w:rsidP="00EC0E7C">
      <w:pPr>
        <w:spacing w:after="0" w:line="240" w:lineRule="auto"/>
        <w:jc w:val="center"/>
        <w:rPr>
          <w:rFonts w:ascii="Arial" w:eastAsia="Times New Roman" w:hAnsi="Arial" w:cs="Arial"/>
          <w:b/>
          <w:bCs/>
          <w:color w:val="000000"/>
          <w:sz w:val="24"/>
          <w:szCs w:val="24"/>
          <w:lang w:eastAsia="en-IN"/>
        </w:rPr>
      </w:pPr>
      <w:r w:rsidRPr="00AB714C">
        <w:rPr>
          <w:rFonts w:ascii="Arial" w:eastAsia="Times New Roman" w:hAnsi="Arial" w:cs="Arial"/>
          <w:b/>
          <w:bCs/>
          <w:color w:val="000000"/>
          <w:sz w:val="24"/>
          <w:szCs w:val="24"/>
          <w:highlight w:val="yellow"/>
          <w:lang w:eastAsia="en-IN"/>
        </w:rPr>
        <w:t>ABSTRACT</w:t>
      </w:r>
    </w:p>
    <w:p w14:paraId="3868BC60" w14:textId="77777777" w:rsidR="008C7916" w:rsidRPr="008C7916" w:rsidRDefault="008C7916" w:rsidP="008C7916">
      <w:pPr>
        <w:pStyle w:val="NoSpacing"/>
        <w:jc w:val="both"/>
        <w:rPr>
          <w:rFonts w:ascii="Arial" w:hAnsi="Arial" w:cs="Arial"/>
          <w:sz w:val="20"/>
          <w:szCs w:val="20"/>
          <w:lang w:eastAsia="en-IN" w:bidi="ar-SA"/>
        </w:rPr>
      </w:pPr>
      <w:r w:rsidRPr="009C2900">
        <w:rPr>
          <w:rFonts w:ascii="Arial" w:hAnsi="Arial" w:cs="Arial"/>
          <w:sz w:val="20"/>
          <w:szCs w:val="20"/>
          <w:highlight w:val="yellow"/>
          <w:lang w:eastAsia="en-IN" w:bidi="ar-SA"/>
        </w:rPr>
        <w:t xml:space="preserve">Transgenic crops have emerged as a transformative innovation in modern agriculture, offering targeted solutions to challenges related to food security, micronutrient deficiency, biotic and abiotic stresses, and sustainable production systems. Since the advent of recombinant DNA technology in the early 1980s, genetic engineering has enabled the </w:t>
      </w:r>
      <w:r w:rsidRPr="008C7916">
        <w:rPr>
          <w:rFonts w:ascii="Arial" w:hAnsi="Arial" w:cs="Arial"/>
          <w:sz w:val="20"/>
          <w:szCs w:val="20"/>
          <w:lang w:eastAsia="en-IN" w:bidi="ar-SA"/>
        </w:rPr>
        <w:t xml:space="preserve">precise introduction of desirable genes across taxonomic boundaries using methods such as biolistic transformation, Agrobacterium-mediated gene transfer, and viral vector systems. This review comprehensively examines the molecular strategies underlying transgenic crop development and highlights their applications in agronomic improvement, including insect resistance, herbicide tolerance, and viral resistance. Particular emphasis is placed on biofortification approaches aimed at enhancing provitamin A, iron, zinc, folate, and vitamin E content through metabolic engineering, </w:t>
      </w:r>
      <w:proofErr w:type="spellStart"/>
      <w:r w:rsidRPr="008C7916">
        <w:rPr>
          <w:rFonts w:ascii="Arial" w:hAnsi="Arial" w:cs="Arial"/>
          <w:sz w:val="20"/>
          <w:szCs w:val="20"/>
          <w:lang w:eastAsia="en-IN" w:bidi="ar-SA"/>
        </w:rPr>
        <w:t>nicotianamine</w:t>
      </w:r>
      <w:proofErr w:type="spellEnd"/>
      <w:r w:rsidRPr="008C7916">
        <w:rPr>
          <w:rFonts w:ascii="Arial" w:hAnsi="Arial" w:cs="Arial"/>
          <w:sz w:val="20"/>
          <w:szCs w:val="20"/>
          <w:lang w:eastAsia="en-IN" w:bidi="ar-SA"/>
        </w:rPr>
        <w:t xml:space="preserve"> synthase overexpression, ferritin integration, and phytate reduction strategies. Beyond agronomic traits, emerging applications such as edible vaccines, plant-based biopharmaceuticals, biodegradable polymer production, and </w:t>
      </w:r>
      <w:proofErr w:type="spellStart"/>
      <w:r w:rsidRPr="008C7916">
        <w:rPr>
          <w:rFonts w:ascii="Arial" w:hAnsi="Arial" w:cs="Arial"/>
          <w:sz w:val="20"/>
          <w:szCs w:val="20"/>
          <w:lang w:eastAsia="en-IN" w:bidi="ar-SA"/>
        </w:rPr>
        <w:t>transgrafting</w:t>
      </w:r>
      <w:proofErr w:type="spellEnd"/>
      <w:r w:rsidRPr="008C7916">
        <w:rPr>
          <w:rFonts w:ascii="Arial" w:hAnsi="Arial" w:cs="Arial"/>
          <w:sz w:val="20"/>
          <w:szCs w:val="20"/>
          <w:lang w:eastAsia="en-IN" w:bidi="ar-SA"/>
        </w:rPr>
        <w:t xml:space="preserve"> technologies are discussed as innovative extensions of </w:t>
      </w:r>
      <w:r w:rsidRPr="009C2900">
        <w:rPr>
          <w:rFonts w:ascii="Arial" w:hAnsi="Arial" w:cs="Arial"/>
          <w:sz w:val="20"/>
          <w:szCs w:val="20"/>
          <w:highlight w:val="yellow"/>
          <w:lang w:eastAsia="en-IN" w:bidi="ar-SA"/>
        </w:rPr>
        <w:t xml:space="preserve">transgenic platforms. Despite demonstrated benefits in productivity and nutritional enhancement, concerns regarding biosafety, gene flow, resistance evolution, allergenicity, and public acceptance continue to shape regulatory landscapes worldwide. The review further outlines advancements in </w:t>
      </w:r>
      <w:proofErr w:type="spellStart"/>
      <w:r w:rsidRPr="009C2900">
        <w:rPr>
          <w:rFonts w:ascii="Arial" w:hAnsi="Arial" w:cs="Arial"/>
          <w:sz w:val="20"/>
          <w:szCs w:val="20"/>
          <w:highlight w:val="yellow"/>
          <w:lang w:eastAsia="en-IN" w:bidi="ar-SA"/>
        </w:rPr>
        <w:t>cisgenesis</w:t>
      </w:r>
      <w:proofErr w:type="spellEnd"/>
      <w:r w:rsidRPr="009C2900">
        <w:rPr>
          <w:rFonts w:ascii="Arial" w:hAnsi="Arial" w:cs="Arial"/>
          <w:sz w:val="20"/>
          <w:szCs w:val="20"/>
          <w:highlight w:val="yellow"/>
          <w:lang w:eastAsia="en-IN" w:bidi="ar-SA"/>
        </w:rPr>
        <w:t xml:space="preserve">, </w:t>
      </w:r>
      <w:proofErr w:type="spellStart"/>
      <w:r w:rsidRPr="009C2900">
        <w:rPr>
          <w:rFonts w:ascii="Arial" w:hAnsi="Arial" w:cs="Arial"/>
          <w:sz w:val="20"/>
          <w:szCs w:val="20"/>
          <w:highlight w:val="yellow"/>
          <w:lang w:eastAsia="en-IN" w:bidi="ar-SA"/>
        </w:rPr>
        <w:t>intragenesis</w:t>
      </w:r>
      <w:proofErr w:type="spellEnd"/>
      <w:r w:rsidRPr="009C2900">
        <w:rPr>
          <w:rFonts w:ascii="Arial" w:hAnsi="Arial" w:cs="Arial"/>
          <w:sz w:val="20"/>
          <w:szCs w:val="20"/>
          <w:highlight w:val="yellow"/>
          <w:lang w:eastAsia="en-IN" w:bidi="ar-SA"/>
        </w:rPr>
        <w:t>, and genome editing as refined alternatives to classical transgenic approaches. Collectively, transgenic technologies represent a pivotal tool for developing climate-resilient, nutrient-enriched, and multifunctional crops, provided that scientific innovation is balanced with rigorous safety assessment and societal engagement.</w:t>
      </w:r>
    </w:p>
    <w:p w14:paraId="1F9D5C5B" w14:textId="77777777" w:rsidR="0082014A" w:rsidRPr="00F33BA9" w:rsidRDefault="0082014A" w:rsidP="00F33BA9">
      <w:pPr>
        <w:pStyle w:val="NoSpacing"/>
      </w:pPr>
    </w:p>
    <w:p w14:paraId="7672FD36" w14:textId="5E27DE4C" w:rsidR="008C7916" w:rsidRPr="009C2900" w:rsidRDefault="008C7916" w:rsidP="008C7916">
      <w:pPr>
        <w:pStyle w:val="NoSpacing"/>
        <w:jc w:val="both"/>
        <w:rPr>
          <w:rFonts w:ascii="Arial" w:hAnsi="Arial" w:cs="Arial"/>
          <w:i/>
          <w:sz w:val="20"/>
          <w:szCs w:val="20"/>
          <w:highlight w:val="yellow"/>
          <w:lang w:eastAsia="en-IN" w:bidi="ar-SA"/>
        </w:rPr>
      </w:pPr>
      <w:r w:rsidRPr="009C2900">
        <w:rPr>
          <w:rFonts w:ascii="Arial" w:hAnsi="Arial" w:cs="Arial"/>
          <w:b/>
          <w:bCs/>
          <w:i/>
          <w:kern w:val="36"/>
          <w:sz w:val="20"/>
          <w:szCs w:val="20"/>
          <w:highlight w:val="yellow"/>
          <w:lang w:eastAsia="en-IN" w:bidi="ar-SA"/>
        </w:rPr>
        <w:t xml:space="preserve">Keywords: </w:t>
      </w:r>
      <w:r w:rsidRPr="009C2900">
        <w:rPr>
          <w:rFonts w:ascii="Arial" w:hAnsi="Arial" w:cs="Arial"/>
          <w:i/>
          <w:sz w:val="20"/>
          <w:szCs w:val="20"/>
          <w:highlight w:val="yellow"/>
          <w:lang w:eastAsia="en-IN" w:bidi="ar-SA"/>
        </w:rPr>
        <w:t>Transgenic crops; Genetic engineering; Biofortification; Metabolic engineering; Edible vaccines; Biosafety and regulation</w:t>
      </w:r>
    </w:p>
    <w:p w14:paraId="3A88041E" w14:textId="77777777" w:rsidR="00F33BA9" w:rsidRPr="00F33BA9" w:rsidRDefault="00F33BA9" w:rsidP="00F33BA9">
      <w:pPr>
        <w:pStyle w:val="NoSpacing"/>
      </w:pPr>
    </w:p>
    <w:p w14:paraId="3DC9B42B" w14:textId="4A03799D" w:rsidR="00EC0E7C" w:rsidRDefault="00EC0E7C" w:rsidP="00EC0E7C">
      <w:pPr>
        <w:pStyle w:val="NoSpacing"/>
        <w:numPr>
          <w:ilvl w:val="0"/>
          <w:numId w:val="3"/>
        </w:numPr>
        <w:rPr>
          <w:rFonts w:ascii="Arial" w:hAnsi="Arial" w:cs="Arial"/>
          <w:b/>
          <w:sz w:val="24"/>
          <w:szCs w:val="20"/>
        </w:rPr>
      </w:pPr>
      <w:r w:rsidRPr="00E802D5">
        <w:rPr>
          <w:rFonts w:ascii="Arial" w:hAnsi="Arial" w:cs="Arial"/>
          <w:b/>
          <w:sz w:val="24"/>
          <w:szCs w:val="20"/>
        </w:rPr>
        <w:t xml:space="preserve">INTRODUCTION </w:t>
      </w:r>
    </w:p>
    <w:p w14:paraId="734B6C27" w14:textId="77777777" w:rsidR="0082014A" w:rsidRPr="0082014A" w:rsidRDefault="0082014A" w:rsidP="0082014A">
      <w:pPr>
        <w:pStyle w:val="NoSpacing"/>
        <w:jc w:val="both"/>
        <w:rPr>
          <w:rFonts w:ascii="Arial" w:hAnsi="Arial" w:cs="Arial"/>
          <w:sz w:val="20"/>
        </w:rPr>
      </w:pPr>
      <w:r w:rsidRPr="0082014A">
        <w:rPr>
          <w:rFonts w:ascii="Arial" w:hAnsi="Arial" w:cs="Arial"/>
          <w:sz w:val="20"/>
        </w:rPr>
        <w:t>Transgenic crops represent one of the most significant advancements in modern plant biotechnology, enabling the precise modification of plant genomes through recombinant DNA technology. Unlike conventional breeding, which relies on the recombination of genes within sexually compatible species, transgenic approaches allow the transfer of specific genes across taxonomic barriers to introduce desirable traits. The foundation of this technology was established in the early 1980s, when successful gene expression in plants following DNA transfer demonstrated the feasibility of genetic transformation (</w:t>
      </w:r>
      <w:proofErr w:type="spellStart"/>
      <w:r w:rsidRPr="0082014A">
        <w:rPr>
          <w:rFonts w:ascii="Arial" w:hAnsi="Arial" w:cs="Arial"/>
          <w:sz w:val="20"/>
        </w:rPr>
        <w:t>Murai</w:t>
      </w:r>
      <w:proofErr w:type="spellEnd"/>
      <w:r w:rsidRPr="0082014A">
        <w:rPr>
          <w:rFonts w:ascii="Arial" w:hAnsi="Arial" w:cs="Arial"/>
          <w:sz w:val="20"/>
        </w:rPr>
        <w:t xml:space="preserve"> et al., 1983). Since then, genetic engineering has evolved into a powerful tool for enhancing crop productivity, nutritional quality, and resistance to biotic and abiotic stresses.</w:t>
      </w:r>
    </w:p>
    <w:p w14:paraId="2F80FC8B" w14:textId="77777777" w:rsidR="0082014A" w:rsidRPr="0082014A" w:rsidRDefault="0082014A" w:rsidP="0082014A">
      <w:pPr>
        <w:pStyle w:val="NoSpacing"/>
        <w:ind w:firstLine="720"/>
        <w:jc w:val="both"/>
        <w:rPr>
          <w:rFonts w:ascii="Arial" w:hAnsi="Arial" w:cs="Arial"/>
          <w:sz w:val="20"/>
        </w:rPr>
      </w:pPr>
      <w:r w:rsidRPr="0082014A">
        <w:rPr>
          <w:rFonts w:ascii="Arial" w:hAnsi="Arial" w:cs="Arial"/>
          <w:sz w:val="20"/>
        </w:rPr>
        <w:t xml:space="preserve">The rapid global population increase and the need for sustainable agricultural intensification have driven the adoption of genetically engineered crops. Transgenic crops are designed to address critical challenges such as insect infestation, weed competition, viral infections, micronutrient deficiencies, and environmental stresses. One of the earliest and most impactful commercial applications was the development of insect-resistant crops expressing </w:t>
      </w:r>
      <w:r w:rsidRPr="0082014A">
        <w:rPr>
          <w:rStyle w:val="Emphasis"/>
          <w:rFonts w:ascii="Arial" w:hAnsi="Arial" w:cs="Arial"/>
          <w:i w:val="0"/>
          <w:iCs w:val="0"/>
          <w:sz w:val="20"/>
        </w:rPr>
        <w:t>Bacillus thuringiensis</w:t>
      </w:r>
      <w:r w:rsidRPr="0082014A">
        <w:rPr>
          <w:rFonts w:ascii="Arial" w:hAnsi="Arial" w:cs="Arial"/>
          <w:sz w:val="20"/>
        </w:rPr>
        <w:t xml:space="preserve"> (</w:t>
      </w:r>
      <w:proofErr w:type="spellStart"/>
      <w:r w:rsidRPr="0082014A">
        <w:rPr>
          <w:rFonts w:ascii="Arial" w:hAnsi="Arial" w:cs="Arial"/>
          <w:sz w:val="20"/>
        </w:rPr>
        <w:t>Bt</w:t>
      </w:r>
      <w:proofErr w:type="spellEnd"/>
      <w:r w:rsidRPr="0082014A">
        <w:rPr>
          <w:rFonts w:ascii="Arial" w:hAnsi="Arial" w:cs="Arial"/>
          <w:sz w:val="20"/>
        </w:rPr>
        <w:t>) Cry toxins. These crops significantly reduced reliance on chemical insecticides and improved yield stability by protecting plants from major lepidopteran pests (Bates et al., 2005; Pardo-López et al., 2013). Similarly, herbicide-tolerant crops engineered with modified versions of 5-enolpyruvylshikimate-3-phosphate synthase (EPSPS) have enabled efficient weed control and facilitated conservation tillage practices (Funke et al., 2006).</w:t>
      </w:r>
    </w:p>
    <w:p w14:paraId="00A4051C" w14:textId="57B0227F" w:rsidR="0082014A" w:rsidRPr="0082014A" w:rsidRDefault="0082014A" w:rsidP="0082014A">
      <w:pPr>
        <w:pStyle w:val="NoSpacing"/>
        <w:ind w:firstLine="720"/>
        <w:jc w:val="both"/>
        <w:rPr>
          <w:rFonts w:ascii="Arial" w:hAnsi="Arial" w:cs="Arial"/>
          <w:sz w:val="20"/>
        </w:rPr>
      </w:pPr>
      <w:r w:rsidRPr="0082014A">
        <w:rPr>
          <w:rFonts w:ascii="Arial" w:hAnsi="Arial" w:cs="Arial"/>
          <w:sz w:val="20"/>
        </w:rPr>
        <w:t>The global adoption of genetically modified crops has been associated with measurable agronomic and economic benefits. A comprehensive meta-analysis indicated that GM crops have contributed to yield gains, reduced pesticide applications, and increased farmer profitability (</w:t>
      </w:r>
      <w:proofErr w:type="spellStart"/>
      <w:r w:rsidRPr="0082014A">
        <w:rPr>
          <w:rFonts w:ascii="Arial" w:hAnsi="Arial" w:cs="Arial"/>
          <w:sz w:val="20"/>
        </w:rPr>
        <w:t>Klümper</w:t>
      </w:r>
      <w:proofErr w:type="spellEnd"/>
      <w:r w:rsidRPr="0082014A">
        <w:rPr>
          <w:rFonts w:ascii="Arial" w:hAnsi="Arial" w:cs="Arial"/>
          <w:sz w:val="20"/>
        </w:rPr>
        <w:t xml:space="preserve"> and </w:t>
      </w:r>
      <w:proofErr w:type="spellStart"/>
      <w:r w:rsidRPr="0082014A">
        <w:rPr>
          <w:rFonts w:ascii="Arial" w:hAnsi="Arial" w:cs="Arial"/>
          <w:sz w:val="20"/>
        </w:rPr>
        <w:t>Qaim</w:t>
      </w:r>
      <w:proofErr w:type="spellEnd"/>
      <w:r w:rsidRPr="0082014A">
        <w:rPr>
          <w:rFonts w:ascii="Arial" w:hAnsi="Arial" w:cs="Arial"/>
          <w:sz w:val="20"/>
        </w:rPr>
        <w:t>, 2014). In addition to productivity enhancement, transgenic crops have been linked to broader sustainable development objectives, including improved resource-use efficiency and reduced environmental footprint (Raymond Park et al., 2011). These developments underscore the transformative role of genetic engineering in modern agriculture.</w:t>
      </w:r>
      <w:r>
        <w:rPr>
          <w:rFonts w:ascii="Arial" w:hAnsi="Arial" w:cs="Arial"/>
          <w:sz w:val="20"/>
        </w:rPr>
        <w:t xml:space="preserve"> </w:t>
      </w:r>
      <w:r w:rsidRPr="0082014A">
        <w:rPr>
          <w:rFonts w:ascii="Arial" w:hAnsi="Arial" w:cs="Arial"/>
          <w:sz w:val="20"/>
        </w:rPr>
        <w:t xml:space="preserve">Beyond agronomic improvements, transgenic technology has emerged as a strategic tool to combat micronutrient malnutrition, often termed “hidden hunger.” Biofortification, defined as the enhancement of micronutrient concentration in </w:t>
      </w:r>
      <w:r w:rsidRPr="0082014A">
        <w:rPr>
          <w:rFonts w:ascii="Arial" w:hAnsi="Arial" w:cs="Arial"/>
          <w:sz w:val="20"/>
        </w:rPr>
        <w:lastRenderedPageBreak/>
        <w:t>edible plant parts through breeding or biotechnology, is considered a sustainable intervention for addressing deficiencies in iron, zinc, vitamin A, and folate (Welch and Graham, 2004; Saltzman et al., 2013). While conventional breeding has achieved progress in developing nutrient-dense crops (</w:t>
      </w:r>
      <w:proofErr w:type="spellStart"/>
      <w:r w:rsidRPr="0082014A">
        <w:rPr>
          <w:rFonts w:ascii="Arial" w:hAnsi="Arial" w:cs="Arial"/>
          <w:sz w:val="20"/>
        </w:rPr>
        <w:t>Nestel</w:t>
      </w:r>
      <w:proofErr w:type="spellEnd"/>
      <w:r w:rsidRPr="0082014A">
        <w:rPr>
          <w:rFonts w:ascii="Arial" w:hAnsi="Arial" w:cs="Arial"/>
          <w:sz w:val="20"/>
        </w:rPr>
        <w:t xml:space="preserve"> et al., 2006; Garg et al., 2018), genetic engineering provides unique advantages when natural variation is insufficient or when new biosynthetic pathways must be introduced.</w:t>
      </w:r>
    </w:p>
    <w:p w14:paraId="2F64A2DF" w14:textId="77777777" w:rsidR="0082014A" w:rsidRPr="0082014A" w:rsidRDefault="0082014A" w:rsidP="0082014A">
      <w:pPr>
        <w:pStyle w:val="NoSpacing"/>
        <w:ind w:firstLine="720"/>
        <w:jc w:val="both"/>
        <w:rPr>
          <w:rFonts w:ascii="Arial" w:hAnsi="Arial" w:cs="Arial"/>
          <w:sz w:val="20"/>
        </w:rPr>
      </w:pPr>
      <w:r w:rsidRPr="0082014A">
        <w:rPr>
          <w:rFonts w:ascii="Arial" w:hAnsi="Arial" w:cs="Arial"/>
          <w:sz w:val="20"/>
        </w:rPr>
        <w:t xml:space="preserve">A landmark example of transgenic biofortification is Golden Rice, engineered to synthesize β-carotene (provitamin A) in the endosperm through the insertion of carotenoid biosynthetic genes (Paine et al., 2005). Similarly, combinatorial genetic transformation has been employed in maize to enhance carotenoid accumulation (Zhu et al., 2008; Wang et al., 2014). Iron biofortification has been achieved by overexpressing </w:t>
      </w:r>
      <w:proofErr w:type="spellStart"/>
      <w:r w:rsidRPr="0082014A">
        <w:rPr>
          <w:rFonts w:ascii="Arial" w:hAnsi="Arial" w:cs="Arial"/>
          <w:sz w:val="20"/>
        </w:rPr>
        <w:t>nicotianamine</w:t>
      </w:r>
      <w:proofErr w:type="spellEnd"/>
      <w:r w:rsidRPr="0082014A">
        <w:rPr>
          <w:rFonts w:ascii="Arial" w:hAnsi="Arial" w:cs="Arial"/>
          <w:sz w:val="20"/>
        </w:rPr>
        <w:t xml:space="preserve"> synthase and ferritin genes, leading to increased iron content in rice grains (Wirth et al., 2009). Moreover, reducing anti-nutritional factors such as phytic acid enhances mineral bioavailability (Gibson et al., 2010), and transgenic expression of phytase in wheat has been shown to significantly increase iron and zinc bioavailability (Abid et al., 2017). Folate enrichment through metabolic engineering has also been successfully demonstrated in rice (</w:t>
      </w:r>
      <w:proofErr w:type="spellStart"/>
      <w:r w:rsidRPr="0082014A">
        <w:rPr>
          <w:rFonts w:ascii="Arial" w:hAnsi="Arial" w:cs="Arial"/>
          <w:sz w:val="20"/>
        </w:rPr>
        <w:t>Storozhenko</w:t>
      </w:r>
      <w:proofErr w:type="spellEnd"/>
      <w:r w:rsidRPr="0082014A">
        <w:rPr>
          <w:rFonts w:ascii="Arial" w:hAnsi="Arial" w:cs="Arial"/>
          <w:sz w:val="20"/>
        </w:rPr>
        <w:t xml:space="preserve"> et al., 2007). These examples illustrate how transgenic strategies can directly improve the nutritional profile of staple crops.</w:t>
      </w:r>
    </w:p>
    <w:p w14:paraId="42C9091E" w14:textId="77777777" w:rsidR="0082014A" w:rsidRPr="0082014A" w:rsidRDefault="0082014A" w:rsidP="0082014A">
      <w:pPr>
        <w:pStyle w:val="NoSpacing"/>
        <w:ind w:firstLine="720"/>
        <w:jc w:val="both"/>
        <w:rPr>
          <w:rFonts w:ascii="Arial" w:hAnsi="Arial" w:cs="Arial"/>
          <w:sz w:val="20"/>
        </w:rPr>
      </w:pPr>
      <w:r w:rsidRPr="0082014A">
        <w:rPr>
          <w:rFonts w:ascii="Arial" w:hAnsi="Arial" w:cs="Arial"/>
          <w:sz w:val="20"/>
        </w:rPr>
        <w:t xml:space="preserve">In addition to food and nutrition applications, transgenic plants have been explored as </w:t>
      </w:r>
      <w:proofErr w:type="spellStart"/>
      <w:r w:rsidRPr="0082014A">
        <w:rPr>
          <w:rFonts w:ascii="Arial" w:hAnsi="Arial" w:cs="Arial"/>
          <w:sz w:val="20"/>
        </w:rPr>
        <w:t>biofactories</w:t>
      </w:r>
      <w:proofErr w:type="spellEnd"/>
      <w:r w:rsidRPr="0082014A">
        <w:rPr>
          <w:rFonts w:ascii="Arial" w:hAnsi="Arial" w:cs="Arial"/>
          <w:sz w:val="20"/>
        </w:rPr>
        <w:t xml:space="preserve"> for the production of vaccines and therapeutic proteins. The successful production of </w:t>
      </w:r>
      <w:r w:rsidRPr="009C2900">
        <w:rPr>
          <w:rFonts w:ascii="Arial" w:hAnsi="Arial" w:cs="Arial"/>
          <w:sz w:val="20"/>
          <w:highlight w:val="yellow"/>
        </w:rPr>
        <w:t xml:space="preserve">antibodies in transgenic plants demonstrated the feasibility of plant-based biopharmaceutical systems (Hiatt et al., 1989). Subsequent developments highlighted the potential of plants as platforms for edible vaccines and antigen delivery systems (Walmsley and </w:t>
      </w:r>
      <w:proofErr w:type="spellStart"/>
      <w:r w:rsidRPr="009C2900">
        <w:rPr>
          <w:rFonts w:ascii="Arial" w:hAnsi="Arial" w:cs="Arial"/>
          <w:sz w:val="20"/>
          <w:highlight w:val="yellow"/>
        </w:rPr>
        <w:t>Arntzen</w:t>
      </w:r>
      <w:proofErr w:type="spellEnd"/>
      <w:r w:rsidRPr="009C2900">
        <w:rPr>
          <w:rFonts w:ascii="Arial" w:hAnsi="Arial" w:cs="Arial"/>
          <w:sz w:val="20"/>
          <w:highlight w:val="yellow"/>
        </w:rPr>
        <w:t>, 2000; Penney et al., 2011; Guan et al., 2013). Furthermore, plant systems have been utilized for the production of high-value oils and fatty acids (</w:t>
      </w:r>
      <w:proofErr w:type="spellStart"/>
      <w:r w:rsidRPr="009C2900">
        <w:rPr>
          <w:rFonts w:ascii="Arial" w:hAnsi="Arial" w:cs="Arial"/>
          <w:sz w:val="20"/>
          <w:highlight w:val="yellow"/>
        </w:rPr>
        <w:t>Damude</w:t>
      </w:r>
      <w:proofErr w:type="spellEnd"/>
      <w:r w:rsidRPr="009C2900">
        <w:rPr>
          <w:rFonts w:ascii="Arial" w:hAnsi="Arial" w:cs="Arial"/>
          <w:sz w:val="20"/>
          <w:highlight w:val="yellow"/>
        </w:rPr>
        <w:t xml:space="preserve"> and Kinney, 2008; Dyer et al., 2008), as well as biodegradable polymers such as </w:t>
      </w:r>
      <w:proofErr w:type="spellStart"/>
      <w:r w:rsidRPr="009C2900">
        <w:rPr>
          <w:rFonts w:ascii="Arial" w:hAnsi="Arial" w:cs="Arial"/>
          <w:sz w:val="20"/>
          <w:highlight w:val="yellow"/>
        </w:rPr>
        <w:t>polyhydroxyalkanoates</w:t>
      </w:r>
      <w:proofErr w:type="spellEnd"/>
      <w:r w:rsidRPr="009C2900">
        <w:rPr>
          <w:rFonts w:ascii="Arial" w:hAnsi="Arial" w:cs="Arial"/>
          <w:sz w:val="20"/>
          <w:highlight w:val="yellow"/>
        </w:rPr>
        <w:t xml:space="preserve"> (Poirier, 2001). Enhancement of vitamin E (</w:t>
      </w:r>
      <w:proofErr w:type="spellStart"/>
      <w:r w:rsidRPr="009C2900">
        <w:rPr>
          <w:rFonts w:ascii="Arial" w:hAnsi="Arial" w:cs="Arial"/>
          <w:sz w:val="20"/>
          <w:highlight w:val="yellow"/>
        </w:rPr>
        <w:t>tocochromanol</w:t>
      </w:r>
      <w:proofErr w:type="spellEnd"/>
      <w:r w:rsidRPr="009C2900">
        <w:rPr>
          <w:rFonts w:ascii="Arial" w:hAnsi="Arial" w:cs="Arial"/>
          <w:sz w:val="20"/>
          <w:highlight w:val="yellow"/>
        </w:rPr>
        <w:t>) content through metabolic pathway manipulation further demonstrates the versatility of transgenic approaches (Yang et al., 2011; Tanaka et al., 2015).</w:t>
      </w:r>
    </w:p>
    <w:p w14:paraId="115743E9" w14:textId="7E302608" w:rsidR="0082014A" w:rsidRPr="0082014A" w:rsidRDefault="0082014A" w:rsidP="0082014A">
      <w:pPr>
        <w:pStyle w:val="NoSpacing"/>
        <w:ind w:firstLine="720"/>
        <w:jc w:val="both"/>
        <w:rPr>
          <w:rFonts w:ascii="Arial" w:hAnsi="Arial" w:cs="Arial"/>
          <w:sz w:val="20"/>
        </w:rPr>
      </w:pPr>
      <w:r w:rsidRPr="0082014A">
        <w:rPr>
          <w:rFonts w:ascii="Arial" w:hAnsi="Arial" w:cs="Arial"/>
          <w:sz w:val="20"/>
        </w:rPr>
        <w:t xml:space="preserve">Innovative applications such as </w:t>
      </w:r>
      <w:proofErr w:type="spellStart"/>
      <w:r w:rsidRPr="0082014A">
        <w:rPr>
          <w:rFonts w:ascii="Arial" w:hAnsi="Arial" w:cs="Arial"/>
          <w:sz w:val="20"/>
        </w:rPr>
        <w:t>transgrafting</w:t>
      </w:r>
      <w:proofErr w:type="spellEnd"/>
      <w:r w:rsidRPr="0082014A">
        <w:rPr>
          <w:rFonts w:ascii="Arial" w:hAnsi="Arial" w:cs="Arial"/>
          <w:sz w:val="20"/>
        </w:rPr>
        <w:t xml:space="preserve"> provide additional dimensions to genetic engineering. In this approach, non-transgenic scions are grafted onto transgenic rootstocks to confer beneficial traits while maintaining non-transgenic edible tissues (</w:t>
      </w:r>
      <w:proofErr w:type="spellStart"/>
      <w:r w:rsidRPr="0082014A">
        <w:rPr>
          <w:rFonts w:ascii="Arial" w:hAnsi="Arial" w:cs="Arial"/>
          <w:sz w:val="20"/>
        </w:rPr>
        <w:t>Smolka</w:t>
      </w:r>
      <w:proofErr w:type="spellEnd"/>
      <w:r w:rsidRPr="0082014A">
        <w:rPr>
          <w:rFonts w:ascii="Arial" w:hAnsi="Arial" w:cs="Arial"/>
          <w:sz w:val="20"/>
        </w:rPr>
        <w:t xml:space="preserve"> et al., 2010; Albacete et al., 2015; Dandekar et al., 2019; </w:t>
      </w:r>
      <w:proofErr w:type="spellStart"/>
      <w:r w:rsidRPr="0082014A">
        <w:rPr>
          <w:rFonts w:ascii="Arial" w:hAnsi="Arial" w:cs="Arial"/>
          <w:sz w:val="20"/>
        </w:rPr>
        <w:t>Rugini</w:t>
      </w:r>
      <w:proofErr w:type="spellEnd"/>
      <w:r w:rsidRPr="0082014A">
        <w:rPr>
          <w:rFonts w:ascii="Arial" w:hAnsi="Arial" w:cs="Arial"/>
          <w:sz w:val="20"/>
        </w:rPr>
        <w:t xml:space="preserve"> et al., 2020). Moreover, </w:t>
      </w:r>
      <w:proofErr w:type="spellStart"/>
      <w:r w:rsidRPr="0082014A">
        <w:rPr>
          <w:rFonts w:ascii="Arial" w:hAnsi="Arial" w:cs="Arial"/>
          <w:sz w:val="20"/>
        </w:rPr>
        <w:t>cisgenic</w:t>
      </w:r>
      <w:proofErr w:type="spellEnd"/>
      <w:r w:rsidRPr="0082014A">
        <w:rPr>
          <w:rFonts w:ascii="Arial" w:hAnsi="Arial" w:cs="Arial"/>
          <w:sz w:val="20"/>
        </w:rPr>
        <w:t xml:space="preserve"> and intragenic strategies, which utilize genes from sexually compatible species, have been proposed as alternatives to classical transgenesis and may influence future regulatory frameworks (Schouten et al., 2006; </w:t>
      </w:r>
      <w:proofErr w:type="spellStart"/>
      <w:r w:rsidRPr="0082014A">
        <w:rPr>
          <w:rFonts w:ascii="Arial" w:hAnsi="Arial" w:cs="Arial"/>
          <w:sz w:val="20"/>
        </w:rPr>
        <w:t>Scorza</w:t>
      </w:r>
      <w:proofErr w:type="spellEnd"/>
      <w:r w:rsidRPr="0082014A">
        <w:rPr>
          <w:rFonts w:ascii="Arial" w:hAnsi="Arial" w:cs="Arial"/>
          <w:sz w:val="20"/>
        </w:rPr>
        <w:t xml:space="preserve"> et al., 2013).</w:t>
      </w:r>
      <w:r>
        <w:rPr>
          <w:rFonts w:ascii="Arial" w:hAnsi="Arial" w:cs="Arial"/>
          <w:sz w:val="20"/>
        </w:rPr>
        <w:t xml:space="preserve"> </w:t>
      </w:r>
      <w:r w:rsidRPr="0082014A">
        <w:rPr>
          <w:rFonts w:ascii="Arial" w:hAnsi="Arial" w:cs="Arial"/>
          <w:sz w:val="20"/>
        </w:rPr>
        <w:t>Despite these advances, the deployment of transgenic crops continues to be shaped by regulatory scrutiny and public perception. Comprehensive biosafety evaluations assess potential risks such as gene flow, resistance evolution, and allergenicity before commercialization. Continuous refinement of transformation technologies and molecular characterization methods aims to enhance precision, stability, and safety.</w:t>
      </w:r>
      <w:r>
        <w:rPr>
          <w:rFonts w:ascii="Arial" w:hAnsi="Arial" w:cs="Arial"/>
          <w:sz w:val="20"/>
        </w:rPr>
        <w:t xml:space="preserve"> </w:t>
      </w:r>
      <w:r w:rsidR="00F33BA9" w:rsidRPr="00F33BA9">
        <w:rPr>
          <w:rFonts w:ascii="Arial" w:hAnsi="Arial" w:cs="Arial"/>
          <w:sz w:val="20"/>
        </w:rPr>
        <w:t xml:space="preserve">The historical progression of transgenic crop development, from the first transgenic plant in 1982 to recent CRISPR-based commercial products, reflects rapid advancements in plant biotechnology. Key milestones including the approval of </w:t>
      </w:r>
      <w:proofErr w:type="spellStart"/>
      <w:r w:rsidR="00F33BA9" w:rsidRPr="00F33BA9">
        <w:rPr>
          <w:rFonts w:ascii="Arial" w:hAnsi="Arial" w:cs="Arial"/>
          <w:sz w:val="20"/>
        </w:rPr>
        <w:t>Flavr</w:t>
      </w:r>
      <w:proofErr w:type="spellEnd"/>
      <w:r w:rsidR="00F33BA9" w:rsidRPr="00F33BA9">
        <w:rPr>
          <w:rFonts w:ascii="Arial" w:hAnsi="Arial" w:cs="Arial"/>
          <w:sz w:val="20"/>
        </w:rPr>
        <w:t xml:space="preserve"> </w:t>
      </w:r>
      <w:proofErr w:type="spellStart"/>
      <w:r w:rsidR="00F33BA9" w:rsidRPr="00F33BA9">
        <w:rPr>
          <w:rFonts w:ascii="Arial" w:hAnsi="Arial" w:cs="Arial"/>
          <w:sz w:val="20"/>
        </w:rPr>
        <w:t>Savr</w:t>
      </w:r>
      <w:proofErr w:type="spellEnd"/>
      <w:r w:rsidR="00F33BA9" w:rsidRPr="00F33BA9">
        <w:rPr>
          <w:rFonts w:ascii="Arial" w:hAnsi="Arial" w:cs="Arial"/>
          <w:sz w:val="20"/>
        </w:rPr>
        <w:t xml:space="preserve"> tomato, development of Golden Rice, and commercialization of GM cotton highlight the expanding scope of genetic engineering in agriculture. These major developments are summarized chronologically in Fig. 1.</w:t>
      </w:r>
      <w:r w:rsidR="00F33BA9">
        <w:rPr>
          <w:rFonts w:ascii="Arial" w:hAnsi="Arial" w:cs="Arial"/>
          <w:sz w:val="20"/>
        </w:rPr>
        <w:t xml:space="preserve"> </w:t>
      </w:r>
      <w:r w:rsidRPr="0082014A">
        <w:rPr>
          <w:rFonts w:ascii="Arial" w:hAnsi="Arial" w:cs="Arial"/>
          <w:sz w:val="20"/>
        </w:rPr>
        <w:t>Overall, transgenic crops represent a convergence of molecular genetics, metabolic engineering, and sustainable agricultural innovation. By addressing yield constraints, nutritional deficiencies, and novel industrial applications, transgenic technology offers a multifaceted solution to contemporary agricultural challenges.</w:t>
      </w:r>
    </w:p>
    <w:p w14:paraId="115805F2" w14:textId="77777777" w:rsidR="0082014A" w:rsidRPr="00E802D5" w:rsidRDefault="0082014A" w:rsidP="0082014A">
      <w:pPr>
        <w:pStyle w:val="NoSpacing"/>
        <w:rPr>
          <w:rFonts w:ascii="Arial" w:hAnsi="Arial" w:cs="Arial"/>
          <w:b/>
          <w:sz w:val="24"/>
          <w:szCs w:val="20"/>
        </w:rPr>
      </w:pPr>
    </w:p>
    <w:p w14:paraId="07E10F68" w14:textId="0C792122" w:rsidR="00EC0E7C" w:rsidRPr="00F33BA9" w:rsidRDefault="00EC0E7C" w:rsidP="00F33BA9">
      <w:pPr>
        <w:pStyle w:val="NoSpacing"/>
        <w:jc w:val="center"/>
        <w:rPr>
          <w:highlight w:val="yellow"/>
        </w:rPr>
      </w:pPr>
      <w:r w:rsidRPr="00F33BA9">
        <w:rPr>
          <w:noProof/>
          <w:highlight w:val="yellow"/>
        </w:rPr>
        <w:lastRenderedPageBreak/>
        <w:drawing>
          <wp:inline distT="0" distB="0" distL="0" distR="0" wp14:anchorId="690A966A" wp14:editId="5639546C">
            <wp:extent cx="5623578" cy="3009900"/>
            <wp:effectExtent l="19050" t="19050" r="15240" b="19050"/>
            <wp:docPr id="5" name="Picture 5" descr="Chart, diagram, schematic, timeline,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diagram, schematic, timeline, box and whisker chart&#10;&#10;Description automatically generated"/>
                    <pic:cNvPicPr/>
                  </pic:nvPicPr>
                  <pic:blipFill>
                    <a:blip r:embed="rId8"/>
                    <a:stretch>
                      <a:fillRect/>
                    </a:stretch>
                  </pic:blipFill>
                  <pic:spPr>
                    <a:xfrm>
                      <a:off x="0" y="0"/>
                      <a:ext cx="5730474" cy="3067114"/>
                    </a:xfrm>
                    <a:prstGeom prst="rect">
                      <a:avLst/>
                    </a:prstGeom>
                    <a:ln w="3175">
                      <a:solidFill>
                        <a:schemeClr val="tx1"/>
                      </a:solidFill>
                    </a:ln>
                  </pic:spPr>
                </pic:pic>
              </a:graphicData>
            </a:graphic>
          </wp:inline>
        </w:drawing>
      </w:r>
    </w:p>
    <w:p w14:paraId="394E8B5B" w14:textId="77777777" w:rsidR="00F33BA9" w:rsidRDefault="00F33BA9" w:rsidP="00F33BA9">
      <w:pPr>
        <w:tabs>
          <w:tab w:val="left" w:pos="0"/>
        </w:tabs>
        <w:spacing w:line="240" w:lineRule="auto"/>
        <w:jc w:val="both"/>
        <w:rPr>
          <w:rFonts w:ascii="Arial" w:hAnsi="Arial" w:cs="Arial"/>
          <w:b/>
          <w:bCs/>
          <w:sz w:val="24"/>
          <w:szCs w:val="20"/>
        </w:rPr>
      </w:pPr>
      <w:r w:rsidRPr="00F33BA9">
        <w:rPr>
          <w:rFonts w:ascii="Arial" w:hAnsi="Arial" w:cs="Arial"/>
          <w:b/>
          <w:sz w:val="20"/>
          <w:szCs w:val="20"/>
          <w:highlight w:val="yellow"/>
        </w:rPr>
        <w:t>Fig. 1. The chronological development and major milestones in transgenic crop advancement</w:t>
      </w:r>
      <w:r w:rsidRPr="00F33BA9">
        <w:rPr>
          <w:rFonts w:ascii="Arial" w:hAnsi="Arial" w:cs="Arial"/>
          <w:b/>
          <w:sz w:val="20"/>
          <w:szCs w:val="20"/>
        </w:rPr>
        <w:t xml:space="preserve"> </w:t>
      </w:r>
    </w:p>
    <w:p w14:paraId="25D15979" w14:textId="77777777" w:rsidR="00F33BA9" w:rsidRDefault="00F33BA9" w:rsidP="00F33BA9">
      <w:pPr>
        <w:pStyle w:val="NoSpacing"/>
      </w:pPr>
    </w:p>
    <w:p w14:paraId="2D6B9F23" w14:textId="35DFE585" w:rsidR="00EC0E7C" w:rsidRPr="00F33BA9" w:rsidRDefault="00EC0E7C" w:rsidP="00F33BA9">
      <w:pPr>
        <w:pStyle w:val="ListParagraph"/>
        <w:numPr>
          <w:ilvl w:val="0"/>
          <w:numId w:val="3"/>
        </w:numPr>
        <w:tabs>
          <w:tab w:val="left" w:pos="0"/>
        </w:tabs>
        <w:spacing w:line="240" w:lineRule="auto"/>
        <w:jc w:val="both"/>
        <w:rPr>
          <w:rFonts w:ascii="Arial" w:hAnsi="Arial" w:cs="Arial"/>
          <w:b/>
          <w:bCs/>
          <w:sz w:val="24"/>
          <w:szCs w:val="20"/>
        </w:rPr>
      </w:pPr>
      <w:r w:rsidRPr="00F33BA9">
        <w:rPr>
          <w:rFonts w:ascii="Arial" w:hAnsi="Arial" w:cs="Arial"/>
          <w:b/>
          <w:bCs/>
          <w:sz w:val="24"/>
          <w:szCs w:val="20"/>
        </w:rPr>
        <w:t>Escalation of transgenics through different procedure</w:t>
      </w:r>
    </w:p>
    <w:p w14:paraId="002870AC" w14:textId="77777777" w:rsidR="00F33BA9" w:rsidRPr="00F33BA9" w:rsidRDefault="00F33BA9" w:rsidP="00F33BA9">
      <w:pPr>
        <w:pStyle w:val="NoSpacing"/>
        <w:jc w:val="both"/>
        <w:rPr>
          <w:rFonts w:ascii="Arial" w:hAnsi="Arial" w:cs="Arial"/>
          <w:sz w:val="20"/>
        </w:rPr>
      </w:pPr>
      <w:r w:rsidRPr="00F33BA9">
        <w:rPr>
          <w:rFonts w:ascii="Arial" w:hAnsi="Arial" w:cs="Arial"/>
          <w:sz w:val="20"/>
        </w:rPr>
        <w:t xml:space="preserve">The genetic modification of crops involves altering the plant's genetic material in a laboratory, usually by introducing one or more genes into its genome. The new genetic material is targeted to the plant cell nucleus using the biolistic or </w:t>
      </w:r>
      <w:r w:rsidRPr="00F33BA9">
        <w:rPr>
          <w:rStyle w:val="Emphasis"/>
          <w:rFonts w:ascii="Arial" w:hAnsi="Arial" w:cs="Arial"/>
          <w:sz w:val="20"/>
        </w:rPr>
        <w:t>Agrobacterium</w:t>
      </w:r>
      <w:r w:rsidRPr="00F33BA9">
        <w:rPr>
          <w:rFonts w:ascii="Arial" w:hAnsi="Arial" w:cs="Arial"/>
          <w:sz w:val="20"/>
        </w:rPr>
        <w:t>-mediated transformation methods. These transformation systems have enabled the rapid development and expansion of transgenic crops for various agronomic and nutritional traits.</w:t>
      </w:r>
    </w:p>
    <w:p w14:paraId="025D5D24" w14:textId="77777777" w:rsidR="00F33BA9" w:rsidRDefault="00F33BA9" w:rsidP="00F33BA9">
      <w:pPr>
        <w:pStyle w:val="NoSpacing"/>
        <w:jc w:val="both"/>
        <w:rPr>
          <w:rFonts w:ascii="Arial" w:hAnsi="Arial" w:cs="Arial"/>
          <w:b/>
          <w:sz w:val="20"/>
        </w:rPr>
      </w:pPr>
    </w:p>
    <w:p w14:paraId="38B9D23B" w14:textId="28D805A5" w:rsidR="00F33BA9" w:rsidRPr="00F33BA9" w:rsidRDefault="00F33BA9" w:rsidP="00F33BA9">
      <w:pPr>
        <w:pStyle w:val="NoSpacing"/>
        <w:jc w:val="both"/>
        <w:rPr>
          <w:rFonts w:ascii="Arial" w:hAnsi="Arial" w:cs="Arial"/>
          <w:b/>
          <w:sz w:val="20"/>
        </w:rPr>
      </w:pPr>
      <w:r w:rsidRPr="00F33BA9">
        <w:rPr>
          <w:rFonts w:ascii="Arial" w:hAnsi="Arial" w:cs="Arial"/>
          <w:b/>
          <w:sz w:val="20"/>
        </w:rPr>
        <w:t>2.1 Biolistic Method (Gene Gun / Micro-Projectile Bombardment)</w:t>
      </w:r>
    </w:p>
    <w:p w14:paraId="4BC2F5E1" w14:textId="281A34B8" w:rsidR="00F33BA9" w:rsidRPr="00F33BA9" w:rsidRDefault="00F33BA9" w:rsidP="00F33BA9">
      <w:pPr>
        <w:pStyle w:val="NoSpacing"/>
        <w:jc w:val="both"/>
        <w:rPr>
          <w:rFonts w:ascii="Arial" w:hAnsi="Arial" w:cs="Arial"/>
          <w:sz w:val="20"/>
        </w:rPr>
      </w:pPr>
      <w:r w:rsidRPr="00F33BA9">
        <w:rPr>
          <w:rFonts w:ascii="Arial" w:hAnsi="Arial" w:cs="Arial"/>
          <w:sz w:val="20"/>
        </w:rPr>
        <w:t>The biolistic method</w:t>
      </w:r>
      <w:r w:rsidR="00C87C0B">
        <w:rPr>
          <w:rFonts w:ascii="Arial" w:hAnsi="Arial" w:cs="Arial"/>
          <w:sz w:val="20"/>
        </w:rPr>
        <w:t xml:space="preserve"> (Fig. 2)</w:t>
      </w:r>
      <w:r w:rsidRPr="00F33BA9">
        <w:rPr>
          <w:rFonts w:ascii="Arial" w:hAnsi="Arial" w:cs="Arial"/>
          <w:sz w:val="20"/>
        </w:rPr>
        <w:t>, also called the “Gene Gun” or “Micro-Projectile Bombardment” method, is commonly used for maize and rice species (Chawla, 2000). It involves binding the DNA to tiny particles of gold or tungsten and shooting them at high velocity into plant tissue or individual cells using a cannon.</w:t>
      </w:r>
    </w:p>
    <w:p w14:paraId="18DABCB6" w14:textId="1E481D41" w:rsidR="00F33BA9" w:rsidRDefault="00F33BA9" w:rsidP="00F33BA9">
      <w:pPr>
        <w:pStyle w:val="NoSpacing"/>
        <w:jc w:val="both"/>
        <w:rPr>
          <w:rFonts w:ascii="Arial" w:hAnsi="Arial" w:cs="Arial"/>
          <w:sz w:val="20"/>
        </w:rPr>
      </w:pPr>
      <w:r w:rsidRPr="00F33BA9">
        <w:rPr>
          <w:rFonts w:ascii="Arial" w:hAnsi="Arial" w:cs="Arial"/>
          <w:sz w:val="20"/>
        </w:rPr>
        <w:t xml:space="preserve">The high-velocity particles effectively penetrate the cell envelope and membranes, delivering the DNA to the nucleus, where it dissociates from the coated metal and integrates into the plant genome (Chawla, 2000). This technique has been successful in various crops, particularly monocotyledons such as </w:t>
      </w:r>
      <w:r w:rsidRPr="00F33BA9">
        <w:rPr>
          <w:rStyle w:val="Emphasis"/>
          <w:rFonts w:ascii="Arial" w:hAnsi="Arial" w:cs="Arial"/>
          <w:sz w:val="20"/>
        </w:rPr>
        <w:t xml:space="preserve">Triticum </w:t>
      </w:r>
      <w:proofErr w:type="spellStart"/>
      <w:r w:rsidRPr="00F33BA9">
        <w:rPr>
          <w:rStyle w:val="Emphasis"/>
          <w:rFonts w:ascii="Arial" w:hAnsi="Arial" w:cs="Arial"/>
          <w:sz w:val="20"/>
        </w:rPr>
        <w:t>aestivum</w:t>
      </w:r>
      <w:proofErr w:type="spellEnd"/>
      <w:r w:rsidRPr="00F33BA9">
        <w:rPr>
          <w:rFonts w:ascii="Arial" w:hAnsi="Arial" w:cs="Arial"/>
          <w:sz w:val="20"/>
        </w:rPr>
        <w:t xml:space="preserve"> and </w:t>
      </w:r>
      <w:proofErr w:type="spellStart"/>
      <w:r w:rsidRPr="00F33BA9">
        <w:rPr>
          <w:rStyle w:val="Emphasis"/>
          <w:rFonts w:ascii="Arial" w:hAnsi="Arial" w:cs="Arial"/>
          <w:sz w:val="20"/>
        </w:rPr>
        <w:t>Zea</w:t>
      </w:r>
      <w:proofErr w:type="spellEnd"/>
      <w:r w:rsidRPr="00F33BA9">
        <w:rPr>
          <w:rStyle w:val="Emphasis"/>
          <w:rFonts w:ascii="Arial" w:hAnsi="Arial" w:cs="Arial"/>
          <w:sz w:val="20"/>
        </w:rPr>
        <w:t xml:space="preserve"> mays</w:t>
      </w:r>
      <w:r w:rsidRPr="00F33BA9">
        <w:rPr>
          <w:rFonts w:ascii="Arial" w:hAnsi="Arial" w:cs="Arial"/>
          <w:sz w:val="20"/>
        </w:rPr>
        <w:t xml:space="preserve">, although transformation with </w:t>
      </w:r>
      <w:r w:rsidRPr="00F33BA9">
        <w:rPr>
          <w:rStyle w:val="Emphasis"/>
          <w:rFonts w:ascii="Arial" w:hAnsi="Arial" w:cs="Arial"/>
          <w:sz w:val="20"/>
        </w:rPr>
        <w:t>Agrobacterium tumefaciens</w:t>
      </w:r>
      <w:r w:rsidRPr="00F33BA9">
        <w:rPr>
          <w:rFonts w:ascii="Arial" w:hAnsi="Arial" w:cs="Arial"/>
          <w:sz w:val="20"/>
        </w:rPr>
        <w:t xml:space="preserve"> had less success in these crops during early development stages.</w:t>
      </w:r>
      <w:r>
        <w:rPr>
          <w:rFonts w:ascii="Arial" w:hAnsi="Arial" w:cs="Arial"/>
          <w:sz w:val="20"/>
        </w:rPr>
        <w:t xml:space="preserve"> </w:t>
      </w:r>
      <w:r w:rsidRPr="00F33BA9">
        <w:rPr>
          <w:rFonts w:ascii="Arial" w:hAnsi="Arial" w:cs="Arial"/>
          <w:sz w:val="20"/>
        </w:rPr>
        <w:t>Although it is considered clean and safe, a drawback of this method is the potential for significant damage to biological tissue due to high-velocity particle penetration.</w:t>
      </w:r>
    </w:p>
    <w:p w14:paraId="4F971177" w14:textId="77777777" w:rsidR="00F33BA9" w:rsidRDefault="00F33BA9" w:rsidP="00F33BA9">
      <w:pPr>
        <w:pStyle w:val="NoSpacing"/>
        <w:jc w:val="both"/>
        <w:rPr>
          <w:rFonts w:ascii="Arial" w:hAnsi="Arial" w:cs="Arial"/>
          <w:sz w:val="20"/>
        </w:rPr>
      </w:pPr>
    </w:p>
    <w:p w14:paraId="15617FDD" w14:textId="77777777" w:rsidR="00F33BA9" w:rsidRPr="00C87C0B" w:rsidRDefault="00F33BA9" w:rsidP="00F33BA9">
      <w:pPr>
        <w:pStyle w:val="NoSpacing"/>
        <w:jc w:val="center"/>
        <w:rPr>
          <w:highlight w:val="yellow"/>
        </w:rPr>
      </w:pPr>
      <w:r w:rsidRPr="00C87C0B">
        <w:rPr>
          <w:noProof/>
          <w:highlight w:val="yellow"/>
        </w:rPr>
        <w:drawing>
          <wp:inline distT="0" distB="0" distL="0" distR="0" wp14:anchorId="4BC31E6B" wp14:editId="1772D06E">
            <wp:extent cx="4726598" cy="2317750"/>
            <wp:effectExtent l="19050" t="19050" r="1714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r="29528"/>
                    <a:stretch/>
                  </pic:blipFill>
                  <pic:spPr>
                    <a:xfrm>
                      <a:off x="0" y="0"/>
                      <a:ext cx="4751125" cy="2329777"/>
                    </a:xfrm>
                    <a:prstGeom prst="rect">
                      <a:avLst/>
                    </a:prstGeom>
                    <a:ln w="3175">
                      <a:solidFill>
                        <a:schemeClr val="tx1"/>
                      </a:solidFill>
                    </a:ln>
                  </pic:spPr>
                </pic:pic>
              </a:graphicData>
            </a:graphic>
          </wp:inline>
        </w:drawing>
      </w:r>
    </w:p>
    <w:p w14:paraId="5872EB8B" w14:textId="23A8E98C" w:rsidR="00F33BA9" w:rsidRPr="00E93B7D" w:rsidRDefault="00F33BA9" w:rsidP="00F33BA9">
      <w:pPr>
        <w:pStyle w:val="NoSpacing"/>
        <w:jc w:val="center"/>
        <w:rPr>
          <w:rFonts w:ascii="Arial" w:hAnsi="Arial" w:cs="Arial"/>
          <w:b/>
          <w:sz w:val="20"/>
        </w:rPr>
      </w:pPr>
      <w:r w:rsidRPr="00C87C0B">
        <w:rPr>
          <w:rFonts w:ascii="Arial" w:hAnsi="Arial" w:cs="Arial"/>
          <w:b/>
          <w:sz w:val="20"/>
          <w:highlight w:val="yellow"/>
        </w:rPr>
        <w:t xml:space="preserve">Fig. </w:t>
      </w:r>
      <w:r w:rsidR="00C87C0B">
        <w:rPr>
          <w:rFonts w:ascii="Arial" w:hAnsi="Arial" w:cs="Arial"/>
          <w:b/>
          <w:sz w:val="20"/>
          <w:highlight w:val="yellow"/>
        </w:rPr>
        <w:t>2</w:t>
      </w:r>
      <w:r w:rsidRPr="00C87C0B">
        <w:rPr>
          <w:rFonts w:ascii="Arial" w:hAnsi="Arial" w:cs="Arial"/>
          <w:b/>
          <w:sz w:val="20"/>
          <w:highlight w:val="yellow"/>
        </w:rPr>
        <w:t>. Procedure of biolistic method</w:t>
      </w:r>
    </w:p>
    <w:p w14:paraId="1A86455F" w14:textId="1054A369" w:rsidR="00F33BA9" w:rsidRDefault="00F33BA9" w:rsidP="00F33BA9">
      <w:pPr>
        <w:pStyle w:val="NoSpacing"/>
      </w:pPr>
    </w:p>
    <w:p w14:paraId="7910C1AE" w14:textId="77777777" w:rsidR="00F33BA9" w:rsidRPr="009C2900" w:rsidRDefault="00F33BA9" w:rsidP="00F33BA9">
      <w:pPr>
        <w:pStyle w:val="NoSpacing"/>
        <w:jc w:val="both"/>
        <w:rPr>
          <w:rFonts w:ascii="Arial" w:hAnsi="Arial" w:cs="Arial"/>
          <w:b/>
          <w:sz w:val="20"/>
          <w:highlight w:val="yellow"/>
        </w:rPr>
      </w:pPr>
      <w:r w:rsidRPr="009C2900">
        <w:rPr>
          <w:rFonts w:ascii="Arial" w:hAnsi="Arial" w:cs="Arial"/>
          <w:b/>
          <w:sz w:val="20"/>
          <w:highlight w:val="yellow"/>
        </w:rPr>
        <w:lastRenderedPageBreak/>
        <w:t xml:space="preserve">2.2 </w:t>
      </w:r>
      <w:r w:rsidRPr="009C2900">
        <w:rPr>
          <w:rStyle w:val="Emphasis"/>
          <w:rFonts w:ascii="Arial" w:hAnsi="Arial" w:cs="Arial"/>
          <w:b/>
          <w:sz w:val="20"/>
          <w:highlight w:val="yellow"/>
        </w:rPr>
        <w:t>Agrobacterium tumefaciens</w:t>
      </w:r>
      <w:r w:rsidRPr="009C2900">
        <w:rPr>
          <w:rFonts w:ascii="Arial" w:hAnsi="Arial" w:cs="Arial"/>
          <w:b/>
          <w:sz w:val="20"/>
          <w:highlight w:val="yellow"/>
        </w:rPr>
        <w:t>-Mediated Transformation</w:t>
      </w:r>
    </w:p>
    <w:p w14:paraId="12E33A02" w14:textId="4DC80F4F" w:rsidR="00F33BA9" w:rsidRPr="00F33BA9" w:rsidRDefault="00F33BA9" w:rsidP="00F33BA9">
      <w:pPr>
        <w:pStyle w:val="NoSpacing"/>
        <w:jc w:val="both"/>
        <w:rPr>
          <w:rFonts w:ascii="Arial" w:hAnsi="Arial" w:cs="Arial"/>
          <w:sz w:val="20"/>
        </w:rPr>
      </w:pPr>
      <w:r w:rsidRPr="00F33BA9">
        <w:rPr>
          <w:rFonts w:ascii="Arial" w:hAnsi="Arial" w:cs="Arial"/>
          <w:sz w:val="20"/>
        </w:rPr>
        <w:t xml:space="preserve">The “Agrobacterium” method employs soil-dwelling microorganisms called </w:t>
      </w:r>
      <w:r w:rsidRPr="00F33BA9">
        <w:rPr>
          <w:rStyle w:val="Emphasis"/>
          <w:rFonts w:ascii="Arial" w:hAnsi="Arial" w:cs="Arial"/>
          <w:sz w:val="20"/>
        </w:rPr>
        <w:t>Agrobacterium tumefaciens</w:t>
      </w:r>
      <w:r w:rsidRPr="00F33BA9">
        <w:rPr>
          <w:rFonts w:ascii="Arial" w:hAnsi="Arial" w:cs="Arial"/>
          <w:sz w:val="20"/>
        </w:rPr>
        <w:t xml:space="preserve"> and is used to produce genetically </w:t>
      </w:r>
      <w:r w:rsidRPr="009C2900">
        <w:rPr>
          <w:rFonts w:ascii="Arial" w:hAnsi="Arial" w:cs="Arial"/>
          <w:sz w:val="20"/>
          <w:highlight w:val="yellow"/>
        </w:rPr>
        <w:t>modified plants</w:t>
      </w:r>
      <w:r w:rsidR="00C87C0B" w:rsidRPr="009C2900">
        <w:rPr>
          <w:rFonts w:ascii="Arial" w:hAnsi="Arial" w:cs="Arial"/>
          <w:sz w:val="20"/>
          <w:highlight w:val="yellow"/>
        </w:rPr>
        <w:t xml:space="preserve"> (Fig. 3)</w:t>
      </w:r>
      <w:r w:rsidRPr="009C2900">
        <w:rPr>
          <w:rFonts w:ascii="Arial" w:hAnsi="Arial" w:cs="Arial"/>
          <w:sz w:val="20"/>
          <w:highlight w:val="yellow"/>
        </w:rPr>
        <w:t xml:space="preserve">. </w:t>
      </w:r>
      <w:r w:rsidRPr="00F33BA9">
        <w:rPr>
          <w:rFonts w:ascii="Arial" w:hAnsi="Arial" w:cs="Arial"/>
          <w:sz w:val="20"/>
        </w:rPr>
        <w:t xml:space="preserve">The </w:t>
      </w:r>
      <w:proofErr w:type="spellStart"/>
      <w:r w:rsidRPr="00F33BA9">
        <w:rPr>
          <w:rFonts w:ascii="Arial" w:hAnsi="Arial" w:cs="Arial"/>
          <w:sz w:val="20"/>
        </w:rPr>
        <w:t>Ti</w:t>
      </w:r>
      <w:proofErr w:type="spellEnd"/>
      <w:r w:rsidRPr="00F33BA9">
        <w:rPr>
          <w:rFonts w:ascii="Arial" w:hAnsi="Arial" w:cs="Arial"/>
          <w:sz w:val="20"/>
        </w:rPr>
        <w:t xml:space="preserve"> plasmid is capable of integrating a segment of its DNA into a plant chromosome. When a plant is infected with this tumour-inducing plasmid, a portion of its DNA is integrated into the </w:t>
      </w:r>
      <w:proofErr w:type="spellStart"/>
      <w:r w:rsidRPr="00F33BA9">
        <w:rPr>
          <w:rFonts w:ascii="Arial" w:hAnsi="Arial" w:cs="Arial"/>
          <w:sz w:val="20"/>
        </w:rPr>
        <w:t>Ti</w:t>
      </w:r>
      <w:proofErr w:type="spellEnd"/>
      <w:r w:rsidRPr="00F33BA9">
        <w:rPr>
          <w:rFonts w:ascii="Arial" w:hAnsi="Arial" w:cs="Arial"/>
          <w:sz w:val="20"/>
        </w:rPr>
        <w:t xml:space="preserve"> plasmid, which can then use the plant's cellular machinery to replicate its own bacterial DNA several times.</w:t>
      </w:r>
    </w:p>
    <w:p w14:paraId="3941A3FA" w14:textId="31638E6A" w:rsidR="00F33BA9" w:rsidRPr="00F33BA9" w:rsidRDefault="00F33BA9" w:rsidP="00F33BA9">
      <w:pPr>
        <w:pStyle w:val="NoSpacing"/>
        <w:ind w:firstLine="720"/>
        <w:jc w:val="both"/>
        <w:rPr>
          <w:rFonts w:ascii="Arial" w:hAnsi="Arial" w:cs="Arial"/>
          <w:sz w:val="20"/>
        </w:rPr>
      </w:pPr>
      <w:r w:rsidRPr="00F33BA9">
        <w:rPr>
          <w:rFonts w:ascii="Arial" w:hAnsi="Arial" w:cs="Arial"/>
          <w:sz w:val="20"/>
        </w:rPr>
        <w:t xml:space="preserve">Plasmids are circular DNA particles larger than bacterial chromosomes and can replicate independently. Researchers use the transfer DNA (T-DNA) sections of the </w:t>
      </w:r>
      <w:proofErr w:type="spellStart"/>
      <w:r w:rsidRPr="00F33BA9">
        <w:rPr>
          <w:rFonts w:ascii="Arial" w:hAnsi="Arial" w:cs="Arial"/>
          <w:sz w:val="20"/>
        </w:rPr>
        <w:t>Ti</w:t>
      </w:r>
      <w:proofErr w:type="spellEnd"/>
      <w:r w:rsidRPr="00F33BA9">
        <w:rPr>
          <w:rFonts w:ascii="Arial" w:hAnsi="Arial" w:cs="Arial"/>
          <w:sz w:val="20"/>
        </w:rPr>
        <w:t xml:space="preserve"> plasmid to introduce a gene of interest (Chawla, 2000). This plasmid contains specific transfer DNA (T-DNA) regions where a scientist can insert a gene that can be transferred to a plant cell through a process called “floral dip.” Floral dip involves immersing flowering plants in a solution containing the desired gene carried by </w:t>
      </w:r>
      <w:r w:rsidRPr="00F33BA9">
        <w:rPr>
          <w:rStyle w:val="Emphasis"/>
          <w:rFonts w:ascii="Arial" w:hAnsi="Arial" w:cs="Arial"/>
          <w:sz w:val="20"/>
        </w:rPr>
        <w:t>Agrobacterium</w:t>
      </w:r>
      <w:r w:rsidRPr="00F33BA9">
        <w:rPr>
          <w:rFonts w:ascii="Arial" w:hAnsi="Arial" w:cs="Arial"/>
          <w:sz w:val="20"/>
        </w:rPr>
        <w:t xml:space="preserve"> and then collecting the resulting transgenic seeds directly from the plant.</w:t>
      </w:r>
    </w:p>
    <w:p w14:paraId="3D0BEA88" w14:textId="4F1BD2CE" w:rsidR="00F33BA9" w:rsidRDefault="00F33BA9" w:rsidP="00F33BA9">
      <w:pPr>
        <w:pStyle w:val="NoSpacing"/>
        <w:ind w:firstLine="720"/>
        <w:jc w:val="both"/>
        <w:rPr>
          <w:rFonts w:ascii="Arial" w:hAnsi="Arial" w:cs="Arial"/>
          <w:sz w:val="20"/>
        </w:rPr>
      </w:pPr>
      <w:r w:rsidRPr="00F33BA9">
        <w:rPr>
          <w:rFonts w:ascii="Arial" w:hAnsi="Arial" w:cs="Arial"/>
          <w:sz w:val="20"/>
        </w:rPr>
        <w:t xml:space="preserve">This method is considered more favourable because it is a natural way of transmitting DNA and can effectively transfer large fragments of DNA (Chawla, 2000). However, a major drawback is its inability to infect all major food crops. It is particularly useful for dicotyledonous plants such as potatoes, tomatoes, and tobacco (Chawla, 2000). </w:t>
      </w:r>
      <w:r w:rsidRPr="00F33BA9">
        <w:rPr>
          <w:rStyle w:val="Emphasis"/>
          <w:rFonts w:ascii="Arial" w:hAnsi="Arial" w:cs="Arial"/>
          <w:sz w:val="20"/>
        </w:rPr>
        <w:t>Tobacco</w:t>
      </w:r>
      <w:r w:rsidRPr="00F33BA9">
        <w:rPr>
          <w:rFonts w:ascii="Arial" w:hAnsi="Arial" w:cs="Arial"/>
          <w:sz w:val="20"/>
        </w:rPr>
        <w:t xml:space="preserve"> and </w:t>
      </w:r>
      <w:r w:rsidRPr="00F33BA9">
        <w:rPr>
          <w:rStyle w:val="Emphasis"/>
          <w:rFonts w:ascii="Arial" w:hAnsi="Arial" w:cs="Arial"/>
          <w:sz w:val="20"/>
        </w:rPr>
        <w:t>Arabidopsis thaliana</w:t>
      </w:r>
      <w:r w:rsidRPr="00F33BA9">
        <w:rPr>
          <w:rFonts w:ascii="Arial" w:hAnsi="Arial" w:cs="Arial"/>
          <w:sz w:val="20"/>
        </w:rPr>
        <w:t xml:space="preserve"> are among the most extensively studied genetically modified plants owing to their well-established transformation protocols and ease of propagation, as they have well-characterized genomes (</w:t>
      </w:r>
      <w:proofErr w:type="spellStart"/>
      <w:r w:rsidRPr="00F33BA9">
        <w:rPr>
          <w:rFonts w:ascii="Arial" w:hAnsi="Arial" w:cs="Arial"/>
          <w:sz w:val="20"/>
        </w:rPr>
        <w:t>Koornneef</w:t>
      </w:r>
      <w:proofErr w:type="spellEnd"/>
      <w:r w:rsidRPr="00F33BA9">
        <w:rPr>
          <w:rFonts w:ascii="Arial" w:hAnsi="Arial" w:cs="Arial"/>
          <w:sz w:val="20"/>
        </w:rPr>
        <w:t xml:space="preserve"> and </w:t>
      </w:r>
      <w:proofErr w:type="spellStart"/>
      <w:r w:rsidRPr="00F33BA9">
        <w:rPr>
          <w:rFonts w:ascii="Arial" w:hAnsi="Arial" w:cs="Arial"/>
          <w:sz w:val="20"/>
        </w:rPr>
        <w:t>Meinke</w:t>
      </w:r>
      <w:proofErr w:type="spellEnd"/>
      <w:r w:rsidRPr="00F33BA9">
        <w:rPr>
          <w:rFonts w:ascii="Arial" w:hAnsi="Arial" w:cs="Arial"/>
          <w:sz w:val="20"/>
        </w:rPr>
        <w:t>, 2010). These plants serve as model systems for other species. Additionally, transgenic plants have been utilized for bioremediation of contaminated soil. By expressing bacterial enzyme genes, transgenic plants have been used to remove mercury, selenium, and organic pollutants such as polychlorinated biphenyls (PCBs) from soil.</w:t>
      </w:r>
    </w:p>
    <w:p w14:paraId="79730153" w14:textId="77777777" w:rsidR="00F33BA9" w:rsidRPr="00F33BA9" w:rsidRDefault="00F33BA9" w:rsidP="00F33BA9">
      <w:pPr>
        <w:pStyle w:val="NoSpacing"/>
        <w:ind w:firstLine="720"/>
        <w:jc w:val="both"/>
        <w:rPr>
          <w:rFonts w:ascii="Arial" w:hAnsi="Arial" w:cs="Arial"/>
          <w:sz w:val="20"/>
        </w:rPr>
      </w:pPr>
    </w:p>
    <w:p w14:paraId="2B1D6F56" w14:textId="77777777" w:rsidR="00F33BA9" w:rsidRPr="00C87C0B" w:rsidRDefault="00F33BA9" w:rsidP="00F33BA9">
      <w:pPr>
        <w:pStyle w:val="NoSpacing"/>
        <w:jc w:val="center"/>
        <w:rPr>
          <w:highlight w:val="yellow"/>
        </w:rPr>
      </w:pPr>
      <w:r w:rsidRPr="00C87C0B">
        <w:rPr>
          <w:noProof/>
          <w:highlight w:val="yellow"/>
        </w:rPr>
        <w:drawing>
          <wp:inline distT="0" distB="0" distL="0" distR="0" wp14:anchorId="28B267E5" wp14:editId="5F4871EA">
            <wp:extent cx="4768850" cy="2633182"/>
            <wp:effectExtent l="19050" t="19050" r="1270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0096" cy="2650435"/>
                    </a:xfrm>
                    <a:prstGeom prst="rect">
                      <a:avLst/>
                    </a:prstGeom>
                    <a:ln w="3175">
                      <a:solidFill>
                        <a:schemeClr val="tx1"/>
                      </a:solidFill>
                    </a:ln>
                  </pic:spPr>
                </pic:pic>
              </a:graphicData>
            </a:graphic>
          </wp:inline>
        </w:drawing>
      </w:r>
    </w:p>
    <w:p w14:paraId="2344FD34" w14:textId="08DBD516" w:rsidR="00F33BA9" w:rsidRDefault="00F33BA9" w:rsidP="00F33BA9">
      <w:pPr>
        <w:pStyle w:val="NoSpacing"/>
        <w:jc w:val="center"/>
        <w:rPr>
          <w:rFonts w:ascii="Arial" w:hAnsi="Arial" w:cs="Arial"/>
          <w:b/>
          <w:sz w:val="20"/>
        </w:rPr>
      </w:pPr>
      <w:r w:rsidRPr="00C87C0B">
        <w:rPr>
          <w:rFonts w:ascii="Arial" w:hAnsi="Arial" w:cs="Arial"/>
          <w:b/>
          <w:sz w:val="20"/>
          <w:highlight w:val="yellow"/>
        </w:rPr>
        <w:t xml:space="preserve">Fig. </w:t>
      </w:r>
      <w:r w:rsidR="00C87C0B">
        <w:rPr>
          <w:rFonts w:ascii="Arial" w:hAnsi="Arial" w:cs="Arial"/>
          <w:b/>
          <w:sz w:val="20"/>
          <w:highlight w:val="yellow"/>
        </w:rPr>
        <w:t>3.</w:t>
      </w:r>
      <w:r w:rsidRPr="00C87C0B">
        <w:rPr>
          <w:rFonts w:ascii="Arial" w:hAnsi="Arial" w:cs="Arial"/>
          <w:b/>
          <w:sz w:val="20"/>
          <w:highlight w:val="yellow"/>
        </w:rPr>
        <w:t xml:space="preserve"> Agrobacterium mediated gene transfer</w:t>
      </w:r>
    </w:p>
    <w:p w14:paraId="39FBF1D2" w14:textId="77777777" w:rsidR="00F33BA9" w:rsidRPr="00E93B7D" w:rsidRDefault="00F33BA9" w:rsidP="00F33BA9">
      <w:pPr>
        <w:pStyle w:val="NoSpacing"/>
        <w:jc w:val="center"/>
        <w:rPr>
          <w:rFonts w:ascii="Arial" w:hAnsi="Arial" w:cs="Arial"/>
          <w:b/>
          <w:sz w:val="20"/>
        </w:rPr>
      </w:pPr>
    </w:p>
    <w:p w14:paraId="0BDFE8F2" w14:textId="77777777" w:rsidR="00F33BA9" w:rsidRPr="009C2900" w:rsidRDefault="00F33BA9" w:rsidP="00F33BA9">
      <w:pPr>
        <w:pStyle w:val="NoSpacing"/>
        <w:rPr>
          <w:rFonts w:ascii="Arial" w:hAnsi="Arial" w:cs="Arial"/>
          <w:b/>
          <w:sz w:val="20"/>
          <w:highlight w:val="yellow"/>
        </w:rPr>
      </w:pPr>
      <w:r w:rsidRPr="009C2900">
        <w:rPr>
          <w:rFonts w:ascii="Arial" w:hAnsi="Arial" w:cs="Arial"/>
          <w:b/>
          <w:sz w:val="20"/>
          <w:highlight w:val="yellow"/>
        </w:rPr>
        <w:t>2.3 Viral-Mediated Gene Transfer</w:t>
      </w:r>
    </w:p>
    <w:p w14:paraId="18318493" w14:textId="288CCFC2" w:rsidR="00F33BA9" w:rsidRPr="00F33BA9" w:rsidRDefault="00F33BA9" w:rsidP="00F33BA9">
      <w:pPr>
        <w:pStyle w:val="NoSpacing"/>
        <w:jc w:val="both"/>
        <w:rPr>
          <w:rFonts w:ascii="Arial" w:hAnsi="Arial" w:cs="Arial"/>
          <w:sz w:val="20"/>
        </w:rPr>
      </w:pPr>
      <w:r w:rsidRPr="00F33BA9">
        <w:rPr>
          <w:rFonts w:ascii="Arial" w:hAnsi="Arial" w:cs="Arial"/>
          <w:sz w:val="20"/>
        </w:rPr>
        <w:t xml:space="preserve">Viruses usually deliver their own genetic information into a host and are evident means to transfer exogenous gene sequences (transgenes) to host cells. Several characteristics of viral gene delivery determine whether a virus may be useful as a gene therapy vector. Viruses such as </w:t>
      </w:r>
      <w:proofErr w:type="spellStart"/>
      <w:r w:rsidRPr="00F33BA9">
        <w:rPr>
          <w:rFonts w:ascii="Arial" w:hAnsi="Arial" w:cs="Arial"/>
          <w:sz w:val="20"/>
        </w:rPr>
        <w:t>caulimoviruses</w:t>
      </w:r>
      <w:proofErr w:type="spellEnd"/>
      <w:r w:rsidRPr="00F33BA9">
        <w:rPr>
          <w:rFonts w:ascii="Arial" w:hAnsi="Arial" w:cs="Arial"/>
          <w:sz w:val="20"/>
        </w:rPr>
        <w:t xml:space="preserve"> and </w:t>
      </w:r>
      <w:proofErr w:type="spellStart"/>
      <w:r w:rsidRPr="00F33BA9">
        <w:rPr>
          <w:rFonts w:ascii="Arial" w:hAnsi="Arial" w:cs="Arial"/>
          <w:sz w:val="20"/>
        </w:rPr>
        <w:t>geminiviruses</w:t>
      </w:r>
      <w:proofErr w:type="spellEnd"/>
      <w:r w:rsidRPr="00F33BA9">
        <w:rPr>
          <w:rFonts w:ascii="Arial" w:hAnsi="Arial" w:cs="Arial"/>
          <w:sz w:val="20"/>
        </w:rPr>
        <w:t xml:space="preserve"> are used as gene transfer vectors. Over four decades ago, the first transgenic plants with characteristics such as antibiotic and insect resistance were produced (Bevan et al., 1983; </w:t>
      </w:r>
      <w:proofErr w:type="spellStart"/>
      <w:r w:rsidRPr="00F33BA9">
        <w:rPr>
          <w:rFonts w:ascii="Arial" w:hAnsi="Arial" w:cs="Arial"/>
          <w:sz w:val="20"/>
        </w:rPr>
        <w:t>Murai</w:t>
      </w:r>
      <w:proofErr w:type="spellEnd"/>
      <w:r w:rsidRPr="00F33BA9">
        <w:rPr>
          <w:rFonts w:ascii="Arial" w:hAnsi="Arial" w:cs="Arial"/>
          <w:sz w:val="20"/>
        </w:rPr>
        <w:t xml:space="preserve"> et al., 1983). Following intensive scientific inspection and safety evaluation, the FDA allowed distribution of a transgenic tomato variety with retarded maturity (Klee, 1993; Parrott et al., 2010; </w:t>
      </w:r>
      <w:proofErr w:type="spellStart"/>
      <w:r w:rsidRPr="00F33BA9">
        <w:rPr>
          <w:rFonts w:ascii="Arial" w:hAnsi="Arial" w:cs="Arial"/>
          <w:sz w:val="20"/>
        </w:rPr>
        <w:t>Giraldo</w:t>
      </w:r>
      <w:proofErr w:type="spellEnd"/>
      <w:r w:rsidRPr="00F33BA9">
        <w:rPr>
          <w:rFonts w:ascii="Arial" w:hAnsi="Arial" w:cs="Arial"/>
          <w:sz w:val="20"/>
        </w:rPr>
        <w:t xml:space="preserve"> et al., 2019). Subsequently, transgenic crops with insect and herbicide resistance for </w:t>
      </w:r>
      <w:r w:rsidRPr="00F33BA9">
        <w:rPr>
          <w:rStyle w:val="Emphasis"/>
          <w:rFonts w:ascii="Arial" w:hAnsi="Arial" w:cs="Arial"/>
          <w:sz w:val="20"/>
        </w:rPr>
        <w:t>Gossypium</w:t>
      </w:r>
      <w:r w:rsidRPr="00F33BA9">
        <w:rPr>
          <w:rFonts w:ascii="Arial" w:hAnsi="Arial" w:cs="Arial"/>
          <w:sz w:val="20"/>
        </w:rPr>
        <w:t xml:space="preserve">, </w:t>
      </w:r>
      <w:proofErr w:type="spellStart"/>
      <w:r w:rsidRPr="00F33BA9">
        <w:rPr>
          <w:rStyle w:val="Emphasis"/>
          <w:rFonts w:ascii="Arial" w:hAnsi="Arial" w:cs="Arial"/>
          <w:sz w:val="20"/>
        </w:rPr>
        <w:t>Zea</w:t>
      </w:r>
      <w:proofErr w:type="spellEnd"/>
      <w:r w:rsidRPr="00F33BA9">
        <w:rPr>
          <w:rStyle w:val="Emphasis"/>
          <w:rFonts w:ascii="Arial" w:hAnsi="Arial" w:cs="Arial"/>
          <w:sz w:val="20"/>
        </w:rPr>
        <w:t xml:space="preserve"> mays</w:t>
      </w:r>
      <w:r w:rsidRPr="00F33BA9">
        <w:rPr>
          <w:rFonts w:ascii="Arial" w:hAnsi="Arial" w:cs="Arial"/>
          <w:sz w:val="20"/>
        </w:rPr>
        <w:t xml:space="preserve">, </w:t>
      </w:r>
      <w:r w:rsidRPr="00F33BA9">
        <w:rPr>
          <w:rStyle w:val="Emphasis"/>
          <w:rFonts w:ascii="Arial" w:hAnsi="Arial" w:cs="Arial"/>
          <w:sz w:val="20"/>
        </w:rPr>
        <w:t>Glycine max</w:t>
      </w:r>
      <w:r w:rsidRPr="00F33BA9">
        <w:rPr>
          <w:rFonts w:ascii="Arial" w:hAnsi="Arial" w:cs="Arial"/>
          <w:sz w:val="20"/>
        </w:rPr>
        <w:t xml:space="preserve">, and </w:t>
      </w:r>
      <w:r w:rsidRPr="00F33BA9">
        <w:rPr>
          <w:rStyle w:val="Emphasis"/>
          <w:rFonts w:ascii="Arial" w:hAnsi="Arial" w:cs="Arial"/>
          <w:sz w:val="20"/>
        </w:rPr>
        <w:t xml:space="preserve">Brassica </w:t>
      </w:r>
      <w:proofErr w:type="spellStart"/>
      <w:r w:rsidRPr="00F33BA9">
        <w:rPr>
          <w:rStyle w:val="Emphasis"/>
          <w:rFonts w:ascii="Arial" w:hAnsi="Arial" w:cs="Arial"/>
          <w:sz w:val="20"/>
        </w:rPr>
        <w:t>napus</w:t>
      </w:r>
      <w:proofErr w:type="spellEnd"/>
      <w:r w:rsidRPr="00F33BA9">
        <w:rPr>
          <w:rFonts w:ascii="Arial" w:hAnsi="Arial" w:cs="Arial"/>
          <w:sz w:val="20"/>
        </w:rPr>
        <w:t xml:space="preserve"> retained marketing approval sequentially (Bates et al., 2005). Transgenic approaches have accelerated crop improvement to meet requirements of biotic and abiotic resistance, higher yield, and improved nutritional value (Raymond Park et al., 2011).</w:t>
      </w:r>
    </w:p>
    <w:p w14:paraId="0360473E" w14:textId="77777777" w:rsidR="00F33BA9" w:rsidRPr="00F33BA9" w:rsidRDefault="00F33BA9" w:rsidP="00F33BA9">
      <w:pPr>
        <w:spacing w:line="240" w:lineRule="auto"/>
        <w:jc w:val="both"/>
        <w:rPr>
          <w:rFonts w:ascii="Arial" w:hAnsi="Arial" w:cs="Arial"/>
          <w:b/>
          <w:bCs/>
          <w:sz w:val="24"/>
          <w:szCs w:val="20"/>
        </w:rPr>
      </w:pPr>
    </w:p>
    <w:p w14:paraId="4C71F2D4" w14:textId="56ABBCED" w:rsidR="00F33BA9" w:rsidRPr="001D266C" w:rsidRDefault="00F33BA9" w:rsidP="001D266C">
      <w:pPr>
        <w:pStyle w:val="NoSpacing"/>
        <w:ind w:firstLine="720"/>
        <w:jc w:val="both"/>
        <w:rPr>
          <w:rFonts w:ascii="Arial" w:hAnsi="Arial" w:cs="Arial"/>
          <w:b/>
          <w:sz w:val="24"/>
        </w:rPr>
      </w:pPr>
      <w:r w:rsidRPr="001D266C">
        <w:rPr>
          <w:rFonts w:ascii="Arial" w:hAnsi="Arial" w:cs="Arial"/>
          <w:b/>
          <w:sz w:val="24"/>
        </w:rPr>
        <w:t>3. Agronomic Applications of Transgenic Crops</w:t>
      </w:r>
    </w:p>
    <w:p w14:paraId="48CF4F70" w14:textId="54276376" w:rsidR="001D266C" w:rsidRPr="001D266C" w:rsidRDefault="00F33BA9" w:rsidP="001D266C">
      <w:pPr>
        <w:pStyle w:val="NoSpacing"/>
        <w:jc w:val="both"/>
        <w:rPr>
          <w:rFonts w:ascii="Arial" w:hAnsi="Arial" w:cs="Arial"/>
          <w:sz w:val="20"/>
        </w:rPr>
      </w:pPr>
      <w:r w:rsidRPr="001D266C">
        <w:rPr>
          <w:rFonts w:ascii="Arial" w:hAnsi="Arial" w:cs="Arial"/>
          <w:sz w:val="20"/>
        </w:rPr>
        <w:t xml:space="preserve">Transgenic technology has significantly contributed to crop improvement by enhancing resistance to insects, tolerance to herbicides, and protection against viral pathogens. These applications were among the earliest commercial successes of genetic engineering in agriculture and have played a major role </w:t>
      </w:r>
      <w:r w:rsidRPr="001D266C">
        <w:rPr>
          <w:rFonts w:ascii="Arial" w:hAnsi="Arial" w:cs="Arial"/>
          <w:sz w:val="20"/>
        </w:rPr>
        <w:lastRenderedPageBreak/>
        <w:t>in the widespread adoption of genetically modified crops. By introducing specific genes that confer resistance or tolerance, transgenic crops have improved yield stability, reduced chemical inputs, and enhanced farm productivity.</w:t>
      </w:r>
      <w:r w:rsidR="001D266C" w:rsidRPr="001D266C">
        <w:rPr>
          <w:rFonts w:ascii="Arial" w:hAnsi="Arial" w:cs="Arial"/>
          <w:sz w:val="20"/>
        </w:rPr>
        <w:t xml:space="preserve"> Examples of commercially developed transgenic crops and their enhanced traits are summarized in Table 1.</w:t>
      </w:r>
    </w:p>
    <w:p w14:paraId="4DC1422D" w14:textId="061F95AA" w:rsidR="00F33BA9" w:rsidRPr="001D266C" w:rsidRDefault="00F33BA9" w:rsidP="001D266C">
      <w:pPr>
        <w:pStyle w:val="NoSpacing"/>
        <w:jc w:val="both"/>
        <w:rPr>
          <w:rFonts w:ascii="Arial" w:hAnsi="Arial" w:cs="Arial"/>
          <w:sz w:val="20"/>
        </w:rPr>
      </w:pPr>
    </w:p>
    <w:p w14:paraId="0A14A42C" w14:textId="77777777" w:rsidR="00F33BA9" w:rsidRPr="008B7650" w:rsidRDefault="00F33BA9" w:rsidP="001D266C">
      <w:pPr>
        <w:pStyle w:val="NoSpacing"/>
        <w:jc w:val="both"/>
        <w:rPr>
          <w:rFonts w:ascii="Arial" w:hAnsi="Arial" w:cs="Arial"/>
          <w:b/>
          <w:sz w:val="20"/>
          <w:highlight w:val="yellow"/>
        </w:rPr>
      </w:pPr>
      <w:r w:rsidRPr="008B7650">
        <w:rPr>
          <w:rFonts w:ascii="Arial" w:hAnsi="Arial" w:cs="Arial"/>
          <w:b/>
          <w:sz w:val="20"/>
          <w:highlight w:val="yellow"/>
        </w:rPr>
        <w:t>3.1 Insect Resistance</w:t>
      </w:r>
    </w:p>
    <w:p w14:paraId="54EAEE12" w14:textId="77777777" w:rsidR="00F33BA9" w:rsidRPr="001D266C" w:rsidRDefault="00F33BA9" w:rsidP="001D266C">
      <w:pPr>
        <w:pStyle w:val="NoSpacing"/>
        <w:jc w:val="both"/>
        <w:rPr>
          <w:rFonts w:ascii="Arial" w:hAnsi="Arial" w:cs="Arial"/>
          <w:sz w:val="20"/>
        </w:rPr>
      </w:pPr>
      <w:r w:rsidRPr="001D266C">
        <w:rPr>
          <w:rFonts w:ascii="Arial" w:hAnsi="Arial" w:cs="Arial"/>
          <w:sz w:val="20"/>
        </w:rPr>
        <w:t xml:space="preserve">One of the most prominent applications of transgenic technology is the development of insect-resistant crops expressing </w:t>
      </w:r>
      <w:r w:rsidRPr="001D266C">
        <w:rPr>
          <w:rStyle w:val="Emphasis"/>
          <w:rFonts w:ascii="Arial" w:hAnsi="Arial" w:cs="Arial"/>
          <w:sz w:val="20"/>
        </w:rPr>
        <w:t>Bacillus thuringiensis</w:t>
      </w:r>
      <w:r w:rsidRPr="001D266C">
        <w:rPr>
          <w:rFonts w:ascii="Arial" w:hAnsi="Arial" w:cs="Arial"/>
          <w:sz w:val="20"/>
        </w:rPr>
        <w:t xml:space="preserve"> (</w:t>
      </w:r>
      <w:proofErr w:type="spellStart"/>
      <w:r w:rsidRPr="001D266C">
        <w:rPr>
          <w:rFonts w:ascii="Arial" w:hAnsi="Arial" w:cs="Arial"/>
          <w:sz w:val="20"/>
        </w:rPr>
        <w:t>Bt</w:t>
      </w:r>
      <w:proofErr w:type="spellEnd"/>
      <w:r w:rsidRPr="001D266C">
        <w:rPr>
          <w:rFonts w:ascii="Arial" w:hAnsi="Arial" w:cs="Arial"/>
          <w:sz w:val="20"/>
        </w:rPr>
        <w:t>) Cry toxins. These toxins specifically target lepidopteran and other insect pests, thereby reducing crop damage and minimizing reliance on chemical insecticides.</w:t>
      </w:r>
    </w:p>
    <w:p w14:paraId="6FE4C733" w14:textId="55191A07" w:rsidR="00F33BA9" w:rsidRPr="001D266C" w:rsidRDefault="00F33BA9" w:rsidP="001D266C">
      <w:pPr>
        <w:pStyle w:val="NoSpacing"/>
        <w:jc w:val="both"/>
        <w:rPr>
          <w:rFonts w:ascii="Arial" w:hAnsi="Arial" w:cs="Arial"/>
          <w:sz w:val="20"/>
        </w:rPr>
      </w:pPr>
      <w:r w:rsidRPr="001D266C">
        <w:rPr>
          <w:rFonts w:ascii="Arial" w:hAnsi="Arial" w:cs="Arial"/>
          <w:sz w:val="20"/>
        </w:rPr>
        <w:t xml:space="preserve">Transgenic cotton and maize expressing </w:t>
      </w:r>
      <w:proofErr w:type="spellStart"/>
      <w:r w:rsidRPr="001D266C">
        <w:rPr>
          <w:rFonts w:ascii="Arial" w:hAnsi="Arial" w:cs="Arial"/>
          <w:sz w:val="20"/>
        </w:rPr>
        <w:t>Bt</w:t>
      </w:r>
      <w:proofErr w:type="spellEnd"/>
      <w:r w:rsidRPr="001D266C">
        <w:rPr>
          <w:rFonts w:ascii="Arial" w:hAnsi="Arial" w:cs="Arial"/>
          <w:sz w:val="20"/>
        </w:rPr>
        <w:t xml:space="preserve"> genes have been widely adopted and have demonstrated effective control of major pests such as the European corn borer and corn rootworm (Pardo-López et al., 2013). The adoption of </w:t>
      </w:r>
      <w:proofErr w:type="spellStart"/>
      <w:r w:rsidRPr="001D266C">
        <w:rPr>
          <w:rFonts w:ascii="Arial" w:hAnsi="Arial" w:cs="Arial"/>
          <w:sz w:val="20"/>
        </w:rPr>
        <w:t>Bt</w:t>
      </w:r>
      <w:proofErr w:type="spellEnd"/>
      <w:r w:rsidRPr="001D266C">
        <w:rPr>
          <w:rFonts w:ascii="Arial" w:hAnsi="Arial" w:cs="Arial"/>
          <w:sz w:val="20"/>
        </w:rPr>
        <w:t xml:space="preserve"> crops has contributed to improved pest management strategies and reduced insecticide applications (Bates et al., 2005).</w:t>
      </w:r>
      <w:r w:rsidR="001D266C">
        <w:rPr>
          <w:rFonts w:ascii="Arial" w:hAnsi="Arial" w:cs="Arial"/>
          <w:sz w:val="20"/>
        </w:rPr>
        <w:t xml:space="preserve"> </w:t>
      </w:r>
      <w:r w:rsidRPr="001D266C">
        <w:rPr>
          <w:rFonts w:ascii="Arial" w:hAnsi="Arial" w:cs="Arial"/>
          <w:sz w:val="20"/>
        </w:rPr>
        <w:t xml:space="preserve">Similarly, New Leaf potato was engineered to express </w:t>
      </w:r>
      <w:proofErr w:type="spellStart"/>
      <w:r w:rsidRPr="001D266C">
        <w:rPr>
          <w:rFonts w:ascii="Arial" w:hAnsi="Arial" w:cs="Arial"/>
          <w:sz w:val="20"/>
        </w:rPr>
        <w:t>Bt</w:t>
      </w:r>
      <w:proofErr w:type="spellEnd"/>
      <w:r w:rsidRPr="001D266C">
        <w:rPr>
          <w:rFonts w:ascii="Arial" w:hAnsi="Arial" w:cs="Arial"/>
          <w:sz w:val="20"/>
        </w:rPr>
        <w:t xml:space="preserve"> toxin genes for resistance against Colorado potato beetle. These developments marked a significant milestone in reducing crop losses due to insect infestation.</w:t>
      </w:r>
    </w:p>
    <w:p w14:paraId="36BAE072" w14:textId="157BA764" w:rsidR="00F33BA9" w:rsidRPr="001D266C" w:rsidRDefault="00F33BA9" w:rsidP="001D266C">
      <w:pPr>
        <w:pStyle w:val="NoSpacing"/>
        <w:jc w:val="both"/>
        <w:rPr>
          <w:rFonts w:ascii="Arial" w:hAnsi="Arial" w:cs="Arial"/>
          <w:sz w:val="20"/>
        </w:rPr>
      </w:pPr>
    </w:p>
    <w:p w14:paraId="3A414510" w14:textId="77777777" w:rsidR="00F33BA9" w:rsidRPr="008B7650" w:rsidRDefault="00F33BA9" w:rsidP="001D266C">
      <w:pPr>
        <w:pStyle w:val="NoSpacing"/>
        <w:jc w:val="both"/>
        <w:rPr>
          <w:rFonts w:ascii="Arial" w:hAnsi="Arial" w:cs="Arial"/>
          <w:b/>
          <w:sz w:val="20"/>
          <w:highlight w:val="yellow"/>
        </w:rPr>
      </w:pPr>
      <w:r w:rsidRPr="008B7650">
        <w:rPr>
          <w:rFonts w:ascii="Arial" w:hAnsi="Arial" w:cs="Arial"/>
          <w:b/>
          <w:sz w:val="20"/>
          <w:highlight w:val="yellow"/>
        </w:rPr>
        <w:t>3.2 Herbicide Tolerance</w:t>
      </w:r>
    </w:p>
    <w:p w14:paraId="1D66F45F" w14:textId="6FB3B5FE" w:rsidR="00F33BA9" w:rsidRPr="001D266C" w:rsidRDefault="00F33BA9" w:rsidP="001D266C">
      <w:pPr>
        <w:pStyle w:val="NoSpacing"/>
        <w:jc w:val="both"/>
        <w:rPr>
          <w:rFonts w:ascii="Arial" w:hAnsi="Arial" w:cs="Arial"/>
          <w:sz w:val="20"/>
        </w:rPr>
      </w:pPr>
      <w:r w:rsidRPr="001D266C">
        <w:rPr>
          <w:rFonts w:ascii="Arial" w:hAnsi="Arial" w:cs="Arial"/>
          <w:sz w:val="20"/>
        </w:rPr>
        <w:t xml:space="preserve">Herbicide-tolerant transgenic crops have enabled more efficient weed management practices. One of the most widely adopted systems involves the introduction of the 5-enolpyruvylshikimate-3-phosphate synthase (EPSPS) gene from </w:t>
      </w:r>
      <w:r w:rsidRPr="001D266C">
        <w:rPr>
          <w:rStyle w:val="Emphasis"/>
          <w:rFonts w:ascii="Arial" w:hAnsi="Arial" w:cs="Arial"/>
          <w:sz w:val="20"/>
        </w:rPr>
        <w:t>Agrobacterium</w:t>
      </w:r>
      <w:r w:rsidRPr="001D266C">
        <w:rPr>
          <w:rFonts w:ascii="Arial" w:hAnsi="Arial" w:cs="Arial"/>
          <w:sz w:val="20"/>
        </w:rPr>
        <w:t xml:space="preserve"> strain CP4, which confers tolerance to glyphosate herbicide (Funke et al., 2006).</w:t>
      </w:r>
      <w:r w:rsidR="001D266C">
        <w:rPr>
          <w:rFonts w:ascii="Arial" w:hAnsi="Arial" w:cs="Arial"/>
          <w:sz w:val="20"/>
        </w:rPr>
        <w:t xml:space="preserve"> </w:t>
      </w:r>
      <w:r w:rsidRPr="001D266C">
        <w:rPr>
          <w:rFonts w:ascii="Arial" w:hAnsi="Arial" w:cs="Arial"/>
          <w:sz w:val="20"/>
        </w:rPr>
        <w:t>Roundup Ready soybean and maize are examples of crops engineered for glyphosate tolerance, allowing farmers to control weeds effectively without damaging the crop. Such innovations have facilitated conservation tillage systems and improved weed control efficiency.</w:t>
      </w:r>
      <w:r w:rsidR="001D266C">
        <w:rPr>
          <w:rFonts w:ascii="Arial" w:hAnsi="Arial" w:cs="Arial"/>
          <w:sz w:val="20"/>
        </w:rPr>
        <w:t xml:space="preserve"> </w:t>
      </w:r>
      <w:r w:rsidRPr="001D266C">
        <w:rPr>
          <w:rFonts w:ascii="Arial" w:hAnsi="Arial" w:cs="Arial"/>
          <w:sz w:val="20"/>
        </w:rPr>
        <w:t>Meta-analytical assessments indicate that genetically modified crops, including herbicide-tolerant varieties, have been associated with yield increases and economic benefits to farmers (</w:t>
      </w:r>
      <w:proofErr w:type="spellStart"/>
      <w:r w:rsidRPr="001D266C">
        <w:rPr>
          <w:rFonts w:ascii="Arial" w:hAnsi="Arial" w:cs="Arial"/>
          <w:sz w:val="20"/>
        </w:rPr>
        <w:t>Klümper</w:t>
      </w:r>
      <w:proofErr w:type="spellEnd"/>
      <w:r w:rsidRPr="001D266C">
        <w:rPr>
          <w:rFonts w:ascii="Arial" w:hAnsi="Arial" w:cs="Arial"/>
          <w:sz w:val="20"/>
        </w:rPr>
        <w:t xml:space="preserve"> and </w:t>
      </w:r>
      <w:proofErr w:type="spellStart"/>
      <w:r w:rsidRPr="001D266C">
        <w:rPr>
          <w:rFonts w:ascii="Arial" w:hAnsi="Arial" w:cs="Arial"/>
          <w:sz w:val="20"/>
        </w:rPr>
        <w:t>Qaim</w:t>
      </w:r>
      <w:proofErr w:type="spellEnd"/>
      <w:r w:rsidRPr="001D266C">
        <w:rPr>
          <w:rFonts w:ascii="Arial" w:hAnsi="Arial" w:cs="Arial"/>
          <w:sz w:val="20"/>
        </w:rPr>
        <w:t>, 2014).</w:t>
      </w:r>
    </w:p>
    <w:p w14:paraId="11B99F74" w14:textId="00DF6628" w:rsidR="00F33BA9" w:rsidRPr="001D266C" w:rsidRDefault="00F33BA9" w:rsidP="001D266C">
      <w:pPr>
        <w:pStyle w:val="NoSpacing"/>
        <w:jc w:val="both"/>
        <w:rPr>
          <w:rFonts w:ascii="Arial" w:hAnsi="Arial" w:cs="Arial"/>
          <w:sz w:val="20"/>
        </w:rPr>
      </w:pPr>
    </w:p>
    <w:p w14:paraId="1926EECC" w14:textId="77777777" w:rsidR="00F33BA9" w:rsidRPr="008B7650" w:rsidRDefault="00F33BA9" w:rsidP="001D266C">
      <w:pPr>
        <w:pStyle w:val="NoSpacing"/>
        <w:jc w:val="both"/>
        <w:rPr>
          <w:rFonts w:ascii="Arial" w:hAnsi="Arial" w:cs="Arial"/>
          <w:b/>
          <w:sz w:val="20"/>
          <w:highlight w:val="yellow"/>
        </w:rPr>
      </w:pPr>
      <w:r w:rsidRPr="008B7650">
        <w:rPr>
          <w:rFonts w:ascii="Arial" w:hAnsi="Arial" w:cs="Arial"/>
          <w:b/>
          <w:sz w:val="20"/>
          <w:highlight w:val="yellow"/>
        </w:rPr>
        <w:t>3.3 Viral Resistance</w:t>
      </w:r>
    </w:p>
    <w:p w14:paraId="788DB690" w14:textId="78C82500" w:rsidR="00F33BA9" w:rsidRPr="001D266C" w:rsidRDefault="00F33BA9" w:rsidP="001D266C">
      <w:pPr>
        <w:pStyle w:val="NoSpacing"/>
        <w:jc w:val="both"/>
        <w:rPr>
          <w:rFonts w:ascii="Arial" w:hAnsi="Arial" w:cs="Arial"/>
          <w:sz w:val="20"/>
        </w:rPr>
      </w:pPr>
      <w:r w:rsidRPr="001D266C">
        <w:rPr>
          <w:rFonts w:ascii="Arial" w:hAnsi="Arial" w:cs="Arial"/>
          <w:sz w:val="20"/>
        </w:rPr>
        <w:t>Transgenic approaches have also been employed to develop resistance against viral diseases through the introduction of viral coat protein genes. Rainbow papaya, developed using particle bombardment, incorporated the coat protein gene from papaya ring spot virus (PRSV), providing effective resistance against the virus.</w:t>
      </w:r>
      <w:r w:rsidR="001D266C">
        <w:rPr>
          <w:rFonts w:ascii="Arial" w:hAnsi="Arial" w:cs="Arial"/>
          <w:sz w:val="20"/>
        </w:rPr>
        <w:t xml:space="preserve"> </w:t>
      </w:r>
      <w:r w:rsidRPr="001D266C">
        <w:rPr>
          <w:rFonts w:ascii="Arial" w:hAnsi="Arial" w:cs="Arial"/>
          <w:sz w:val="20"/>
        </w:rPr>
        <w:t xml:space="preserve">Similarly, virus-resistant plum was developed using the coat protein gene from plum pox virus (PPV), offering protection against </w:t>
      </w:r>
      <w:proofErr w:type="spellStart"/>
      <w:r w:rsidRPr="001D266C">
        <w:rPr>
          <w:rFonts w:ascii="Arial" w:hAnsi="Arial" w:cs="Arial"/>
          <w:sz w:val="20"/>
        </w:rPr>
        <w:t>sharka</w:t>
      </w:r>
      <w:proofErr w:type="spellEnd"/>
      <w:r w:rsidRPr="001D266C">
        <w:rPr>
          <w:rFonts w:ascii="Arial" w:hAnsi="Arial" w:cs="Arial"/>
          <w:sz w:val="20"/>
        </w:rPr>
        <w:t xml:space="preserve"> disease (</w:t>
      </w:r>
      <w:proofErr w:type="spellStart"/>
      <w:r w:rsidRPr="001D266C">
        <w:rPr>
          <w:rFonts w:ascii="Arial" w:hAnsi="Arial" w:cs="Arial"/>
          <w:sz w:val="20"/>
        </w:rPr>
        <w:t>Scorza</w:t>
      </w:r>
      <w:proofErr w:type="spellEnd"/>
      <w:r w:rsidRPr="001D266C">
        <w:rPr>
          <w:rFonts w:ascii="Arial" w:hAnsi="Arial" w:cs="Arial"/>
          <w:sz w:val="20"/>
        </w:rPr>
        <w:t xml:space="preserve"> et al., 2013). These examples demonstrate the role of genetic engineering in protecting crops from devastating viral infections and stabilizing agricultural production.</w:t>
      </w:r>
    </w:p>
    <w:p w14:paraId="49618F07" w14:textId="77777777" w:rsidR="001D266C" w:rsidRDefault="001D266C" w:rsidP="001D266C">
      <w:pPr>
        <w:pStyle w:val="NoSpacing"/>
      </w:pPr>
    </w:p>
    <w:p w14:paraId="72B59D43" w14:textId="31407B78" w:rsidR="00F33BA9" w:rsidRDefault="00F33BA9" w:rsidP="001D266C">
      <w:pPr>
        <w:pStyle w:val="NoSpacing"/>
        <w:jc w:val="center"/>
        <w:rPr>
          <w:rStyle w:val="Strong"/>
          <w:rFonts w:ascii="Arial" w:hAnsi="Arial" w:cs="Arial"/>
          <w:sz w:val="20"/>
        </w:rPr>
      </w:pPr>
      <w:r w:rsidRPr="001D266C">
        <w:rPr>
          <w:rStyle w:val="Strong"/>
          <w:rFonts w:ascii="Arial" w:hAnsi="Arial" w:cs="Arial"/>
          <w:sz w:val="20"/>
        </w:rPr>
        <w:t>Table 1. Commercially developed transgenic crops, techniques utilized, genes involved, and traits enhanced.</w:t>
      </w:r>
    </w:p>
    <w:p w14:paraId="11CD77D9" w14:textId="77777777" w:rsidR="001D266C" w:rsidRPr="001D266C" w:rsidRDefault="001D266C" w:rsidP="001D266C">
      <w:pPr>
        <w:pStyle w:val="NoSpacing"/>
        <w:jc w:val="center"/>
        <w:rPr>
          <w:rFonts w:ascii="Arial" w:hAnsi="Arial" w:cs="Arial"/>
          <w:sz w:val="20"/>
        </w:rPr>
      </w:pPr>
    </w:p>
    <w:tbl>
      <w:tblPr>
        <w:tblStyle w:val="TableGrid"/>
        <w:tblW w:w="0" w:type="auto"/>
        <w:jc w:val="center"/>
        <w:tblLook w:val="04A0" w:firstRow="1" w:lastRow="0" w:firstColumn="1" w:lastColumn="0" w:noHBand="0" w:noVBand="1"/>
      </w:tblPr>
      <w:tblGrid>
        <w:gridCol w:w="650"/>
        <w:gridCol w:w="2015"/>
        <w:gridCol w:w="2859"/>
        <w:gridCol w:w="2197"/>
        <w:gridCol w:w="1295"/>
      </w:tblGrid>
      <w:tr w:rsidR="001D266C" w:rsidRPr="000912F0" w14:paraId="1DAEE49A" w14:textId="77777777" w:rsidTr="001D266C">
        <w:trPr>
          <w:trHeight w:val="89"/>
          <w:jc w:val="center"/>
        </w:trPr>
        <w:tc>
          <w:tcPr>
            <w:tcW w:w="0" w:type="auto"/>
            <w:vAlign w:val="center"/>
          </w:tcPr>
          <w:p w14:paraId="6B0B6E21" w14:textId="77777777" w:rsidR="001D266C" w:rsidRPr="000912F0" w:rsidRDefault="001D266C" w:rsidP="00481A41">
            <w:pPr>
              <w:pStyle w:val="NoSpacing"/>
              <w:jc w:val="center"/>
              <w:rPr>
                <w:rFonts w:ascii="Arial" w:hAnsi="Arial" w:cs="Arial"/>
                <w:b/>
                <w:sz w:val="20"/>
                <w:szCs w:val="20"/>
              </w:rPr>
            </w:pPr>
            <w:r w:rsidRPr="000912F0">
              <w:rPr>
                <w:rFonts w:ascii="Arial" w:hAnsi="Arial" w:cs="Arial"/>
                <w:b/>
                <w:sz w:val="20"/>
                <w:szCs w:val="20"/>
              </w:rPr>
              <w:t>S.no</w:t>
            </w:r>
          </w:p>
        </w:tc>
        <w:tc>
          <w:tcPr>
            <w:tcW w:w="2015" w:type="dxa"/>
            <w:vAlign w:val="center"/>
          </w:tcPr>
          <w:p w14:paraId="308CE39F" w14:textId="77777777" w:rsidR="001D266C" w:rsidRPr="000912F0" w:rsidRDefault="001D266C" w:rsidP="00481A41">
            <w:pPr>
              <w:pStyle w:val="NoSpacing"/>
              <w:jc w:val="center"/>
              <w:rPr>
                <w:rFonts w:ascii="Arial" w:hAnsi="Arial" w:cs="Arial"/>
                <w:b/>
                <w:sz w:val="20"/>
                <w:szCs w:val="20"/>
              </w:rPr>
            </w:pPr>
            <w:r w:rsidRPr="000912F0">
              <w:rPr>
                <w:rFonts w:ascii="Arial" w:hAnsi="Arial" w:cs="Arial"/>
                <w:b/>
                <w:sz w:val="20"/>
                <w:szCs w:val="20"/>
              </w:rPr>
              <w:t>Crop</w:t>
            </w:r>
          </w:p>
        </w:tc>
        <w:tc>
          <w:tcPr>
            <w:tcW w:w="2859" w:type="dxa"/>
            <w:vAlign w:val="center"/>
          </w:tcPr>
          <w:p w14:paraId="28051983" w14:textId="77777777" w:rsidR="001D266C" w:rsidRPr="000912F0" w:rsidRDefault="001D266C" w:rsidP="00481A41">
            <w:pPr>
              <w:pStyle w:val="NoSpacing"/>
              <w:jc w:val="center"/>
              <w:rPr>
                <w:rFonts w:ascii="Arial" w:hAnsi="Arial" w:cs="Arial"/>
                <w:b/>
                <w:sz w:val="20"/>
                <w:szCs w:val="20"/>
              </w:rPr>
            </w:pPr>
            <w:r w:rsidRPr="000912F0">
              <w:rPr>
                <w:rFonts w:ascii="Arial" w:hAnsi="Arial" w:cs="Arial"/>
                <w:b/>
                <w:sz w:val="20"/>
                <w:szCs w:val="20"/>
              </w:rPr>
              <w:t>Genes involved</w:t>
            </w:r>
          </w:p>
        </w:tc>
        <w:tc>
          <w:tcPr>
            <w:tcW w:w="2197" w:type="dxa"/>
            <w:vAlign w:val="center"/>
          </w:tcPr>
          <w:p w14:paraId="66B08CC1" w14:textId="77777777" w:rsidR="001D266C" w:rsidRPr="000912F0" w:rsidRDefault="001D266C" w:rsidP="00481A41">
            <w:pPr>
              <w:pStyle w:val="NoSpacing"/>
              <w:jc w:val="center"/>
              <w:rPr>
                <w:rFonts w:ascii="Arial" w:hAnsi="Arial" w:cs="Arial"/>
                <w:b/>
                <w:sz w:val="20"/>
                <w:szCs w:val="20"/>
              </w:rPr>
            </w:pPr>
            <w:r w:rsidRPr="000912F0">
              <w:rPr>
                <w:rFonts w:ascii="Arial" w:hAnsi="Arial" w:cs="Arial"/>
                <w:b/>
                <w:sz w:val="20"/>
                <w:szCs w:val="20"/>
              </w:rPr>
              <w:t>Traits enhanced</w:t>
            </w:r>
          </w:p>
        </w:tc>
        <w:tc>
          <w:tcPr>
            <w:tcW w:w="0" w:type="auto"/>
            <w:vAlign w:val="center"/>
          </w:tcPr>
          <w:p w14:paraId="1E14C3F9" w14:textId="77777777" w:rsidR="001D266C" w:rsidRPr="000912F0" w:rsidRDefault="001D266C" w:rsidP="00481A41">
            <w:pPr>
              <w:pStyle w:val="NoSpacing"/>
              <w:jc w:val="center"/>
              <w:rPr>
                <w:rFonts w:ascii="Arial" w:hAnsi="Arial" w:cs="Arial"/>
                <w:b/>
                <w:sz w:val="20"/>
                <w:szCs w:val="20"/>
              </w:rPr>
            </w:pPr>
            <w:r w:rsidRPr="000912F0">
              <w:rPr>
                <w:rFonts w:ascii="Arial" w:hAnsi="Arial" w:cs="Arial"/>
                <w:b/>
                <w:sz w:val="20"/>
                <w:szCs w:val="20"/>
              </w:rPr>
              <w:t>References</w:t>
            </w:r>
          </w:p>
        </w:tc>
      </w:tr>
      <w:tr w:rsidR="001D266C" w:rsidRPr="000912F0" w14:paraId="503E0717" w14:textId="77777777" w:rsidTr="001D266C">
        <w:trPr>
          <w:trHeight w:val="352"/>
          <w:jc w:val="center"/>
        </w:trPr>
        <w:tc>
          <w:tcPr>
            <w:tcW w:w="0" w:type="auto"/>
            <w:vAlign w:val="center"/>
          </w:tcPr>
          <w:p w14:paraId="5984A3D0" w14:textId="77777777" w:rsidR="001D266C" w:rsidRPr="001D266C" w:rsidRDefault="001D266C" w:rsidP="00481A41">
            <w:pPr>
              <w:pStyle w:val="NoSpacing"/>
              <w:jc w:val="center"/>
              <w:rPr>
                <w:rFonts w:ascii="Arial" w:hAnsi="Arial" w:cs="Arial"/>
                <w:b/>
                <w:sz w:val="20"/>
                <w:szCs w:val="20"/>
              </w:rPr>
            </w:pPr>
            <w:r w:rsidRPr="001D266C">
              <w:rPr>
                <w:rFonts w:ascii="Arial" w:hAnsi="Arial" w:cs="Arial"/>
                <w:b/>
                <w:sz w:val="20"/>
                <w:szCs w:val="20"/>
              </w:rPr>
              <w:t>1.</w:t>
            </w:r>
          </w:p>
        </w:tc>
        <w:tc>
          <w:tcPr>
            <w:tcW w:w="2015" w:type="dxa"/>
            <w:vAlign w:val="center"/>
          </w:tcPr>
          <w:p w14:paraId="508D416C"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Innate potato</w:t>
            </w:r>
          </w:p>
          <w:p w14:paraId="5613A46D"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Intragenic developed</w:t>
            </w:r>
          </w:p>
        </w:tc>
        <w:tc>
          <w:tcPr>
            <w:tcW w:w="2859" w:type="dxa"/>
            <w:vAlign w:val="center"/>
          </w:tcPr>
          <w:p w14:paraId="4A97BB6B"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Potato genes involved in defence and quality traits (e.g., PPO, ACO, and GBSS)</w:t>
            </w:r>
          </w:p>
        </w:tc>
        <w:tc>
          <w:tcPr>
            <w:tcW w:w="2197" w:type="dxa"/>
            <w:vAlign w:val="center"/>
          </w:tcPr>
          <w:p w14:paraId="39FDDF33"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Reduced bruising and browning, enhanced nutritional quality</w:t>
            </w:r>
          </w:p>
        </w:tc>
        <w:tc>
          <w:tcPr>
            <w:tcW w:w="0" w:type="auto"/>
            <w:vAlign w:val="center"/>
          </w:tcPr>
          <w:p w14:paraId="5B686D82" w14:textId="4CDFA13A" w:rsidR="001D266C" w:rsidRPr="008B7650" w:rsidRDefault="008B7650" w:rsidP="00481A41">
            <w:pPr>
              <w:pStyle w:val="NoSpacing"/>
              <w:jc w:val="center"/>
              <w:rPr>
                <w:rFonts w:ascii="Arial" w:hAnsi="Arial" w:cs="Arial"/>
                <w:sz w:val="20"/>
                <w:szCs w:val="20"/>
                <w:highlight w:val="yellow"/>
              </w:rPr>
            </w:pPr>
            <w:r w:rsidRPr="008B7650">
              <w:rPr>
                <w:rFonts w:ascii="Arial" w:hAnsi="Arial" w:cs="Arial"/>
                <w:color w:val="222222"/>
                <w:sz w:val="20"/>
                <w:szCs w:val="20"/>
                <w:highlight w:val="yellow"/>
                <w:shd w:val="clear" w:color="auto" w:fill="FFFFFF"/>
              </w:rPr>
              <w:t>Khalid et al. (2023)</w:t>
            </w:r>
          </w:p>
        </w:tc>
      </w:tr>
      <w:tr w:rsidR="001D266C" w:rsidRPr="000912F0" w14:paraId="4210677C" w14:textId="77777777" w:rsidTr="001D266C">
        <w:trPr>
          <w:trHeight w:val="299"/>
          <w:jc w:val="center"/>
        </w:trPr>
        <w:tc>
          <w:tcPr>
            <w:tcW w:w="0" w:type="auto"/>
            <w:vAlign w:val="center"/>
          </w:tcPr>
          <w:p w14:paraId="76A2E8A6" w14:textId="77777777" w:rsidR="001D266C" w:rsidRPr="001D266C" w:rsidRDefault="001D266C" w:rsidP="00481A41">
            <w:pPr>
              <w:pStyle w:val="NoSpacing"/>
              <w:jc w:val="center"/>
              <w:rPr>
                <w:rFonts w:ascii="Arial" w:hAnsi="Arial" w:cs="Arial"/>
                <w:b/>
                <w:sz w:val="20"/>
                <w:szCs w:val="20"/>
              </w:rPr>
            </w:pPr>
            <w:r w:rsidRPr="001D266C">
              <w:rPr>
                <w:rFonts w:ascii="Arial" w:hAnsi="Arial" w:cs="Arial"/>
                <w:b/>
                <w:sz w:val="20"/>
                <w:szCs w:val="20"/>
              </w:rPr>
              <w:t>2.</w:t>
            </w:r>
          </w:p>
        </w:tc>
        <w:tc>
          <w:tcPr>
            <w:tcW w:w="2015" w:type="dxa"/>
            <w:vAlign w:val="center"/>
          </w:tcPr>
          <w:p w14:paraId="62C42CB4" w14:textId="77777777" w:rsidR="001D266C" w:rsidRPr="000912F0" w:rsidRDefault="001D266C" w:rsidP="00481A41">
            <w:pPr>
              <w:pStyle w:val="NoSpacing"/>
              <w:jc w:val="center"/>
              <w:rPr>
                <w:rFonts w:ascii="Arial" w:hAnsi="Arial" w:cs="Arial"/>
                <w:sz w:val="20"/>
                <w:szCs w:val="20"/>
              </w:rPr>
            </w:pPr>
            <w:proofErr w:type="spellStart"/>
            <w:r w:rsidRPr="000912F0">
              <w:rPr>
                <w:rFonts w:ascii="Arial" w:hAnsi="Arial" w:cs="Arial"/>
                <w:sz w:val="20"/>
                <w:szCs w:val="20"/>
              </w:rPr>
              <w:t>Smarthaven</w:t>
            </w:r>
            <w:proofErr w:type="spellEnd"/>
            <w:r w:rsidRPr="000912F0">
              <w:rPr>
                <w:rFonts w:ascii="Arial" w:hAnsi="Arial" w:cs="Arial"/>
                <w:sz w:val="20"/>
                <w:szCs w:val="20"/>
              </w:rPr>
              <w:t xml:space="preserve"> apple</w:t>
            </w:r>
          </w:p>
          <w:p w14:paraId="1AF3CDBC"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Intragenic developed</w:t>
            </w:r>
          </w:p>
        </w:tc>
        <w:tc>
          <w:tcPr>
            <w:tcW w:w="2859" w:type="dxa"/>
            <w:vAlign w:val="center"/>
          </w:tcPr>
          <w:p w14:paraId="16285EB2"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Apple genes involved in reducing browning and fungal resistance</w:t>
            </w:r>
          </w:p>
        </w:tc>
        <w:tc>
          <w:tcPr>
            <w:tcW w:w="2197" w:type="dxa"/>
            <w:vAlign w:val="center"/>
          </w:tcPr>
          <w:p w14:paraId="25C58B63"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Non-browning characteristic, reduced susceptibility to fire blight</w:t>
            </w:r>
          </w:p>
        </w:tc>
        <w:tc>
          <w:tcPr>
            <w:tcW w:w="0" w:type="auto"/>
            <w:vAlign w:val="center"/>
          </w:tcPr>
          <w:p w14:paraId="26811BB3" w14:textId="654742AD" w:rsidR="001D266C" w:rsidRPr="008B7650" w:rsidRDefault="008B7650" w:rsidP="00481A41">
            <w:pPr>
              <w:pStyle w:val="NoSpacing"/>
              <w:jc w:val="center"/>
              <w:rPr>
                <w:rFonts w:ascii="Arial" w:hAnsi="Arial" w:cs="Arial"/>
                <w:sz w:val="20"/>
                <w:szCs w:val="20"/>
                <w:highlight w:val="yellow"/>
              </w:rPr>
            </w:pPr>
            <w:r w:rsidRPr="008B7650">
              <w:rPr>
                <w:rFonts w:ascii="Arial" w:hAnsi="Arial" w:cs="Arial"/>
                <w:sz w:val="20"/>
                <w:szCs w:val="20"/>
                <w:highlight w:val="yellow"/>
              </w:rPr>
              <w:t>Sultan et al. (2025)</w:t>
            </w:r>
          </w:p>
        </w:tc>
      </w:tr>
      <w:tr w:rsidR="001D266C" w:rsidRPr="000912F0" w14:paraId="1A0404B4" w14:textId="77777777" w:rsidTr="001D266C">
        <w:trPr>
          <w:trHeight w:val="247"/>
          <w:jc w:val="center"/>
        </w:trPr>
        <w:tc>
          <w:tcPr>
            <w:tcW w:w="0" w:type="auto"/>
            <w:vAlign w:val="center"/>
          </w:tcPr>
          <w:p w14:paraId="0A5EE880" w14:textId="77777777" w:rsidR="001D266C" w:rsidRPr="001D266C" w:rsidRDefault="001D266C" w:rsidP="00481A41">
            <w:pPr>
              <w:pStyle w:val="NoSpacing"/>
              <w:jc w:val="center"/>
              <w:rPr>
                <w:rFonts w:ascii="Arial" w:hAnsi="Arial" w:cs="Arial"/>
                <w:b/>
                <w:sz w:val="20"/>
                <w:szCs w:val="20"/>
              </w:rPr>
            </w:pPr>
            <w:r w:rsidRPr="001D266C">
              <w:rPr>
                <w:rFonts w:ascii="Arial" w:hAnsi="Arial" w:cs="Arial"/>
                <w:b/>
                <w:sz w:val="20"/>
                <w:szCs w:val="20"/>
              </w:rPr>
              <w:t>3.</w:t>
            </w:r>
          </w:p>
        </w:tc>
        <w:tc>
          <w:tcPr>
            <w:tcW w:w="2015" w:type="dxa"/>
            <w:vAlign w:val="center"/>
          </w:tcPr>
          <w:p w14:paraId="760A31EA"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Honeysweet plum</w:t>
            </w:r>
          </w:p>
          <w:p w14:paraId="0029DFCA"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Intragenic developed</w:t>
            </w:r>
          </w:p>
        </w:tc>
        <w:tc>
          <w:tcPr>
            <w:tcW w:w="2859" w:type="dxa"/>
            <w:vAlign w:val="center"/>
          </w:tcPr>
          <w:p w14:paraId="617AEC92"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Plum genes involved in Plum pox virus resistance</w:t>
            </w:r>
          </w:p>
        </w:tc>
        <w:tc>
          <w:tcPr>
            <w:tcW w:w="2197" w:type="dxa"/>
            <w:vAlign w:val="center"/>
          </w:tcPr>
          <w:p w14:paraId="43D292FA"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PPV resistance</w:t>
            </w:r>
          </w:p>
        </w:tc>
        <w:tc>
          <w:tcPr>
            <w:tcW w:w="0" w:type="auto"/>
            <w:vAlign w:val="center"/>
          </w:tcPr>
          <w:p w14:paraId="005D654E" w14:textId="77777777" w:rsidR="001D266C" w:rsidRPr="008B7650" w:rsidRDefault="001D266C" w:rsidP="00481A41">
            <w:pPr>
              <w:pStyle w:val="NoSpacing"/>
              <w:jc w:val="center"/>
              <w:rPr>
                <w:rFonts w:ascii="Arial" w:hAnsi="Arial" w:cs="Arial"/>
                <w:sz w:val="20"/>
                <w:szCs w:val="20"/>
                <w:highlight w:val="yellow"/>
              </w:rPr>
            </w:pPr>
            <w:proofErr w:type="spellStart"/>
            <w:r w:rsidRPr="008B7650">
              <w:rPr>
                <w:rFonts w:ascii="Arial" w:eastAsia="Times New Roman" w:hAnsi="Arial" w:cs="Arial"/>
                <w:sz w:val="20"/>
                <w:szCs w:val="20"/>
                <w:highlight w:val="yellow"/>
                <w:lang w:eastAsia="en-IN"/>
              </w:rPr>
              <w:t>Scorza</w:t>
            </w:r>
            <w:proofErr w:type="spellEnd"/>
            <w:r w:rsidRPr="008B7650">
              <w:rPr>
                <w:rFonts w:ascii="Arial" w:eastAsia="Times New Roman" w:hAnsi="Arial" w:cs="Arial"/>
                <w:sz w:val="20"/>
                <w:szCs w:val="20"/>
                <w:highlight w:val="yellow"/>
                <w:lang w:eastAsia="en-IN"/>
              </w:rPr>
              <w:t xml:space="preserve"> et al., (2013)</w:t>
            </w:r>
          </w:p>
        </w:tc>
      </w:tr>
      <w:tr w:rsidR="001D266C" w:rsidRPr="000912F0" w14:paraId="28C8AB28" w14:textId="77777777" w:rsidTr="001D266C">
        <w:trPr>
          <w:trHeight w:val="299"/>
          <w:jc w:val="center"/>
        </w:trPr>
        <w:tc>
          <w:tcPr>
            <w:tcW w:w="0" w:type="auto"/>
            <w:vAlign w:val="center"/>
          </w:tcPr>
          <w:p w14:paraId="27353D0B" w14:textId="77777777" w:rsidR="001D266C" w:rsidRPr="001D266C" w:rsidRDefault="001D266C" w:rsidP="00481A41">
            <w:pPr>
              <w:pStyle w:val="NoSpacing"/>
              <w:jc w:val="center"/>
              <w:rPr>
                <w:rFonts w:ascii="Arial" w:hAnsi="Arial" w:cs="Arial"/>
                <w:b/>
                <w:sz w:val="20"/>
                <w:szCs w:val="20"/>
              </w:rPr>
            </w:pPr>
            <w:r w:rsidRPr="001D266C">
              <w:rPr>
                <w:rFonts w:ascii="Arial" w:hAnsi="Arial" w:cs="Arial"/>
                <w:b/>
                <w:sz w:val="20"/>
                <w:szCs w:val="20"/>
              </w:rPr>
              <w:t>4.</w:t>
            </w:r>
          </w:p>
        </w:tc>
        <w:tc>
          <w:tcPr>
            <w:tcW w:w="2015" w:type="dxa"/>
            <w:vAlign w:val="center"/>
          </w:tcPr>
          <w:p w14:paraId="40739410"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Fortuna potato</w:t>
            </w:r>
          </w:p>
          <w:p w14:paraId="2D03F74A" w14:textId="77777777" w:rsidR="001D266C" w:rsidRPr="000912F0" w:rsidRDefault="001D266C" w:rsidP="00481A41">
            <w:pPr>
              <w:pStyle w:val="NoSpacing"/>
              <w:jc w:val="center"/>
              <w:rPr>
                <w:rFonts w:ascii="Arial" w:hAnsi="Arial" w:cs="Arial"/>
                <w:sz w:val="20"/>
                <w:szCs w:val="20"/>
              </w:rPr>
            </w:pPr>
            <w:proofErr w:type="spellStart"/>
            <w:r w:rsidRPr="000912F0">
              <w:rPr>
                <w:rFonts w:ascii="Arial" w:hAnsi="Arial" w:cs="Arial"/>
                <w:sz w:val="20"/>
                <w:szCs w:val="20"/>
              </w:rPr>
              <w:t>Cisgenic</w:t>
            </w:r>
            <w:proofErr w:type="spellEnd"/>
            <w:r w:rsidRPr="000912F0">
              <w:rPr>
                <w:rFonts w:ascii="Arial" w:hAnsi="Arial" w:cs="Arial"/>
                <w:sz w:val="20"/>
                <w:szCs w:val="20"/>
              </w:rPr>
              <w:t xml:space="preserve"> developed</w:t>
            </w:r>
          </w:p>
        </w:tc>
        <w:tc>
          <w:tcPr>
            <w:tcW w:w="2859" w:type="dxa"/>
            <w:vAlign w:val="center"/>
          </w:tcPr>
          <w:p w14:paraId="0C32A4AF"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Potato genes involved in disease resistance (e.g., Rpi-vnt1.1)</w:t>
            </w:r>
          </w:p>
        </w:tc>
        <w:tc>
          <w:tcPr>
            <w:tcW w:w="2197" w:type="dxa"/>
            <w:vAlign w:val="center"/>
          </w:tcPr>
          <w:p w14:paraId="0DE4760A" w14:textId="77777777" w:rsidR="001D266C" w:rsidRPr="000912F0" w:rsidRDefault="001D266C" w:rsidP="00481A41">
            <w:pPr>
              <w:pStyle w:val="NoSpacing"/>
              <w:jc w:val="center"/>
              <w:rPr>
                <w:rFonts w:ascii="Arial" w:hAnsi="Arial" w:cs="Arial"/>
                <w:sz w:val="20"/>
                <w:szCs w:val="20"/>
              </w:rPr>
            </w:pPr>
            <w:r w:rsidRPr="000912F0">
              <w:rPr>
                <w:rFonts w:ascii="Arial" w:hAnsi="Arial" w:cs="Arial"/>
                <w:sz w:val="20"/>
                <w:szCs w:val="20"/>
              </w:rPr>
              <w:t>Resistant to late blight</w:t>
            </w:r>
          </w:p>
        </w:tc>
        <w:tc>
          <w:tcPr>
            <w:tcW w:w="0" w:type="auto"/>
            <w:vAlign w:val="center"/>
          </w:tcPr>
          <w:p w14:paraId="10911469" w14:textId="77777777" w:rsidR="001D266C" w:rsidRPr="008B7650" w:rsidRDefault="001D266C" w:rsidP="00481A41">
            <w:pPr>
              <w:pStyle w:val="NoSpacing"/>
              <w:jc w:val="center"/>
              <w:rPr>
                <w:rFonts w:ascii="Arial" w:hAnsi="Arial" w:cs="Arial"/>
                <w:sz w:val="20"/>
                <w:szCs w:val="20"/>
                <w:highlight w:val="yellow"/>
                <w:lang w:val="fr-FR"/>
              </w:rPr>
            </w:pPr>
            <w:proofErr w:type="spellStart"/>
            <w:r w:rsidRPr="008B7650">
              <w:rPr>
                <w:rFonts w:ascii="Arial" w:eastAsia="Times New Roman" w:hAnsi="Arial" w:cs="Arial"/>
                <w:sz w:val="20"/>
                <w:szCs w:val="20"/>
                <w:highlight w:val="yellow"/>
                <w:lang w:val="fr-FR" w:eastAsia="en-IN"/>
              </w:rPr>
              <w:t>Schouten</w:t>
            </w:r>
            <w:proofErr w:type="spellEnd"/>
            <w:r w:rsidRPr="008B7650">
              <w:rPr>
                <w:rFonts w:ascii="Arial" w:eastAsia="Times New Roman" w:hAnsi="Arial" w:cs="Arial"/>
                <w:sz w:val="20"/>
                <w:szCs w:val="20"/>
                <w:highlight w:val="yellow"/>
                <w:lang w:val="fr-FR" w:eastAsia="en-IN"/>
              </w:rPr>
              <w:t xml:space="preserve"> et al (2006)</w:t>
            </w:r>
          </w:p>
        </w:tc>
      </w:tr>
    </w:tbl>
    <w:p w14:paraId="3A4B1F70" w14:textId="77777777" w:rsidR="00EC0E7C" w:rsidRPr="00E802D5" w:rsidRDefault="00EC0E7C" w:rsidP="00EC0E7C">
      <w:pPr>
        <w:pStyle w:val="NoSpacing"/>
        <w:jc w:val="both"/>
        <w:rPr>
          <w:rFonts w:ascii="Arial" w:eastAsia="Times New Roman" w:hAnsi="Arial" w:cs="Arial"/>
          <w:color w:val="252525"/>
          <w:sz w:val="20"/>
          <w:szCs w:val="20"/>
          <w:lang w:eastAsia="en-IN"/>
        </w:rPr>
      </w:pPr>
    </w:p>
    <w:p w14:paraId="2AB6046B" w14:textId="77777777" w:rsidR="00EC0E7C" w:rsidRPr="00E802D5" w:rsidRDefault="00EC0E7C" w:rsidP="00EC0E7C">
      <w:pPr>
        <w:spacing w:after="0" w:line="240" w:lineRule="auto"/>
        <w:jc w:val="both"/>
        <w:rPr>
          <w:rFonts w:ascii="Arial" w:hAnsi="Arial" w:cs="Arial"/>
          <w:sz w:val="20"/>
          <w:szCs w:val="20"/>
        </w:rPr>
      </w:pPr>
    </w:p>
    <w:p w14:paraId="7D82DD63" w14:textId="77777777" w:rsidR="001D266C" w:rsidRPr="001D266C" w:rsidRDefault="001D266C" w:rsidP="001D266C">
      <w:pPr>
        <w:pStyle w:val="NoSpacing"/>
        <w:ind w:firstLine="720"/>
        <w:jc w:val="both"/>
        <w:rPr>
          <w:rFonts w:ascii="Arial" w:hAnsi="Arial" w:cs="Arial"/>
          <w:b/>
          <w:sz w:val="20"/>
        </w:rPr>
      </w:pPr>
      <w:r w:rsidRPr="001D266C">
        <w:rPr>
          <w:rFonts w:ascii="Arial" w:hAnsi="Arial" w:cs="Arial"/>
          <w:b/>
          <w:sz w:val="24"/>
        </w:rPr>
        <w:t>4. Transgenic Biofortification of Crops</w:t>
      </w:r>
    </w:p>
    <w:p w14:paraId="1E55EEFB" w14:textId="08706BB2" w:rsidR="001D266C" w:rsidRPr="001D266C" w:rsidRDefault="001D266C" w:rsidP="001D266C">
      <w:pPr>
        <w:pStyle w:val="NoSpacing"/>
        <w:jc w:val="both"/>
        <w:rPr>
          <w:rFonts w:ascii="Arial" w:hAnsi="Arial" w:cs="Arial"/>
          <w:sz w:val="20"/>
        </w:rPr>
      </w:pPr>
      <w:r w:rsidRPr="001D266C">
        <w:rPr>
          <w:rFonts w:ascii="Arial" w:hAnsi="Arial" w:cs="Arial"/>
          <w:sz w:val="20"/>
        </w:rPr>
        <w:t xml:space="preserve">Micronutrient malnutrition, often referred to as “hidden hunger,” affects a large proportion of the global population, particularly in developing countries where diets rely heavily on staple crops deficient in essential vitamins and minerals. Biofortification aims to enhance the nutritional value of crops either through conventional </w:t>
      </w:r>
      <w:r w:rsidRPr="008B7650">
        <w:rPr>
          <w:rFonts w:ascii="Arial" w:hAnsi="Arial" w:cs="Arial"/>
          <w:sz w:val="20"/>
          <w:highlight w:val="yellow"/>
        </w:rPr>
        <w:t>breeding or advanced biotechnological approaches. While traditional breeding strategies have contributed to micronutrient enhancement (</w:t>
      </w:r>
      <w:proofErr w:type="spellStart"/>
      <w:r w:rsidRPr="008B7650">
        <w:rPr>
          <w:rFonts w:ascii="Arial" w:hAnsi="Arial" w:cs="Arial"/>
          <w:sz w:val="20"/>
          <w:highlight w:val="yellow"/>
        </w:rPr>
        <w:t>Nestel</w:t>
      </w:r>
      <w:proofErr w:type="spellEnd"/>
      <w:r w:rsidRPr="008B7650">
        <w:rPr>
          <w:rFonts w:ascii="Arial" w:hAnsi="Arial" w:cs="Arial"/>
          <w:sz w:val="20"/>
          <w:highlight w:val="yellow"/>
        </w:rPr>
        <w:t xml:space="preserve"> et al., 2006; Garg et al., 2018), transgenic technology provides an effective approach when natural genetic variability is insufficient or </w:t>
      </w:r>
      <w:r w:rsidRPr="008B7650">
        <w:rPr>
          <w:rFonts w:ascii="Arial" w:hAnsi="Arial" w:cs="Arial"/>
          <w:sz w:val="20"/>
          <w:highlight w:val="yellow"/>
        </w:rPr>
        <w:lastRenderedPageBreak/>
        <w:t>when new metabolic pathways must be introduced (Saltzman et al., 2013). Genetic engineering enables the introduction, enhancement, or suppression of genes involved in nutrient biosynthesis and accumulation. This approach has been successfully used to improve provitamin A, iron, zinc, folate, and vitamin E content in staple crops.</w:t>
      </w:r>
    </w:p>
    <w:p w14:paraId="61BDC2D6" w14:textId="3BB26EE0" w:rsidR="001D266C" w:rsidRPr="001D266C" w:rsidRDefault="001D266C" w:rsidP="001D266C">
      <w:pPr>
        <w:pStyle w:val="NoSpacing"/>
        <w:jc w:val="both"/>
        <w:rPr>
          <w:rFonts w:ascii="Arial" w:hAnsi="Arial" w:cs="Arial"/>
          <w:sz w:val="20"/>
        </w:rPr>
      </w:pPr>
    </w:p>
    <w:p w14:paraId="47E879A9" w14:textId="77777777" w:rsidR="001D266C" w:rsidRPr="001D266C" w:rsidRDefault="001D266C" w:rsidP="001D266C">
      <w:pPr>
        <w:pStyle w:val="NoSpacing"/>
        <w:jc w:val="both"/>
        <w:rPr>
          <w:rFonts w:ascii="Arial" w:hAnsi="Arial" w:cs="Arial"/>
          <w:b/>
          <w:sz w:val="20"/>
        </w:rPr>
      </w:pPr>
      <w:r w:rsidRPr="001D266C">
        <w:rPr>
          <w:rFonts w:ascii="Arial" w:hAnsi="Arial" w:cs="Arial"/>
          <w:b/>
          <w:sz w:val="20"/>
        </w:rPr>
        <w:t>4.1 Provitamin A Biofortification</w:t>
      </w:r>
    </w:p>
    <w:p w14:paraId="032D2A90" w14:textId="08619F61" w:rsidR="001D266C" w:rsidRPr="001D266C" w:rsidRDefault="001D266C" w:rsidP="001D266C">
      <w:pPr>
        <w:pStyle w:val="NoSpacing"/>
        <w:jc w:val="both"/>
        <w:rPr>
          <w:rFonts w:ascii="Arial" w:hAnsi="Arial" w:cs="Arial"/>
          <w:sz w:val="20"/>
        </w:rPr>
      </w:pPr>
      <w:r w:rsidRPr="001D266C">
        <w:rPr>
          <w:rFonts w:ascii="Arial" w:hAnsi="Arial" w:cs="Arial"/>
          <w:sz w:val="20"/>
        </w:rPr>
        <w:t>One of the most significant achievements in transgenic biofortification is the development of Golden Rice. Rice endosperm naturally lacks carotenoids; therefore, genes involved in the carotenoid biosynthetic pathway were introduced to enable β-carotene production. The insertion of phytoene synthase and carotene desaturase genes led to the accumulation of provitamin A in rice grains (Paine et al., 2005).</w:t>
      </w:r>
      <w:r>
        <w:rPr>
          <w:rFonts w:ascii="Arial" w:hAnsi="Arial" w:cs="Arial"/>
          <w:sz w:val="20"/>
        </w:rPr>
        <w:t xml:space="preserve"> </w:t>
      </w:r>
      <w:r w:rsidRPr="001D266C">
        <w:rPr>
          <w:rFonts w:ascii="Arial" w:hAnsi="Arial" w:cs="Arial"/>
          <w:sz w:val="20"/>
        </w:rPr>
        <w:t>Combinatorial genetic transformation strategies have also been applied in maize to enhance carotenoid levels. The introduction of bacterial carotenoid biosynthetic genes resulted in substantial increases in β-carotene concentration (Zhu et al., 2008). Similarly, enrichment of provitamin A content through genetic engineering has been demonstrated in wheat (Wang et al., 2014). These approaches highlight the potential of metabolic engineering in addressing vitamin A deficiency.</w:t>
      </w:r>
    </w:p>
    <w:p w14:paraId="76C695D9" w14:textId="19931C54" w:rsidR="001D266C" w:rsidRPr="001D266C" w:rsidRDefault="001D266C" w:rsidP="001D266C">
      <w:pPr>
        <w:pStyle w:val="NoSpacing"/>
        <w:jc w:val="both"/>
        <w:rPr>
          <w:rFonts w:ascii="Arial" w:hAnsi="Arial" w:cs="Arial"/>
          <w:sz w:val="20"/>
        </w:rPr>
      </w:pPr>
    </w:p>
    <w:p w14:paraId="3B6FA73C" w14:textId="77777777" w:rsidR="001D266C" w:rsidRPr="001D266C" w:rsidRDefault="001D266C" w:rsidP="001D266C">
      <w:pPr>
        <w:pStyle w:val="NoSpacing"/>
        <w:jc w:val="both"/>
        <w:rPr>
          <w:rFonts w:ascii="Arial" w:hAnsi="Arial" w:cs="Arial"/>
          <w:b/>
          <w:sz w:val="20"/>
        </w:rPr>
      </w:pPr>
      <w:r w:rsidRPr="001D266C">
        <w:rPr>
          <w:rFonts w:ascii="Arial" w:hAnsi="Arial" w:cs="Arial"/>
          <w:b/>
          <w:sz w:val="20"/>
        </w:rPr>
        <w:t>4.2 Iron and Zinc Biofortification</w:t>
      </w:r>
    </w:p>
    <w:p w14:paraId="71B38173" w14:textId="0D29D9BF" w:rsidR="001D266C" w:rsidRPr="001D266C" w:rsidRDefault="001D266C" w:rsidP="001D266C">
      <w:pPr>
        <w:pStyle w:val="NoSpacing"/>
        <w:jc w:val="both"/>
        <w:rPr>
          <w:rFonts w:ascii="Arial" w:hAnsi="Arial" w:cs="Arial"/>
          <w:sz w:val="20"/>
        </w:rPr>
      </w:pPr>
      <w:r w:rsidRPr="001D266C">
        <w:rPr>
          <w:rFonts w:ascii="Arial" w:hAnsi="Arial" w:cs="Arial"/>
          <w:sz w:val="20"/>
        </w:rPr>
        <w:t xml:space="preserve">Iron and zinc deficiencies are major global nutritional concerns. One strategy to enhance iron accumulation in rice grains involved the targeted and synergistic action of </w:t>
      </w:r>
      <w:proofErr w:type="spellStart"/>
      <w:r w:rsidRPr="001D266C">
        <w:rPr>
          <w:rFonts w:ascii="Arial" w:hAnsi="Arial" w:cs="Arial"/>
          <w:sz w:val="20"/>
        </w:rPr>
        <w:t>nicotianamine</w:t>
      </w:r>
      <w:proofErr w:type="spellEnd"/>
      <w:r w:rsidRPr="001D266C">
        <w:rPr>
          <w:rFonts w:ascii="Arial" w:hAnsi="Arial" w:cs="Arial"/>
          <w:sz w:val="20"/>
        </w:rPr>
        <w:t xml:space="preserve"> synthase and ferritin genes, resulting in improved iron content in the endosperm (Wirth et al., 2009). Reduction of anti-nutritional factors such as phytic acid can further enhance mineral bioavailability. Phytate forms insoluble complexes with iron and zinc, limiting their absorption. Lower phytate concentrations are associated with improved mineral uptake (Gibson et al., 2010). Transgenic expression of phytase in wheat endosperm significantly increased iron and zinc bioavailability in grains (Abid et al., 2017). These strategies demonstrate that both increasing mineral accumulation and improving mineral bioavailability are critical components of successful biofortification.</w:t>
      </w:r>
    </w:p>
    <w:p w14:paraId="0E7A1F34" w14:textId="5C45E0A5" w:rsidR="001D266C" w:rsidRPr="001D266C" w:rsidRDefault="001D266C" w:rsidP="001D266C">
      <w:pPr>
        <w:pStyle w:val="NoSpacing"/>
        <w:jc w:val="both"/>
        <w:rPr>
          <w:rFonts w:ascii="Arial" w:hAnsi="Arial" w:cs="Arial"/>
          <w:sz w:val="20"/>
        </w:rPr>
      </w:pPr>
    </w:p>
    <w:p w14:paraId="7E0BBC45" w14:textId="77777777" w:rsidR="001D266C" w:rsidRPr="008B7650" w:rsidRDefault="001D266C" w:rsidP="001D266C">
      <w:pPr>
        <w:pStyle w:val="NoSpacing"/>
        <w:jc w:val="both"/>
        <w:rPr>
          <w:rFonts w:ascii="Arial" w:hAnsi="Arial" w:cs="Arial"/>
          <w:b/>
          <w:sz w:val="20"/>
          <w:highlight w:val="yellow"/>
        </w:rPr>
      </w:pPr>
      <w:r w:rsidRPr="008B7650">
        <w:rPr>
          <w:rFonts w:ascii="Arial" w:hAnsi="Arial" w:cs="Arial"/>
          <w:b/>
          <w:sz w:val="20"/>
          <w:highlight w:val="yellow"/>
        </w:rPr>
        <w:t>4.3 Folate and Vitamin Enhancement</w:t>
      </w:r>
    </w:p>
    <w:p w14:paraId="63B3E463" w14:textId="358ECB86" w:rsidR="001D266C" w:rsidRPr="001D266C" w:rsidRDefault="001D266C" w:rsidP="001D266C">
      <w:pPr>
        <w:pStyle w:val="NoSpacing"/>
        <w:jc w:val="both"/>
        <w:rPr>
          <w:rFonts w:ascii="Arial" w:hAnsi="Arial" w:cs="Arial"/>
          <w:sz w:val="20"/>
        </w:rPr>
      </w:pPr>
      <w:r w:rsidRPr="008B7650">
        <w:rPr>
          <w:rFonts w:ascii="Arial" w:hAnsi="Arial" w:cs="Arial"/>
          <w:sz w:val="20"/>
          <w:highlight w:val="yellow"/>
        </w:rPr>
        <w:t>Metabolic engineering has also been employed to enhance folate levels in rice. The introduction of genes involved in folate biosynthesis resulted in significant folate enrichment in rice grains (</w:t>
      </w:r>
      <w:proofErr w:type="spellStart"/>
      <w:r w:rsidRPr="008B7650">
        <w:rPr>
          <w:rFonts w:ascii="Arial" w:hAnsi="Arial" w:cs="Arial"/>
          <w:sz w:val="20"/>
          <w:highlight w:val="yellow"/>
        </w:rPr>
        <w:t>Storozhenko</w:t>
      </w:r>
      <w:proofErr w:type="spellEnd"/>
      <w:r w:rsidRPr="008B7650">
        <w:rPr>
          <w:rFonts w:ascii="Arial" w:hAnsi="Arial" w:cs="Arial"/>
          <w:sz w:val="20"/>
          <w:highlight w:val="yellow"/>
        </w:rPr>
        <w:t xml:space="preserve"> et al., 2007). In addition, enhancement of vitamin E content through manipulation of the </w:t>
      </w:r>
      <w:proofErr w:type="spellStart"/>
      <w:r w:rsidRPr="008B7650">
        <w:rPr>
          <w:rFonts w:ascii="Arial" w:hAnsi="Arial" w:cs="Arial"/>
          <w:sz w:val="20"/>
          <w:highlight w:val="yellow"/>
        </w:rPr>
        <w:t>tocochromanol</w:t>
      </w:r>
      <w:proofErr w:type="spellEnd"/>
      <w:r w:rsidRPr="008B7650">
        <w:rPr>
          <w:rFonts w:ascii="Arial" w:hAnsi="Arial" w:cs="Arial"/>
          <w:sz w:val="20"/>
          <w:highlight w:val="yellow"/>
        </w:rPr>
        <w:t xml:space="preserve"> biosynthetic pathway has been reported. Functional characterization of </w:t>
      </w:r>
      <w:proofErr w:type="spellStart"/>
      <w:r w:rsidRPr="008B7650">
        <w:rPr>
          <w:rFonts w:ascii="Arial" w:hAnsi="Arial" w:cs="Arial"/>
          <w:sz w:val="20"/>
          <w:highlight w:val="yellow"/>
        </w:rPr>
        <w:t>homogentisate</w:t>
      </w:r>
      <w:proofErr w:type="spellEnd"/>
      <w:r w:rsidRPr="008B7650">
        <w:rPr>
          <w:rFonts w:ascii="Arial" w:hAnsi="Arial" w:cs="Arial"/>
          <w:sz w:val="20"/>
          <w:highlight w:val="yellow"/>
        </w:rPr>
        <w:t xml:space="preserve"> geranylgeranyl transferase in transgenic plants led to increased tocotrienol accumulation (Yang et al., 2011; Tanaka et al., 2015). Collectively, these advancements demonstrate that transgenic biofortification is a viable strategy for improving the nutritional quality of staple crops and addressing micronutrient deficiencies at the source.</w:t>
      </w:r>
    </w:p>
    <w:p w14:paraId="23D44CD2" w14:textId="49AA195E" w:rsidR="00EC0E7C" w:rsidRDefault="00EC0E7C" w:rsidP="00EC0E7C">
      <w:pPr>
        <w:spacing w:after="0" w:line="240" w:lineRule="auto"/>
        <w:jc w:val="both"/>
        <w:rPr>
          <w:rFonts w:ascii="Arial" w:hAnsi="Arial" w:cs="Arial"/>
          <w:sz w:val="20"/>
          <w:szCs w:val="20"/>
        </w:rPr>
      </w:pPr>
    </w:p>
    <w:p w14:paraId="7B804CE4" w14:textId="77777777" w:rsidR="001D266C" w:rsidRPr="001D266C" w:rsidRDefault="001D266C" w:rsidP="001D266C">
      <w:pPr>
        <w:pStyle w:val="NoSpacing"/>
        <w:ind w:firstLine="720"/>
        <w:jc w:val="both"/>
        <w:rPr>
          <w:rFonts w:ascii="Arial" w:hAnsi="Arial" w:cs="Arial"/>
          <w:b/>
          <w:sz w:val="20"/>
          <w:szCs w:val="20"/>
          <w:lang w:eastAsia="en-IN" w:bidi="ar-SA"/>
        </w:rPr>
      </w:pPr>
      <w:r w:rsidRPr="001D266C">
        <w:rPr>
          <w:rFonts w:ascii="Arial" w:hAnsi="Arial" w:cs="Arial"/>
          <w:b/>
          <w:sz w:val="24"/>
          <w:szCs w:val="20"/>
          <w:lang w:eastAsia="en-IN" w:bidi="ar-SA"/>
        </w:rPr>
        <w:t>5. Biofortification Utilizing Plant Breeding Strategies</w:t>
      </w:r>
    </w:p>
    <w:p w14:paraId="0412B666" w14:textId="77777777" w:rsidR="001D266C" w:rsidRPr="001D266C" w:rsidRDefault="001D266C" w:rsidP="001D266C">
      <w:pPr>
        <w:pStyle w:val="NoSpacing"/>
        <w:jc w:val="both"/>
        <w:rPr>
          <w:rFonts w:ascii="Arial" w:hAnsi="Arial" w:cs="Arial"/>
          <w:sz w:val="20"/>
          <w:szCs w:val="20"/>
          <w:lang w:eastAsia="en-IN" w:bidi="ar-SA"/>
        </w:rPr>
      </w:pPr>
      <w:r w:rsidRPr="001D266C">
        <w:rPr>
          <w:rFonts w:ascii="Arial" w:hAnsi="Arial" w:cs="Arial"/>
          <w:sz w:val="20"/>
          <w:szCs w:val="20"/>
          <w:lang w:eastAsia="en-IN" w:bidi="ar-SA"/>
        </w:rPr>
        <w:t>Biofortification is an effective and practical method for supplying essential micronutrients to malnourished populations globally. The process involves developing crops with increased concentrations of bioavailable micronutrients in their edible parts. This can be achieved through conventional breeding techniques or through modern biotechnological approaches (Garg et al., 2018).</w:t>
      </w:r>
    </w:p>
    <w:p w14:paraId="6B6EC64C" w14:textId="0B3A833A" w:rsidR="001D266C" w:rsidRPr="001D266C" w:rsidRDefault="001D266C" w:rsidP="001D266C">
      <w:pPr>
        <w:pStyle w:val="NoSpacing"/>
        <w:jc w:val="both"/>
        <w:rPr>
          <w:rFonts w:ascii="Arial" w:hAnsi="Arial" w:cs="Arial"/>
          <w:sz w:val="20"/>
          <w:szCs w:val="20"/>
          <w:lang w:eastAsia="en-IN" w:bidi="ar-SA"/>
        </w:rPr>
      </w:pPr>
      <w:r w:rsidRPr="001D266C">
        <w:rPr>
          <w:rFonts w:ascii="Arial" w:hAnsi="Arial" w:cs="Arial"/>
          <w:sz w:val="20"/>
          <w:szCs w:val="20"/>
          <w:lang w:eastAsia="en-IN" w:bidi="ar-SA"/>
        </w:rPr>
        <w:t xml:space="preserve">Conventional breeding strategies rely on the identification of micronutrient-rich germplasm and the subsequent hybridization of elite cultivars with donor lines possessing enhanced nutrient traits. Marker-assisted selection (MAS) is increasingly being utilized to improve the efficiency and precision of breeding programs (Collard and </w:t>
      </w:r>
      <w:proofErr w:type="spellStart"/>
      <w:r w:rsidRPr="001D266C">
        <w:rPr>
          <w:rFonts w:ascii="Arial" w:hAnsi="Arial" w:cs="Arial"/>
          <w:sz w:val="20"/>
          <w:szCs w:val="20"/>
          <w:lang w:eastAsia="en-IN" w:bidi="ar-SA"/>
        </w:rPr>
        <w:t>Mackill</w:t>
      </w:r>
      <w:proofErr w:type="spellEnd"/>
      <w:r w:rsidRPr="001D266C">
        <w:rPr>
          <w:rFonts w:ascii="Arial" w:hAnsi="Arial" w:cs="Arial"/>
          <w:sz w:val="20"/>
          <w:szCs w:val="20"/>
          <w:lang w:eastAsia="en-IN" w:bidi="ar-SA"/>
        </w:rPr>
        <w:t xml:space="preserve">, 2008; Moose and Mumm, 2008). The integration of molecular markers accelerates the </w:t>
      </w:r>
      <w:proofErr w:type="spellStart"/>
      <w:r w:rsidRPr="001D266C">
        <w:rPr>
          <w:rFonts w:ascii="Arial" w:hAnsi="Arial" w:cs="Arial"/>
          <w:sz w:val="20"/>
          <w:szCs w:val="20"/>
          <w:lang w:eastAsia="en-IN" w:bidi="ar-SA"/>
        </w:rPr>
        <w:t>introgression</w:t>
      </w:r>
      <w:proofErr w:type="spellEnd"/>
      <w:r w:rsidRPr="001D266C">
        <w:rPr>
          <w:rFonts w:ascii="Arial" w:hAnsi="Arial" w:cs="Arial"/>
          <w:sz w:val="20"/>
          <w:szCs w:val="20"/>
          <w:lang w:eastAsia="en-IN" w:bidi="ar-SA"/>
        </w:rPr>
        <w:t xml:space="preserve"> of desirable alleles and enhances selection accuracy, particularly for complex quantitative traits related to nutritional enhancement. Biofortification through breeding is considered economically feasible because once a nutrient-dense crop variety is developed, there are no recurring costs associated with </w:t>
      </w:r>
      <w:proofErr w:type="spellStart"/>
      <w:r w:rsidRPr="001D266C">
        <w:rPr>
          <w:rFonts w:ascii="Arial" w:hAnsi="Arial" w:cs="Arial"/>
          <w:sz w:val="20"/>
          <w:szCs w:val="20"/>
          <w:lang w:eastAsia="en-IN" w:bidi="ar-SA"/>
        </w:rPr>
        <w:t>fortificant</w:t>
      </w:r>
      <w:proofErr w:type="spellEnd"/>
      <w:r w:rsidRPr="001D266C">
        <w:rPr>
          <w:rFonts w:ascii="Arial" w:hAnsi="Arial" w:cs="Arial"/>
          <w:sz w:val="20"/>
          <w:szCs w:val="20"/>
          <w:lang w:eastAsia="en-IN" w:bidi="ar-SA"/>
        </w:rPr>
        <w:t xml:space="preserve"> addition during food processing. This makes it a sustainable and long-term strategy for addressing hidden hunger (Saltzman et al., 2013). Several breeding and biotechnology projects are currently being carried out in developing nations to enhance micronutrient content in staple crops (</w:t>
      </w:r>
      <w:proofErr w:type="spellStart"/>
      <w:r w:rsidRPr="001D266C">
        <w:rPr>
          <w:rFonts w:ascii="Arial" w:hAnsi="Arial" w:cs="Arial"/>
          <w:sz w:val="20"/>
          <w:szCs w:val="20"/>
          <w:lang w:eastAsia="en-IN" w:bidi="ar-SA"/>
        </w:rPr>
        <w:t>Nestel</w:t>
      </w:r>
      <w:proofErr w:type="spellEnd"/>
      <w:r w:rsidRPr="001D266C">
        <w:rPr>
          <w:rFonts w:ascii="Arial" w:hAnsi="Arial" w:cs="Arial"/>
          <w:sz w:val="20"/>
          <w:szCs w:val="20"/>
          <w:lang w:eastAsia="en-IN" w:bidi="ar-SA"/>
        </w:rPr>
        <w:t xml:space="preserve"> et al., 2006; Garg et al., 2018).</w:t>
      </w:r>
    </w:p>
    <w:p w14:paraId="6A8E9096" w14:textId="4996EDC6" w:rsidR="001D266C" w:rsidRDefault="001D266C" w:rsidP="001D266C">
      <w:pPr>
        <w:pStyle w:val="NoSpacing"/>
        <w:ind w:firstLine="720"/>
        <w:jc w:val="both"/>
        <w:rPr>
          <w:rFonts w:ascii="Arial" w:hAnsi="Arial" w:cs="Arial"/>
          <w:sz w:val="20"/>
          <w:szCs w:val="20"/>
          <w:lang w:eastAsia="en-IN" w:bidi="ar-SA"/>
        </w:rPr>
      </w:pPr>
      <w:r w:rsidRPr="001D266C">
        <w:rPr>
          <w:rFonts w:ascii="Arial" w:hAnsi="Arial" w:cs="Arial"/>
          <w:sz w:val="20"/>
          <w:szCs w:val="20"/>
          <w:lang w:eastAsia="en-IN" w:bidi="ar-SA"/>
        </w:rPr>
        <w:t>However, conventional breeding has certain limitations. These include limited genetic diversity for specific micronutrients within the crop gene pool, complex inheritance patterns, linkage drag, and poor trait stability across environments. In cases where sufficient natural variation is absent, transgenic approaches provide a more effective alternative for enriching staple crops with essential micronutrients. For example, the transgenic strategy used in Golden Rice involved the introduction of biosynthetic genes to enable β-carotene production in rice endosperm (Paine et al., 2005). Thus, while plant breeding remains a foundational strategy for crop biofortification, integration with molecular tools and genetic engineering enhances the potential to achieve sustainable nutritional security.</w:t>
      </w:r>
    </w:p>
    <w:p w14:paraId="4FECB6C7" w14:textId="472CD0F3" w:rsidR="001D266C" w:rsidRDefault="001D266C" w:rsidP="001D266C">
      <w:pPr>
        <w:pStyle w:val="NoSpacing"/>
        <w:jc w:val="both"/>
        <w:rPr>
          <w:rFonts w:ascii="Arial" w:hAnsi="Arial" w:cs="Arial"/>
          <w:sz w:val="20"/>
          <w:szCs w:val="20"/>
          <w:lang w:eastAsia="en-IN" w:bidi="ar-SA"/>
        </w:rPr>
      </w:pPr>
    </w:p>
    <w:p w14:paraId="56983193" w14:textId="77777777" w:rsidR="001D266C" w:rsidRPr="001D266C" w:rsidRDefault="001D266C" w:rsidP="001D266C">
      <w:pPr>
        <w:pStyle w:val="NoSpacing"/>
        <w:ind w:firstLine="720"/>
        <w:rPr>
          <w:rFonts w:ascii="Arial" w:hAnsi="Arial" w:cs="Arial"/>
          <w:b/>
          <w:sz w:val="24"/>
        </w:rPr>
      </w:pPr>
      <w:r w:rsidRPr="001D266C">
        <w:rPr>
          <w:rFonts w:ascii="Arial" w:hAnsi="Arial" w:cs="Arial"/>
          <w:b/>
          <w:sz w:val="24"/>
        </w:rPr>
        <w:t>6. Advanced Applications of Transgenic Technology</w:t>
      </w:r>
    </w:p>
    <w:p w14:paraId="27B2C279" w14:textId="367765EE" w:rsidR="001D266C" w:rsidRPr="000438DE" w:rsidRDefault="001D266C" w:rsidP="000438DE">
      <w:pPr>
        <w:pStyle w:val="NoSpacing"/>
        <w:jc w:val="both"/>
        <w:rPr>
          <w:rFonts w:ascii="Arial" w:hAnsi="Arial" w:cs="Arial"/>
          <w:sz w:val="20"/>
        </w:rPr>
      </w:pPr>
      <w:r w:rsidRPr="000438DE">
        <w:rPr>
          <w:rFonts w:ascii="Arial" w:hAnsi="Arial" w:cs="Arial"/>
          <w:sz w:val="20"/>
        </w:rPr>
        <w:t>Beyond agronomic improvement and nutritional enhancement, transgenic technology has expanded into diverse sectors including medicine, industrial biotechnology, and innovative crop management systems. The ability to introduce and express specific genes in plants has enabled the production of recombinant proteins, vaccines, biodegradable polymers, and improved grafting systems. These applications highlight the multifunctional potential of genetically engineered plants.</w:t>
      </w:r>
      <w:r w:rsidR="008B7650" w:rsidRPr="008B7650">
        <w:t xml:space="preserve"> </w:t>
      </w:r>
      <w:r w:rsidR="008B7650" w:rsidRPr="008B7650">
        <w:rPr>
          <w:rFonts w:ascii="Arial" w:hAnsi="Arial" w:cs="Arial"/>
          <w:sz w:val="20"/>
        </w:rPr>
        <w:t xml:space="preserve">Examples of </w:t>
      </w:r>
      <w:proofErr w:type="spellStart"/>
      <w:r w:rsidR="008B7650" w:rsidRPr="008B7650">
        <w:rPr>
          <w:rFonts w:ascii="Arial" w:hAnsi="Arial" w:cs="Arial"/>
          <w:sz w:val="20"/>
        </w:rPr>
        <w:t>cisgenic</w:t>
      </w:r>
      <w:proofErr w:type="spellEnd"/>
      <w:r w:rsidR="008B7650" w:rsidRPr="008B7650">
        <w:rPr>
          <w:rFonts w:ascii="Arial" w:hAnsi="Arial" w:cs="Arial"/>
          <w:sz w:val="20"/>
        </w:rPr>
        <w:t xml:space="preserve"> and intragenic crop developments and their enhanced traits are summarized in Table 2.</w:t>
      </w:r>
    </w:p>
    <w:p w14:paraId="0FDB6F48" w14:textId="65DE26E7" w:rsidR="001D266C" w:rsidRPr="000438DE" w:rsidRDefault="001D266C" w:rsidP="000438DE">
      <w:pPr>
        <w:pStyle w:val="NoSpacing"/>
        <w:jc w:val="both"/>
        <w:rPr>
          <w:rFonts w:ascii="Arial" w:hAnsi="Arial" w:cs="Arial"/>
          <w:sz w:val="20"/>
        </w:rPr>
      </w:pPr>
    </w:p>
    <w:p w14:paraId="7048D008" w14:textId="77777777" w:rsidR="001D266C" w:rsidRPr="000438DE" w:rsidRDefault="001D266C" w:rsidP="000438DE">
      <w:pPr>
        <w:pStyle w:val="NoSpacing"/>
        <w:jc w:val="both"/>
        <w:rPr>
          <w:rFonts w:ascii="Arial" w:hAnsi="Arial" w:cs="Arial"/>
          <w:b/>
          <w:sz w:val="20"/>
        </w:rPr>
      </w:pPr>
      <w:r w:rsidRPr="000438DE">
        <w:rPr>
          <w:rFonts w:ascii="Arial" w:hAnsi="Arial" w:cs="Arial"/>
          <w:b/>
          <w:sz w:val="20"/>
        </w:rPr>
        <w:t>6.1 Transgenic Techniques Towards the Development of Edible Vaccines in Plants</w:t>
      </w:r>
    </w:p>
    <w:p w14:paraId="3461A98F" w14:textId="77777777" w:rsidR="001D266C" w:rsidRPr="000438DE" w:rsidRDefault="001D266C" w:rsidP="000438DE">
      <w:pPr>
        <w:pStyle w:val="NoSpacing"/>
        <w:jc w:val="both"/>
        <w:rPr>
          <w:rFonts w:ascii="Arial" w:hAnsi="Arial" w:cs="Arial"/>
          <w:sz w:val="20"/>
        </w:rPr>
      </w:pPr>
      <w:r w:rsidRPr="000438DE">
        <w:rPr>
          <w:rFonts w:ascii="Arial" w:hAnsi="Arial" w:cs="Arial"/>
          <w:sz w:val="20"/>
        </w:rPr>
        <w:t>Edible vaccines have emerged as an alternative to conventional vaccination systems and were first conceptualized through the use of transgenic plants as platforms for antigen production. The production of antibodies in transgenic plants was initially demonstrated in 1989 (Hiatt et al., 1989), establishing plants as viable systems for recombinant protein expression.</w:t>
      </w:r>
    </w:p>
    <w:p w14:paraId="21B2A719" w14:textId="77777777" w:rsidR="001D266C" w:rsidRPr="000438DE" w:rsidRDefault="001D266C" w:rsidP="000438DE">
      <w:pPr>
        <w:pStyle w:val="NoSpacing"/>
        <w:ind w:firstLine="720"/>
        <w:jc w:val="both"/>
        <w:rPr>
          <w:rFonts w:ascii="Arial" w:hAnsi="Arial" w:cs="Arial"/>
          <w:sz w:val="20"/>
        </w:rPr>
      </w:pPr>
      <w:r w:rsidRPr="000438DE">
        <w:rPr>
          <w:rFonts w:ascii="Arial" w:hAnsi="Arial" w:cs="Arial"/>
          <w:sz w:val="20"/>
        </w:rPr>
        <w:t xml:space="preserve">Subsequently, transgenic plants were proposed as platforms for producing and delivering subunit vaccines (Walmsley and </w:t>
      </w:r>
      <w:proofErr w:type="spellStart"/>
      <w:r w:rsidRPr="000438DE">
        <w:rPr>
          <w:rFonts w:ascii="Arial" w:hAnsi="Arial" w:cs="Arial"/>
          <w:sz w:val="20"/>
        </w:rPr>
        <w:t>Arntzen</w:t>
      </w:r>
      <w:proofErr w:type="spellEnd"/>
      <w:r w:rsidRPr="000438DE">
        <w:rPr>
          <w:rFonts w:ascii="Arial" w:hAnsi="Arial" w:cs="Arial"/>
          <w:sz w:val="20"/>
        </w:rPr>
        <w:t>, 2000). Potato, tobacco, rice, and maize have been used as plant bioreactors for vaccine production. These plants express antigenic proteins that, when consumed, can stimulate immune responses. Plant-based vaccines offer advantages such as cost-effectiveness, ease of production, and reduced need for cold-chain storage (Penney et al., 2011; Guan et al., 2013).</w:t>
      </w:r>
    </w:p>
    <w:p w14:paraId="5DC11CE2" w14:textId="416A3512" w:rsidR="001D266C" w:rsidRDefault="001D266C" w:rsidP="000438DE">
      <w:pPr>
        <w:pStyle w:val="NoSpacing"/>
        <w:jc w:val="both"/>
        <w:rPr>
          <w:rFonts w:ascii="Arial" w:hAnsi="Arial" w:cs="Arial"/>
          <w:sz w:val="20"/>
        </w:rPr>
      </w:pPr>
      <w:r w:rsidRPr="000438DE">
        <w:rPr>
          <w:rFonts w:ascii="Arial" w:hAnsi="Arial" w:cs="Arial"/>
          <w:sz w:val="20"/>
        </w:rPr>
        <w:t xml:space="preserve">Two major transformation approaches are commonly used for recombinant protein production in plants: </w:t>
      </w:r>
      <w:r w:rsidRPr="000438DE">
        <w:rPr>
          <w:rStyle w:val="Emphasis"/>
          <w:rFonts w:ascii="Arial" w:hAnsi="Arial" w:cs="Arial"/>
          <w:sz w:val="20"/>
        </w:rPr>
        <w:t>Agrobacterium</w:t>
      </w:r>
      <w:r w:rsidRPr="000438DE">
        <w:rPr>
          <w:rFonts w:ascii="Arial" w:hAnsi="Arial" w:cs="Arial"/>
          <w:sz w:val="20"/>
        </w:rPr>
        <w:t xml:space="preserve">-mediated transformation and particle bombardment (Hiatt et al., 1989). These systems enable stable gene integration and expression of vaccine antigens in host plants. The development of plant-derived vaccines and recombinant antibodies demonstrates the potential of transgenic plants as </w:t>
      </w:r>
      <w:proofErr w:type="spellStart"/>
      <w:r w:rsidRPr="000438DE">
        <w:rPr>
          <w:rFonts w:ascii="Arial" w:hAnsi="Arial" w:cs="Arial"/>
          <w:sz w:val="20"/>
        </w:rPr>
        <w:t>biofactories</w:t>
      </w:r>
      <w:proofErr w:type="spellEnd"/>
      <w:r w:rsidRPr="000438DE">
        <w:rPr>
          <w:rFonts w:ascii="Arial" w:hAnsi="Arial" w:cs="Arial"/>
          <w:sz w:val="20"/>
        </w:rPr>
        <w:t xml:space="preserve"> for pharmaceutical applications (Twyman et al., 2005).</w:t>
      </w:r>
      <w:r w:rsidR="00C87C0B" w:rsidRPr="00C87C0B">
        <w:t xml:space="preserve"> </w:t>
      </w:r>
      <w:r w:rsidR="00C87C0B" w:rsidRPr="00C87C0B">
        <w:rPr>
          <w:rFonts w:ascii="Arial" w:hAnsi="Arial" w:cs="Arial"/>
          <w:sz w:val="20"/>
        </w:rPr>
        <w:t>The process of edible vaccine production in transgenic plants is illustrated in Fig. 4.</w:t>
      </w:r>
    </w:p>
    <w:p w14:paraId="2282D5B2" w14:textId="77777777" w:rsidR="00C87C0B" w:rsidRDefault="00C87C0B" w:rsidP="000438DE">
      <w:pPr>
        <w:pStyle w:val="NoSpacing"/>
        <w:jc w:val="both"/>
        <w:rPr>
          <w:rFonts w:ascii="Arial" w:hAnsi="Arial" w:cs="Arial"/>
          <w:sz w:val="20"/>
        </w:rPr>
      </w:pPr>
    </w:p>
    <w:p w14:paraId="1B001E09" w14:textId="7438CD00" w:rsidR="00C87C0B" w:rsidRPr="00C87C0B" w:rsidRDefault="00C87C0B" w:rsidP="000438DE">
      <w:pPr>
        <w:pStyle w:val="NoSpacing"/>
        <w:jc w:val="both"/>
        <w:rPr>
          <w:rFonts w:ascii="Arial" w:hAnsi="Arial" w:cs="Arial"/>
          <w:sz w:val="20"/>
          <w:highlight w:val="yellow"/>
        </w:rPr>
      </w:pPr>
      <w:r w:rsidRPr="00C87C0B">
        <w:rPr>
          <w:rFonts w:ascii="Arial" w:hAnsi="Arial" w:cs="Arial"/>
          <w:noProof/>
          <w:sz w:val="20"/>
          <w:szCs w:val="20"/>
          <w:highlight w:val="yellow"/>
        </w:rPr>
        <w:drawing>
          <wp:inline distT="0" distB="0" distL="0" distR="0" wp14:anchorId="1B4F947D" wp14:editId="57004BD6">
            <wp:extent cx="5626100" cy="3531870"/>
            <wp:effectExtent l="19050" t="19050" r="12700" b="11430"/>
            <wp:docPr id="164335932" name="Picture 5" descr="A diagram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5932" name="Picture 5" descr="A diagram of a plant"/>
                    <pic:cNvPicPr/>
                  </pic:nvPicPr>
                  <pic:blipFill rotWithShape="1">
                    <a:blip r:embed="rId12">
                      <a:extLst>
                        <a:ext uri="{28A0092B-C50C-407E-A947-70E740481C1C}">
                          <a14:useLocalDpi xmlns:a14="http://schemas.microsoft.com/office/drawing/2010/main" val="0"/>
                        </a:ext>
                      </a:extLst>
                    </a:blip>
                    <a:srcRect l="3856" t="3039" r="1086" b="8832"/>
                    <a:stretch/>
                  </pic:blipFill>
                  <pic:spPr bwMode="auto">
                    <a:xfrm>
                      <a:off x="0" y="0"/>
                      <a:ext cx="5626100" cy="353187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421D63EC" w14:textId="54AAC5BE" w:rsidR="00C87C0B" w:rsidRPr="00C87C0B" w:rsidRDefault="00C87C0B" w:rsidP="00C87C0B">
      <w:pPr>
        <w:pStyle w:val="NoSpacing"/>
        <w:jc w:val="center"/>
        <w:rPr>
          <w:rFonts w:ascii="Arial" w:hAnsi="Arial" w:cs="Arial"/>
          <w:b/>
          <w:sz w:val="20"/>
        </w:rPr>
      </w:pPr>
      <w:r w:rsidRPr="00C87C0B">
        <w:rPr>
          <w:rFonts w:ascii="Arial" w:hAnsi="Arial" w:cs="Arial"/>
          <w:b/>
          <w:sz w:val="20"/>
          <w:highlight w:val="yellow"/>
        </w:rPr>
        <w:t>Fig. 4. Production of edible vaccines in transgenic plants through gene transfer, genomic integration, antigen expression and direct oral delivery</w:t>
      </w:r>
    </w:p>
    <w:p w14:paraId="547DE9C9" w14:textId="16874FE0" w:rsidR="001D266C" w:rsidRPr="000438DE" w:rsidRDefault="001D266C" w:rsidP="000438DE">
      <w:pPr>
        <w:pStyle w:val="NoSpacing"/>
        <w:jc w:val="both"/>
        <w:rPr>
          <w:rFonts w:ascii="Arial" w:hAnsi="Arial" w:cs="Arial"/>
          <w:sz w:val="20"/>
        </w:rPr>
      </w:pPr>
    </w:p>
    <w:p w14:paraId="7D7E9C22" w14:textId="77777777" w:rsidR="001D266C" w:rsidRPr="000438DE" w:rsidRDefault="001D266C" w:rsidP="000438DE">
      <w:pPr>
        <w:pStyle w:val="NoSpacing"/>
        <w:jc w:val="both"/>
        <w:rPr>
          <w:rFonts w:ascii="Arial" w:hAnsi="Arial" w:cs="Arial"/>
          <w:b/>
          <w:sz w:val="20"/>
        </w:rPr>
      </w:pPr>
      <w:r w:rsidRPr="000438DE">
        <w:rPr>
          <w:rFonts w:ascii="Arial" w:hAnsi="Arial" w:cs="Arial"/>
          <w:b/>
          <w:sz w:val="20"/>
        </w:rPr>
        <w:t>6.2 Transgenic Approaches in the Production of Biodegradable Plastics</w:t>
      </w:r>
    </w:p>
    <w:p w14:paraId="5575DC2E" w14:textId="2ACF2385" w:rsidR="001D266C" w:rsidRPr="000438DE" w:rsidRDefault="001D266C" w:rsidP="000438DE">
      <w:pPr>
        <w:pStyle w:val="NoSpacing"/>
        <w:jc w:val="both"/>
        <w:rPr>
          <w:rFonts w:ascii="Arial" w:hAnsi="Arial" w:cs="Arial"/>
          <w:sz w:val="20"/>
        </w:rPr>
      </w:pPr>
      <w:r w:rsidRPr="000438DE">
        <w:rPr>
          <w:rFonts w:ascii="Arial" w:hAnsi="Arial" w:cs="Arial"/>
          <w:sz w:val="20"/>
        </w:rPr>
        <w:t xml:space="preserve">Plants naturally synthesize polymers such as cellulose and starch; however, metabolic engineering has enabled the production of novel biodegradable polymers in transgenic plants. </w:t>
      </w:r>
      <w:proofErr w:type="spellStart"/>
      <w:r w:rsidRPr="000438DE">
        <w:rPr>
          <w:rFonts w:ascii="Arial" w:hAnsi="Arial" w:cs="Arial"/>
          <w:sz w:val="20"/>
        </w:rPr>
        <w:t>Polyhydroxyalkanoates</w:t>
      </w:r>
      <w:proofErr w:type="spellEnd"/>
      <w:r w:rsidRPr="000438DE">
        <w:rPr>
          <w:rFonts w:ascii="Arial" w:hAnsi="Arial" w:cs="Arial"/>
          <w:sz w:val="20"/>
        </w:rPr>
        <w:t xml:space="preserve"> (PHAs), including </w:t>
      </w:r>
      <w:proofErr w:type="spellStart"/>
      <w:r w:rsidRPr="000438DE">
        <w:rPr>
          <w:rFonts w:ascii="Arial" w:hAnsi="Arial" w:cs="Arial"/>
          <w:sz w:val="20"/>
        </w:rPr>
        <w:t>polyhydroxybutyrate</w:t>
      </w:r>
      <w:proofErr w:type="spellEnd"/>
      <w:r w:rsidRPr="000438DE">
        <w:rPr>
          <w:rFonts w:ascii="Arial" w:hAnsi="Arial" w:cs="Arial"/>
          <w:sz w:val="20"/>
        </w:rPr>
        <w:t xml:space="preserve"> (PHB) and </w:t>
      </w:r>
      <w:proofErr w:type="spellStart"/>
      <w:r w:rsidRPr="000438DE">
        <w:rPr>
          <w:rFonts w:ascii="Arial" w:hAnsi="Arial" w:cs="Arial"/>
          <w:sz w:val="20"/>
        </w:rPr>
        <w:t>polyhydroxyvalerate</w:t>
      </w:r>
      <w:proofErr w:type="spellEnd"/>
      <w:r w:rsidRPr="000438DE">
        <w:rPr>
          <w:rFonts w:ascii="Arial" w:hAnsi="Arial" w:cs="Arial"/>
          <w:sz w:val="20"/>
        </w:rPr>
        <w:t xml:space="preserve"> (PHV), have been produced in genetically engineered plants (Poirier, 2001). The incorporation of bacterial genes involved in PHA biosynthesis into plant metabolic pathways has facilitated the synthesis of biodegradable plastics in crops such as cotton, maize, and </w:t>
      </w:r>
      <w:r w:rsidRPr="000438DE">
        <w:rPr>
          <w:rStyle w:val="Emphasis"/>
          <w:rFonts w:ascii="Arial" w:hAnsi="Arial" w:cs="Arial"/>
          <w:sz w:val="20"/>
        </w:rPr>
        <w:t>Brassica</w:t>
      </w:r>
      <w:r w:rsidRPr="000438DE">
        <w:rPr>
          <w:rFonts w:ascii="Arial" w:hAnsi="Arial" w:cs="Arial"/>
          <w:sz w:val="20"/>
        </w:rPr>
        <w:t xml:space="preserve">. This innovation reduces dependence on fossil fuel–based plastics and contributes to environmentally sustainable industrial production systems. Additionally, </w:t>
      </w:r>
      <w:r w:rsidRPr="000438DE">
        <w:rPr>
          <w:rFonts w:ascii="Arial" w:hAnsi="Arial" w:cs="Arial"/>
          <w:sz w:val="20"/>
        </w:rPr>
        <w:lastRenderedPageBreak/>
        <w:t>transgenic plants have been explored for the enhancement of seed oil quality for human nutrition and industrial applications (</w:t>
      </w:r>
      <w:proofErr w:type="spellStart"/>
      <w:r w:rsidRPr="000438DE">
        <w:rPr>
          <w:rFonts w:ascii="Arial" w:hAnsi="Arial" w:cs="Arial"/>
          <w:sz w:val="20"/>
        </w:rPr>
        <w:t>Damude</w:t>
      </w:r>
      <w:proofErr w:type="spellEnd"/>
      <w:r w:rsidRPr="000438DE">
        <w:rPr>
          <w:rFonts w:ascii="Arial" w:hAnsi="Arial" w:cs="Arial"/>
          <w:sz w:val="20"/>
        </w:rPr>
        <w:t xml:space="preserve"> and Kinney, 2008; Dyer et al., 2008). These advancements demonstrate the versatility of metabolic engineering in expanding the utility of crop plants beyond food production.</w:t>
      </w:r>
    </w:p>
    <w:p w14:paraId="258CA395" w14:textId="1B1A81B4" w:rsidR="001D266C" w:rsidRPr="000438DE" w:rsidRDefault="001D266C" w:rsidP="000438DE">
      <w:pPr>
        <w:pStyle w:val="NoSpacing"/>
        <w:jc w:val="both"/>
        <w:rPr>
          <w:rFonts w:ascii="Arial" w:hAnsi="Arial" w:cs="Arial"/>
          <w:sz w:val="20"/>
        </w:rPr>
      </w:pPr>
    </w:p>
    <w:p w14:paraId="1F6C60ED" w14:textId="77777777" w:rsidR="001D266C" w:rsidRPr="000438DE" w:rsidRDefault="001D266C" w:rsidP="000438DE">
      <w:pPr>
        <w:pStyle w:val="NoSpacing"/>
        <w:jc w:val="both"/>
        <w:rPr>
          <w:rFonts w:ascii="Arial" w:hAnsi="Arial" w:cs="Arial"/>
          <w:b/>
          <w:sz w:val="20"/>
        </w:rPr>
      </w:pPr>
      <w:r w:rsidRPr="000438DE">
        <w:rPr>
          <w:rFonts w:ascii="Arial" w:hAnsi="Arial" w:cs="Arial"/>
          <w:b/>
          <w:sz w:val="20"/>
        </w:rPr>
        <w:t>6.3 Novel Approach in Production of Plant Grafts Using Transgenics (Trans-Grafting)</w:t>
      </w:r>
    </w:p>
    <w:p w14:paraId="487C097F" w14:textId="3C6D215A" w:rsidR="001D266C" w:rsidRDefault="001D266C" w:rsidP="000438DE">
      <w:pPr>
        <w:pStyle w:val="NoSpacing"/>
        <w:jc w:val="both"/>
        <w:rPr>
          <w:rFonts w:ascii="Arial" w:hAnsi="Arial" w:cs="Arial"/>
          <w:sz w:val="20"/>
        </w:rPr>
      </w:pPr>
      <w:r w:rsidRPr="000438DE">
        <w:rPr>
          <w:rFonts w:ascii="Arial" w:hAnsi="Arial" w:cs="Arial"/>
          <w:sz w:val="20"/>
        </w:rPr>
        <w:t xml:space="preserve">Grafting is widely used in fruit tree propagation to combine desirable rootstock and scion traits. Trans-grafting refers to the grafting of a non-transgenic scion onto a transgenic rootstock. During this process, signalling molecules, RNA, and proteins can move through the vascular system, conferring beneficial traits from the rootstock to the scion while maintaining the genetic identity of the edible portion (Albacete et al., 2015; </w:t>
      </w:r>
      <w:proofErr w:type="spellStart"/>
      <w:r w:rsidRPr="000438DE">
        <w:rPr>
          <w:rFonts w:ascii="Arial" w:hAnsi="Arial" w:cs="Arial"/>
          <w:sz w:val="20"/>
        </w:rPr>
        <w:t>Rugini</w:t>
      </w:r>
      <w:proofErr w:type="spellEnd"/>
      <w:r w:rsidRPr="000438DE">
        <w:rPr>
          <w:rFonts w:ascii="Arial" w:hAnsi="Arial" w:cs="Arial"/>
          <w:sz w:val="20"/>
        </w:rPr>
        <w:t xml:space="preserve"> et al., 2020).</w:t>
      </w:r>
      <w:r w:rsidR="000438DE">
        <w:rPr>
          <w:rFonts w:ascii="Arial" w:hAnsi="Arial" w:cs="Arial"/>
          <w:sz w:val="20"/>
        </w:rPr>
        <w:t xml:space="preserve"> </w:t>
      </w:r>
      <w:r w:rsidRPr="000438DE">
        <w:rPr>
          <w:rFonts w:ascii="Arial" w:hAnsi="Arial" w:cs="Arial"/>
          <w:sz w:val="20"/>
        </w:rPr>
        <w:t xml:space="preserve">In apple, expression of the </w:t>
      </w:r>
      <w:proofErr w:type="spellStart"/>
      <w:r w:rsidRPr="000438DE">
        <w:rPr>
          <w:rStyle w:val="Emphasis"/>
          <w:rFonts w:ascii="Arial" w:hAnsi="Arial" w:cs="Arial"/>
          <w:sz w:val="20"/>
        </w:rPr>
        <w:t>rolB</w:t>
      </w:r>
      <w:proofErr w:type="spellEnd"/>
      <w:r w:rsidRPr="000438DE">
        <w:rPr>
          <w:rFonts w:ascii="Arial" w:hAnsi="Arial" w:cs="Arial"/>
          <w:sz w:val="20"/>
        </w:rPr>
        <w:t xml:space="preserve"> gene in transgenic rootstocks resulted in dwarfing of non-transgenic scions (</w:t>
      </w:r>
      <w:proofErr w:type="spellStart"/>
      <w:r w:rsidRPr="000438DE">
        <w:rPr>
          <w:rFonts w:ascii="Arial" w:hAnsi="Arial" w:cs="Arial"/>
          <w:sz w:val="20"/>
        </w:rPr>
        <w:t>Smolka</w:t>
      </w:r>
      <w:proofErr w:type="spellEnd"/>
      <w:r w:rsidRPr="000438DE">
        <w:rPr>
          <w:rFonts w:ascii="Arial" w:hAnsi="Arial" w:cs="Arial"/>
          <w:sz w:val="20"/>
        </w:rPr>
        <w:t xml:space="preserve"> et al., 2010). Similarly, transgenic grapevine rootstocks expressing antibacterial peptides provided protection against Pierce’s disease, significantly reducing pathogen-induced mortality (Dandekar et al., 2019). Trans-grafting offers a strategy to deliver disease resistance and stress tolerance while addressing concerns related to transgene presence in harvested products.</w:t>
      </w:r>
      <w:r w:rsidR="003F677D" w:rsidRPr="003F677D">
        <w:t xml:space="preserve"> </w:t>
      </w:r>
      <w:r w:rsidR="003F677D" w:rsidRPr="003F677D">
        <w:rPr>
          <w:rFonts w:ascii="Arial" w:hAnsi="Arial" w:cs="Arial"/>
          <w:sz w:val="20"/>
        </w:rPr>
        <w:t>The concept of trans-grafting and the movement of signalling molecules across the graft union are illustrated in Fig. 5.</w:t>
      </w:r>
    </w:p>
    <w:p w14:paraId="57095638" w14:textId="77777777" w:rsidR="00C87C0B" w:rsidRDefault="00C87C0B" w:rsidP="000438DE">
      <w:pPr>
        <w:pStyle w:val="NoSpacing"/>
        <w:jc w:val="both"/>
        <w:rPr>
          <w:rFonts w:ascii="Arial" w:hAnsi="Arial" w:cs="Arial"/>
          <w:sz w:val="20"/>
        </w:rPr>
      </w:pPr>
    </w:p>
    <w:p w14:paraId="39E6E2E5" w14:textId="1C3D7A9D" w:rsidR="000438DE" w:rsidRPr="003F677D" w:rsidRDefault="00C87C0B" w:rsidP="00C87C0B">
      <w:pPr>
        <w:pStyle w:val="NoSpacing"/>
        <w:jc w:val="center"/>
        <w:rPr>
          <w:rFonts w:ascii="Arial" w:hAnsi="Arial" w:cs="Arial"/>
          <w:b/>
          <w:sz w:val="20"/>
          <w:highlight w:val="yellow"/>
        </w:rPr>
      </w:pPr>
      <w:r w:rsidRPr="003F677D">
        <w:rPr>
          <w:rFonts w:ascii="Arial" w:hAnsi="Arial" w:cs="Arial"/>
          <w:noProof/>
          <w:sz w:val="20"/>
          <w:szCs w:val="20"/>
          <w:highlight w:val="yellow"/>
        </w:rPr>
        <w:drawing>
          <wp:inline distT="0" distB="0" distL="0" distR="0" wp14:anchorId="6517BC36" wp14:editId="5A9C567B">
            <wp:extent cx="5113020" cy="2331720"/>
            <wp:effectExtent l="19050" t="19050" r="11430" b="11430"/>
            <wp:docPr id="136449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9501" name="Picture 136449501"/>
                    <pic:cNvPicPr/>
                  </pic:nvPicPr>
                  <pic:blipFill rotWithShape="1">
                    <a:blip r:embed="rId13">
                      <a:extLst>
                        <a:ext uri="{28A0092B-C50C-407E-A947-70E740481C1C}">
                          <a14:useLocalDpi xmlns:a14="http://schemas.microsoft.com/office/drawing/2010/main" val="0"/>
                        </a:ext>
                      </a:extLst>
                    </a:blip>
                    <a:srcRect l="7313" t="12898" r="3479" b="28199"/>
                    <a:stretch/>
                  </pic:blipFill>
                  <pic:spPr bwMode="auto">
                    <a:xfrm>
                      <a:off x="0" y="0"/>
                      <a:ext cx="5113020" cy="233172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4E2080DA" w14:textId="15AAA105" w:rsidR="003F677D" w:rsidRDefault="003F677D" w:rsidP="00C87C0B">
      <w:pPr>
        <w:pStyle w:val="NoSpacing"/>
        <w:jc w:val="center"/>
        <w:rPr>
          <w:rFonts w:ascii="Arial" w:hAnsi="Arial" w:cs="Arial"/>
          <w:b/>
          <w:sz w:val="20"/>
          <w:highlight w:val="yellow"/>
        </w:rPr>
      </w:pPr>
      <w:r w:rsidRPr="003F677D">
        <w:rPr>
          <w:rFonts w:ascii="Arial" w:hAnsi="Arial" w:cs="Arial"/>
          <w:b/>
          <w:sz w:val="20"/>
          <w:highlight w:val="yellow"/>
        </w:rPr>
        <w:t>Fig. 5. trans-grafting and the movement of signalling molecules across the graft union</w:t>
      </w:r>
    </w:p>
    <w:p w14:paraId="4DEFEC2C" w14:textId="08442609" w:rsidR="008B7650" w:rsidRDefault="008B7650" w:rsidP="00C87C0B">
      <w:pPr>
        <w:pStyle w:val="NoSpacing"/>
        <w:jc w:val="center"/>
        <w:rPr>
          <w:rFonts w:ascii="Arial" w:hAnsi="Arial" w:cs="Arial"/>
          <w:b/>
          <w:sz w:val="20"/>
        </w:rPr>
      </w:pPr>
    </w:p>
    <w:p w14:paraId="2C0349EA" w14:textId="77777777" w:rsidR="008B7650" w:rsidRPr="000912F0" w:rsidRDefault="008B7650" w:rsidP="008B7650">
      <w:pPr>
        <w:pStyle w:val="NoSpacing"/>
        <w:jc w:val="center"/>
        <w:rPr>
          <w:rFonts w:ascii="Arial" w:hAnsi="Arial" w:cs="Arial"/>
          <w:b/>
          <w:sz w:val="20"/>
          <w:szCs w:val="20"/>
        </w:rPr>
      </w:pPr>
      <w:r w:rsidRPr="000912F0">
        <w:rPr>
          <w:rFonts w:ascii="Arial" w:hAnsi="Arial" w:cs="Arial"/>
          <w:b/>
          <w:sz w:val="20"/>
          <w:szCs w:val="20"/>
        </w:rPr>
        <w:t>Table 2:</w:t>
      </w:r>
      <w:r w:rsidRPr="008B7650">
        <w:t xml:space="preserve"> </w:t>
      </w:r>
      <w:proofErr w:type="spellStart"/>
      <w:r w:rsidRPr="008B7650">
        <w:rPr>
          <w:rFonts w:ascii="Arial" w:hAnsi="Arial" w:cs="Arial"/>
          <w:b/>
          <w:sz w:val="20"/>
          <w:szCs w:val="20"/>
        </w:rPr>
        <w:t>Cisgenic</w:t>
      </w:r>
      <w:proofErr w:type="spellEnd"/>
      <w:r w:rsidRPr="008B7650">
        <w:rPr>
          <w:rFonts w:ascii="Arial" w:hAnsi="Arial" w:cs="Arial"/>
          <w:b/>
          <w:sz w:val="20"/>
          <w:szCs w:val="20"/>
        </w:rPr>
        <w:t xml:space="preserve"> and intragenic crop developments, genes involved, and enhanced traits.</w:t>
      </w:r>
    </w:p>
    <w:tbl>
      <w:tblPr>
        <w:tblStyle w:val="TableGrid"/>
        <w:tblW w:w="9284" w:type="dxa"/>
        <w:tblLook w:val="04A0" w:firstRow="1" w:lastRow="0" w:firstColumn="1" w:lastColumn="0" w:noHBand="0" w:noVBand="1"/>
      </w:tblPr>
      <w:tblGrid>
        <w:gridCol w:w="1232"/>
        <w:gridCol w:w="1735"/>
        <w:gridCol w:w="2698"/>
        <w:gridCol w:w="2268"/>
        <w:gridCol w:w="1351"/>
      </w:tblGrid>
      <w:tr w:rsidR="008B7650" w:rsidRPr="000912F0" w14:paraId="72A3EB42" w14:textId="77777777" w:rsidTr="008B7650">
        <w:trPr>
          <w:trHeight w:val="383"/>
        </w:trPr>
        <w:tc>
          <w:tcPr>
            <w:tcW w:w="0" w:type="auto"/>
            <w:vAlign w:val="center"/>
          </w:tcPr>
          <w:p w14:paraId="08F61E96" w14:textId="77777777" w:rsidR="008B7650" w:rsidRPr="000912F0" w:rsidRDefault="008B7650" w:rsidP="00481A41">
            <w:pPr>
              <w:pStyle w:val="NoSpacing"/>
              <w:jc w:val="center"/>
              <w:rPr>
                <w:rFonts w:ascii="Arial" w:hAnsi="Arial" w:cs="Arial"/>
                <w:b/>
                <w:sz w:val="20"/>
                <w:szCs w:val="20"/>
              </w:rPr>
            </w:pPr>
            <w:r w:rsidRPr="000912F0">
              <w:rPr>
                <w:rFonts w:ascii="Arial" w:hAnsi="Arial" w:cs="Arial"/>
                <w:b/>
                <w:sz w:val="20"/>
                <w:szCs w:val="20"/>
              </w:rPr>
              <w:t>crop</w:t>
            </w:r>
          </w:p>
        </w:tc>
        <w:tc>
          <w:tcPr>
            <w:tcW w:w="0" w:type="auto"/>
            <w:vAlign w:val="center"/>
          </w:tcPr>
          <w:p w14:paraId="65002713" w14:textId="77777777" w:rsidR="008B7650" w:rsidRPr="000912F0" w:rsidRDefault="008B7650" w:rsidP="00481A41">
            <w:pPr>
              <w:pStyle w:val="NoSpacing"/>
              <w:jc w:val="center"/>
              <w:rPr>
                <w:rFonts w:ascii="Arial" w:hAnsi="Arial" w:cs="Arial"/>
                <w:b/>
                <w:sz w:val="20"/>
                <w:szCs w:val="20"/>
              </w:rPr>
            </w:pPr>
            <w:r w:rsidRPr="000912F0">
              <w:rPr>
                <w:rFonts w:ascii="Arial" w:hAnsi="Arial" w:cs="Arial"/>
                <w:b/>
                <w:sz w:val="20"/>
                <w:szCs w:val="20"/>
              </w:rPr>
              <w:t>Technique utilised</w:t>
            </w:r>
          </w:p>
        </w:tc>
        <w:tc>
          <w:tcPr>
            <w:tcW w:w="2698" w:type="dxa"/>
            <w:vAlign w:val="center"/>
          </w:tcPr>
          <w:p w14:paraId="51E7E1C9" w14:textId="77777777" w:rsidR="008B7650" w:rsidRPr="000912F0" w:rsidRDefault="008B7650" w:rsidP="00481A41">
            <w:pPr>
              <w:pStyle w:val="NoSpacing"/>
              <w:jc w:val="center"/>
              <w:rPr>
                <w:rFonts w:ascii="Arial" w:hAnsi="Arial" w:cs="Arial"/>
                <w:b/>
                <w:sz w:val="20"/>
                <w:szCs w:val="20"/>
              </w:rPr>
            </w:pPr>
            <w:r w:rsidRPr="000912F0">
              <w:rPr>
                <w:rFonts w:ascii="Arial" w:hAnsi="Arial" w:cs="Arial"/>
                <w:b/>
                <w:sz w:val="20"/>
                <w:szCs w:val="20"/>
              </w:rPr>
              <w:t>Gene involved</w:t>
            </w:r>
          </w:p>
        </w:tc>
        <w:tc>
          <w:tcPr>
            <w:tcW w:w="2268" w:type="dxa"/>
            <w:vAlign w:val="center"/>
          </w:tcPr>
          <w:p w14:paraId="47CDCCB6" w14:textId="77777777" w:rsidR="008B7650" w:rsidRPr="000912F0" w:rsidRDefault="008B7650" w:rsidP="00481A41">
            <w:pPr>
              <w:pStyle w:val="NoSpacing"/>
              <w:jc w:val="center"/>
              <w:rPr>
                <w:rFonts w:ascii="Arial" w:hAnsi="Arial" w:cs="Arial"/>
                <w:b/>
                <w:sz w:val="20"/>
                <w:szCs w:val="20"/>
              </w:rPr>
            </w:pPr>
            <w:r w:rsidRPr="000912F0">
              <w:rPr>
                <w:rFonts w:ascii="Arial" w:hAnsi="Arial" w:cs="Arial"/>
                <w:b/>
                <w:sz w:val="20"/>
                <w:szCs w:val="20"/>
              </w:rPr>
              <w:t>Trait enhanced</w:t>
            </w:r>
          </w:p>
        </w:tc>
        <w:tc>
          <w:tcPr>
            <w:tcW w:w="1351" w:type="dxa"/>
            <w:vAlign w:val="center"/>
          </w:tcPr>
          <w:p w14:paraId="3D334326" w14:textId="77777777" w:rsidR="008B7650" w:rsidRPr="000912F0" w:rsidRDefault="008B7650" w:rsidP="00481A41">
            <w:pPr>
              <w:pStyle w:val="NoSpacing"/>
              <w:jc w:val="center"/>
              <w:rPr>
                <w:rFonts w:ascii="Arial" w:hAnsi="Arial" w:cs="Arial"/>
                <w:b/>
                <w:sz w:val="20"/>
                <w:szCs w:val="20"/>
              </w:rPr>
            </w:pPr>
            <w:r w:rsidRPr="000912F0">
              <w:rPr>
                <w:rFonts w:ascii="Arial" w:hAnsi="Arial" w:cs="Arial"/>
                <w:b/>
                <w:sz w:val="20"/>
                <w:szCs w:val="20"/>
              </w:rPr>
              <w:t>References</w:t>
            </w:r>
          </w:p>
        </w:tc>
      </w:tr>
      <w:tr w:rsidR="008B7650" w:rsidRPr="000912F0" w14:paraId="0184811A" w14:textId="77777777" w:rsidTr="008B7650">
        <w:trPr>
          <w:trHeight w:val="766"/>
        </w:trPr>
        <w:tc>
          <w:tcPr>
            <w:tcW w:w="0" w:type="auto"/>
            <w:vAlign w:val="center"/>
          </w:tcPr>
          <w:p w14:paraId="3291E2ED"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Cotton</w:t>
            </w:r>
          </w:p>
          <w:p w14:paraId="21BB7804"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Bt</w:t>
            </w:r>
            <w:proofErr w:type="spellEnd"/>
            <w:r w:rsidRPr="000912F0">
              <w:rPr>
                <w:rFonts w:ascii="Arial" w:hAnsi="Arial" w:cs="Arial"/>
                <w:sz w:val="20"/>
                <w:szCs w:val="20"/>
              </w:rPr>
              <w:t xml:space="preserve"> cotton</w:t>
            </w:r>
          </w:p>
        </w:tc>
        <w:tc>
          <w:tcPr>
            <w:tcW w:w="0" w:type="auto"/>
            <w:vAlign w:val="center"/>
          </w:tcPr>
          <w:p w14:paraId="2FF7E3BB"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53E85233"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Bt</w:t>
            </w:r>
            <w:proofErr w:type="spellEnd"/>
            <w:r w:rsidRPr="000912F0">
              <w:rPr>
                <w:rFonts w:ascii="Arial" w:hAnsi="Arial" w:cs="Arial"/>
                <w:sz w:val="20"/>
                <w:szCs w:val="20"/>
              </w:rPr>
              <w:t xml:space="preserve"> toxin gene</w:t>
            </w:r>
          </w:p>
        </w:tc>
        <w:tc>
          <w:tcPr>
            <w:tcW w:w="2268" w:type="dxa"/>
            <w:vAlign w:val="center"/>
          </w:tcPr>
          <w:p w14:paraId="12A6637E"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Resistance against lepidopteran insects</w:t>
            </w:r>
          </w:p>
        </w:tc>
        <w:tc>
          <w:tcPr>
            <w:tcW w:w="1351" w:type="dxa"/>
            <w:vAlign w:val="center"/>
          </w:tcPr>
          <w:p w14:paraId="1443A102" w14:textId="79D105A4" w:rsidR="008B7650" w:rsidRPr="008B7650" w:rsidRDefault="008B7650" w:rsidP="00481A41">
            <w:pPr>
              <w:pStyle w:val="NoSpacing"/>
              <w:jc w:val="center"/>
              <w:rPr>
                <w:rFonts w:ascii="Arial" w:hAnsi="Arial" w:cs="Arial"/>
                <w:sz w:val="20"/>
                <w:szCs w:val="20"/>
                <w:highlight w:val="yellow"/>
              </w:rPr>
            </w:pPr>
            <w:r w:rsidRPr="008B7650">
              <w:rPr>
                <w:rFonts w:ascii="Arial" w:hAnsi="Arial" w:cs="Arial"/>
                <w:color w:val="222222"/>
                <w:sz w:val="20"/>
                <w:szCs w:val="20"/>
                <w:highlight w:val="yellow"/>
                <w:shd w:val="clear" w:color="auto" w:fill="FFFFFF"/>
              </w:rPr>
              <w:t>Shad et al.  (2022)</w:t>
            </w:r>
          </w:p>
        </w:tc>
      </w:tr>
      <w:tr w:rsidR="008B7650" w:rsidRPr="000912F0" w14:paraId="3717CC1E" w14:textId="77777777" w:rsidTr="008B7650">
        <w:trPr>
          <w:trHeight w:val="766"/>
        </w:trPr>
        <w:tc>
          <w:tcPr>
            <w:tcW w:w="0" w:type="auto"/>
            <w:vAlign w:val="center"/>
          </w:tcPr>
          <w:p w14:paraId="2B63C105"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Soyabean</w:t>
            </w:r>
            <w:proofErr w:type="spellEnd"/>
          </w:p>
          <w:p w14:paraId="2CF0A3A0"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Roundup ready</w:t>
            </w:r>
          </w:p>
        </w:tc>
        <w:tc>
          <w:tcPr>
            <w:tcW w:w="0" w:type="auto"/>
            <w:vAlign w:val="center"/>
          </w:tcPr>
          <w:p w14:paraId="26C1FD8E"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7B28EE8C"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 xml:space="preserve">5-enolpyruvylshikimate-3-phosphate synthase (EPSPS) of CP4 strain from Agrobacterium </w:t>
            </w:r>
            <w:proofErr w:type="spellStart"/>
            <w:r w:rsidRPr="000912F0">
              <w:rPr>
                <w:rFonts w:ascii="Arial" w:hAnsi="Arial" w:cs="Arial"/>
                <w:sz w:val="20"/>
                <w:szCs w:val="20"/>
              </w:rPr>
              <w:t>sp</w:t>
            </w:r>
            <w:proofErr w:type="spellEnd"/>
          </w:p>
        </w:tc>
        <w:tc>
          <w:tcPr>
            <w:tcW w:w="2268" w:type="dxa"/>
            <w:vAlign w:val="center"/>
          </w:tcPr>
          <w:p w14:paraId="6C547960"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Tolerance to glyphosate herbicide</w:t>
            </w:r>
          </w:p>
        </w:tc>
        <w:tc>
          <w:tcPr>
            <w:tcW w:w="1351" w:type="dxa"/>
            <w:vAlign w:val="center"/>
          </w:tcPr>
          <w:p w14:paraId="7FC15647" w14:textId="77777777" w:rsidR="008B7650" w:rsidRPr="008B7650" w:rsidRDefault="008B7650" w:rsidP="00481A41">
            <w:pPr>
              <w:pStyle w:val="NoSpacing"/>
              <w:jc w:val="center"/>
              <w:rPr>
                <w:rFonts w:ascii="Arial" w:hAnsi="Arial" w:cs="Arial"/>
                <w:sz w:val="20"/>
                <w:szCs w:val="20"/>
                <w:highlight w:val="yellow"/>
              </w:rPr>
            </w:pPr>
            <w:r w:rsidRPr="008B7650">
              <w:rPr>
                <w:rFonts w:ascii="Arial" w:eastAsia="Times New Roman" w:hAnsi="Arial" w:cs="Arial"/>
                <w:sz w:val="20"/>
                <w:szCs w:val="20"/>
                <w:highlight w:val="yellow"/>
                <w:lang w:eastAsia="en-IN"/>
              </w:rPr>
              <w:t xml:space="preserve">Funke </w:t>
            </w:r>
            <w:r w:rsidRPr="008B7650">
              <w:rPr>
                <w:rFonts w:ascii="Arial" w:eastAsia="Times New Roman" w:hAnsi="Arial" w:cs="Arial"/>
                <w:i/>
                <w:iCs/>
                <w:sz w:val="20"/>
                <w:szCs w:val="20"/>
                <w:highlight w:val="yellow"/>
                <w:lang w:eastAsia="en-IN"/>
              </w:rPr>
              <w:t xml:space="preserve">et al., </w:t>
            </w:r>
            <w:r w:rsidRPr="008B7650">
              <w:rPr>
                <w:rFonts w:ascii="Arial" w:eastAsia="Times New Roman" w:hAnsi="Arial" w:cs="Arial"/>
                <w:sz w:val="20"/>
                <w:szCs w:val="20"/>
                <w:highlight w:val="yellow"/>
                <w:lang w:eastAsia="en-IN"/>
              </w:rPr>
              <w:t>(2006)</w:t>
            </w:r>
          </w:p>
        </w:tc>
      </w:tr>
      <w:tr w:rsidR="008B7650" w:rsidRPr="000912F0" w14:paraId="7156EAEE" w14:textId="77777777" w:rsidTr="008B7650">
        <w:trPr>
          <w:trHeight w:val="574"/>
        </w:trPr>
        <w:tc>
          <w:tcPr>
            <w:tcW w:w="0" w:type="auto"/>
            <w:vAlign w:val="center"/>
          </w:tcPr>
          <w:p w14:paraId="096158E4"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Golden rice</w:t>
            </w:r>
          </w:p>
        </w:tc>
        <w:tc>
          <w:tcPr>
            <w:tcW w:w="0" w:type="auto"/>
            <w:vAlign w:val="center"/>
          </w:tcPr>
          <w:p w14:paraId="769BCC43"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51F81156"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Phytoene synthase (</w:t>
            </w:r>
            <w:proofErr w:type="spellStart"/>
            <w:r w:rsidRPr="000912F0">
              <w:rPr>
                <w:rFonts w:ascii="Arial" w:hAnsi="Arial" w:cs="Arial"/>
                <w:sz w:val="20"/>
                <w:szCs w:val="20"/>
              </w:rPr>
              <w:t>psy</w:t>
            </w:r>
            <w:proofErr w:type="spellEnd"/>
            <w:r w:rsidRPr="000912F0">
              <w:rPr>
                <w:rFonts w:ascii="Arial" w:hAnsi="Arial" w:cs="Arial"/>
                <w:sz w:val="20"/>
                <w:szCs w:val="20"/>
              </w:rPr>
              <w:t xml:space="preserve">) from maize and Erwinia </w:t>
            </w:r>
            <w:proofErr w:type="spellStart"/>
            <w:r w:rsidRPr="000912F0">
              <w:rPr>
                <w:rFonts w:ascii="Arial" w:hAnsi="Arial" w:cs="Arial"/>
                <w:sz w:val="20"/>
                <w:szCs w:val="20"/>
              </w:rPr>
              <w:t>uredovora</w:t>
            </w:r>
            <w:proofErr w:type="spellEnd"/>
            <w:r w:rsidRPr="000912F0">
              <w:rPr>
                <w:rFonts w:ascii="Arial" w:hAnsi="Arial" w:cs="Arial"/>
                <w:sz w:val="20"/>
                <w:szCs w:val="20"/>
              </w:rPr>
              <w:t xml:space="preserve"> </w:t>
            </w:r>
            <w:proofErr w:type="spellStart"/>
            <w:r w:rsidRPr="000912F0">
              <w:rPr>
                <w:rFonts w:ascii="Arial" w:hAnsi="Arial" w:cs="Arial"/>
                <w:sz w:val="20"/>
                <w:szCs w:val="20"/>
              </w:rPr>
              <w:t>crtl</w:t>
            </w:r>
            <w:proofErr w:type="spellEnd"/>
            <w:r w:rsidRPr="000912F0">
              <w:rPr>
                <w:rFonts w:ascii="Arial" w:hAnsi="Arial" w:cs="Arial"/>
                <w:sz w:val="20"/>
                <w:szCs w:val="20"/>
              </w:rPr>
              <w:t xml:space="preserve"> gene</w:t>
            </w:r>
          </w:p>
        </w:tc>
        <w:tc>
          <w:tcPr>
            <w:tcW w:w="2268" w:type="dxa"/>
            <w:vAlign w:val="center"/>
          </w:tcPr>
          <w:p w14:paraId="34BDF8C5"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Enhanced pro- vitamin A</w:t>
            </w:r>
          </w:p>
        </w:tc>
        <w:tc>
          <w:tcPr>
            <w:tcW w:w="1351" w:type="dxa"/>
            <w:vAlign w:val="center"/>
          </w:tcPr>
          <w:p w14:paraId="76FD5FF3" w14:textId="77777777" w:rsidR="008B7650" w:rsidRPr="008B7650" w:rsidRDefault="008B7650" w:rsidP="00481A41">
            <w:pPr>
              <w:pStyle w:val="NoSpacing"/>
              <w:jc w:val="center"/>
              <w:rPr>
                <w:rFonts w:ascii="Arial" w:hAnsi="Arial" w:cs="Arial"/>
                <w:sz w:val="20"/>
                <w:szCs w:val="20"/>
                <w:highlight w:val="yellow"/>
              </w:rPr>
            </w:pPr>
            <w:r w:rsidRPr="008B7650">
              <w:rPr>
                <w:rFonts w:ascii="Arial" w:eastAsia="Times New Roman" w:hAnsi="Arial" w:cs="Arial"/>
                <w:sz w:val="20"/>
                <w:szCs w:val="20"/>
                <w:highlight w:val="yellow"/>
                <w:lang w:eastAsia="en-IN"/>
              </w:rPr>
              <w:t>Potrykus (2001)</w:t>
            </w:r>
          </w:p>
        </w:tc>
      </w:tr>
      <w:tr w:rsidR="008B7650" w:rsidRPr="000912F0" w14:paraId="23871310" w14:textId="77777777" w:rsidTr="008B7650">
        <w:trPr>
          <w:trHeight w:val="383"/>
        </w:trPr>
        <w:tc>
          <w:tcPr>
            <w:tcW w:w="0" w:type="auto"/>
            <w:vAlign w:val="center"/>
          </w:tcPr>
          <w:p w14:paraId="70D6A11C"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Rainbow papaya</w:t>
            </w:r>
          </w:p>
        </w:tc>
        <w:tc>
          <w:tcPr>
            <w:tcW w:w="0" w:type="auto"/>
            <w:vAlign w:val="center"/>
          </w:tcPr>
          <w:p w14:paraId="74EF99DE"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Particle bombardment</w:t>
            </w:r>
          </w:p>
        </w:tc>
        <w:tc>
          <w:tcPr>
            <w:tcW w:w="2698" w:type="dxa"/>
            <w:vAlign w:val="center"/>
          </w:tcPr>
          <w:p w14:paraId="26EECCAA"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Coat protein gene from papaya ring spot virus</w:t>
            </w:r>
          </w:p>
        </w:tc>
        <w:tc>
          <w:tcPr>
            <w:tcW w:w="2268" w:type="dxa"/>
            <w:vAlign w:val="center"/>
          </w:tcPr>
          <w:p w14:paraId="322E68B4"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Resistance against PRSV</w:t>
            </w:r>
          </w:p>
        </w:tc>
        <w:tc>
          <w:tcPr>
            <w:tcW w:w="1351" w:type="dxa"/>
            <w:vAlign w:val="center"/>
          </w:tcPr>
          <w:p w14:paraId="39739E27" w14:textId="0CF4F8AC" w:rsidR="008B7650" w:rsidRPr="008B7650" w:rsidRDefault="008B7650" w:rsidP="00481A41">
            <w:pPr>
              <w:pStyle w:val="NoSpacing"/>
              <w:jc w:val="center"/>
              <w:rPr>
                <w:rFonts w:ascii="Arial" w:hAnsi="Arial" w:cs="Arial"/>
                <w:sz w:val="20"/>
                <w:szCs w:val="20"/>
                <w:highlight w:val="yellow"/>
              </w:rPr>
            </w:pPr>
            <w:proofErr w:type="spellStart"/>
            <w:r w:rsidRPr="008B7650">
              <w:rPr>
                <w:rFonts w:ascii="Arial" w:hAnsi="Arial" w:cs="Arial"/>
                <w:color w:val="222222"/>
                <w:sz w:val="20"/>
                <w:szCs w:val="20"/>
                <w:highlight w:val="yellow"/>
                <w:shd w:val="clear" w:color="auto" w:fill="FFFFFF"/>
              </w:rPr>
              <w:t>Jyotika</w:t>
            </w:r>
            <w:proofErr w:type="spellEnd"/>
            <w:r w:rsidRPr="008B7650">
              <w:rPr>
                <w:rFonts w:ascii="Arial" w:hAnsi="Arial" w:cs="Arial"/>
                <w:color w:val="222222"/>
                <w:sz w:val="20"/>
                <w:szCs w:val="20"/>
                <w:highlight w:val="yellow"/>
                <w:shd w:val="clear" w:color="auto" w:fill="FFFFFF"/>
              </w:rPr>
              <w:t xml:space="preserve"> et al. (2024)</w:t>
            </w:r>
          </w:p>
        </w:tc>
      </w:tr>
      <w:tr w:rsidR="008B7650" w:rsidRPr="000912F0" w14:paraId="74018ECA" w14:textId="77777777" w:rsidTr="008B7650">
        <w:trPr>
          <w:trHeight w:val="574"/>
        </w:trPr>
        <w:tc>
          <w:tcPr>
            <w:tcW w:w="0" w:type="auto"/>
            <w:vAlign w:val="center"/>
          </w:tcPr>
          <w:p w14:paraId="7CF693A8"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Bt</w:t>
            </w:r>
            <w:proofErr w:type="spellEnd"/>
            <w:r w:rsidRPr="000912F0">
              <w:rPr>
                <w:rFonts w:ascii="Arial" w:hAnsi="Arial" w:cs="Arial"/>
                <w:sz w:val="20"/>
                <w:szCs w:val="20"/>
              </w:rPr>
              <w:t>- Maize</w:t>
            </w:r>
          </w:p>
        </w:tc>
        <w:tc>
          <w:tcPr>
            <w:tcW w:w="0" w:type="auto"/>
            <w:vAlign w:val="center"/>
          </w:tcPr>
          <w:p w14:paraId="1A8B9642"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78103020"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Bt</w:t>
            </w:r>
            <w:proofErr w:type="spellEnd"/>
            <w:r w:rsidRPr="000912F0">
              <w:rPr>
                <w:rFonts w:ascii="Arial" w:hAnsi="Arial" w:cs="Arial"/>
                <w:sz w:val="20"/>
                <w:szCs w:val="20"/>
              </w:rPr>
              <w:t xml:space="preserve"> toxin gene</w:t>
            </w:r>
          </w:p>
        </w:tc>
        <w:tc>
          <w:tcPr>
            <w:tcW w:w="2268" w:type="dxa"/>
            <w:vAlign w:val="center"/>
          </w:tcPr>
          <w:p w14:paraId="201326C6"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Resistance against European corn borer &amp; corn Rootworm</w:t>
            </w:r>
          </w:p>
        </w:tc>
        <w:tc>
          <w:tcPr>
            <w:tcW w:w="1351" w:type="dxa"/>
            <w:vAlign w:val="center"/>
          </w:tcPr>
          <w:p w14:paraId="19C34A2E" w14:textId="77777777" w:rsidR="008B7650" w:rsidRPr="008B7650" w:rsidRDefault="008B7650" w:rsidP="00481A41">
            <w:pPr>
              <w:pStyle w:val="NoSpacing"/>
              <w:jc w:val="center"/>
              <w:rPr>
                <w:rFonts w:ascii="Arial" w:hAnsi="Arial" w:cs="Arial"/>
                <w:sz w:val="20"/>
                <w:szCs w:val="20"/>
                <w:highlight w:val="yellow"/>
              </w:rPr>
            </w:pPr>
            <w:r w:rsidRPr="008B7650">
              <w:rPr>
                <w:rFonts w:ascii="Arial" w:eastAsia="Times New Roman" w:hAnsi="Arial" w:cs="Arial"/>
                <w:sz w:val="20"/>
                <w:szCs w:val="20"/>
                <w:highlight w:val="yellow"/>
                <w:lang w:eastAsia="en-IN"/>
              </w:rPr>
              <w:t xml:space="preserve">Pardo-López </w:t>
            </w:r>
            <w:r w:rsidRPr="008B7650">
              <w:rPr>
                <w:rFonts w:ascii="Arial" w:eastAsia="Times New Roman" w:hAnsi="Arial" w:cs="Arial"/>
                <w:i/>
                <w:iCs/>
                <w:sz w:val="20"/>
                <w:szCs w:val="20"/>
                <w:highlight w:val="yellow"/>
                <w:lang w:eastAsia="en-IN"/>
              </w:rPr>
              <w:t>et al</w:t>
            </w:r>
            <w:r w:rsidRPr="008B7650">
              <w:rPr>
                <w:rFonts w:ascii="Arial" w:eastAsia="Times New Roman" w:hAnsi="Arial" w:cs="Arial"/>
                <w:sz w:val="20"/>
                <w:szCs w:val="20"/>
                <w:highlight w:val="yellow"/>
                <w:lang w:eastAsia="en-IN"/>
              </w:rPr>
              <w:t>., (2013)</w:t>
            </w:r>
          </w:p>
        </w:tc>
      </w:tr>
      <w:tr w:rsidR="008B7650" w:rsidRPr="000912F0" w14:paraId="0BA1DF7A" w14:textId="77777777" w:rsidTr="008B7650">
        <w:trPr>
          <w:trHeight w:val="574"/>
        </w:trPr>
        <w:tc>
          <w:tcPr>
            <w:tcW w:w="0" w:type="auto"/>
            <w:vAlign w:val="center"/>
          </w:tcPr>
          <w:p w14:paraId="11A6AC92"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New leaf potato</w:t>
            </w:r>
          </w:p>
        </w:tc>
        <w:tc>
          <w:tcPr>
            <w:tcW w:w="0" w:type="auto"/>
            <w:vAlign w:val="center"/>
          </w:tcPr>
          <w:p w14:paraId="4237263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58C3041F" w14:textId="77777777" w:rsidR="008B7650" w:rsidRPr="000912F0" w:rsidRDefault="008B7650" w:rsidP="00481A41">
            <w:pPr>
              <w:pStyle w:val="NoSpacing"/>
              <w:jc w:val="center"/>
              <w:rPr>
                <w:rFonts w:ascii="Arial" w:hAnsi="Arial" w:cs="Arial"/>
                <w:sz w:val="20"/>
                <w:szCs w:val="20"/>
              </w:rPr>
            </w:pPr>
            <w:proofErr w:type="spellStart"/>
            <w:r w:rsidRPr="000912F0">
              <w:rPr>
                <w:rFonts w:ascii="Arial" w:hAnsi="Arial" w:cs="Arial"/>
                <w:sz w:val="20"/>
                <w:szCs w:val="20"/>
              </w:rPr>
              <w:t>Bt</w:t>
            </w:r>
            <w:proofErr w:type="spellEnd"/>
            <w:r w:rsidRPr="000912F0">
              <w:rPr>
                <w:rFonts w:ascii="Arial" w:hAnsi="Arial" w:cs="Arial"/>
                <w:sz w:val="20"/>
                <w:szCs w:val="20"/>
              </w:rPr>
              <w:t xml:space="preserve"> toxin gene</w:t>
            </w:r>
          </w:p>
        </w:tc>
        <w:tc>
          <w:tcPr>
            <w:tcW w:w="2268" w:type="dxa"/>
            <w:vAlign w:val="center"/>
          </w:tcPr>
          <w:p w14:paraId="4C81ECCE"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Resistance to Colorado potato beetle &amp; etc</w:t>
            </w:r>
          </w:p>
        </w:tc>
        <w:tc>
          <w:tcPr>
            <w:tcW w:w="1351" w:type="dxa"/>
            <w:vAlign w:val="center"/>
          </w:tcPr>
          <w:p w14:paraId="2F6688FB" w14:textId="2B2E883A" w:rsidR="008B7650" w:rsidRPr="008B7650" w:rsidRDefault="008B7650" w:rsidP="00481A41">
            <w:pPr>
              <w:pStyle w:val="NoSpacing"/>
              <w:jc w:val="center"/>
              <w:rPr>
                <w:rFonts w:ascii="Arial" w:hAnsi="Arial" w:cs="Arial"/>
                <w:sz w:val="20"/>
                <w:szCs w:val="20"/>
                <w:highlight w:val="yellow"/>
                <w:lang w:val="fr-FR"/>
              </w:rPr>
            </w:pPr>
            <w:r w:rsidRPr="008B7650">
              <w:rPr>
                <w:rFonts w:ascii="Arial" w:hAnsi="Arial" w:cs="Arial"/>
                <w:color w:val="222222"/>
                <w:sz w:val="20"/>
                <w:szCs w:val="20"/>
                <w:highlight w:val="yellow"/>
                <w:shd w:val="clear" w:color="auto" w:fill="FFFFFF"/>
              </w:rPr>
              <w:t>Salim et al. (2021)</w:t>
            </w:r>
          </w:p>
        </w:tc>
      </w:tr>
      <w:tr w:rsidR="008B7650" w:rsidRPr="000912F0" w14:paraId="7D68606F" w14:textId="77777777" w:rsidTr="008B7650">
        <w:trPr>
          <w:trHeight w:val="574"/>
        </w:trPr>
        <w:tc>
          <w:tcPr>
            <w:tcW w:w="0" w:type="auto"/>
            <w:vAlign w:val="center"/>
          </w:tcPr>
          <w:p w14:paraId="12B491E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Tomato</w:t>
            </w:r>
          </w:p>
        </w:tc>
        <w:tc>
          <w:tcPr>
            <w:tcW w:w="0" w:type="auto"/>
            <w:vAlign w:val="center"/>
          </w:tcPr>
          <w:p w14:paraId="344F27E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5BBBD8C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TMV coat protein genes</w:t>
            </w:r>
          </w:p>
        </w:tc>
        <w:tc>
          <w:tcPr>
            <w:tcW w:w="2268" w:type="dxa"/>
            <w:vAlign w:val="center"/>
          </w:tcPr>
          <w:p w14:paraId="507966F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Resistance to TMV</w:t>
            </w:r>
          </w:p>
        </w:tc>
        <w:tc>
          <w:tcPr>
            <w:tcW w:w="1351" w:type="dxa"/>
            <w:vAlign w:val="center"/>
          </w:tcPr>
          <w:p w14:paraId="5C7130C2" w14:textId="34BCC62B" w:rsidR="008B7650" w:rsidRPr="008B7650" w:rsidRDefault="008B7650" w:rsidP="00481A41">
            <w:pPr>
              <w:pStyle w:val="NoSpacing"/>
              <w:jc w:val="center"/>
              <w:rPr>
                <w:rFonts w:ascii="Arial" w:hAnsi="Arial" w:cs="Arial"/>
                <w:sz w:val="20"/>
                <w:szCs w:val="20"/>
                <w:highlight w:val="yellow"/>
              </w:rPr>
            </w:pPr>
            <w:r w:rsidRPr="008B7650">
              <w:rPr>
                <w:rFonts w:ascii="Arial" w:hAnsi="Arial" w:cs="Arial"/>
                <w:sz w:val="20"/>
                <w:szCs w:val="20"/>
                <w:highlight w:val="yellow"/>
              </w:rPr>
              <w:t>Pratap et a. (2012)</w:t>
            </w:r>
          </w:p>
        </w:tc>
      </w:tr>
      <w:tr w:rsidR="008B7650" w:rsidRPr="000912F0" w14:paraId="78C72A45" w14:textId="77777777" w:rsidTr="008B7650">
        <w:trPr>
          <w:trHeight w:val="574"/>
        </w:trPr>
        <w:tc>
          <w:tcPr>
            <w:tcW w:w="0" w:type="auto"/>
            <w:vAlign w:val="center"/>
          </w:tcPr>
          <w:p w14:paraId="7F7C9588"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lastRenderedPageBreak/>
              <w:t>Roundup maize</w:t>
            </w:r>
          </w:p>
        </w:tc>
        <w:tc>
          <w:tcPr>
            <w:tcW w:w="0" w:type="auto"/>
            <w:vAlign w:val="center"/>
          </w:tcPr>
          <w:p w14:paraId="69816C34"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2520F304"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GOX gene from</w:t>
            </w:r>
          </w:p>
          <w:p w14:paraId="7C17980C" w14:textId="77777777" w:rsidR="008B7650" w:rsidRPr="008B7650" w:rsidRDefault="008B7650" w:rsidP="00481A41">
            <w:pPr>
              <w:pStyle w:val="NoSpacing"/>
              <w:jc w:val="center"/>
              <w:rPr>
                <w:rFonts w:ascii="Arial" w:hAnsi="Arial" w:cs="Arial"/>
                <w:i/>
                <w:sz w:val="20"/>
                <w:szCs w:val="20"/>
              </w:rPr>
            </w:pPr>
            <w:r w:rsidRPr="008B7650">
              <w:rPr>
                <w:rFonts w:ascii="Arial" w:hAnsi="Arial" w:cs="Arial"/>
                <w:i/>
                <w:sz w:val="20"/>
                <w:szCs w:val="20"/>
              </w:rPr>
              <w:t xml:space="preserve">O. </w:t>
            </w:r>
            <w:proofErr w:type="spellStart"/>
            <w:r w:rsidRPr="008B7650">
              <w:rPr>
                <w:rFonts w:ascii="Arial" w:hAnsi="Arial" w:cs="Arial"/>
                <w:i/>
                <w:sz w:val="20"/>
                <w:szCs w:val="20"/>
              </w:rPr>
              <w:t>anthropi</w:t>
            </w:r>
            <w:proofErr w:type="spellEnd"/>
          </w:p>
        </w:tc>
        <w:tc>
          <w:tcPr>
            <w:tcW w:w="2268" w:type="dxa"/>
            <w:vAlign w:val="center"/>
          </w:tcPr>
          <w:p w14:paraId="3030FC05"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Glyphosate Herbicide tolerant</w:t>
            </w:r>
          </w:p>
        </w:tc>
        <w:tc>
          <w:tcPr>
            <w:tcW w:w="1351" w:type="dxa"/>
            <w:vAlign w:val="center"/>
          </w:tcPr>
          <w:p w14:paraId="624128CD" w14:textId="21EECE7D" w:rsidR="008B7650" w:rsidRPr="008B7650" w:rsidRDefault="008B7650" w:rsidP="00481A41">
            <w:pPr>
              <w:pStyle w:val="NoSpacing"/>
              <w:jc w:val="center"/>
              <w:rPr>
                <w:rFonts w:ascii="Arial" w:hAnsi="Arial" w:cs="Arial"/>
                <w:sz w:val="20"/>
                <w:szCs w:val="20"/>
                <w:highlight w:val="yellow"/>
                <w:lang w:val="fr-FR"/>
              </w:rPr>
            </w:pPr>
            <w:proofErr w:type="spellStart"/>
            <w:r w:rsidRPr="008B7650">
              <w:rPr>
                <w:rFonts w:ascii="Arial" w:hAnsi="Arial" w:cs="Arial"/>
                <w:color w:val="222222"/>
                <w:sz w:val="20"/>
                <w:szCs w:val="20"/>
                <w:highlight w:val="yellow"/>
                <w:shd w:val="clear" w:color="auto" w:fill="FFFFFF"/>
              </w:rPr>
              <w:t>Zanatta</w:t>
            </w:r>
            <w:proofErr w:type="spellEnd"/>
            <w:r w:rsidRPr="008B7650">
              <w:rPr>
                <w:rFonts w:ascii="Arial" w:hAnsi="Arial" w:cs="Arial"/>
                <w:color w:val="222222"/>
                <w:sz w:val="20"/>
                <w:szCs w:val="20"/>
                <w:highlight w:val="yellow"/>
                <w:shd w:val="clear" w:color="auto" w:fill="FFFFFF"/>
              </w:rPr>
              <w:t xml:space="preserve"> et al. (2020)</w:t>
            </w:r>
          </w:p>
        </w:tc>
      </w:tr>
      <w:tr w:rsidR="008B7650" w:rsidRPr="000912F0" w14:paraId="561B9363" w14:textId="77777777" w:rsidTr="008B7650">
        <w:trPr>
          <w:trHeight w:val="574"/>
        </w:trPr>
        <w:tc>
          <w:tcPr>
            <w:tcW w:w="0" w:type="auto"/>
            <w:vAlign w:val="center"/>
          </w:tcPr>
          <w:p w14:paraId="1ADB607A"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Virus resistant plum</w:t>
            </w:r>
          </w:p>
        </w:tc>
        <w:tc>
          <w:tcPr>
            <w:tcW w:w="0" w:type="auto"/>
            <w:vAlign w:val="center"/>
          </w:tcPr>
          <w:p w14:paraId="6D10DA38"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Particle bombardment</w:t>
            </w:r>
          </w:p>
        </w:tc>
        <w:tc>
          <w:tcPr>
            <w:tcW w:w="2698" w:type="dxa"/>
            <w:vAlign w:val="center"/>
          </w:tcPr>
          <w:p w14:paraId="3A90957F"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Coat protein gene from plum pox virus</w:t>
            </w:r>
          </w:p>
        </w:tc>
        <w:tc>
          <w:tcPr>
            <w:tcW w:w="2268" w:type="dxa"/>
            <w:vAlign w:val="center"/>
          </w:tcPr>
          <w:p w14:paraId="57C40C6A"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PPV resistant</w:t>
            </w:r>
          </w:p>
        </w:tc>
        <w:tc>
          <w:tcPr>
            <w:tcW w:w="1351" w:type="dxa"/>
            <w:vAlign w:val="center"/>
          </w:tcPr>
          <w:p w14:paraId="171D3233" w14:textId="490B3F9B" w:rsidR="008B7650" w:rsidRPr="008B7650" w:rsidRDefault="008B7650" w:rsidP="00481A41">
            <w:pPr>
              <w:pStyle w:val="NoSpacing"/>
              <w:jc w:val="center"/>
              <w:rPr>
                <w:rFonts w:ascii="Arial" w:hAnsi="Arial" w:cs="Arial"/>
                <w:sz w:val="20"/>
                <w:szCs w:val="20"/>
                <w:highlight w:val="yellow"/>
              </w:rPr>
            </w:pPr>
            <w:proofErr w:type="spellStart"/>
            <w:r w:rsidRPr="008B7650">
              <w:rPr>
                <w:rFonts w:ascii="Arial" w:eastAsia="Times New Roman" w:hAnsi="Arial" w:cs="Arial"/>
                <w:sz w:val="20"/>
                <w:szCs w:val="20"/>
                <w:highlight w:val="yellow"/>
                <w:lang w:eastAsia="en-IN"/>
              </w:rPr>
              <w:t>Scorza</w:t>
            </w:r>
            <w:proofErr w:type="spellEnd"/>
            <w:r w:rsidRPr="008B7650">
              <w:rPr>
                <w:rFonts w:ascii="Arial" w:eastAsia="Times New Roman" w:hAnsi="Arial" w:cs="Arial"/>
                <w:sz w:val="20"/>
                <w:szCs w:val="20"/>
                <w:highlight w:val="yellow"/>
                <w:lang w:eastAsia="en-IN"/>
              </w:rPr>
              <w:t xml:space="preserve"> </w:t>
            </w:r>
            <w:r w:rsidRPr="008B7650">
              <w:rPr>
                <w:rFonts w:ascii="Arial" w:eastAsia="Times New Roman" w:hAnsi="Arial" w:cs="Arial"/>
                <w:i/>
                <w:iCs/>
                <w:sz w:val="20"/>
                <w:szCs w:val="20"/>
                <w:highlight w:val="yellow"/>
                <w:lang w:eastAsia="en-IN"/>
              </w:rPr>
              <w:t>et al</w:t>
            </w:r>
            <w:r w:rsidRPr="008B7650">
              <w:rPr>
                <w:rFonts w:ascii="Arial" w:eastAsia="Times New Roman" w:hAnsi="Arial" w:cs="Arial"/>
                <w:sz w:val="20"/>
                <w:szCs w:val="20"/>
                <w:highlight w:val="yellow"/>
                <w:lang w:eastAsia="en-IN"/>
              </w:rPr>
              <w:t>. (2013)</w:t>
            </w:r>
          </w:p>
        </w:tc>
      </w:tr>
      <w:tr w:rsidR="008B7650" w:rsidRPr="000912F0" w14:paraId="78FDA2CB" w14:textId="77777777" w:rsidTr="008B7650">
        <w:trPr>
          <w:trHeight w:val="574"/>
        </w:trPr>
        <w:tc>
          <w:tcPr>
            <w:tcW w:w="0" w:type="auto"/>
            <w:vAlign w:val="center"/>
          </w:tcPr>
          <w:p w14:paraId="33F7534B"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Wheat</w:t>
            </w:r>
          </w:p>
          <w:p w14:paraId="32433CBD"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Roundup ready</w:t>
            </w:r>
          </w:p>
        </w:tc>
        <w:tc>
          <w:tcPr>
            <w:tcW w:w="0" w:type="auto"/>
            <w:vAlign w:val="center"/>
          </w:tcPr>
          <w:p w14:paraId="587DE5FE"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Agrobacterium mediated transfer</w:t>
            </w:r>
          </w:p>
        </w:tc>
        <w:tc>
          <w:tcPr>
            <w:tcW w:w="2698" w:type="dxa"/>
            <w:vAlign w:val="center"/>
          </w:tcPr>
          <w:p w14:paraId="70ED181D"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 xml:space="preserve">EPSPS genes from </w:t>
            </w:r>
            <w:r w:rsidRPr="008B7650">
              <w:rPr>
                <w:rFonts w:ascii="Arial" w:hAnsi="Arial" w:cs="Arial"/>
                <w:i/>
                <w:sz w:val="20"/>
                <w:szCs w:val="20"/>
              </w:rPr>
              <w:t>Agrobacterium</w:t>
            </w:r>
            <w:r w:rsidRPr="000912F0">
              <w:rPr>
                <w:rFonts w:ascii="Arial" w:hAnsi="Arial" w:cs="Arial"/>
                <w:sz w:val="20"/>
                <w:szCs w:val="20"/>
              </w:rPr>
              <w:t xml:space="preserve"> sp. strain CP4</w:t>
            </w:r>
          </w:p>
        </w:tc>
        <w:tc>
          <w:tcPr>
            <w:tcW w:w="2268" w:type="dxa"/>
            <w:vAlign w:val="center"/>
          </w:tcPr>
          <w:p w14:paraId="52C2FE61" w14:textId="77777777" w:rsidR="008B7650" w:rsidRPr="000912F0" w:rsidRDefault="008B7650" w:rsidP="00481A41">
            <w:pPr>
              <w:pStyle w:val="NoSpacing"/>
              <w:jc w:val="center"/>
              <w:rPr>
                <w:rFonts w:ascii="Arial" w:hAnsi="Arial" w:cs="Arial"/>
                <w:sz w:val="20"/>
                <w:szCs w:val="20"/>
              </w:rPr>
            </w:pPr>
            <w:r w:rsidRPr="000912F0">
              <w:rPr>
                <w:rFonts w:ascii="Arial" w:hAnsi="Arial" w:cs="Arial"/>
                <w:sz w:val="20"/>
                <w:szCs w:val="20"/>
              </w:rPr>
              <w:t>Glyphosate Herbicide tolerant</w:t>
            </w:r>
          </w:p>
        </w:tc>
        <w:tc>
          <w:tcPr>
            <w:tcW w:w="1351" w:type="dxa"/>
            <w:vAlign w:val="center"/>
          </w:tcPr>
          <w:p w14:paraId="1DA5B42B" w14:textId="77777777" w:rsidR="008B7650" w:rsidRPr="008B7650" w:rsidRDefault="008B7650" w:rsidP="00481A41">
            <w:pPr>
              <w:pStyle w:val="NoSpacing"/>
              <w:jc w:val="center"/>
              <w:rPr>
                <w:rFonts w:ascii="Arial" w:hAnsi="Arial" w:cs="Arial"/>
                <w:sz w:val="20"/>
                <w:szCs w:val="20"/>
                <w:highlight w:val="yellow"/>
              </w:rPr>
            </w:pPr>
            <w:proofErr w:type="spellStart"/>
            <w:r w:rsidRPr="008B7650">
              <w:rPr>
                <w:rFonts w:ascii="Arial" w:eastAsia="Times New Roman" w:hAnsi="Arial" w:cs="Arial"/>
                <w:sz w:val="20"/>
                <w:szCs w:val="20"/>
                <w:highlight w:val="yellow"/>
                <w:lang w:eastAsia="en-IN"/>
              </w:rPr>
              <w:t>Klümper</w:t>
            </w:r>
            <w:proofErr w:type="spellEnd"/>
            <w:r w:rsidRPr="008B7650">
              <w:rPr>
                <w:rFonts w:ascii="Arial" w:eastAsia="Times New Roman" w:hAnsi="Arial" w:cs="Arial"/>
                <w:sz w:val="20"/>
                <w:szCs w:val="20"/>
                <w:highlight w:val="yellow"/>
                <w:lang w:eastAsia="en-IN"/>
              </w:rPr>
              <w:t xml:space="preserve"> &amp; </w:t>
            </w:r>
            <w:proofErr w:type="spellStart"/>
            <w:r w:rsidRPr="008B7650">
              <w:rPr>
                <w:rFonts w:ascii="Arial" w:eastAsia="Times New Roman" w:hAnsi="Arial" w:cs="Arial"/>
                <w:sz w:val="20"/>
                <w:szCs w:val="20"/>
                <w:highlight w:val="yellow"/>
                <w:lang w:eastAsia="en-IN"/>
              </w:rPr>
              <w:t>Qaim</w:t>
            </w:r>
            <w:proofErr w:type="spellEnd"/>
            <w:r w:rsidRPr="008B7650">
              <w:rPr>
                <w:rFonts w:ascii="Arial" w:eastAsia="Times New Roman" w:hAnsi="Arial" w:cs="Arial"/>
                <w:sz w:val="20"/>
                <w:szCs w:val="20"/>
                <w:highlight w:val="yellow"/>
                <w:lang w:eastAsia="en-IN"/>
              </w:rPr>
              <w:t xml:space="preserve"> (2014)</w:t>
            </w:r>
          </w:p>
        </w:tc>
      </w:tr>
    </w:tbl>
    <w:p w14:paraId="355B4965" w14:textId="77777777" w:rsidR="008B7650" w:rsidRPr="00E802D5" w:rsidRDefault="008B7650" w:rsidP="008B7650">
      <w:pPr>
        <w:spacing w:after="0" w:line="240" w:lineRule="auto"/>
        <w:ind w:left="142" w:hanging="568"/>
        <w:jc w:val="both"/>
        <w:rPr>
          <w:rFonts w:ascii="Arial" w:hAnsi="Arial" w:cs="Arial"/>
          <w:sz w:val="20"/>
          <w:szCs w:val="20"/>
        </w:rPr>
      </w:pPr>
    </w:p>
    <w:p w14:paraId="3973D6C6" w14:textId="77777777" w:rsidR="008B7650" w:rsidRDefault="008B7650" w:rsidP="00C87C0B">
      <w:pPr>
        <w:pStyle w:val="NoSpacing"/>
        <w:jc w:val="center"/>
        <w:rPr>
          <w:rFonts w:ascii="Arial" w:hAnsi="Arial" w:cs="Arial"/>
          <w:b/>
          <w:sz w:val="20"/>
        </w:rPr>
      </w:pPr>
    </w:p>
    <w:p w14:paraId="215970AD" w14:textId="77777777" w:rsidR="000438DE" w:rsidRPr="000438DE" w:rsidRDefault="000438DE" w:rsidP="000438DE">
      <w:pPr>
        <w:pStyle w:val="NoSpacing"/>
        <w:ind w:firstLine="720"/>
        <w:jc w:val="both"/>
        <w:rPr>
          <w:rFonts w:ascii="Arial" w:hAnsi="Arial" w:cs="Arial"/>
          <w:b/>
          <w:lang w:eastAsia="en-IN" w:bidi="ar-SA"/>
        </w:rPr>
      </w:pPr>
      <w:r w:rsidRPr="008B7650">
        <w:rPr>
          <w:rFonts w:ascii="Arial" w:hAnsi="Arial" w:cs="Arial"/>
          <w:b/>
          <w:sz w:val="24"/>
          <w:highlight w:val="yellow"/>
          <w:lang w:eastAsia="en-IN" w:bidi="ar-SA"/>
        </w:rPr>
        <w:t>7. Future Scope in Transgenics</w:t>
      </w:r>
    </w:p>
    <w:p w14:paraId="0AB5EB55" w14:textId="77777777" w:rsidR="00C87C0B" w:rsidRDefault="000438DE" w:rsidP="000438DE">
      <w:pPr>
        <w:pStyle w:val="NoSpacing"/>
        <w:jc w:val="both"/>
        <w:rPr>
          <w:rFonts w:ascii="Arial" w:hAnsi="Arial" w:cs="Arial"/>
          <w:sz w:val="20"/>
          <w:szCs w:val="24"/>
          <w:lang w:eastAsia="en-IN" w:bidi="ar-SA"/>
        </w:rPr>
      </w:pPr>
      <w:r w:rsidRPr="000438DE">
        <w:rPr>
          <w:rFonts w:ascii="Arial" w:hAnsi="Arial" w:cs="Arial"/>
          <w:sz w:val="20"/>
          <w:szCs w:val="24"/>
          <w:lang w:eastAsia="en-IN" w:bidi="ar-SA"/>
        </w:rPr>
        <w:t>The development and commercialization of transgenic crops since the 1990s have demonstrated their potential to transform agricultural production systems. The adoption of genetically engineered crops for commercial cultivation has shown advantages such as improved weed control, reduced insect pest damage, enhanced shelf life, improved nutritional quality, and increased hybrid seed production efficiency. These outcomes indicate that transgenic technology will continue to play a significant role in future crop improvement strategies.</w:t>
      </w:r>
      <w:r w:rsidR="00C87C0B">
        <w:rPr>
          <w:rFonts w:ascii="Arial" w:hAnsi="Arial" w:cs="Arial"/>
          <w:sz w:val="20"/>
          <w:szCs w:val="24"/>
          <w:lang w:eastAsia="en-IN" w:bidi="ar-SA"/>
        </w:rPr>
        <w:t xml:space="preserve"> </w:t>
      </w:r>
    </w:p>
    <w:p w14:paraId="7D5F7413" w14:textId="41F90EB4" w:rsidR="000438DE" w:rsidRPr="000438DE" w:rsidRDefault="000438DE" w:rsidP="00C87C0B">
      <w:pPr>
        <w:pStyle w:val="NoSpacing"/>
        <w:ind w:firstLine="720"/>
        <w:jc w:val="both"/>
        <w:rPr>
          <w:rFonts w:ascii="Arial" w:hAnsi="Arial" w:cs="Arial"/>
          <w:sz w:val="20"/>
          <w:szCs w:val="24"/>
          <w:lang w:eastAsia="en-IN" w:bidi="ar-SA"/>
        </w:rPr>
      </w:pPr>
      <w:r w:rsidRPr="000438DE">
        <w:rPr>
          <w:rFonts w:ascii="Arial" w:hAnsi="Arial" w:cs="Arial"/>
          <w:sz w:val="20"/>
          <w:szCs w:val="24"/>
          <w:lang w:eastAsia="en-IN" w:bidi="ar-SA"/>
        </w:rPr>
        <w:t>Transgenic crops have contributed to yield enhancement and improved pest management, thereby reducing dependence on chemical insecticides and herbicides. Studies have shown that genetically modified crops are associated with yield gains and economic benefits to farmers (</w:t>
      </w:r>
      <w:proofErr w:type="spellStart"/>
      <w:r w:rsidRPr="000438DE">
        <w:rPr>
          <w:rFonts w:ascii="Arial" w:hAnsi="Arial" w:cs="Arial"/>
          <w:sz w:val="20"/>
          <w:szCs w:val="24"/>
          <w:lang w:eastAsia="en-IN" w:bidi="ar-SA"/>
        </w:rPr>
        <w:t>Klümper</w:t>
      </w:r>
      <w:proofErr w:type="spellEnd"/>
      <w:r w:rsidRPr="000438DE">
        <w:rPr>
          <w:rFonts w:ascii="Arial" w:hAnsi="Arial" w:cs="Arial"/>
          <w:sz w:val="20"/>
          <w:szCs w:val="24"/>
          <w:lang w:eastAsia="en-IN" w:bidi="ar-SA"/>
        </w:rPr>
        <w:t xml:space="preserve"> and </w:t>
      </w:r>
      <w:proofErr w:type="spellStart"/>
      <w:r w:rsidRPr="000438DE">
        <w:rPr>
          <w:rFonts w:ascii="Arial" w:hAnsi="Arial" w:cs="Arial"/>
          <w:sz w:val="20"/>
          <w:szCs w:val="24"/>
          <w:lang w:eastAsia="en-IN" w:bidi="ar-SA"/>
        </w:rPr>
        <w:t>Qaim</w:t>
      </w:r>
      <w:proofErr w:type="spellEnd"/>
      <w:r w:rsidRPr="000438DE">
        <w:rPr>
          <w:rFonts w:ascii="Arial" w:hAnsi="Arial" w:cs="Arial"/>
          <w:sz w:val="20"/>
          <w:szCs w:val="24"/>
          <w:lang w:eastAsia="en-IN" w:bidi="ar-SA"/>
        </w:rPr>
        <w:t>, 2014). Furthermore, transgenic approaches are considered important components of sustainable agricultural development, particularly in meeting the requirements of increasing global food demand (Raymond Park et al., 2011).</w:t>
      </w:r>
    </w:p>
    <w:p w14:paraId="05EAA76F" w14:textId="77777777" w:rsidR="00C87C0B" w:rsidRDefault="000438DE" w:rsidP="00C87C0B">
      <w:pPr>
        <w:pStyle w:val="NoSpacing"/>
        <w:ind w:firstLine="720"/>
        <w:jc w:val="both"/>
        <w:rPr>
          <w:rFonts w:ascii="Arial" w:hAnsi="Arial" w:cs="Arial"/>
          <w:sz w:val="20"/>
          <w:szCs w:val="24"/>
          <w:lang w:eastAsia="en-IN" w:bidi="ar-SA"/>
        </w:rPr>
      </w:pPr>
      <w:r w:rsidRPr="000438DE">
        <w:rPr>
          <w:rFonts w:ascii="Arial" w:hAnsi="Arial" w:cs="Arial"/>
          <w:sz w:val="20"/>
          <w:szCs w:val="24"/>
          <w:lang w:eastAsia="en-IN" w:bidi="ar-SA"/>
        </w:rPr>
        <w:t>Future genetically modified crops are expected to be developed not only for improved agronomic traits but also for enhanced food processing qualities, medicinal applications, and specialty chemicals. Advances in metabolic engineering and molecular biotechnology will enable the tailoring of crops for challenging environmental conditions, including tolerance to abiotic stresses such as drought and salinity. In addition, biofortified crops with improved micronutrient composition are anticipated to play an essential role in combating hidden hunger and improving public health outcomes (Saltzman et al., 2013).</w:t>
      </w:r>
    </w:p>
    <w:p w14:paraId="73CFA632" w14:textId="162610D6" w:rsidR="000438DE" w:rsidRDefault="000438DE" w:rsidP="00C87C0B">
      <w:pPr>
        <w:pStyle w:val="NoSpacing"/>
        <w:ind w:firstLine="720"/>
        <w:jc w:val="both"/>
        <w:rPr>
          <w:rFonts w:ascii="Arial" w:hAnsi="Arial" w:cs="Arial"/>
          <w:sz w:val="20"/>
          <w:szCs w:val="24"/>
          <w:lang w:eastAsia="en-IN" w:bidi="ar-SA"/>
        </w:rPr>
      </w:pPr>
      <w:r w:rsidRPr="000438DE">
        <w:rPr>
          <w:rFonts w:ascii="Arial" w:hAnsi="Arial" w:cs="Arial"/>
          <w:sz w:val="20"/>
          <w:szCs w:val="24"/>
          <w:lang w:eastAsia="en-IN" w:bidi="ar-SA"/>
        </w:rPr>
        <w:t>Innovations in plant-based biopharmaceutical production are also likely to expand. Transgenic plants have already demonstrated potential as platforms for recombinant protein production (Hiatt et al., 1989; Twyman et al., 2005), and future developments may enhance efficiency and scalability of plant-derived therapeutics. Similarly, advancements in metabolic engineering may increase the production of high-value oils and industrial compounds in transgenic crops (</w:t>
      </w:r>
      <w:proofErr w:type="spellStart"/>
      <w:r w:rsidRPr="000438DE">
        <w:rPr>
          <w:rFonts w:ascii="Arial" w:hAnsi="Arial" w:cs="Arial"/>
          <w:sz w:val="20"/>
          <w:szCs w:val="24"/>
          <w:lang w:eastAsia="en-IN" w:bidi="ar-SA"/>
        </w:rPr>
        <w:t>Damude</w:t>
      </w:r>
      <w:proofErr w:type="spellEnd"/>
      <w:r w:rsidRPr="000438DE">
        <w:rPr>
          <w:rFonts w:ascii="Arial" w:hAnsi="Arial" w:cs="Arial"/>
          <w:sz w:val="20"/>
          <w:szCs w:val="24"/>
          <w:lang w:eastAsia="en-IN" w:bidi="ar-SA"/>
        </w:rPr>
        <w:t xml:space="preserve"> and Kinney, 2008; Dyer et al., 2008). The integration of transgenic technologies with emerging molecular tools and refined regulatory frameworks is expected to further accelerate crop improvement programs. As global agricultural systems face pressures from population growth, climate change, and resource constraints, transgenic technology is poised to remain a critical tool in developing resilient, high-yielding, and nutritionally enhanced crops.</w:t>
      </w:r>
    </w:p>
    <w:p w14:paraId="4D60AE78" w14:textId="11120B70" w:rsidR="00C87C0B" w:rsidRDefault="00C87C0B" w:rsidP="00C87C0B">
      <w:pPr>
        <w:pStyle w:val="NoSpacing"/>
        <w:ind w:firstLine="720"/>
        <w:jc w:val="both"/>
        <w:rPr>
          <w:rFonts w:ascii="Arial" w:hAnsi="Arial" w:cs="Arial"/>
          <w:sz w:val="20"/>
          <w:szCs w:val="24"/>
          <w:lang w:eastAsia="en-IN" w:bidi="ar-SA"/>
        </w:rPr>
      </w:pPr>
    </w:p>
    <w:p w14:paraId="40261D22" w14:textId="77777777" w:rsidR="00C87C0B" w:rsidRPr="00C87C0B" w:rsidRDefault="00C87C0B" w:rsidP="00C87C0B">
      <w:pPr>
        <w:pStyle w:val="NoSpacing"/>
        <w:ind w:firstLine="720"/>
        <w:rPr>
          <w:rFonts w:ascii="Arial" w:hAnsi="Arial" w:cs="Arial"/>
          <w:b/>
          <w:sz w:val="24"/>
          <w:lang w:eastAsia="en-IN" w:bidi="ar-SA"/>
        </w:rPr>
      </w:pPr>
      <w:r w:rsidRPr="008B7650">
        <w:rPr>
          <w:rFonts w:ascii="Arial" w:hAnsi="Arial" w:cs="Arial"/>
          <w:b/>
          <w:sz w:val="24"/>
          <w:highlight w:val="yellow"/>
          <w:lang w:eastAsia="en-IN" w:bidi="ar-SA"/>
        </w:rPr>
        <w:t>8. Concerns and Biosafety Considerations</w:t>
      </w:r>
    </w:p>
    <w:p w14:paraId="3BE6DA7C" w14:textId="7F388521" w:rsidR="00C87C0B" w:rsidRPr="00C87C0B" w:rsidRDefault="00C87C0B" w:rsidP="00C87C0B">
      <w:pPr>
        <w:pStyle w:val="NoSpacing"/>
        <w:jc w:val="both"/>
        <w:rPr>
          <w:rFonts w:ascii="Arial" w:hAnsi="Arial" w:cs="Arial"/>
          <w:sz w:val="20"/>
          <w:szCs w:val="24"/>
          <w:lang w:eastAsia="en-IN" w:bidi="ar-SA"/>
        </w:rPr>
      </w:pPr>
      <w:r w:rsidRPr="00C87C0B">
        <w:rPr>
          <w:rFonts w:ascii="Arial" w:hAnsi="Arial" w:cs="Arial"/>
          <w:sz w:val="20"/>
          <w:szCs w:val="24"/>
          <w:lang w:eastAsia="en-IN" w:bidi="ar-SA"/>
        </w:rPr>
        <w:t>Although genetically engineered crops have demonstrated significant potential in improving yield, nutritional quality, and resistance to biotic and abiotic stresses, concerns regarding their environmental and human health impacts continue to influence public perception and regulatory policies. The expanded cultivation of transgenic crops to address food security challenges has raised questions about long-term ecological and biosafety implications.</w:t>
      </w:r>
      <w:r>
        <w:rPr>
          <w:rFonts w:ascii="Arial" w:hAnsi="Arial" w:cs="Arial"/>
          <w:sz w:val="20"/>
          <w:szCs w:val="24"/>
          <w:lang w:eastAsia="en-IN" w:bidi="ar-SA"/>
        </w:rPr>
        <w:t xml:space="preserve"> </w:t>
      </w:r>
      <w:r w:rsidRPr="00C87C0B">
        <w:rPr>
          <w:rFonts w:ascii="Arial" w:hAnsi="Arial" w:cs="Arial"/>
          <w:sz w:val="20"/>
          <w:szCs w:val="24"/>
          <w:lang w:eastAsia="en-IN" w:bidi="ar-SA"/>
        </w:rPr>
        <w:t xml:space="preserve">One major concern relates to gene flow and genetic drift, where transgenes may transfer to wild relatives or non-transgenic crops through cross-pollination. Such unintended gene transfer could alter biodiversity and create ecological imbalances. Additionally, the continuous exposure of insect populations to </w:t>
      </w:r>
      <w:proofErr w:type="spellStart"/>
      <w:r w:rsidRPr="00C87C0B">
        <w:rPr>
          <w:rFonts w:ascii="Arial" w:hAnsi="Arial" w:cs="Arial"/>
          <w:sz w:val="20"/>
          <w:szCs w:val="24"/>
          <w:lang w:eastAsia="en-IN" w:bidi="ar-SA"/>
        </w:rPr>
        <w:t>Bt</w:t>
      </w:r>
      <w:proofErr w:type="spellEnd"/>
      <w:r w:rsidRPr="00C87C0B">
        <w:rPr>
          <w:rFonts w:ascii="Arial" w:hAnsi="Arial" w:cs="Arial"/>
          <w:sz w:val="20"/>
          <w:szCs w:val="24"/>
          <w:lang w:eastAsia="en-IN" w:bidi="ar-SA"/>
        </w:rPr>
        <w:t xml:space="preserve"> toxins has raised concerns regarding the evolution of resistant insect biotypes, potentially reducing the long-term effectiveness of insect-resistant crops (Bates et al., 2005; Pardo-López et al., 2013).</w:t>
      </w:r>
    </w:p>
    <w:p w14:paraId="2258AA1B" w14:textId="77777777" w:rsidR="00C87C0B" w:rsidRPr="00C87C0B" w:rsidRDefault="00C87C0B" w:rsidP="00C87C0B">
      <w:pPr>
        <w:pStyle w:val="NoSpacing"/>
        <w:ind w:firstLine="720"/>
        <w:jc w:val="both"/>
        <w:rPr>
          <w:rFonts w:ascii="Arial" w:hAnsi="Arial" w:cs="Arial"/>
          <w:sz w:val="20"/>
          <w:szCs w:val="24"/>
          <w:lang w:eastAsia="en-IN" w:bidi="ar-SA"/>
        </w:rPr>
      </w:pPr>
      <w:r w:rsidRPr="00C87C0B">
        <w:rPr>
          <w:rFonts w:ascii="Arial" w:hAnsi="Arial" w:cs="Arial"/>
          <w:sz w:val="20"/>
          <w:szCs w:val="24"/>
          <w:lang w:eastAsia="en-IN" w:bidi="ar-SA"/>
        </w:rPr>
        <w:t>Similarly, the extensive use of herbicide-tolerant crops has led to concerns about the emergence of herbicide-resistant weed populations. While herbicide tolerance systems such as those based on modified EPSPS genes have enabled efficient weed control (Funke et al., 2006), overreliance on single herbicide strategies may contribute to resistance development.</w:t>
      </w:r>
    </w:p>
    <w:p w14:paraId="306456A8" w14:textId="7292467E" w:rsidR="00C87C0B" w:rsidRPr="00C87C0B" w:rsidRDefault="00C87C0B" w:rsidP="00C87C0B">
      <w:pPr>
        <w:pStyle w:val="NoSpacing"/>
        <w:jc w:val="both"/>
        <w:rPr>
          <w:rFonts w:ascii="Arial" w:hAnsi="Arial" w:cs="Arial"/>
          <w:sz w:val="20"/>
          <w:szCs w:val="24"/>
          <w:lang w:eastAsia="en-IN" w:bidi="ar-SA"/>
        </w:rPr>
      </w:pPr>
      <w:r w:rsidRPr="00C87C0B">
        <w:rPr>
          <w:rFonts w:ascii="Arial" w:hAnsi="Arial" w:cs="Arial"/>
          <w:sz w:val="20"/>
          <w:szCs w:val="24"/>
          <w:lang w:eastAsia="en-IN" w:bidi="ar-SA"/>
        </w:rPr>
        <w:t xml:space="preserve">Environmental safety assessments also examine potential impacts on non-target organisms. The expression of insecticidal proteins, although designed to target specific pests, may raise questions regarding unintended effects on beneficial insects and soil microorganisms. Comprehensive biosafety evaluations are therefore conducted prior to commercial release to assess ecological and </w:t>
      </w:r>
      <w:r w:rsidRPr="00C87C0B">
        <w:rPr>
          <w:rFonts w:ascii="Arial" w:hAnsi="Arial" w:cs="Arial"/>
          <w:sz w:val="20"/>
          <w:szCs w:val="24"/>
          <w:lang w:eastAsia="en-IN" w:bidi="ar-SA"/>
        </w:rPr>
        <w:lastRenderedPageBreak/>
        <w:t>environmental risks.</w:t>
      </w:r>
      <w:r>
        <w:rPr>
          <w:rFonts w:ascii="Arial" w:hAnsi="Arial" w:cs="Arial"/>
          <w:sz w:val="20"/>
          <w:szCs w:val="24"/>
          <w:lang w:eastAsia="en-IN" w:bidi="ar-SA"/>
        </w:rPr>
        <w:t xml:space="preserve"> </w:t>
      </w:r>
      <w:r w:rsidRPr="00C87C0B">
        <w:rPr>
          <w:rFonts w:ascii="Arial" w:hAnsi="Arial" w:cs="Arial"/>
          <w:sz w:val="20"/>
          <w:szCs w:val="24"/>
          <w:lang w:eastAsia="en-IN" w:bidi="ar-SA"/>
        </w:rPr>
        <w:t>Human health concerns focus primarily on potential allergenicity, toxicity, and compositional changes in genetically modified foods. Regulatory authorities require rigorous food and feed safety evaluations, including toxicity testing, allergenicity assessment, and nutritional equivalence studies before approval. These procedures aim to ensure that transgenic crops are as safe as their conventional counterparts.</w:t>
      </w:r>
    </w:p>
    <w:p w14:paraId="58927768" w14:textId="6A717E01" w:rsidR="00C87C0B" w:rsidRDefault="00C87C0B" w:rsidP="00C87C0B">
      <w:pPr>
        <w:pStyle w:val="NoSpacing"/>
        <w:ind w:firstLine="720"/>
        <w:jc w:val="both"/>
        <w:rPr>
          <w:rFonts w:ascii="Arial" w:hAnsi="Arial" w:cs="Arial"/>
          <w:sz w:val="20"/>
          <w:szCs w:val="24"/>
          <w:lang w:eastAsia="en-IN" w:bidi="ar-SA"/>
        </w:rPr>
      </w:pPr>
      <w:r w:rsidRPr="00C87C0B">
        <w:rPr>
          <w:rFonts w:ascii="Arial" w:hAnsi="Arial" w:cs="Arial"/>
          <w:sz w:val="20"/>
          <w:szCs w:val="24"/>
          <w:lang w:eastAsia="en-IN" w:bidi="ar-SA"/>
        </w:rPr>
        <w:t>Public acceptance remains another critical factor influencing the adoption of transgenic crops. Despite documented agronomic and economic benefits (</w:t>
      </w:r>
      <w:proofErr w:type="spellStart"/>
      <w:r w:rsidRPr="00C87C0B">
        <w:rPr>
          <w:rFonts w:ascii="Arial" w:hAnsi="Arial" w:cs="Arial"/>
          <w:sz w:val="20"/>
          <w:szCs w:val="24"/>
          <w:lang w:eastAsia="en-IN" w:bidi="ar-SA"/>
        </w:rPr>
        <w:t>Klümper</w:t>
      </w:r>
      <w:proofErr w:type="spellEnd"/>
      <w:r w:rsidRPr="00C87C0B">
        <w:rPr>
          <w:rFonts w:ascii="Arial" w:hAnsi="Arial" w:cs="Arial"/>
          <w:sz w:val="20"/>
          <w:szCs w:val="24"/>
          <w:lang w:eastAsia="en-IN" w:bidi="ar-SA"/>
        </w:rPr>
        <w:t xml:space="preserve"> and </w:t>
      </w:r>
      <w:proofErr w:type="spellStart"/>
      <w:r w:rsidRPr="00C87C0B">
        <w:rPr>
          <w:rFonts w:ascii="Arial" w:hAnsi="Arial" w:cs="Arial"/>
          <w:sz w:val="20"/>
          <w:szCs w:val="24"/>
          <w:lang w:eastAsia="en-IN" w:bidi="ar-SA"/>
        </w:rPr>
        <w:t>Qaim</w:t>
      </w:r>
      <w:proofErr w:type="spellEnd"/>
      <w:r w:rsidRPr="00C87C0B">
        <w:rPr>
          <w:rFonts w:ascii="Arial" w:hAnsi="Arial" w:cs="Arial"/>
          <w:sz w:val="20"/>
          <w:szCs w:val="24"/>
          <w:lang w:eastAsia="en-IN" w:bidi="ar-SA"/>
        </w:rPr>
        <w:t>, 2014) and their role in sustainable development (Raymond Park et al., 2011), societal concerns and regulatory complexities continue to shape the trajectory of genetically modified crop deployment.</w:t>
      </w:r>
      <w:r>
        <w:rPr>
          <w:rFonts w:ascii="Arial" w:hAnsi="Arial" w:cs="Arial"/>
          <w:sz w:val="20"/>
          <w:szCs w:val="24"/>
          <w:lang w:eastAsia="en-IN" w:bidi="ar-SA"/>
        </w:rPr>
        <w:t xml:space="preserve"> </w:t>
      </w:r>
      <w:r w:rsidRPr="00C87C0B">
        <w:rPr>
          <w:rFonts w:ascii="Arial" w:hAnsi="Arial" w:cs="Arial"/>
          <w:sz w:val="20"/>
          <w:szCs w:val="24"/>
          <w:lang w:eastAsia="en-IN" w:bidi="ar-SA"/>
        </w:rPr>
        <w:t xml:space="preserve">To address some of these concerns, alternative approaches such as </w:t>
      </w:r>
      <w:proofErr w:type="spellStart"/>
      <w:r w:rsidRPr="00C87C0B">
        <w:rPr>
          <w:rFonts w:ascii="Arial" w:hAnsi="Arial" w:cs="Arial"/>
          <w:sz w:val="20"/>
          <w:szCs w:val="24"/>
          <w:lang w:eastAsia="en-IN" w:bidi="ar-SA"/>
        </w:rPr>
        <w:t>cisgenesis</w:t>
      </w:r>
      <w:proofErr w:type="spellEnd"/>
      <w:r w:rsidRPr="00C87C0B">
        <w:rPr>
          <w:rFonts w:ascii="Arial" w:hAnsi="Arial" w:cs="Arial"/>
          <w:sz w:val="20"/>
          <w:szCs w:val="24"/>
          <w:lang w:eastAsia="en-IN" w:bidi="ar-SA"/>
        </w:rPr>
        <w:t xml:space="preserve"> and </w:t>
      </w:r>
      <w:proofErr w:type="spellStart"/>
      <w:r w:rsidRPr="00C87C0B">
        <w:rPr>
          <w:rFonts w:ascii="Arial" w:hAnsi="Arial" w:cs="Arial"/>
          <w:sz w:val="20"/>
          <w:szCs w:val="24"/>
          <w:lang w:eastAsia="en-IN" w:bidi="ar-SA"/>
        </w:rPr>
        <w:t>intragenesis</w:t>
      </w:r>
      <w:proofErr w:type="spellEnd"/>
      <w:r w:rsidRPr="00C87C0B">
        <w:rPr>
          <w:rFonts w:ascii="Arial" w:hAnsi="Arial" w:cs="Arial"/>
          <w:sz w:val="20"/>
          <w:szCs w:val="24"/>
          <w:lang w:eastAsia="en-IN" w:bidi="ar-SA"/>
        </w:rPr>
        <w:t xml:space="preserve"> have been proposed. </w:t>
      </w:r>
      <w:proofErr w:type="spellStart"/>
      <w:r w:rsidRPr="00C87C0B">
        <w:rPr>
          <w:rFonts w:ascii="Arial" w:hAnsi="Arial" w:cs="Arial"/>
          <w:sz w:val="20"/>
          <w:szCs w:val="24"/>
          <w:lang w:eastAsia="en-IN" w:bidi="ar-SA"/>
        </w:rPr>
        <w:t>Cisgenic</w:t>
      </w:r>
      <w:proofErr w:type="spellEnd"/>
      <w:r w:rsidRPr="00C87C0B">
        <w:rPr>
          <w:rFonts w:ascii="Arial" w:hAnsi="Arial" w:cs="Arial"/>
          <w:sz w:val="20"/>
          <w:szCs w:val="24"/>
          <w:lang w:eastAsia="en-IN" w:bidi="ar-SA"/>
        </w:rPr>
        <w:t xml:space="preserve"> plants, developed using genes from sexually compatible species, are considered more similar to conventionally bred crops and may face different regulatory considerations (Schouten et al., 2006). Examples such as virus-resistant plum developed through genetic engineering (</w:t>
      </w:r>
      <w:proofErr w:type="spellStart"/>
      <w:r w:rsidRPr="00C87C0B">
        <w:rPr>
          <w:rFonts w:ascii="Arial" w:hAnsi="Arial" w:cs="Arial"/>
          <w:sz w:val="20"/>
          <w:szCs w:val="24"/>
          <w:lang w:eastAsia="en-IN" w:bidi="ar-SA"/>
        </w:rPr>
        <w:t>Scorza</w:t>
      </w:r>
      <w:proofErr w:type="spellEnd"/>
      <w:r w:rsidRPr="00C87C0B">
        <w:rPr>
          <w:rFonts w:ascii="Arial" w:hAnsi="Arial" w:cs="Arial"/>
          <w:sz w:val="20"/>
          <w:szCs w:val="24"/>
          <w:lang w:eastAsia="en-IN" w:bidi="ar-SA"/>
        </w:rPr>
        <w:t xml:space="preserve"> et al., 2013) demonstrate efforts to balance technological advancement with biosafety and public acceptance.</w:t>
      </w:r>
    </w:p>
    <w:p w14:paraId="21A3750A" w14:textId="77777777" w:rsidR="00C87C0B" w:rsidRDefault="00C87C0B" w:rsidP="00C87C0B">
      <w:pPr>
        <w:pStyle w:val="NoSpacing"/>
        <w:jc w:val="both"/>
        <w:rPr>
          <w:rFonts w:ascii="Arial" w:hAnsi="Arial" w:cs="Arial"/>
          <w:sz w:val="20"/>
        </w:rPr>
      </w:pPr>
    </w:p>
    <w:p w14:paraId="4CB36B56" w14:textId="4603FA3B" w:rsidR="00C87C0B" w:rsidRPr="00C87C0B" w:rsidRDefault="00C87C0B" w:rsidP="00C87C0B">
      <w:pPr>
        <w:pStyle w:val="NoSpacing"/>
        <w:ind w:firstLine="720"/>
        <w:jc w:val="both"/>
        <w:rPr>
          <w:rFonts w:ascii="Arial" w:hAnsi="Arial" w:cs="Arial"/>
          <w:b/>
          <w:sz w:val="20"/>
        </w:rPr>
      </w:pPr>
      <w:r w:rsidRPr="00C87C0B">
        <w:rPr>
          <w:rFonts w:ascii="Arial" w:hAnsi="Arial" w:cs="Arial"/>
          <w:b/>
          <w:sz w:val="24"/>
        </w:rPr>
        <w:t>9. Conclusion</w:t>
      </w:r>
    </w:p>
    <w:p w14:paraId="4F258453" w14:textId="496CB49C" w:rsidR="00C87C0B" w:rsidRPr="00C87C0B" w:rsidRDefault="00C87C0B" w:rsidP="00C87C0B">
      <w:pPr>
        <w:pStyle w:val="NoSpacing"/>
        <w:jc w:val="both"/>
        <w:rPr>
          <w:rFonts w:ascii="Arial" w:hAnsi="Arial" w:cs="Arial"/>
          <w:sz w:val="20"/>
        </w:rPr>
      </w:pPr>
      <w:r w:rsidRPr="00C87C0B">
        <w:rPr>
          <w:rFonts w:ascii="Arial" w:hAnsi="Arial" w:cs="Arial"/>
          <w:sz w:val="20"/>
        </w:rPr>
        <w:t xml:space="preserve">Transgenic technology has emerged as a transformative advancement in modern agriculture, offering innovative solutions to challenges related to food security, nutritional deficiencies, pest management, and industrial applications. Since the development of the first transgenic plants, genetic engineering has enabled the precise introduction of desirable traits such as insect resistance, herbicide tolerance, improved shelf life, and enhanced micronutrient composition. These advancements have contributed to yield stability, reduced dependence on chemical inputs, and improved economic returns for farmers. Beyond agronomic benefits, transgenic plants have demonstrated significant potential in medicine and biotechnology. Plants have been utilized as platforms for producing recombinant proteins, antibodies, and vaccine antigens, providing cost-effective and scalable alternatives to conventional production systems. The development of plant-based biopharmaceuticals such as insulin and erythropoietin </w:t>
      </w:r>
      <w:r w:rsidR="008B7650" w:rsidRPr="00C87C0B">
        <w:rPr>
          <w:rFonts w:ascii="Arial" w:hAnsi="Arial" w:cs="Arial"/>
          <w:sz w:val="20"/>
        </w:rPr>
        <w:t>highlight</w:t>
      </w:r>
      <w:r w:rsidRPr="00C87C0B">
        <w:rPr>
          <w:rFonts w:ascii="Arial" w:hAnsi="Arial" w:cs="Arial"/>
          <w:sz w:val="20"/>
        </w:rPr>
        <w:t xml:space="preserve"> the expanding scope of genetic engineering beyond food crops. Additionally, metabolic engineering approaches have enabled the production of biodegradable polymers, improved seed oils, and enhanced vitamin content, further broadening the applications of transgenic plants. Despite these benefits, concerns related to biosafety</w:t>
      </w:r>
      <w:r w:rsidRPr="008B7650">
        <w:rPr>
          <w:rFonts w:ascii="Arial" w:hAnsi="Arial" w:cs="Arial"/>
          <w:sz w:val="20"/>
          <w:highlight w:val="yellow"/>
        </w:rPr>
        <w:t>, environmental impact, gene flow, resistance development, and public acceptance continue to influence regulatory frameworks and global adoption patterns. Rigorous safety assessments and transparent regulatory procedures remain essential to ensure responsible deployment of genetically engineered crops. In the future, transgenic crops are expected to play a critical role in developing climate-resilient, nutrient-enriched, and high-yielding varieties capable of meeting the demands of a growing population. With continued scientific innovation and balanced regulatory oversight, transgenic technology holds substantial promise for advancing sustainable agriculture and improving global health outcomes.</w:t>
      </w:r>
    </w:p>
    <w:p w14:paraId="1EFBD6EA" w14:textId="77777777" w:rsidR="00C87C0B" w:rsidRPr="00C87C0B" w:rsidRDefault="00C87C0B" w:rsidP="00C87C0B">
      <w:pPr>
        <w:pStyle w:val="NoSpacing"/>
        <w:jc w:val="both"/>
        <w:rPr>
          <w:rFonts w:ascii="Arial" w:hAnsi="Arial" w:cs="Arial"/>
          <w:sz w:val="18"/>
          <w:szCs w:val="24"/>
          <w:lang w:eastAsia="en-IN" w:bidi="ar-SA"/>
        </w:rPr>
      </w:pPr>
    </w:p>
    <w:p w14:paraId="43A49158" w14:textId="77777777" w:rsidR="00EC0E7C" w:rsidRPr="00973E81" w:rsidRDefault="00EC0E7C" w:rsidP="00EC0E7C">
      <w:pPr>
        <w:spacing w:line="240" w:lineRule="auto"/>
        <w:jc w:val="both"/>
        <w:rPr>
          <w:rFonts w:ascii="Arial" w:hAnsi="Arial" w:cs="Arial"/>
          <w:b/>
          <w:sz w:val="24"/>
          <w:szCs w:val="20"/>
          <w:highlight w:val="yellow"/>
        </w:rPr>
      </w:pPr>
      <w:r w:rsidRPr="00973E81">
        <w:rPr>
          <w:rFonts w:ascii="Arial" w:hAnsi="Arial" w:cs="Arial"/>
          <w:b/>
          <w:sz w:val="24"/>
          <w:szCs w:val="20"/>
          <w:highlight w:val="yellow"/>
        </w:rPr>
        <w:t xml:space="preserve">CONFLICT OF INTEREST </w:t>
      </w:r>
    </w:p>
    <w:p w14:paraId="1B68C4D2" w14:textId="77777777" w:rsidR="00EC0E7C" w:rsidRPr="00963906" w:rsidRDefault="00EC0E7C" w:rsidP="00EC0E7C">
      <w:pPr>
        <w:spacing w:line="240" w:lineRule="auto"/>
        <w:jc w:val="both"/>
        <w:rPr>
          <w:rFonts w:ascii="Arial" w:hAnsi="Arial" w:cs="Arial"/>
          <w:sz w:val="20"/>
          <w:szCs w:val="20"/>
        </w:rPr>
      </w:pPr>
      <w:r w:rsidRPr="00973E81">
        <w:rPr>
          <w:rFonts w:ascii="Arial" w:hAnsi="Arial" w:cs="Arial"/>
          <w:sz w:val="20"/>
          <w:szCs w:val="20"/>
          <w:highlight w:val="yellow"/>
        </w:rPr>
        <w:t>Author declares that no conflict of interest.</w:t>
      </w:r>
      <w:r w:rsidRPr="00963906">
        <w:rPr>
          <w:rFonts w:ascii="Arial" w:hAnsi="Arial" w:cs="Arial"/>
          <w:sz w:val="20"/>
          <w:szCs w:val="20"/>
        </w:rPr>
        <w:t xml:space="preserve">  </w:t>
      </w:r>
    </w:p>
    <w:p w14:paraId="1D537CB1" w14:textId="77777777" w:rsidR="00EC0E7C" w:rsidRPr="00973E81" w:rsidRDefault="00EC0E7C" w:rsidP="00EC0E7C">
      <w:pPr>
        <w:pStyle w:val="NoSpacing"/>
        <w:jc w:val="both"/>
        <w:rPr>
          <w:rFonts w:ascii="Arial" w:hAnsi="Arial" w:cs="Arial"/>
          <w:b/>
          <w:sz w:val="24"/>
          <w:szCs w:val="20"/>
          <w:highlight w:val="yellow"/>
        </w:rPr>
      </w:pPr>
      <w:bookmarkStart w:id="1" w:name="_Hlk219284361"/>
      <w:bookmarkStart w:id="2" w:name="_Hlk198031404"/>
      <w:r w:rsidRPr="00973E81">
        <w:rPr>
          <w:rFonts w:ascii="Arial" w:hAnsi="Arial" w:cs="Arial"/>
          <w:b/>
          <w:sz w:val="24"/>
          <w:szCs w:val="20"/>
          <w:highlight w:val="yellow"/>
        </w:rPr>
        <w:t>DISCLAIMER (ARTIFICIAL INTELLIGENCE)</w:t>
      </w:r>
    </w:p>
    <w:p w14:paraId="26E341F5" w14:textId="77777777" w:rsidR="00EC0E7C" w:rsidRDefault="00EC0E7C" w:rsidP="00EC0E7C">
      <w:pPr>
        <w:pStyle w:val="NoSpacing"/>
        <w:jc w:val="both"/>
        <w:rPr>
          <w:rFonts w:ascii="Arial" w:hAnsi="Arial" w:cs="Arial"/>
          <w:sz w:val="20"/>
          <w:szCs w:val="20"/>
          <w:highlight w:val="yellow"/>
        </w:rPr>
      </w:pPr>
    </w:p>
    <w:p w14:paraId="77661B8F" w14:textId="77777777" w:rsidR="00EC0E7C" w:rsidRPr="00963906" w:rsidRDefault="00EC0E7C" w:rsidP="00EC0E7C">
      <w:pPr>
        <w:pStyle w:val="NoSpacing"/>
        <w:jc w:val="both"/>
        <w:rPr>
          <w:rFonts w:ascii="Arial" w:hAnsi="Arial" w:cs="Arial"/>
          <w:sz w:val="20"/>
          <w:szCs w:val="20"/>
          <w:highlight w:val="yellow"/>
        </w:rPr>
      </w:pPr>
      <w:r w:rsidRPr="00963906">
        <w:rPr>
          <w:rFonts w:ascii="Arial" w:hAnsi="Arial" w:cs="Arial"/>
          <w:sz w:val="20"/>
          <w:szCs w:val="20"/>
          <w:highlight w:val="yellow"/>
        </w:rPr>
        <w:t>Author(s) hereby declare that (</w:t>
      </w:r>
      <w:proofErr w:type="spellStart"/>
      <w:r w:rsidRPr="00963906">
        <w:rPr>
          <w:rFonts w:ascii="Arial" w:hAnsi="Arial" w:cs="Arial"/>
          <w:sz w:val="20"/>
          <w:szCs w:val="20"/>
          <w:highlight w:val="yellow"/>
        </w:rPr>
        <w:t>ChatGPT</w:t>
      </w:r>
      <w:proofErr w:type="spellEnd"/>
      <w:r>
        <w:rPr>
          <w:rFonts w:ascii="Arial" w:hAnsi="Arial" w:cs="Arial"/>
          <w:sz w:val="20"/>
          <w:szCs w:val="20"/>
          <w:highlight w:val="yellow"/>
        </w:rPr>
        <w:t xml:space="preserve"> 5</w:t>
      </w:r>
      <w:r w:rsidRPr="00963906">
        <w:rPr>
          <w:rFonts w:ascii="Arial" w:hAnsi="Arial" w:cs="Arial"/>
          <w:sz w:val="20"/>
          <w:szCs w:val="20"/>
          <w:highlight w:val="yellow"/>
        </w:rPr>
        <w:t>.</w:t>
      </w:r>
      <w:r>
        <w:rPr>
          <w:rFonts w:ascii="Arial" w:hAnsi="Arial" w:cs="Arial"/>
          <w:sz w:val="20"/>
          <w:szCs w:val="20"/>
          <w:highlight w:val="yellow"/>
        </w:rPr>
        <w:t>2</w:t>
      </w:r>
      <w:r w:rsidRPr="00963906">
        <w:rPr>
          <w:rFonts w:ascii="Arial" w:hAnsi="Arial" w:cs="Arial"/>
          <w:sz w:val="20"/>
          <w:szCs w:val="20"/>
          <w:highlight w:val="yellow"/>
        </w:rPr>
        <w:t xml:space="preserve">) </w:t>
      </w:r>
      <w:r>
        <w:rPr>
          <w:rFonts w:ascii="Arial" w:hAnsi="Arial" w:cs="Arial"/>
          <w:sz w:val="20"/>
          <w:szCs w:val="20"/>
          <w:highlight w:val="yellow"/>
        </w:rPr>
        <w:t xml:space="preserve">used in grammar check and </w:t>
      </w:r>
      <w:r w:rsidRPr="00963906">
        <w:rPr>
          <w:rFonts w:ascii="Arial" w:hAnsi="Arial" w:cs="Arial"/>
          <w:sz w:val="20"/>
          <w:szCs w:val="20"/>
          <w:highlight w:val="yellow"/>
        </w:rPr>
        <w:t>text-to-image generators during the writing or editing of this manuscript</w:t>
      </w:r>
      <w:bookmarkEnd w:id="1"/>
      <w:r w:rsidRPr="00963906">
        <w:rPr>
          <w:rFonts w:ascii="Arial" w:hAnsi="Arial" w:cs="Arial"/>
          <w:sz w:val="20"/>
          <w:szCs w:val="20"/>
          <w:highlight w:val="yellow"/>
        </w:rPr>
        <w:t xml:space="preserve">. </w:t>
      </w:r>
    </w:p>
    <w:bookmarkEnd w:id="2"/>
    <w:p w14:paraId="233C28B3" w14:textId="77777777" w:rsidR="00EC0E7C" w:rsidRDefault="00EC0E7C" w:rsidP="00EC0E7C">
      <w:pPr>
        <w:pStyle w:val="NoSpacing"/>
        <w:rPr>
          <w:rFonts w:ascii="Arial" w:hAnsi="Arial" w:cs="Arial"/>
          <w:b/>
          <w:sz w:val="24"/>
        </w:rPr>
      </w:pPr>
    </w:p>
    <w:p w14:paraId="5F2D8E69" w14:textId="77777777" w:rsidR="008B7650" w:rsidRDefault="008B7650" w:rsidP="00EC0E7C">
      <w:pPr>
        <w:pStyle w:val="NoSpacing"/>
        <w:rPr>
          <w:rFonts w:ascii="Arial" w:hAnsi="Arial" w:cs="Arial"/>
          <w:b/>
          <w:sz w:val="24"/>
          <w:highlight w:val="yellow"/>
        </w:rPr>
      </w:pPr>
    </w:p>
    <w:p w14:paraId="03CE3762" w14:textId="77777777" w:rsidR="008B7650" w:rsidRDefault="008B7650" w:rsidP="00EC0E7C">
      <w:pPr>
        <w:pStyle w:val="NoSpacing"/>
        <w:rPr>
          <w:rFonts w:ascii="Arial" w:hAnsi="Arial" w:cs="Arial"/>
          <w:b/>
          <w:sz w:val="24"/>
          <w:highlight w:val="yellow"/>
        </w:rPr>
      </w:pPr>
    </w:p>
    <w:p w14:paraId="55F2164B" w14:textId="71BD3CB1" w:rsidR="00EC0E7C" w:rsidRPr="00752972" w:rsidRDefault="00EC0E7C" w:rsidP="00EC0E7C">
      <w:pPr>
        <w:pStyle w:val="NoSpacing"/>
        <w:rPr>
          <w:rFonts w:ascii="Arial" w:hAnsi="Arial" w:cs="Arial"/>
          <w:b/>
          <w:sz w:val="24"/>
        </w:rPr>
      </w:pPr>
      <w:r w:rsidRPr="008B7650">
        <w:rPr>
          <w:rFonts w:ascii="Arial" w:hAnsi="Arial" w:cs="Arial"/>
          <w:b/>
          <w:sz w:val="24"/>
          <w:highlight w:val="yellow"/>
        </w:rPr>
        <w:t>REFERENCES</w:t>
      </w:r>
    </w:p>
    <w:p w14:paraId="2AE60ABF"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Abid, N., Khatoon, A., Maqbool, A., Irfan, M., Bashir, A., Asif, I., ... &amp; Malik, K. A. (2017). Transgenic expression of phytase in wheat endosperm increases bioavailability of iron and zinc in grains. </w:t>
      </w:r>
      <w:r w:rsidRPr="008B7650">
        <w:rPr>
          <w:rFonts w:ascii="Arial" w:hAnsi="Arial" w:cs="Arial"/>
          <w:i/>
          <w:iCs/>
          <w:sz w:val="20"/>
          <w:szCs w:val="20"/>
          <w:highlight w:val="yellow"/>
        </w:rPr>
        <w:t>Transgenic research</w:t>
      </w:r>
      <w:r w:rsidRPr="008B7650">
        <w:rPr>
          <w:rFonts w:ascii="Arial" w:hAnsi="Arial" w:cs="Arial"/>
          <w:sz w:val="20"/>
          <w:szCs w:val="20"/>
          <w:highlight w:val="yellow"/>
        </w:rPr>
        <w:t>, </w:t>
      </w:r>
      <w:r w:rsidRPr="008B7650">
        <w:rPr>
          <w:rFonts w:ascii="Arial" w:hAnsi="Arial" w:cs="Arial"/>
          <w:i/>
          <w:iCs/>
          <w:sz w:val="20"/>
          <w:szCs w:val="20"/>
          <w:highlight w:val="yellow"/>
        </w:rPr>
        <w:t>26</w:t>
      </w:r>
      <w:r w:rsidRPr="008B7650">
        <w:rPr>
          <w:rFonts w:ascii="Arial" w:hAnsi="Arial" w:cs="Arial"/>
          <w:sz w:val="20"/>
          <w:szCs w:val="20"/>
          <w:highlight w:val="yellow"/>
        </w:rPr>
        <w:t>(1), 109-122.</w:t>
      </w:r>
    </w:p>
    <w:p w14:paraId="56371083"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Albacete, A., Martínez-</w:t>
      </w:r>
      <w:proofErr w:type="spellStart"/>
      <w:r w:rsidRPr="008B7650">
        <w:rPr>
          <w:rFonts w:ascii="Arial" w:hAnsi="Arial" w:cs="Arial"/>
          <w:sz w:val="20"/>
          <w:szCs w:val="20"/>
          <w:highlight w:val="yellow"/>
        </w:rPr>
        <w:t>Andújar</w:t>
      </w:r>
      <w:proofErr w:type="spellEnd"/>
      <w:r w:rsidRPr="008B7650">
        <w:rPr>
          <w:rFonts w:ascii="Arial" w:hAnsi="Arial" w:cs="Arial"/>
          <w:sz w:val="20"/>
          <w:szCs w:val="20"/>
          <w:highlight w:val="yellow"/>
        </w:rPr>
        <w:t>, C., Martínez-Pérez, A., Thompson, A. J., Dodd, I. C., &amp; Pérez-</w:t>
      </w:r>
      <w:proofErr w:type="spellStart"/>
      <w:r w:rsidRPr="008B7650">
        <w:rPr>
          <w:rFonts w:ascii="Arial" w:hAnsi="Arial" w:cs="Arial"/>
          <w:sz w:val="20"/>
          <w:szCs w:val="20"/>
          <w:highlight w:val="yellow"/>
        </w:rPr>
        <w:t>Alfocea</w:t>
      </w:r>
      <w:proofErr w:type="spellEnd"/>
      <w:r w:rsidRPr="008B7650">
        <w:rPr>
          <w:rFonts w:ascii="Arial" w:hAnsi="Arial" w:cs="Arial"/>
          <w:sz w:val="20"/>
          <w:szCs w:val="20"/>
          <w:highlight w:val="yellow"/>
        </w:rPr>
        <w:t>, F. (2015). Unravelling rootstock× scion interactions to improve food security. </w:t>
      </w:r>
      <w:r w:rsidRPr="008B7650">
        <w:rPr>
          <w:rFonts w:ascii="Arial" w:hAnsi="Arial" w:cs="Arial"/>
          <w:i/>
          <w:iCs/>
          <w:sz w:val="20"/>
          <w:szCs w:val="20"/>
          <w:highlight w:val="yellow"/>
        </w:rPr>
        <w:t>Journal of experimental botany</w:t>
      </w:r>
      <w:r w:rsidRPr="008B7650">
        <w:rPr>
          <w:rFonts w:ascii="Arial" w:hAnsi="Arial" w:cs="Arial"/>
          <w:sz w:val="20"/>
          <w:szCs w:val="20"/>
          <w:highlight w:val="yellow"/>
        </w:rPr>
        <w:t>, </w:t>
      </w:r>
      <w:r w:rsidRPr="008B7650">
        <w:rPr>
          <w:rFonts w:ascii="Arial" w:hAnsi="Arial" w:cs="Arial"/>
          <w:i/>
          <w:iCs/>
          <w:sz w:val="20"/>
          <w:szCs w:val="20"/>
          <w:highlight w:val="yellow"/>
        </w:rPr>
        <w:t>66</w:t>
      </w:r>
      <w:r w:rsidRPr="008B7650">
        <w:rPr>
          <w:rFonts w:ascii="Arial" w:hAnsi="Arial" w:cs="Arial"/>
          <w:sz w:val="20"/>
          <w:szCs w:val="20"/>
          <w:highlight w:val="yellow"/>
        </w:rPr>
        <w:t xml:space="preserve">(8), 2211-2226. </w:t>
      </w:r>
    </w:p>
    <w:p w14:paraId="1981443D"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Bates, S. L., Zhao, J. Z., Roush, R. T., &amp; Shelton, A. M. (2005). Insect resistance management in GM crops: past, present and future. </w:t>
      </w:r>
      <w:r w:rsidRPr="008B7650">
        <w:rPr>
          <w:rFonts w:ascii="Arial" w:hAnsi="Arial" w:cs="Arial"/>
          <w:i/>
          <w:iCs/>
          <w:sz w:val="20"/>
          <w:szCs w:val="20"/>
          <w:highlight w:val="yellow"/>
        </w:rPr>
        <w:t>Nature biotechnology</w:t>
      </w:r>
      <w:r w:rsidRPr="008B7650">
        <w:rPr>
          <w:rFonts w:ascii="Arial" w:hAnsi="Arial" w:cs="Arial"/>
          <w:sz w:val="20"/>
          <w:szCs w:val="20"/>
          <w:highlight w:val="yellow"/>
        </w:rPr>
        <w:t>, </w:t>
      </w:r>
      <w:r w:rsidRPr="008B7650">
        <w:rPr>
          <w:rFonts w:ascii="Arial" w:hAnsi="Arial" w:cs="Arial"/>
          <w:i/>
          <w:iCs/>
          <w:sz w:val="20"/>
          <w:szCs w:val="20"/>
          <w:highlight w:val="yellow"/>
        </w:rPr>
        <w:t>23</w:t>
      </w:r>
      <w:r w:rsidRPr="008B7650">
        <w:rPr>
          <w:rFonts w:ascii="Arial" w:hAnsi="Arial" w:cs="Arial"/>
          <w:sz w:val="20"/>
          <w:szCs w:val="20"/>
          <w:highlight w:val="yellow"/>
        </w:rPr>
        <w:t>(1), 57-62.</w:t>
      </w:r>
    </w:p>
    <w:p w14:paraId="0F23990D"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Chawla, H. S. (2000). Introduction to plant biotechnology. Inc. Enfield. </w:t>
      </w:r>
      <w:r w:rsidRPr="008B7650">
        <w:rPr>
          <w:rFonts w:ascii="Arial" w:hAnsi="Arial" w:cs="Arial"/>
          <w:i/>
          <w:iCs/>
          <w:sz w:val="20"/>
          <w:szCs w:val="20"/>
          <w:highlight w:val="yellow"/>
        </w:rPr>
        <w:t>New Hampshire, USA, Science Publisher</w:t>
      </w:r>
      <w:r w:rsidRPr="008B7650">
        <w:rPr>
          <w:rFonts w:ascii="Arial" w:hAnsi="Arial" w:cs="Arial"/>
          <w:sz w:val="20"/>
          <w:szCs w:val="20"/>
          <w:highlight w:val="yellow"/>
        </w:rPr>
        <w:t>, </w:t>
      </w:r>
      <w:r w:rsidRPr="008B7650">
        <w:rPr>
          <w:rFonts w:ascii="Arial" w:hAnsi="Arial" w:cs="Arial"/>
          <w:i/>
          <w:iCs/>
          <w:sz w:val="20"/>
          <w:szCs w:val="20"/>
          <w:highlight w:val="yellow"/>
        </w:rPr>
        <w:t>2</w:t>
      </w:r>
      <w:r w:rsidRPr="008B7650">
        <w:rPr>
          <w:rFonts w:ascii="Arial" w:hAnsi="Arial" w:cs="Arial"/>
          <w:sz w:val="20"/>
          <w:szCs w:val="20"/>
          <w:highlight w:val="yellow"/>
        </w:rPr>
        <w:t>, 230-242.</w:t>
      </w:r>
    </w:p>
    <w:p w14:paraId="63B346BC"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lastRenderedPageBreak/>
        <w:t xml:space="preserve">Collard, B. C., &amp; </w:t>
      </w:r>
      <w:proofErr w:type="spellStart"/>
      <w:r w:rsidRPr="008B7650">
        <w:rPr>
          <w:rFonts w:ascii="Arial" w:hAnsi="Arial" w:cs="Arial"/>
          <w:sz w:val="20"/>
          <w:szCs w:val="20"/>
          <w:highlight w:val="yellow"/>
        </w:rPr>
        <w:t>Mackill</w:t>
      </w:r>
      <w:proofErr w:type="spellEnd"/>
      <w:r w:rsidRPr="008B7650">
        <w:rPr>
          <w:rFonts w:ascii="Arial" w:hAnsi="Arial" w:cs="Arial"/>
          <w:sz w:val="20"/>
          <w:szCs w:val="20"/>
          <w:highlight w:val="yellow"/>
        </w:rPr>
        <w:t>, D. J. (2008). Marker-assisted selection: an approach for precision plant breeding in the twenty-first century. </w:t>
      </w:r>
      <w:r w:rsidRPr="008B7650">
        <w:rPr>
          <w:rFonts w:ascii="Arial" w:hAnsi="Arial" w:cs="Arial"/>
          <w:i/>
          <w:iCs/>
          <w:sz w:val="20"/>
          <w:szCs w:val="20"/>
          <w:highlight w:val="yellow"/>
        </w:rPr>
        <w:t>Philosophical Transactions of the Royal Society B: Biological Sciences</w:t>
      </w:r>
      <w:r w:rsidRPr="008B7650">
        <w:rPr>
          <w:rFonts w:ascii="Arial" w:hAnsi="Arial" w:cs="Arial"/>
          <w:sz w:val="20"/>
          <w:szCs w:val="20"/>
          <w:highlight w:val="yellow"/>
        </w:rPr>
        <w:t>, </w:t>
      </w:r>
      <w:r w:rsidRPr="008B7650">
        <w:rPr>
          <w:rFonts w:ascii="Arial" w:hAnsi="Arial" w:cs="Arial"/>
          <w:i/>
          <w:iCs/>
          <w:sz w:val="20"/>
          <w:szCs w:val="20"/>
          <w:highlight w:val="yellow"/>
        </w:rPr>
        <w:t>363</w:t>
      </w:r>
      <w:r w:rsidRPr="008B7650">
        <w:rPr>
          <w:rFonts w:ascii="Arial" w:hAnsi="Arial" w:cs="Arial"/>
          <w:sz w:val="20"/>
          <w:szCs w:val="20"/>
          <w:highlight w:val="yellow"/>
        </w:rPr>
        <w:t>(1491), 557-572.</w:t>
      </w:r>
    </w:p>
    <w:p w14:paraId="6FAD9148"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Cong, L., Wang, C., Chen, L., Liu, H., Yang, G., &amp; He, G. (2009). Expression of phytoene synthase1 and carotene desaturase </w:t>
      </w:r>
      <w:proofErr w:type="spellStart"/>
      <w:r w:rsidRPr="008B7650">
        <w:rPr>
          <w:rFonts w:ascii="Arial" w:hAnsi="Arial" w:cs="Arial"/>
          <w:sz w:val="20"/>
          <w:szCs w:val="20"/>
          <w:highlight w:val="yellow"/>
        </w:rPr>
        <w:t>crtI</w:t>
      </w:r>
      <w:proofErr w:type="spellEnd"/>
      <w:r w:rsidRPr="008B7650">
        <w:rPr>
          <w:rFonts w:ascii="Arial" w:hAnsi="Arial" w:cs="Arial"/>
          <w:sz w:val="20"/>
          <w:szCs w:val="20"/>
          <w:highlight w:val="yellow"/>
        </w:rPr>
        <w:t xml:space="preserve"> genes result in an increase in the total carotenoids content in transgenic elite wheat (</w:t>
      </w:r>
      <w:r w:rsidRPr="008B7650">
        <w:rPr>
          <w:rFonts w:ascii="Arial" w:hAnsi="Arial" w:cs="Arial"/>
          <w:i/>
          <w:sz w:val="20"/>
          <w:szCs w:val="20"/>
          <w:highlight w:val="yellow"/>
        </w:rPr>
        <w:t xml:space="preserve">Triticum </w:t>
      </w:r>
      <w:proofErr w:type="spellStart"/>
      <w:r w:rsidRPr="008B7650">
        <w:rPr>
          <w:rFonts w:ascii="Arial" w:hAnsi="Arial" w:cs="Arial"/>
          <w:i/>
          <w:sz w:val="20"/>
          <w:szCs w:val="20"/>
          <w:highlight w:val="yellow"/>
        </w:rPr>
        <w:t>aestivum</w:t>
      </w:r>
      <w:proofErr w:type="spellEnd"/>
      <w:r w:rsidRPr="008B7650">
        <w:rPr>
          <w:rFonts w:ascii="Arial" w:hAnsi="Arial" w:cs="Arial"/>
          <w:sz w:val="20"/>
          <w:szCs w:val="20"/>
          <w:highlight w:val="yellow"/>
        </w:rPr>
        <w:t xml:space="preserve"> L.). </w:t>
      </w:r>
      <w:r w:rsidRPr="008B7650">
        <w:rPr>
          <w:rFonts w:ascii="Arial" w:hAnsi="Arial" w:cs="Arial"/>
          <w:i/>
          <w:iCs/>
          <w:sz w:val="20"/>
          <w:szCs w:val="20"/>
          <w:highlight w:val="yellow"/>
        </w:rPr>
        <w:t>Journal of Agricultural and Food Chemistry</w:t>
      </w:r>
      <w:r w:rsidRPr="008B7650">
        <w:rPr>
          <w:rFonts w:ascii="Arial" w:hAnsi="Arial" w:cs="Arial"/>
          <w:sz w:val="20"/>
          <w:szCs w:val="20"/>
          <w:highlight w:val="yellow"/>
        </w:rPr>
        <w:t>, </w:t>
      </w:r>
      <w:r w:rsidRPr="008B7650">
        <w:rPr>
          <w:rFonts w:ascii="Arial" w:hAnsi="Arial" w:cs="Arial"/>
          <w:i/>
          <w:iCs/>
          <w:sz w:val="20"/>
          <w:szCs w:val="20"/>
          <w:highlight w:val="yellow"/>
        </w:rPr>
        <w:t>57</w:t>
      </w:r>
      <w:r w:rsidRPr="008B7650">
        <w:rPr>
          <w:rFonts w:ascii="Arial" w:hAnsi="Arial" w:cs="Arial"/>
          <w:sz w:val="20"/>
          <w:szCs w:val="20"/>
          <w:highlight w:val="yellow"/>
        </w:rPr>
        <w:t>(18), 8652-8660.</w:t>
      </w:r>
    </w:p>
    <w:p w14:paraId="70AB6214"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Damude</w:t>
      </w:r>
      <w:proofErr w:type="spellEnd"/>
      <w:r w:rsidRPr="008B7650">
        <w:rPr>
          <w:rFonts w:ascii="Arial" w:hAnsi="Arial" w:cs="Arial"/>
          <w:sz w:val="20"/>
          <w:szCs w:val="20"/>
          <w:highlight w:val="yellow"/>
        </w:rPr>
        <w:t>, H. G., &amp; Kinney, A. J. (2008). Enhancing plant seed oils for human nutrition. </w:t>
      </w:r>
      <w:r w:rsidRPr="008B7650">
        <w:rPr>
          <w:rFonts w:ascii="Arial" w:hAnsi="Arial" w:cs="Arial"/>
          <w:i/>
          <w:iCs/>
          <w:sz w:val="20"/>
          <w:szCs w:val="20"/>
          <w:highlight w:val="yellow"/>
        </w:rPr>
        <w:t>Plant physiology</w:t>
      </w:r>
      <w:r w:rsidRPr="008B7650">
        <w:rPr>
          <w:rFonts w:ascii="Arial" w:hAnsi="Arial" w:cs="Arial"/>
          <w:sz w:val="20"/>
          <w:szCs w:val="20"/>
          <w:highlight w:val="yellow"/>
        </w:rPr>
        <w:t>, </w:t>
      </w:r>
      <w:r w:rsidRPr="008B7650">
        <w:rPr>
          <w:rFonts w:ascii="Arial" w:hAnsi="Arial" w:cs="Arial"/>
          <w:i/>
          <w:iCs/>
          <w:sz w:val="20"/>
          <w:szCs w:val="20"/>
          <w:highlight w:val="yellow"/>
        </w:rPr>
        <w:t>147</w:t>
      </w:r>
      <w:r w:rsidRPr="008B7650">
        <w:rPr>
          <w:rFonts w:ascii="Arial" w:hAnsi="Arial" w:cs="Arial"/>
          <w:sz w:val="20"/>
          <w:szCs w:val="20"/>
          <w:highlight w:val="yellow"/>
        </w:rPr>
        <w:t>(3), 962-968.</w:t>
      </w:r>
    </w:p>
    <w:p w14:paraId="79DE7AE5"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Dandekar, A. M., Jacobson, A., Ibáñez, A. M., </w:t>
      </w:r>
      <w:proofErr w:type="spellStart"/>
      <w:r w:rsidRPr="008B7650">
        <w:rPr>
          <w:rFonts w:ascii="Arial" w:hAnsi="Arial" w:cs="Arial"/>
          <w:sz w:val="20"/>
          <w:szCs w:val="20"/>
          <w:highlight w:val="yellow"/>
        </w:rPr>
        <w:t>Gouran</w:t>
      </w:r>
      <w:proofErr w:type="spellEnd"/>
      <w:r w:rsidRPr="008B7650">
        <w:rPr>
          <w:rFonts w:ascii="Arial" w:hAnsi="Arial" w:cs="Arial"/>
          <w:sz w:val="20"/>
          <w:szCs w:val="20"/>
          <w:highlight w:val="yellow"/>
        </w:rPr>
        <w:t xml:space="preserve">, H., Dolan, D. L., </w:t>
      </w:r>
      <w:proofErr w:type="spellStart"/>
      <w:r w:rsidRPr="008B7650">
        <w:rPr>
          <w:rFonts w:ascii="Arial" w:hAnsi="Arial" w:cs="Arial"/>
          <w:sz w:val="20"/>
          <w:szCs w:val="20"/>
          <w:highlight w:val="yellow"/>
        </w:rPr>
        <w:t>Agüero</w:t>
      </w:r>
      <w:proofErr w:type="spellEnd"/>
      <w:r w:rsidRPr="008B7650">
        <w:rPr>
          <w:rFonts w:ascii="Arial" w:hAnsi="Arial" w:cs="Arial"/>
          <w:sz w:val="20"/>
          <w:szCs w:val="20"/>
          <w:highlight w:val="yellow"/>
        </w:rPr>
        <w:t xml:space="preserve">, C. B., ... &amp; </w:t>
      </w:r>
      <w:proofErr w:type="spellStart"/>
      <w:r w:rsidRPr="008B7650">
        <w:rPr>
          <w:rFonts w:ascii="Arial" w:hAnsi="Arial" w:cs="Arial"/>
          <w:sz w:val="20"/>
          <w:szCs w:val="20"/>
          <w:highlight w:val="yellow"/>
        </w:rPr>
        <w:t>Zaini</w:t>
      </w:r>
      <w:proofErr w:type="spellEnd"/>
      <w:r w:rsidRPr="008B7650">
        <w:rPr>
          <w:rFonts w:ascii="Arial" w:hAnsi="Arial" w:cs="Arial"/>
          <w:sz w:val="20"/>
          <w:szCs w:val="20"/>
          <w:highlight w:val="yellow"/>
        </w:rPr>
        <w:t>, P. A. (2019). Trans-graft protection against Pierce’s disease mediated by transgenic grapevine rootstocks. </w:t>
      </w:r>
      <w:r w:rsidRPr="008B7650">
        <w:rPr>
          <w:rFonts w:ascii="Arial" w:hAnsi="Arial" w:cs="Arial"/>
          <w:i/>
          <w:iCs/>
          <w:sz w:val="20"/>
          <w:szCs w:val="20"/>
          <w:highlight w:val="yellow"/>
        </w:rPr>
        <w:t>Frontiers in plant science</w:t>
      </w:r>
      <w:r w:rsidRPr="008B7650">
        <w:rPr>
          <w:rFonts w:ascii="Arial" w:hAnsi="Arial" w:cs="Arial"/>
          <w:sz w:val="20"/>
          <w:szCs w:val="20"/>
          <w:highlight w:val="yellow"/>
        </w:rPr>
        <w:t>, </w:t>
      </w:r>
      <w:r w:rsidRPr="008B7650">
        <w:rPr>
          <w:rFonts w:ascii="Arial" w:hAnsi="Arial" w:cs="Arial"/>
          <w:i/>
          <w:iCs/>
          <w:sz w:val="20"/>
          <w:szCs w:val="20"/>
          <w:highlight w:val="yellow"/>
        </w:rPr>
        <w:t>10</w:t>
      </w:r>
      <w:r w:rsidRPr="008B7650">
        <w:rPr>
          <w:rFonts w:ascii="Arial" w:hAnsi="Arial" w:cs="Arial"/>
          <w:sz w:val="20"/>
          <w:szCs w:val="20"/>
          <w:highlight w:val="yellow"/>
        </w:rPr>
        <w:t>, 84.</w:t>
      </w:r>
    </w:p>
    <w:p w14:paraId="671D971A"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Diretto</w:t>
      </w:r>
      <w:proofErr w:type="spellEnd"/>
      <w:r w:rsidRPr="008B7650">
        <w:rPr>
          <w:rFonts w:ascii="Arial" w:hAnsi="Arial" w:cs="Arial"/>
          <w:sz w:val="20"/>
          <w:szCs w:val="20"/>
          <w:highlight w:val="yellow"/>
        </w:rPr>
        <w:t xml:space="preserve">, G., </w:t>
      </w:r>
      <w:proofErr w:type="spellStart"/>
      <w:r w:rsidRPr="008B7650">
        <w:rPr>
          <w:rFonts w:ascii="Arial" w:hAnsi="Arial" w:cs="Arial"/>
          <w:sz w:val="20"/>
          <w:szCs w:val="20"/>
          <w:highlight w:val="yellow"/>
        </w:rPr>
        <w:t>Tavazza</w:t>
      </w:r>
      <w:proofErr w:type="spellEnd"/>
      <w:r w:rsidRPr="008B7650">
        <w:rPr>
          <w:rFonts w:ascii="Arial" w:hAnsi="Arial" w:cs="Arial"/>
          <w:sz w:val="20"/>
          <w:szCs w:val="20"/>
          <w:highlight w:val="yellow"/>
        </w:rPr>
        <w:t xml:space="preserve">, R., </w:t>
      </w:r>
      <w:proofErr w:type="spellStart"/>
      <w:r w:rsidRPr="008B7650">
        <w:rPr>
          <w:rFonts w:ascii="Arial" w:hAnsi="Arial" w:cs="Arial"/>
          <w:sz w:val="20"/>
          <w:szCs w:val="20"/>
          <w:highlight w:val="yellow"/>
        </w:rPr>
        <w:t>Welsch</w:t>
      </w:r>
      <w:proofErr w:type="spellEnd"/>
      <w:r w:rsidRPr="008B7650">
        <w:rPr>
          <w:rFonts w:ascii="Arial" w:hAnsi="Arial" w:cs="Arial"/>
          <w:sz w:val="20"/>
          <w:szCs w:val="20"/>
          <w:highlight w:val="yellow"/>
        </w:rPr>
        <w:t xml:space="preserve">, R., </w:t>
      </w:r>
      <w:proofErr w:type="spellStart"/>
      <w:r w:rsidRPr="008B7650">
        <w:rPr>
          <w:rFonts w:ascii="Arial" w:hAnsi="Arial" w:cs="Arial"/>
          <w:sz w:val="20"/>
          <w:szCs w:val="20"/>
          <w:highlight w:val="yellow"/>
        </w:rPr>
        <w:t>Pizzichini</w:t>
      </w:r>
      <w:proofErr w:type="spellEnd"/>
      <w:r w:rsidRPr="008B7650">
        <w:rPr>
          <w:rFonts w:ascii="Arial" w:hAnsi="Arial" w:cs="Arial"/>
          <w:sz w:val="20"/>
          <w:szCs w:val="20"/>
          <w:highlight w:val="yellow"/>
        </w:rPr>
        <w:t xml:space="preserve">, D., </w:t>
      </w:r>
      <w:proofErr w:type="spellStart"/>
      <w:r w:rsidRPr="008B7650">
        <w:rPr>
          <w:rFonts w:ascii="Arial" w:hAnsi="Arial" w:cs="Arial"/>
          <w:sz w:val="20"/>
          <w:szCs w:val="20"/>
          <w:highlight w:val="yellow"/>
        </w:rPr>
        <w:t>Mourgues</w:t>
      </w:r>
      <w:proofErr w:type="spellEnd"/>
      <w:r w:rsidRPr="008B7650">
        <w:rPr>
          <w:rFonts w:ascii="Arial" w:hAnsi="Arial" w:cs="Arial"/>
          <w:sz w:val="20"/>
          <w:szCs w:val="20"/>
          <w:highlight w:val="yellow"/>
        </w:rPr>
        <w:t xml:space="preserve">, F., </w:t>
      </w:r>
      <w:proofErr w:type="spellStart"/>
      <w:r w:rsidRPr="008B7650">
        <w:rPr>
          <w:rFonts w:ascii="Arial" w:hAnsi="Arial" w:cs="Arial"/>
          <w:sz w:val="20"/>
          <w:szCs w:val="20"/>
          <w:highlight w:val="yellow"/>
        </w:rPr>
        <w:t>Papacchioli</w:t>
      </w:r>
      <w:proofErr w:type="spellEnd"/>
      <w:r w:rsidRPr="008B7650">
        <w:rPr>
          <w:rFonts w:ascii="Arial" w:hAnsi="Arial" w:cs="Arial"/>
          <w:sz w:val="20"/>
          <w:szCs w:val="20"/>
          <w:highlight w:val="yellow"/>
        </w:rPr>
        <w:t>, V., ... &amp; Giuliano, G. (2006). Metabolic engineering of potato tuber carotenoids through tuber-specific silencing of lycopene epsilon cyclase. </w:t>
      </w:r>
      <w:r w:rsidRPr="008B7650">
        <w:rPr>
          <w:rFonts w:ascii="Arial" w:hAnsi="Arial" w:cs="Arial"/>
          <w:i/>
          <w:iCs/>
          <w:sz w:val="20"/>
          <w:szCs w:val="20"/>
          <w:highlight w:val="yellow"/>
        </w:rPr>
        <w:t>BMC plant biology</w:t>
      </w:r>
      <w:r w:rsidRPr="008B7650">
        <w:rPr>
          <w:rFonts w:ascii="Arial" w:hAnsi="Arial" w:cs="Arial"/>
          <w:sz w:val="20"/>
          <w:szCs w:val="20"/>
          <w:highlight w:val="yellow"/>
        </w:rPr>
        <w:t>, </w:t>
      </w:r>
      <w:r w:rsidRPr="008B7650">
        <w:rPr>
          <w:rFonts w:ascii="Arial" w:hAnsi="Arial" w:cs="Arial"/>
          <w:i/>
          <w:iCs/>
          <w:sz w:val="20"/>
          <w:szCs w:val="20"/>
          <w:highlight w:val="yellow"/>
        </w:rPr>
        <w:t>6</w:t>
      </w:r>
      <w:r w:rsidRPr="008B7650">
        <w:rPr>
          <w:rFonts w:ascii="Arial" w:hAnsi="Arial" w:cs="Arial"/>
          <w:sz w:val="20"/>
          <w:szCs w:val="20"/>
          <w:highlight w:val="yellow"/>
        </w:rPr>
        <w:t>(1), 13.</w:t>
      </w:r>
    </w:p>
    <w:p w14:paraId="753AC0A5"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Dolde</w:t>
      </w:r>
      <w:proofErr w:type="spellEnd"/>
      <w:r w:rsidRPr="008B7650">
        <w:rPr>
          <w:rFonts w:ascii="Arial" w:hAnsi="Arial" w:cs="Arial"/>
          <w:sz w:val="20"/>
          <w:szCs w:val="20"/>
          <w:highlight w:val="yellow"/>
        </w:rPr>
        <w:t>, D., &amp; Wang, T. (2011). Oxidation of crude corn oil with and without elevated tocotrienols. </w:t>
      </w:r>
      <w:r w:rsidRPr="008B7650">
        <w:rPr>
          <w:rFonts w:ascii="Arial" w:hAnsi="Arial" w:cs="Arial"/>
          <w:i/>
          <w:iCs/>
          <w:sz w:val="20"/>
          <w:szCs w:val="20"/>
          <w:highlight w:val="yellow"/>
        </w:rPr>
        <w:t>Journal of the American Oil Chemists' Society</w:t>
      </w:r>
      <w:r w:rsidRPr="008B7650">
        <w:rPr>
          <w:rFonts w:ascii="Arial" w:hAnsi="Arial" w:cs="Arial"/>
          <w:sz w:val="20"/>
          <w:szCs w:val="20"/>
          <w:highlight w:val="yellow"/>
        </w:rPr>
        <w:t>, </w:t>
      </w:r>
      <w:r w:rsidRPr="008B7650">
        <w:rPr>
          <w:rFonts w:ascii="Arial" w:hAnsi="Arial" w:cs="Arial"/>
          <w:i/>
          <w:iCs/>
          <w:sz w:val="20"/>
          <w:szCs w:val="20"/>
          <w:highlight w:val="yellow"/>
        </w:rPr>
        <w:t>88</w:t>
      </w:r>
      <w:r w:rsidRPr="008B7650">
        <w:rPr>
          <w:rFonts w:ascii="Arial" w:hAnsi="Arial" w:cs="Arial"/>
          <w:sz w:val="20"/>
          <w:szCs w:val="20"/>
          <w:highlight w:val="yellow"/>
        </w:rPr>
        <w:t>(9), 1367-1372.</w:t>
      </w:r>
    </w:p>
    <w:p w14:paraId="69FD71F9"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Dyer, J. M., </w:t>
      </w:r>
      <w:proofErr w:type="spellStart"/>
      <w:r w:rsidRPr="008B7650">
        <w:rPr>
          <w:rFonts w:ascii="Arial" w:hAnsi="Arial" w:cs="Arial"/>
          <w:sz w:val="20"/>
          <w:szCs w:val="20"/>
          <w:highlight w:val="yellow"/>
        </w:rPr>
        <w:t>Stymne</w:t>
      </w:r>
      <w:proofErr w:type="spellEnd"/>
      <w:r w:rsidRPr="008B7650">
        <w:rPr>
          <w:rFonts w:ascii="Arial" w:hAnsi="Arial" w:cs="Arial"/>
          <w:sz w:val="20"/>
          <w:szCs w:val="20"/>
          <w:highlight w:val="yellow"/>
        </w:rPr>
        <w:t>, S., Green, A. G., &amp; Carlsson, A. S. (2008). High</w:t>
      </w:r>
      <w:r w:rsidRPr="008B7650">
        <w:rPr>
          <w:rFonts w:ascii="Cambria Math" w:hAnsi="Cambria Math" w:cs="Cambria Math"/>
          <w:sz w:val="20"/>
          <w:szCs w:val="20"/>
          <w:highlight w:val="yellow"/>
        </w:rPr>
        <w:t>‐</w:t>
      </w:r>
      <w:r w:rsidRPr="008B7650">
        <w:rPr>
          <w:rFonts w:ascii="Arial" w:hAnsi="Arial" w:cs="Arial"/>
          <w:sz w:val="20"/>
          <w:szCs w:val="20"/>
          <w:highlight w:val="yellow"/>
        </w:rPr>
        <w:t>value oils from plants. </w:t>
      </w:r>
      <w:r w:rsidRPr="008B7650">
        <w:rPr>
          <w:rFonts w:ascii="Arial" w:hAnsi="Arial" w:cs="Arial"/>
          <w:i/>
          <w:iCs/>
          <w:sz w:val="20"/>
          <w:szCs w:val="20"/>
          <w:highlight w:val="yellow"/>
        </w:rPr>
        <w:t>The Plant Journal</w:t>
      </w:r>
      <w:r w:rsidRPr="008B7650">
        <w:rPr>
          <w:rFonts w:ascii="Arial" w:hAnsi="Arial" w:cs="Arial"/>
          <w:sz w:val="20"/>
          <w:szCs w:val="20"/>
          <w:highlight w:val="yellow"/>
        </w:rPr>
        <w:t>, </w:t>
      </w:r>
      <w:r w:rsidRPr="008B7650">
        <w:rPr>
          <w:rFonts w:ascii="Arial" w:hAnsi="Arial" w:cs="Arial"/>
          <w:i/>
          <w:iCs/>
          <w:sz w:val="20"/>
          <w:szCs w:val="20"/>
          <w:highlight w:val="yellow"/>
        </w:rPr>
        <w:t>54</w:t>
      </w:r>
      <w:r w:rsidRPr="008B7650">
        <w:rPr>
          <w:rFonts w:ascii="Arial" w:hAnsi="Arial" w:cs="Arial"/>
          <w:sz w:val="20"/>
          <w:szCs w:val="20"/>
          <w:highlight w:val="yellow"/>
        </w:rPr>
        <w:t>(4), 640-655.</w:t>
      </w:r>
    </w:p>
    <w:p w14:paraId="3B0A5D5C"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Funke, T., Han, H., Healy-Fried, M. L., Fischer, M., &amp; </w:t>
      </w:r>
      <w:proofErr w:type="spellStart"/>
      <w:r w:rsidRPr="008B7650">
        <w:rPr>
          <w:rFonts w:ascii="Arial" w:hAnsi="Arial" w:cs="Arial"/>
          <w:sz w:val="20"/>
          <w:szCs w:val="20"/>
          <w:highlight w:val="yellow"/>
        </w:rPr>
        <w:t>Schönbrunn</w:t>
      </w:r>
      <w:proofErr w:type="spellEnd"/>
      <w:r w:rsidRPr="008B7650">
        <w:rPr>
          <w:rFonts w:ascii="Arial" w:hAnsi="Arial" w:cs="Arial"/>
          <w:sz w:val="20"/>
          <w:szCs w:val="20"/>
          <w:highlight w:val="yellow"/>
        </w:rPr>
        <w:t>, E. (2006). Molecular basis for the herbicide resistance of Roundup Ready crops. </w:t>
      </w:r>
      <w:r w:rsidRPr="008B7650">
        <w:rPr>
          <w:rFonts w:ascii="Arial" w:hAnsi="Arial" w:cs="Arial"/>
          <w:i/>
          <w:iCs/>
          <w:sz w:val="20"/>
          <w:szCs w:val="20"/>
          <w:highlight w:val="yellow"/>
        </w:rPr>
        <w:t>Proceedings of the National Academy of Sciences</w:t>
      </w:r>
      <w:r w:rsidRPr="008B7650">
        <w:rPr>
          <w:rFonts w:ascii="Arial" w:hAnsi="Arial" w:cs="Arial"/>
          <w:sz w:val="20"/>
          <w:szCs w:val="20"/>
          <w:highlight w:val="yellow"/>
        </w:rPr>
        <w:t>, </w:t>
      </w:r>
      <w:r w:rsidRPr="008B7650">
        <w:rPr>
          <w:rFonts w:ascii="Arial" w:hAnsi="Arial" w:cs="Arial"/>
          <w:i/>
          <w:iCs/>
          <w:sz w:val="20"/>
          <w:szCs w:val="20"/>
          <w:highlight w:val="yellow"/>
        </w:rPr>
        <w:t>103</w:t>
      </w:r>
      <w:r w:rsidRPr="008B7650">
        <w:rPr>
          <w:rFonts w:ascii="Arial" w:hAnsi="Arial" w:cs="Arial"/>
          <w:sz w:val="20"/>
          <w:szCs w:val="20"/>
          <w:highlight w:val="yellow"/>
        </w:rPr>
        <w:t>(35), 13010-13015.</w:t>
      </w:r>
    </w:p>
    <w:p w14:paraId="17AC6E96"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Garg, M., Sharma, N., Sharma, S., Kapoor, P., Kumar, A., </w:t>
      </w:r>
      <w:proofErr w:type="spellStart"/>
      <w:r w:rsidRPr="008B7650">
        <w:rPr>
          <w:rFonts w:ascii="Arial" w:hAnsi="Arial" w:cs="Arial"/>
          <w:sz w:val="20"/>
          <w:szCs w:val="20"/>
          <w:highlight w:val="yellow"/>
        </w:rPr>
        <w:t>Chunduri</w:t>
      </w:r>
      <w:proofErr w:type="spellEnd"/>
      <w:r w:rsidRPr="008B7650">
        <w:rPr>
          <w:rFonts w:ascii="Arial" w:hAnsi="Arial" w:cs="Arial"/>
          <w:sz w:val="20"/>
          <w:szCs w:val="20"/>
          <w:highlight w:val="yellow"/>
        </w:rPr>
        <w:t>, V., &amp; Arora, P. (2018). Biofortified crops generated by breeding, agronomy, and transgenic approaches are improving lives of millions of people around the world. </w:t>
      </w:r>
      <w:r w:rsidRPr="008B7650">
        <w:rPr>
          <w:rFonts w:ascii="Arial" w:hAnsi="Arial" w:cs="Arial"/>
          <w:i/>
          <w:iCs/>
          <w:sz w:val="20"/>
          <w:szCs w:val="20"/>
          <w:highlight w:val="yellow"/>
        </w:rPr>
        <w:t>Frontiers in nutrition</w:t>
      </w:r>
      <w:r w:rsidRPr="008B7650">
        <w:rPr>
          <w:rFonts w:ascii="Arial" w:hAnsi="Arial" w:cs="Arial"/>
          <w:sz w:val="20"/>
          <w:szCs w:val="20"/>
          <w:highlight w:val="yellow"/>
        </w:rPr>
        <w:t>, </w:t>
      </w:r>
      <w:r w:rsidRPr="008B7650">
        <w:rPr>
          <w:rFonts w:ascii="Arial" w:hAnsi="Arial" w:cs="Arial"/>
          <w:i/>
          <w:iCs/>
          <w:sz w:val="20"/>
          <w:szCs w:val="20"/>
          <w:highlight w:val="yellow"/>
        </w:rPr>
        <w:t>5</w:t>
      </w:r>
      <w:r w:rsidRPr="008B7650">
        <w:rPr>
          <w:rFonts w:ascii="Arial" w:hAnsi="Arial" w:cs="Arial"/>
          <w:sz w:val="20"/>
          <w:szCs w:val="20"/>
          <w:highlight w:val="yellow"/>
        </w:rPr>
        <w:t>, 12.</w:t>
      </w:r>
    </w:p>
    <w:p w14:paraId="4D1B3401"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Gibson, R. S. (2007). The role of diet-and host-related factors in nutrient bioavailability and thus in nutrient-based dietary requirement estimates. </w:t>
      </w:r>
      <w:r w:rsidRPr="008B7650">
        <w:rPr>
          <w:rFonts w:ascii="Arial" w:hAnsi="Arial" w:cs="Arial"/>
          <w:i/>
          <w:iCs/>
          <w:sz w:val="20"/>
          <w:szCs w:val="20"/>
          <w:highlight w:val="yellow"/>
        </w:rPr>
        <w:t>Food and Nutrition Bulletin</w:t>
      </w:r>
      <w:r w:rsidRPr="008B7650">
        <w:rPr>
          <w:rFonts w:ascii="Arial" w:hAnsi="Arial" w:cs="Arial"/>
          <w:sz w:val="20"/>
          <w:szCs w:val="20"/>
          <w:highlight w:val="yellow"/>
        </w:rPr>
        <w:t>, </w:t>
      </w:r>
      <w:r w:rsidRPr="008B7650">
        <w:rPr>
          <w:rFonts w:ascii="Arial" w:hAnsi="Arial" w:cs="Arial"/>
          <w:i/>
          <w:iCs/>
          <w:sz w:val="20"/>
          <w:szCs w:val="20"/>
          <w:highlight w:val="yellow"/>
        </w:rPr>
        <w:t>28</w:t>
      </w:r>
      <w:r w:rsidRPr="008B7650">
        <w:rPr>
          <w:rFonts w:ascii="Arial" w:hAnsi="Arial" w:cs="Arial"/>
          <w:sz w:val="20"/>
          <w:szCs w:val="20"/>
          <w:highlight w:val="yellow"/>
        </w:rPr>
        <w:t>(1_suppl1), S77-S100.</w:t>
      </w:r>
    </w:p>
    <w:p w14:paraId="27A6D717"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Gibson, R. S., Bailey, K. B., Gibbs, M., &amp; Ferguson, E. L. (2010). A review of phytate, iron, zinc, and calcium concentrations in plant-based complementary foods used in low-income countries and implications for bioavailability. </w:t>
      </w:r>
      <w:r w:rsidRPr="008B7650">
        <w:rPr>
          <w:rFonts w:ascii="Arial" w:hAnsi="Arial" w:cs="Arial"/>
          <w:i/>
          <w:iCs/>
          <w:sz w:val="20"/>
          <w:szCs w:val="20"/>
          <w:highlight w:val="yellow"/>
        </w:rPr>
        <w:t>Food and nutrition bulletin</w:t>
      </w:r>
      <w:r w:rsidRPr="008B7650">
        <w:rPr>
          <w:rFonts w:ascii="Arial" w:hAnsi="Arial" w:cs="Arial"/>
          <w:sz w:val="20"/>
          <w:szCs w:val="20"/>
          <w:highlight w:val="yellow"/>
        </w:rPr>
        <w:t>, </w:t>
      </w:r>
      <w:r w:rsidRPr="008B7650">
        <w:rPr>
          <w:rFonts w:ascii="Arial" w:hAnsi="Arial" w:cs="Arial"/>
          <w:i/>
          <w:iCs/>
          <w:sz w:val="20"/>
          <w:szCs w:val="20"/>
          <w:highlight w:val="yellow"/>
        </w:rPr>
        <w:t>31</w:t>
      </w:r>
      <w:r w:rsidRPr="008B7650">
        <w:rPr>
          <w:rFonts w:ascii="Arial" w:hAnsi="Arial" w:cs="Arial"/>
          <w:sz w:val="20"/>
          <w:szCs w:val="20"/>
          <w:highlight w:val="yellow"/>
        </w:rPr>
        <w:t>(2_suppl2), S134-S146.</w:t>
      </w:r>
    </w:p>
    <w:p w14:paraId="46966732"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Guan, Z. J., Guo, B., </w:t>
      </w:r>
      <w:proofErr w:type="spellStart"/>
      <w:r w:rsidRPr="008B7650">
        <w:rPr>
          <w:rFonts w:ascii="Arial" w:hAnsi="Arial" w:cs="Arial"/>
          <w:sz w:val="20"/>
          <w:szCs w:val="20"/>
          <w:highlight w:val="yellow"/>
        </w:rPr>
        <w:t>Huo</w:t>
      </w:r>
      <w:proofErr w:type="spellEnd"/>
      <w:r w:rsidRPr="008B7650">
        <w:rPr>
          <w:rFonts w:ascii="Arial" w:hAnsi="Arial" w:cs="Arial"/>
          <w:sz w:val="20"/>
          <w:szCs w:val="20"/>
          <w:highlight w:val="yellow"/>
        </w:rPr>
        <w:t>, Y. L., Guan, Z. P., Dai, J. K., &amp; Wei, Y. H. (2013). Recent advances and safety issues of transgenic plant-derived vaccines. </w:t>
      </w:r>
      <w:r w:rsidRPr="008B7650">
        <w:rPr>
          <w:rFonts w:ascii="Arial" w:hAnsi="Arial" w:cs="Arial"/>
          <w:i/>
          <w:iCs/>
          <w:sz w:val="20"/>
          <w:szCs w:val="20"/>
          <w:highlight w:val="yellow"/>
        </w:rPr>
        <w:t>Applied microbiology and biotechnology</w:t>
      </w:r>
      <w:r w:rsidRPr="008B7650">
        <w:rPr>
          <w:rFonts w:ascii="Arial" w:hAnsi="Arial" w:cs="Arial"/>
          <w:sz w:val="20"/>
          <w:szCs w:val="20"/>
          <w:highlight w:val="yellow"/>
        </w:rPr>
        <w:t>, </w:t>
      </w:r>
      <w:r w:rsidRPr="008B7650">
        <w:rPr>
          <w:rFonts w:ascii="Arial" w:hAnsi="Arial" w:cs="Arial"/>
          <w:i/>
          <w:iCs/>
          <w:sz w:val="20"/>
          <w:szCs w:val="20"/>
          <w:highlight w:val="yellow"/>
        </w:rPr>
        <w:t>97</w:t>
      </w:r>
      <w:r w:rsidRPr="008B7650">
        <w:rPr>
          <w:rFonts w:ascii="Arial" w:hAnsi="Arial" w:cs="Arial"/>
          <w:sz w:val="20"/>
          <w:szCs w:val="20"/>
          <w:highlight w:val="yellow"/>
        </w:rPr>
        <w:t>(7), 2817-2840.</w:t>
      </w:r>
    </w:p>
    <w:p w14:paraId="1301BAD7"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Hallberg, L., &amp; </w:t>
      </w:r>
      <w:proofErr w:type="spellStart"/>
      <w:r w:rsidRPr="008B7650">
        <w:rPr>
          <w:rFonts w:ascii="Arial" w:hAnsi="Arial" w:cs="Arial"/>
          <w:sz w:val="20"/>
          <w:szCs w:val="20"/>
          <w:highlight w:val="yellow"/>
        </w:rPr>
        <w:t>Hulthén</w:t>
      </w:r>
      <w:proofErr w:type="spellEnd"/>
      <w:r w:rsidRPr="008B7650">
        <w:rPr>
          <w:rFonts w:ascii="Arial" w:hAnsi="Arial" w:cs="Arial"/>
          <w:sz w:val="20"/>
          <w:szCs w:val="20"/>
          <w:highlight w:val="yellow"/>
        </w:rPr>
        <w:t>, L. (2000). Prediction of dietary iron absorption: an algorithm for calculating absorption and bioavailability of dietary iron. </w:t>
      </w:r>
      <w:r w:rsidRPr="008B7650">
        <w:rPr>
          <w:rFonts w:ascii="Arial" w:hAnsi="Arial" w:cs="Arial"/>
          <w:i/>
          <w:iCs/>
          <w:sz w:val="20"/>
          <w:szCs w:val="20"/>
          <w:highlight w:val="yellow"/>
        </w:rPr>
        <w:t>The American journal of clinical nutrition</w:t>
      </w:r>
      <w:r w:rsidRPr="008B7650">
        <w:rPr>
          <w:rFonts w:ascii="Arial" w:hAnsi="Arial" w:cs="Arial"/>
          <w:sz w:val="20"/>
          <w:szCs w:val="20"/>
          <w:highlight w:val="yellow"/>
        </w:rPr>
        <w:t>, </w:t>
      </w:r>
      <w:r w:rsidRPr="008B7650">
        <w:rPr>
          <w:rFonts w:ascii="Arial" w:hAnsi="Arial" w:cs="Arial"/>
          <w:i/>
          <w:iCs/>
          <w:sz w:val="20"/>
          <w:szCs w:val="20"/>
          <w:highlight w:val="yellow"/>
        </w:rPr>
        <w:t>71</w:t>
      </w:r>
      <w:r w:rsidRPr="008B7650">
        <w:rPr>
          <w:rFonts w:ascii="Arial" w:hAnsi="Arial" w:cs="Arial"/>
          <w:sz w:val="20"/>
          <w:szCs w:val="20"/>
          <w:highlight w:val="yellow"/>
        </w:rPr>
        <w:t>(5), 1147-1160.</w:t>
      </w:r>
    </w:p>
    <w:p w14:paraId="44697D22"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Hiatt, A., &amp; Pauly, M. (2006). Monoclonal antibodies from plants: a new speed record. </w:t>
      </w:r>
      <w:r w:rsidRPr="008B7650">
        <w:rPr>
          <w:rFonts w:ascii="Arial" w:hAnsi="Arial" w:cs="Arial"/>
          <w:i/>
          <w:iCs/>
          <w:sz w:val="20"/>
          <w:szCs w:val="20"/>
          <w:highlight w:val="yellow"/>
        </w:rPr>
        <w:t>Proceedings of the National Academy of Sciences</w:t>
      </w:r>
      <w:r w:rsidRPr="008B7650">
        <w:rPr>
          <w:rFonts w:ascii="Arial" w:hAnsi="Arial" w:cs="Arial"/>
          <w:sz w:val="20"/>
          <w:szCs w:val="20"/>
          <w:highlight w:val="yellow"/>
        </w:rPr>
        <w:t>, </w:t>
      </w:r>
      <w:r w:rsidRPr="008B7650">
        <w:rPr>
          <w:rFonts w:ascii="Arial" w:hAnsi="Arial" w:cs="Arial"/>
          <w:i/>
          <w:iCs/>
          <w:sz w:val="20"/>
          <w:szCs w:val="20"/>
          <w:highlight w:val="yellow"/>
        </w:rPr>
        <w:t>103</w:t>
      </w:r>
      <w:r w:rsidRPr="008B7650">
        <w:rPr>
          <w:rFonts w:ascii="Arial" w:hAnsi="Arial" w:cs="Arial"/>
          <w:sz w:val="20"/>
          <w:szCs w:val="20"/>
          <w:highlight w:val="yellow"/>
        </w:rPr>
        <w:t>(40), 14645-14646.</w:t>
      </w:r>
    </w:p>
    <w:p w14:paraId="1DF24F94"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Hiatt, A., </w:t>
      </w:r>
      <w:proofErr w:type="spellStart"/>
      <w:r w:rsidRPr="008B7650">
        <w:rPr>
          <w:rFonts w:ascii="Arial" w:hAnsi="Arial" w:cs="Arial"/>
          <w:sz w:val="20"/>
          <w:szCs w:val="20"/>
          <w:highlight w:val="yellow"/>
        </w:rPr>
        <w:t>Caffferkey</w:t>
      </w:r>
      <w:proofErr w:type="spellEnd"/>
      <w:r w:rsidRPr="008B7650">
        <w:rPr>
          <w:rFonts w:ascii="Arial" w:hAnsi="Arial" w:cs="Arial"/>
          <w:sz w:val="20"/>
          <w:szCs w:val="20"/>
          <w:highlight w:val="yellow"/>
        </w:rPr>
        <w:t xml:space="preserve">, R., &amp; </w:t>
      </w:r>
      <w:proofErr w:type="spellStart"/>
      <w:r w:rsidRPr="008B7650">
        <w:rPr>
          <w:rFonts w:ascii="Arial" w:hAnsi="Arial" w:cs="Arial"/>
          <w:sz w:val="20"/>
          <w:szCs w:val="20"/>
          <w:highlight w:val="yellow"/>
        </w:rPr>
        <w:t>Bowdish</w:t>
      </w:r>
      <w:proofErr w:type="spellEnd"/>
      <w:r w:rsidRPr="008B7650">
        <w:rPr>
          <w:rFonts w:ascii="Arial" w:hAnsi="Arial" w:cs="Arial"/>
          <w:sz w:val="20"/>
          <w:szCs w:val="20"/>
          <w:highlight w:val="yellow"/>
        </w:rPr>
        <w:t>, K. (1989). Production of antibodies in transgenic plants. </w:t>
      </w:r>
      <w:r w:rsidRPr="008B7650">
        <w:rPr>
          <w:rFonts w:ascii="Arial" w:hAnsi="Arial" w:cs="Arial"/>
          <w:i/>
          <w:iCs/>
          <w:sz w:val="20"/>
          <w:szCs w:val="20"/>
          <w:highlight w:val="yellow"/>
        </w:rPr>
        <w:t>Nature</w:t>
      </w:r>
      <w:r w:rsidRPr="008B7650">
        <w:rPr>
          <w:rFonts w:ascii="Arial" w:hAnsi="Arial" w:cs="Arial"/>
          <w:sz w:val="20"/>
          <w:szCs w:val="20"/>
          <w:highlight w:val="yellow"/>
        </w:rPr>
        <w:t>, </w:t>
      </w:r>
      <w:r w:rsidRPr="008B7650">
        <w:rPr>
          <w:rFonts w:ascii="Arial" w:hAnsi="Arial" w:cs="Arial"/>
          <w:i/>
          <w:iCs/>
          <w:sz w:val="20"/>
          <w:szCs w:val="20"/>
          <w:highlight w:val="yellow"/>
        </w:rPr>
        <w:t>342</w:t>
      </w:r>
      <w:r w:rsidRPr="008B7650">
        <w:rPr>
          <w:rFonts w:ascii="Arial" w:hAnsi="Arial" w:cs="Arial"/>
          <w:sz w:val="20"/>
          <w:szCs w:val="20"/>
          <w:highlight w:val="yellow"/>
        </w:rPr>
        <w:t>(6245), 76-78.</w:t>
      </w:r>
    </w:p>
    <w:p w14:paraId="73E3AC84"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proofErr w:type="spellStart"/>
      <w:r w:rsidRPr="008B7650">
        <w:rPr>
          <w:rFonts w:ascii="Arial" w:hAnsi="Arial" w:cs="Arial"/>
          <w:color w:val="222222"/>
          <w:sz w:val="20"/>
          <w:szCs w:val="20"/>
          <w:highlight w:val="yellow"/>
          <w:shd w:val="clear" w:color="auto" w:fill="FFFFFF"/>
        </w:rPr>
        <w:t>Jyotika</w:t>
      </w:r>
      <w:proofErr w:type="spellEnd"/>
      <w:r w:rsidRPr="008B7650">
        <w:rPr>
          <w:rFonts w:ascii="Arial" w:hAnsi="Arial" w:cs="Arial"/>
          <w:color w:val="222222"/>
          <w:sz w:val="20"/>
          <w:szCs w:val="20"/>
          <w:highlight w:val="yellow"/>
          <w:shd w:val="clear" w:color="auto" w:fill="FFFFFF"/>
        </w:rPr>
        <w:t xml:space="preserve">, R. K., Harish, S., Karthikeyan, G., Kumar, K. K., </w:t>
      </w:r>
      <w:proofErr w:type="spellStart"/>
      <w:r w:rsidRPr="008B7650">
        <w:rPr>
          <w:rFonts w:ascii="Arial" w:hAnsi="Arial" w:cs="Arial"/>
          <w:color w:val="222222"/>
          <w:sz w:val="20"/>
          <w:szCs w:val="20"/>
          <w:highlight w:val="yellow"/>
          <w:shd w:val="clear" w:color="auto" w:fill="FFFFFF"/>
        </w:rPr>
        <w:t>Murugan</w:t>
      </w:r>
      <w:proofErr w:type="spellEnd"/>
      <w:r w:rsidRPr="008B7650">
        <w:rPr>
          <w:rFonts w:ascii="Arial" w:hAnsi="Arial" w:cs="Arial"/>
          <w:color w:val="222222"/>
          <w:sz w:val="20"/>
          <w:szCs w:val="20"/>
          <w:highlight w:val="yellow"/>
          <w:shd w:val="clear" w:color="auto" w:fill="FFFFFF"/>
        </w:rPr>
        <w:t xml:space="preserve">, M., </w:t>
      </w:r>
      <w:proofErr w:type="spellStart"/>
      <w:r w:rsidRPr="008B7650">
        <w:rPr>
          <w:rFonts w:ascii="Arial" w:hAnsi="Arial" w:cs="Arial"/>
          <w:color w:val="222222"/>
          <w:sz w:val="20"/>
          <w:szCs w:val="20"/>
          <w:highlight w:val="yellow"/>
          <w:shd w:val="clear" w:color="auto" w:fill="FFFFFF"/>
        </w:rPr>
        <w:t>Jayakanthan</w:t>
      </w:r>
      <w:proofErr w:type="spellEnd"/>
      <w:r w:rsidRPr="008B7650">
        <w:rPr>
          <w:rFonts w:ascii="Arial" w:hAnsi="Arial" w:cs="Arial"/>
          <w:color w:val="222222"/>
          <w:sz w:val="20"/>
          <w:szCs w:val="20"/>
          <w:highlight w:val="yellow"/>
          <w:shd w:val="clear" w:color="auto" w:fill="FFFFFF"/>
        </w:rPr>
        <w:t>, M., &amp; Chen, T. C. (2024). Molecular approaches for the management of papaya ringspot virus infecting papaya: A comprehensive review. </w:t>
      </w:r>
      <w:r w:rsidRPr="008B7650">
        <w:rPr>
          <w:rFonts w:ascii="Arial" w:hAnsi="Arial" w:cs="Arial"/>
          <w:i/>
          <w:iCs/>
          <w:color w:val="222222"/>
          <w:sz w:val="20"/>
          <w:szCs w:val="20"/>
          <w:highlight w:val="yellow"/>
          <w:shd w:val="clear" w:color="auto" w:fill="FFFFFF"/>
        </w:rPr>
        <w:t>Molecular Biology Reports</w:t>
      </w:r>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51</w:t>
      </w:r>
      <w:r w:rsidRPr="008B7650">
        <w:rPr>
          <w:rFonts w:ascii="Arial" w:hAnsi="Arial" w:cs="Arial"/>
          <w:color w:val="222222"/>
          <w:sz w:val="20"/>
          <w:szCs w:val="20"/>
          <w:highlight w:val="yellow"/>
          <w:shd w:val="clear" w:color="auto" w:fill="FFFFFF"/>
        </w:rPr>
        <w:t>(1), 981.</w:t>
      </w:r>
    </w:p>
    <w:p w14:paraId="005E364C" w14:textId="77777777" w:rsidR="008B7650" w:rsidRPr="008B7650" w:rsidRDefault="008B7650" w:rsidP="008B7650">
      <w:pPr>
        <w:pStyle w:val="NoSpacing"/>
        <w:ind w:left="851" w:hanging="851"/>
        <w:jc w:val="both"/>
        <w:rPr>
          <w:highlight w:val="yellow"/>
        </w:rPr>
      </w:pPr>
      <w:r w:rsidRPr="008B7650">
        <w:rPr>
          <w:rFonts w:ascii="Arial" w:hAnsi="Arial" w:cs="Arial"/>
          <w:color w:val="222222"/>
          <w:sz w:val="20"/>
          <w:szCs w:val="20"/>
          <w:highlight w:val="yellow"/>
          <w:shd w:val="clear" w:color="auto" w:fill="FFFFFF"/>
        </w:rPr>
        <w:t>Khalid, S., Siddique, R., &amp; Bakhsh, A. (2023). Smart plant breeding for potato in the post-genomics era. In </w:t>
      </w:r>
      <w:r w:rsidRPr="008B7650">
        <w:rPr>
          <w:rFonts w:ascii="Arial" w:hAnsi="Arial" w:cs="Arial"/>
          <w:i/>
          <w:iCs/>
          <w:color w:val="222222"/>
          <w:sz w:val="20"/>
          <w:szCs w:val="20"/>
          <w:highlight w:val="yellow"/>
          <w:shd w:val="clear" w:color="auto" w:fill="FFFFFF"/>
        </w:rPr>
        <w:t>Smart Plant Breeding for Vegetable Crops in Post-genomics Era</w:t>
      </w:r>
      <w:r w:rsidRPr="008B7650">
        <w:rPr>
          <w:rFonts w:ascii="Arial" w:hAnsi="Arial" w:cs="Arial"/>
          <w:color w:val="222222"/>
          <w:sz w:val="20"/>
          <w:szCs w:val="20"/>
          <w:highlight w:val="yellow"/>
          <w:shd w:val="clear" w:color="auto" w:fill="FFFFFF"/>
        </w:rPr>
        <w:t> (pp. 337-356). Singapore: Springer Nature Singapore.</w:t>
      </w:r>
    </w:p>
    <w:p w14:paraId="3955BC47"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Klümper</w:t>
      </w:r>
      <w:proofErr w:type="spellEnd"/>
      <w:r w:rsidRPr="008B7650">
        <w:rPr>
          <w:rFonts w:ascii="Arial" w:hAnsi="Arial" w:cs="Arial"/>
          <w:sz w:val="20"/>
          <w:szCs w:val="20"/>
          <w:highlight w:val="yellow"/>
        </w:rPr>
        <w:t xml:space="preserve">, W., &amp; </w:t>
      </w:r>
      <w:proofErr w:type="spellStart"/>
      <w:r w:rsidRPr="008B7650">
        <w:rPr>
          <w:rFonts w:ascii="Arial" w:hAnsi="Arial" w:cs="Arial"/>
          <w:sz w:val="20"/>
          <w:szCs w:val="20"/>
          <w:highlight w:val="yellow"/>
        </w:rPr>
        <w:t>Qaim</w:t>
      </w:r>
      <w:proofErr w:type="spellEnd"/>
      <w:r w:rsidRPr="008B7650">
        <w:rPr>
          <w:rFonts w:ascii="Arial" w:hAnsi="Arial" w:cs="Arial"/>
          <w:sz w:val="20"/>
          <w:szCs w:val="20"/>
          <w:highlight w:val="yellow"/>
        </w:rPr>
        <w:t>, M. (2014). A meta-analysis of the impacts of genetically modified crops. </w:t>
      </w:r>
      <w:proofErr w:type="spellStart"/>
      <w:r w:rsidRPr="008B7650">
        <w:rPr>
          <w:rFonts w:ascii="Arial" w:hAnsi="Arial" w:cs="Arial"/>
          <w:i/>
          <w:iCs/>
          <w:sz w:val="20"/>
          <w:szCs w:val="20"/>
          <w:highlight w:val="yellow"/>
        </w:rPr>
        <w:t>PloS</w:t>
      </w:r>
      <w:proofErr w:type="spellEnd"/>
      <w:r w:rsidRPr="008B7650">
        <w:rPr>
          <w:rFonts w:ascii="Arial" w:hAnsi="Arial" w:cs="Arial"/>
          <w:i/>
          <w:iCs/>
          <w:sz w:val="20"/>
          <w:szCs w:val="20"/>
          <w:highlight w:val="yellow"/>
        </w:rPr>
        <w:t xml:space="preserve"> one</w:t>
      </w:r>
      <w:r w:rsidRPr="008B7650">
        <w:rPr>
          <w:rFonts w:ascii="Arial" w:hAnsi="Arial" w:cs="Arial"/>
          <w:sz w:val="20"/>
          <w:szCs w:val="20"/>
          <w:highlight w:val="yellow"/>
        </w:rPr>
        <w:t>, </w:t>
      </w:r>
      <w:r w:rsidRPr="008B7650">
        <w:rPr>
          <w:rFonts w:ascii="Arial" w:hAnsi="Arial" w:cs="Arial"/>
          <w:i/>
          <w:iCs/>
          <w:sz w:val="20"/>
          <w:szCs w:val="20"/>
          <w:highlight w:val="yellow"/>
        </w:rPr>
        <w:t>9</w:t>
      </w:r>
      <w:r w:rsidRPr="008B7650">
        <w:rPr>
          <w:rFonts w:ascii="Arial" w:hAnsi="Arial" w:cs="Arial"/>
          <w:sz w:val="20"/>
          <w:szCs w:val="20"/>
          <w:highlight w:val="yellow"/>
        </w:rPr>
        <w:t>(11), e111629.</w:t>
      </w:r>
    </w:p>
    <w:p w14:paraId="2924D240"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Lee, H. (2017). Transgenic pro-vitamin A biofortified crops for improving vitamin A deficiency and their challenges. </w:t>
      </w:r>
      <w:r w:rsidRPr="008B7650">
        <w:rPr>
          <w:rFonts w:ascii="Arial" w:hAnsi="Arial" w:cs="Arial"/>
          <w:i/>
          <w:iCs/>
          <w:sz w:val="20"/>
          <w:szCs w:val="20"/>
          <w:highlight w:val="yellow"/>
        </w:rPr>
        <w:t>The Open Agriculture Journal</w:t>
      </w:r>
      <w:r w:rsidRPr="008B7650">
        <w:rPr>
          <w:rFonts w:ascii="Arial" w:hAnsi="Arial" w:cs="Arial"/>
          <w:sz w:val="20"/>
          <w:szCs w:val="20"/>
          <w:highlight w:val="yellow"/>
        </w:rPr>
        <w:t>, </w:t>
      </w:r>
      <w:r w:rsidRPr="008B7650">
        <w:rPr>
          <w:rFonts w:ascii="Arial" w:hAnsi="Arial" w:cs="Arial"/>
          <w:i/>
          <w:iCs/>
          <w:sz w:val="20"/>
          <w:szCs w:val="20"/>
          <w:highlight w:val="yellow"/>
        </w:rPr>
        <w:t>11</w:t>
      </w:r>
      <w:r w:rsidRPr="008B7650">
        <w:rPr>
          <w:rFonts w:ascii="Arial" w:hAnsi="Arial" w:cs="Arial"/>
          <w:sz w:val="20"/>
          <w:szCs w:val="20"/>
          <w:highlight w:val="yellow"/>
        </w:rPr>
        <w:t>(1).</w:t>
      </w:r>
    </w:p>
    <w:p w14:paraId="04A2BD0B"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lang w:val="fr-FR"/>
        </w:rPr>
        <w:t>Lico</w:t>
      </w:r>
      <w:proofErr w:type="spellEnd"/>
      <w:r w:rsidRPr="008B7650">
        <w:rPr>
          <w:rFonts w:ascii="Arial" w:hAnsi="Arial" w:cs="Arial"/>
          <w:sz w:val="20"/>
          <w:szCs w:val="20"/>
          <w:highlight w:val="yellow"/>
          <w:lang w:val="fr-FR"/>
        </w:rPr>
        <w:t xml:space="preserve">, C., </w:t>
      </w:r>
      <w:proofErr w:type="spellStart"/>
      <w:r w:rsidRPr="008B7650">
        <w:rPr>
          <w:rFonts w:ascii="Arial" w:hAnsi="Arial" w:cs="Arial"/>
          <w:sz w:val="20"/>
          <w:szCs w:val="20"/>
          <w:highlight w:val="yellow"/>
          <w:lang w:val="fr-FR"/>
        </w:rPr>
        <w:t>Santi</w:t>
      </w:r>
      <w:proofErr w:type="spellEnd"/>
      <w:r w:rsidRPr="008B7650">
        <w:rPr>
          <w:rFonts w:ascii="Arial" w:hAnsi="Arial" w:cs="Arial"/>
          <w:sz w:val="20"/>
          <w:szCs w:val="20"/>
          <w:highlight w:val="yellow"/>
          <w:lang w:val="fr-FR"/>
        </w:rPr>
        <w:t xml:space="preserve">, L., </w:t>
      </w:r>
      <w:proofErr w:type="spellStart"/>
      <w:r w:rsidRPr="008B7650">
        <w:rPr>
          <w:rFonts w:ascii="Arial" w:hAnsi="Arial" w:cs="Arial"/>
          <w:sz w:val="20"/>
          <w:szCs w:val="20"/>
          <w:highlight w:val="yellow"/>
          <w:lang w:val="fr-FR"/>
        </w:rPr>
        <w:t>Pezzotti</w:t>
      </w:r>
      <w:proofErr w:type="spellEnd"/>
      <w:r w:rsidRPr="008B7650">
        <w:rPr>
          <w:rFonts w:ascii="Arial" w:hAnsi="Arial" w:cs="Arial"/>
          <w:sz w:val="20"/>
          <w:szCs w:val="20"/>
          <w:highlight w:val="yellow"/>
          <w:lang w:val="fr-FR"/>
        </w:rPr>
        <w:t xml:space="preserve">, M., &amp; </w:t>
      </w:r>
      <w:proofErr w:type="spellStart"/>
      <w:r w:rsidRPr="008B7650">
        <w:rPr>
          <w:rFonts w:ascii="Arial" w:hAnsi="Arial" w:cs="Arial"/>
          <w:sz w:val="20"/>
          <w:szCs w:val="20"/>
          <w:highlight w:val="yellow"/>
          <w:lang w:val="fr-FR"/>
        </w:rPr>
        <w:t>Avesani</w:t>
      </w:r>
      <w:proofErr w:type="spellEnd"/>
      <w:r w:rsidRPr="008B7650">
        <w:rPr>
          <w:rFonts w:ascii="Arial" w:hAnsi="Arial" w:cs="Arial"/>
          <w:sz w:val="20"/>
          <w:szCs w:val="20"/>
          <w:highlight w:val="yellow"/>
          <w:lang w:val="fr-FR"/>
        </w:rPr>
        <w:t xml:space="preserve">, L. (2012). </w:t>
      </w:r>
      <w:r w:rsidRPr="008B7650">
        <w:rPr>
          <w:rFonts w:ascii="Arial" w:hAnsi="Arial" w:cs="Arial"/>
          <w:sz w:val="20"/>
          <w:szCs w:val="20"/>
          <w:highlight w:val="yellow"/>
        </w:rPr>
        <w:t>The use of plant systems as a platform for therapeutic human peptide production. </w:t>
      </w:r>
      <w:r w:rsidRPr="008B7650">
        <w:rPr>
          <w:rFonts w:ascii="Arial" w:hAnsi="Arial" w:cs="Arial"/>
          <w:i/>
          <w:iCs/>
          <w:sz w:val="20"/>
          <w:szCs w:val="20"/>
          <w:highlight w:val="yellow"/>
        </w:rPr>
        <w:t>PLANT CELL REPORTS</w:t>
      </w:r>
      <w:r w:rsidRPr="008B7650">
        <w:rPr>
          <w:rFonts w:ascii="Arial" w:hAnsi="Arial" w:cs="Arial"/>
          <w:sz w:val="20"/>
          <w:szCs w:val="20"/>
          <w:highlight w:val="yellow"/>
        </w:rPr>
        <w:t>, </w:t>
      </w:r>
      <w:r w:rsidRPr="008B7650">
        <w:rPr>
          <w:rFonts w:ascii="Arial" w:hAnsi="Arial" w:cs="Arial"/>
          <w:i/>
          <w:iCs/>
          <w:sz w:val="20"/>
          <w:szCs w:val="20"/>
          <w:highlight w:val="yellow"/>
        </w:rPr>
        <w:t>31</w:t>
      </w:r>
      <w:r w:rsidRPr="008B7650">
        <w:rPr>
          <w:rFonts w:ascii="Arial" w:hAnsi="Arial" w:cs="Arial"/>
          <w:sz w:val="20"/>
          <w:szCs w:val="20"/>
          <w:highlight w:val="yellow"/>
        </w:rPr>
        <w:t>(3), 439-451.</w:t>
      </w:r>
    </w:p>
    <w:p w14:paraId="723AEFA9"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Meena, R. K., </w:t>
      </w:r>
      <w:proofErr w:type="spellStart"/>
      <w:r w:rsidRPr="008B7650">
        <w:rPr>
          <w:rFonts w:ascii="Arial" w:hAnsi="Arial" w:cs="Arial"/>
          <w:sz w:val="20"/>
          <w:szCs w:val="20"/>
          <w:highlight w:val="yellow"/>
        </w:rPr>
        <w:t>Koli</w:t>
      </w:r>
      <w:proofErr w:type="spellEnd"/>
      <w:r w:rsidRPr="008B7650">
        <w:rPr>
          <w:rFonts w:ascii="Arial" w:hAnsi="Arial" w:cs="Arial"/>
          <w:sz w:val="20"/>
          <w:szCs w:val="20"/>
          <w:highlight w:val="yellow"/>
        </w:rPr>
        <w:t xml:space="preserve">, D. K., </w:t>
      </w:r>
      <w:proofErr w:type="spellStart"/>
      <w:r w:rsidRPr="008B7650">
        <w:rPr>
          <w:rFonts w:ascii="Arial" w:hAnsi="Arial" w:cs="Arial"/>
          <w:sz w:val="20"/>
          <w:szCs w:val="20"/>
          <w:highlight w:val="yellow"/>
        </w:rPr>
        <w:t>Koli</w:t>
      </w:r>
      <w:proofErr w:type="spellEnd"/>
      <w:r w:rsidRPr="008B7650">
        <w:rPr>
          <w:rFonts w:ascii="Arial" w:hAnsi="Arial" w:cs="Arial"/>
          <w:sz w:val="20"/>
          <w:szCs w:val="20"/>
          <w:highlight w:val="yellow"/>
        </w:rPr>
        <w:t>, G. K., &amp; Meena, R. K. (2022). Transgenic approach for biofortification. </w:t>
      </w:r>
      <w:proofErr w:type="spellStart"/>
      <w:r w:rsidRPr="008B7650">
        <w:rPr>
          <w:rFonts w:ascii="Arial" w:hAnsi="Arial" w:cs="Arial"/>
          <w:i/>
          <w:iCs/>
          <w:sz w:val="20"/>
          <w:szCs w:val="20"/>
          <w:highlight w:val="yellow"/>
        </w:rPr>
        <w:t>Biotica</w:t>
      </w:r>
      <w:proofErr w:type="spellEnd"/>
      <w:r w:rsidRPr="008B7650">
        <w:rPr>
          <w:rFonts w:ascii="Arial" w:hAnsi="Arial" w:cs="Arial"/>
          <w:i/>
          <w:iCs/>
          <w:sz w:val="20"/>
          <w:szCs w:val="20"/>
          <w:highlight w:val="yellow"/>
        </w:rPr>
        <w:t xml:space="preserve"> Research Today</w:t>
      </w:r>
      <w:r w:rsidRPr="008B7650">
        <w:rPr>
          <w:rFonts w:ascii="Arial" w:hAnsi="Arial" w:cs="Arial"/>
          <w:sz w:val="20"/>
          <w:szCs w:val="20"/>
          <w:highlight w:val="yellow"/>
        </w:rPr>
        <w:t>, </w:t>
      </w:r>
      <w:r w:rsidRPr="008B7650">
        <w:rPr>
          <w:rFonts w:ascii="Arial" w:hAnsi="Arial" w:cs="Arial"/>
          <w:i/>
          <w:iCs/>
          <w:sz w:val="20"/>
          <w:szCs w:val="20"/>
          <w:highlight w:val="yellow"/>
        </w:rPr>
        <w:t>4</w:t>
      </w:r>
      <w:r w:rsidRPr="008B7650">
        <w:rPr>
          <w:rFonts w:ascii="Arial" w:hAnsi="Arial" w:cs="Arial"/>
          <w:sz w:val="20"/>
          <w:szCs w:val="20"/>
          <w:highlight w:val="yellow"/>
        </w:rPr>
        <w:t>(5), 388-391.</w:t>
      </w:r>
    </w:p>
    <w:p w14:paraId="5A092E17"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Merlin, M., </w:t>
      </w:r>
      <w:proofErr w:type="spellStart"/>
      <w:r w:rsidRPr="008B7650">
        <w:rPr>
          <w:rFonts w:ascii="Arial" w:hAnsi="Arial" w:cs="Arial"/>
          <w:sz w:val="20"/>
          <w:szCs w:val="20"/>
          <w:highlight w:val="yellow"/>
        </w:rPr>
        <w:t>Gecchele</w:t>
      </w:r>
      <w:proofErr w:type="spellEnd"/>
      <w:r w:rsidRPr="008B7650">
        <w:rPr>
          <w:rFonts w:ascii="Arial" w:hAnsi="Arial" w:cs="Arial"/>
          <w:sz w:val="20"/>
          <w:szCs w:val="20"/>
          <w:highlight w:val="yellow"/>
        </w:rPr>
        <w:t xml:space="preserve">, E., Capaldi, S., </w:t>
      </w:r>
      <w:proofErr w:type="spellStart"/>
      <w:r w:rsidRPr="008B7650">
        <w:rPr>
          <w:rFonts w:ascii="Arial" w:hAnsi="Arial" w:cs="Arial"/>
          <w:sz w:val="20"/>
          <w:szCs w:val="20"/>
          <w:highlight w:val="yellow"/>
        </w:rPr>
        <w:t>Pezzotti</w:t>
      </w:r>
      <w:proofErr w:type="spellEnd"/>
      <w:r w:rsidRPr="008B7650">
        <w:rPr>
          <w:rFonts w:ascii="Arial" w:hAnsi="Arial" w:cs="Arial"/>
          <w:sz w:val="20"/>
          <w:szCs w:val="20"/>
          <w:highlight w:val="yellow"/>
        </w:rPr>
        <w:t xml:space="preserve">, M., &amp; </w:t>
      </w:r>
      <w:proofErr w:type="spellStart"/>
      <w:r w:rsidRPr="008B7650">
        <w:rPr>
          <w:rFonts w:ascii="Arial" w:hAnsi="Arial" w:cs="Arial"/>
          <w:sz w:val="20"/>
          <w:szCs w:val="20"/>
          <w:highlight w:val="yellow"/>
        </w:rPr>
        <w:t>Avesani</w:t>
      </w:r>
      <w:proofErr w:type="spellEnd"/>
      <w:r w:rsidRPr="008B7650">
        <w:rPr>
          <w:rFonts w:ascii="Arial" w:hAnsi="Arial" w:cs="Arial"/>
          <w:sz w:val="20"/>
          <w:szCs w:val="20"/>
          <w:highlight w:val="yellow"/>
        </w:rPr>
        <w:t xml:space="preserve">, L. (2014). Comparative evaluation of recombinant protein production in different </w:t>
      </w:r>
      <w:proofErr w:type="spellStart"/>
      <w:r w:rsidRPr="008B7650">
        <w:rPr>
          <w:rFonts w:ascii="Arial" w:hAnsi="Arial" w:cs="Arial"/>
          <w:sz w:val="20"/>
          <w:szCs w:val="20"/>
          <w:highlight w:val="yellow"/>
        </w:rPr>
        <w:t>biofactories</w:t>
      </w:r>
      <w:proofErr w:type="spellEnd"/>
      <w:r w:rsidRPr="008B7650">
        <w:rPr>
          <w:rFonts w:ascii="Arial" w:hAnsi="Arial" w:cs="Arial"/>
          <w:sz w:val="20"/>
          <w:szCs w:val="20"/>
          <w:highlight w:val="yellow"/>
        </w:rPr>
        <w:t>: the green perspective. </w:t>
      </w:r>
      <w:r w:rsidRPr="008B7650">
        <w:rPr>
          <w:rFonts w:ascii="Arial" w:hAnsi="Arial" w:cs="Arial"/>
          <w:i/>
          <w:iCs/>
          <w:sz w:val="20"/>
          <w:szCs w:val="20"/>
          <w:highlight w:val="yellow"/>
        </w:rPr>
        <w:t>BioMed research international</w:t>
      </w:r>
      <w:r w:rsidRPr="008B7650">
        <w:rPr>
          <w:rFonts w:ascii="Arial" w:hAnsi="Arial" w:cs="Arial"/>
          <w:sz w:val="20"/>
          <w:szCs w:val="20"/>
          <w:highlight w:val="yellow"/>
        </w:rPr>
        <w:t>, </w:t>
      </w:r>
      <w:r w:rsidRPr="008B7650">
        <w:rPr>
          <w:rFonts w:ascii="Arial" w:hAnsi="Arial" w:cs="Arial"/>
          <w:i/>
          <w:iCs/>
          <w:sz w:val="20"/>
          <w:szCs w:val="20"/>
          <w:highlight w:val="yellow"/>
        </w:rPr>
        <w:t>2014</w:t>
      </w:r>
      <w:r w:rsidRPr="008B7650">
        <w:rPr>
          <w:rFonts w:ascii="Arial" w:hAnsi="Arial" w:cs="Arial"/>
          <w:sz w:val="20"/>
          <w:szCs w:val="20"/>
          <w:highlight w:val="yellow"/>
        </w:rPr>
        <w:t>(1), 136419.</w:t>
      </w:r>
    </w:p>
    <w:p w14:paraId="2D3A0066"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Moose, S. P., &amp; Mumm, R. H. (2008). Molecular plant breeding as the foundation for 21st century crop improvement. </w:t>
      </w:r>
      <w:r w:rsidRPr="008B7650">
        <w:rPr>
          <w:rFonts w:ascii="Arial" w:hAnsi="Arial" w:cs="Arial"/>
          <w:i/>
          <w:iCs/>
          <w:sz w:val="20"/>
          <w:szCs w:val="20"/>
          <w:highlight w:val="yellow"/>
        </w:rPr>
        <w:t>Plant physiology</w:t>
      </w:r>
      <w:r w:rsidRPr="008B7650">
        <w:rPr>
          <w:rFonts w:ascii="Arial" w:hAnsi="Arial" w:cs="Arial"/>
          <w:sz w:val="20"/>
          <w:szCs w:val="20"/>
          <w:highlight w:val="yellow"/>
        </w:rPr>
        <w:t>, </w:t>
      </w:r>
      <w:r w:rsidRPr="008B7650">
        <w:rPr>
          <w:rFonts w:ascii="Arial" w:hAnsi="Arial" w:cs="Arial"/>
          <w:i/>
          <w:iCs/>
          <w:sz w:val="20"/>
          <w:szCs w:val="20"/>
          <w:highlight w:val="yellow"/>
        </w:rPr>
        <w:t>147</w:t>
      </w:r>
      <w:r w:rsidRPr="008B7650">
        <w:rPr>
          <w:rFonts w:ascii="Arial" w:hAnsi="Arial" w:cs="Arial"/>
          <w:sz w:val="20"/>
          <w:szCs w:val="20"/>
          <w:highlight w:val="yellow"/>
        </w:rPr>
        <w:t>(3), 969-977.</w:t>
      </w:r>
    </w:p>
    <w:p w14:paraId="252E0CF1"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lastRenderedPageBreak/>
        <w:t>Murai</w:t>
      </w:r>
      <w:proofErr w:type="spellEnd"/>
      <w:r w:rsidRPr="008B7650">
        <w:rPr>
          <w:rFonts w:ascii="Arial" w:hAnsi="Arial" w:cs="Arial"/>
          <w:sz w:val="20"/>
          <w:szCs w:val="20"/>
          <w:highlight w:val="yellow"/>
        </w:rPr>
        <w:t xml:space="preserve">, N., Kemp, J. D., Sutton, D. W., Murray, M. G., </w:t>
      </w:r>
      <w:proofErr w:type="spellStart"/>
      <w:r w:rsidRPr="008B7650">
        <w:rPr>
          <w:rFonts w:ascii="Arial" w:hAnsi="Arial" w:cs="Arial"/>
          <w:sz w:val="20"/>
          <w:szCs w:val="20"/>
          <w:highlight w:val="yellow"/>
        </w:rPr>
        <w:t>Slightom</w:t>
      </w:r>
      <w:proofErr w:type="spellEnd"/>
      <w:r w:rsidRPr="008B7650">
        <w:rPr>
          <w:rFonts w:ascii="Arial" w:hAnsi="Arial" w:cs="Arial"/>
          <w:sz w:val="20"/>
          <w:szCs w:val="20"/>
          <w:highlight w:val="yellow"/>
        </w:rPr>
        <w:t xml:space="preserve">, J. L., Merlo, D. J., ... &amp; Hall, T. C. (1983). </w:t>
      </w:r>
      <w:proofErr w:type="spellStart"/>
      <w:r w:rsidRPr="008B7650">
        <w:rPr>
          <w:rFonts w:ascii="Arial" w:hAnsi="Arial" w:cs="Arial"/>
          <w:sz w:val="20"/>
          <w:szCs w:val="20"/>
          <w:highlight w:val="yellow"/>
        </w:rPr>
        <w:t>Phaseolin</w:t>
      </w:r>
      <w:proofErr w:type="spellEnd"/>
      <w:r w:rsidRPr="008B7650">
        <w:rPr>
          <w:rFonts w:ascii="Arial" w:hAnsi="Arial" w:cs="Arial"/>
          <w:sz w:val="20"/>
          <w:szCs w:val="20"/>
          <w:highlight w:val="yellow"/>
        </w:rPr>
        <w:t xml:space="preserve"> gene from bean is expressed after transfer to sunflower via </w:t>
      </w:r>
      <w:proofErr w:type="spellStart"/>
      <w:r w:rsidRPr="008B7650">
        <w:rPr>
          <w:rFonts w:ascii="Arial" w:hAnsi="Arial" w:cs="Arial"/>
          <w:sz w:val="20"/>
          <w:szCs w:val="20"/>
          <w:highlight w:val="yellow"/>
        </w:rPr>
        <w:t>tumor</w:t>
      </w:r>
      <w:proofErr w:type="spellEnd"/>
      <w:r w:rsidRPr="008B7650">
        <w:rPr>
          <w:rFonts w:ascii="Arial" w:hAnsi="Arial" w:cs="Arial"/>
          <w:sz w:val="20"/>
          <w:szCs w:val="20"/>
          <w:highlight w:val="yellow"/>
        </w:rPr>
        <w:t>-inducing plasmid vectors. </w:t>
      </w:r>
      <w:r w:rsidRPr="008B7650">
        <w:rPr>
          <w:rFonts w:ascii="Arial" w:hAnsi="Arial" w:cs="Arial"/>
          <w:i/>
          <w:iCs/>
          <w:sz w:val="20"/>
          <w:szCs w:val="20"/>
          <w:highlight w:val="yellow"/>
        </w:rPr>
        <w:t>Science</w:t>
      </w:r>
      <w:r w:rsidRPr="008B7650">
        <w:rPr>
          <w:rFonts w:ascii="Arial" w:hAnsi="Arial" w:cs="Arial"/>
          <w:sz w:val="20"/>
          <w:szCs w:val="20"/>
          <w:highlight w:val="yellow"/>
        </w:rPr>
        <w:t>, </w:t>
      </w:r>
      <w:r w:rsidRPr="008B7650">
        <w:rPr>
          <w:rFonts w:ascii="Arial" w:hAnsi="Arial" w:cs="Arial"/>
          <w:i/>
          <w:iCs/>
          <w:sz w:val="20"/>
          <w:szCs w:val="20"/>
          <w:highlight w:val="yellow"/>
        </w:rPr>
        <w:t>222</w:t>
      </w:r>
      <w:r w:rsidRPr="008B7650">
        <w:rPr>
          <w:rFonts w:ascii="Arial" w:hAnsi="Arial" w:cs="Arial"/>
          <w:sz w:val="20"/>
          <w:szCs w:val="20"/>
          <w:highlight w:val="yellow"/>
        </w:rPr>
        <w:t>(4623), 476-482.</w:t>
      </w:r>
    </w:p>
    <w:p w14:paraId="72B342C1"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Paine, J. A., Shipton, C. A., </w:t>
      </w:r>
      <w:proofErr w:type="spellStart"/>
      <w:r w:rsidRPr="008B7650">
        <w:rPr>
          <w:rFonts w:ascii="Arial" w:hAnsi="Arial" w:cs="Arial"/>
          <w:sz w:val="20"/>
          <w:szCs w:val="20"/>
          <w:highlight w:val="yellow"/>
        </w:rPr>
        <w:t>Chaggar</w:t>
      </w:r>
      <w:proofErr w:type="spellEnd"/>
      <w:r w:rsidRPr="008B7650">
        <w:rPr>
          <w:rFonts w:ascii="Arial" w:hAnsi="Arial" w:cs="Arial"/>
          <w:sz w:val="20"/>
          <w:szCs w:val="20"/>
          <w:highlight w:val="yellow"/>
        </w:rPr>
        <w:t>, S., Howells, R. M., Kennedy, M. J., Vernon, G., ... &amp; Drake, R. (2005). Improving the nutritional value of Golden Rice through increased pro-vitamin A content. </w:t>
      </w:r>
      <w:r w:rsidRPr="008B7650">
        <w:rPr>
          <w:rFonts w:ascii="Arial" w:hAnsi="Arial" w:cs="Arial"/>
          <w:i/>
          <w:iCs/>
          <w:sz w:val="20"/>
          <w:szCs w:val="20"/>
          <w:highlight w:val="yellow"/>
        </w:rPr>
        <w:t>Nature biotechnology</w:t>
      </w:r>
      <w:r w:rsidRPr="008B7650">
        <w:rPr>
          <w:rFonts w:ascii="Arial" w:hAnsi="Arial" w:cs="Arial"/>
          <w:sz w:val="20"/>
          <w:szCs w:val="20"/>
          <w:highlight w:val="yellow"/>
        </w:rPr>
        <w:t>, </w:t>
      </w:r>
      <w:r w:rsidRPr="008B7650">
        <w:rPr>
          <w:rFonts w:ascii="Arial" w:hAnsi="Arial" w:cs="Arial"/>
          <w:i/>
          <w:iCs/>
          <w:sz w:val="20"/>
          <w:szCs w:val="20"/>
          <w:highlight w:val="yellow"/>
        </w:rPr>
        <w:t>23</w:t>
      </w:r>
      <w:r w:rsidRPr="008B7650">
        <w:rPr>
          <w:rFonts w:ascii="Arial" w:hAnsi="Arial" w:cs="Arial"/>
          <w:sz w:val="20"/>
          <w:szCs w:val="20"/>
          <w:highlight w:val="yellow"/>
        </w:rPr>
        <w:t>(4), 482-487.</w:t>
      </w:r>
    </w:p>
    <w:p w14:paraId="6214D1B5"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Pardo-López, L., </w:t>
      </w:r>
      <w:proofErr w:type="spellStart"/>
      <w:r w:rsidRPr="008B7650">
        <w:rPr>
          <w:rFonts w:ascii="Arial" w:hAnsi="Arial" w:cs="Arial"/>
          <w:sz w:val="20"/>
          <w:szCs w:val="20"/>
          <w:highlight w:val="yellow"/>
        </w:rPr>
        <w:t>Soberón</w:t>
      </w:r>
      <w:proofErr w:type="spellEnd"/>
      <w:r w:rsidRPr="008B7650">
        <w:rPr>
          <w:rFonts w:ascii="Arial" w:hAnsi="Arial" w:cs="Arial"/>
          <w:sz w:val="20"/>
          <w:szCs w:val="20"/>
          <w:highlight w:val="yellow"/>
        </w:rPr>
        <w:t>, M., &amp; Bravo, A. (2013). Bacillus thuringiensis insecticidal three-domain Cry toxins: mode of action, insect resistance and consequences for crop protection. </w:t>
      </w:r>
      <w:r w:rsidRPr="008B7650">
        <w:rPr>
          <w:rFonts w:ascii="Arial" w:hAnsi="Arial" w:cs="Arial"/>
          <w:i/>
          <w:iCs/>
          <w:sz w:val="20"/>
          <w:szCs w:val="20"/>
          <w:highlight w:val="yellow"/>
        </w:rPr>
        <w:t>FEMS microbiology reviews</w:t>
      </w:r>
      <w:r w:rsidRPr="008B7650">
        <w:rPr>
          <w:rFonts w:ascii="Arial" w:hAnsi="Arial" w:cs="Arial"/>
          <w:sz w:val="20"/>
          <w:szCs w:val="20"/>
          <w:highlight w:val="yellow"/>
        </w:rPr>
        <w:t>, </w:t>
      </w:r>
      <w:r w:rsidRPr="008B7650">
        <w:rPr>
          <w:rFonts w:ascii="Arial" w:hAnsi="Arial" w:cs="Arial"/>
          <w:i/>
          <w:iCs/>
          <w:sz w:val="20"/>
          <w:szCs w:val="20"/>
          <w:highlight w:val="yellow"/>
        </w:rPr>
        <w:t>37</w:t>
      </w:r>
      <w:r w:rsidRPr="008B7650">
        <w:rPr>
          <w:rFonts w:ascii="Arial" w:hAnsi="Arial" w:cs="Arial"/>
          <w:sz w:val="20"/>
          <w:szCs w:val="20"/>
          <w:highlight w:val="yellow"/>
        </w:rPr>
        <w:t>(1), 3-22.</w:t>
      </w:r>
    </w:p>
    <w:p w14:paraId="53BE06A9" w14:textId="77777777" w:rsidR="008B7650" w:rsidRPr="008B7650" w:rsidRDefault="008B7650" w:rsidP="00EC0E7C">
      <w:pPr>
        <w:pStyle w:val="NoSpacing"/>
        <w:ind w:left="851" w:hanging="851"/>
        <w:jc w:val="both"/>
        <w:rPr>
          <w:rFonts w:ascii="Arial" w:hAnsi="Arial" w:cs="Arial"/>
          <w:sz w:val="20"/>
          <w:szCs w:val="20"/>
          <w:highlight w:val="yellow"/>
          <w:lang w:val="fr-FR"/>
        </w:rPr>
      </w:pPr>
      <w:r w:rsidRPr="008B7650">
        <w:rPr>
          <w:rFonts w:ascii="Arial" w:hAnsi="Arial" w:cs="Arial"/>
          <w:sz w:val="20"/>
          <w:szCs w:val="20"/>
          <w:highlight w:val="yellow"/>
        </w:rPr>
        <w:t xml:space="preserve">Penney, C. A., Thomas, D. R., </w:t>
      </w:r>
      <w:proofErr w:type="spellStart"/>
      <w:r w:rsidRPr="008B7650">
        <w:rPr>
          <w:rFonts w:ascii="Arial" w:hAnsi="Arial" w:cs="Arial"/>
          <w:sz w:val="20"/>
          <w:szCs w:val="20"/>
          <w:highlight w:val="yellow"/>
        </w:rPr>
        <w:t>Deen</w:t>
      </w:r>
      <w:proofErr w:type="spellEnd"/>
      <w:r w:rsidRPr="008B7650">
        <w:rPr>
          <w:rFonts w:ascii="Arial" w:hAnsi="Arial" w:cs="Arial"/>
          <w:sz w:val="20"/>
          <w:szCs w:val="20"/>
          <w:highlight w:val="yellow"/>
        </w:rPr>
        <w:t>, S. S., &amp; Walmsley, A. M. (2011). Plant-made vaccines in support of the Millennium Development Goals. </w:t>
      </w:r>
      <w:r w:rsidRPr="008B7650">
        <w:rPr>
          <w:rFonts w:ascii="Arial" w:hAnsi="Arial" w:cs="Arial"/>
          <w:i/>
          <w:iCs/>
          <w:sz w:val="20"/>
          <w:szCs w:val="20"/>
          <w:highlight w:val="yellow"/>
          <w:lang w:val="fr-FR"/>
        </w:rPr>
        <w:t xml:space="preserve">Plant </w:t>
      </w:r>
      <w:proofErr w:type="spellStart"/>
      <w:r w:rsidRPr="008B7650">
        <w:rPr>
          <w:rFonts w:ascii="Arial" w:hAnsi="Arial" w:cs="Arial"/>
          <w:i/>
          <w:iCs/>
          <w:sz w:val="20"/>
          <w:szCs w:val="20"/>
          <w:highlight w:val="yellow"/>
          <w:lang w:val="fr-FR"/>
        </w:rPr>
        <w:t>cell</w:t>
      </w:r>
      <w:proofErr w:type="spellEnd"/>
      <w:r w:rsidRPr="008B7650">
        <w:rPr>
          <w:rFonts w:ascii="Arial" w:hAnsi="Arial" w:cs="Arial"/>
          <w:i/>
          <w:iCs/>
          <w:sz w:val="20"/>
          <w:szCs w:val="20"/>
          <w:highlight w:val="yellow"/>
          <w:lang w:val="fr-FR"/>
        </w:rPr>
        <w:t xml:space="preserve"> reports</w:t>
      </w:r>
      <w:r w:rsidRPr="008B7650">
        <w:rPr>
          <w:rFonts w:ascii="Arial" w:hAnsi="Arial" w:cs="Arial"/>
          <w:sz w:val="20"/>
          <w:szCs w:val="20"/>
          <w:highlight w:val="yellow"/>
          <w:lang w:val="fr-FR"/>
        </w:rPr>
        <w:t>, </w:t>
      </w:r>
      <w:r w:rsidRPr="008B7650">
        <w:rPr>
          <w:rFonts w:ascii="Arial" w:hAnsi="Arial" w:cs="Arial"/>
          <w:i/>
          <w:iCs/>
          <w:sz w:val="20"/>
          <w:szCs w:val="20"/>
          <w:highlight w:val="yellow"/>
          <w:lang w:val="fr-FR"/>
        </w:rPr>
        <w:t>30</w:t>
      </w:r>
      <w:r w:rsidRPr="008B7650">
        <w:rPr>
          <w:rFonts w:ascii="Arial" w:hAnsi="Arial" w:cs="Arial"/>
          <w:sz w:val="20"/>
          <w:szCs w:val="20"/>
          <w:highlight w:val="yellow"/>
          <w:lang w:val="fr-FR"/>
        </w:rPr>
        <w:t>(5), 789-798.</w:t>
      </w:r>
    </w:p>
    <w:p w14:paraId="3C126F8A"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Poirier, Y. (2001). Production of polyesters in transgenic plants. </w:t>
      </w:r>
      <w:proofErr w:type="spellStart"/>
      <w:r w:rsidRPr="008B7650">
        <w:rPr>
          <w:rFonts w:ascii="Arial" w:hAnsi="Arial" w:cs="Arial"/>
          <w:i/>
          <w:iCs/>
          <w:sz w:val="20"/>
          <w:szCs w:val="20"/>
          <w:highlight w:val="yellow"/>
        </w:rPr>
        <w:t>Biopolyesters</w:t>
      </w:r>
      <w:proofErr w:type="spellEnd"/>
      <w:r w:rsidRPr="008B7650">
        <w:rPr>
          <w:rFonts w:ascii="Arial" w:hAnsi="Arial" w:cs="Arial"/>
          <w:sz w:val="20"/>
          <w:szCs w:val="20"/>
          <w:highlight w:val="yellow"/>
        </w:rPr>
        <w:t>, 209-240.</w:t>
      </w:r>
    </w:p>
    <w:p w14:paraId="2A4DDB6C"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Potrykus, I. (2001). Golden rice and beyond. </w:t>
      </w:r>
      <w:r w:rsidRPr="008B7650">
        <w:rPr>
          <w:rFonts w:ascii="Arial" w:hAnsi="Arial" w:cs="Arial"/>
          <w:i/>
          <w:iCs/>
          <w:sz w:val="20"/>
          <w:szCs w:val="20"/>
          <w:highlight w:val="yellow"/>
        </w:rPr>
        <w:t>Plant physiology</w:t>
      </w:r>
      <w:r w:rsidRPr="008B7650">
        <w:rPr>
          <w:rFonts w:ascii="Arial" w:hAnsi="Arial" w:cs="Arial"/>
          <w:sz w:val="20"/>
          <w:szCs w:val="20"/>
          <w:highlight w:val="yellow"/>
        </w:rPr>
        <w:t>, </w:t>
      </w:r>
      <w:r w:rsidRPr="008B7650">
        <w:rPr>
          <w:rFonts w:ascii="Arial" w:hAnsi="Arial" w:cs="Arial"/>
          <w:i/>
          <w:iCs/>
          <w:sz w:val="20"/>
          <w:szCs w:val="20"/>
          <w:highlight w:val="yellow"/>
        </w:rPr>
        <w:t>125</w:t>
      </w:r>
      <w:r w:rsidRPr="008B7650">
        <w:rPr>
          <w:rFonts w:ascii="Arial" w:hAnsi="Arial" w:cs="Arial"/>
          <w:sz w:val="20"/>
          <w:szCs w:val="20"/>
          <w:highlight w:val="yellow"/>
        </w:rPr>
        <w:t>(3), 1157-1161.</w:t>
      </w:r>
    </w:p>
    <w:p w14:paraId="07E7935B"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r w:rsidRPr="008B7650">
        <w:rPr>
          <w:rFonts w:ascii="Arial" w:hAnsi="Arial" w:cs="Arial"/>
          <w:color w:val="222222"/>
          <w:sz w:val="20"/>
          <w:szCs w:val="20"/>
          <w:highlight w:val="yellow"/>
          <w:shd w:val="clear" w:color="auto" w:fill="FFFFFF"/>
        </w:rPr>
        <w:t xml:space="preserve">Pratap, D., Raj, S. K., Kumar, S., </w:t>
      </w:r>
      <w:proofErr w:type="spellStart"/>
      <w:r w:rsidRPr="008B7650">
        <w:rPr>
          <w:rFonts w:ascii="Arial" w:hAnsi="Arial" w:cs="Arial"/>
          <w:color w:val="222222"/>
          <w:sz w:val="20"/>
          <w:szCs w:val="20"/>
          <w:highlight w:val="yellow"/>
          <w:shd w:val="clear" w:color="auto" w:fill="FFFFFF"/>
        </w:rPr>
        <w:t>Snehi</w:t>
      </w:r>
      <w:proofErr w:type="spellEnd"/>
      <w:r w:rsidRPr="008B7650">
        <w:rPr>
          <w:rFonts w:ascii="Arial" w:hAnsi="Arial" w:cs="Arial"/>
          <w:color w:val="222222"/>
          <w:sz w:val="20"/>
          <w:szCs w:val="20"/>
          <w:highlight w:val="yellow"/>
          <w:shd w:val="clear" w:color="auto" w:fill="FFFFFF"/>
        </w:rPr>
        <w:t xml:space="preserve">, S. K., Gautam, K. K., &amp; Sharma, A. K. (2012). Coat protein-mediated transgenic resistance in tomato against </w:t>
      </w:r>
      <w:proofErr w:type="gramStart"/>
      <w:r w:rsidRPr="008B7650">
        <w:rPr>
          <w:rFonts w:ascii="Arial" w:hAnsi="Arial" w:cs="Arial"/>
          <w:color w:val="222222"/>
          <w:sz w:val="20"/>
          <w:szCs w:val="20"/>
          <w:highlight w:val="yellow"/>
          <w:shd w:val="clear" w:color="auto" w:fill="FFFFFF"/>
        </w:rPr>
        <w:t>a</w:t>
      </w:r>
      <w:proofErr w:type="gramEnd"/>
      <w:r w:rsidRPr="008B7650">
        <w:rPr>
          <w:rFonts w:ascii="Arial" w:hAnsi="Arial" w:cs="Arial"/>
          <w:color w:val="222222"/>
          <w:sz w:val="20"/>
          <w:szCs w:val="20"/>
          <w:highlight w:val="yellow"/>
          <w:shd w:val="clear" w:color="auto" w:fill="FFFFFF"/>
        </w:rPr>
        <w:t xml:space="preserve"> IB subgroup Cucumber mosaic virus strain. </w:t>
      </w:r>
      <w:proofErr w:type="spellStart"/>
      <w:r w:rsidRPr="008B7650">
        <w:rPr>
          <w:rFonts w:ascii="Arial" w:hAnsi="Arial" w:cs="Arial"/>
          <w:i/>
          <w:iCs/>
          <w:color w:val="222222"/>
          <w:sz w:val="20"/>
          <w:szCs w:val="20"/>
          <w:highlight w:val="yellow"/>
          <w:shd w:val="clear" w:color="auto" w:fill="FFFFFF"/>
        </w:rPr>
        <w:t>Phytoparasitica</w:t>
      </w:r>
      <w:proofErr w:type="spellEnd"/>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40</w:t>
      </w:r>
      <w:r w:rsidRPr="008B7650">
        <w:rPr>
          <w:rFonts w:ascii="Arial" w:hAnsi="Arial" w:cs="Arial"/>
          <w:color w:val="222222"/>
          <w:sz w:val="20"/>
          <w:szCs w:val="20"/>
          <w:highlight w:val="yellow"/>
          <w:shd w:val="clear" w:color="auto" w:fill="FFFFFF"/>
        </w:rPr>
        <w:t>(4), 375-382.</w:t>
      </w:r>
    </w:p>
    <w:p w14:paraId="5A0CCAB8"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Raschke</w:t>
      </w:r>
      <w:proofErr w:type="spellEnd"/>
      <w:r w:rsidRPr="008B7650">
        <w:rPr>
          <w:rFonts w:ascii="Arial" w:hAnsi="Arial" w:cs="Arial"/>
          <w:sz w:val="20"/>
          <w:szCs w:val="20"/>
          <w:highlight w:val="yellow"/>
        </w:rPr>
        <w:t xml:space="preserve">, M., </w:t>
      </w:r>
      <w:proofErr w:type="spellStart"/>
      <w:r w:rsidRPr="008B7650">
        <w:rPr>
          <w:rFonts w:ascii="Arial" w:hAnsi="Arial" w:cs="Arial"/>
          <w:sz w:val="20"/>
          <w:szCs w:val="20"/>
          <w:highlight w:val="yellow"/>
        </w:rPr>
        <w:t>Boycheva</w:t>
      </w:r>
      <w:proofErr w:type="spellEnd"/>
      <w:r w:rsidRPr="008B7650">
        <w:rPr>
          <w:rFonts w:ascii="Arial" w:hAnsi="Arial" w:cs="Arial"/>
          <w:sz w:val="20"/>
          <w:szCs w:val="20"/>
          <w:highlight w:val="yellow"/>
        </w:rPr>
        <w:t xml:space="preserve">, S., </w:t>
      </w:r>
      <w:proofErr w:type="spellStart"/>
      <w:r w:rsidRPr="008B7650">
        <w:rPr>
          <w:rFonts w:ascii="Arial" w:hAnsi="Arial" w:cs="Arial"/>
          <w:sz w:val="20"/>
          <w:szCs w:val="20"/>
          <w:highlight w:val="yellow"/>
        </w:rPr>
        <w:t>Crèvecoeur</w:t>
      </w:r>
      <w:proofErr w:type="spellEnd"/>
      <w:r w:rsidRPr="008B7650">
        <w:rPr>
          <w:rFonts w:ascii="Arial" w:hAnsi="Arial" w:cs="Arial"/>
          <w:sz w:val="20"/>
          <w:szCs w:val="20"/>
          <w:highlight w:val="yellow"/>
        </w:rPr>
        <w:t>, M., Nunes-</w:t>
      </w:r>
      <w:proofErr w:type="spellStart"/>
      <w:r w:rsidRPr="008B7650">
        <w:rPr>
          <w:rFonts w:ascii="Arial" w:hAnsi="Arial" w:cs="Arial"/>
          <w:sz w:val="20"/>
          <w:szCs w:val="20"/>
          <w:highlight w:val="yellow"/>
        </w:rPr>
        <w:t>Nesi</w:t>
      </w:r>
      <w:proofErr w:type="spellEnd"/>
      <w:r w:rsidRPr="008B7650">
        <w:rPr>
          <w:rFonts w:ascii="Arial" w:hAnsi="Arial" w:cs="Arial"/>
          <w:sz w:val="20"/>
          <w:szCs w:val="20"/>
          <w:highlight w:val="yellow"/>
        </w:rPr>
        <w:t xml:space="preserve">, A., Witt, S., </w:t>
      </w:r>
      <w:proofErr w:type="spellStart"/>
      <w:r w:rsidRPr="008B7650">
        <w:rPr>
          <w:rFonts w:ascii="Arial" w:hAnsi="Arial" w:cs="Arial"/>
          <w:sz w:val="20"/>
          <w:szCs w:val="20"/>
          <w:highlight w:val="yellow"/>
        </w:rPr>
        <w:t>Fernie</w:t>
      </w:r>
      <w:proofErr w:type="spellEnd"/>
      <w:r w:rsidRPr="008B7650">
        <w:rPr>
          <w:rFonts w:ascii="Arial" w:hAnsi="Arial" w:cs="Arial"/>
          <w:sz w:val="20"/>
          <w:szCs w:val="20"/>
          <w:highlight w:val="yellow"/>
        </w:rPr>
        <w:t>, A. R., ... &amp; Fitzpatrick, T. B. (2011). Enhanced levels of vitamin B. </w:t>
      </w:r>
      <w:r w:rsidRPr="008B7650">
        <w:rPr>
          <w:rFonts w:ascii="Arial" w:hAnsi="Arial" w:cs="Arial"/>
          <w:i/>
          <w:iCs/>
          <w:sz w:val="20"/>
          <w:szCs w:val="20"/>
          <w:highlight w:val="yellow"/>
        </w:rPr>
        <w:t>Plant Journal</w:t>
      </w:r>
      <w:r w:rsidRPr="008B7650">
        <w:rPr>
          <w:rFonts w:ascii="Arial" w:hAnsi="Arial" w:cs="Arial"/>
          <w:sz w:val="20"/>
          <w:szCs w:val="20"/>
          <w:highlight w:val="yellow"/>
        </w:rPr>
        <w:t>, </w:t>
      </w:r>
      <w:r w:rsidRPr="008B7650">
        <w:rPr>
          <w:rFonts w:ascii="Arial" w:hAnsi="Arial" w:cs="Arial"/>
          <w:i/>
          <w:iCs/>
          <w:sz w:val="20"/>
          <w:szCs w:val="20"/>
          <w:highlight w:val="yellow"/>
        </w:rPr>
        <w:t>66</w:t>
      </w:r>
      <w:r w:rsidRPr="008B7650">
        <w:rPr>
          <w:rFonts w:ascii="Arial" w:hAnsi="Arial" w:cs="Arial"/>
          <w:sz w:val="20"/>
          <w:szCs w:val="20"/>
          <w:highlight w:val="yellow"/>
        </w:rPr>
        <w:t>(3).</w:t>
      </w:r>
    </w:p>
    <w:p w14:paraId="37C9EBAE"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Raymond Park, J., McFarlane, I., Hartley Phipps, R., &amp; </w:t>
      </w:r>
      <w:proofErr w:type="spellStart"/>
      <w:r w:rsidRPr="008B7650">
        <w:rPr>
          <w:rFonts w:ascii="Arial" w:hAnsi="Arial" w:cs="Arial"/>
          <w:sz w:val="20"/>
          <w:szCs w:val="20"/>
          <w:highlight w:val="yellow"/>
        </w:rPr>
        <w:t>Ceddia</w:t>
      </w:r>
      <w:proofErr w:type="spellEnd"/>
      <w:r w:rsidRPr="008B7650">
        <w:rPr>
          <w:rFonts w:ascii="Arial" w:hAnsi="Arial" w:cs="Arial"/>
          <w:sz w:val="20"/>
          <w:szCs w:val="20"/>
          <w:highlight w:val="yellow"/>
        </w:rPr>
        <w:t>, G. (2011). The role of transgenic crops in sustainable development. </w:t>
      </w:r>
      <w:r w:rsidRPr="008B7650">
        <w:rPr>
          <w:rFonts w:ascii="Arial" w:hAnsi="Arial" w:cs="Arial"/>
          <w:i/>
          <w:iCs/>
          <w:sz w:val="20"/>
          <w:szCs w:val="20"/>
          <w:highlight w:val="yellow"/>
        </w:rPr>
        <w:t>Plant Biotechnology Journal</w:t>
      </w:r>
      <w:r w:rsidRPr="008B7650">
        <w:rPr>
          <w:rFonts w:ascii="Arial" w:hAnsi="Arial" w:cs="Arial"/>
          <w:sz w:val="20"/>
          <w:szCs w:val="20"/>
          <w:highlight w:val="yellow"/>
        </w:rPr>
        <w:t>, </w:t>
      </w:r>
      <w:r w:rsidRPr="008B7650">
        <w:rPr>
          <w:rFonts w:ascii="Arial" w:hAnsi="Arial" w:cs="Arial"/>
          <w:i/>
          <w:iCs/>
          <w:sz w:val="20"/>
          <w:szCs w:val="20"/>
          <w:highlight w:val="yellow"/>
        </w:rPr>
        <w:t>9</w:t>
      </w:r>
      <w:r w:rsidRPr="008B7650">
        <w:rPr>
          <w:rFonts w:ascii="Arial" w:hAnsi="Arial" w:cs="Arial"/>
          <w:sz w:val="20"/>
          <w:szCs w:val="20"/>
          <w:highlight w:val="yellow"/>
        </w:rPr>
        <w:t>(1), 2-21.</w:t>
      </w:r>
    </w:p>
    <w:p w14:paraId="58634F32"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Rugini</w:t>
      </w:r>
      <w:proofErr w:type="spellEnd"/>
      <w:r w:rsidRPr="008B7650">
        <w:rPr>
          <w:rFonts w:ascii="Arial" w:hAnsi="Arial" w:cs="Arial"/>
          <w:sz w:val="20"/>
          <w:szCs w:val="20"/>
          <w:highlight w:val="yellow"/>
        </w:rPr>
        <w:t>, E., Bashir, M. A., Cristofori, V., Ruggiero, B., &amp; Silvestri, C. (2020). A review of genetic improvement of main fruit trees through modern biotechnological tools and considerations of the cultivation and research of the engineered plant restrictions. </w:t>
      </w:r>
      <w:r w:rsidRPr="008B7650">
        <w:rPr>
          <w:rFonts w:ascii="Arial" w:hAnsi="Arial" w:cs="Arial"/>
          <w:i/>
          <w:iCs/>
          <w:sz w:val="20"/>
          <w:szCs w:val="20"/>
          <w:highlight w:val="yellow"/>
        </w:rPr>
        <w:t>Pakistan Journal of Agricultural Sciences</w:t>
      </w:r>
      <w:r w:rsidRPr="008B7650">
        <w:rPr>
          <w:rFonts w:ascii="Arial" w:hAnsi="Arial" w:cs="Arial"/>
          <w:sz w:val="20"/>
          <w:szCs w:val="20"/>
          <w:highlight w:val="yellow"/>
        </w:rPr>
        <w:t>, </w:t>
      </w:r>
      <w:r w:rsidRPr="008B7650">
        <w:rPr>
          <w:rFonts w:ascii="Arial" w:hAnsi="Arial" w:cs="Arial"/>
          <w:i/>
          <w:iCs/>
          <w:sz w:val="20"/>
          <w:szCs w:val="20"/>
          <w:highlight w:val="yellow"/>
        </w:rPr>
        <w:t>57</w:t>
      </w:r>
      <w:r w:rsidRPr="008B7650">
        <w:rPr>
          <w:rFonts w:ascii="Arial" w:hAnsi="Arial" w:cs="Arial"/>
          <w:sz w:val="20"/>
          <w:szCs w:val="20"/>
          <w:highlight w:val="yellow"/>
        </w:rPr>
        <w:t>(1).</w:t>
      </w:r>
    </w:p>
    <w:p w14:paraId="74E21AF6"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r w:rsidRPr="008B7650">
        <w:rPr>
          <w:rFonts w:ascii="Arial" w:hAnsi="Arial" w:cs="Arial"/>
          <w:color w:val="222222"/>
          <w:sz w:val="20"/>
          <w:szCs w:val="20"/>
          <w:highlight w:val="yellow"/>
          <w:shd w:val="clear" w:color="auto" w:fill="FFFFFF"/>
        </w:rPr>
        <w:t xml:space="preserve">Salim, M., Bakhsh, A., &amp; </w:t>
      </w:r>
      <w:proofErr w:type="spellStart"/>
      <w:r w:rsidRPr="008B7650">
        <w:rPr>
          <w:rFonts w:ascii="Arial" w:hAnsi="Arial" w:cs="Arial"/>
          <w:color w:val="222222"/>
          <w:sz w:val="20"/>
          <w:szCs w:val="20"/>
          <w:highlight w:val="yellow"/>
          <w:shd w:val="clear" w:color="auto" w:fill="FFFFFF"/>
        </w:rPr>
        <w:t>Gökçe</w:t>
      </w:r>
      <w:proofErr w:type="spellEnd"/>
      <w:r w:rsidRPr="008B7650">
        <w:rPr>
          <w:rFonts w:ascii="Arial" w:hAnsi="Arial" w:cs="Arial"/>
          <w:color w:val="222222"/>
          <w:sz w:val="20"/>
          <w:szCs w:val="20"/>
          <w:highlight w:val="yellow"/>
          <w:shd w:val="clear" w:color="auto" w:fill="FFFFFF"/>
        </w:rPr>
        <w:t xml:space="preserve">, A. (2021). Stacked insecticidal genes in potatoes exhibit enhanced toxicity against Colorado potato beetle, </w:t>
      </w:r>
      <w:proofErr w:type="spellStart"/>
      <w:r w:rsidRPr="008B7650">
        <w:rPr>
          <w:rFonts w:ascii="Arial" w:hAnsi="Arial" w:cs="Arial"/>
          <w:color w:val="222222"/>
          <w:sz w:val="20"/>
          <w:szCs w:val="20"/>
          <w:highlight w:val="yellow"/>
          <w:shd w:val="clear" w:color="auto" w:fill="FFFFFF"/>
        </w:rPr>
        <w:t>Leptinotarsa</w:t>
      </w:r>
      <w:proofErr w:type="spellEnd"/>
      <w:r w:rsidRPr="008B7650">
        <w:rPr>
          <w:rFonts w:ascii="Arial" w:hAnsi="Arial" w:cs="Arial"/>
          <w:color w:val="222222"/>
          <w:sz w:val="20"/>
          <w:szCs w:val="20"/>
          <w:highlight w:val="yellow"/>
          <w:shd w:val="clear" w:color="auto" w:fill="FFFFFF"/>
        </w:rPr>
        <w:t xml:space="preserve"> </w:t>
      </w:r>
      <w:proofErr w:type="spellStart"/>
      <w:r w:rsidRPr="008B7650">
        <w:rPr>
          <w:rFonts w:ascii="Arial" w:hAnsi="Arial" w:cs="Arial"/>
          <w:color w:val="222222"/>
          <w:sz w:val="20"/>
          <w:szCs w:val="20"/>
          <w:highlight w:val="yellow"/>
          <w:shd w:val="clear" w:color="auto" w:fill="FFFFFF"/>
        </w:rPr>
        <w:t>decemlineata</w:t>
      </w:r>
      <w:proofErr w:type="spellEnd"/>
      <w:r w:rsidRPr="008B7650">
        <w:rPr>
          <w:rFonts w:ascii="Arial" w:hAnsi="Arial" w:cs="Arial"/>
          <w:color w:val="222222"/>
          <w:sz w:val="20"/>
          <w:szCs w:val="20"/>
          <w:highlight w:val="yellow"/>
          <w:shd w:val="clear" w:color="auto" w:fill="FFFFFF"/>
        </w:rPr>
        <w:t xml:space="preserve"> (Coleoptera: </w:t>
      </w:r>
      <w:proofErr w:type="spellStart"/>
      <w:r w:rsidRPr="008B7650">
        <w:rPr>
          <w:rFonts w:ascii="Arial" w:hAnsi="Arial" w:cs="Arial"/>
          <w:color w:val="222222"/>
          <w:sz w:val="20"/>
          <w:szCs w:val="20"/>
          <w:highlight w:val="yellow"/>
          <w:shd w:val="clear" w:color="auto" w:fill="FFFFFF"/>
        </w:rPr>
        <w:t>Chrysomelidae</w:t>
      </w:r>
      <w:proofErr w:type="spellEnd"/>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Plant Biotechnology Reports</w:t>
      </w:r>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15</w:t>
      </w:r>
      <w:r w:rsidRPr="008B7650">
        <w:rPr>
          <w:rFonts w:ascii="Arial" w:hAnsi="Arial" w:cs="Arial"/>
          <w:color w:val="222222"/>
          <w:sz w:val="20"/>
          <w:szCs w:val="20"/>
          <w:highlight w:val="yellow"/>
          <w:shd w:val="clear" w:color="auto" w:fill="FFFFFF"/>
        </w:rPr>
        <w:t>(2), 197-215.</w:t>
      </w:r>
    </w:p>
    <w:p w14:paraId="21313B7E"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Saltzman, A., </w:t>
      </w:r>
      <w:proofErr w:type="spellStart"/>
      <w:r w:rsidRPr="008B7650">
        <w:rPr>
          <w:rFonts w:ascii="Arial" w:hAnsi="Arial" w:cs="Arial"/>
          <w:sz w:val="20"/>
          <w:szCs w:val="20"/>
          <w:highlight w:val="yellow"/>
        </w:rPr>
        <w:t>Birol</w:t>
      </w:r>
      <w:proofErr w:type="spellEnd"/>
      <w:r w:rsidRPr="008B7650">
        <w:rPr>
          <w:rFonts w:ascii="Arial" w:hAnsi="Arial" w:cs="Arial"/>
          <w:sz w:val="20"/>
          <w:szCs w:val="20"/>
          <w:highlight w:val="yellow"/>
        </w:rPr>
        <w:t xml:space="preserve">, E., </w:t>
      </w:r>
      <w:proofErr w:type="spellStart"/>
      <w:r w:rsidRPr="008B7650">
        <w:rPr>
          <w:rFonts w:ascii="Arial" w:hAnsi="Arial" w:cs="Arial"/>
          <w:sz w:val="20"/>
          <w:szCs w:val="20"/>
          <w:highlight w:val="yellow"/>
        </w:rPr>
        <w:t>Bouis</w:t>
      </w:r>
      <w:proofErr w:type="spellEnd"/>
      <w:r w:rsidRPr="008B7650">
        <w:rPr>
          <w:rFonts w:ascii="Arial" w:hAnsi="Arial" w:cs="Arial"/>
          <w:sz w:val="20"/>
          <w:szCs w:val="20"/>
          <w:highlight w:val="yellow"/>
        </w:rPr>
        <w:t>, H. E., Boy, E., De Moura, F. F., Islam, Y., &amp; Pfeiffer, W. H. (2013). Biofortification: progress toward a more nourishing future. </w:t>
      </w:r>
      <w:r w:rsidRPr="008B7650">
        <w:rPr>
          <w:rFonts w:ascii="Arial" w:hAnsi="Arial" w:cs="Arial"/>
          <w:i/>
          <w:iCs/>
          <w:sz w:val="20"/>
          <w:szCs w:val="20"/>
          <w:highlight w:val="yellow"/>
        </w:rPr>
        <w:t>Global food security</w:t>
      </w:r>
      <w:r w:rsidRPr="008B7650">
        <w:rPr>
          <w:rFonts w:ascii="Arial" w:hAnsi="Arial" w:cs="Arial"/>
          <w:sz w:val="20"/>
          <w:szCs w:val="20"/>
          <w:highlight w:val="yellow"/>
        </w:rPr>
        <w:t>, </w:t>
      </w:r>
      <w:r w:rsidRPr="008B7650">
        <w:rPr>
          <w:rFonts w:ascii="Arial" w:hAnsi="Arial" w:cs="Arial"/>
          <w:i/>
          <w:iCs/>
          <w:sz w:val="20"/>
          <w:szCs w:val="20"/>
          <w:highlight w:val="yellow"/>
        </w:rPr>
        <w:t>2</w:t>
      </w:r>
      <w:r w:rsidRPr="008B7650">
        <w:rPr>
          <w:rFonts w:ascii="Arial" w:hAnsi="Arial" w:cs="Arial"/>
          <w:sz w:val="20"/>
          <w:szCs w:val="20"/>
          <w:highlight w:val="yellow"/>
        </w:rPr>
        <w:t>(1), 9-17. Saxena, J., &amp; Rawat, S. (2013). Edible vaccines. In </w:t>
      </w:r>
      <w:r w:rsidRPr="008B7650">
        <w:rPr>
          <w:rFonts w:ascii="Arial" w:hAnsi="Arial" w:cs="Arial"/>
          <w:i/>
          <w:iCs/>
          <w:sz w:val="20"/>
          <w:szCs w:val="20"/>
          <w:highlight w:val="yellow"/>
        </w:rPr>
        <w:t>Advances in biotechnology</w:t>
      </w:r>
      <w:r w:rsidRPr="008B7650">
        <w:rPr>
          <w:rFonts w:ascii="Arial" w:hAnsi="Arial" w:cs="Arial"/>
          <w:sz w:val="20"/>
          <w:szCs w:val="20"/>
          <w:highlight w:val="yellow"/>
        </w:rPr>
        <w:t> (pp. 207-226). New Delhi: Springer India.</w:t>
      </w:r>
    </w:p>
    <w:p w14:paraId="78C40871" w14:textId="77777777" w:rsidR="008B7650" w:rsidRPr="008B7650" w:rsidRDefault="008B7650" w:rsidP="00EC0E7C">
      <w:pPr>
        <w:pStyle w:val="NoSpacing"/>
        <w:ind w:left="851" w:hanging="851"/>
        <w:jc w:val="both"/>
        <w:rPr>
          <w:rFonts w:ascii="Arial" w:eastAsia="Times New Roman" w:hAnsi="Arial" w:cs="Arial"/>
          <w:sz w:val="20"/>
          <w:szCs w:val="20"/>
          <w:highlight w:val="yellow"/>
          <w:lang w:eastAsia="en-IN"/>
        </w:rPr>
      </w:pPr>
      <w:r w:rsidRPr="008B7650">
        <w:rPr>
          <w:rFonts w:ascii="Arial" w:eastAsia="Times New Roman" w:hAnsi="Arial" w:cs="Arial"/>
          <w:sz w:val="20"/>
          <w:szCs w:val="20"/>
          <w:highlight w:val="yellow"/>
          <w:lang w:eastAsia="en-IN"/>
        </w:rPr>
        <w:t xml:space="preserve">Schouten, H. J., </w:t>
      </w:r>
      <w:proofErr w:type="spellStart"/>
      <w:r w:rsidRPr="008B7650">
        <w:rPr>
          <w:rFonts w:ascii="Arial" w:eastAsia="Times New Roman" w:hAnsi="Arial" w:cs="Arial"/>
          <w:sz w:val="20"/>
          <w:szCs w:val="20"/>
          <w:highlight w:val="yellow"/>
          <w:lang w:eastAsia="en-IN"/>
        </w:rPr>
        <w:t>Krens</w:t>
      </w:r>
      <w:proofErr w:type="spellEnd"/>
      <w:r w:rsidRPr="008B7650">
        <w:rPr>
          <w:rFonts w:ascii="Arial" w:eastAsia="Times New Roman" w:hAnsi="Arial" w:cs="Arial"/>
          <w:sz w:val="20"/>
          <w:szCs w:val="20"/>
          <w:highlight w:val="yellow"/>
          <w:lang w:eastAsia="en-IN"/>
        </w:rPr>
        <w:t xml:space="preserve">, F. A., &amp; Jacobsen, E. (2006). </w:t>
      </w:r>
      <w:proofErr w:type="spellStart"/>
      <w:r w:rsidRPr="008B7650">
        <w:rPr>
          <w:rFonts w:ascii="Arial" w:eastAsia="Times New Roman" w:hAnsi="Arial" w:cs="Arial"/>
          <w:sz w:val="20"/>
          <w:szCs w:val="20"/>
          <w:highlight w:val="yellow"/>
          <w:lang w:eastAsia="en-IN"/>
        </w:rPr>
        <w:t>Cisgenic</w:t>
      </w:r>
      <w:proofErr w:type="spellEnd"/>
      <w:r w:rsidRPr="008B7650">
        <w:rPr>
          <w:rFonts w:ascii="Arial" w:eastAsia="Times New Roman" w:hAnsi="Arial" w:cs="Arial"/>
          <w:sz w:val="20"/>
          <w:szCs w:val="20"/>
          <w:highlight w:val="yellow"/>
          <w:lang w:eastAsia="en-IN"/>
        </w:rPr>
        <w:t xml:space="preserve"> plants are similar to traditionally bred plants: international regulations for genetically modified organisms should be altered to exempt </w:t>
      </w:r>
      <w:proofErr w:type="spellStart"/>
      <w:r w:rsidRPr="008B7650">
        <w:rPr>
          <w:rFonts w:ascii="Arial" w:eastAsia="Times New Roman" w:hAnsi="Arial" w:cs="Arial"/>
          <w:sz w:val="20"/>
          <w:szCs w:val="20"/>
          <w:highlight w:val="yellow"/>
          <w:lang w:eastAsia="en-IN"/>
        </w:rPr>
        <w:t>cisgenesis</w:t>
      </w:r>
      <w:proofErr w:type="spellEnd"/>
      <w:r w:rsidRPr="008B7650">
        <w:rPr>
          <w:rFonts w:ascii="Arial" w:eastAsia="Times New Roman" w:hAnsi="Arial" w:cs="Arial"/>
          <w:sz w:val="20"/>
          <w:szCs w:val="20"/>
          <w:highlight w:val="yellow"/>
          <w:lang w:eastAsia="en-IN"/>
        </w:rPr>
        <w:t>. </w:t>
      </w:r>
      <w:r w:rsidRPr="008B7650">
        <w:rPr>
          <w:rFonts w:ascii="Arial" w:eastAsia="Times New Roman" w:hAnsi="Arial" w:cs="Arial"/>
          <w:i/>
          <w:iCs/>
          <w:sz w:val="20"/>
          <w:szCs w:val="20"/>
          <w:highlight w:val="yellow"/>
          <w:lang w:eastAsia="en-IN"/>
        </w:rPr>
        <w:t>EMBO reports</w:t>
      </w:r>
      <w:r w:rsidRPr="008B7650">
        <w:rPr>
          <w:rFonts w:ascii="Arial" w:eastAsia="Times New Roman" w:hAnsi="Arial" w:cs="Arial"/>
          <w:sz w:val="20"/>
          <w:szCs w:val="20"/>
          <w:highlight w:val="yellow"/>
          <w:lang w:eastAsia="en-IN"/>
        </w:rPr>
        <w:t>, </w:t>
      </w:r>
      <w:r w:rsidRPr="008B7650">
        <w:rPr>
          <w:rFonts w:ascii="Arial" w:eastAsia="Times New Roman" w:hAnsi="Arial" w:cs="Arial"/>
          <w:i/>
          <w:iCs/>
          <w:sz w:val="20"/>
          <w:szCs w:val="20"/>
          <w:highlight w:val="yellow"/>
          <w:lang w:eastAsia="en-IN"/>
        </w:rPr>
        <w:t>7</w:t>
      </w:r>
      <w:r w:rsidRPr="008B7650">
        <w:rPr>
          <w:rFonts w:ascii="Arial" w:eastAsia="Times New Roman" w:hAnsi="Arial" w:cs="Arial"/>
          <w:sz w:val="20"/>
          <w:szCs w:val="20"/>
          <w:highlight w:val="yellow"/>
          <w:lang w:eastAsia="en-IN"/>
        </w:rPr>
        <w:t>(8), 750.</w:t>
      </w:r>
    </w:p>
    <w:p w14:paraId="1384D5AF" w14:textId="77777777" w:rsidR="008B7650" w:rsidRPr="008B7650" w:rsidRDefault="008B7650" w:rsidP="00EC0E7C">
      <w:pPr>
        <w:pStyle w:val="NoSpacing"/>
        <w:ind w:left="851" w:hanging="851"/>
        <w:jc w:val="both"/>
        <w:rPr>
          <w:rFonts w:ascii="Arial" w:eastAsia="Times New Roman" w:hAnsi="Arial" w:cs="Arial"/>
          <w:sz w:val="20"/>
          <w:szCs w:val="20"/>
          <w:highlight w:val="yellow"/>
          <w:lang w:eastAsia="en-IN"/>
        </w:rPr>
      </w:pPr>
      <w:proofErr w:type="spellStart"/>
      <w:r w:rsidRPr="008B7650">
        <w:rPr>
          <w:rFonts w:ascii="Arial" w:eastAsia="Times New Roman" w:hAnsi="Arial" w:cs="Arial"/>
          <w:sz w:val="20"/>
          <w:szCs w:val="20"/>
          <w:highlight w:val="yellow"/>
          <w:lang w:eastAsia="en-IN"/>
        </w:rPr>
        <w:t>Scorza</w:t>
      </w:r>
      <w:proofErr w:type="spellEnd"/>
      <w:r w:rsidRPr="008B7650">
        <w:rPr>
          <w:rFonts w:ascii="Arial" w:eastAsia="Times New Roman" w:hAnsi="Arial" w:cs="Arial"/>
          <w:sz w:val="20"/>
          <w:szCs w:val="20"/>
          <w:highlight w:val="yellow"/>
          <w:lang w:eastAsia="en-IN"/>
        </w:rPr>
        <w:t xml:space="preserve">, R., Callahan, A., </w:t>
      </w:r>
      <w:proofErr w:type="spellStart"/>
      <w:r w:rsidRPr="008B7650">
        <w:rPr>
          <w:rFonts w:ascii="Arial" w:eastAsia="Times New Roman" w:hAnsi="Arial" w:cs="Arial"/>
          <w:sz w:val="20"/>
          <w:szCs w:val="20"/>
          <w:highlight w:val="yellow"/>
          <w:lang w:eastAsia="en-IN"/>
        </w:rPr>
        <w:t>Dardick</w:t>
      </w:r>
      <w:proofErr w:type="spellEnd"/>
      <w:r w:rsidRPr="008B7650">
        <w:rPr>
          <w:rFonts w:ascii="Arial" w:eastAsia="Times New Roman" w:hAnsi="Arial" w:cs="Arial"/>
          <w:sz w:val="20"/>
          <w:szCs w:val="20"/>
          <w:highlight w:val="yellow"/>
          <w:lang w:eastAsia="en-IN"/>
        </w:rPr>
        <w:t xml:space="preserve">, C., </w:t>
      </w:r>
      <w:proofErr w:type="spellStart"/>
      <w:r w:rsidRPr="008B7650">
        <w:rPr>
          <w:rFonts w:ascii="Arial" w:eastAsia="Times New Roman" w:hAnsi="Arial" w:cs="Arial"/>
          <w:sz w:val="20"/>
          <w:szCs w:val="20"/>
          <w:highlight w:val="yellow"/>
          <w:lang w:eastAsia="en-IN"/>
        </w:rPr>
        <w:t>Ravelonandro</w:t>
      </w:r>
      <w:proofErr w:type="spellEnd"/>
      <w:r w:rsidRPr="008B7650">
        <w:rPr>
          <w:rFonts w:ascii="Arial" w:eastAsia="Times New Roman" w:hAnsi="Arial" w:cs="Arial"/>
          <w:sz w:val="20"/>
          <w:szCs w:val="20"/>
          <w:highlight w:val="yellow"/>
          <w:lang w:eastAsia="en-IN"/>
        </w:rPr>
        <w:t xml:space="preserve">, M., </w:t>
      </w:r>
      <w:proofErr w:type="spellStart"/>
      <w:r w:rsidRPr="008B7650">
        <w:rPr>
          <w:rFonts w:ascii="Arial" w:eastAsia="Times New Roman" w:hAnsi="Arial" w:cs="Arial"/>
          <w:sz w:val="20"/>
          <w:szCs w:val="20"/>
          <w:highlight w:val="yellow"/>
          <w:lang w:eastAsia="en-IN"/>
        </w:rPr>
        <w:t>Polak</w:t>
      </w:r>
      <w:proofErr w:type="spellEnd"/>
      <w:r w:rsidRPr="008B7650">
        <w:rPr>
          <w:rFonts w:ascii="Arial" w:eastAsia="Times New Roman" w:hAnsi="Arial" w:cs="Arial"/>
          <w:sz w:val="20"/>
          <w:szCs w:val="20"/>
          <w:highlight w:val="yellow"/>
          <w:lang w:eastAsia="en-IN"/>
        </w:rPr>
        <w:t xml:space="preserve">, J., Malinowski, T., ... &amp; </w:t>
      </w:r>
      <w:proofErr w:type="spellStart"/>
      <w:r w:rsidRPr="008B7650">
        <w:rPr>
          <w:rFonts w:ascii="Arial" w:eastAsia="Times New Roman" w:hAnsi="Arial" w:cs="Arial"/>
          <w:sz w:val="20"/>
          <w:szCs w:val="20"/>
          <w:highlight w:val="yellow"/>
          <w:lang w:eastAsia="en-IN"/>
        </w:rPr>
        <w:t>Kamenova</w:t>
      </w:r>
      <w:proofErr w:type="spellEnd"/>
      <w:r w:rsidRPr="008B7650">
        <w:rPr>
          <w:rFonts w:ascii="Arial" w:eastAsia="Times New Roman" w:hAnsi="Arial" w:cs="Arial"/>
          <w:sz w:val="20"/>
          <w:szCs w:val="20"/>
          <w:highlight w:val="yellow"/>
          <w:lang w:eastAsia="en-IN"/>
        </w:rPr>
        <w:t xml:space="preserve">, I. (2013). Genetic engineering of Plum pox virus </w:t>
      </w:r>
      <w:proofErr w:type="gramStart"/>
      <w:r w:rsidRPr="008B7650">
        <w:rPr>
          <w:rFonts w:ascii="Arial" w:eastAsia="Times New Roman" w:hAnsi="Arial" w:cs="Arial"/>
          <w:sz w:val="20"/>
          <w:szCs w:val="20"/>
          <w:highlight w:val="yellow"/>
          <w:lang w:eastAsia="en-IN"/>
        </w:rPr>
        <w:t>resistance:‘</w:t>
      </w:r>
      <w:proofErr w:type="spellStart"/>
      <w:proofErr w:type="gramEnd"/>
      <w:r w:rsidRPr="008B7650">
        <w:rPr>
          <w:rFonts w:ascii="Arial" w:eastAsia="Times New Roman" w:hAnsi="Arial" w:cs="Arial"/>
          <w:sz w:val="20"/>
          <w:szCs w:val="20"/>
          <w:highlight w:val="yellow"/>
          <w:lang w:eastAsia="en-IN"/>
        </w:rPr>
        <w:t>HoneySweet’plum</w:t>
      </w:r>
      <w:proofErr w:type="spellEnd"/>
      <w:r w:rsidRPr="008B7650">
        <w:rPr>
          <w:rFonts w:ascii="Arial" w:eastAsia="Times New Roman" w:hAnsi="Arial" w:cs="Arial"/>
          <w:sz w:val="20"/>
          <w:szCs w:val="20"/>
          <w:highlight w:val="yellow"/>
          <w:lang w:eastAsia="en-IN"/>
        </w:rPr>
        <w:t>—from concept to product. </w:t>
      </w:r>
      <w:r w:rsidRPr="008B7650">
        <w:rPr>
          <w:rFonts w:ascii="Arial" w:eastAsia="Times New Roman" w:hAnsi="Arial" w:cs="Arial"/>
          <w:i/>
          <w:iCs/>
          <w:sz w:val="20"/>
          <w:szCs w:val="20"/>
          <w:highlight w:val="yellow"/>
          <w:lang w:eastAsia="en-IN"/>
        </w:rPr>
        <w:t>Plant Cell, Tissue and Organ Culture (PCTOC)</w:t>
      </w:r>
      <w:r w:rsidRPr="008B7650">
        <w:rPr>
          <w:rFonts w:ascii="Arial" w:eastAsia="Times New Roman" w:hAnsi="Arial" w:cs="Arial"/>
          <w:sz w:val="20"/>
          <w:szCs w:val="20"/>
          <w:highlight w:val="yellow"/>
          <w:lang w:eastAsia="en-IN"/>
        </w:rPr>
        <w:t>, </w:t>
      </w:r>
      <w:r w:rsidRPr="008B7650">
        <w:rPr>
          <w:rFonts w:ascii="Arial" w:eastAsia="Times New Roman" w:hAnsi="Arial" w:cs="Arial"/>
          <w:i/>
          <w:iCs/>
          <w:sz w:val="20"/>
          <w:szCs w:val="20"/>
          <w:highlight w:val="yellow"/>
          <w:lang w:eastAsia="en-IN"/>
        </w:rPr>
        <w:t>115</w:t>
      </w:r>
      <w:r w:rsidRPr="008B7650">
        <w:rPr>
          <w:rFonts w:ascii="Arial" w:eastAsia="Times New Roman" w:hAnsi="Arial" w:cs="Arial"/>
          <w:sz w:val="20"/>
          <w:szCs w:val="20"/>
          <w:highlight w:val="yellow"/>
          <w:lang w:eastAsia="en-IN"/>
        </w:rPr>
        <w:t>(1), 1-12.</w:t>
      </w:r>
    </w:p>
    <w:p w14:paraId="6A064D26"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r w:rsidRPr="008B7650">
        <w:rPr>
          <w:rFonts w:ascii="Arial" w:hAnsi="Arial" w:cs="Arial"/>
          <w:color w:val="222222"/>
          <w:sz w:val="20"/>
          <w:szCs w:val="20"/>
          <w:highlight w:val="yellow"/>
          <w:shd w:val="clear" w:color="auto" w:fill="FFFFFF"/>
        </w:rPr>
        <w:t>Shad, M., Yasmeen, A., Azam, S., Bakhsh, A., Latif, A., Shahid, N., ... &amp; Shahid, A. A. (2022). Enhancing the resilience of transgenic cotton for insect resistance. </w:t>
      </w:r>
      <w:r w:rsidRPr="008B7650">
        <w:rPr>
          <w:rFonts w:ascii="Arial" w:hAnsi="Arial" w:cs="Arial"/>
          <w:i/>
          <w:iCs/>
          <w:color w:val="222222"/>
          <w:sz w:val="20"/>
          <w:szCs w:val="20"/>
          <w:highlight w:val="yellow"/>
          <w:shd w:val="clear" w:color="auto" w:fill="FFFFFF"/>
        </w:rPr>
        <w:t>Molecular biology reports</w:t>
      </w:r>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49</w:t>
      </w:r>
      <w:r w:rsidRPr="008B7650">
        <w:rPr>
          <w:rFonts w:ascii="Arial" w:hAnsi="Arial" w:cs="Arial"/>
          <w:color w:val="222222"/>
          <w:sz w:val="20"/>
          <w:szCs w:val="20"/>
          <w:highlight w:val="yellow"/>
          <w:shd w:val="clear" w:color="auto" w:fill="FFFFFF"/>
        </w:rPr>
        <w:t>(6), 5315-5323.</w:t>
      </w:r>
    </w:p>
    <w:p w14:paraId="0ECA9BF3"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Smolka</w:t>
      </w:r>
      <w:proofErr w:type="spellEnd"/>
      <w:r w:rsidRPr="008B7650">
        <w:rPr>
          <w:rFonts w:ascii="Arial" w:hAnsi="Arial" w:cs="Arial"/>
          <w:sz w:val="20"/>
          <w:szCs w:val="20"/>
          <w:highlight w:val="yellow"/>
        </w:rPr>
        <w:t xml:space="preserve">, A., Li, X. Y., </w:t>
      </w:r>
      <w:proofErr w:type="spellStart"/>
      <w:r w:rsidRPr="008B7650">
        <w:rPr>
          <w:rFonts w:ascii="Arial" w:hAnsi="Arial" w:cs="Arial"/>
          <w:sz w:val="20"/>
          <w:szCs w:val="20"/>
          <w:highlight w:val="yellow"/>
        </w:rPr>
        <w:t>Heikelt</w:t>
      </w:r>
      <w:proofErr w:type="spellEnd"/>
      <w:r w:rsidRPr="008B7650">
        <w:rPr>
          <w:rFonts w:ascii="Arial" w:hAnsi="Arial" w:cs="Arial"/>
          <w:sz w:val="20"/>
          <w:szCs w:val="20"/>
          <w:highlight w:val="yellow"/>
        </w:rPr>
        <w:t xml:space="preserve">, C., </w:t>
      </w:r>
      <w:proofErr w:type="spellStart"/>
      <w:r w:rsidRPr="008B7650">
        <w:rPr>
          <w:rFonts w:ascii="Arial" w:hAnsi="Arial" w:cs="Arial"/>
          <w:sz w:val="20"/>
          <w:szCs w:val="20"/>
          <w:highlight w:val="yellow"/>
        </w:rPr>
        <w:t>Welander</w:t>
      </w:r>
      <w:proofErr w:type="spellEnd"/>
      <w:r w:rsidRPr="008B7650">
        <w:rPr>
          <w:rFonts w:ascii="Arial" w:hAnsi="Arial" w:cs="Arial"/>
          <w:sz w:val="20"/>
          <w:szCs w:val="20"/>
          <w:highlight w:val="yellow"/>
        </w:rPr>
        <w:t>, M., &amp; Zhu, L. H. (2010). Effects of transgenic rootstocks on growth and development of non-transgenic scion cultivars in apple. </w:t>
      </w:r>
      <w:r w:rsidRPr="008B7650">
        <w:rPr>
          <w:rFonts w:ascii="Arial" w:hAnsi="Arial" w:cs="Arial"/>
          <w:i/>
          <w:iCs/>
          <w:sz w:val="20"/>
          <w:szCs w:val="20"/>
          <w:highlight w:val="yellow"/>
        </w:rPr>
        <w:t>Transgenic research</w:t>
      </w:r>
      <w:r w:rsidRPr="008B7650">
        <w:rPr>
          <w:rFonts w:ascii="Arial" w:hAnsi="Arial" w:cs="Arial"/>
          <w:sz w:val="20"/>
          <w:szCs w:val="20"/>
          <w:highlight w:val="yellow"/>
        </w:rPr>
        <w:t>, </w:t>
      </w:r>
      <w:r w:rsidRPr="008B7650">
        <w:rPr>
          <w:rFonts w:ascii="Arial" w:hAnsi="Arial" w:cs="Arial"/>
          <w:i/>
          <w:iCs/>
          <w:sz w:val="20"/>
          <w:szCs w:val="20"/>
          <w:highlight w:val="yellow"/>
        </w:rPr>
        <w:t>19</w:t>
      </w:r>
      <w:r w:rsidRPr="008B7650">
        <w:rPr>
          <w:rFonts w:ascii="Arial" w:hAnsi="Arial" w:cs="Arial"/>
          <w:sz w:val="20"/>
          <w:szCs w:val="20"/>
          <w:highlight w:val="yellow"/>
        </w:rPr>
        <w:t>(6), 933-948.</w:t>
      </w:r>
    </w:p>
    <w:p w14:paraId="0DCD7765"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Stoger</w:t>
      </w:r>
      <w:proofErr w:type="spellEnd"/>
      <w:r w:rsidRPr="008B7650">
        <w:rPr>
          <w:rFonts w:ascii="Arial" w:hAnsi="Arial" w:cs="Arial"/>
          <w:sz w:val="20"/>
          <w:szCs w:val="20"/>
          <w:highlight w:val="yellow"/>
        </w:rPr>
        <w:t>, E., Sack, M., Nicholson, L., Fischer, R., &amp; Christou, P. (2005). Recent progress in plantibody technology. </w:t>
      </w:r>
      <w:r w:rsidRPr="008B7650">
        <w:rPr>
          <w:rFonts w:ascii="Arial" w:hAnsi="Arial" w:cs="Arial"/>
          <w:i/>
          <w:iCs/>
          <w:sz w:val="20"/>
          <w:szCs w:val="20"/>
          <w:highlight w:val="yellow"/>
        </w:rPr>
        <w:t>Current pharmaceutical design</w:t>
      </w:r>
      <w:r w:rsidRPr="008B7650">
        <w:rPr>
          <w:rFonts w:ascii="Arial" w:hAnsi="Arial" w:cs="Arial"/>
          <w:sz w:val="20"/>
          <w:szCs w:val="20"/>
          <w:highlight w:val="yellow"/>
        </w:rPr>
        <w:t>, </w:t>
      </w:r>
      <w:r w:rsidRPr="008B7650">
        <w:rPr>
          <w:rFonts w:ascii="Arial" w:hAnsi="Arial" w:cs="Arial"/>
          <w:i/>
          <w:iCs/>
          <w:sz w:val="20"/>
          <w:szCs w:val="20"/>
          <w:highlight w:val="yellow"/>
        </w:rPr>
        <w:t>11</w:t>
      </w:r>
      <w:r w:rsidRPr="008B7650">
        <w:rPr>
          <w:rFonts w:ascii="Arial" w:hAnsi="Arial" w:cs="Arial"/>
          <w:sz w:val="20"/>
          <w:szCs w:val="20"/>
          <w:highlight w:val="yellow"/>
        </w:rPr>
        <w:t>(19), 2439-2457.</w:t>
      </w:r>
    </w:p>
    <w:p w14:paraId="1E6A276C" w14:textId="77777777" w:rsidR="008B7650" w:rsidRPr="008B7650" w:rsidRDefault="008B7650" w:rsidP="00EC0E7C">
      <w:pPr>
        <w:pStyle w:val="NoSpacing"/>
        <w:ind w:left="851" w:hanging="851"/>
        <w:jc w:val="both"/>
        <w:rPr>
          <w:rFonts w:ascii="Arial" w:hAnsi="Arial" w:cs="Arial"/>
          <w:sz w:val="20"/>
          <w:szCs w:val="20"/>
          <w:highlight w:val="yellow"/>
        </w:rPr>
      </w:pPr>
      <w:proofErr w:type="spellStart"/>
      <w:r w:rsidRPr="008B7650">
        <w:rPr>
          <w:rFonts w:ascii="Arial" w:hAnsi="Arial" w:cs="Arial"/>
          <w:sz w:val="20"/>
          <w:szCs w:val="20"/>
          <w:highlight w:val="yellow"/>
        </w:rPr>
        <w:t>Storozhenko</w:t>
      </w:r>
      <w:proofErr w:type="spellEnd"/>
      <w:r w:rsidRPr="008B7650">
        <w:rPr>
          <w:rFonts w:ascii="Arial" w:hAnsi="Arial" w:cs="Arial"/>
          <w:sz w:val="20"/>
          <w:szCs w:val="20"/>
          <w:highlight w:val="yellow"/>
        </w:rPr>
        <w:t xml:space="preserve">, S., De Brouwer, V., </w:t>
      </w:r>
      <w:proofErr w:type="spellStart"/>
      <w:r w:rsidRPr="008B7650">
        <w:rPr>
          <w:rFonts w:ascii="Arial" w:hAnsi="Arial" w:cs="Arial"/>
          <w:sz w:val="20"/>
          <w:szCs w:val="20"/>
          <w:highlight w:val="yellow"/>
        </w:rPr>
        <w:t>Volckaert</w:t>
      </w:r>
      <w:proofErr w:type="spellEnd"/>
      <w:r w:rsidRPr="008B7650">
        <w:rPr>
          <w:rFonts w:ascii="Arial" w:hAnsi="Arial" w:cs="Arial"/>
          <w:sz w:val="20"/>
          <w:szCs w:val="20"/>
          <w:highlight w:val="yellow"/>
        </w:rPr>
        <w:t xml:space="preserve">, M., Navarrete, O., </w:t>
      </w:r>
      <w:proofErr w:type="spellStart"/>
      <w:r w:rsidRPr="008B7650">
        <w:rPr>
          <w:rFonts w:ascii="Arial" w:hAnsi="Arial" w:cs="Arial"/>
          <w:sz w:val="20"/>
          <w:szCs w:val="20"/>
          <w:highlight w:val="yellow"/>
        </w:rPr>
        <w:t>Blancquaert</w:t>
      </w:r>
      <w:proofErr w:type="spellEnd"/>
      <w:r w:rsidRPr="008B7650">
        <w:rPr>
          <w:rFonts w:ascii="Arial" w:hAnsi="Arial" w:cs="Arial"/>
          <w:sz w:val="20"/>
          <w:szCs w:val="20"/>
          <w:highlight w:val="yellow"/>
        </w:rPr>
        <w:t xml:space="preserve">, D., Zhang, G. F., ... &amp; Van Der </w:t>
      </w:r>
      <w:proofErr w:type="spellStart"/>
      <w:r w:rsidRPr="008B7650">
        <w:rPr>
          <w:rFonts w:ascii="Arial" w:hAnsi="Arial" w:cs="Arial"/>
          <w:sz w:val="20"/>
          <w:szCs w:val="20"/>
          <w:highlight w:val="yellow"/>
        </w:rPr>
        <w:t>Straeten</w:t>
      </w:r>
      <w:proofErr w:type="spellEnd"/>
      <w:r w:rsidRPr="008B7650">
        <w:rPr>
          <w:rFonts w:ascii="Arial" w:hAnsi="Arial" w:cs="Arial"/>
          <w:sz w:val="20"/>
          <w:szCs w:val="20"/>
          <w:highlight w:val="yellow"/>
        </w:rPr>
        <w:t>, D. (2007). Folate fortification of rice by metabolic engineering. </w:t>
      </w:r>
      <w:r w:rsidRPr="008B7650">
        <w:rPr>
          <w:rFonts w:ascii="Arial" w:hAnsi="Arial" w:cs="Arial"/>
          <w:i/>
          <w:iCs/>
          <w:sz w:val="20"/>
          <w:szCs w:val="20"/>
          <w:highlight w:val="yellow"/>
        </w:rPr>
        <w:t>Nature biotechnology</w:t>
      </w:r>
      <w:r w:rsidRPr="008B7650">
        <w:rPr>
          <w:rFonts w:ascii="Arial" w:hAnsi="Arial" w:cs="Arial"/>
          <w:sz w:val="20"/>
          <w:szCs w:val="20"/>
          <w:highlight w:val="yellow"/>
        </w:rPr>
        <w:t>, </w:t>
      </w:r>
      <w:r w:rsidRPr="008B7650">
        <w:rPr>
          <w:rFonts w:ascii="Arial" w:hAnsi="Arial" w:cs="Arial"/>
          <w:i/>
          <w:iCs/>
          <w:sz w:val="20"/>
          <w:szCs w:val="20"/>
          <w:highlight w:val="yellow"/>
        </w:rPr>
        <w:t>25</w:t>
      </w:r>
      <w:r w:rsidRPr="008B7650">
        <w:rPr>
          <w:rFonts w:ascii="Arial" w:hAnsi="Arial" w:cs="Arial"/>
          <w:sz w:val="20"/>
          <w:szCs w:val="20"/>
          <w:highlight w:val="yellow"/>
        </w:rPr>
        <w:t>(11), 1277-1279.</w:t>
      </w:r>
    </w:p>
    <w:p w14:paraId="697729E2"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r w:rsidRPr="008B7650">
        <w:rPr>
          <w:rFonts w:ascii="Arial" w:hAnsi="Arial" w:cs="Arial"/>
          <w:color w:val="222222"/>
          <w:sz w:val="20"/>
          <w:szCs w:val="20"/>
          <w:highlight w:val="yellow"/>
          <w:shd w:val="clear" w:color="auto" w:fill="FFFFFF"/>
        </w:rPr>
        <w:t xml:space="preserve">Sultan, M. Z., Farouk, K. A., </w:t>
      </w:r>
      <w:proofErr w:type="spellStart"/>
      <w:r w:rsidRPr="008B7650">
        <w:rPr>
          <w:rFonts w:ascii="Arial" w:hAnsi="Arial" w:cs="Arial"/>
          <w:color w:val="222222"/>
          <w:sz w:val="20"/>
          <w:szCs w:val="20"/>
          <w:highlight w:val="yellow"/>
          <w:shd w:val="clear" w:color="auto" w:fill="FFFFFF"/>
        </w:rPr>
        <w:t>Elbagoury</w:t>
      </w:r>
      <w:proofErr w:type="spellEnd"/>
      <w:r w:rsidRPr="008B7650">
        <w:rPr>
          <w:rFonts w:ascii="Arial" w:hAnsi="Arial" w:cs="Arial"/>
          <w:color w:val="222222"/>
          <w:sz w:val="20"/>
          <w:szCs w:val="20"/>
          <w:highlight w:val="yellow"/>
          <w:shd w:val="clear" w:color="auto" w:fill="FFFFFF"/>
        </w:rPr>
        <w:t>, M. M., &amp; Yahia, E. M. (2025). Trends in biochemical, anatomical mechanisms and molecular aspects in enzymatic browning of apples: a review. </w:t>
      </w:r>
      <w:r w:rsidRPr="008B7650">
        <w:rPr>
          <w:rFonts w:ascii="Arial" w:hAnsi="Arial" w:cs="Arial"/>
          <w:i/>
          <w:iCs/>
          <w:color w:val="222222"/>
          <w:sz w:val="20"/>
          <w:szCs w:val="20"/>
          <w:highlight w:val="yellow"/>
          <w:shd w:val="clear" w:color="auto" w:fill="FFFFFF"/>
        </w:rPr>
        <w:t>European Food Research and Technology</w:t>
      </w:r>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251</w:t>
      </w:r>
      <w:r w:rsidRPr="008B7650">
        <w:rPr>
          <w:rFonts w:ascii="Arial" w:hAnsi="Arial" w:cs="Arial"/>
          <w:color w:val="222222"/>
          <w:sz w:val="20"/>
          <w:szCs w:val="20"/>
          <w:highlight w:val="yellow"/>
          <w:shd w:val="clear" w:color="auto" w:fill="FFFFFF"/>
        </w:rPr>
        <w:t>(10), 3305-3326.</w:t>
      </w:r>
    </w:p>
    <w:p w14:paraId="1B8EA02A"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Tanaka, H., </w:t>
      </w:r>
      <w:proofErr w:type="spellStart"/>
      <w:r w:rsidRPr="008B7650">
        <w:rPr>
          <w:rFonts w:ascii="Arial" w:hAnsi="Arial" w:cs="Arial"/>
          <w:sz w:val="20"/>
          <w:szCs w:val="20"/>
          <w:highlight w:val="yellow"/>
        </w:rPr>
        <w:t>Yabuta</w:t>
      </w:r>
      <w:proofErr w:type="spellEnd"/>
      <w:r w:rsidRPr="008B7650">
        <w:rPr>
          <w:rFonts w:ascii="Arial" w:hAnsi="Arial" w:cs="Arial"/>
          <w:sz w:val="20"/>
          <w:szCs w:val="20"/>
          <w:highlight w:val="yellow"/>
        </w:rPr>
        <w:t xml:space="preserve">, Y., </w:t>
      </w:r>
      <w:proofErr w:type="spellStart"/>
      <w:r w:rsidRPr="008B7650">
        <w:rPr>
          <w:rFonts w:ascii="Arial" w:hAnsi="Arial" w:cs="Arial"/>
          <w:sz w:val="20"/>
          <w:szCs w:val="20"/>
          <w:highlight w:val="yellow"/>
        </w:rPr>
        <w:t>Tamoi</w:t>
      </w:r>
      <w:proofErr w:type="spellEnd"/>
      <w:r w:rsidRPr="008B7650">
        <w:rPr>
          <w:rFonts w:ascii="Arial" w:hAnsi="Arial" w:cs="Arial"/>
          <w:sz w:val="20"/>
          <w:szCs w:val="20"/>
          <w:highlight w:val="yellow"/>
        </w:rPr>
        <w:t xml:space="preserve">, M., Tanabe, N., &amp; </w:t>
      </w:r>
      <w:proofErr w:type="spellStart"/>
      <w:r w:rsidRPr="008B7650">
        <w:rPr>
          <w:rFonts w:ascii="Arial" w:hAnsi="Arial" w:cs="Arial"/>
          <w:sz w:val="20"/>
          <w:szCs w:val="20"/>
          <w:highlight w:val="yellow"/>
        </w:rPr>
        <w:t>Shigeoka</w:t>
      </w:r>
      <w:proofErr w:type="spellEnd"/>
      <w:r w:rsidRPr="008B7650">
        <w:rPr>
          <w:rFonts w:ascii="Arial" w:hAnsi="Arial" w:cs="Arial"/>
          <w:sz w:val="20"/>
          <w:szCs w:val="20"/>
          <w:highlight w:val="yellow"/>
        </w:rPr>
        <w:t xml:space="preserve">, S. (2015). Generation of transgenic tobacco plants with enhanced tocotrienol levels through the ectopic expression of rice </w:t>
      </w:r>
      <w:proofErr w:type="spellStart"/>
      <w:r w:rsidRPr="008B7650">
        <w:rPr>
          <w:rFonts w:ascii="Arial" w:hAnsi="Arial" w:cs="Arial"/>
          <w:sz w:val="20"/>
          <w:szCs w:val="20"/>
          <w:highlight w:val="yellow"/>
        </w:rPr>
        <w:t>homogentisate</w:t>
      </w:r>
      <w:proofErr w:type="spellEnd"/>
      <w:r w:rsidRPr="008B7650">
        <w:rPr>
          <w:rFonts w:ascii="Arial" w:hAnsi="Arial" w:cs="Arial"/>
          <w:sz w:val="20"/>
          <w:szCs w:val="20"/>
          <w:highlight w:val="yellow"/>
        </w:rPr>
        <w:t xml:space="preserve"> geranylgeranyl transferase. </w:t>
      </w:r>
      <w:r w:rsidRPr="008B7650">
        <w:rPr>
          <w:rFonts w:ascii="Arial" w:hAnsi="Arial" w:cs="Arial"/>
          <w:i/>
          <w:iCs/>
          <w:sz w:val="20"/>
          <w:szCs w:val="20"/>
          <w:highlight w:val="yellow"/>
        </w:rPr>
        <w:t>Plant Biotechnology</w:t>
      </w:r>
      <w:r w:rsidRPr="008B7650">
        <w:rPr>
          <w:rFonts w:ascii="Arial" w:hAnsi="Arial" w:cs="Arial"/>
          <w:sz w:val="20"/>
          <w:szCs w:val="20"/>
          <w:highlight w:val="yellow"/>
        </w:rPr>
        <w:t>, </w:t>
      </w:r>
      <w:r w:rsidRPr="008B7650">
        <w:rPr>
          <w:rFonts w:ascii="Arial" w:hAnsi="Arial" w:cs="Arial"/>
          <w:i/>
          <w:iCs/>
          <w:sz w:val="20"/>
          <w:szCs w:val="20"/>
          <w:highlight w:val="yellow"/>
        </w:rPr>
        <w:t>32</w:t>
      </w:r>
      <w:r w:rsidRPr="008B7650">
        <w:rPr>
          <w:rFonts w:ascii="Arial" w:hAnsi="Arial" w:cs="Arial"/>
          <w:sz w:val="20"/>
          <w:szCs w:val="20"/>
          <w:highlight w:val="yellow"/>
        </w:rPr>
        <w:t>(3), 233-238.</w:t>
      </w:r>
    </w:p>
    <w:p w14:paraId="49A335A9"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Twyman, R. M., </w:t>
      </w:r>
      <w:proofErr w:type="spellStart"/>
      <w:r w:rsidRPr="008B7650">
        <w:rPr>
          <w:rFonts w:ascii="Arial" w:hAnsi="Arial" w:cs="Arial"/>
          <w:sz w:val="20"/>
          <w:szCs w:val="20"/>
          <w:highlight w:val="yellow"/>
        </w:rPr>
        <w:t>Schillberg</w:t>
      </w:r>
      <w:proofErr w:type="spellEnd"/>
      <w:r w:rsidRPr="008B7650">
        <w:rPr>
          <w:rFonts w:ascii="Arial" w:hAnsi="Arial" w:cs="Arial"/>
          <w:sz w:val="20"/>
          <w:szCs w:val="20"/>
          <w:highlight w:val="yellow"/>
        </w:rPr>
        <w:t>, S., &amp; Fischer, R. (2005). Transgenic plants in the biopharmaceutical market. </w:t>
      </w:r>
      <w:r w:rsidRPr="008B7650">
        <w:rPr>
          <w:rFonts w:ascii="Arial" w:hAnsi="Arial" w:cs="Arial"/>
          <w:i/>
          <w:iCs/>
          <w:sz w:val="20"/>
          <w:szCs w:val="20"/>
          <w:highlight w:val="yellow"/>
        </w:rPr>
        <w:t>Expert opinion on emerging drugs</w:t>
      </w:r>
      <w:r w:rsidRPr="008B7650">
        <w:rPr>
          <w:rFonts w:ascii="Arial" w:hAnsi="Arial" w:cs="Arial"/>
          <w:sz w:val="20"/>
          <w:szCs w:val="20"/>
          <w:highlight w:val="yellow"/>
        </w:rPr>
        <w:t>, </w:t>
      </w:r>
      <w:r w:rsidRPr="008B7650">
        <w:rPr>
          <w:rFonts w:ascii="Arial" w:hAnsi="Arial" w:cs="Arial"/>
          <w:i/>
          <w:iCs/>
          <w:sz w:val="20"/>
          <w:szCs w:val="20"/>
          <w:highlight w:val="yellow"/>
        </w:rPr>
        <w:t>10</w:t>
      </w:r>
      <w:r w:rsidRPr="008B7650">
        <w:rPr>
          <w:rFonts w:ascii="Arial" w:hAnsi="Arial" w:cs="Arial"/>
          <w:sz w:val="20"/>
          <w:szCs w:val="20"/>
          <w:highlight w:val="yellow"/>
        </w:rPr>
        <w:t>(1), 185-218.</w:t>
      </w:r>
    </w:p>
    <w:p w14:paraId="154E7C66"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Walmsley, A. M., &amp; </w:t>
      </w:r>
      <w:proofErr w:type="spellStart"/>
      <w:r w:rsidRPr="008B7650">
        <w:rPr>
          <w:rFonts w:ascii="Arial" w:hAnsi="Arial" w:cs="Arial"/>
          <w:sz w:val="20"/>
          <w:szCs w:val="20"/>
          <w:highlight w:val="yellow"/>
        </w:rPr>
        <w:t>Arntzen</w:t>
      </w:r>
      <w:proofErr w:type="spellEnd"/>
      <w:r w:rsidRPr="008B7650">
        <w:rPr>
          <w:rFonts w:ascii="Arial" w:hAnsi="Arial" w:cs="Arial"/>
          <w:sz w:val="20"/>
          <w:szCs w:val="20"/>
          <w:highlight w:val="yellow"/>
        </w:rPr>
        <w:t>, C. J. (2000). Plants for delivery of edible vaccines. </w:t>
      </w:r>
      <w:r w:rsidRPr="008B7650">
        <w:rPr>
          <w:rFonts w:ascii="Arial" w:hAnsi="Arial" w:cs="Arial"/>
          <w:i/>
          <w:iCs/>
          <w:sz w:val="20"/>
          <w:szCs w:val="20"/>
          <w:highlight w:val="yellow"/>
        </w:rPr>
        <w:t>Current opinion in biotechnology</w:t>
      </w:r>
      <w:r w:rsidRPr="008B7650">
        <w:rPr>
          <w:rFonts w:ascii="Arial" w:hAnsi="Arial" w:cs="Arial"/>
          <w:sz w:val="20"/>
          <w:szCs w:val="20"/>
          <w:highlight w:val="yellow"/>
        </w:rPr>
        <w:t>, </w:t>
      </w:r>
      <w:r w:rsidRPr="008B7650">
        <w:rPr>
          <w:rFonts w:ascii="Arial" w:hAnsi="Arial" w:cs="Arial"/>
          <w:i/>
          <w:iCs/>
          <w:sz w:val="20"/>
          <w:szCs w:val="20"/>
          <w:highlight w:val="yellow"/>
        </w:rPr>
        <w:t>11</w:t>
      </w:r>
      <w:r w:rsidRPr="008B7650">
        <w:rPr>
          <w:rFonts w:ascii="Arial" w:hAnsi="Arial" w:cs="Arial"/>
          <w:sz w:val="20"/>
          <w:szCs w:val="20"/>
          <w:highlight w:val="yellow"/>
        </w:rPr>
        <w:t>(2), 126-129.</w:t>
      </w:r>
    </w:p>
    <w:p w14:paraId="7F070D06"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Wang, C., Zeng, J., Li, Y., Hu, W., Chen, L., Miao, Y., ... &amp; He, G. (2014). Enrichment of provitamin A content in wheat (Triticum </w:t>
      </w:r>
      <w:proofErr w:type="spellStart"/>
      <w:r w:rsidRPr="008B7650">
        <w:rPr>
          <w:rFonts w:ascii="Arial" w:hAnsi="Arial" w:cs="Arial"/>
          <w:sz w:val="20"/>
          <w:szCs w:val="20"/>
          <w:highlight w:val="yellow"/>
        </w:rPr>
        <w:t>aestivum</w:t>
      </w:r>
      <w:proofErr w:type="spellEnd"/>
      <w:r w:rsidRPr="008B7650">
        <w:rPr>
          <w:rFonts w:ascii="Arial" w:hAnsi="Arial" w:cs="Arial"/>
          <w:sz w:val="20"/>
          <w:szCs w:val="20"/>
          <w:highlight w:val="yellow"/>
        </w:rPr>
        <w:t xml:space="preserve"> L.) by introduction of the bacterial carotenoid biosynthetic genes </w:t>
      </w:r>
      <w:proofErr w:type="spellStart"/>
      <w:r w:rsidRPr="008B7650">
        <w:rPr>
          <w:rFonts w:ascii="Arial" w:hAnsi="Arial" w:cs="Arial"/>
          <w:sz w:val="20"/>
          <w:szCs w:val="20"/>
          <w:highlight w:val="yellow"/>
        </w:rPr>
        <w:t>CrtB</w:t>
      </w:r>
      <w:proofErr w:type="spellEnd"/>
      <w:r w:rsidRPr="008B7650">
        <w:rPr>
          <w:rFonts w:ascii="Arial" w:hAnsi="Arial" w:cs="Arial"/>
          <w:sz w:val="20"/>
          <w:szCs w:val="20"/>
          <w:highlight w:val="yellow"/>
        </w:rPr>
        <w:t xml:space="preserve"> and </w:t>
      </w:r>
      <w:proofErr w:type="spellStart"/>
      <w:r w:rsidRPr="008B7650">
        <w:rPr>
          <w:rFonts w:ascii="Arial" w:hAnsi="Arial" w:cs="Arial"/>
          <w:sz w:val="20"/>
          <w:szCs w:val="20"/>
          <w:highlight w:val="yellow"/>
        </w:rPr>
        <w:t>CrtI</w:t>
      </w:r>
      <w:proofErr w:type="spellEnd"/>
      <w:r w:rsidRPr="008B7650">
        <w:rPr>
          <w:rFonts w:ascii="Arial" w:hAnsi="Arial" w:cs="Arial"/>
          <w:sz w:val="20"/>
          <w:szCs w:val="20"/>
          <w:highlight w:val="yellow"/>
        </w:rPr>
        <w:t>. </w:t>
      </w:r>
      <w:r w:rsidRPr="008B7650">
        <w:rPr>
          <w:rFonts w:ascii="Arial" w:hAnsi="Arial" w:cs="Arial"/>
          <w:i/>
          <w:iCs/>
          <w:sz w:val="20"/>
          <w:szCs w:val="20"/>
          <w:highlight w:val="yellow"/>
        </w:rPr>
        <w:t>Journal of Experimental Botany</w:t>
      </w:r>
      <w:r w:rsidRPr="008B7650">
        <w:rPr>
          <w:rFonts w:ascii="Arial" w:hAnsi="Arial" w:cs="Arial"/>
          <w:sz w:val="20"/>
          <w:szCs w:val="20"/>
          <w:highlight w:val="yellow"/>
        </w:rPr>
        <w:t>, </w:t>
      </w:r>
      <w:r w:rsidRPr="008B7650">
        <w:rPr>
          <w:rFonts w:ascii="Arial" w:hAnsi="Arial" w:cs="Arial"/>
          <w:i/>
          <w:iCs/>
          <w:sz w:val="20"/>
          <w:szCs w:val="20"/>
          <w:highlight w:val="yellow"/>
        </w:rPr>
        <w:t>65</w:t>
      </w:r>
      <w:r w:rsidRPr="008B7650">
        <w:rPr>
          <w:rFonts w:ascii="Arial" w:hAnsi="Arial" w:cs="Arial"/>
          <w:sz w:val="20"/>
          <w:szCs w:val="20"/>
          <w:highlight w:val="yellow"/>
        </w:rPr>
        <w:t>(9), 2545-2556.</w:t>
      </w:r>
    </w:p>
    <w:p w14:paraId="4C8B9351"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lastRenderedPageBreak/>
        <w:t>Welch, R. M., &amp; Graham, R. D. (2004). Breeding for micronutrients in staple food crops from a human nutrition perspective. </w:t>
      </w:r>
      <w:r w:rsidRPr="008B7650">
        <w:rPr>
          <w:rFonts w:ascii="Arial" w:hAnsi="Arial" w:cs="Arial"/>
          <w:i/>
          <w:iCs/>
          <w:sz w:val="20"/>
          <w:szCs w:val="20"/>
          <w:highlight w:val="yellow"/>
        </w:rPr>
        <w:t>Journal of experimental botany</w:t>
      </w:r>
      <w:r w:rsidRPr="008B7650">
        <w:rPr>
          <w:rFonts w:ascii="Arial" w:hAnsi="Arial" w:cs="Arial"/>
          <w:sz w:val="20"/>
          <w:szCs w:val="20"/>
          <w:highlight w:val="yellow"/>
        </w:rPr>
        <w:t>, </w:t>
      </w:r>
      <w:r w:rsidRPr="008B7650">
        <w:rPr>
          <w:rFonts w:ascii="Arial" w:hAnsi="Arial" w:cs="Arial"/>
          <w:i/>
          <w:iCs/>
          <w:sz w:val="20"/>
          <w:szCs w:val="20"/>
          <w:highlight w:val="yellow"/>
        </w:rPr>
        <w:t>55</w:t>
      </w:r>
      <w:r w:rsidRPr="008B7650">
        <w:rPr>
          <w:rFonts w:ascii="Arial" w:hAnsi="Arial" w:cs="Arial"/>
          <w:sz w:val="20"/>
          <w:szCs w:val="20"/>
          <w:highlight w:val="yellow"/>
        </w:rPr>
        <w:t>(396), 353-364.</w:t>
      </w:r>
    </w:p>
    <w:p w14:paraId="219F793F"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Wirth, J., Poletti, S., </w:t>
      </w:r>
      <w:proofErr w:type="spellStart"/>
      <w:r w:rsidRPr="008B7650">
        <w:rPr>
          <w:rFonts w:ascii="Arial" w:hAnsi="Arial" w:cs="Arial"/>
          <w:sz w:val="20"/>
          <w:szCs w:val="20"/>
          <w:highlight w:val="yellow"/>
        </w:rPr>
        <w:t>Aeschlimann</w:t>
      </w:r>
      <w:proofErr w:type="spellEnd"/>
      <w:r w:rsidRPr="008B7650">
        <w:rPr>
          <w:rFonts w:ascii="Arial" w:hAnsi="Arial" w:cs="Arial"/>
          <w:sz w:val="20"/>
          <w:szCs w:val="20"/>
          <w:highlight w:val="yellow"/>
        </w:rPr>
        <w:t xml:space="preserve">, B., </w:t>
      </w:r>
      <w:proofErr w:type="spellStart"/>
      <w:r w:rsidRPr="008B7650">
        <w:rPr>
          <w:rFonts w:ascii="Arial" w:hAnsi="Arial" w:cs="Arial"/>
          <w:sz w:val="20"/>
          <w:szCs w:val="20"/>
          <w:highlight w:val="yellow"/>
        </w:rPr>
        <w:t>Yakandawala</w:t>
      </w:r>
      <w:proofErr w:type="spellEnd"/>
      <w:r w:rsidRPr="008B7650">
        <w:rPr>
          <w:rFonts w:ascii="Arial" w:hAnsi="Arial" w:cs="Arial"/>
          <w:sz w:val="20"/>
          <w:szCs w:val="20"/>
          <w:highlight w:val="yellow"/>
        </w:rPr>
        <w:t xml:space="preserve">, N., </w:t>
      </w:r>
      <w:proofErr w:type="spellStart"/>
      <w:r w:rsidRPr="008B7650">
        <w:rPr>
          <w:rFonts w:ascii="Arial" w:hAnsi="Arial" w:cs="Arial"/>
          <w:sz w:val="20"/>
          <w:szCs w:val="20"/>
          <w:highlight w:val="yellow"/>
        </w:rPr>
        <w:t>Drosse</w:t>
      </w:r>
      <w:proofErr w:type="spellEnd"/>
      <w:r w:rsidRPr="008B7650">
        <w:rPr>
          <w:rFonts w:ascii="Arial" w:hAnsi="Arial" w:cs="Arial"/>
          <w:sz w:val="20"/>
          <w:szCs w:val="20"/>
          <w:highlight w:val="yellow"/>
        </w:rPr>
        <w:t xml:space="preserve">, B., Osorio, S., ... &amp; </w:t>
      </w:r>
      <w:proofErr w:type="spellStart"/>
      <w:r w:rsidRPr="008B7650">
        <w:rPr>
          <w:rFonts w:ascii="Arial" w:hAnsi="Arial" w:cs="Arial"/>
          <w:sz w:val="20"/>
          <w:szCs w:val="20"/>
          <w:highlight w:val="yellow"/>
        </w:rPr>
        <w:t>Sautter</w:t>
      </w:r>
      <w:proofErr w:type="spellEnd"/>
      <w:r w:rsidRPr="008B7650">
        <w:rPr>
          <w:rFonts w:ascii="Arial" w:hAnsi="Arial" w:cs="Arial"/>
          <w:sz w:val="20"/>
          <w:szCs w:val="20"/>
          <w:highlight w:val="yellow"/>
        </w:rPr>
        <w:t xml:space="preserve">, C. (2009). Rice endosperm iron biofortification by targeted and synergistic action of </w:t>
      </w:r>
      <w:proofErr w:type="spellStart"/>
      <w:r w:rsidRPr="008B7650">
        <w:rPr>
          <w:rFonts w:ascii="Arial" w:hAnsi="Arial" w:cs="Arial"/>
          <w:sz w:val="20"/>
          <w:szCs w:val="20"/>
          <w:highlight w:val="yellow"/>
        </w:rPr>
        <w:t>nicotianamine</w:t>
      </w:r>
      <w:proofErr w:type="spellEnd"/>
      <w:r w:rsidRPr="008B7650">
        <w:rPr>
          <w:rFonts w:ascii="Arial" w:hAnsi="Arial" w:cs="Arial"/>
          <w:sz w:val="20"/>
          <w:szCs w:val="20"/>
          <w:highlight w:val="yellow"/>
        </w:rPr>
        <w:t xml:space="preserve"> synthase and ferritin. </w:t>
      </w:r>
      <w:r w:rsidRPr="008B7650">
        <w:rPr>
          <w:rFonts w:ascii="Arial" w:hAnsi="Arial" w:cs="Arial"/>
          <w:i/>
          <w:iCs/>
          <w:sz w:val="20"/>
          <w:szCs w:val="20"/>
          <w:highlight w:val="yellow"/>
        </w:rPr>
        <w:t>Plant biotechnology journal</w:t>
      </w:r>
      <w:r w:rsidRPr="008B7650">
        <w:rPr>
          <w:rFonts w:ascii="Arial" w:hAnsi="Arial" w:cs="Arial"/>
          <w:sz w:val="20"/>
          <w:szCs w:val="20"/>
          <w:highlight w:val="yellow"/>
        </w:rPr>
        <w:t>, </w:t>
      </w:r>
      <w:r w:rsidRPr="008B7650">
        <w:rPr>
          <w:rFonts w:ascii="Arial" w:hAnsi="Arial" w:cs="Arial"/>
          <w:i/>
          <w:iCs/>
          <w:sz w:val="20"/>
          <w:szCs w:val="20"/>
          <w:highlight w:val="yellow"/>
        </w:rPr>
        <w:t>7</w:t>
      </w:r>
      <w:r w:rsidRPr="008B7650">
        <w:rPr>
          <w:rFonts w:ascii="Arial" w:hAnsi="Arial" w:cs="Arial"/>
          <w:sz w:val="20"/>
          <w:szCs w:val="20"/>
          <w:highlight w:val="yellow"/>
        </w:rPr>
        <w:t>(7), 631-644.</w:t>
      </w:r>
    </w:p>
    <w:p w14:paraId="7DFB3229"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Wong, J. C., Lambert, R. J., </w:t>
      </w:r>
      <w:proofErr w:type="spellStart"/>
      <w:r w:rsidRPr="008B7650">
        <w:rPr>
          <w:rFonts w:ascii="Arial" w:hAnsi="Arial" w:cs="Arial"/>
          <w:sz w:val="20"/>
          <w:szCs w:val="20"/>
          <w:highlight w:val="yellow"/>
        </w:rPr>
        <w:t>Wurtzel</w:t>
      </w:r>
      <w:proofErr w:type="spellEnd"/>
      <w:r w:rsidRPr="008B7650">
        <w:rPr>
          <w:rFonts w:ascii="Arial" w:hAnsi="Arial" w:cs="Arial"/>
          <w:sz w:val="20"/>
          <w:szCs w:val="20"/>
          <w:highlight w:val="yellow"/>
        </w:rPr>
        <w:t xml:space="preserve">, E. T., &amp; </w:t>
      </w:r>
      <w:proofErr w:type="spellStart"/>
      <w:r w:rsidRPr="008B7650">
        <w:rPr>
          <w:rFonts w:ascii="Arial" w:hAnsi="Arial" w:cs="Arial"/>
          <w:sz w:val="20"/>
          <w:szCs w:val="20"/>
          <w:highlight w:val="yellow"/>
        </w:rPr>
        <w:t>Rocheford</w:t>
      </w:r>
      <w:proofErr w:type="spellEnd"/>
      <w:r w:rsidRPr="008B7650">
        <w:rPr>
          <w:rFonts w:ascii="Arial" w:hAnsi="Arial" w:cs="Arial"/>
          <w:sz w:val="20"/>
          <w:szCs w:val="20"/>
          <w:highlight w:val="yellow"/>
        </w:rPr>
        <w:t>, T. R. (2004). QTL and candidate genes phytoene synthase and ζ-carotene desaturase associated with the accumulation of carotenoids in maize. </w:t>
      </w:r>
      <w:r w:rsidRPr="008B7650">
        <w:rPr>
          <w:rFonts w:ascii="Arial" w:hAnsi="Arial" w:cs="Arial"/>
          <w:i/>
          <w:iCs/>
          <w:sz w:val="20"/>
          <w:szCs w:val="20"/>
          <w:highlight w:val="yellow"/>
        </w:rPr>
        <w:t>Theoretical and Applied Genetics</w:t>
      </w:r>
      <w:r w:rsidRPr="008B7650">
        <w:rPr>
          <w:rFonts w:ascii="Arial" w:hAnsi="Arial" w:cs="Arial"/>
          <w:sz w:val="20"/>
          <w:szCs w:val="20"/>
          <w:highlight w:val="yellow"/>
        </w:rPr>
        <w:t>, </w:t>
      </w:r>
      <w:r w:rsidRPr="008B7650">
        <w:rPr>
          <w:rFonts w:ascii="Arial" w:hAnsi="Arial" w:cs="Arial"/>
          <w:i/>
          <w:iCs/>
          <w:sz w:val="20"/>
          <w:szCs w:val="20"/>
          <w:highlight w:val="yellow"/>
        </w:rPr>
        <w:t>108</w:t>
      </w:r>
      <w:r w:rsidRPr="008B7650">
        <w:rPr>
          <w:rFonts w:ascii="Arial" w:hAnsi="Arial" w:cs="Arial"/>
          <w:sz w:val="20"/>
          <w:szCs w:val="20"/>
          <w:highlight w:val="yellow"/>
        </w:rPr>
        <w:t>(2), 349-359.</w:t>
      </w:r>
    </w:p>
    <w:p w14:paraId="28C04BA7" w14:textId="77777777" w:rsidR="008B7650" w:rsidRPr="008B7650" w:rsidRDefault="008B7650" w:rsidP="00EC0E7C">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Yang, W., Cahoon, R. E., Hunter, S. C., Zhang, C., Han, J., </w:t>
      </w:r>
      <w:proofErr w:type="spellStart"/>
      <w:r w:rsidRPr="008B7650">
        <w:rPr>
          <w:rFonts w:ascii="Arial" w:hAnsi="Arial" w:cs="Arial"/>
          <w:sz w:val="20"/>
          <w:szCs w:val="20"/>
          <w:highlight w:val="yellow"/>
        </w:rPr>
        <w:t>Borgschulte</w:t>
      </w:r>
      <w:proofErr w:type="spellEnd"/>
      <w:r w:rsidRPr="008B7650">
        <w:rPr>
          <w:rFonts w:ascii="Arial" w:hAnsi="Arial" w:cs="Arial"/>
          <w:sz w:val="20"/>
          <w:szCs w:val="20"/>
          <w:highlight w:val="yellow"/>
        </w:rPr>
        <w:t xml:space="preserve">, T., &amp; Cahoon, E. B. (2011). Vitamin E biosynthesis: functional characterization of the monocot </w:t>
      </w:r>
      <w:proofErr w:type="spellStart"/>
      <w:r w:rsidRPr="008B7650">
        <w:rPr>
          <w:rFonts w:ascii="Arial" w:hAnsi="Arial" w:cs="Arial"/>
          <w:sz w:val="20"/>
          <w:szCs w:val="20"/>
          <w:highlight w:val="yellow"/>
        </w:rPr>
        <w:t>homogentisate</w:t>
      </w:r>
      <w:proofErr w:type="spellEnd"/>
      <w:r w:rsidRPr="008B7650">
        <w:rPr>
          <w:rFonts w:ascii="Arial" w:hAnsi="Arial" w:cs="Arial"/>
          <w:sz w:val="20"/>
          <w:szCs w:val="20"/>
          <w:highlight w:val="yellow"/>
        </w:rPr>
        <w:t xml:space="preserve"> geranylgeranyl transferase. </w:t>
      </w:r>
      <w:r w:rsidRPr="008B7650">
        <w:rPr>
          <w:rFonts w:ascii="Arial" w:hAnsi="Arial" w:cs="Arial"/>
          <w:i/>
          <w:iCs/>
          <w:sz w:val="20"/>
          <w:szCs w:val="20"/>
          <w:highlight w:val="yellow"/>
        </w:rPr>
        <w:t>The Plant Journal</w:t>
      </w:r>
      <w:r w:rsidRPr="008B7650">
        <w:rPr>
          <w:rFonts w:ascii="Arial" w:hAnsi="Arial" w:cs="Arial"/>
          <w:sz w:val="20"/>
          <w:szCs w:val="20"/>
          <w:highlight w:val="yellow"/>
        </w:rPr>
        <w:t>, </w:t>
      </w:r>
      <w:r w:rsidRPr="008B7650">
        <w:rPr>
          <w:rFonts w:ascii="Arial" w:hAnsi="Arial" w:cs="Arial"/>
          <w:i/>
          <w:iCs/>
          <w:sz w:val="20"/>
          <w:szCs w:val="20"/>
          <w:highlight w:val="yellow"/>
        </w:rPr>
        <w:t>65</w:t>
      </w:r>
      <w:r w:rsidRPr="008B7650">
        <w:rPr>
          <w:rFonts w:ascii="Arial" w:hAnsi="Arial" w:cs="Arial"/>
          <w:sz w:val="20"/>
          <w:szCs w:val="20"/>
          <w:highlight w:val="yellow"/>
        </w:rPr>
        <w:t>(2), 206-217.</w:t>
      </w:r>
    </w:p>
    <w:p w14:paraId="742309C6" w14:textId="77777777" w:rsidR="008B7650" w:rsidRPr="008B7650" w:rsidRDefault="008B7650" w:rsidP="008B7650">
      <w:pPr>
        <w:pStyle w:val="NoSpacing"/>
        <w:ind w:left="851" w:hanging="851"/>
        <w:jc w:val="both"/>
        <w:rPr>
          <w:rFonts w:ascii="Arial" w:hAnsi="Arial" w:cs="Arial"/>
          <w:color w:val="222222"/>
          <w:sz w:val="20"/>
          <w:szCs w:val="20"/>
          <w:highlight w:val="yellow"/>
          <w:shd w:val="clear" w:color="auto" w:fill="FFFFFF"/>
        </w:rPr>
      </w:pPr>
      <w:proofErr w:type="spellStart"/>
      <w:r w:rsidRPr="008B7650">
        <w:rPr>
          <w:rFonts w:ascii="Arial" w:hAnsi="Arial" w:cs="Arial"/>
          <w:color w:val="222222"/>
          <w:sz w:val="20"/>
          <w:szCs w:val="20"/>
          <w:highlight w:val="yellow"/>
          <w:shd w:val="clear" w:color="auto" w:fill="FFFFFF"/>
        </w:rPr>
        <w:t>Zanatta</w:t>
      </w:r>
      <w:proofErr w:type="spellEnd"/>
      <w:r w:rsidRPr="008B7650">
        <w:rPr>
          <w:rFonts w:ascii="Arial" w:hAnsi="Arial" w:cs="Arial"/>
          <w:color w:val="222222"/>
          <w:sz w:val="20"/>
          <w:szCs w:val="20"/>
          <w:highlight w:val="yellow"/>
          <w:shd w:val="clear" w:color="auto" w:fill="FFFFFF"/>
        </w:rPr>
        <w:t xml:space="preserve">, C. B., </w:t>
      </w:r>
      <w:proofErr w:type="spellStart"/>
      <w:r w:rsidRPr="008B7650">
        <w:rPr>
          <w:rFonts w:ascii="Arial" w:hAnsi="Arial" w:cs="Arial"/>
          <w:color w:val="222222"/>
          <w:sz w:val="20"/>
          <w:szCs w:val="20"/>
          <w:highlight w:val="yellow"/>
          <w:shd w:val="clear" w:color="auto" w:fill="FFFFFF"/>
        </w:rPr>
        <w:t>Benevenuto</w:t>
      </w:r>
      <w:proofErr w:type="spellEnd"/>
      <w:r w:rsidRPr="008B7650">
        <w:rPr>
          <w:rFonts w:ascii="Arial" w:hAnsi="Arial" w:cs="Arial"/>
          <w:color w:val="222222"/>
          <w:sz w:val="20"/>
          <w:szCs w:val="20"/>
          <w:highlight w:val="yellow"/>
          <w:shd w:val="clear" w:color="auto" w:fill="FFFFFF"/>
        </w:rPr>
        <w:t xml:space="preserve">, R. F., </w:t>
      </w:r>
      <w:proofErr w:type="spellStart"/>
      <w:r w:rsidRPr="008B7650">
        <w:rPr>
          <w:rFonts w:ascii="Arial" w:hAnsi="Arial" w:cs="Arial"/>
          <w:color w:val="222222"/>
          <w:sz w:val="20"/>
          <w:szCs w:val="20"/>
          <w:highlight w:val="yellow"/>
          <w:shd w:val="clear" w:color="auto" w:fill="FFFFFF"/>
        </w:rPr>
        <w:t>Nodari</w:t>
      </w:r>
      <w:proofErr w:type="spellEnd"/>
      <w:r w:rsidRPr="008B7650">
        <w:rPr>
          <w:rFonts w:ascii="Arial" w:hAnsi="Arial" w:cs="Arial"/>
          <w:color w:val="222222"/>
          <w:sz w:val="20"/>
          <w:szCs w:val="20"/>
          <w:highlight w:val="yellow"/>
          <w:shd w:val="clear" w:color="auto" w:fill="FFFFFF"/>
        </w:rPr>
        <w:t xml:space="preserve">, R. O., &amp; </w:t>
      </w:r>
      <w:proofErr w:type="spellStart"/>
      <w:r w:rsidRPr="008B7650">
        <w:rPr>
          <w:rFonts w:ascii="Arial" w:hAnsi="Arial" w:cs="Arial"/>
          <w:color w:val="222222"/>
          <w:sz w:val="20"/>
          <w:szCs w:val="20"/>
          <w:highlight w:val="yellow"/>
          <w:shd w:val="clear" w:color="auto" w:fill="FFFFFF"/>
        </w:rPr>
        <w:t>Agapito-Tenfen</w:t>
      </w:r>
      <w:proofErr w:type="spellEnd"/>
      <w:r w:rsidRPr="008B7650">
        <w:rPr>
          <w:rFonts w:ascii="Arial" w:hAnsi="Arial" w:cs="Arial"/>
          <w:color w:val="222222"/>
          <w:sz w:val="20"/>
          <w:szCs w:val="20"/>
          <w:highlight w:val="yellow"/>
          <w:shd w:val="clear" w:color="auto" w:fill="FFFFFF"/>
        </w:rPr>
        <w:t xml:space="preserve">, S. Z. (2020). Stacked genetically modified soybean </w:t>
      </w:r>
      <w:proofErr w:type="spellStart"/>
      <w:r w:rsidRPr="008B7650">
        <w:rPr>
          <w:rFonts w:ascii="Arial" w:hAnsi="Arial" w:cs="Arial"/>
          <w:color w:val="222222"/>
          <w:sz w:val="20"/>
          <w:szCs w:val="20"/>
          <w:highlight w:val="yellow"/>
          <w:shd w:val="clear" w:color="auto" w:fill="FFFFFF"/>
        </w:rPr>
        <w:t>harboring</w:t>
      </w:r>
      <w:proofErr w:type="spellEnd"/>
      <w:r w:rsidRPr="008B7650">
        <w:rPr>
          <w:rFonts w:ascii="Arial" w:hAnsi="Arial" w:cs="Arial"/>
          <w:color w:val="222222"/>
          <w:sz w:val="20"/>
          <w:szCs w:val="20"/>
          <w:highlight w:val="yellow"/>
          <w:shd w:val="clear" w:color="auto" w:fill="FFFFFF"/>
        </w:rPr>
        <w:t xml:space="preserve"> herbicide resistance and insecticide rCry1Ac shows strong </w:t>
      </w:r>
      <w:proofErr w:type="spellStart"/>
      <w:r w:rsidRPr="008B7650">
        <w:rPr>
          <w:rFonts w:ascii="Arial" w:hAnsi="Arial" w:cs="Arial"/>
          <w:color w:val="222222"/>
          <w:sz w:val="20"/>
          <w:szCs w:val="20"/>
          <w:highlight w:val="yellow"/>
          <w:shd w:val="clear" w:color="auto" w:fill="FFFFFF"/>
        </w:rPr>
        <w:t>defense</w:t>
      </w:r>
      <w:proofErr w:type="spellEnd"/>
      <w:r w:rsidRPr="008B7650">
        <w:rPr>
          <w:rFonts w:ascii="Arial" w:hAnsi="Arial" w:cs="Arial"/>
          <w:color w:val="222222"/>
          <w:sz w:val="20"/>
          <w:szCs w:val="20"/>
          <w:highlight w:val="yellow"/>
          <w:shd w:val="clear" w:color="auto" w:fill="FFFFFF"/>
        </w:rPr>
        <w:t xml:space="preserve"> and redox homeostasis disturbance after glyphosate-based herbicide application. </w:t>
      </w:r>
      <w:r w:rsidRPr="008B7650">
        <w:rPr>
          <w:rFonts w:ascii="Arial" w:hAnsi="Arial" w:cs="Arial"/>
          <w:i/>
          <w:iCs/>
          <w:color w:val="222222"/>
          <w:sz w:val="20"/>
          <w:szCs w:val="20"/>
          <w:highlight w:val="yellow"/>
          <w:shd w:val="clear" w:color="auto" w:fill="FFFFFF"/>
        </w:rPr>
        <w:t>Environmental Sciences Europe</w:t>
      </w:r>
      <w:r w:rsidRPr="008B7650">
        <w:rPr>
          <w:rFonts w:ascii="Arial" w:hAnsi="Arial" w:cs="Arial"/>
          <w:color w:val="222222"/>
          <w:sz w:val="20"/>
          <w:szCs w:val="20"/>
          <w:highlight w:val="yellow"/>
          <w:shd w:val="clear" w:color="auto" w:fill="FFFFFF"/>
        </w:rPr>
        <w:t>, </w:t>
      </w:r>
      <w:r w:rsidRPr="008B7650">
        <w:rPr>
          <w:rFonts w:ascii="Arial" w:hAnsi="Arial" w:cs="Arial"/>
          <w:i/>
          <w:iCs/>
          <w:color w:val="222222"/>
          <w:sz w:val="20"/>
          <w:szCs w:val="20"/>
          <w:highlight w:val="yellow"/>
          <w:shd w:val="clear" w:color="auto" w:fill="FFFFFF"/>
        </w:rPr>
        <w:t>32</w:t>
      </w:r>
      <w:r w:rsidRPr="008B7650">
        <w:rPr>
          <w:rFonts w:ascii="Arial" w:hAnsi="Arial" w:cs="Arial"/>
          <w:color w:val="222222"/>
          <w:sz w:val="20"/>
          <w:szCs w:val="20"/>
          <w:highlight w:val="yellow"/>
          <w:shd w:val="clear" w:color="auto" w:fill="FFFFFF"/>
        </w:rPr>
        <w:t>(1), 1-17.</w:t>
      </w:r>
    </w:p>
    <w:p w14:paraId="7F3AF566" w14:textId="77777777" w:rsidR="008B7650" w:rsidRPr="008B7650" w:rsidRDefault="008B7650" w:rsidP="008B7650">
      <w:pPr>
        <w:pStyle w:val="NoSpacing"/>
        <w:ind w:left="851" w:hanging="851"/>
        <w:jc w:val="both"/>
        <w:rPr>
          <w:rFonts w:ascii="Arial" w:hAnsi="Arial" w:cs="Arial"/>
          <w:sz w:val="20"/>
          <w:szCs w:val="20"/>
          <w:highlight w:val="yellow"/>
        </w:rPr>
      </w:pPr>
      <w:r w:rsidRPr="008B7650">
        <w:rPr>
          <w:rFonts w:ascii="Arial" w:hAnsi="Arial" w:cs="Arial"/>
          <w:sz w:val="20"/>
          <w:szCs w:val="20"/>
          <w:highlight w:val="yellow"/>
        </w:rPr>
        <w:t xml:space="preserve">Zhu, C., Naqvi, S., </w:t>
      </w:r>
      <w:proofErr w:type="spellStart"/>
      <w:r w:rsidRPr="008B7650">
        <w:rPr>
          <w:rFonts w:ascii="Arial" w:hAnsi="Arial" w:cs="Arial"/>
          <w:sz w:val="20"/>
          <w:szCs w:val="20"/>
          <w:highlight w:val="yellow"/>
        </w:rPr>
        <w:t>Breitenbach</w:t>
      </w:r>
      <w:proofErr w:type="spellEnd"/>
      <w:r w:rsidRPr="008B7650">
        <w:rPr>
          <w:rFonts w:ascii="Arial" w:hAnsi="Arial" w:cs="Arial"/>
          <w:sz w:val="20"/>
          <w:szCs w:val="20"/>
          <w:highlight w:val="yellow"/>
        </w:rPr>
        <w:t xml:space="preserve">, J., </w:t>
      </w:r>
      <w:proofErr w:type="spellStart"/>
      <w:r w:rsidRPr="008B7650">
        <w:rPr>
          <w:rFonts w:ascii="Arial" w:hAnsi="Arial" w:cs="Arial"/>
          <w:sz w:val="20"/>
          <w:szCs w:val="20"/>
          <w:highlight w:val="yellow"/>
        </w:rPr>
        <w:t>Sandmann</w:t>
      </w:r>
      <w:proofErr w:type="spellEnd"/>
      <w:r w:rsidRPr="008B7650">
        <w:rPr>
          <w:rFonts w:ascii="Arial" w:hAnsi="Arial" w:cs="Arial"/>
          <w:sz w:val="20"/>
          <w:szCs w:val="20"/>
          <w:highlight w:val="yellow"/>
        </w:rPr>
        <w:t xml:space="preserve">, G., Christou, P., &amp; </w:t>
      </w:r>
      <w:proofErr w:type="spellStart"/>
      <w:r w:rsidRPr="008B7650">
        <w:rPr>
          <w:rFonts w:ascii="Arial" w:hAnsi="Arial" w:cs="Arial"/>
          <w:sz w:val="20"/>
          <w:szCs w:val="20"/>
          <w:highlight w:val="yellow"/>
        </w:rPr>
        <w:t>Capell</w:t>
      </w:r>
      <w:proofErr w:type="spellEnd"/>
      <w:r w:rsidRPr="008B7650">
        <w:rPr>
          <w:rFonts w:ascii="Arial" w:hAnsi="Arial" w:cs="Arial"/>
          <w:sz w:val="20"/>
          <w:szCs w:val="20"/>
          <w:highlight w:val="yellow"/>
        </w:rPr>
        <w:t>, T. (2008). Combinatorial genetic transformation generates a library of metabolic phenotypes for the carotenoid pathway in maize. </w:t>
      </w:r>
      <w:r w:rsidRPr="008B7650">
        <w:rPr>
          <w:rFonts w:ascii="Arial" w:hAnsi="Arial" w:cs="Arial"/>
          <w:i/>
          <w:iCs/>
          <w:sz w:val="20"/>
          <w:szCs w:val="20"/>
          <w:highlight w:val="yellow"/>
        </w:rPr>
        <w:t>Proceedings of the National Academy of Sciences</w:t>
      </w:r>
      <w:r w:rsidRPr="008B7650">
        <w:rPr>
          <w:rFonts w:ascii="Arial" w:hAnsi="Arial" w:cs="Arial"/>
          <w:sz w:val="20"/>
          <w:szCs w:val="20"/>
          <w:highlight w:val="yellow"/>
        </w:rPr>
        <w:t>, </w:t>
      </w:r>
      <w:r w:rsidRPr="008B7650">
        <w:rPr>
          <w:rFonts w:ascii="Arial" w:hAnsi="Arial" w:cs="Arial"/>
          <w:i/>
          <w:iCs/>
          <w:sz w:val="20"/>
          <w:szCs w:val="20"/>
          <w:highlight w:val="yellow"/>
        </w:rPr>
        <w:t>105</w:t>
      </w:r>
      <w:r w:rsidRPr="008B7650">
        <w:rPr>
          <w:rFonts w:ascii="Arial" w:hAnsi="Arial" w:cs="Arial"/>
          <w:sz w:val="20"/>
          <w:szCs w:val="20"/>
          <w:highlight w:val="yellow"/>
        </w:rPr>
        <w:t>(47), 18232-18237.</w:t>
      </w:r>
    </w:p>
    <w:sectPr w:rsidR="008B7650" w:rsidRPr="008B7650" w:rsidSect="00BB5619">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C6AEE" w14:textId="77777777" w:rsidR="00E94BCE" w:rsidRDefault="00E94BCE" w:rsidP="00D3240B">
      <w:pPr>
        <w:spacing w:after="0" w:line="240" w:lineRule="auto"/>
      </w:pPr>
      <w:r>
        <w:separator/>
      </w:r>
    </w:p>
  </w:endnote>
  <w:endnote w:type="continuationSeparator" w:id="0">
    <w:p w14:paraId="3548889C" w14:textId="77777777" w:rsidR="00E94BCE" w:rsidRDefault="00E94BCE" w:rsidP="00D3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B9FE" w14:textId="77777777" w:rsidR="00207638" w:rsidRDefault="0020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D02A0" w14:textId="77777777" w:rsidR="00207638" w:rsidRDefault="0020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BF07" w14:textId="77777777" w:rsidR="00207638" w:rsidRDefault="0020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5536" w14:textId="77777777" w:rsidR="00E94BCE" w:rsidRDefault="00E94BCE" w:rsidP="00D3240B">
      <w:pPr>
        <w:spacing w:after="0" w:line="240" w:lineRule="auto"/>
      </w:pPr>
      <w:r>
        <w:separator/>
      </w:r>
    </w:p>
  </w:footnote>
  <w:footnote w:type="continuationSeparator" w:id="0">
    <w:p w14:paraId="02694A1D" w14:textId="77777777" w:rsidR="00E94BCE" w:rsidRDefault="00E94BCE" w:rsidP="00D32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00DA" w14:textId="0A964720" w:rsidR="00207638" w:rsidRDefault="00E94BCE">
    <w:pPr>
      <w:pStyle w:val="Header"/>
    </w:pPr>
    <w:r>
      <w:rPr>
        <w:noProof/>
      </w:rPr>
      <w:pict w14:anchorId="7311B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7F1A" w14:textId="4990D133" w:rsidR="00207638" w:rsidRDefault="00E94BCE">
    <w:pPr>
      <w:pStyle w:val="Header"/>
    </w:pPr>
    <w:r>
      <w:rPr>
        <w:noProof/>
      </w:rPr>
      <w:pict w14:anchorId="7C9A6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33A6" w14:textId="50991AA4" w:rsidR="00207638" w:rsidRDefault="00E94BCE">
    <w:pPr>
      <w:pStyle w:val="Header"/>
    </w:pPr>
    <w:r>
      <w:rPr>
        <w:noProof/>
      </w:rPr>
      <w:pict w14:anchorId="69A3E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527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609C"/>
    <w:multiLevelType w:val="hybridMultilevel"/>
    <w:tmpl w:val="4C18B0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42582A"/>
    <w:multiLevelType w:val="multilevel"/>
    <w:tmpl w:val="1D4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2033F"/>
    <w:multiLevelType w:val="hybridMultilevel"/>
    <w:tmpl w:val="B9ACAA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453F3B"/>
    <w:multiLevelType w:val="multilevel"/>
    <w:tmpl w:val="DCD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C782F"/>
    <w:multiLevelType w:val="hybridMultilevel"/>
    <w:tmpl w:val="4484D5F8"/>
    <w:lvl w:ilvl="0" w:tplc="09A8D4CC">
      <w:start w:val="1"/>
      <w:numFmt w:val="decimal"/>
      <w:lvlText w:val="%1."/>
      <w:lvlJc w:val="left"/>
      <w:pPr>
        <w:ind w:left="502"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0NzG1NLA0NzQxMzRX0lEKTi0uzszPAykwrAUAFCCq0CwAAAA="/>
  </w:docVars>
  <w:rsids>
    <w:rsidRoot w:val="00887FB0"/>
    <w:rsid w:val="00005C05"/>
    <w:rsid w:val="0001079E"/>
    <w:rsid w:val="000145A3"/>
    <w:rsid w:val="00020E51"/>
    <w:rsid w:val="00022EBD"/>
    <w:rsid w:val="00025A0F"/>
    <w:rsid w:val="00025F12"/>
    <w:rsid w:val="00030471"/>
    <w:rsid w:val="00030708"/>
    <w:rsid w:val="00033FB7"/>
    <w:rsid w:val="000370C2"/>
    <w:rsid w:val="0004115F"/>
    <w:rsid w:val="000423AF"/>
    <w:rsid w:val="000438DE"/>
    <w:rsid w:val="00054B2E"/>
    <w:rsid w:val="00054F59"/>
    <w:rsid w:val="00055FC7"/>
    <w:rsid w:val="000658AE"/>
    <w:rsid w:val="0007574F"/>
    <w:rsid w:val="00075A6D"/>
    <w:rsid w:val="00075A71"/>
    <w:rsid w:val="00084764"/>
    <w:rsid w:val="000849E3"/>
    <w:rsid w:val="000961BA"/>
    <w:rsid w:val="000A3FCB"/>
    <w:rsid w:val="000B4166"/>
    <w:rsid w:val="000C08F5"/>
    <w:rsid w:val="000C1A94"/>
    <w:rsid w:val="000C24D9"/>
    <w:rsid w:val="000C269B"/>
    <w:rsid w:val="000C4104"/>
    <w:rsid w:val="000D0256"/>
    <w:rsid w:val="000D0D7C"/>
    <w:rsid w:val="000D5EB6"/>
    <w:rsid w:val="000E3455"/>
    <w:rsid w:val="000E43C6"/>
    <w:rsid w:val="000E6B27"/>
    <w:rsid w:val="000F0289"/>
    <w:rsid w:val="000F17B2"/>
    <w:rsid w:val="000F2619"/>
    <w:rsid w:val="000F275D"/>
    <w:rsid w:val="001028DB"/>
    <w:rsid w:val="001078BE"/>
    <w:rsid w:val="00107C4C"/>
    <w:rsid w:val="00112AB5"/>
    <w:rsid w:val="001221BD"/>
    <w:rsid w:val="00122BF6"/>
    <w:rsid w:val="0012306F"/>
    <w:rsid w:val="00123379"/>
    <w:rsid w:val="00124C39"/>
    <w:rsid w:val="00130F9B"/>
    <w:rsid w:val="00133852"/>
    <w:rsid w:val="00136080"/>
    <w:rsid w:val="001409CD"/>
    <w:rsid w:val="001434F8"/>
    <w:rsid w:val="00150A2D"/>
    <w:rsid w:val="00151DC6"/>
    <w:rsid w:val="001540A2"/>
    <w:rsid w:val="0015459A"/>
    <w:rsid w:val="0015504B"/>
    <w:rsid w:val="00161CE9"/>
    <w:rsid w:val="00161E04"/>
    <w:rsid w:val="0016544F"/>
    <w:rsid w:val="001655C2"/>
    <w:rsid w:val="00166B9F"/>
    <w:rsid w:val="0017377D"/>
    <w:rsid w:val="0017488A"/>
    <w:rsid w:val="00176E83"/>
    <w:rsid w:val="00181820"/>
    <w:rsid w:val="001834AD"/>
    <w:rsid w:val="00187425"/>
    <w:rsid w:val="00187A60"/>
    <w:rsid w:val="00193E4E"/>
    <w:rsid w:val="00194B08"/>
    <w:rsid w:val="00196B19"/>
    <w:rsid w:val="001970D8"/>
    <w:rsid w:val="001A0C3F"/>
    <w:rsid w:val="001A67FB"/>
    <w:rsid w:val="001A68E9"/>
    <w:rsid w:val="001A6CE5"/>
    <w:rsid w:val="001A7D51"/>
    <w:rsid w:val="001B04CC"/>
    <w:rsid w:val="001B4756"/>
    <w:rsid w:val="001B4BF7"/>
    <w:rsid w:val="001B4FD7"/>
    <w:rsid w:val="001B56D3"/>
    <w:rsid w:val="001C193E"/>
    <w:rsid w:val="001C5169"/>
    <w:rsid w:val="001C7835"/>
    <w:rsid w:val="001D0542"/>
    <w:rsid w:val="001D0DF1"/>
    <w:rsid w:val="001D266C"/>
    <w:rsid w:val="001D4008"/>
    <w:rsid w:val="001E1E5E"/>
    <w:rsid w:val="001E4F79"/>
    <w:rsid w:val="001E6420"/>
    <w:rsid w:val="001E73A3"/>
    <w:rsid w:val="001F7163"/>
    <w:rsid w:val="0020100D"/>
    <w:rsid w:val="00203271"/>
    <w:rsid w:val="00207638"/>
    <w:rsid w:val="00207E1A"/>
    <w:rsid w:val="00211426"/>
    <w:rsid w:val="00214A1A"/>
    <w:rsid w:val="00215DA1"/>
    <w:rsid w:val="00225E12"/>
    <w:rsid w:val="00231432"/>
    <w:rsid w:val="00233F7D"/>
    <w:rsid w:val="00234C57"/>
    <w:rsid w:val="00235A9B"/>
    <w:rsid w:val="00236972"/>
    <w:rsid w:val="00236E14"/>
    <w:rsid w:val="00240776"/>
    <w:rsid w:val="002525B4"/>
    <w:rsid w:val="002525FA"/>
    <w:rsid w:val="002553E8"/>
    <w:rsid w:val="0026050B"/>
    <w:rsid w:val="00264A84"/>
    <w:rsid w:val="00270AC5"/>
    <w:rsid w:val="00270E8E"/>
    <w:rsid w:val="0027122A"/>
    <w:rsid w:val="00273194"/>
    <w:rsid w:val="00273C40"/>
    <w:rsid w:val="0027459A"/>
    <w:rsid w:val="00275C67"/>
    <w:rsid w:val="00284034"/>
    <w:rsid w:val="00286F96"/>
    <w:rsid w:val="0028743B"/>
    <w:rsid w:val="00290571"/>
    <w:rsid w:val="00292172"/>
    <w:rsid w:val="00292526"/>
    <w:rsid w:val="0029261D"/>
    <w:rsid w:val="00295C76"/>
    <w:rsid w:val="002B1A26"/>
    <w:rsid w:val="002B36EE"/>
    <w:rsid w:val="002B4CE7"/>
    <w:rsid w:val="002B745A"/>
    <w:rsid w:val="002C12B0"/>
    <w:rsid w:val="002C29BD"/>
    <w:rsid w:val="002C3992"/>
    <w:rsid w:val="002C49EE"/>
    <w:rsid w:val="002C5044"/>
    <w:rsid w:val="002D0097"/>
    <w:rsid w:val="002E0AD3"/>
    <w:rsid w:val="002E4F7A"/>
    <w:rsid w:val="002E77A8"/>
    <w:rsid w:val="002F062E"/>
    <w:rsid w:val="002F0793"/>
    <w:rsid w:val="002F1540"/>
    <w:rsid w:val="002F1679"/>
    <w:rsid w:val="002F5F91"/>
    <w:rsid w:val="002F65F8"/>
    <w:rsid w:val="002F7790"/>
    <w:rsid w:val="0030079A"/>
    <w:rsid w:val="00301ADC"/>
    <w:rsid w:val="00307611"/>
    <w:rsid w:val="00311F49"/>
    <w:rsid w:val="003138A1"/>
    <w:rsid w:val="00316652"/>
    <w:rsid w:val="0032147A"/>
    <w:rsid w:val="00324B30"/>
    <w:rsid w:val="00332528"/>
    <w:rsid w:val="0033295A"/>
    <w:rsid w:val="00334083"/>
    <w:rsid w:val="003364AC"/>
    <w:rsid w:val="003413B7"/>
    <w:rsid w:val="00341CCF"/>
    <w:rsid w:val="00341F0A"/>
    <w:rsid w:val="003454B2"/>
    <w:rsid w:val="0034648B"/>
    <w:rsid w:val="00347A84"/>
    <w:rsid w:val="00350754"/>
    <w:rsid w:val="0035264C"/>
    <w:rsid w:val="00354556"/>
    <w:rsid w:val="003559D6"/>
    <w:rsid w:val="00363E41"/>
    <w:rsid w:val="00364F2F"/>
    <w:rsid w:val="00365E77"/>
    <w:rsid w:val="00366828"/>
    <w:rsid w:val="00370289"/>
    <w:rsid w:val="003724C4"/>
    <w:rsid w:val="0037517C"/>
    <w:rsid w:val="00376B05"/>
    <w:rsid w:val="0037742D"/>
    <w:rsid w:val="00377659"/>
    <w:rsid w:val="0038266F"/>
    <w:rsid w:val="00384AC9"/>
    <w:rsid w:val="0038744D"/>
    <w:rsid w:val="00390961"/>
    <w:rsid w:val="00392A64"/>
    <w:rsid w:val="00395CB9"/>
    <w:rsid w:val="003967DA"/>
    <w:rsid w:val="00397776"/>
    <w:rsid w:val="003A03FB"/>
    <w:rsid w:val="003A46C8"/>
    <w:rsid w:val="003A4888"/>
    <w:rsid w:val="003B0829"/>
    <w:rsid w:val="003B0C82"/>
    <w:rsid w:val="003B355E"/>
    <w:rsid w:val="003B5CBC"/>
    <w:rsid w:val="003B64A6"/>
    <w:rsid w:val="003B7FC5"/>
    <w:rsid w:val="003C1C1F"/>
    <w:rsid w:val="003C2F48"/>
    <w:rsid w:val="003D03F5"/>
    <w:rsid w:val="003D0A5F"/>
    <w:rsid w:val="003D4E04"/>
    <w:rsid w:val="003D6A53"/>
    <w:rsid w:val="003D6C22"/>
    <w:rsid w:val="003E15ED"/>
    <w:rsid w:val="003E1DAC"/>
    <w:rsid w:val="003E1FCF"/>
    <w:rsid w:val="003E4A4C"/>
    <w:rsid w:val="003E7CBF"/>
    <w:rsid w:val="003F233A"/>
    <w:rsid w:val="003F4AB0"/>
    <w:rsid w:val="003F5C6B"/>
    <w:rsid w:val="003F677D"/>
    <w:rsid w:val="00401594"/>
    <w:rsid w:val="00401C11"/>
    <w:rsid w:val="00404501"/>
    <w:rsid w:val="00410024"/>
    <w:rsid w:val="00412212"/>
    <w:rsid w:val="004147FE"/>
    <w:rsid w:val="00415F69"/>
    <w:rsid w:val="00417AAD"/>
    <w:rsid w:val="0042067D"/>
    <w:rsid w:val="004250D3"/>
    <w:rsid w:val="00425BAF"/>
    <w:rsid w:val="0042722C"/>
    <w:rsid w:val="00427663"/>
    <w:rsid w:val="00430822"/>
    <w:rsid w:val="004412DF"/>
    <w:rsid w:val="004413FB"/>
    <w:rsid w:val="004433C0"/>
    <w:rsid w:val="004437E8"/>
    <w:rsid w:val="004444F9"/>
    <w:rsid w:val="00446148"/>
    <w:rsid w:val="00451C8D"/>
    <w:rsid w:val="00451E7E"/>
    <w:rsid w:val="004620BF"/>
    <w:rsid w:val="00464783"/>
    <w:rsid w:val="00464864"/>
    <w:rsid w:val="00464E32"/>
    <w:rsid w:val="00466445"/>
    <w:rsid w:val="004701D3"/>
    <w:rsid w:val="00470739"/>
    <w:rsid w:val="00470AAF"/>
    <w:rsid w:val="00475291"/>
    <w:rsid w:val="004757AA"/>
    <w:rsid w:val="00475F03"/>
    <w:rsid w:val="00483746"/>
    <w:rsid w:val="00483911"/>
    <w:rsid w:val="00485958"/>
    <w:rsid w:val="00490E90"/>
    <w:rsid w:val="004919EB"/>
    <w:rsid w:val="00493D91"/>
    <w:rsid w:val="00494339"/>
    <w:rsid w:val="0049468F"/>
    <w:rsid w:val="004A07DB"/>
    <w:rsid w:val="004A5E28"/>
    <w:rsid w:val="004A6956"/>
    <w:rsid w:val="004A73A0"/>
    <w:rsid w:val="004B14DA"/>
    <w:rsid w:val="004B4402"/>
    <w:rsid w:val="004B4A68"/>
    <w:rsid w:val="004B5F11"/>
    <w:rsid w:val="004B6BE2"/>
    <w:rsid w:val="004B6FE1"/>
    <w:rsid w:val="004B75A3"/>
    <w:rsid w:val="004C2164"/>
    <w:rsid w:val="004C45B3"/>
    <w:rsid w:val="004D34EF"/>
    <w:rsid w:val="004D5007"/>
    <w:rsid w:val="004E0E05"/>
    <w:rsid w:val="004E1013"/>
    <w:rsid w:val="004E2F45"/>
    <w:rsid w:val="004E6B04"/>
    <w:rsid w:val="004E7251"/>
    <w:rsid w:val="004F5BAF"/>
    <w:rsid w:val="004F6993"/>
    <w:rsid w:val="00500244"/>
    <w:rsid w:val="005006BD"/>
    <w:rsid w:val="005044B2"/>
    <w:rsid w:val="00504FDC"/>
    <w:rsid w:val="00505DDB"/>
    <w:rsid w:val="0051025C"/>
    <w:rsid w:val="00510C84"/>
    <w:rsid w:val="00511506"/>
    <w:rsid w:val="005125ED"/>
    <w:rsid w:val="00513C0B"/>
    <w:rsid w:val="00520DDE"/>
    <w:rsid w:val="00524A07"/>
    <w:rsid w:val="00524B98"/>
    <w:rsid w:val="00524CDD"/>
    <w:rsid w:val="00524F7D"/>
    <w:rsid w:val="005266F3"/>
    <w:rsid w:val="005345CF"/>
    <w:rsid w:val="0053723E"/>
    <w:rsid w:val="00537EFA"/>
    <w:rsid w:val="005420B0"/>
    <w:rsid w:val="0054238E"/>
    <w:rsid w:val="0054334C"/>
    <w:rsid w:val="00543738"/>
    <w:rsid w:val="00547066"/>
    <w:rsid w:val="005470E0"/>
    <w:rsid w:val="00551DFD"/>
    <w:rsid w:val="0055229D"/>
    <w:rsid w:val="00560275"/>
    <w:rsid w:val="00560A95"/>
    <w:rsid w:val="0056214F"/>
    <w:rsid w:val="00567F2D"/>
    <w:rsid w:val="00572E84"/>
    <w:rsid w:val="00574595"/>
    <w:rsid w:val="00581705"/>
    <w:rsid w:val="0058442E"/>
    <w:rsid w:val="005848C1"/>
    <w:rsid w:val="00584957"/>
    <w:rsid w:val="0058661C"/>
    <w:rsid w:val="005872EB"/>
    <w:rsid w:val="00587719"/>
    <w:rsid w:val="0058776A"/>
    <w:rsid w:val="00587B39"/>
    <w:rsid w:val="00591FFE"/>
    <w:rsid w:val="00593188"/>
    <w:rsid w:val="00596F11"/>
    <w:rsid w:val="005A0362"/>
    <w:rsid w:val="005A195C"/>
    <w:rsid w:val="005A332C"/>
    <w:rsid w:val="005B55EB"/>
    <w:rsid w:val="005B6BE9"/>
    <w:rsid w:val="005C09FF"/>
    <w:rsid w:val="005C3FC2"/>
    <w:rsid w:val="005C4020"/>
    <w:rsid w:val="005D1C46"/>
    <w:rsid w:val="005D5979"/>
    <w:rsid w:val="005D7096"/>
    <w:rsid w:val="005E1AF4"/>
    <w:rsid w:val="005E397D"/>
    <w:rsid w:val="005F2480"/>
    <w:rsid w:val="005F3006"/>
    <w:rsid w:val="005F3A27"/>
    <w:rsid w:val="005F4111"/>
    <w:rsid w:val="005F64CB"/>
    <w:rsid w:val="00600ADD"/>
    <w:rsid w:val="00606FE7"/>
    <w:rsid w:val="00611192"/>
    <w:rsid w:val="006139F1"/>
    <w:rsid w:val="00616AB5"/>
    <w:rsid w:val="0061785C"/>
    <w:rsid w:val="00617D64"/>
    <w:rsid w:val="006208E9"/>
    <w:rsid w:val="006219FF"/>
    <w:rsid w:val="006228A4"/>
    <w:rsid w:val="00623E35"/>
    <w:rsid w:val="00625F08"/>
    <w:rsid w:val="00626BEB"/>
    <w:rsid w:val="00632A26"/>
    <w:rsid w:val="0063572C"/>
    <w:rsid w:val="00636298"/>
    <w:rsid w:val="0063716F"/>
    <w:rsid w:val="006439B5"/>
    <w:rsid w:val="006446F4"/>
    <w:rsid w:val="00645E16"/>
    <w:rsid w:val="00646E18"/>
    <w:rsid w:val="00655611"/>
    <w:rsid w:val="00666793"/>
    <w:rsid w:val="006721EE"/>
    <w:rsid w:val="00674FEE"/>
    <w:rsid w:val="00675B68"/>
    <w:rsid w:val="006827C3"/>
    <w:rsid w:val="006878A7"/>
    <w:rsid w:val="00690426"/>
    <w:rsid w:val="00693C8B"/>
    <w:rsid w:val="006A2904"/>
    <w:rsid w:val="006A3899"/>
    <w:rsid w:val="006A4CF4"/>
    <w:rsid w:val="006A7DA6"/>
    <w:rsid w:val="006B03C9"/>
    <w:rsid w:val="006B05F9"/>
    <w:rsid w:val="006B091F"/>
    <w:rsid w:val="006B1D5C"/>
    <w:rsid w:val="006B6273"/>
    <w:rsid w:val="006B7B6D"/>
    <w:rsid w:val="006C1BDF"/>
    <w:rsid w:val="006C589A"/>
    <w:rsid w:val="006C5A07"/>
    <w:rsid w:val="006C6CC4"/>
    <w:rsid w:val="006C7353"/>
    <w:rsid w:val="006D0DF5"/>
    <w:rsid w:val="006D185D"/>
    <w:rsid w:val="006D2663"/>
    <w:rsid w:val="006D2DC8"/>
    <w:rsid w:val="006D455C"/>
    <w:rsid w:val="006E0C91"/>
    <w:rsid w:val="006E488E"/>
    <w:rsid w:val="006E5647"/>
    <w:rsid w:val="006F41D8"/>
    <w:rsid w:val="006F58BC"/>
    <w:rsid w:val="00700AE9"/>
    <w:rsid w:val="00703418"/>
    <w:rsid w:val="007111F3"/>
    <w:rsid w:val="007133A4"/>
    <w:rsid w:val="007136EC"/>
    <w:rsid w:val="007140B3"/>
    <w:rsid w:val="00714A73"/>
    <w:rsid w:val="00715677"/>
    <w:rsid w:val="007156E6"/>
    <w:rsid w:val="00716C29"/>
    <w:rsid w:val="00716C73"/>
    <w:rsid w:val="007174B5"/>
    <w:rsid w:val="00722475"/>
    <w:rsid w:val="00723047"/>
    <w:rsid w:val="00725B5B"/>
    <w:rsid w:val="00725EC4"/>
    <w:rsid w:val="00726269"/>
    <w:rsid w:val="0072716D"/>
    <w:rsid w:val="00731BB9"/>
    <w:rsid w:val="00731CA9"/>
    <w:rsid w:val="00731D99"/>
    <w:rsid w:val="007324E0"/>
    <w:rsid w:val="00735502"/>
    <w:rsid w:val="007373AE"/>
    <w:rsid w:val="00737C8B"/>
    <w:rsid w:val="0074482F"/>
    <w:rsid w:val="007454F4"/>
    <w:rsid w:val="007462E6"/>
    <w:rsid w:val="00753CD8"/>
    <w:rsid w:val="00755BDE"/>
    <w:rsid w:val="00761DA6"/>
    <w:rsid w:val="00763170"/>
    <w:rsid w:val="0076428D"/>
    <w:rsid w:val="00765746"/>
    <w:rsid w:val="00765B62"/>
    <w:rsid w:val="00772CEC"/>
    <w:rsid w:val="00773A24"/>
    <w:rsid w:val="0077554B"/>
    <w:rsid w:val="00783386"/>
    <w:rsid w:val="007847AF"/>
    <w:rsid w:val="00787CF5"/>
    <w:rsid w:val="00790274"/>
    <w:rsid w:val="00790AB0"/>
    <w:rsid w:val="00792448"/>
    <w:rsid w:val="00794688"/>
    <w:rsid w:val="00797988"/>
    <w:rsid w:val="007A3E1D"/>
    <w:rsid w:val="007A5417"/>
    <w:rsid w:val="007B0B3F"/>
    <w:rsid w:val="007B0E6E"/>
    <w:rsid w:val="007B1A5B"/>
    <w:rsid w:val="007B4172"/>
    <w:rsid w:val="007C4027"/>
    <w:rsid w:val="007C4CBA"/>
    <w:rsid w:val="007C4E8F"/>
    <w:rsid w:val="007C514A"/>
    <w:rsid w:val="007D04BE"/>
    <w:rsid w:val="007D07E9"/>
    <w:rsid w:val="007D149E"/>
    <w:rsid w:val="007D206C"/>
    <w:rsid w:val="007D3517"/>
    <w:rsid w:val="007D3ECB"/>
    <w:rsid w:val="007D3F65"/>
    <w:rsid w:val="007D428A"/>
    <w:rsid w:val="007D49B9"/>
    <w:rsid w:val="007D638D"/>
    <w:rsid w:val="007D69DC"/>
    <w:rsid w:val="007D7BE6"/>
    <w:rsid w:val="007E5074"/>
    <w:rsid w:val="007E5B0B"/>
    <w:rsid w:val="007E757E"/>
    <w:rsid w:val="007F0C75"/>
    <w:rsid w:val="007F10B1"/>
    <w:rsid w:val="007F2603"/>
    <w:rsid w:val="0080064E"/>
    <w:rsid w:val="008011D5"/>
    <w:rsid w:val="0080339C"/>
    <w:rsid w:val="008035CE"/>
    <w:rsid w:val="00804CF6"/>
    <w:rsid w:val="008050F6"/>
    <w:rsid w:val="00813E72"/>
    <w:rsid w:val="00815681"/>
    <w:rsid w:val="0082014A"/>
    <w:rsid w:val="00822196"/>
    <w:rsid w:val="0082292B"/>
    <w:rsid w:val="00822B36"/>
    <w:rsid w:val="008242C0"/>
    <w:rsid w:val="00826062"/>
    <w:rsid w:val="00830493"/>
    <w:rsid w:val="00834FFA"/>
    <w:rsid w:val="008355CA"/>
    <w:rsid w:val="00836CDD"/>
    <w:rsid w:val="0084117F"/>
    <w:rsid w:val="008438DA"/>
    <w:rsid w:val="008442FB"/>
    <w:rsid w:val="008448D0"/>
    <w:rsid w:val="008450E4"/>
    <w:rsid w:val="00845E69"/>
    <w:rsid w:val="0084600B"/>
    <w:rsid w:val="008543E8"/>
    <w:rsid w:val="00854681"/>
    <w:rsid w:val="008567F6"/>
    <w:rsid w:val="00860561"/>
    <w:rsid w:val="00863BDD"/>
    <w:rsid w:val="00866902"/>
    <w:rsid w:val="00867512"/>
    <w:rsid w:val="00875C5D"/>
    <w:rsid w:val="0087676B"/>
    <w:rsid w:val="008778C5"/>
    <w:rsid w:val="00881AFA"/>
    <w:rsid w:val="00883781"/>
    <w:rsid w:val="008837CE"/>
    <w:rsid w:val="0088683A"/>
    <w:rsid w:val="00887FB0"/>
    <w:rsid w:val="008937F5"/>
    <w:rsid w:val="00897D4E"/>
    <w:rsid w:val="008A2364"/>
    <w:rsid w:val="008A2BD8"/>
    <w:rsid w:val="008A377E"/>
    <w:rsid w:val="008A4531"/>
    <w:rsid w:val="008B07EA"/>
    <w:rsid w:val="008B09C3"/>
    <w:rsid w:val="008B0F03"/>
    <w:rsid w:val="008B10AE"/>
    <w:rsid w:val="008B2A53"/>
    <w:rsid w:val="008B5FAE"/>
    <w:rsid w:val="008B6319"/>
    <w:rsid w:val="008B7650"/>
    <w:rsid w:val="008C384D"/>
    <w:rsid w:val="008C7667"/>
    <w:rsid w:val="008C7916"/>
    <w:rsid w:val="008D44EE"/>
    <w:rsid w:val="008D4D77"/>
    <w:rsid w:val="008D5DC3"/>
    <w:rsid w:val="008D5E7C"/>
    <w:rsid w:val="008D73C2"/>
    <w:rsid w:val="008E0CAA"/>
    <w:rsid w:val="008E325A"/>
    <w:rsid w:val="008F0114"/>
    <w:rsid w:val="008F05F6"/>
    <w:rsid w:val="008F2C89"/>
    <w:rsid w:val="008F3CF4"/>
    <w:rsid w:val="008F7FD5"/>
    <w:rsid w:val="00907690"/>
    <w:rsid w:val="00907A9C"/>
    <w:rsid w:val="009109F4"/>
    <w:rsid w:val="0091166B"/>
    <w:rsid w:val="00913626"/>
    <w:rsid w:val="009146E0"/>
    <w:rsid w:val="00916142"/>
    <w:rsid w:val="00917E4F"/>
    <w:rsid w:val="00920335"/>
    <w:rsid w:val="00922CC9"/>
    <w:rsid w:val="00927418"/>
    <w:rsid w:val="0093453B"/>
    <w:rsid w:val="00935DAA"/>
    <w:rsid w:val="00936A54"/>
    <w:rsid w:val="00946396"/>
    <w:rsid w:val="00947255"/>
    <w:rsid w:val="009514AE"/>
    <w:rsid w:val="0095204F"/>
    <w:rsid w:val="00956AC0"/>
    <w:rsid w:val="00961DD1"/>
    <w:rsid w:val="009628F2"/>
    <w:rsid w:val="00962CA2"/>
    <w:rsid w:val="00965D49"/>
    <w:rsid w:val="0097266D"/>
    <w:rsid w:val="0097485E"/>
    <w:rsid w:val="00980324"/>
    <w:rsid w:val="00983B0E"/>
    <w:rsid w:val="009841BA"/>
    <w:rsid w:val="00985516"/>
    <w:rsid w:val="009866A0"/>
    <w:rsid w:val="00986AEB"/>
    <w:rsid w:val="00996577"/>
    <w:rsid w:val="009A0E79"/>
    <w:rsid w:val="009A4691"/>
    <w:rsid w:val="009A5485"/>
    <w:rsid w:val="009B0DAB"/>
    <w:rsid w:val="009B29CD"/>
    <w:rsid w:val="009B7178"/>
    <w:rsid w:val="009B77C9"/>
    <w:rsid w:val="009B7FD5"/>
    <w:rsid w:val="009C0F9B"/>
    <w:rsid w:val="009C2900"/>
    <w:rsid w:val="009C4E1A"/>
    <w:rsid w:val="009C5E02"/>
    <w:rsid w:val="009C7FBE"/>
    <w:rsid w:val="009D5786"/>
    <w:rsid w:val="009E0A0C"/>
    <w:rsid w:val="009E1E0F"/>
    <w:rsid w:val="009E280B"/>
    <w:rsid w:val="009E2AD3"/>
    <w:rsid w:val="009E7DF9"/>
    <w:rsid w:val="009F1BAE"/>
    <w:rsid w:val="009F2BFF"/>
    <w:rsid w:val="009F5E92"/>
    <w:rsid w:val="00A053D2"/>
    <w:rsid w:val="00A05480"/>
    <w:rsid w:val="00A07262"/>
    <w:rsid w:val="00A07B5C"/>
    <w:rsid w:val="00A3186F"/>
    <w:rsid w:val="00A356D6"/>
    <w:rsid w:val="00A436EB"/>
    <w:rsid w:val="00A53A24"/>
    <w:rsid w:val="00A54F56"/>
    <w:rsid w:val="00A554A0"/>
    <w:rsid w:val="00A556ED"/>
    <w:rsid w:val="00A57CC0"/>
    <w:rsid w:val="00A60523"/>
    <w:rsid w:val="00A617D8"/>
    <w:rsid w:val="00A61933"/>
    <w:rsid w:val="00A61CD6"/>
    <w:rsid w:val="00A624A7"/>
    <w:rsid w:val="00A627D9"/>
    <w:rsid w:val="00A704C3"/>
    <w:rsid w:val="00A70FBE"/>
    <w:rsid w:val="00A71587"/>
    <w:rsid w:val="00A7215E"/>
    <w:rsid w:val="00A72CF0"/>
    <w:rsid w:val="00A7499B"/>
    <w:rsid w:val="00A81129"/>
    <w:rsid w:val="00A81596"/>
    <w:rsid w:val="00A81FA9"/>
    <w:rsid w:val="00A83D8E"/>
    <w:rsid w:val="00A91718"/>
    <w:rsid w:val="00A929CE"/>
    <w:rsid w:val="00A93EAE"/>
    <w:rsid w:val="00A950D4"/>
    <w:rsid w:val="00A95AA7"/>
    <w:rsid w:val="00AA3B0A"/>
    <w:rsid w:val="00AB141E"/>
    <w:rsid w:val="00AB1485"/>
    <w:rsid w:val="00AB714C"/>
    <w:rsid w:val="00AC3460"/>
    <w:rsid w:val="00AC3A9E"/>
    <w:rsid w:val="00AC4232"/>
    <w:rsid w:val="00AC5774"/>
    <w:rsid w:val="00AC5CD7"/>
    <w:rsid w:val="00AC6C0F"/>
    <w:rsid w:val="00AC7301"/>
    <w:rsid w:val="00AD35A0"/>
    <w:rsid w:val="00AD4874"/>
    <w:rsid w:val="00AD4E3C"/>
    <w:rsid w:val="00AD7F99"/>
    <w:rsid w:val="00AE10AA"/>
    <w:rsid w:val="00AE46C9"/>
    <w:rsid w:val="00AE4C09"/>
    <w:rsid w:val="00AE5BD6"/>
    <w:rsid w:val="00AE5C35"/>
    <w:rsid w:val="00AE7612"/>
    <w:rsid w:val="00AF0BCA"/>
    <w:rsid w:val="00AF12BE"/>
    <w:rsid w:val="00AF140D"/>
    <w:rsid w:val="00AF65DD"/>
    <w:rsid w:val="00B00AC3"/>
    <w:rsid w:val="00B011F1"/>
    <w:rsid w:val="00B012B1"/>
    <w:rsid w:val="00B05984"/>
    <w:rsid w:val="00B07945"/>
    <w:rsid w:val="00B27F99"/>
    <w:rsid w:val="00B339AB"/>
    <w:rsid w:val="00B344ED"/>
    <w:rsid w:val="00B35B4E"/>
    <w:rsid w:val="00B43080"/>
    <w:rsid w:val="00B43B78"/>
    <w:rsid w:val="00B43D9C"/>
    <w:rsid w:val="00B44CC2"/>
    <w:rsid w:val="00B46443"/>
    <w:rsid w:val="00B518F7"/>
    <w:rsid w:val="00B556CB"/>
    <w:rsid w:val="00B60179"/>
    <w:rsid w:val="00B607BD"/>
    <w:rsid w:val="00B659E4"/>
    <w:rsid w:val="00B70FAD"/>
    <w:rsid w:val="00B70FC7"/>
    <w:rsid w:val="00B80A0C"/>
    <w:rsid w:val="00B83DA7"/>
    <w:rsid w:val="00B924D2"/>
    <w:rsid w:val="00B93DEE"/>
    <w:rsid w:val="00B963A7"/>
    <w:rsid w:val="00B97CC1"/>
    <w:rsid w:val="00BA0B92"/>
    <w:rsid w:val="00BA0E59"/>
    <w:rsid w:val="00BA34A6"/>
    <w:rsid w:val="00BA4888"/>
    <w:rsid w:val="00BA48CA"/>
    <w:rsid w:val="00BA565C"/>
    <w:rsid w:val="00BA599E"/>
    <w:rsid w:val="00BA6431"/>
    <w:rsid w:val="00BA757E"/>
    <w:rsid w:val="00BA760A"/>
    <w:rsid w:val="00BB5619"/>
    <w:rsid w:val="00BB6ECC"/>
    <w:rsid w:val="00BB7F0B"/>
    <w:rsid w:val="00BC2383"/>
    <w:rsid w:val="00BC3563"/>
    <w:rsid w:val="00BD4B73"/>
    <w:rsid w:val="00BD4D1F"/>
    <w:rsid w:val="00BD5682"/>
    <w:rsid w:val="00BD7452"/>
    <w:rsid w:val="00BE0CC7"/>
    <w:rsid w:val="00BE4109"/>
    <w:rsid w:val="00BE4ADF"/>
    <w:rsid w:val="00BE518C"/>
    <w:rsid w:val="00BE5A7C"/>
    <w:rsid w:val="00BE5CE1"/>
    <w:rsid w:val="00BE7B47"/>
    <w:rsid w:val="00BF1339"/>
    <w:rsid w:val="00BF4009"/>
    <w:rsid w:val="00BF48D6"/>
    <w:rsid w:val="00C00685"/>
    <w:rsid w:val="00C0232C"/>
    <w:rsid w:val="00C05008"/>
    <w:rsid w:val="00C06F1A"/>
    <w:rsid w:val="00C11282"/>
    <w:rsid w:val="00C11D0A"/>
    <w:rsid w:val="00C15E92"/>
    <w:rsid w:val="00C20FFD"/>
    <w:rsid w:val="00C2125A"/>
    <w:rsid w:val="00C33666"/>
    <w:rsid w:val="00C33A09"/>
    <w:rsid w:val="00C33E45"/>
    <w:rsid w:val="00C35A26"/>
    <w:rsid w:val="00C3706C"/>
    <w:rsid w:val="00C370CD"/>
    <w:rsid w:val="00C37973"/>
    <w:rsid w:val="00C4440C"/>
    <w:rsid w:val="00C51736"/>
    <w:rsid w:val="00C51D96"/>
    <w:rsid w:val="00C5216F"/>
    <w:rsid w:val="00C5288E"/>
    <w:rsid w:val="00C5555B"/>
    <w:rsid w:val="00C5763E"/>
    <w:rsid w:val="00C66ADB"/>
    <w:rsid w:val="00C678DE"/>
    <w:rsid w:val="00C71DD6"/>
    <w:rsid w:val="00C72A92"/>
    <w:rsid w:val="00C771B5"/>
    <w:rsid w:val="00C77D47"/>
    <w:rsid w:val="00C802B3"/>
    <w:rsid w:val="00C87153"/>
    <w:rsid w:val="00C87C0B"/>
    <w:rsid w:val="00C92CB4"/>
    <w:rsid w:val="00C93AD1"/>
    <w:rsid w:val="00C93FEF"/>
    <w:rsid w:val="00C9613C"/>
    <w:rsid w:val="00C97C5A"/>
    <w:rsid w:val="00CA20A2"/>
    <w:rsid w:val="00CA5E5B"/>
    <w:rsid w:val="00CB02A2"/>
    <w:rsid w:val="00CB1CBF"/>
    <w:rsid w:val="00CB4C02"/>
    <w:rsid w:val="00CB6F93"/>
    <w:rsid w:val="00CC06DC"/>
    <w:rsid w:val="00CC0E1A"/>
    <w:rsid w:val="00CC2455"/>
    <w:rsid w:val="00CC2C0B"/>
    <w:rsid w:val="00CD0DC9"/>
    <w:rsid w:val="00CD6F1F"/>
    <w:rsid w:val="00CD7B37"/>
    <w:rsid w:val="00CE0053"/>
    <w:rsid w:val="00CE0224"/>
    <w:rsid w:val="00CE0FC0"/>
    <w:rsid w:val="00CE3D13"/>
    <w:rsid w:val="00CE422A"/>
    <w:rsid w:val="00CF1B59"/>
    <w:rsid w:val="00CF2853"/>
    <w:rsid w:val="00CF28DD"/>
    <w:rsid w:val="00CF388E"/>
    <w:rsid w:val="00CF5471"/>
    <w:rsid w:val="00CF69E5"/>
    <w:rsid w:val="00CF6E88"/>
    <w:rsid w:val="00D00069"/>
    <w:rsid w:val="00D005CA"/>
    <w:rsid w:val="00D01F86"/>
    <w:rsid w:val="00D0325D"/>
    <w:rsid w:val="00D032BE"/>
    <w:rsid w:val="00D05A11"/>
    <w:rsid w:val="00D101DF"/>
    <w:rsid w:val="00D10A63"/>
    <w:rsid w:val="00D1462D"/>
    <w:rsid w:val="00D1731E"/>
    <w:rsid w:val="00D17FEE"/>
    <w:rsid w:val="00D23CEE"/>
    <w:rsid w:val="00D2722A"/>
    <w:rsid w:val="00D27888"/>
    <w:rsid w:val="00D30462"/>
    <w:rsid w:val="00D3240B"/>
    <w:rsid w:val="00D356D0"/>
    <w:rsid w:val="00D35C95"/>
    <w:rsid w:val="00D36237"/>
    <w:rsid w:val="00D40901"/>
    <w:rsid w:val="00D40DA7"/>
    <w:rsid w:val="00D41C18"/>
    <w:rsid w:val="00D45E02"/>
    <w:rsid w:val="00D4734A"/>
    <w:rsid w:val="00D47CDE"/>
    <w:rsid w:val="00D51827"/>
    <w:rsid w:val="00D52C3A"/>
    <w:rsid w:val="00D52DA4"/>
    <w:rsid w:val="00D55BA6"/>
    <w:rsid w:val="00D56DDF"/>
    <w:rsid w:val="00D60F99"/>
    <w:rsid w:val="00D61114"/>
    <w:rsid w:val="00D615CB"/>
    <w:rsid w:val="00D65D4E"/>
    <w:rsid w:val="00D661AE"/>
    <w:rsid w:val="00D70F8F"/>
    <w:rsid w:val="00D76D25"/>
    <w:rsid w:val="00D77352"/>
    <w:rsid w:val="00D8004A"/>
    <w:rsid w:val="00D820E2"/>
    <w:rsid w:val="00D84431"/>
    <w:rsid w:val="00D8552F"/>
    <w:rsid w:val="00D85F35"/>
    <w:rsid w:val="00D86B92"/>
    <w:rsid w:val="00D87E2B"/>
    <w:rsid w:val="00D92682"/>
    <w:rsid w:val="00D94453"/>
    <w:rsid w:val="00DA11B4"/>
    <w:rsid w:val="00DA211A"/>
    <w:rsid w:val="00DA52A0"/>
    <w:rsid w:val="00DA7B48"/>
    <w:rsid w:val="00DB4D56"/>
    <w:rsid w:val="00DB5EC6"/>
    <w:rsid w:val="00DB5F9A"/>
    <w:rsid w:val="00DB664C"/>
    <w:rsid w:val="00DC3812"/>
    <w:rsid w:val="00DC7671"/>
    <w:rsid w:val="00DD61C9"/>
    <w:rsid w:val="00DE0C13"/>
    <w:rsid w:val="00DE1197"/>
    <w:rsid w:val="00DE224C"/>
    <w:rsid w:val="00DE2ED1"/>
    <w:rsid w:val="00DE3D33"/>
    <w:rsid w:val="00DE6368"/>
    <w:rsid w:val="00DE65B7"/>
    <w:rsid w:val="00DE6C82"/>
    <w:rsid w:val="00DF0C4C"/>
    <w:rsid w:val="00DF131E"/>
    <w:rsid w:val="00DF2955"/>
    <w:rsid w:val="00DF39AD"/>
    <w:rsid w:val="00E0283F"/>
    <w:rsid w:val="00E02DD1"/>
    <w:rsid w:val="00E0416D"/>
    <w:rsid w:val="00E04AD1"/>
    <w:rsid w:val="00E04F38"/>
    <w:rsid w:val="00E059BA"/>
    <w:rsid w:val="00E06E34"/>
    <w:rsid w:val="00E07B26"/>
    <w:rsid w:val="00E1141D"/>
    <w:rsid w:val="00E116DA"/>
    <w:rsid w:val="00E12565"/>
    <w:rsid w:val="00E139A3"/>
    <w:rsid w:val="00E15C05"/>
    <w:rsid w:val="00E16416"/>
    <w:rsid w:val="00E17B6C"/>
    <w:rsid w:val="00E2107D"/>
    <w:rsid w:val="00E242FB"/>
    <w:rsid w:val="00E25C8A"/>
    <w:rsid w:val="00E30CB1"/>
    <w:rsid w:val="00E41B2D"/>
    <w:rsid w:val="00E461D5"/>
    <w:rsid w:val="00E46400"/>
    <w:rsid w:val="00E46DF4"/>
    <w:rsid w:val="00E50BFD"/>
    <w:rsid w:val="00E51E67"/>
    <w:rsid w:val="00E54B6C"/>
    <w:rsid w:val="00E55988"/>
    <w:rsid w:val="00E57E99"/>
    <w:rsid w:val="00E620FF"/>
    <w:rsid w:val="00E62831"/>
    <w:rsid w:val="00E62AFA"/>
    <w:rsid w:val="00E63AD0"/>
    <w:rsid w:val="00E64F96"/>
    <w:rsid w:val="00E651FF"/>
    <w:rsid w:val="00E677ED"/>
    <w:rsid w:val="00E71371"/>
    <w:rsid w:val="00E715AA"/>
    <w:rsid w:val="00E74129"/>
    <w:rsid w:val="00E74135"/>
    <w:rsid w:val="00E755B6"/>
    <w:rsid w:val="00E7683C"/>
    <w:rsid w:val="00E768AC"/>
    <w:rsid w:val="00E85008"/>
    <w:rsid w:val="00E87A91"/>
    <w:rsid w:val="00E94BCE"/>
    <w:rsid w:val="00E97245"/>
    <w:rsid w:val="00E9789B"/>
    <w:rsid w:val="00EA41E1"/>
    <w:rsid w:val="00EA51E7"/>
    <w:rsid w:val="00EA6CBD"/>
    <w:rsid w:val="00EB53B7"/>
    <w:rsid w:val="00EC0E7C"/>
    <w:rsid w:val="00EC305A"/>
    <w:rsid w:val="00EC3492"/>
    <w:rsid w:val="00EC39FB"/>
    <w:rsid w:val="00EC7F75"/>
    <w:rsid w:val="00ED1103"/>
    <w:rsid w:val="00EE1E51"/>
    <w:rsid w:val="00EE47C6"/>
    <w:rsid w:val="00EE708D"/>
    <w:rsid w:val="00EF1BDB"/>
    <w:rsid w:val="00EF7990"/>
    <w:rsid w:val="00F03D9C"/>
    <w:rsid w:val="00F05DE4"/>
    <w:rsid w:val="00F05EDE"/>
    <w:rsid w:val="00F0767F"/>
    <w:rsid w:val="00F11506"/>
    <w:rsid w:val="00F1321B"/>
    <w:rsid w:val="00F15159"/>
    <w:rsid w:val="00F16AC3"/>
    <w:rsid w:val="00F17796"/>
    <w:rsid w:val="00F2059B"/>
    <w:rsid w:val="00F24227"/>
    <w:rsid w:val="00F247F4"/>
    <w:rsid w:val="00F27F3C"/>
    <w:rsid w:val="00F33BA9"/>
    <w:rsid w:val="00F348B9"/>
    <w:rsid w:val="00F35A17"/>
    <w:rsid w:val="00F3648F"/>
    <w:rsid w:val="00F37209"/>
    <w:rsid w:val="00F37532"/>
    <w:rsid w:val="00F40240"/>
    <w:rsid w:val="00F419B0"/>
    <w:rsid w:val="00F52939"/>
    <w:rsid w:val="00F57BD1"/>
    <w:rsid w:val="00F57D0F"/>
    <w:rsid w:val="00F627F9"/>
    <w:rsid w:val="00F6325D"/>
    <w:rsid w:val="00F63AB5"/>
    <w:rsid w:val="00F6596F"/>
    <w:rsid w:val="00F65FFB"/>
    <w:rsid w:val="00F70AC5"/>
    <w:rsid w:val="00F70D4C"/>
    <w:rsid w:val="00F71895"/>
    <w:rsid w:val="00F8001F"/>
    <w:rsid w:val="00F861C4"/>
    <w:rsid w:val="00F92282"/>
    <w:rsid w:val="00F9235A"/>
    <w:rsid w:val="00F929BA"/>
    <w:rsid w:val="00F92A8A"/>
    <w:rsid w:val="00F939B2"/>
    <w:rsid w:val="00F95E04"/>
    <w:rsid w:val="00FA044A"/>
    <w:rsid w:val="00FA13BC"/>
    <w:rsid w:val="00FA3586"/>
    <w:rsid w:val="00FA6389"/>
    <w:rsid w:val="00FB072D"/>
    <w:rsid w:val="00FB59DF"/>
    <w:rsid w:val="00FC4703"/>
    <w:rsid w:val="00FD0927"/>
    <w:rsid w:val="00FD131E"/>
    <w:rsid w:val="00FE2FC7"/>
    <w:rsid w:val="00FF29A2"/>
    <w:rsid w:val="00FF2C34"/>
    <w:rsid w:val="00FF2EF4"/>
    <w:rsid w:val="00FF394B"/>
    <w:rsid w:val="00FF4559"/>
    <w:rsid w:val="00FF58BA"/>
    <w:rsid w:val="00FF7B3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561CB9"/>
  <w15:chartTrackingRefBased/>
  <w15:docId w15:val="{EEA625BC-2293-4221-AD07-F197E4E7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D33"/>
  </w:style>
  <w:style w:type="paragraph" w:styleId="Heading1">
    <w:name w:val="heading 1"/>
    <w:basedOn w:val="Normal"/>
    <w:link w:val="Heading1Char"/>
    <w:uiPriority w:val="9"/>
    <w:qFormat/>
    <w:rsid w:val="008C79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ar-SA"/>
    </w:rPr>
  </w:style>
  <w:style w:type="paragraph" w:styleId="Heading2">
    <w:name w:val="heading 2"/>
    <w:basedOn w:val="Normal"/>
    <w:next w:val="Normal"/>
    <w:link w:val="Heading2Char"/>
    <w:uiPriority w:val="9"/>
    <w:semiHidden/>
    <w:unhideWhenUsed/>
    <w:qFormat/>
    <w:rsid w:val="00F33B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01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83F"/>
    <w:rPr>
      <w:color w:val="0563C1" w:themeColor="hyperlink"/>
      <w:u w:val="single"/>
    </w:rPr>
  </w:style>
  <w:style w:type="character" w:styleId="UnresolvedMention">
    <w:name w:val="Unresolved Mention"/>
    <w:basedOn w:val="DefaultParagraphFont"/>
    <w:uiPriority w:val="99"/>
    <w:semiHidden/>
    <w:unhideWhenUsed/>
    <w:rsid w:val="00E0283F"/>
    <w:rPr>
      <w:color w:val="605E5C"/>
      <w:shd w:val="clear" w:color="auto" w:fill="E1DFDD"/>
    </w:rPr>
  </w:style>
  <w:style w:type="paragraph" w:styleId="ListParagraph">
    <w:name w:val="List Paragraph"/>
    <w:basedOn w:val="Normal"/>
    <w:uiPriority w:val="34"/>
    <w:qFormat/>
    <w:rsid w:val="00FF394B"/>
    <w:pPr>
      <w:ind w:left="720"/>
      <w:contextualSpacing/>
    </w:pPr>
  </w:style>
  <w:style w:type="character" w:customStyle="1" w:styleId="css-ima1mg">
    <w:name w:val="css-ima1mg"/>
    <w:basedOn w:val="DefaultParagraphFont"/>
    <w:rsid w:val="00C05008"/>
  </w:style>
  <w:style w:type="character" w:customStyle="1" w:styleId="css-278qcu">
    <w:name w:val="css-278qcu"/>
    <w:basedOn w:val="DefaultParagraphFont"/>
    <w:rsid w:val="00C05008"/>
  </w:style>
  <w:style w:type="character" w:customStyle="1" w:styleId="css-1wigqnc">
    <w:name w:val="css-1wigqnc"/>
    <w:basedOn w:val="DefaultParagraphFont"/>
    <w:rsid w:val="00C05008"/>
  </w:style>
  <w:style w:type="paragraph" w:styleId="Revision">
    <w:name w:val="Revision"/>
    <w:hidden/>
    <w:uiPriority w:val="99"/>
    <w:semiHidden/>
    <w:rsid w:val="00DB4D56"/>
    <w:pPr>
      <w:spacing w:after="0" w:line="240" w:lineRule="auto"/>
    </w:pPr>
  </w:style>
  <w:style w:type="table" w:styleId="TableGrid">
    <w:name w:val="Table Grid"/>
    <w:basedOn w:val="TableNormal"/>
    <w:uiPriority w:val="39"/>
    <w:rsid w:val="00E7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F0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6D185D"/>
    <w:pPr>
      <w:spacing w:after="0" w:line="240" w:lineRule="auto"/>
    </w:pPr>
  </w:style>
  <w:style w:type="paragraph" w:styleId="Header">
    <w:name w:val="header"/>
    <w:basedOn w:val="Normal"/>
    <w:link w:val="HeaderChar"/>
    <w:uiPriority w:val="99"/>
    <w:unhideWhenUsed/>
    <w:rsid w:val="00D32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40B"/>
  </w:style>
  <w:style w:type="paragraph" w:styleId="Footer">
    <w:name w:val="footer"/>
    <w:basedOn w:val="Normal"/>
    <w:link w:val="FooterChar"/>
    <w:uiPriority w:val="99"/>
    <w:unhideWhenUsed/>
    <w:rsid w:val="00D32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40B"/>
  </w:style>
  <w:style w:type="paragraph" w:customStyle="1" w:styleId="Default">
    <w:name w:val="Default"/>
    <w:rsid w:val="00EC0E7C"/>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eading1Char">
    <w:name w:val="Heading 1 Char"/>
    <w:basedOn w:val="DefaultParagraphFont"/>
    <w:link w:val="Heading1"/>
    <w:uiPriority w:val="9"/>
    <w:rsid w:val="008C7916"/>
    <w:rPr>
      <w:rFonts w:ascii="Times New Roman" w:eastAsia="Times New Roman" w:hAnsi="Times New Roman" w:cs="Times New Roman"/>
      <w:b/>
      <w:bCs/>
      <w:kern w:val="36"/>
      <w:sz w:val="48"/>
      <w:szCs w:val="48"/>
      <w:lang w:eastAsia="en-IN" w:bidi="ar-SA"/>
    </w:rPr>
  </w:style>
  <w:style w:type="character" w:customStyle="1" w:styleId="Heading3Char">
    <w:name w:val="Heading 3 Char"/>
    <w:basedOn w:val="DefaultParagraphFont"/>
    <w:link w:val="Heading3"/>
    <w:uiPriority w:val="9"/>
    <w:semiHidden/>
    <w:rsid w:val="0082014A"/>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82014A"/>
    <w:rPr>
      <w:i/>
      <w:iCs/>
    </w:rPr>
  </w:style>
  <w:style w:type="character" w:customStyle="1" w:styleId="Heading2Char">
    <w:name w:val="Heading 2 Char"/>
    <w:basedOn w:val="DefaultParagraphFont"/>
    <w:link w:val="Heading2"/>
    <w:uiPriority w:val="9"/>
    <w:semiHidden/>
    <w:rsid w:val="00F33BA9"/>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33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5633">
      <w:bodyDiv w:val="1"/>
      <w:marLeft w:val="0"/>
      <w:marRight w:val="0"/>
      <w:marTop w:val="0"/>
      <w:marBottom w:val="0"/>
      <w:divBdr>
        <w:top w:val="none" w:sz="0" w:space="0" w:color="auto"/>
        <w:left w:val="none" w:sz="0" w:space="0" w:color="auto"/>
        <w:bottom w:val="none" w:sz="0" w:space="0" w:color="auto"/>
        <w:right w:val="none" w:sz="0" w:space="0" w:color="auto"/>
      </w:divBdr>
    </w:div>
    <w:div w:id="67651728">
      <w:bodyDiv w:val="1"/>
      <w:marLeft w:val="0"/>
      <w:marRight w:val="0"/>
      <w:marTop w:val="0"/>
      <w:marBottom w:val="0"/>
      <w:divBdr>
        <w:top w:val="none" w:sz="0" w:space="0" w:color="auto"/>
        <w:left w:val="none" w:sz="0" w:space="0" w:color="auto"/>
        <w:bottom w:val="none" w:sz="0" w:space="0" w:color="auto"/>
        <w:right w:val="none" w:sz="0" w:space="0" w:color="auto"/>
      </w:divBdr>
    </w:div>
    <w:div w:id="329141639">
      <w:bodyDiv w:val="1"/>
      <w:marLeft w:val="0"/>
      <w:marRight w:val="0"/>
      <w:marTop w:val="0"/>
      <w:marBottom w:val="0"/>
      <w:divBdr>
        <w:top w:val="none" w:sz="0" w:space="0" w:color="auto"/>
        <w:left w:val="none" w:sz="0" w:space="0" w:color="auto"/>
        <w:bottom w:val="none" w:sz="0" w:space="0" w:color="auto"/>
        <w:right w:val="none" w:sz="0" w:space="0" w:color="auto"/>
      </w:divBdr>
      <w:divsChild>
        <w:div w:id="1665938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582380">
      <w:bodyDiv w:val="1"/>
      <w:marLeft w:val="0"/>
      <w:marRight w:val="0"/>
      <w:marTop w:val="0"/>
      <w:marBottom w:val="0"/>
      <w:divBdr>
        <w:top w:val="none" w:sz="0" w:space="0" w:color="auto"/>
        <w:left w:val="none" w:sz="0" w:space="0" w:color="auto"/>
        <w:bottom w:val="none" w:sz="0" w:space="0" w:color="auto"/>
        <w:right w:val="none" w:sz="0" w:space="0" w:color="auto"/>
      </w:divBdr>
      <w:divsChild>
        <w:div w:id="374355932">
          <w:marLeft w:val="0"/>
          <w:marRight w:val="0"/>
          <w:marTop w:val="0"/>
          <w:marBottom w:val="0"/>
          <w:divBdr>
            <w:top w:val="none" w:sz="0" w:space="0" w:color="auto"/>
            <w:left w:val="none" w:sz="0" w:space="0" w:color="auto"/>
            <w:bottom w:val="none" w:sz="0" w:space="0" w:color="auto"/>
            <w:right w:val="none" w:sz="0" w:space="0" w:color="auto"/>
          </w:divBdr>
          <w:divsChild>
            <w:div w:id="719210632">
              <w:marLeft w:val="0"/>
              <w:marRight w:val="0"/>
              <w:marTop w:val="0"/>
              <w:marBottom w:val="0"/>
              <w:divBdr>
                <w:top w:val="none" w:sz="0" w:space="0" w:color="auto"/>
                <w:left w:val="none" w:sz="0" w:space="0" w:color="auto"/>
                <w:bottom w:val="none" w:sz="0" w:space="0" w:color="auto"/>
                <w:right w:val="none" w:sz="0" w:space="0" w:color="auto"/>
              </w:divBdr>
              <w:divsChild>
                <w:div w:id="1115902499">
                  <w:marLeft w:val="0"/>
                  <w:marRight w:val="0"/>
                  <w:marTop w:val="0"/>
                  <w:marBottom w:val="0"/>
                  <w:divBdr>
                    <w:top w:val="none" w:sz="0" w:space="0" w:color="auto"/>
                    <w:left w:val="none" w:sz="0" w:space="0" w:color="auto"/>
                    <w:bottom w:val="none" w:sz="0" w:space="0" w:color="auto"/>
                    <w:right w:val="none" w:sz="0" w:space="0" w:color="auto"/>
                  </w:divBdr>
                  <w:divsChild>
                    <w:div w:id="2097092446">
                      <w:marLeft w:val="0"/>
                      <w:marRight w:val="0"/>
                      <w:marTop w:val="0"/>
                      <w:marBottom w:val="0"/>
                      <w:divBdr>
                        <w:top w:val="none" w:sz="0" w:space="0" w:color="auto"/>
                        <w:left w:val="none" w:sz="0" w:space="0" w:color="auto"/>
                        <w:bottom w:val="none" w:sz="0" w:space="0" w:color="auto"/>
                        <w:right w:val="none" w:sz="0" w:space="0" w:color="auto"/>
                      </w:divBdr>
                      <w:divsChild>
                        <w:div w:id="585506004">
                          <w:marLeft w:val="0"/>
                          <w:marRight w:val="0"/>
                          <w:marTop w:val="0"/>
                          <w:marBottom w:val="0"/>
                          <w:divBdr>
                            <w:top w:val="none" w:sz="0" w:space="0" w:color="auto"/>
                            <w:left w:val="none" w:sz="0" w:space="0" w:color="auto"/>
                            <w:bottom w:val="none" w:sz="0" w:space="0" w:color="auto"/>
                            <w:right w:val="none" w:sz="0" w:space="0" w:color="auto"/>
                          </w:divBdr>
                          <w:divsChild>
                            <w:div w:id="19051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8521">
                      <w:marLeft w:val="0"/>
                      <w:marRight w:val="0"/>
                      <w:marTop w:val="0"/>
                      <w:marBottom w:val="0"/>
                      <w:divBdr>
                        <w:top w:val="none" w:sz="0" w:space="0" w:color="auto"/>
                        <w:left w:val="none" w:sz="0" w:space="0" w:color="auto"/>
                        <w:bottom w:val="none" w:sz="0" w:space="0" w:color="auto"/>
                        <w:right w:val="none" w:sz="0" w:space="0" w:color="auto"/>
                      </w:divBdr>
                      <w:divsChild>
                        <w:div w:id="2131821821">
                          <w:marLeft w:val="0"/>
                          <w:marRight w:val="0"/>
                          <w:marTop w:val="0"/>
                          <w:marBottom w:val="0"/>
                          <w:divBdr>
                            <w:top w:val="none" w:sz="0" w:space="0" w:color="auto"/>
                            <w:left w:val="none" w:sz="0" w:space="0" w:color="auto"/>
                            <w:bottom w:val="none" w:sz="0" w:space="0" w:color="auto"/>
                            <w:right w:val="none" w:sz="0" w:space="0" w:color="auto"/>
                          </w:divBdr>
                        </w:div>
                        <w:div w:id="15566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652303">
      <w:bodyDiv w:val="1"/>
      <w:marLeft w:val="0"/>
      <w:marRight w:val="0"/>
      <w:marTop w:val="0"/>
      <w:marBottom w:val="0"/>
      <w:divBdr>
        <w:top w:val="none" w:sz="0" w:space="0" w:color="auto"/>
        <w:left w:val="none" w:sz="0" w:space="0" w:color="auto"/>
        <w:bottom w:val="none" w:sz="0" w:space="0" w:color="auto"/>
        <w:right w:val="none" w:sz="0" w:space="0" w:color="auto"/>
      </w:divBdr>
    </w:div>
    <w:div w:id="547961697">
      <w:bodyDiv w:val="1"/>
      <w:marLeft w:val="0"/>
      <w:marRight w:val="0"/>
      <w:marTop w:val="0"/>
      <w:marBottom w:val="0"/>
      <w:divBdr>
        <w:top w:val="none" w:sz="0" w:space="0" w:color="auto"/>
        <w:left w:val="none" w:sz="0" w:space="0" w:color="auto"/>
        <w:bottom w:val="none" w:sz="0" w:space="0" w:color="auto"/>
        <w:right w:val="none" w:sz="0" w:space="0" w:color="auto"/>
      </w:divBdr>
    </w:div>
    <w:div w:id="564488124">
      <w:bodyDiv w:val="1"/>
      <w:marLeft w:val="0"/>
      <w:marRight w:val="0"/>
      <w:marTop w:val="0"/>
      <w:marBottom w:val="0"/>
      <w:divBdr>
        <w:top w:val="none" w:sz="0" w:space="0" w:color="auto"/>
        <w:left w:val="none" w:sz="0" w:space="0" w:color="auto"/>
        <w:bottom w:val="none" w:sz="0" w:space="0" w:color="auto"/>
        <w:right w:val="none" w:sz="0" w:space="0" w:color="auto"/>
      </w:divBdr>
    </w:div>
    <w:div w:id="591277871">
      <w:bodyDiv w:val="1"/>
      <w:marLeft w:val="0"/>
      <w:marRight w:val="0"/>
      <w:marTop w:val="0"/>
      <w:marBottom w:val="0"/>
      <w:divBdr>
        <w:top w:val="none" w:sz="0" w:space="0" w:color="auto"/>
        <w:left w:val="none" w:sz="0" w:space="0" w:color="auto"/>
        <w:bottom w:val="none" w:sz="0" w:space="0" w:color="auto"/>
        <w:right w:val="none" w:sz="0" w:space="0" w:color="auto"/>
      </w:divBdr>
    </w:div>
    <w:div w:id="656885658">
      <w:bodyDiv w:val="1"/>
      <w:marLeft w:val="0"/>
      <w:marRight w:val="0"/>
      <w:marTop w:val="0"/>
      <w:marBottom w:val="0"/>
      <w:divBdr>
        <w:top w:val="none" w:sz="0" w:space="0" w:color="auto"/>
        <w:left w:val="none" w:sz="0" w:space="0" w:color="auto"/>
        <w:bottom w:val="none" w:sz="0" w:space="0" w:color="auto"/>
        <w:right w:val="none" w:sz="0" w:space="0" w:color="auto"/>
      </w:divBdr>
      <w:divsChild>
        <w:div w:id="806169981">
          <w:marLeft w:val="0"/>
          <w:marRight w:val="0"/>
          <w:marTop w:val="0"/>
          <w:marBottom w:val="0"/>
          <w:divBdr>
            <w:top w:val="none" w:sz="0" w:space="0" w:color="auto"/>
            <w:left w:val="none" w:sz="0" w:space="0" w:color="auto"/>
            <w:bottom w:val="none" w:sz="0" w:space="0" w:color="auto"/>
            <w:right w:val="none" w:sz="0" w:space="0" w:color="auto"/>
          </w:divBdr>
          <w:divsChild>
            <w:div w:id="390930429">
              <w:marLeft w:val="0"/>
              <w:marRight w:val="0"/>
              <w:marTop w:val="0"/>
              <w:marBottom w:val="0"/>
              <w:divBdr>
                <w:top w:val="none" w:sz="0" w:space="0" w:color="auto"/>
                <w:left w:val="none" w:sz="0" w:space="0" w:color="auto"/>
                <w:bottom w:val="none" w:sz="0" w:space="0" w:color="auto"/>
                <w:right w:val="none" w:sz="0" w:space="0" w:color="auto"/>
              </w:divBdr>
              <w:divsChild>
                <w:div w:id="180049016">
                  <w:marLeft w:val="0"/>
                  <w:marRight w:val="0"/>
                  <w:marTop w:val="0"/>
                  <w:marBottom w:val="0"/>
                  <w:divBdr>
                    <w:top w:val="none" w:sz="0" w:space="0" w:color="auto"/>
                    <w:left w:val="none" w:sz="0" w:space="0" w:color="auto"/>
                    <w:bottom w:val="none" w:sz="0" w:space="0" w:color="auto"/>
                    <w:right w:val="none" w:sz="0" w:space="0" w:color="auto"/>
                  </w:divBdr>
                  <w:divsChild>
                    <w:div w:id="395317813">
                      <w:marLeft w:val="0"/>
                      <w:marRight w:val="0"/>
                      <w:marTop w:val="0"/>
                      <w:marBottom w:val="0"/>
                      <w:divBdr>
                        <w:top w:val="none" w:sz="0" w:space="0" w:color="auto"/>
                        <w:left w:val="none" w:sz="0" w:space="0" w:color="auto"/>
                        <w:bottom w:val="none" w:sz="0" w:space="0" w:color="auto"/>
                        <w:right w:val="none" w:sz="0" w:space="0" w:color="auto"/>
                      </w:divBdr>
                      <w:divsChild>
                        <w:div w:id="1977759114">
                          <w:marLeft w:val="0"/>
                          <w:marRight w:val="0"/>
                          <w:marTop w:val="0"/>
                          <w:marBottom w:val="0"/>
                          <w:divBdr>
                            <w:top w:val="none" w:sz="0" w:space="0" w:color="auto"/>
                            <w:left w:val="none" w:sz="0" w:space="0" w:color="auto"/>
                            <w:bottom w:val="none" w:sz="0" w:space="0" w:color="auto"/>
                            <w:right w:val="none" w:sz="0" w:space="0" w:color="auto"/>
                          </w:divBdr>
                          <w:divsChild>
                            <w:div w:id="1885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8005">
                      <w:marLeft w:val="0"/>
                      <w:marRight w:val="0"/>
                      <w:marTop w:val="0"/>
                      <w:marBottom w:val="0"/>
                      <w:divBdr>
                        <w:top w:val="none" w:sz="0" w:space="0" w:color="auto"/>
                        <w:left w:val="none" w:sz="0" w:space="0" w:color="auto"/>
                        <w:bottom w:val="none" w:sz="0" w:space="0" w:color="auto"/>
                        <w:right w:val="none" w:sz="0" w:space="0" w:color="auto"/>
                      </w:divBdr>
                      <w:divsChild>
                        <w:div w:id="197863626">
                          <w:marLeft w:val="0"/>
                          <w:marRight w:val="0"/>
                          <w:marTop w:val="0"/>
                          <w:marBottom w:val="0"/>
                          <w:divBdr>
                            <w:top w:val="none" w:sz="0" w:space="0" w:color="auto"/>
                            <w:left w:val="none" w:sz="0" w:space="0" w:color="auto"/>
                            <w:bottom w:val="none" w:sz="0" w:space="0" w:color="auto"/>
                            <w:right w:val="none" w:sz="0" w:space="0" w:color="auto"/>
                          </w:divBdr>
                        </w:div>
                        <w:div w:id="13929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99586">
      <w:bodyDiv w:val="1"/>
      <w:marLeft w:val="0"/>
      <w:marRight w:val="0"/>
      <w:marTop w:val="0"/>
      <w:marBottom w:val="0"/>
      <w:divBdr>
        <w:top w:val="none" w:sz="0" w:space="0" w:color="auto"/>
        <w:left w:val="none" w:sz="0" w:space="0" w:color="auto"/>
        <w:bottom w:val="none" w:sz="0" w:space="0" w:color="auto"/>
        <w:right w:val="none" w:sz="0" w:space="0" w:color="auto"/>
      </w:divBdr>
    </w:div>
    <w:div w:id="699017286">
      <w:bodyDiv w:val="1"/>
      <w:marLeft w:val="0"/>
      <w:marRight w:val="0"/>
      <w:marTop w:val="0"/>
      <w:marBottom w:val="0"/>
      <w:divBdr>
        <w:top w:val="none" w:sz="0" w:space="0" w:color="auto"/>
        <w:left w:val="none" w:sz="0" w:space="0" w:color="auto"/>
        <w:bottom w:val="none" w:sz="0" w:space="0" w:color="auto"/>
        <w:right w:val="none" w:sz="0" w:space="0" w:color="auto"/>
      </w:divBdr>
    </w:div>
    <w:div w:id="762654401">
      <w:bodyDiv w:val="1"/>
      <w:marLeft w:val="0"/>
      <w:marRight w:val="0"/>
      <w:marTop w:val="0"/>
      <w:marBottom w:val="0"/>
      <w:divBdr>
        <w:top w:val="none" w:sz="0" w:space="0" w:color="auto"/>
        <w:left w:val="none" w:sz="0" w:space="0" w:color="auto"/>
        <w:bottom w:val="none" w:sz="0" w:space="0" w:color="auto"/>
        <w:right w:val="none" w:sz="0" w:space="0" w:color="auto"/>
      </w:divBdr>
    </w:div>
    <w:div w:id="817379470">
      <w:bodyDiv w:val="1"/>
      <w:marLeft w:val="0"/>
      <w:marRight w:val="0"/>
      <w:marTop w:val="0"/>
      <w:marBottom w:val="0"/>
      <w:divBdr>
        <w:top w:val="none" w:sz="0" w:space="0" w:color="auto"/>
        <w:left w:val="none" w:sz="0" w:space="0" w:color="auto"/>
        <w:bottom w:val="none" w:sz="0" w:space="0" w:color="auto"/>
        <w:right w:val="none" w:sz="0" w:space="0" w:color="auto"/>
      </w:divBdr>
      <w:divsChild>
        <w:div w:id="907767650">
          <w:marLeft w:val="0"/>
          <w:marRight w:val="0"/>
          <w:marTop w:val="0"/>
          <w:marBottom w:val="0"/>
          <w:divBdr>
            <w:top w:val="none" w:sz="0" w:space="0" w:color="auto"/>
            <w:left w:val="none" w:sz="0" w:space="0" w:color="auto"/>
            <w:bottom w:val="none" w:sz="0" w:space="0" w:color="auto"/>
            <w:right w:val="none" w:sz="0" w:space="0" w:color="auto"/>
          </w:divBdr>
          <w:divsChild>
            <w:div w:id="1820613716">
              <w:marLeft w:val="0"/>
              <w:marRight w:val="0"/>
              <w:marTop w:val="0"/>
              <w:marBottom w:val="0"/>
              <w:divBdr>
                <w:top w:val="none" w:sz="0" w:space="0" w:color="auto"/>
                <w:left w:val="none" w:sz="0" w:space="0" w:color="auto"/>
                <w:bottom w:val="none" w:sz="0" w:space="0" w:color="auto"/>
                <w:right w:val="none" w:sz="0" w:space="0" w:color="auto"/>
              </w:divBdr>
              <w:divsChild>
                <w:div w:id="417873407">
                  <w:marLeft w:val="0"/>
                  <w:marRight w:val="0"/>
                  <w:marTop w:val="0"/>
                  <w:marBottom w:val="0"/>
                  <w:divBdr>
                    <w:top w:val="none" w:sz="0" w:space="0" w:color="auto"/>
                    <w:left w:val="none" w:sz="0" w:space="0" w:color="auto"/>
                    <w:bottom w:val="none" w:sz="0" w:space="0" w:color="auto"/>
                    <w:right w:val="none" w:sz="0" w:space="0" w:color="auto"/>
                  </w:divBdr>
                  <w:divsChild>
                    <w:div w:id="787503829">
                      <w:marLeft w:val="0"/>
                      <w:marRight w:val="0"/>
                      <w:marTop w:val="0"/>
                      <w:marBottom w:val="0"/>
                      <w:divBdr>
                        <w:top w:val="none" w:sz="0" w:space="0" w:color="auto"/>
                        <w:left w:val="none" w:sz="0" w:space="0" w:color="auto"/>
                        <w:bottom w:val="none" w:sz="0" w:space="0" w:color="auto"/>
                        <w:right w:val="none" w:sz="0" w:space="0" w:color="auto"/>
                      </w:divBdr>
                      <w:divsChild>
                        <w:div w:id="1166356321">
                          <w:marLeft w:val="0"/>
                          <w:marRight w:val="0"/>
                          <w:marTop w:val="0"/>
                          <w:marBottom w:val="0"/>
                          <w:divBdr>
                            <w:top w:val="none" w:sz="0" w:space="0" w:color="auto"/>
                            <w:left w:val="none" w:sz="0" w:space="0" w:color="auto"/>
                            <w:bottom w:val="none" w:sz="0" w:space="0" w:color="auto"/>
                            <w:right w:val="none" w:sz="0" w:space="0" w:color="auto"/>
                          </w:divBdr>
                          <w:divsChild>
                            <w:div w:id="18827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977">
                      <w:marLeft w:val="0"/>
                      <w:marRight w:val="0"/>
                      <w:marTop w:val="0"/>
                      <w:marBottom w:val="0"/>
                      <w:divBdr>
                        <w:top w:val="none" w:sz="0" w:space="0" w:color="auto"/>
                        <w:left w:val="none" w:sz="0" w:space="0" w:color="auto"/>
                        <w:bottom w:val="none" w:sz="0" w:space="0" w:color="auto"/>
                        <w:right w:val="none" w:sz="0" w:space="0" w:color="auto"/>
                      </w:divBdr>
                      <w:divsChild>
                        <w:div w:id="1399937228">
                          <w:marLeft w:val="0"/>
                          <w:marRight w:val="0"/>
                          <w:marTop w:val="0"/>
                          <w:marBottom w:val="0"/>
                          <w:divBdr>
                            <w:top w:val="none" w:sz="0" w:space="0" w:color="auto"/>
                            <w:left w:val="none" w:sz="0" w:space="0" w:color="auto"/>
                            <w:bottom w:val="none" w:sz="0" w:space="0" w:color="auto"/>
                            <w:right w:val="none" w:sz="0" w:space="0" w:color="auto"/>
                          </w:divBdr>
                        </w:div>
                        <w:div w:id="668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339045">
      <w:bodyDiv w:val="1"/>
      <w:marLeft w:val="0"/>
      <w:marRight w:val="0"/>
      <w:marTop w:val="0"/>
      <w:marBottom w:val="0"/>
      <w:divBdr>
        <w:top w:val="none" w:sz="0" w:space="0" w:color="auto"/>
        <w:left w:val="none" w:sz="0" w:space="0" w:color="auto"/>
        <w:bottom w:val="none" w:sz="0" w:space="0" w:color="auto"/>
        <w:right w:val="none" w:sz="0" w:space="0" w:color="auto"/>
      </w:divBdr>
    </w:div>
    <w:div w:id="1055541010">
      <w:bodyDiv w:val="1"/>
      <w:marLeft w:val="0"/>
      <w:marRight w:val="0"/>
      <w:marTop w:val="0"/>
      <w:marBottom w:val="0"/>
      <w:divBdr>
        <w:top w:val="none" w:sz="0" w:space="0" w:color="auto"/>
        <w:left w:val="none" w:sz="0" w:space="0" w:color="auto"/>
        <w:bottom w:val="none" w:sz="0" w:space="0" w:color="auto"/>
        <w:right w:val="none" w:sz="0" w:space="0" w:color="auto"/>
      </w:divBdr>
    </w:div>
    <w:div w:id="1077442659">
      <w:bodyDiv w:val="1"/>
      <w:marLeft w:val="0"/>
      <w:marRight w:val="0"/>
      <w:marTop w:val="0"/>
      <w:marBottom w:val="0"/>
      <w:divBdr>
        <w:top w:val="none" w:sz="0" w:space="0" w:color="auto"/>
        <w:left w:val="none" w:sz="0" w:space="0" w:color="auto"/>
        <w:bottom w:val="none" w:sz="0" w:space="0" w:color="auto"/>
        <w:right w:val="none" w:sz="0" w:space="0" w:color="auto"/>
      </w:divBdr>
    </w:div>
    <w:div w:id="1091899459">
      <w:bodyDiv w:val="1"/>
      <w:marLeft w:val="0"/>
      <w:marRight w:val="0"/>
      <w:marTop w:val="0"/>
      <w:marBottom w:val="0"/>
      <w:divBdr>
        <w:top w:val="none" w:sz="0" w:space="0" w:color="auto"/>
        <w:left w:val="none" w:sz="0" w:space="0" w:color="auto"/>
        <w:bottom w:val="none" w:sz="0" w:space="0" w:color="auto"/>
        <w:right w:val="none" w:sz="0" w:space="0" w:color="auto"/>
      </w:divBdr>
      <w:divsChild>
        <w:div w:id="701175673">
          <w:marLeft w:val="0"/>
          <w:marRight w:val="0"/>
          <w:marTop w:val="0"/>
          <w:marBottom w:val="0"/>
          <w:divBdr>
            <w:top w:val="single" w:sz="2" w:space="0" w:color="D9D9E3"/>
            <w:left w:val="single" w:sz="2" w:space="0" w:color="D9D9E3"/>
            <w:bottom w:val="single" w:sz="2" w:space="0" w:color="D9D9E3"/>
            <w:right w:val="single" w:sz="2" w:space="0" w:color="D9D9E3"/>
          </w:divBdr>
          <w:divsChild>
            <w:div w:id="948782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66160544">
          <w:marLeft w:val="0"/>
          <w:marRight w:val="0"/>
          <w:marTop w:val="0"/>
          <w:marBottom w:val="0"/>
          <w:divBdr>
            <w:top w:val="single" w:sz="2" w:space="0" w:color="D9D9E3"/>
            <w:left w:val="single" w:sz="2" w:space="0" w:color="D9D9E3"/>
            <w:bottom w:val="single" w:sz="2" w:space="0" w:color="D9D9E3"/>
            <w:right w:val="single" w:sz="2" w:space="0" w:color="D9D9E3"/>
          </w:divBdr>
          <w:divsChild>
            <w:div w:id="1494492878">
              <w:marLeft w:val="0"/>
              <w:marRight w:val="0"/>
              <w:marTop w:val="0"/>
              <w:marBottom w:val="0"/>
              <w:divBdr>
                <w:top w:val="single" w:sz="2" w:space="0" w:color="D9D9E3"/>
                <w:left w:val="single" w:sz="2" w:space="0" w:color="D9D9E3"/>
                <w:bottom w:val="single" w:sz="2" w:space="0" w:color="D9D9E3"/>
                <w:right w:val="single" w:sz="2" w:space="0" w:color="D9D9E3"/>
              </w:divBdr>
              <w:divsChild>
                <w:div w:id="775640526">
                  <w:marLeft w:val="0"/>
                  <w:marRight w:val="0"/>
                  <w:marTop w:val="0"/>
                  <w:marBottom w:val="0"/>
                  <w:divBdr>
                    <w:top w:val="single" w:sz="2" w:space="0" w:color="D9D9E3"/>
                    <w:left w:val="single" w:sz="2" w:space="0" w:color="D9D9E3"/>
                    <w:bottom w:val="single" w:sz="2" w:space="0" w:color="D9D9E3"/>
                    <w:right w:val="single" w:sz="2" w:space="0" w:color="D9D9E3"/>
                  </w:divBdr>
                  <w:divsChild>
                    <w:div w:id="2433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8210476">
      <w:bodyDiv w:val="1"/>
      <w:marLeft w:val="0"/>
      <w:marRight w:val="0"/>
      <w:marTop w:val="0"/>
      <w:marBottom w:val="0"/>
      <w:divBdr>
        <w:top w:val="none" w:sz="0" w:space="0" w:color="auto"/>
        <w:left w:val="none" w:sz="0" w:space="0" w:color="auto"/>
        <w:bottom w:val="none" w:sz="0" w:space="0" w:color="auto"/>
        <w:right w:val="none" w:sz="0" w:space="0" w:color="auto"/>
      </w:divBdr>
    </w:div>
    <w:div w:id="1475369809">
      <w:bodyDiv w:val="1"/>
      <w:marLeft w:val="0"/>
      <w:marRight w:val="0"/>
      <w:marTop w:val="0"/>
      <w:marBottom w:val="0"/>
      <w:divBdr>
        <w:top w:val="none" w:sz="0" w:space="0" w:color="auto"/>
        <w:left w:val="none" w:sz="0" w:space="0" w:color="auto"/>
        <w:bottom w:val="none" w:sz="0" w:space="0" w:color="auto"/>
        <w:right w:val="none" w:sz="0" w:space="0" w:color="auto"/>
      </w:divBdr>
    </w:div>
    <w:div w:id="1531647238">
      <w:bodyDiv w:val="1"/>
      <w:marLeft w:val="0"/>
      <w:marRight w:val="0"/>
      <w:marTop w:val="0"/>
      <w:marBottom w:val="0"/>
      <w:divBdr>
        <w:top w:val="none" w:sz="0" w:space="0" w:color="auto"/>
        <w:left w:val="none" w:sz="0" w:space="0" w:color="auto"/>
        <w:bottom w:val="none" w:sz="0" w:space="0" w:color="auto"/>
        <w:right w:val="none" w:sz="0" w:space="0" w:color="auto"/>
      </w:divBdr>
      <w:divsChild>
        <w:div w:id="1310861330">
          <w:marLeft w:val="0"/>
          <w:marRight w:val="0"/>
          <w:marTop w:val="0"/>
          <w:marBottom w:val="0"/>
          <w:divBdr>
            <w:top w:val="none" w:sz="0" w:space="0" w:color="auto"/>
            <w:left w:val="none" w:sz="0" w:space="0" w:color="auto"/>
            <w:bottom w:val="none" w:sz="0" w:space="0" w:color="auto"/>
            <w:right w:val="none" w:sz="0" w:space="0" w:color="auto"/>
          </w:divBdr>
          <w:divsChild>
            <w:div w:id="1326933048">
              <w:marLeft w:val="0"/>
              <w:marRight w:val="0"/>
              <w:marTop w:val="0"/>
              <w:marBottom w:val="0"/>
              <w:divBdr>
                <w:top w:val="none" w:sz="0" w:space="0" w:color="auto"/>
                <w:left w:val="none" w:sz="0" w:space="0" w:color="auto"/>
                <w:bottom w:val="none" w:sz="0" w:space="0" w:color="auto"/>
                <w:right w:val="none" w:sz="0" w:space="0" w:color="auto"/>
              </w:divBdr>
              <w:divsChild>
                <w:div w:id="733090082">
                  <w:marLeft w:val="0"/>
                  <w:marRight w:val="0"/>
                  <w:marTop w:val="0"/>
                  <w:marBottom w:val="0"/>
                  <w:divBdr>
                    <w:top w:val="none" w:sz="0" w:space="0" w:color="auto"/>
                    <w:left w:val="none" w:sz="0" w:space="0" w:color="auto"/>
                    <w:bottom w:val="none" w:sz="0" w:space="0" w:color="auto"/>
                    <w:right w:val="none" w:sz="0" w:space="0" w:color="auto"/>
                  </w:divBdr>
                  <w:divsChild>
                    <w:div w:id="1800033409">
                      <w:marLeft w:val="0"/>
                      <w:marRight w:val="0"/>
                      <w:marTop w:val="0"/>
                      <w:marBottom w:val="0"/>
                      <w:divBdr>
                        <w:top w:val="none" w:sz="0" w:space="0" w:color="auto"/>
                        <w:left w:val="none" w:sz="0" w:space="0" w:color="auto"/>
                        <w:bottom w:val="none" w:sz="0" w:space="0" w:color="auto"/>
                        <w:right w:val="none" w:sz="0" w:space="0" w:color="auto"/>
                      </w:divBdr>
                      <w:divsChild>
                        <w:div w:id="1841389367">
                          <w:marLeft w:val="0"/>
                          <w:marRight w:val="0"/>
                          <w:marTop w:val="0"/>
                          <w:marBottom w:val="0"/>
                          <w:divBdr>
                            <w:top w:val="none" w:sz="0" w:space="0" w:color="auto"/>
                            <w:left w:val="none" w:sz="0" w:space="0" w:color="auto"/>
                            <w:bottom w:val="none" w:sz="0" w:space="0" w:color="auto"/>
                            <w:right w:val="none" w:sz="0" w:space="0" w:color="auto"/>
                          </w:divBdr>
                          <w:divsChild>
                            <w:div w:id="193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2044">
                      <w:marLeft w:val="0"/>
                      <w:marRight w:val="0"/>
                      <w:marTop w:val="0"/>
                      <w:marBottom w:val="0"/>
                      <w:divBdr>
                        <w:top w:val="none" w:sz="0" w:space="0" w:color="auto"/>
                        <w:left w:val="none" w:sz="0" w:space="0" w:color="auto"/>
                        <w:bottom w:val="none" w:sz="0" w:space="0" w:color="auto"/>
                        <w:right w:val="none" w:sz="0" w:space="0" w:color="auto"/>
                      </w:divBdr>
                      <w:divsChild>
                        <w:div w:id="1838571194">
                          <w:marLeft w:val="0"/>
                          <w:marRight w:val="0"/>
                          <w:marTop w:val="0"/>
                          <w:marBottom w:val="0"/>
                          <w:divBdr>
                            <w:top w:val="none" w:sz="0" w:space="0" w:color="auto"/>
                            <w:left w:val="none" w:sz="0" w:space="0" w:color="auto"/>
                            <w:bottom w:val="none" w:sz="0" w:space="0" w:color="auto"/>
                            <w:right w:val="none" w:sz="0" w:space="0" w:color="auto"/>
                          </w:divBdr>
                        </w:div>
                        <w:div w:id="5842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353646">
      <w:bodyDiv w:val="1"/>
      <w:marLeft w:val="0"/>
      <w:marRight w:val="0"/>
      <w:marTop w:val="0"/>
      <w:marBottom w:val="0"/>
      <w:divBdr>
        <w:top w:val="none" w:sz="0" w:space="0" w:color="auto"/>
        <w:left w:val="none" w:sz="0" w:space="0" w:color="auto"/>
        <w:bottom w:val="none" w:sz="0" w:space="0" w:color="auto"/>
        <w:right w:val="none" w:sz="0" w:space="0" w:color="auto"/>
      </w:divBdr>
    </w:div>
    <w:div w:id="1674607858">
      <w:bodyDiv w:val="1"/>
      <w:marLeft w:val="0"/>
      <w:marRight w:val="0"/>
      <w:marTop w:val="0"/>
      <w:marBottom w:val="0"/>
      <w:divBdr>
        <w:top w:val="none" w:sz="0" w:space="0" w:color="auto"/>
        <w:left w:val="none" w:sz="0" w:space="0" w:color="auto"/>
        <w:bottom w:val="none" w:sz="0" w:space="0" w:color="auto"/>
        <w:right w:val="none" w:sz="0" w:space="0" w:color="auto"/>
      </w:divBdr>
      <w:divsChild>
        <w:div w:id="1125075939">
          <w:marLeft w:val="0"/>
          <w:marRight w:val="0"/>
          <w:marTop w:val="0"/>
          <w:marBottom w:val="0"/>
          <w:divBdr>
            <w:top w:val="none" w:sz="0" w:space="0" w:color="auto"/>
            <w:left w:val="none" w:sz="0" w:space="0" w:color="auto"/>
            <w:bottom w:val="none" w:sz="0" w:space="0" w:color="auto"/>
            <w:right w:val="none" w:sz="0" w:space="0" w:color="auto"/>
          </w:divBdr>
          <w:divsChild>
            <w:div w:id="898518413">
              <w:marLeft w:val="0"/>
              <w:marRight w:val="0"/>
              <w:marTop w:val="0"/>
              <w:marBottom w:val="0"/>
              <w:divBdr>
                <w:top w:val="none" w:sz="0" w:space="0" w:color="auto"/>
                <w:left w:val="none" w:sz="0" w:space="0" w:color="auto"/>
                <w:bottom w:val="none" w:sz="0" w:space="0" w:color="auto"/>
                <w:right w:val="none" w:sz="0" w:space="0" w:color="auto"/>
              </w:divBdr>
              <w:divsChild>
                <w:div w:id="1936013888">
                  <w:marLeft w:val="0"/>
                  <w:marRight w:val="0"/>
                  <w:marTop w:val="0"/>
                  <w:marBottom w:val="0"/>
                  <w:divBdr>
                    <w:top w:val="none" w:sz="0" w:space="0" w:color="auto"/>
                    <w:left w:val="none" w:sz="0" w:space="0" w:color="auto"/>
                    <w:bottom w:val="none" w:sz="0" w:space="0" w:color="auto"/>
                    <w:right w:val="none" w:sz="0" w:space="0" w:color="auto"/>
                  </w:divBdr>
                  <w:divsChild>
                    <w:div w:id="255098703">
                      <w:marLeft w:val="0"/>
                      <w:marRight w:val="0"/>
                      <w:marTop w:val="0"/>
                      <w:marBottom w:val="0"/>
                      <w:divBdr>
                        <w:top w:val="none" w:sz="0" w:space="0" w:color="auto"/>
                        <w:left w:val="none" w:sz="0" w:space="0" w:color="auto"/>
                        <w:bottom w:val="none" w:sz="0" w:space="0" w:color="auto"/>
                        <w:right w:val="none" w:sz="0" w:space="0" w:color="auto"/>
                      </w:divBdr>
                      <w:divsChild>
                        <w:div w:id="1576938299">
                          <w:marLeft w:val="0"/>
                          <w:marRight w:val="0"/>
                          <w:marTop w:val="0"/>
                          <w:marBottom w:val="0"/>
                          <w:divBdr>
                            <w:top w:val="none" w:sz="0" w:space="0" w:color="auto"/>
                            <w:left w:val="none" w:sz="0" w:space="0" w:color="auto"/>
                            <w:bottom w:val="none" w:sz="0" w:space="0" w:color="auto"/>
                            <w:right w:val="none" w:sz="0" w:space="0" w:color="auto"/>
                          </w:divBdr>
                          <w:divsChild>
                            <w:div w:id="439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38704">
                      <w:marLeft w:val="0"/>
                      <w:marRight w:val="0"/>
                      <w:marTop w:val="0"/>
                      <w:marBottom w:val="0"/>
                      <w:divBdr>
                        <w:top w:val="none" w:sz="0" w:space="0" w:color="auto"/>
                        <w:left w:val="none" w:sz="0" w:space="0" w:color="auto"/>
                        <w:bottom w:val="none" w:sz="0" w:space="0" w:color="auto"/>
                        <w:right w:val="none" w:sz="0" w:space="0" w:color="auto"/>
                      </w:divBdr>
                      <w:divsChild>
                        <w:div w:id="906649493">
                          <w:marLeft w:val="0"/>
                          <w:marRight w:val="0"/>
                          <w:marTop w:val="0"/>
                          <w:marBottom w:val="0"/>
                          <w:divBdr>
                            <w:top w:val="none" w:sz="0" w:space="0" w:color="auto"/>
                            <w:left w:val="none" w:sz="0" w:space="0" w:color="auto"/>
                            <w:bottom w:val="none" w:sz="0" w:space="0" w:color="auto"/>
                            <w:right w:val="none" w:sz="0" w:space="0" w:color="auto"/>
                          </w:divBdr>
                        </w:div>
                        <w:div w:id="2063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201154">
      <w:bodyDiv w:val="1"/>
      <w:marLeft w:val="0"/>
      <w:marRight w:val="0"/>
      <w:marTop w:val="0"/>
      <w:marBottom w:val="0"/>
      <w:divBdr>
        <w:top w:val="none" w:sz="0" w:space="0" w:color="auto"/>
        <w:left w:val="none" w:sz="0" w:space="0" w:color="auto"/>
        <w:bottom w:val="none" w:sz="0" w:space="0" w:color="auto"/>
        <w:right w:val="none" w:sz="0" w:space="0" w:color="auto"/>
      </w:divBdr>
    </w:div>
    <w:div w:id="1896819239">
      <w:bodyDiv w:val="1"/>
      <w:marLeft w:val="0"/>
      <w:marRight w:val="0"/>
      <w:marTop w:val="0"/>
      <w:marBottom w:val="0"/>
      <w:divBdr>
        <w:top w:val="none" w:sz="0" w:space="0" w:color="auto"/>
        <w:left w:val="none" w:sz="0" w:space="0" w:color="auto"/>
        <w:bottom w:val="none" w:sz="0" w:space="0" w:color="auto"/>
        <w:right w:val="none" w:sz="0" w:space="0" w:color="auto"/>
      </w:divBdr>
      <w:divsChild>
        <w:div w:id="1511020901">
          <w:marLeft w:val="0"/>
          <w:marRight w:val="0"/>
          <w:marTop w:val="0"/>
          <w:marBottom w:val="0"/>
          <w:divBdr>
            <w:top w:val="none" w:sz="0" w:space="0" w:color="auto"/>
            <w:left w:val="none" w:sz="0" w:space="0" w:color="auto"/>
            <w:bottom w:val="none" w:sz="0" w:space="0" w:color="auto"/>
            <w:right w:val="none" w:sz="0" w:space="0" w:color="auto"/>
          </w:divBdr>
        </w:div>
        <w:div w:id="633487771">
          <w:marLeft w:val="0"/>
          <w:marRight w:val="0"/>
          <w:marTop w:val="0"/>
          <w:marBottom w:val="0"/>
          <w:divBdr>
            <w:top w:val="none" w:sz="0" w:space="0" w:color="auto"/>
            <w:left w:val="none" w:sz="0" w:space="0" w:color="auto"/>
            <w:bottom w:val="none" w:sz="0" w:space="0" w:color="auto"/>
            <w:right w:val="none" w:sz="0" w:space="0" w:color="auto"/>
          </w:divBdr>
        </w:div>
        <w:div w:id="21787582">
          <w:marLeft w:val="0"/>
          <w:marRight w:val="0"/>
          <w:marTop w:val="0"/>
          <w:marBottom w:val="0"/>
          <w:divBdr>
            <w:top w:val="none" w:sz="0" w:space="0" w:color="auto"/>
            <w:left w:val="none" w:sz="0" w:space="0" w:color="auto"/>
            <w:bottom w:val="none" w:sz="0" w:space="0" w:color="auto"/>
            <w:right w:val="none" w:sz="0" w:space="0" w:color="auto"/>
          </w:divBdr>
        </w:div>
      </w:divsChild>
    </w:div>
    <w:div w:id="1998917005">
      <w:bodyDiv w:val="1"/>
      <w:marLeft w:val="0"/>
      <w:marRight w:val="0"/>
      <w:marTop w:val="0"/>
      <w:marBottom w:val="0"/>
      <w:divBdr>
        <w:top w:val="none" w:sz="0" w:space="0" w:color="auto"/>
        <w:left w:val="none" w:sz="0" w:space="0" w:color="auto"/>
        <w:bottom w:val="none" w:sz="0" w:space="0" w:color="auto"/>
        <w:right w:val="none" w:sz="0" w:space="0" w:color="auto"/>
      </w:divBdr>
      <w:divsChild>
        <w:div w:id="1794665900">
          <w:marLeft w:val="0"/>
          <w:marRight w:val="0"/>
          <w:marTop w:val="0"/>
          <w:marBottom w:val="0"/>
          <w:divBdr>
            <w:top w:val="none" w:sz="0" w:space="0" w:color="auto"/>
            <w:left w:val="none" w:sz="0" w:space="0" w:color="auto"/>
            <w:bottom w:val="none" w:sz="0" w:space="0" w:color="auto"/>
            <w:right w:val="none" w:sz="0" w:space="0" w:color="auto"/>
          </w:divBdr>
          <w:divsChild>
            <w:div w:id="1851017831">
              <w:marLeft w:val="0"/>
              <w:marRight w:val="0"/>
              <w:marTop w:val="0"/>
              <w:marBottom w:val="0"/>
              <w:divBdr>
                <w:top w:val="none" w:sz="0" w:space="0" w:color="auto"/>
                <w:left w:val="none" w:sz="0" w:space="0" w:color="auto"/>
                <w:bottom w:val="none" w:sz="0" w:space="0" w:color="auto"/>
                <w:right w:val="none" w:sz="0" w:space="0" w:color="auto"/>
              </w:divBdr>
              <w:divsChild>
                <w:div w:id="105197511">
                  <w:marLeft w:val="0"/>
                  <w:marRight w:val="0"/>
                  <w:marTop w:val="0"/>
                  <w:marBottom w:val="0"/>
                  <w:divBdr>
                    <w:top w:val="none" w:sz="0" w:space="0" w:color="auto"/>
                    <w:left w:val="none" w:sz="0" w:space="0" w:color="auto"/>
                    <w:bottom w:val="none" w:sz="0" w:space="0" w:color="auto"/>
                    <w:right w:val="none" w:sz="0" w:space="0" w:color="auto"/>
                  </w:divBdr>
                  <w:divsChild>
                    <w:div w:id="787042709">
                      <w:marLeft w:val="0"/>
                      <w:marRight w:val="0"/>
                      <w:marTop w:val="0"/>
                      <w:marBottom w:val="0"/>
                      <w:divBdr>
                        <w:top w:val="none" w:sz="0" w:space="0" w:color="auto"/>
                        <w:left w:val="none" w:sz="0" w:space="0" w:color="auto"/>
                        <w:bottom w:val="none" w:sz="0" w:space="0" w:color="auto"/>
                        <w:right w:val="none" w:sz="0" w:space="0" w:color="auto"/>
                      </w:divBdr>
                      <w:divsChild>
                        <w:div w:id="1114328467">
                          <w:marLeft w:val="0"/>
                          <w:marRight w:val="0"/>
                          <w:marTop w:val="0"/>
                          <w:marBottom w:val="0"/>
                          <w:divBdr>
                            <w:top w:val="none" w:sz="0" w:space="0" w:color="auto"/>
                            <w:left w:val="none" w:sz="0" w:space="0" w:color="auto"/>
                            <w:bottom w:val="none" w:sz="0" w:space="0" w:color="auto"/>
                            <w:right w:val="none" w:sz="0" w:space="0" w:color="auto"/>
                          </w:divBdr>
                          <w:divsChild>
                            <w:div w:id="2190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7350">
                      <w:marLeft w:val="0"/>
                      <w:marRight w:val="0"/>
                      <w:marTop w:val="0"/>
                      <w:marBottom w:val="0"/>
                      <w:divBdr>
                        <w:top w:val="none" w:sz="0" w:space="0" w:color="auto"/>
                        <w:left w:val="none" w:sz="0" w:space="0" w:color="auto"/>
                        <w:bottom w:val="none" w:sz="0" w:space="0" w:color="auto"/>
                        <w:right w:val="none" w:sz="0" w:space="0" w:color="auto"/>
                      </w:divBdr>
                      <w:divsChild>
                        <w:div w:id="1752699091">
                          <w:marLeft w:val="0"/>
                          <w:marRight w:val="0"/>
                          <w:marTop w:val="0"/>
                          <w:marBottom w:val="0"/>
                          <w:divBdr>
                            <w:top w:val="none" w:sz="0" w:space="0" w:color="auto"/>
                            <w:left w:val="none" w:sz="0" w:space="0" w:color="auto"/>
                            <w:bottom w:val="none" w:sz="0" w:space="0" w:color="auto"/>
                            <w:right w:val="none" w:sz="0" w:space="0" w:color="auto"/>
                          </w:divBdr>
                        </w:div>
                        <w:div w:id="1621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9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ampusontario.pressbooks.pub/microbio/chapter/microbes-and-the-tools-of-genetic-engineer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5302-A6B1-40D2-B2A2-B98EC209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7377</Words>
  <Characters>42055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ravitejakanneganti8262@gmail.com</dc:creator>
  <cp:keywords/>
  <dc:description/>
  <cp:lastModifiedBy>SDI 1186</cp:lastModifiedBy>
  <cp:revision>39</cp:revision>
  <dcterms:created xsi:type="dcterms:W3CDTF">2026-02-19T08:43:00Z</dcterms:created>
  <dcterms:modified xsi:type="dcterms:W3CDTF">2026-02-28T10:04:00Z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05fd8360-84de-40a8-9168-7da942332cdb</vt:lpwstr>
  </property>
</Properties>
</file>