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CA804" w14:textId="088B30AF" w:rsidR="00B65C4C" w:rsidRPr="007E37EC" w:rsidRDefault="001F5C42" w:rsidP="00A40833">
      <w:pPr>
        <w:spacing w:line="360" w:lineRule="auto"/>
        <w:jc w:val="center"/>
        <w:rPr>
          <w:rFonts w:ascii="Arial" w:hAnsi="Arial" w:cs="Arial"/>
          <w:b/>
          <w:bCs/>
          <w:lang w:val="en-US"/>
        </w:rPr>
      </w:pPr>
      <w:r>
        <w:rPr>
          <w:rFonts w:ascii="Arial" w:hAnsi="Arial" w:cs="Arial"/>
          <w:b/>
          <w:bCs/>
          <w:lang w:val="en-US"/>
        </w:rPr>
        <w:t xml:space="preserve">An </w:t>
      </w:r>
      <w:r w:rsidR="00B65C4C" w:rsidRPr="007E37EC">
        <w:rPr>
          <w:rFonts w:ascii="Arial" w:hAnsi="Arial" w:cs="Arial"/>
          <w:b/>
          <w:bCs/>
          <w:lang w:val="en-US"/>
        </w:rPr>
        <w:t xml:space="preserve">Economic Analysis of Sweet Curd Production </w:t>
      </w:r>
      <w:r>
        <w:rPr>
          <w:rFonts w:ascii="Arial" w:hAnsi="Arial" w:cs="Arial"/>
          <w:b/>
          <w:bCs/>
          <w:lang w:val="en-US"/>
        </w:rPr>
        <w:t>with</w:t>
      </w:r>
      <w:r w:rsidR="00B65C4C" w:rsidRPr="007E37EC">
        <w:rPr>
          <w:rFonts w:ascii="Arial" w:hAnsi="Arial" w:cs="Arial"/>
          <w:b/>
          <w:bCs/>
          <w:lang w:val="en-US"/>
        </w:rPr>
        <w:t>in</w:t>
      </w:r>
      <w:r>
        <w:rPr>
          <w:rFonts w:ascii="Arial" w:hAnsi="Arial" w:cs="Arial"/>
          <w:b/>
          <w:bCs/>
          <w:lang w:val="en-US"/>
        </w:rPr>
        <w:t xml:space="preserve"> the</w:t>
      </w:r>
      <w:r w:rsidR="00B65C4C" w:rsidRPr="007E37EC">
        <w:rPr>
          <w:rFonts w:ascii="Arial" w:hAnsi="Arial" w:cs="Arial"/>
          <w:b/>
          <w:bCs/>
          <w:lang w:val="en-US"/>
        </w:rPr>
        <w:t xml:space="preserve"> Dairy Value Chain: A Study </w:t>
      </w:r>
      <w:r>
        <w:rPr>
          <w:rFonts w:ascii="Arial" w:hAnsi="Arial" w:cs="Arial"/>
          <w:b/>
          <w:bCs/>
          <w:lang w:val="en-US"/>
        </w:rPr>
        <w:t>of the</w:t>
      </w:r>
      <w:r w:rsidR="00B65C4C" w:rsidRPr="007E37EC">
        <w:rPr>
          <w:rFonts w:ascii="Arial" w:hAnsi="Arial" w:cs="Arial"/>
          <w:b/>
          <w:bCs/>
          <w:lang w:val="en-US"/>
        </w:rPr>
        <w:t xml:space="preserve"> </w:t>
      </w:r>
      <w:proofErr w:type="spellStart"/>
      <w:r w:rsidR="00B65C4C" w:rsidRPr="007E37EC">
        <w:rPr>
          <w:rFonts w:ascii="Arial" w:hAnsi="Arial" w:cs="Arial"/>
          <w:b/>
          <w:bCs/>
          <w:lang w:val="en-US"/>
        </w:rPr>
        <w:t>Terai</w:t>
      </w:r>
      <w:proofErr w:type="spellEnd"/>
      <w:r w:rsidR="00B65C4C" w:rsidRPr="007E37EC">
        <w:rPr>
          <w:rFonts w:ascii="Arial" w:hAnsi="Arial" w:cs="Arial"/>
          <w:b/>
          <w:bCs/>
          <w:lang w:val="en-US"/>
        </w:rPr>
        <w:t xml:space="preserve"> </w:t>
      </w:r>
      <w:r>
        <w:rPr>
          <w:rFonts w:ascii="Arial" w:hAnsi="Arial" w:cs="Arial"/>
          <w:b/>
          <w:bCs/>
          <w:lang w:val="en-US"/>
        </w:rPr>
        <w:t>region</w:t>
      </w:r>
      <w:r w:rsidR="00B65C4C" w:rsidRPr="007E37EC">
        <w:rPr>
          <w:rFonts w:ascii="Arial" w:hAnsi="Arial" w:cs="Arial"/>
          <w:b/>
          <w:bCs/>
          <w:lang w:val="en-US"/>
        </w:rPr>
        <w:t xml:space="preserve"> of West Bengal</w:t>
      </w:r>
      <w:r w:rsidR="00925B10">
        <w:rPr>
          <w:rFonts w:ascii="Arial" w:hAnsi="Arial" w:cs="Arial"/>
          <w:b/>
          <w:bCs/>
          <w:lang w:val="en-US"/>
        </w:rPr>
        <w:t>, India</w:t>
      </w:r>
    </w:p>
    <w:p w14:paraId="2BD17C98" w14:textId="77777777" w:rsidR="0016103A" w:rsidRPr="007E37EC" w:rsidRDefault="0016103A" w:rsidP="00A40833">
      <w:pPr>
        <w:spacing w:line="360" w:lineRule="auto"/>
        <w:rPr>
          <w:rFonts w:ascii="Arial" w:hAnsi="Arial" w:cs="Arial"/>
        </w:rPr>
      </w:pPr>
    </w:p>
    <w:p w14:paraId="5C30231D" w14:textId="51BD54BE" w:rsidR="00B65C4C" w:rsidRPr="007E37EC" w:rsidRDefault="00B65C4C" w:rsidP="00A40833">
      <w:pPr>
        <w:spacing w:line="360" w:lineRule="auto"/>
        <w:rPr>
          <w:rFonts w:ascii="Arial" w:hAnsi="Arial" w:cs="Arial"/>
          <w:b/>
          <w:bCs/>
        </w:rPr>
      </w:pPr>
      <w:r w:rsidRPr="007E37EC">
        <w:rPr>
          <w:rFonts w:ascii="Arial" w:hAnsi="Arial" w:cs="Arial"/>
          <w:b/>
          <w:bCs/>
        </w:rPr>
        <w:t>Abstract</w:t>
      </w:r>
    </w:p>
    <w:p w14:paraId="51D26DBA" w14:textId="30DE87E4" w:rsidR="00052152" w:rsidRDefault="00052152" w:rsidP="00A40833">
      <w:pPr>
        <w:spacing w:line="360" w:lineRule="auto"/>
        <w:jc w:val="both"/>
        <w:rPr>
          <w:rFonts w:ascii="Arial" w:hAnsi="Arial" w:cs="Arial"/>
          <w:sz w:val="20"/>
          <w:szCs w:val="20"/>
        </w:rPr>
      </w:pPr>
      <w:r w:rsidRPr="00052152">
        <w:rPr>
          <w:rFonts w:ascii="Arial" w:hAnsi="Arial" w:cs="Arial"/>
          <w:sz w:val="20"/>
          <w:szCs w:val="20"/>
        </w:rPr>
        <w:t>Although interest in value-added dairy products is increasing, empirical evidence regarding their economic viability remains limited. Specifically, there is a lack of research on the economic viability and cost structure of traditional fermented dairy products, such as sweet curd (</w:t>
      </w:r>
      <w:proofErr w:type="spellStart"/>
      <w:r w:rsidRPr="00052152">
        <w:rPr>
          <w:rFonts w:ascii="Arial" w:hAnsi="Arial" w:cs="Arial"/>
          <w:sz w:val="20"/>
          <w:szCs w:val="20"/>
        </w:rPr>
        <w:t>Mishti</w:t>
      </w:r>
      <w:proofErr w:type="spellEnd"/>
      <w:r w:rsidRPr="00052152">
        <w:rPr>
          <w:rFonts w:ascii="Arial" w:hAnsi="Arial" w:cs="Arial"/>
          <w:sz w:val="20"/>
          <w:szCs w:val="20"/>
        </w:rPr>
        <w:t xml:space="preserve"> Doi)</w:t>
      </w:r>
      <w:r w:rsidR="004566F6">
        <w:rPr>
          <w:rFonts w:ascii="Arial" w:hAnsi="Arial" w:cs="Arial"/>
          <w:sz w:val="20"/>
          <w:szCs w:val="20"/>
        </w:rPr>
        <w:t xml:space="preserve">, </w:t>
      </w:r>
      <w:r w:rsidRPr="00052152">
        <w:rPr>
          <w:rFonts w:ascii="Arial" w:hAnsi="Arial" w:cs="Arial"/>
          <w:sz w:val="20"/>
          <w:szCs w:val="20"/>
        </w:rPr>
        <w:t xml:space="preserve">within regional value chains. This study aims to assess the economic viability of sweet curd production across four blocks in the </w:t>
      </w:r>
      <w:proofErr w:type="spellStart"/>
      <w:r w:rsidRPr="00052152">
        <w:rPr>
          <w:rFonts w:ascii="Arial" w:hAnsi="Arial" w:cs="Arial"/>
          <w:sz w:val="20"/>
          <w:szCs w:val="20"/>
        </w:rPr>
        <w:t>Terai</w:t>
      </w:r>
      <w:proofErr w:type="spellEnd"/>
      <w:r w:rsidRPr="00052152">
        <w:rPr>
          <w:rFonts w:ascii="Arial" w:hAnsi="Arial" w:cs="Arial"/>
          <w:sz w:val="20"/>
          <w:szCs w:val="20"/>
        </w:rPr>
        <w:t xml:space="preserve"> District of West Bengal, India, by analysing cost structures, profitability, market concentration, and seasonal production dynamics. Primary data were collected from 31 purposively selected dairy processing units over one year (April 2024 to March 2025) using structured interview schedules. Data were </w:t>
      </w:r>
      <w:proofErr w:type="spellStart"/>
      <w:r w:rsidR="00DF5207">
        <w:rPr>
          <w:rFonts w:ascii="Arial" w:hAnsi="Arial" w:cs="Arial"/>
          <w:sz w:val="20"/>
          <w:szCs w:val="20"/>
        </w:rPr>
        <w:t>analyze</w:t>
      </w:r>
      <w:r w:rsidRPr="00052152">
        <w:rPr>
          <w:rFonts w:ascii="Arial" w:hAnsi="Arial" w:cs="Arial"/>
          <w:sz w:val="20"/>
          <w:szCs w:val="20"/>
        </w:rPr>
        <w:t>d</w:t>
      </w:r>
      <w:proofErr w:type="spellEnd"/>
      <w:r w:rsidRPr="00052152">
        <w:rPr>
          <w:rFonts w:ascii="Arial" w:hAnsi="Arial" w:cs="Arial"/>
          <w:sz w:val="20"/>
          <w:szCs w:val="20"/>
        </w:rPr>
        <w:t xml:space="preserve"> using benefit-cost ratio analysis, market concentration indices (CR4, HHI, Gini coefficient), and </w:t>
      </w:r>
      <w:r w:rsidR="00894DC7">
        <w:rPr>
          <w:rFonts w:ascii="Arial" w:hAnsi="Arial" w:cs="Arial"/>
          <w:sz w:val="20"/>
          <w:szCs w:val="20"/>
        </w:rPr>
        <w:t>the seasonal index</w:t>
      </w:r>
      <w:r w:rsidRPr="00052152">
        <w:rPr>
          <w:rFonts w:ascii="Arial" w:hAnsi="Arial" w:cs="Arial"/>
          <w:sz w:val="20"/>
          <w:szCs w:val="20"/>
        </w:rPr>
        <w:t xml:space="preserve">. The results indicate that variable costs constitute 98.6% of total production costs, with fluid milk accounting for 59–62% (Rs 44–51/kg). Regional production costs range from Rs 71.84/kg in </w:t>
      </w:r>
      <w:proofErr w:type="spellStart"/>
      <w:r w:rsidRPr="00052152">
        <w:rPr>
          <w:rFonts w:ascii="Arial" w:hAnsi="Arial" w:cs="Arial"/>
          <w:sz w:val="20"/>
          <w:szCs w:val="20"/>
        </w:rPr>
        <w:t>Coochbehar</w:t>
      </w:r>
      <w:proofErr w:type="spellEnd"/>
      <w:r w:rsidR="00D25A90">
        <w:rPr>
          <w:rFonts w:ascii="Arial" w:hAnsi="Arial" w:cs="Arial"/>
          <w:sz w:val="20"/>
          <w:szCs w:val="20"/>
        </w:rPr>
        <w:t>-</w:t>
      </w:r>
      <w:r w:rsidRPr="00052152">
        <w:rPr>
          <w:rFonts w:ascii="Arial" w:hAnsi="Arial" w:cs="Arial"/>
          <w:sz w:val="20"/>
          <w:szCs w:val="20"/>
        </w:rPr>
        <w:t xml:space="preserve">II to Rs 86.35/kg in </w:t>
      </w:r>
      <w:proofErr w:type="spellStart"/>
      <w:r w:rsidRPr="00052152">
        <w:rPr>
          <w:rFonts w:ascii="Arial" w:hAnsi="Arial" w:cs="Arial"/>
          <w:sz w:val="20"/>
          <w:szCs w:val="20"/>
        </w:rPr>
        <w:t>Alipurduar</w:t>
      </w:r>
      <w:proofErr w:type="spellEnd"/>
      <w:r w:rsidR="00B616B9">
        <w:rPr>
          <w:rFonts w:ascii="Arial" w:hAnsi="Arial" w:cs="Arial"/>
          <w:sz w:val="20"/>
          <w:szCs w:val="20"/>
        </w:rPr>
        <w:t>-</w:t>
      </w:r>
      <w:r w:rsidRPr="00052152">
        <w:rPr>
          <w:rFonts w:ascii="Arial" w:hAnsi="Arial" w:cs="Arial"/>
          <w:sz w:val="20"/>
          <w:szCs w:val="20"/>
        </w:rPr>
        <w:t xml:space="preserve">I, driven largely by milk procurement price differentials (Rs 36.61–42.91/L). Benefit-cost ratios range from 1.44 to 1.72, confirming economic viability across all blocks, with </w:t>
      </w:r>
      <w:proofErr w:type="spellStart"/>
      <w:r w:rsidRPr="00052152">
        <w:rPr>
          <w:rFonts w:ascii="Arial" w:hAnsi="Arial" w:cs="Arial"/>
          <w:sz w:val="20"/>
          <w:szCs w:val="20"/>
        </w:rPr>
        <w:t>Coochbehar</w:t>
      </w:r>
      <w:proofErr w:type="spellEnd"/>
      <w:r w:rsidR="00D25A90">
        <w:rPr>
          <w:rFonts w:ascii="Arial" w:hAnsi="Arial" w:cs="Arial"/>
          <w:sz w:val="20"/>
          <w:szCs w:val="20"/>
        </w:rPr>
        <w:t>-</w:t>
      </w:r>
      <w:r w:rsidRPr="00052152">
        <w:rPr>
          <w:rFonts w:ascii="Arial" w:hAnsi="Arial" w:cs="Arial"/>
          <w:sz w:val="20"/>
          <w:szCs w:val="20"/>
        </w:rPr>
        <w:t xml:space="preserve">II recording the highest profit margin at 71.9% (net profit: Rs 51.68/kg). Low Gini coefficients (0.07–0.15) indicate equitable </w:t>
      </w:r>
      <w:r w:rsidR="004566F6">
        <w:rPr>
          <w:rFonts w:ascii="Arial" w:hAnsi="Arial" w:cs="Arial"/>
          <w:sz w:val="20"/>
          <w:szCs w:val="20"/>
        </w:rPr>
        <w:t>distribution of market shares</w:t>
      </w:r>
      <w:r w:rsidRPr="00052152">
        <w:rPr>
          <w:rFonts w:ascii="Arial" w:hAnsi="Arial" w:cs="Arial"/>
          <w:sz w:val="20"/>
          <w:szCs w:val="20"/>
        </w:rPr>
        <w:t xml:space="preserve">. Seasonal indices range from 86% during the monsoon (July–September) to 112.57% during the festive season (September–December). </w:t>
      </w:r>
      <w:proofErr w:type="spellStart"/>
      <w:r w:rsidR="00531FD8">
        <w:rPr>
          <w:rFonts w:ascii="Arial" w:hAnsi="Arial" w:cs="Arial"/>
          <w:sz w:val="20"/>
          <w:szCs w:val="20"/>
        </w:rPr>
        <w:t>Labor</w:t>
      </w:r>
      <w:proofErr w:type="spellEnd"/>
      <w:r w:rsidRPr="00052152">
        <w:rPr>
          <w:rFonts w:ascii="Arial" w:hAnsi="Arial" w:cs="Arial"/>
          <w:sz w:val="20"/>
          <w:szCs w:val="20"/>
        </w:rPr>
        <w:t xml:space="preserve"> costs account for 9.24% of total production expenses, combining family and hired </w:t>
      </w:r>
      <w:proofErr w:type="spellStart"/>
      <w:r w:rsidR="00531FD8">
        <w:rPr>
          <w:rFonts w:ascii="Arial" w:hAnsi="Arial" w:cs="Arial"/>
          <w:sz w:val="20"/>
          <w:szCs w:val="20"/>
        </w:rPr>
        <w:t>Labor</w:t>
      </w:r>
      <w:proofErr w:type="spellEnd"/>
      <w:r w:rsidRPr="00052152">
        <w:rPr>
          <w:rFonts w:ascii="Arial" w:hAnsi="Arial" w:cs="Arial"/>
          <w:sz w:val="20"/>
          <w:szCs w:val="20"/>
        </w:rPr>
        <w:t xml:space="preserve">. Spoilage rates are effectively managed below 0.64%. The study concludes that sweet curd production is economically promising across the </w:t>
      </w:r>
      <w:proofErr w:type="spellStart"/>
      <w:r w:rsidRPr="00052152">
        <w:rPr>
          <w:rFonts w:ascii="Arial" w:hAnsi="Arial" w:cs="Arial"/>
          <w:sz w:val="20"/>
          <w:szCs w:val="20"/>
        </w:rPr>
        <w:t>Terai</w:t>
      </w:r>
      <w:proofErr w:type="spellEnd"/>
      <w:r w:rsidRPr="00052152">
        <w:rPr>
          <w:rFonts w:ascii="Arial" w:hAnsi="Arial" w:cs="Arial"/>
          <w:sz w:val="20"/>
          <w:szCs w:val="20"/>
        </w:rPr>
        <w:t xml:space="preserve"> region, with an average benefit-cost ratio of 1.61 and </w:t>
      </w:r>
      <w:r w:rsidR="001B6565">
        <w:rPr>
          <w:rFonts w:ascii="Arial" w:hAnsi="Arial" w:cs="Arial"/>
          <w:sz w:val="20"/>
          <w:szCs w:val="20"/>
        </w:rPr>
        <w:t xml:space="preserve">weighted average </w:t>
      </w:r>
      <w:r w:rsidRPr="00052152">
        <w:rPr>
          <w:rFonts w:ascii="Arial" w:hAnsi="Arial" w:cs="Arial"/>
          <w:sz w:val="20"/>
          <w:szCs w:val="20"/>
        </w:rPr>
        <w:t>profit margins of 37.9%. Improving milk procurement strategies and adopting adaptive seasonal management are critical to enhancing long-term profitability and sustainability within the dairy value chain</w:t>
      </w:r>
      <w:r w:rsidR="00B40B29">
        <w:rPr>
          <w:rFonts w:ascii="Arial" w:hAnsi="Arial" w:cs="Arial"/>
          <w:sz w:val="20"/>
          <w:szCs w:val="20"/>
        </w:rPr>
        <w:t>.</w:t>
      </w:r>
    </w:p>
    <w:p w14:paraId="073AC17F" w14:textId="1330DDD1" w:rsidR="005D2F72" w:rsidRPr="007E37EC" w:rsidRDefault="000D102C" w:rsidP="00A40833">
      <w:pPr>
        <w:spacing w:line="360" w:lineRule="auto"/>
        <w:jc w:val="both"/>
        <w:rPr>
          <w:rFonts w:ascii="Arial" w:hAnsi="Arial" w:cs="Arial"/>
          <w:sz w:val="20"/>
          <w:szCs w:val="20"/>
        </w:rPr>
      </w:pPr>
      <w:r w:rsidRPr="007E37EC">
        <w:rPr>
          <w:rFonts w:ascii="Arial" w:hAnsi="Arial" w:cs="Arial"/>
          <w:sz w:val="20"/>
          <w:szCs w:val="20"/>
        </w:rPr>
        <w:t>Keywords:</w:t>
      </w:r>
      <w:r w:rsidR="005D2F72" w:rsidRPr="007E37EC">
        <w:rPr>
          <w:rFonts w:ascii="Arial" w:hAnsi="Arial" w:cs="Arial"/>
          <w:sz w:val="20"/>
          <w:szCs w:val="20"/>
        </w:rPr>
        <w:t xml:space="preserve"> </w:t>
      </w:r>
      <w:proofErr w:type="spellStart"/>
      <w:r w:rsidR="001F2A17" w:rsidRPr="007E37EC">
        <w:rPr>
          <w:rFonts w:ascii="Arial" w:hAnsi="Arial" w:cs="Arial"/>
          <w:sz w:val="20"/>
          <w:szCs w:val="20"/>
        </w:rPr>
        <w:t>Mishti</w:t>
      </w:r>
      <w:proofErr w:type="spellEnd"/>
      <w:r w:rsidR="001F2A17" w:rsidRPr="007E37EC">
        <w:rPr>
          <w:rFonts w:ascii="Arial" w:hAnsi="Arial" w:cs="Arial"/>
          <w:sz w:val="20"/>
          <w:szCs w:val="20"/>
        </w:rPr>
        <w:t xml:space="preserve"> Doi, S</w:t>
      </w:r>
      <w:r w:rsidR="00967C45" w:rsidRPr="007E37EC">
        <w:rPr>
          <w:rFonts w:ascii="Arial" w:hAnsi="Arial" w:cs="Arial"/>
          <w:sz w:val="20"/>
          <w:szCs w:val="20"/>
        </w:rPr>
        <w:t xml:space="preserve">weet </w:t>
      </w:r>
      <w:r w:rsidR="004566F6">
        <w:rPr>
          <w:rFonts w:ascii="Arial" w:hAnsi="Arial" w:cs="Arial"/>
          <w:sz w:val="20"/>
          <w:szCs w:val="20"/>
        </w:rPr>
        <w:t>yoghurt</w:t>
      </w:r>
      <w:r w:rsidR="001F2A17" w:rsidRPr="007E37EC">
        <w:rPr>
          <w:rFonts w:ascii="Arial" w:hAnsi="Arial" w:cs="Arial"/>
          <w:sz w:val="20"/>
          <w:szCs w:val="20"/>
        </w:rPr>
        <w:t>,</w:t>
      </w:r>
      <w:r w:rsidR="00967C45" w:rsidRPr="007E37EC">
        <w:rPr>
          <w:rFonts w:ascii="Arial" w:hAnsi="Arial" w:cs="Arial"/>
          <w:sz w:val="20"/>
          <w:szCs w:val="20"/>
        </w:rPr>
        <w:t xml:space="preserve"> </w:t>
      </w:r>
      <w:r w:rsidR="001F2A17" w:rsidRPr="007E37EC">
        <w:rPr>
          <w:rFonts w:ascii="Arial" w:hAnsi="Arial" w:cs="Arial"/>
          <w:sz w:val="20"/>
          <w:szCs w:val="20"/>
        </w:rPr>
        <w:t>D</w:t>
      </w:r>
      <w:r w:rsidR="00967C45" w:rsidRPr="007E37EC">
        <w:rPr>
          <w:rFonts w:ascii="Arial" w:hAnsi="Arial" w:cs="Arial"/>
          <w:sz w:val="20"/>
          <w:szCs w:val="20"/>
        </w:rPr>
        <w:t xml:space="preserve">airy value </w:t>
      </w:r>
      <w:r w:rsidR="001F2A17" w:rsidRPr="007E37EC">
        <w:rPr>
          <w:rFonts w:ascii="Arial" w:hAnsi="Arial" w:cs="Arial"/>
          <w:sz w:val="20"/>
          <w:szCs w:val="20"/>
        </w:rPr>
        <w:t>chain,</w:t>
      </w:r>
      <w:r w:rsidR="006B5A21">
        <w:rPr>
          <w:rFonts w:ascii="Arial" w:hAnsi="Arial" w:cs="Arial"/>
          <w:sz w:val="20"/>
          <w:szCs w:val="20"/>
        </w:rPr>
        <w:t xml:space="preserve"> </w:t>
      </w:r>
      <w:r w:rsidR="000C51C1" w:rsidRPr="007E37EC">
        <w:rPr>
          <w:rFonts w:ascii="Arial" w:hAnsi="Arial" w:cs="Arial"/>
          <w:sz w:val="20"/>
          <w:szCs w:val="20"/>
        </w:rPr>
        <w:t xml:space="preserve">Benefit-cost </w:t>
      </w:r>
      <w:r w:rsidR="00F75CDA" w:rsidRPr="007E37EC">
        <w:rPr>
          <w:rFonts w:ascii="Arial" w:hAnsi="Arial" w:cs="Arial"/>
          <w:sz w:val="20"/>
          <w:szCs w:val="20"/>
        </w:rPr>
        <w:t xml:space="preserve">ratio, </w:t>
      </w:r>
      <w:r w:rsidR="001F2A17" w:rsidRPr="007E37EC">
        <w:rPr>
          <w:rFonts w:ascii="Arial" w:hAnsi="Arial" w:cs="Arial"/>
          <w:sz w:val="20"/>
          <w:szCs w:val="20"/>
        </w:rPr>
        <w:t>Spoilage</w:t>
      </w:r>
      <w:r w:rsidR="001F2A17" w:rsidRPr="007E37EC">
        <w:rPr>
          <w:rFonts w:ascii="Arial" w:hAnsi="Arial" w:cs="Arial"/>
          <w:b/>
          <w:sz w:val="20"/>
          <w:szCs w:val="20"/>
        </w:rPr>
        <w:t xml:space="preserve">, </w:t>
      </w:r>
      <w:r w:rsidR="001F2A17" w:rsidRPr="007E37EC">
        <w:rPr>
          <w:rFonts w:ascii="Arial" w:hAnsi="Arial" w:cs="Arial"/>
          <w:sz w:val="20"/>
          <w:szCs w:val="20"/>
        </w:rPr>
        <w:t>cost structure</w:t>
      </w:r>
      <w:r w:rsidR="00967C45" w:rsidRPr="007E37EC">
        <w:rPr>
          <w:rFonts w:ascii="Arial" w:hAnsi="Arial" w:cs="Arial"/>
          <w:sz w:val="20"/>
          <w:szCs w:val="20"/>
        </w:rPr>
        <w:t>, seasonal production trends</w:t>
      </w:r>
      <w:r w:rsidR="001F2A17" w:rsidRPr="007E37EC">
        <w:rPr>
          <w:rFonts w:ascii="Arial" w:hAnsi="Arial" w:cs="Arial"/>
          <w:sz w:val="20"/>
          <w:szCs w:val="20"/>
        </w:rPr>
        <w:t>, cost of production</w:t>
      </w:r>
      <w:r w:rsidR="00967C45" w:rsidRPr="007E37EC">
        <w:rPr>
          <w:rFonts w:ascii="Arial" w:hAnsi="Arial" w:cs="Arial"/>
          <w:sz w:val="20"/>
          <w:szCs w:val="20"/>
        </w:rPr>
        <w:t xml:space="preserve"> </w:t>
      </w:r>
    </w:p>
    <w:p w14:paraId="6A3754E9" w14:textId="3D9316CB" w:rsidR="008601F7" w:rsidRPr="007E37EC" w:rsidRDefault="008601F7" w:rsidP="00A40833">
      <w:pPr>
        <w:spacing w:line="360" w:lineRule="auto"/>
        <w:jc w:val="both"/>
        <w:rPr>
          <w:rFonts w:ascii="Arial" w:hAnsi="Arial" w:cs="Arial"/>
          <w:lang w:val="en-US"/>
        </w:rPr>
      </w:pPr>
      <w:r w:rsidRPr="007E37EC">
        <w:rPr>
          <w:rFonts w:ascii="Arial" w:hAnsi="Arial" w:cs="Arial"/>
          <w:b/>
          <w:bCs/>
          <w:lang w:val="en-US"/>
        </w:rPr>
        <w:t>1.</w:t>
      </w:r>
      <w:r w:rsidR="004566F6">
        <w:rPr>
          <w:rFonts w:ascii="Arial" w:hAnsi="Arial" w:cs="Arial"/>
          <w:b/>
          <w:bCs/>
          <w:lang w:val="en-US"/>
        </w:rPr>
        <w:t xml:space="preserve"> </w:t>
      </w:r>
      <w:r w:rsidRPr="007E37EC">
        <w:rPr>
          <w:rFonts w:ascii="Arial" w:hAnsi="Arial" w:cs="Arial"/>
          <w:b/>
          <w:bCs/>
          <w:lang w:val="en-US"/>
        </w:rPr>
        <w:t>Introduction</w:t>
      </w:r>
    </w:p>
    <w:p w14:paraId="6D7444DA" w14:textId="1501B97C" w:rsidR="00A46B83" w:rsidRDefault="00865301" w:rsidP="00A40833">
      <w:pPr>
        <w:spacing w:line="360" w:lineRule="auto"/>
        <w:jc w:val="both"/>
        <w:rPr>
          <w:rFonts w:ascii="Arial" w:hAnsi="Arial" w:cs="Arial"/>
          <w:sz w:val="20"/>
          <w:szCs w:val="20"/>
        </w:rPr>
      </w:pPr>
      <w:proofErr w:type="spellStart"/>
      <w:r w:rsidRPr="00865301">
        <w:rPr>
          <w:rFonts w:ascii="Arial" w:hAnsi="Arial" w:cs="Arial"/>
          <w:sz w:val="20"/>
          <w:szCs w:val="20"/>
        </w:rPr>
        <w:t>Mishti</w:t>
      </w:r>
      <w:proofErr w:type="spellEnd"/>
      <w:r w:rsidRPr="00865301">
        <w:rPr>
          <w:rFonts w:ascii="Arial" w:hAnsi="Arial" w:cs="Arial"/>
          <w:sz w:val="20"/>
          <w:szCs w:val="20"/>
        </w:rPr>
        <w:t xml:space="preserve"> Doi, a beloved sweet curd from Bengal, is more than just a dessert; it’s a cherished dairy product that holds significant value in the local processing industry (Chandan, 2017; </w:t>
      </w:r>
      <w:proofErr w:type="spellStart"/>
      <w:r w:rsidRPr="00865301">
        <w:rPr>
          <w:rFonts w:ascii="Arial" w:hAnsi="Arial" w:cs="Arial"/>
          <w:sz w:val="20"/>
          <w:szCs w:val="20"/>
        </w:rPr>
        <w:t>Savaiano</w:t>
      </w:r>
      <w:proofErr w:type="spellEnd"/>
      <w:r w:rsidRPr="00865301">
        <w:rPr>
          <w:rFonts w:ascii="Arial" w:hAnsi="Arial" w:cs="Arial"/>
          <w:sz w:val="20"/>
          <w:szCs w:val="20"/>
        </w:rPr>
        <w:t xml:space="preserve"> &amp; </w:t>
      </w:r>
      <w:proofErr w:type="spellStart"/>
      <w:r w:rsidRPr="00865301">
        <w:rPr>
          <w:rFonts w:ascii="Arial" w:hAnsi="Arial" w:cs="Arial"/>
          <w:sz w:val="20"/>
          <w:szCs w:val="20"/>
        </w:rPr>
        <w:t>Hutkins</w:t>
      </w:r>
      <w:proofErr w:type="spellEnd"/>
      <w:r w:rsidRPr="00865301">
        <w:rPr>
          <w:rFonts w:ascii="Arial" w:hAnsi="Arial" w:cs="Arial"/>
          <w:sz w:val="20"/>
          <w:szCs w:val="20"/>
        </w:rPr>
        <w:t xml:space="preserve">, 2021). This traditional fermented sweet </w:t>
      </w:r>
      <w:r w:rsidR="00DB07CD">
        <w:rPr>
          <w:rFonts w:ascii="Arial" w:hAnsi="Arial" w:cs="Arial"/>
          <w:sz w:val="20"/>
          <w:szCs w:val="20"/>
        </w:rPr>
        <w:t>yoghurt</w:t>
      </w:r>
      <w:r w:rsidRPr="00865301">
        <w:rPr>
          <w:rFonts w:ascii="Arial" w:hAnsi="Arial" w:cs="Arial"/>
          <w:sz w:val="20"/>
          <w:szCs w:val="20"/>
        </w:rPr>
        <w:t xml:space="preserve"> typically has a short shelf life of about 5 to 7 days when kept in the fridge (around 4–5°C), </w:t>
      </w:r>
      <w:r w:rsidR="00F82DAC">
        <w:rPr>
          <w:rFonts w:ascii="Arial" w:hAnsi="Arial" w:cs="Arial"/>
          <w:sz w:val="20"/>
          <w:szCs w:val="20"/>
        </w:rPr>
        <w:t>due</w:t>
      </w:r>
      <w:r w:rsidRPr="00865301">
        <w:rPr>
          <w:rFonts w:ascii="Arial" w:hAnsi="Arial" w:cs="Arial"/>
          <w:sz w:val="20"/>
          <w:szCs w:val="20"/>
        </w:rPr>
        <w:t xml:space="preserve"> to its high moisture and sugar content, along with the activity of microbes (</w:t>
      </w:r>
      <w:proofErr w:type="spellStart"/>
      <w:r w:rsidRPr="00865301">
        <w:rPr>
          <w:rFonts w:ascii="Arial" w:hAnsi="Arial" w:cs="Arial"/>
          <w:sz w:val="20"/>
          <w:szCs w:val="20"/>
        </w:rPr>
        <w:t>Rasane</w:t>
      </w:r>
      <w:proofErr w:type="spellEnd"/>
      <w:r w:rsidRPr="00865301">
        <w:rPr>
          <w:rFonts w:ascii="Arial" w:hAnsi="Arial" w:cs="Arial"/>
          <w:sz w:val="20"/>
          <w:szCs w:val="20"/>
        </w:rPr>
        <w:t xml:space="preserve"> et al., 2017; Raju &amp; Pal, 2011). If stored at 10°C, it lasts only about 3 days, and poor storage conditions can lead to issues like hardening, whey separation, or spoilage (</w:t>
      </w:r>
      <w:proofErr w:type="spellStart"/>
      <w:r w:rsidRPr="00865301">
        <w:rPr>
          <w:rFonts w:ascii="Arial" w:hAnsi="Arial" w:cs="Arial"/>
          <w:sz w:val="20"/>
          <w:szCs w:val="20"/>
        </w:rPr>
        <w:t>Nu</w:t>
      </w:r>
      <w:r w:rsidR="003D1DC9">
        <w:rPr>
          <w:rFonts w:ascii="Arial" w:hAnsi="Arial" w:cs="Arial"/>
          <w:sz w:val="20"/>
          <w:szCs w:val="20"/>
        </w:rPr>
        <w:t>r</w:t>
      </w:r>
      <w:r w:rsidRPr="00865301">
        <w:rPr>
          <w:rFonts w:ascii="Arial" w:hAnsi="Arial" w:cs="Arial"/>
          <w:sz w:val="20"/>
          <w:szCs w:val="20"/>
        </w:rPr>
        <w:t>yadi</w:t>
      </w:r>
      <w:proofErr w:type="spellEnd"/>
      <w:r w:rsidRPr="00865301">
        <w:rPr>
          <w:rFonts w:ascii="Arial" w:hAnsi="Arial" w:cs="Arial"/>
          <w:sz w:val="20"/>
          <w:szCs w:val="20"/>
        </w:rPr>
        <w:t xml:space="preserve"> et al., 2019). </w:t>
      </w:r>
      <w:r w:rsidR="002B62C8">
        <w:rPr>
          <w:rFonts w:ascii="Arial" w:hAnsi="Arial" w:cs="Arial"/>
          <w:sz w:val="20"/>
          <w:szCs w:val="20"/>
        </w:rPr>
        <w:t xml:space="preserve">This study examines the economic factors surrounding sweet curd production in four blocks of the </w:t>
      </w:r>
      <w:proofErr w:type="spellStart"/>
      <w:r w:rsidR="002B62C8">
        <w:rPr>
          <w:rFonts w:ascii="Arial" w:hAnsi="Arial" w:cs="Arial"/>
          <w:sz w:val="20"/>
          <w:szCs w:val="20"/>
        </w:rPr>
        <w:t>Terai</w:t>
      </w:r>
      <w:proofErr w:type="spellEnd"/>
      <w:r w:rsidR="002B62C8">
        <w:rPr>
          <w:rFonts w:ascii="Arial" w:hAnsi="Arial" w:cs="Arial"/>
          <w:sz w:val="20"/>
          <w:szCs w:val="20"/>
        </w:rPr>
        <w:t xml:space="preserve"> </w:t>
      </w:r>
      <w:r w:rsidRPr="00865301">
        <w:rPr>
          <w:rFonts w:ascii="Arial" w:hAnsi="Arial" w:cs="Arial"/>
          <w:sz w:val="20"/>
          <w:szCs w:val="20"/>
        </w:rPr>
        <w:t xml:space="preserve">region in West Bengal, India, focusing on how efficiently raw milk is turned into the final product. It fits into the broader picture of dairy value chain development in India, where value-added dairy products </w:t>
      </w:r>
      <w:r w:rsidRPr="00865301">
        <w:rPr>
          <w:rFonts w:ascii="Arial" w:hAnsi="Arial" w:cs="Arial"/>
          <w:sz w:val="20"/>
          <w:szCs w:val="20"/>
        </w:rPr>
        <w:lastRenderedPageBreak/>
        <w:t xml:space="preserve">are crucial for boosting rural livelihoods and farm incomes. To enhance production processes and ensure economic sustainability, especially given the seasonal ups and downs in milk availability and quality, it’s </w:t>
      </w:r>
      <w:r w:rsidR="00E86EB9">
        <w:rPr>
          <w:rFonts w:ascii="Arial" w:hAnsi="Arial" w:cs="Arial"/>
          <w:sz w:val="20"/>
          <w:szCs w:val="20"/>
        </w:rPr>
        <w:t>necessary</w:t>
      </w:r>
      <w:r w:rsidRPr="00865301">
        <w:rPr>
          <w:rFonts w:ascii="Arial" w:hAnsi="Arial" w:cs="Arial"/>
          <w:sz w:val="20"/>
          <w:szCs w:val="20"/>
        </w:rPr>
        <w:t xml:space="preserve"> to understand the cost structure and profitability metrics (Mishra et al., 2025; Parmar et al., 2020</w:t>
      </w:r>
      <w:r w:rsidR="00761464">
        <w:rPr>
          <w:rFonts w:ascii="Arial" w:hAnsi="Arial" w:cs="Arial"/>
          <w:sz w:val="20"/>
          <w:szCs w:val="20"/>
        </w:rPr>
        <w:t>; Gulati et al., 2022</w:t>
      </w:r>
      <w:r w:rsidRPr="00865301">
        <w:rPr>
          <w:rFonts w:ascii="Arial" w:hAnsi="Arial" w:cs="Arial"/>
          <w:sz w:val="20"/>
          <w:szCs w:val="20"/>
        </w:rPr>
        <w:t xml:space="preserve">). </w:t>
      </w:r>
    </w:p>
    <w:p w14:paraId="37AF31BB" w14:textId="08BE9EE7" w:rsidR="00B35729" w:rsidRDefault="00B35729" w:rsidP="00A40833">
      <w:pPr>
        <w:spacing w:line="360" w:lineRule="auto"/>
        <w:jc w:val="both"/>
        <w:rPr>
          <w:rFonts w:ascii="Arial" w:hAnsi="Arial" w:cs="Arial"/>
          <w:sz w:val="20"/>
          <w:szCs w:val="20"/>
        </w:rPr>
      </w:pPr>
      <w:r>
        <w:rPr>
          <w:rFonts w:ascii="Arial" w:hAnsi="Arial" w:cs="Arial"/>
          <w:sz w:val="20"/>
          <w:szCs w:val="20"/>
        </w:rPr>
        <w:t xml:space="preserve">Sweet curd is regarded as one of the major milk </w:t>
      </w:r>
      <w:r w:rsidR="003E1E58">
        <w:rPr>
          <w:rFonts w:ascii="Arial" w:hAnsi="Arial" w:cs="Arial"/>
          <w:sz w:val="20"/>
          <w:szCs w:val="20"/>
        </w:rPr>
        <w:t>products</w:t>
      </w:r>
      <w:r>
        <w:rPr>
          <w:rFonts w:ascii="Arial" w:hAnsi="Arial" w:cs="Arial"/>
          <w:sz w:val="20"/>
          <w:szCs w:val="20"/>
        </w:rPr>
        <w:t xml:space="preserve"> </w:t>
      </w:r>
      <w:r w:rsidR="003D1DC9">
        <w:rPr>
          <w:rFonts w:ascii="Arial" w:hAnsi="Arial" w:cs="Arial"/>
          <w:sz w:val="20"/>
          <w:szCs w:val="20"/>
        </w:rPr>
        <w:t xml:space="preserve">with strong consumer demand in the </w:t>
      </w:r>
      <w:proofErr w:type="spellStart"/>
      <w:r>
        <w:rPr>
          <w:rFonts w:ascii="Arial" w:hAnsi="Arial" w:cs="Arial"/>
          <w:sz w:val="20"/>
          <w:szCs w:val="20"/>
        </w:rPr>
        <w:t>Terai</w:t>
      </w:r>
      <w:proofErr w:type="spellEnd"/>
      <w:r>
        <w:rPr>
          <w:rFonts w:ascii="Arial" w:hAnsi="Arial" w:cs="Arial"/>
          <w:sz w:val="20"/>
          <w:szCs w:val="20"/>
        </w:rPr>
        <w:t xml:space="preserve"> districts of West Bengal throughout the year. Hence</w:t>
      </w:r>
      <w:r w:rsidR="003D1DC9">
        <w:rPr>
          <w:rFonts w:ascii="Arial" w:hAnsi="Arial" w:cs="Arial"/>
          <w:sz w:val="20"/>
          <w:szCs w:val="20"/>
        </w:rPr>
        <w:t>, dairy farmers in this zone face derived demand for their fluid milk, based on variations in processed items, where sweet curd plays</w:t>
      </w:r>
      <w:r w:rsidR="00DF3CC6">
        <w:rPr>
          <w:rFonts w:ascii="Arial" w:hAnsi="Arial" w:cs="Arial"/>
          <w:sz w:val="20"/>
          <w:szCs w:val="20"/>
        </w:rPr>
        <w:t xml:space="preserve"> a major </w:t>
      </w:r>
      <w:r w:rsidR="003E1E58">
        <w:rPr>
          <w:rFonts w:ascii="Arial" w:hAnsi="Arial" w:cs="Arial"/>
          <w:sz w:val="20"/>
          <w:szCs w:val="20"/>
        </w:rPr>
        <w:t>role.</w:t>
      </w:r>
      <w:r w:rsidR="00FE6AE3">
        <w:rPr>
          <w:rFonts w:ascii="Arial" w:hAnsi="Arial" w:cs="Arial"/>
          <w:sz w:val="20"/>
          <w:szCs w:val="20"/>
        </w:rPr>
        <w:t xml:space="preserve"> The processing is done by traditional method through boiling of fluid milk with sugar</w:t>
      </w:r>
      <w:r w:rsidR="003D1DC9">
        <w:rPr>
          <w:rFonts w:ascii="Arial" w:hAnsi="Arial" w:cs="Arial"/>
          <w:sz w:val="20"/>
          <w:szCs w:val="20"/>
        </w:rPr>
        <w:t>,</w:t>
      </w:r>
      <w:r w:rsidR="00FE6AE3">
        <w:rPr>
          <w:rFonts w:ascii="Arial" w:hAnsi="Arial" w:cs="Arial"/>
          <w:sz w:val="20"/>
          <w:szCs w:val="20"/>
        </w:rPr>
        <w:t xml:space="preserve"> followed by induced fermentation done under </w:t>
      </w:r>
      <w:r w:rsidR="003D1DC9">
        <w:rPr>
          <w:rFonts w:ascii="Arial" w:hAnsi="Arial" w:cs="Arial"/>
          <w:sz w:val="20"/>
          <w:szCs w:val="20"/>
        </w:rPr>
        <w:t xml:space="preserve">a </w:t>
      </w:r>
      <w:r w:rsidR="00FE6AE3">
        <w:rPr>
          <w:rFonts w:ascii="Arial" w:hAnsi="Arial" w:cs="Arial"/>
          <w:sz w:val="20"/>
          <w:szCs w:val="20"/>
        </w:rPr>
        <w:t xml:space="preserve">hemispheric </w:t>
      </w:r>
      <w:r w:rsidR="003D1DC9">
        <w:rPr>
          <w:rFonts w:ascii="Arial" w:hAnsi="Arial" w:cs="Arial"/>
          <w:sz w:val="20"/>
          <w:szCs w:val="20"/>
        </w:rPr>
        <w:t>bamboo-made</w:t>
      </w:r>
      <w:r w:rsidR="00FE6AE3">
        <w:rPr>
          <w:rFonts w:ascii="Arial" w:hAnsi="Arial" w:cs="Arial"/>
          <w:sz w:val="20"/>
          <w:szCs w:val="20"/>
        </w:rPr>
        <w:t xml:space="preserve"> thatched cover. The present study tries to examine the performance of said value addition process from the </w:t>
      </w:r>
      <w:r w:rsidR="003D1DC9">
        <w:rPr>
          <w:rFonts w:ascii="Arial" w:hAnsi="Arial" w:cs="Arial"/>
          <w:sz w:val="20"/>
          <w:szCs w:val="20"/>
        </w:rPr>
        <w:t>viewpoint</w:t>
      </w:r>
      <w:r w:rsidR="00FE6AE3">
        <w:rPr>
          <w:rFonts w:ascii="Arial" w:hAnsi="Arial" w:cs="Arial"/>
          <w:sz w:val="20"/>
          <w:szCs w:val="20"/>
        </w:rPr>
        <w:t xml:space="preserve"> of cost </w:t>
      </w:r>
      <w:r w:rsidR="00F113E3">
        <w:rPr>
          <w:rFonts w:ascii="Arial" w:hAnsi="Arial" w:cs="Arial"/>
          <w:sz w:val="20"/>
          <w:szCs w:val="20"/>
        </w:rPr>
        <w:t>structure,</w:t>
      </w:r>
      <w:r w:rsidR="00FE6AE3">
        <w:rPr>
          <w:rFonts w:ascii="Arial" w:hAnsi="Arial" w:cs="Arial"/>
          <w:sz w:val="20"/>
          <w:szCs w:val="20"/>
        </w:rPr>
        <w:t xml:space="preserve"> </w:t>
      </w:r>
      <w:r w:rsidR="003E1E58">
        <w:rPr>
          <w:rFonts w:ascii="Arial" w:hAnsi="Arial" w:cs="Arial"/>
          <w:sz w:val="20"/>
          <w:szCs w:val="20"/>
        </w:rPr>
        <w:t>profitability,</w:t>
      </w:r>
      <w:r w:rsidR="00FE6AE3">
        <w:rPr>
          <w:rFonts w:ascii="Arial" w:hAnsi="Arial" w:cs="Arial"/>
          <w:sz w:val="20"/>
          <w:szCs w:val="20"/>
        </w:rPr>
        <w:t xml:space="preserve"> employment </w:t>
      </w:r>
      <w:r w:rsidR="003E1E58">
        <w:rPr>
          <w:rFonts w:ascii="Arial" w:hAnsi="Arial" w:cs="Arial"/>
          <w:sz w:val="20"/>
          <w:szCs w:val="20"/>
        </w:rPr>
        <w:t>generation,</w:t>
      </w:r>
      <w:r w:rsidR="00FE6AE3">
        <w:rPr>
          <w:rFonts w:ascii="Arial" w:hAnsi="Arial" w:cs="Arial"/>
          <w:sz w:val="20"/>
          <w:szCs w:val="20"/>
        </w:rPr>
        <w:t xml:space="preserve"> concentration of market structure and seasonality of product.</w:t>
      </w:r>
    </w:p>
    <w:p w14:paraId="76145128" w14:textId="7968F62B" w:rsidR="00865301" w:rsidRDefault="00865301" w:rsidP="00A40833">
      <w:pPr>
        <w:spacing w:line="360" w:lineRule="auto"/>
        <w:jc w:val="both"/>
        <w:rPr>
          <w:rFonts w:ascii="Arial" w:hAnsi="Arial" w:cs="Arial"/>
          <w:sz w:val="20"/>
          <w:szCs w:val="20"/>
        </w:rPr>
      </w:pPr>
      <w:r w:rsidRPr="00865301">
        <w:rPr>
          <w:rFonts w:ascii="Arial" w:hAnsi="Arial" w:cs="Arial"/>
          <w:sz w:val="20"/>
          <w:szCs w:val="20"/>
        </w:rPr>
        <w:t xml:space="preserve">The research looks into input costs, production factors, </w:t>
      </w:r>
      <w:proofErr w:type="spellStart"/>
      <w:r w:rsidR="00531FD8">
        <w:rPr>
          <w:rFonts w:ascii="Arial" w:hAnsi="Arial" w:cs="Arial"/>
          <w:sz w:val="20"/>
          <w:szCs w:val="20"/>
        </w:rPr>
        <w:t>Labor</w:t>
      </w:r>
      <w:proofErr w:type="spellEnd"/>
      <w:r w:rsidRPr="00865301">
        <w:rPr>
          <w:rFonts w:ascii="Arial" w:hAnsi="Arial" w:cs="Arial"/>
          <w:sz w:val="20"/>
          <w:szCs w:val="20"/>
        </w:rPr>
        <w:t xml:space="preserve"> needs, equipment depreciation, and the revenue generated from different production scales, using benefit-cost ratio analysis techniques (Schwab &amp; </w:t>
      </w:r>
      <w:proofErr w:type="spellStart"/>
      <w:r w:rsidRPr="00865301">
        <w:rPr>
          <w:rFonts w:ascii="Arial" w:hAnsi="Arial" w:cs="Arial"/>
          <w:sz w:val="20"/>
          <w:szCs w:val="20"/>
        </w:rPr>
        <w:t>Lusztig</w:t>
      </w:r>
      <w:proofErr w:type="spellEnd"/>
      <w:r w:rsidRPr="00865301">
        <w:rPr>
          <w:rFonts w:ascii="Arial" w:hAnsi="Arial" w:cs="Arial"/>
          <w:sz w:val="20"/>
          <w:szCs w:val="20"/>
        </w:rPr>
        <w:t>, 1969; Cotter, 2021). The study aims to achieve several objectives: (</w:t>
      </w:r>
      <w:proofErr w:type="spellStart"/>
      <w:r w:rsidRPr="00865301">
        <w:rPr>
          <w:rFonts w:ascii="Arial" w:hAnsi="Arial" w:cs="Arial"/>
          <w:sz w:val="20"/>
          <w:szCs w:val="20"/>
        </w:rPr>
        <w:t>i</w:t>
      </w:r>
      <w:proofErr w:type="spellEnd"/>
      <w:r w:rsidRPr="00865301">
        <w:rPr>
          <w:rFonts w:ascii="Arial" w:hAnsi="Arial" w:cs="Arial"/>
          <w:sz w:val="20"/>
          <w:szCs w:val="20"/>
        </w:rPr>
        <w:t xml:space="preserve">) to estimate and compare the production costs and profitability of sweet curd across the four study blocks; (ii) to </w:t>
      </w:r>
      <w:proofErr w:type="spellStart"/>
      <w:r w:rsidRPr="00865301">
        <w:rPr>
          <w:rFonts w:ascii="Arial" w:hAnsi="Arial" w:cs="Arial"/>
          <w:sz w:val="20"/>
          <w:szCs w:val="20"/>
        </w:rPr>
        <w:t>analyze</w:t>
      </w:r>
      <w:proofErr w:type="spellEnd"/>
      <w:r w:rsidRPr="00865301">
        <w:rPr>
          <w:rFonts w:ascii="Arial" w:hAnsi="Arial" w:cs="Arial"/>
          <w:sz w:val="20"/>
          <w:szCs w:val="20"/>
        </w:rPr>
        <w:t xml:space="preserve"> market concentration and competitive dynamics among sweet curd processing units; (iii) to explore the seasonal variations in sweet curd production; and (iv) to evaluate </w:t>
      </w:r>
      <w:proofErr w:type="spellStart"/>
      <w:r w:rsidR="00531FD8">
        <w:rPr>
          <w:rFonts w:ascii="Arial" w:hAnsi="Arial" w:cs="Arial"/>
          <w:sz w:val="20"/>
          <w:szCs w:val="20"/>
        </w:rPr>
        <w:t>Labor</w:t>
      </w:r>
      <w:proofErr w:type="spellEnd"/>
      <w:r w:rsidRPr="00865301">
        <w:rPr>
          <w:rFonts w:ascii="Arial" w:hAnsi="Arial" w:cs="Arial"/>
          <w:sz w:val="20"/>
          <w:szCs w:val="20"/>
        </w:rPr>
        <w:t xml:space="preserve"> utilization and job creation within the sweet curd production process.</w:t>
      </w:r>
    </w:p>
    <w:p w14:paraId="1C255F32" w14:textId="7C781A79" w:rsidR="008601F7" w:rsidRPr="007E37EC" w:rsidRDefault="008601F7" w:rsidP="00A40833">
      <w:pPr>
        <w:spacing w:line="360" w:lineRule="auto"/>
        <w:jc w:val="both"/>
        <w:rPr>
          <w:rFonts w:ascii="Arial" w:hAnsi="Arial" w:cs="Arial"/>
          <w:b/>
          <w:bCs/>
        </w:rPr>
      </w:pPr>
      <w:r w:rsidRPr="007E37EC">
        <w:rPr>
          <w:rFonts w:ascii="Arial" w:hAnsi="Arial" w:cs="Arial"/>
          <w:b/>
          <w:bCs/>
        </w:rPr>
        <w:t>2.</w:t>
      </w:r>
      <w:r w:rsidR="00DB07CD">
        <w:rPr>
          <w:rFonts w:ascii="Arial" w:hAnsi="Arial" w:cs="Arial"/>
          <w:b/>
          <w:bCs/>
        </w:rPr>
        <w:t xml:space="preserve"> </w:t>
      </w:r>
      <w:r w:rsidRPr="007E37EC">
        <w:rPr>
          <w:rFonts w:ascii="Arial" w:hAnsi="Arial" w:cs="Arial"/>
          <w:b/>
          <w:bCs/>
        </w:rPr>
        <w:t>Methodology</w:t>
      </w:r>
    </w:p>
    <w:p w14:paraId="60C1B384" w14:textId="77777777" w:rsidR="008601F7" w:rsidRPr="007E37EC" w:rsidRDefault="008601F7" w:rsidP="00A40833">
      <w:pPr>
        <w:spacing w:line="360" w:lineRule="auto"/>
        <w:jc w:val="both"/>
        <w:rPr>
          <w:rFonts w:ascii="Arial" w:hAnsi="Arial" w:cs="Arial"/>
          <w:b/>
          <w:bCs/>
        </w:rPr>
      </w:pPr>
      <w:r w:rsidRPr="007E37EC">
        <w:rPr>
          <w:rFonts w:ascii="Arial" w:hAnsi="Arial" w:cs="Arial"/>
          <w:b/>
          <w:bCs/>
        </w:rPr>
        <w:t>2.1 Sample Collection</w:t>
      </w:r>
    </w:p>
    <w:p w14:paraId="0210C232" w14:textId="4947DF2B" w:rsidR="008601F7" w:rsidRDefault="005A2E0D" w:rsidP="00A40833">
      <w:pPr>
        <w:spacing w:line="360" w:lineRule="auto"/>
        <w:jc w:val="both"/>
        <w:rPr>
          <w:rFonts w:ascii="Arial" w:hAnsi="Arial" w:cs="Arial"/>
          <w:sz w:val="20"/>
          <w:szCs w:val="20"/>
        </w:rPr>
      </w:pPr>
      <w:r w:rsidRPr="007E37EC">
        <w:rPr>
          <w:rFonts w:ascii="Arial" w:hAnsi="Arial" w:cs="Arial"/>
          <w:sz w:val="20"/>
          <w:szCs w:val="20"/>
        </w:rPr>
        <w:t xml:space="preserve">Purposive sampling methodology was employed to select dairy processing facilities operating within </w:t>
      </w:r>
      <w:r w:rsidR="00812341">
        <w:rPr>
          <w:rFonts w:ascii="Arial" w:hAnsi="Arial" w:cs="Arial"/>
          <w:sz w:val="20"/>
          <w:szCs w:val="20"/>
        </w:rPr>
        <w:t xml:space="preserve">the </w:t>
      </w:r>
      <w:proofErr w:type="spellStart"/>
      <w:r w:rsidRPr="007E37EC">
        <w:rPr>
          <w:rFonts w:ascii="Arial" w:hAnsi="Arial" w:cs="Arial"/>
          <w:sz w:val="20"/>
          <w:szCs w:val="20"/>
        </w:rPr>
        <w:t>Terai</w:t>
      </w:r>
      <w:proofErr w:type="spellEnd"/>
      <w:r w:rsidRPr="007E37EC">
        <w:rPr>
          <w:rFonts w:ascii="Arial" w:hAnsi="Arial" w:cs="Arial"/>
          <w:sz w:val="20"/>
          <w:szCs w:val="20"/>
        </w:rPr>
        <w:t xml:space="preserve"> district boundaries.</w:t>
      </w:r>
      <w:r w:rsidR="008601F7" w:rsidRPr="007E37EC">
        <w:rPr>
          <w:rFonts w:ascii="Arial" w:hAnsi="Arial" w:cs="Arial"/>
          <w:sz w:val="20"/>
          <w:szCs w:val="20"/>
        </w:rPr>
        <w:t xml:space="preserve"> The research was carried out across four blocks in </w:t>
      </w:r>
      <w:proofErr w:type="spellStart"/>
      <w:r w:rsidR="008601F7" w:rsidRPr="007E37EC">
        <w:rPr>
          <w:rFonts w:ascii="Arial" w:hAnsi="Arial" w:cs="Arial"/>
          <w:sz w:val="20"/>
          <w:szCs w:val="20"/>
        </w:rPr>
        <w:t>terai</w:t>
      </w:r>
      <w:proofErr w:type="spellEnd"/>
      <w:r w:rsidR="008601F7" w:rsidRPr="007E37EC">
        <w:rPr>
          <w:rFonts w:ascii="Arial" w:hAnsi="Arial" w:cs="Arial"/>
          <w:sz w:val="20"/>
          <w:szCs w:val="20"/>
        </w:rPr>
        <w:t xml:space="preserve"> region, each with different sample sizes: </w:t>
      </w:r>
      <w:proofErr w:type="spellStart"/>
      <w:r w:rsidR="008601F7" w:rsidRPr="007E37EC">
        <w:rPr>
          <w:rFonts w:ascii="Arial" w:hAnsi="Arial" w:cs="Arial"/>
          <w:sz w:val="20"/>
          <w:szCs w:val="20"/>
        </w:rPr>
        <w:t>Coochbehar</w:t>
      </w:r>
      <w:proofErr w:type="spellEnd"/>
      <w:r w:rsidR="004F0235">
        <w:rPr>
          <w:rFonts w:ascii="Arial" w:hAnsi="Arial" w:cs="Arial"/>
          <w:sz w:val="20"/>
          <w:szCs w:val="20"/>
        </w:rPr>
        <w:t>-</w:t>
      </w:r>
      <w:r w:rsidR="008601F7" w:rsidRPr="007E37EC">
        <w:rPr>
          <w:rFonts w:ascii="Arial" w:hAnsi="Arial" w:cs="Arial"/>
          <w:sz w:val="20"/>
          <w:szCs w:val="20"/>
        </w:rPr>
        <w:t xml:space="preserve">II (n=11 units), </w:t>
      </w:r>
      <w:proofErr w:type="spellStart"/>
      <w:r w:rsidR="008601F7" w:rsidRPr="007E37EC">
        <w:rPr>
          <w:rFonts w:ascii="Arial" w:hAnsi="Arial" w:cs="Arial"/>
          <w:sz w:val="20"/>
          <w:szCs w:val="20"/>
        </w:rPr>
        <w:t>Tufanganj</w:t>
      </w:r>
      <w:proofErr w:type="spellEnd"/>
      <w:r w:rsidR="00E52B18">
        <w:rPr>
          <w:rFonts w:ascii="Arial" w:hAnsi="Arial" w:cs="Arial"/>
          <w:sz w:val="20"/>
          <w:szCs w:val="20"/>
        </w:rPr>
        <w:t>-</w:t>
      </w:r>
      <w:r w:rsidR="008601F7" w:rsidRPr="007E37EC">
        <w:rPr>
          <w:rFonts w:ascii="Arial" w:hAnsi="Arial" w:cs="Arial"/>
          <w:sz w:val="20"/>
          <w:szCs w:val="20"/>
        </w:rPr>
        <w:t xml:space="preserve">I (n=10 units), </w:t>
      </w:r>
      <w:proofErr w:type="spellStart"/>
      <w:r w:rsidR="008601F7" w:rsidRPr="007E37EC">
        <w:rPr>
          <w:rFonts w:ascii="Arial" w:hAnsi="Arial" w:cs="Arial"/>
          <w:sz w:val="20"/>
          <w:szCs w:val="20"/>
        </w:rPr>
        <w:t>Alipurduar</w:t>
      </w:r>
      <w:proofErr w:type="spellEnd"/>
      <w:r w:rsidR="00B616B9">
        <w:rPr>
          <w:rFonts w:ascii="Arial" w:hAnsi="Arial" w:cs="Arial"/>
          <w:sz w:val="20"/>
          <w:szCs w:val="20"/>
        </w:rPr>
        <w:t>-</w:t>
      </w:r>
      <w:r w:rsidR="008601F7" w:rsidRPr="007E37EC">
        <w:rPr>
          <w:rFonts w:ascii="Arial" w:hAnsi="Arial" w:cs="Arial"/>
          <w:sz w:val="20"/>
          <w:szCs w:val="20"/>
        </w:rPr>
        <w:t xml:space="preserve">I (n=4 units), and </w:t>
      </w:r>
      <w:proofErr w:type="spellStart"/>
      <w:r w:rsidR="008601F7" w:rsidRPr="007E37EC">
        <w:rPr>
          <w:rFonts w:ascii="Arial" w:hAnsi="Arial" w:cs="Arial"/>
          <w:sz w:val="20"/>
          <w:szCs w:val="20"/>
        </w:rPr>
        <w:t>Alipurduar</w:t>
      </w:r>
      <w:proofErr w:type="spellEnd"/>
      <w:r w:rsidR="00D4518B">
        <w:rPr>
          <w:rFonts w:ascii="Arial" w:hAnsi="Arial" w:cs="Arial"/>
          <w:sz w:val="20"/>
          <w:szCs w:val="20"/>
        </w:rPr>
        <w:t>-</w:t>
      </w:r>
      <w:r w:rsidR="008601F7" w:rsidRPr="007E37EC">
        <w:rPr>
          <w:rFonts w:ascii="Arial" w:hAnsi="Arial" w:cs="Arial"/>
          <w:sz w:val="20"/>
          <w:szCs w:val="20"/>
        </w:rPr>
        <w:t xml:space="preserve">II (n=6 units). This targeted sampling strategy facilitated a thorough representation of various production scales and operational frameworks within the area. Data collection occurred from April 2024 to March 2025, effectively capturing seasonal fluctuations and production trends that align with the methodologies </w:t>
      </w:r>
      <w:r w:rsidR="00812341">
        <w:rPr>
          <w:rFonts w:ascii="Arial" w:hAnsi="Arial" w:cs="Arial"/>
          <w:sz w:val="20"/>
          <w:szCs w:val="20"/>
        </w:rPr>
        <w:t>utilised</w:t>
      </w:r>
      <w:r w:rsidR="008601F7" w:rsidRPr="007E37EC">
        <w:rPr>
          <w:rFonts w:ascii="Arial" w:hAnsi="Arial" w:cs="Arial"/>
          <w:sz w:val="20"/>
          <w:szCs w:val="20"/>
        </w:rPr>
        <w:t xml:space="preserve"> in dairy sector research (Anika et al., 2024; </w:t>
      </w:r>
      <w:proofErr w:type="spellStart"/>
      <w:r w:rsidR="008601F7" w:rsidRPr="007E37EC">
        <w:rPr>
          <w:rFonts w:ascii="Arial" w:hAnsi="Arial" w:cs="Arial"/>
          <w:sz w:val="20"/>
          <w:szCs w:val="20"/>
        </w:rPr>
        <w:t>Katoch</w:t>
      </w:r>
      <w:proofErr w:type="spellEnd"/>
      <w:r w:rsidR="008601F7" w:rsidRPr="007E37EC">
        <w:rPr>
          <w:rFonts w:ascii="Arial" w:hAnsi="Arial" w:cs="Arial"/>
          <w:sz w:val="20"/>
          <w:szCs w:val="20"/>
        </w:rPr>
        <w:t xml:space="preserve"> et al., 2024).</w:t>
      </w:r>
    </w:p>
    <w:p w14:paraId="2EBED2DB" w14:textId="178D9BD5" w:rsidR="00F113E3" w:rsidRDefault="00F113E3" w:rsidP="00A40833">
      <w:pPr>
        <w:spacing w:line="360" w:lineRule="auto"/>
        <w:jc w:val="both"/>
        <w:rPr>
          <w:rFonts w:ascii="Arial" w:hAnsi="Arial" w:cs="Arial"/>
          <w:b/>
          <w:bCs/>
          <w:sz w:val="20"/>
          <w:szCs w:val="20"/>
        </w:rPr>
      </w:pPr>
      <w:r w:rsidRPr="00F113E3">
        <w:rPr>
          <w:rFonts w:ascii="Arial" w:hAnsi="Arial" w:cs="Arial"/>
          <w:b/>
          <w:bCs/>
          <w:sz w:val="20"/>
          <w:szCs w:val="20"/>
        </w:rPr>
        <w:t>2.2 Art of making Sweet Curd</w:t>
      </w:r>
    </w:p>
    <w:p w14:paraId="6FEA7071" w14:textId="6AD81556" w:rsidR="00F113E3" w:rsidRDefault="00F113E3" w:rsidP="00A40833">
      <w:pPr>
        <w:spacing w:line="360" w:lineRule="auto"/>
        <w:jc w:val="both"/>
        <w:rPr>
          <w:rFonts w:ascii="Arial" w:hAnsi="Arial" w:cs="Arial"/>
          <w:sz w:val="20"/>
          <w:szCs w:val="20"/>
        </w:rPr>
      </w:pPr>
      <w:r>
        <w:rPr>
          <w:rFonts w:ascii="Arial" w:hAnsi="Arial" w:cs="Arial"/>
          <w:sz w:val="20"/>
          <w:szCs w:val="20"/>
        </w:rPr>
        <w:t xml:space="preserve">Although there remains some procedural business secret by tradition process of sweet curd but researcher could identify the </w:t>
      </w:r>
      <w:r w:rsidR="00A40833">
        <w:rPr>
          <w:rFonts w:ascii="Arial" w:hAnsi="Arial" w:cs="Arial"/>
          <w:sz w:val="20"/>
          <w:szCs w:val="20"/>
        </w:rPr>
        <w:t>steps. After</w:t>
      </w:r>
      <w:r>
        <w:rPr>
          <w:rFonts w:ascii="Arial" w:hAnsi="Arial" w:cs="Arial"/>
          <w:sz w:val="20"/>
          <w:szCs w:val="20"/>
        </w:rPr>
        <w:t xml:space="preserve"> </w:t>
      </w:r>
      <w:r w:rsidR="003D1DC9">
        <w:rPr>
          <w:rFonts w:ascii="Arial" w:hAnsi="Arial" w:cs="Arial"/>
          <w:sz w:val="20"/>
          <w:szCs w:val="20"/>
        </w:rPr>
        <w:t xml:space="preserve">the </w:t>
      </w:r>
      <w:r>
        <w:rPr>
          <w:rFonts w:ascii="Arial" w:hAnsi="Arial" w:cs="Arial"/>
          <w:sz w:val="20"/>
          <w:szCs w:val="20"/>
        </w:rPr>
        <w:t xml:space="preserve">collection of fluid </w:t>
      </w:r>
      <w:r w:rsidR="00531FD8">
        <w:rPr>
          <w:rFonts w:ascii="Arial" w:hAnsi="Arial" w:cs="Arial"/>
          <w:sz w:val="20"/>
          <w:szCs w:val="20"/>
        </w:rPr>
        <w:t>milk,</w:t>
      </w:r>
      <w:r>
        <w:rPr>
          <w:rFonts w:ascii="Arial" w:hAnsi="Arial" w:cs="Arial"/>
          <w:sz w:val="20"/>
          <w:szCs w:val="20"/>
        </w:rPr>
        <w:t xml:space="preserve"> the processing starts through boiling of </w:t>
      </w:r>
      <w:r w:rsidR="003D1DC9">
        <w:rPr>
          <w:rFonts w:ascii="Arial" w:hAnsi="Arial" w:cs="Arial"/>
          <w:sz w:val="20"/>
          <w:szCs w:val="20"/>
        </w:rPr>
        <w:t xml:space="preserve">the </w:t>
      </w:r>
      <w:r>
        <w:rPr>
          <w:rFonts w:ascii="Arial" w:hAnsi="Arial" w:cs="Arial"/>
          <w:sz w:val="20"/>
          <w:szCs w:val="20"/>
        </w:rPr>
        <w:t xml:space="preserve">same during evening hours. The boiling </w:t>
      </w:r>
      <w:r w:rsidR="003D1DC9">
        <w:rPr>
          <w:rFonts w:ascii="Arial" w:hAnsi="Arial" w:cs="Arial"/>
          <w:sz w:val="20"/>
          <w:szCs w:val="20"/>
        </w:rPr>
        <w:t>continues</w:t>
      </w:r>
      <w:r>
        <w:rPr>
          <w:rFonts w:ascii="Arial" w:hAnsi="Arial" w:cs="Arial"/>
          <w:sz w:val="20"/>
          <w:szCs w:val="20"/>
        </w:rPr>
        <w:t xml:space="preserve"> for 2 to</w:t>
      </w:r>
      <w:r w:rsidR="00B35245">
        <w:rPr>
          <w:rFonts w:ascii="Arial" w:hAnsi="Arial" w:cs="Arial"/>
          <w:sz w:val="20"/>
          <w:szCs w:val="20"/>
        </w:rPr>
        <w:t xml:space="preserve"> 3 </w:t>
      </w:r>
      <w:r w:rsidR="00531FD8">
        <w:rPr>
          <w:rFonts w:ascii="Arial" w:hAnsi="Arial" w:cs="Arial"/>
          <w:sz w:val="20"/>
          <w:szCs w:val="20"/>
        </w:rPr>
        <w:t>hours</w:t>
      </w:r>
      <w:r w:rsidR="003D1DC9">
        <w:rPr>
          <w:rFonts w:ascii="Arial" w:hAnsi="Arial" w:cs="Arial"/>
          <w:sz w:val="20"/>
          <w:szCs w:val="20"/>
        </w:rPr>
        <w:t>,</w:t>
      </w:r>
      <w:r w:rsidR="00B35245">
        <w:rPr>
          <w:rFonts w:ascii="Arial" w:hAnsi="Arial" w:cs="Arial"/>
          <w:sz w:val="20"/>
          <w:szCs w:val="20"/>
        </w:rPr>
        <w:t xml:space="preserve"> when sugar is being added in between as </w:t>
      </w:r>
      <w:r w:rsidR="003D1DC9">
        <w:rPr>
          <w:rFonts w:ascii="Arial" w:hAnsi="Arial" w:cs="Arial"/>
          <w:sz w:val="20"/>
          <w:szCs w:val="20"/>
        </w:rPr>
        <w:t xml:space="preserve">a </w:t>
      </w:r>
      <w:r w:rsidR="00A40833">
        <w:rPr>
          <w:rFonts w:ascii="Arial" w:hAnsi="Arial" w:cs="Arial"/>
          <w:sz w:val="20"/>
          <w:szCs w:val="20"/>
        </w:rPr>
        <w:t>sweetener</w:t>
      </w:r>
      <w:r w:rsidR="00B35245">
        <w:rPr>
          <w:rFonts w:ascii="Arial" w:hAnsi="Arial" w:cs="Arial"/>
          <w:sz w:val="20"/>
          <w:szCs w:val="20"/>
        </w:rPr>
        <w:t xml:space="preserve"> </w:t>
      </w:r>
      <w:r w:rsidR="003D1DC9">
        <w:rPr>
          <w:rFonts w:ascii="Arial" w:hAnsi="Arial" w:cs="Arial"/>
          <w:sz w:val="20"/>
          <w:szCs w:val="20"/>
        </w:rPr>
        <w:t>throughout</w:t>
      </w:r>
      <w:r w:rsidR="00B35245">
        <w:rPr>
          <w:rFonts w:ascii="Arial" w:hAnsi="Arial" w:cs="Arial"/>
          <w:sz w:val="20"/>
          <w:szCs w:val="20"/>
        </w:rPr>
        <w:t xml:space="preserve"> the process</w:t>
      </w:r>
      <w:r w:rsidR="003D1DC9">
        <w:rPr>
          <w:rFonts w:ascii="Arial" w:hAnsi="Arial" w:cs="Arial"/>
          <w:sz w:val="20"/>
          <w:szCs w:val="20"/>
        </w:rPr>
        <w:t>,</w:t>
      </w:r>
      <w:r w:rsidR="00B35245">
        <w:rPr>
          <w:rFonts w:ascii="Arial" w:hAnsi="Arial" w:cs="Arial"/>
          <w:sz w:val="20"/>
          <w:szCs w:val="20"/>
        </w:rPr>
        <w:t xml:space="preserve"> the temperature is </w:t>
      </w:r>
      <w:r w:rsidR="00A40833">
        <w:rPr>
          <w:rFonts w:ascii="Arial" w:hAnsi="Arial" w:cs="Arial"/>
          <w:sz w:val="20"/>
          <w:szCs w:val="20"/>
        </w:rPr>
        <w:t>maintained</w:t>
      </w:r>
      <w:r w:rsidR="00B35245">
        <w:rPr>
          <w:rFonts w:ascii="Arial" w:hAnsi="Arial" w:cs="Arial"/>
          <w:sz w:val="20"/>
          <w:szCs w:val="20"/>
        </w:rPr>
        <w:t xml:space="preserve"> at about 60</w:t>
      </w:r>
      <w:r w:rsidR="00B35245">
        <w:rPr>
          <w:rFonts w:ascii="Arial" w:hAnsi="Arial" w:cs="Arial"/>
          <w:sz w:val="20"/>
          <w:szCs w:val="20"/>
          <w:vertAlign w:val="superscript"/>
        </w:rPr>
        <w:t>0</w:t>
      </w:r>
      <w:r>
        <w:rPr>
          <w:rFonts w:ascii="Arial" w:hAnsi="Arial" w:cs="Arial"/>
          <w:sz w:val="20"/>
          <w:szCs w:val="20"/>
        </w:rPr>
        <w:t xml:space="preserve"> </w:t>
      </w:r>
      <w:r w:rsidR="00B35245">
        <w:rPr>
          <w:rFonts w:ascii="Arial" w:hAnsi="Arial" w:cs="Arial"/>
          <w:sz w:val="20"/>
          <w:szCs w:val="20"/>
        </w:rPr>
        <w:t>– 70</w:t>
      </w:r>
      <w:r w:rsidR="00B35245">
        <w:rPr>
          <w:rFonts w:ascii="Arial" w:hAnsi="Arial" w:cs="Arial"/>
          <w:sz w:val="20"/>
          <w:szCs w:val="20"/>
          <w:vertAlign w:val="superscript"/>
        </w:rPr>
        <w:t xml:space="preserve">0 </w:t>
      </w:r>
      <w:r w:rsidR="003D1DC9">
        <w:rPr>
          <w:rFonts w:ascii="Arial" w:hAnsi="Arial" w:cs="Arial"/>
          <w:sz w:val="20"/>
          <w:szCs w:val="20"/>
        </w:rPr>
        <w:t>°C,</w:t>
      </w:r>
      <w:r w:rsidR="00B35245">
        <w:rPr>
          <w:rFonts w:ascii="Arial" w:hAnsi="Arial" w:cs="Arial"/>
          <w:sz w:val="20"/>
          <w:szCs w:val="20"/>
        </w:rPr>
        <w:t xml:space="preserve"> and the processor </w:t>
      </w:r>
      <w:r w:rsidR="003D1DC9">
        <w:rPr>
          <w:rFonts w:ascii="Arial" w:hAnsi="Arial" w:cs="Arial"/>
          <w:sz w:val="20"/>
          <w:szCs w:val="20"/>
        </w:rPr>
        <w:t>uses</w:t>
      </w:r>
      <w:r w:rsidR="00B35245">
        <w:rPr>
          <w:rFonts w:ascii="Arial" w:hAnsi="Arial" w:cs="Arial"/>
          <w:sz w:val="20"/>
          <w:szCs w:val="20"/>
        </w:rPr>
        <w:t xml:space="preserve"> wood as </w:t>
      </w:r>
      <w:r w:rsidR="003D1DC9">
        <w:rPr>
          <w:rFonts w:ascii="Arial" w:hAnsi="Arial" w:cs="Arial"/>
          <w:sz w:val="20"/>
          <w:szCs w:val="20"/>
        </w:rPr>
        <w:t xml:space="preserve">a </w:t>
      </w:r>
      <w:r w:rsidR="00B35245">
        <w:rPr>
          <w:rFonts w:ascii="Arial" w:hAnsi="Arial" w:cs="Arial"/>
          <w:sz w:val="20"/>
          <w:szCs w:val="20"/>
        </w:rPr>
        <w:t xml:space="preserve">fuel source only. </w:t>
      </w:r>
    </w:p>
    <w:p w14:paraId="482FD656" w14:textId="38F9F479" w:rsidR="00F113E3" w:rsidRPr="007E37EC" w:rsidRDefault="00B35245" w:rsidP="00A40833">
      <w:pPr>
        <w:spacing w:line="360" w:lineRule="auto"/>
        <w:jc w:val="both"/>
        <w:rPr>
          <w:rFonts w:ascii="Arial" w:hAnsi="Arial" w:cs="Arial"/>
          <w:sz w:val="20"/>
          <w:szCs w:val="20"/>
        </w:rPr>
      </w:pPr>
      <w:r>
        <w:rPr>
          <w:rFonts w:ascii="Arial" w:hAnsi="Arial" w:cs="Arial"/>
          <w:sz w:val="20"/>
          <w:szCs w:val="20"/>
        </w:rPr>
        <w:t xml:space="preserve">In </w:t>
      </w:r>
      <w:r w:rsidR="003D1DC9">
        <w:rPr>
          <w:rFonts w:ascii="Arial" w:hAnsi="Arial" w:cs="Arial"/>
          <w:sz w:val="20"/>
          <w:szCs w:val="20"/>
        </w:rPr>
        <w:t xml:space="preserve">the </w:t>
      </w:r>
      <w:r>
        <w:rPr>
          <w:rFonts w:ascii="Arial" w:hAnsi="Arial" w:cs="Arial"/>
          <w:sz w:val="20"/>
          <w:szCs w:val="20"/>
        </w:rPr>
        <w:t>second part</w:t>
      </w:r>
      <w:r w:rsidR="003D1DC9">
        <w:rPr>
          <w:rFonts w:ascii="Arial" w:hAnsi="Arial" w:cs="Arial"/>
          <w:sz w:val="20"/>
          <w:szCs w:val="20"/>
        </w:rPr>
        <w:t>,</w:t>
      </w:r>
      <w:r>
        <w:rPr>
          <w:rFonts w:ascii="Arial" w:hAnsi="Arial" w:cs="Arial"/>
          <w:sz w:val="20"/>
          <w:szCs w:val="20"/>
        </w:rPr>
        <w:t xml:space="preserve"> the warm milk concentrate is poured in earthen pot container (each with 1kg of curd)</w:t>
      </w:r>
      <w:r w:rsidR="003D1DC9">
        <w:rPr>
          <w:rFonts w:ascii="Arial" w:hAnsi="Arial" w:cs="Arial"/>
          <w:sz w:val="20"/>
          <w:szCs w:val="20"/>
        </w:rPr>
        <w:t>,</w:t>
      </w:r>
      <w:r>
        <w:rPr>
          <w:rFonts w:ascii="Arial" w:hAnsi="Arial" w:cs="Arial"/>
          <w:sz w:val="20"/>
          <w:szCs w:val="20"/>
        </w:rPr>
        <w:t xml:space="preserve"> which are then placed in </w:t>
      </w:r>
      <w:r w:rsidR="003D1DC9">
        <w:rPr>
          <w:rFonts w:ascii="Arial" w:hAnsi="Arial" w:cs="Arial"/>
          <w:sz w:val="20"/>
          <w:szCs w:val="20"/>
        </w:rPr>
        <w:t xml:space="preserve">a </w:t>
      </w:r>
      <w:r>
        <w:rPr>
          <w:rFonts w:ascii="Arial" w:hAnsi="Arial" w:cs="Arial"/>
          <w:sz w:val="20"/>
          <w:szCs w:val="20"/>
        </w:rPr>
        <w:t xml:space="preserve">circular mode keeping burning charcoal in </w:t>
      </w:r>
      <w:r w:rsidR="00A40833">
        <w:rPr>
          <w:rFonts w:ascii="Arial" w:hAnsi="Arial" w:cs="Arial"/>
          <w:sz w:val="20"/>
          <w:szCs w:val="20"/>
        </w:rPr>
        <w:t>centre.</w:t>
      </w:r>
      <w:r>
        <w:rPr>
          <w:rFonts w:ascii="Arial" w:hAnsi="Arial" w:cs="Arial"/>
          <w:sz w:val="20"/>
          <w:szCs w:val="20"/>
        </w:rPr>
        <w:t xml:space="preserve"> Now the total arrangement is covered by bamboo made </w:t>
      </w:r>
      <w:r w:rsidR="00B226C5">
        <w:rPr>
          <w:rFonts w:ascii="Arial" w:hAnsi="Arial" w:cs="Arial"/>
          <w:sz w:val="20"/>
          <w:szCs w:val="20"/>
        </w:rPr>
        <w:t>thatched dome (</w:t>
      </w:r>
      <w:proofErr w:type="spellStart"/>
      <w:r w:rsidR="00B226C5">
        <w:rPr>
          <w:rFonts w:ascii="Arial" w:hAnsi="Arial" w:cs="Arial"/>
          <w:sz w:val="20"/>
          <w:szCs w:val="20"/>
        </w:rPr>
        <w:t>Tupri</w:t>
      </w:r>
      <w:proofErr w:type="spellEnd"/>
      <w:r w:rsidR="00B226C5">
        <w:rPr>
          <w:rFonts w:ascii="Arial" w:hAnsi="Arial" w:cs="Arial"/>
          <w:sz w:val="20"/>
          <w:szCs w:val="20"/>
        </w:rPr>
        <w:t xml:space="preserve"> in local language)</w:t>
      </w:r>
      <w:r w:rsidR="003D1DC9">
        <w:rPr>
          <w:rFonts w:ascii="Arial" w:hAnsi="Arial" w:cs="Arial"/>
          <w:sz w:val="20"/>
          <w:szCs w:val="20"/>
        </w:rPr>
        <w:t>,</w:t>
      </w:r>
      <w:r w:rsidR="00B226C5">
        <w:rPr>
          <w:rFonts w:ascii="Arial" w:hAnsi="Arial" w:cs="Arial"/>
          <w:sz w:val="20"/>
          <w:szCs w:val="20"/>
        </w:rPr>
        <w:t xml:space="preserve"> which </w:t>
      </w:r>
      <w:r w:rsidR="003D1DC9">
        <w:rPr>
          <w:rFonts w:ascii="Arial" w:hAnsi="Arial" w:cs="Arial"/>
          <w:sz w:val="20"/>
          <w:szCs w:val="20"/>
        </w:rPr>
        <w:t xml:space="preserve">is </w:t>
      </w:r>
      <w:r w:rsidR="00B226C5">
        <w:rPr>
          <w:rFonts w:ascii="Arial" w:hAnsi="Arial" w:cs="Arial"/>
          <w:sz w:val="20"/>
          <w:szCs w:val="20"/>
        </w:rPr>
        <w:t xml:space="preserve">again covered by wet </w:t>
      </w:r>
      <w:r w:rsidR="00B226C5">
        <w:rPr>
          <w:rFonts w:ascii="Arial" w:hAnsi="Arial" w:cs="Arial"/>
          <w:sz w:val="20"/>
          <w:szCs w:val="20"/>
        </w:rPr>
        <w:lastRenderedPageBreak/>
        <w:t>jute hessian to keep the micro environment humid and warm inside. The said operation takes 14 to 24 hours to complete.</w:t>
      </w:r>
    </w:p>
    <w:p w14:paraId="57F6B993" w14:textId="3C946EE4" w:rsidR="008601F7" w:rsidRPr="007E37EC" w:rsidRDefault="008601F7" w:rsidP="00A40833">
      <w:pPr>
        <w:spacing w:line="360" w:lineRule="auto"/>
        <w:jc w:val="both"/>
        <w:rPr>
          <w:rFonts w:ascii="Arial" w:hAnsi="Arial" w:cs="Arial"/>
          <w:b/>
          <w:bCs/>
        </w:rPr>
      </w:pPr>
      <w:r w:rsidRPr="007E37EC">
        <w:rPr>
          <w:rFonts w:ascii="Arial" w:hAnsi="Arial" w:cs="Arial"/>
          <w:b/>
          <w:bCs/>
        </w:rPr>
        <w:t>2.</w:t>
      </w:r>
      <w:r w:rsidR="00851816">
        <w:rPr>
          <w:rFonts w:ascii="Arial" w:hAnsi="Arial" w:cs="Arial"/>
          <w:b/>
          <w:bCs/>
        </w:rPr>
        <w:t>3</w:t>
      </w:r>
      <w:r w:rsidRPr="007E37EC">
        <w:rPr>
          <w:rFonts w:ascii="Arial" w:hAnsi="Arial" w:cs="Arial"/>
          <w:b/>
          <w:bCs/>
        </w:rPr>
        <w:t xml:space="preserve"> Data Collection</w:t>
      </w:r>
    </w:p>
    <w:p w14:paraId="2F3A2C33" w14:textId="2D30D2A1" w:rsidR="008601F7" w:rsidRPr="007E37EC" w:rsidRDefault="008601F7" w:rsidP="00A40833">
      <w:pPr>
        <w:spacing w:line="360" w:lineRule="auto"/>
        <w:jc w:val="both"/>
        <w:rPr>
          <w:rFonts w:ascii="Arial" w:hAnsi="Arial" w:cs="Arial"/>
          <w:sz w:val="20"/>
          <w:szCs w:val="20"/>
        </w:rPr>
      </w:pPr>
      <w:r w:rsidRPr="007E37EC">
        <w:rPr>
          <w:rFonts w:ascii="Arial" w:hAnsi="Arial" w:cs="Arial"/>
          <w:sz w:val="20"/>
          <w:szCs w:val="20"/>
        </w:rPr>
        <w:t xml:space="preserve">Primary data were gathered regarding daily milk handling volumes, costs of raw materials, </w:t>
      </w:r>
      <w:proofErr w:type="spellStart"/>
      <w:r w:rsidR="00531FD8">
        <w:rPr>
          <w:rFonts w:ascii="Arial" w:hAnsi="Arial" w:cs="Arial"/>
          <w:sz w:val="20"/>
          <w:szCs w:val="20"/>
        </w:rPr>
        <w:t>Labor</w:t>
      </w:r>
      <w:proofErr w:type="spellEnd"/>
      <w:r w:rsidRPr="007E37EC">
        <w:rPr>
          <w:rFonts w:ascii="Arial" w:hAnsi="Arial" w:cs="Arial"/>
          <w:sz w:val="20"/>
          <w:szCs w:val="20"/>
        </w:rPr>
        <w:t xml:space="preserve"> needs, equipment </w:t>
      </w:r>
      <w:r w:rsidR="00812341">
        <w:rPr>
          <w:rFonts w:ascii="Arial" w:hAnsi="Arial" w:cs="Arial"/>
          <w:sz w:val="20"/>
          <w:szCs w:val="20"/>
        </w:rPr>
        <w:t>utilisation</w:t>
      </w:r>
      <w:r w:rsidRPr="007E37EC">
        <w:rPr>
          <w:rFonts w:ascii="Arial" w:hAnsi="Arial" w:cs="Arial"/>
          <w:sz w:val="20"/>
          <w:szCs w:val="20"/>
        </w:rPr>
        <w:t xml:space="preserve">, and production output in accordance with established protocols in dairy economics research (Alli et al., 2020). The cost components encompassed milk procurement, sugar, fuel, containers, equipment depreciation, and </w:t>
      </w:r>
      <w:proofErr w:type="spellStart"/>
      <w:r w:rsidR="003D1DC9">
        <w:rPr>
          <w:rFonts w:ascii="Arial" w:hAnsi="Arial" w:cs="Arial"/>
          <w:sz w:val="20"/>
          <w:szCs w:val="20"/>
        </w:rPr>
        <w:t>Labor</w:t>
      </w:r>
      <w:proofErr w:type="spellEnd"/>
      <w:r w:rsidRPr="007E37EC">
        <w:rPr>
          <w:rFonts w:ascii="Arial" w:hAnsi="Arial" w:cs="Arial"/>
          <w:sz w:val="20"/>
          <w:szCs w:val="20"/>
        </w:rPr>
        <w:t xml:space="preserve"> (including both imputed family </w:t>
      </w:r>
      <w:proofErr w:type="spellStart"/>
      <w:r w:rsidR="00531FD8">
        <w:rPr>
          <w:rFonts w:ascii="Arial" w:hAnsi="Arial" w:cs="Arial"/>
          <w:sz w:val="20"/>
          <w:szCs w:val="20"/>
        </w:rPr>
        <w:t>Labor</w:t>
      </w:r>
      <w:proofErr w:type="spellEnd"/>
      <w:r w:rsidRPr="007E37EC">
        <w:rPr>
          <w:rFonts w:ascii="Arial" w:hAnsi="Arial" w:cs="Arial"/>
          <w:sz w:val="20"/>
          <w:szCs w:val="20"/>
        </w:rPr>
        <w:t xml:space="preserve"> and hired </w:t>
      </w:r>
      <w:proofErr w:type="spellStart"/>
      <w:r w:rsidR="00531FD8">
        <w:rPr>
          <w:rFonts w:ascii="Arial" w:hAnsi="Arial" w:cs="Arial"/>
          <w:sz w:val="20"/>
          <w:szCs w:val="20"/>
        </w:rPr>
        <w:t>Labor</w:t>
      </w:r>
      <w:proofErr w:type="spellEnd"/>
      <w:r w:rsidRPr="007E37EC">
        <w:rPr>
          <w:rFonts w:ascii="Arial" w:hAnsi="Arial" w:cs="Arial"/>
          <w:sz w:val="20"/>
          <w:szCs w:val="20"/>
        </w:rPr>
        <w:t>). Revenue information was collected based on daily disposal volumes and current market prices.</w:t>
      </w:r>
    </w:p>
    <w:p w14:paraId="0355C052" w14:textId="61200287" w:rsidR="00851816" w:rsidRPr="001F0154" w:rsidRDefault="00851816" w:rsidP="00A40833">
      <w:pPr>
        <w:spacing w:line="360" w:lineRule="auto"/>
        <w:jc w:val="both"/>
        <w:rPr>
          <w:rFonts w:ascii="Arial" w:hAnsi="Arial" w:cs="Arial"/>
          <w:b/>
          <w:bCs/>
          <w:sz w:val="20"/>
          <w:szCs w:val="20"/>
        </w:rPr>
      </w:pPr>
      <w:r w:rsidRPr="001F0154">
        <w:rPr>
          <w:rFonts w:ascii="Arial" w:hAnsi="Arial" w:cs="Arial"/>
          <w:b/>
          <w:bCs/>
          <w:sz w:val="20"/>
          <w:szCs w:val="20"/>
        </w:rPr>
        <w:t>2.4 Methods</w:t>
      </w:r>
    </w:p>
    <w:p w14:paraId="65BE6B4E" w14:textId="24FFC5D8" w:rsidR="008601F7" w:rsidRPr="007E37EC" w:rsidRDefault="008601F7" w:rsidP="00A40833">
      <w:pPr>
        <w:spacing w:line="360" w:lineRule="auto"/>
        <w:jc w:val="both"/>
        <w:rPr>
          <w:rFonts w:ascii="Arial" w:hAnsi="Arial" w:cs="Arial"/>
          <w:sz w:val="20"/>
          <w:szCs w:val="20"/>
        </w:rPr>
      </w:pPr>
      <w:r w:rsidRPr="007E37EC">
        <w:rPr>
          <w:rFonts w:ascii="Arial" w:hAnsi="Arial" w:cs="Arial"/>
          <w:sz w:val="20"/>
          <w:szCs w:val="20"/>
        </w:rPr>
        <w:t xml:space="preserve">Seasonality Index (SI) = (quarter average / annual average) × 100; </w:t>
      </w:r>
    </w:p>
    <w:p w14:paraId="552773D0" w14:textId="77777777" w:rsidR="008601F7" w:rsidRPr="007E37EC" w:rsidRDefault="008601F7" w:rsidP="00A40833">
      <w:pPr>
        <w:spacing w:line="360" w:lineRule="auto"/>
        <w:jc w:val="both"/>
        <w:rPr>
          <w:rFonts w:ascii="Arial" w:hAnsi="Arial" w:cs="Arial"/>
          <w:sz w:val="20"/>
          <w:szCs w:val="20"/>
        </w:rPr>
      </w:pPr>
      <w:r w:rsidRPr="007E37EC">
        <w:rPr>
          <w:rFonts w:ascii="Arial" w:hAnsi="Arial" w:cs="Arial"/>
          <w:sz w:val="20"/>
          <w:szCs w:val="20"/>
        </w:rPr>
        <w:t xml:space="preserve">Market concentration was evaluated through the use of Concentration Ratio (CR4), </w:t>
      </w:r>
    </w:p>
    <w:p w14:paraId="6592E2A7" w14:textId="4BAA584F" w:rsidR="008601F7" w:rsidRPr="007E37EC" w:rsidRDefault="00D55B78" w:rsidP="00A40833">
      <w:pPr>
        <w:spacing w:line="360" w:lineRule="auto"/>
        <w:jc w:val="both"/>
        <w:rPr>
          <w:rFonts w:ascii="Arial" w:hAnsi="Arial" w:cs="Arial"/>
          <w:sz w:val="20"/>
          <w:szCs w:val="20"/>
        </w:rPr>
      </w:pPr>
      <w:r>
        <w:rPr>
          <w:rFonts w:ascii="Arial" w:hAnsi="Arial" w:cs="Arial"/>
          <w:sz w:val="20"/>
          <w:szCs w:val="20"/>
        </w:rPr>
        <w:t>T</w:t>
      </w:r>
      <w:r w:rsidR="008601F7" w:rsidRPr="007E37EC">
        <w:rPr>
          <w:rFonts w:ascii="Arial" w:hAnsi="Arial" w:cs="Arial"/>
          <w:sz w:val="20"/>
          <w:szCs w:val="20"/>
        </w:rPr>
        <w:t>he Herfindahl-Hirschman Index (HHI)</w:t>
      </w:r>
      <w:r w:rsidR="00FA2247" w:rsidRPr="007E37EC">
        <w:rPr>
          <w:rFonts w:ascii="Arial" w:hAnsi="Arial" w:cs="Arial"/>
          <w:sz w:val="20"/>
          <w:szCs w:val="20"/>
        </w:rPr>
        <w:t xml:space="preserve"> =</w:t>
      </w:r>
      <m:oMath>
        <m:nary>
          <m:naryPr>
            <m:chr m:val="∑"/>
            <m:limLoc m:val="undOvr"/>
            <m:grow m:val="1"/>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i</m:t>
                        </m:r>
                      </m:sub>
                    </m:sSub>
                  </m:e>
                </m:d>
              </m:e>
              <m:sup>
                <m:r>
                  <w:rPr>
                    <w:rFonts w:ascii="Cambria Math" w:hAnsi="Cambria Math" w:cs="Arial"/>
                    <w:sz w:val="20"/>
                    <w:szCs w:val="20"/>
                  </w:rPr>
                  <m:t>2</m:t>
                </m:r>
              </m:sup>
            </m:sSup>
          </m:e>
        </m:nary>
      </m:oMath>
      <w:r w:rsidR="008601F7" w:rsidRPr="007E37EC">
        <w:rPr>
          <w:rFonts w:ascii="Arial" w:hAnsi="Arial" w:cs="Arial"/>
          <w:sz w:val="20"/>
          <w:szCs w:val="20"/>
        </w:rPr>
        <w:t>Where Si represents individual market shares</w:t>
      </w:r>
    </w:p>
    <w:p w14:paraId="4F0E16AE" w14:textId="610AA7A3" w:rsidR="008601F7" w:rsidRPr="007E37EC" w:rsidRDefault="008601F7" w:rsidP="00A40833">
      <w:pPr>
        <w:spacing w:line="360" w:lineRule="auto"/>
        <w:jc w:val="both"/>
        <w:rPr>
          <w:rFonts w:ascii="Arial" w:hAnsi="Arial" w:cs="Arial"/>
        </w:rPr>
      </w:pPr>
      <w:r w:rsidRPr="007E37EC">
        <w:rPr>
          <w:rFonts w:ascii="Arial" w:hAnsi="Arial" w:cs="Arial"/>
          <w:sz w:val="20"/>
          <w:szCs w:val="20"/>
        </w:rPr>
        <w:t>The Gini coefficient</w:t>
      </w:r>
      <w:r w:rsidR="001519F9" w:rsidRPr="007E37EC">
        <w:rPr>
          <w:rFonts w:ascii="Arial" w:hAnsi="Arial" w:cs="Arial"/>
          <w:sz w:val="20"/>
          <w:szCs w:val="20"/>
        </w:rPr>
        <w:t xml:space="preserve"> was used</w:t>
      </w:r>
      <w:r w:rsidRPr="007E37EC">
        <w:rPr>
          <w:rFonts w:ascii="Arial" w:hAnsi="Arial" w:cs="Arial"/>
          <w:sz w:val="20"/>
          <w:szCs w:val="20"/>
        </w:rPr>
        <w:t xml:space="preserve"> to gain insight into competitive dynamics </w:t>
      </w:r>
    </w:p>
    <w:p w14:paraId="56DD5F68" w14:textId="4F3C17F8" w:rsidR="00DF500E" w:rsidRPr="007E37EC" w:rsidRDefault="00DF500E" w:rsidP="00A40833">
      <w:pPr>
        <w:spacing w:line="360" w:lineRule="auto"/>
        <w:jc w:val="both"/>
        <w:rPr>
          <w:rFonts w:ascii="Arial" w:hAnsi="Arial" w:cs="Arial"/>
          <w:b/>
          <w:bCs/>
        </w:rPr>
      </w:pPr>
      <w:r w:rsidRPr="007E37EC">
        <w:rPr>
          <w:rFonts w:ascii="Arial" w:hAnsi="Arial" w:cs="Arial"/>
          <w:b/>
          <w:bCs/>
        </w:rPr>
        <w:t>3.</w:t>
      </w:r>
      <w:r w:rsidR="00812341">
        <w:rPr>
          <w:rFonts w:ascii="Arial" w:hAnsi="Arial" w:cs="Arial"/>
          <w:b/>
          <w:bCs/>
        </w:rPr>
        <w:t xml:space="preserve"> </w:t>
      </w:r>
      <w:r w:rsidRPr="007E37EC">
        <w:rPr>
          <w:rFonts w:ascii="Arial" w:hAnsi="Arial" w:cs="Arial"/>
          <w:b/>
          <w:bCs/>
        </w:rPr>
        <w:t>Result and Analysis</w:t>
      </w:r>
    </w:p>
    <w:p w14:paraId="05A1F1F3" w14:textId="27DC2745" w:rsidR="00DF500E" w:rsidRPr="007E37EC" w:rsidRDefault="00DF500E" w:rsidP="00A40833">
      <w:pPr>
        <w:spacing w:line="360" w:lineRule="auto"/>
        <w:jc w:val="both"/>
        <w:rPr>
          <w:rFonts w:ascii="Arial" w:hAnsi="Arial" w:cs="Arial"/>
          <w:b/>
          <w:bCs/>
        </w:rPr>
      </w:pPr>
      <w:r w:rsidRPr="007E37EC">
        <w:rPr>
          <w:rFonts w:ascii="Arial" w:hAnsi="Arial" w:cs="Arial"/>
          <w:b/>
          <w:bCs/>
        </w:rPr>
        <w:t xml:space="preserve">3.1 Sample Characteristics and </w:t>
      </w:r>
      <w:r w:rsidR="00812341">
        <w:rPr>
          <w:rFonts w:ascii="Arial" w:hAnsi="Arial" w:cs="Arial"/>
          <w:b/>
          <w:bCs/>
        </w:rPr>
        <w:t>Production Scale</w:t>
      </w:r>
    </w:p>
    <w:p w14:paraId="30CBB099" w14:textId="77777777" w:rsidR="00DF500E" w:rsidRPr="003800DB" w:rsidRDefault="00DF500E" w:rsidP="00A40833">
      <w:pPr>
        <w:spacing w:line="360" w:lineRule="auto"/>
        <w:jc w:val="both"/>
        <w:rPr>
          <w:rFonts w:ascii="Arial" w:hAnsi="Arial" w:cs="Arial"/>
          <w:b/>
          <w:bCs/>
          <w:color w:val="000000" w:themeColor="text1"/>
          <w:sz w:val="20"/>
          <w:szCs w:val="20"/>
        </w:rPr>
      </w:pPr>
      <w:r w:rsidRPr="003800DB">
        <w:rPr>
          <w:rFonts w:ascii="Arial" w:hAnsi="Arial" w:cs="Arial"/>
          <w:b/>
          <w:bCs/>
          <w:color w:val="000000" w:themeColor="text1"/>
          <w:sz w:val="20"/>
          <w:szCs w:val="20"/>
        </w:rPr>
        <w:t xml:space="preserve">Table 1: </w:t>
      </w:r>
      <w:r w:rsidRPr="003800DB">
        <w:rPr>
          <w:rFonts w:ascii="Arial" w:hAnsi="Arial" w:cs="Arial"/>
          <w:color w:val="000000" w:themeColor="text1"/>
          <w:sz w:val="20"/>
          <w:szCs w:val="20"/>
        </w:rPr>
        <w:t>About the processing units and their daily average business scale per firm per day</w:t>
      </w:r>
    </w:p>
    <w:tbl>
      <w:tblPr>
        <w:tblStyle w:val="TableGrid"/>
        <w:tblpPr w:leftFromText="180" w:rightFromText="180" w:vertAnchor="text" w:horzAnchor="margin" w:tblpY="272"/>
        <w:tblW w:w="10089" w:type="dxa"/>
        <w:tblLayout w:type="fixed"/>
        <w:tblLook w:val="01E0" w:firstRow="1" w:lastRow="1" w:firstColumn="1" w:lastColumn="1" w:noHBand="0" w:noVBand="0"/>
      </w:tblPr>
      <w:tblGrid>
        <w:gridCol w:w="1915"/>
        <w:gridCol w:w="1472"/>
        <w:gridCol w:w="1262"/>
        <w:gridCol w:w="1360"/>
        <w:gridCol w:w="1360"/>
        <w:gridCol w:w="1360"/>
        <w:gridCol w:w="1360"/>
      </w:tblGrid>
      <w:tr w:rsidR="00DF500E" w:rsidRPr="007E37EC" w14:paraId="018408E0" w14:textId="77777777" w:rsidTr="001E7672">
        <w:trPr>
          <w:trHeight w:val="899"/>
        </w:trPr>
        <w:tc>
          <w:tcPr>
            <w:tcW w:w="1915" w:type="dxa"/>
          </w:tcPr>
          <w:p w14:paraId="13DB1425" w14:textId="77777777" w:rsidR="00DF500E" w:rsidRPr="007E37EC" w:rsidRDefault="00DF500E" w:rsidP="00A40833">
            <w:pPr>
              <w:spacing w:after="160" w:line="360" w:lineRule="auto"/>
              <w:jc w:val="both"/>
              <w:rPr>
                <w:rFonts w:ascii="Arial" w:hAnsi="Arial" w:cs="Arial"/>
                <w:b/>
                <w:bCs/>
                <w:sz w:val="20"/>
                <w:szCs w:val="20"/>
                <w:lang w:val="en-US"/>
              </w:rPr>
            </w:pPr>
          </w:p>
          <w:p w14:paraId="56A09CFE" w14:textId="77777777" w:rsidR="00DF500E" w:rsidRPr="007E37EC" w:rsidRDefault="00DF500E" w:rsidP="00A40833">
            <w:pPr>
              <w:spacing w:after="160" w:line="360" w:lineRule="auto"/>
              <w:jc w:val="both"/>
              <w:rPr>
                <w:rFonts w:ascii="Arial" w:hAnsi="Arial" w:cs="Arial"/>
                <w:b/>
                <w:bCs/>
                <w:sz w:val="20"/>
                <w:szCs w:val="20"/>
                <w:lang w:val="en-US"/>
              </w:rPr>
            </w:pPr>
            <w:r w:rsidRPr="007E37EC">
              <w:rPr>
                <w:rFonts w:ascii="Arial" w:hAnsi="Arial" w:cs="Arial"/>
                <w:b/>
                <w:bCs/>
                <w:sz w:val="20"/>
                <w:szCs w:val="20"/>
                <w:lang w:val="en-US"/>
              </w:rPr>
              <w:t>Study Area</w:t>
            </w:r>
          </w:p>
        </w:tc>
        <w:tc>
          <w:tcPr>
            <w:tcW w:w="1472" w:type="dxa"/>
          </w:tcPr>
          <w:p w14:paraId="6AB39609" w14:textId="77777777" w:rsidR="00DF500E" w:rsidRPr="007E37EC" w:rsidRDefault="00DF500E" w:rsidP="00A40833">
            <w:pPr>
              <w:spacing w:after="160" w:line="360" w:lineRule="auto"/>
              <w:jc w:val="both"/>
              <w:rPr>
                <w:rFonts w:ascii="Arial" w:hAnsi="Arial" w:cs="Arial"/>
                <w:b/>
                <w:bCs/>
                <w:sz w:val="20"/>
                <w:szCs w:val="20"/>
                <w:lang w:val="en-US"/>
              </w:rPr>
            </w:pPr>
            <w:r w:rsidRPr="007E37EC">
              <w:rPr>
                <w:rFonts w:ascii="Arial" w:hAnsi="Arial" w:cs="Arial"/>
                <w:b/>
                <w:bCs/>
                <w:sz w:val="20"/>
                <w:szCs w:val="20"/>
                <w:lang w:val="en-US"/>
              </w:rPr>
              <w:t xml:space="preserve">Total number of firms </w:t>
            </w:r>
          </w:p>
        </w:tc>
        <w:tc>
          <w:tcPr>
            <w:tcW w:w="1262" w:type="dxa"/>
          </w:tcPr>
          <w:p w14:paraId="068FC857" w14:textId="0AB91D4E" w:rsidR="00DF500E" w:rsidRPr="007E37EC" w:rsidRDefault="00DF500E" w:rsidP="00A40833">
            <w:pPr>
              <w:spacing w:after="160" w:line="360" w:lineRule="auto"/>
              <w:jc w:val="both"/>
              <w:rPr>
                <w:rFonts w:ascii="Arial" w:hAnsi="Arial" w:cs="Arial"/>
                <w:b/>
                <w:bCs/>
                <w:sz w:val="20"/>
                <w:szCs w:val="20"/>
                <w:lang w:val="en-US"/>
              </w:rPr>
            </w:pPr>
            <w:r w:rsidRPr="007E37EC">
              <w:rPr>
                <w:rFonts w:ascii="Arial" w:hAnsi="Arial" w:cs="Arial"/>
                <w:b/>
                <w:bCs/>
                <w:sz w:val="20"/>
                <w:szCs w:val="20"/>
                <w:lang w:val="en-US"/>
              </w:rPr>
              <w:t>Use of fluid Milk (</w:t>
            </w:r>
            <w:proofErr w:type="spellStart"/>
            <w:r w:rsidRPr="007E37EC">
              <w:rPr>
                <w:rFonts w:ascii="Arial" w:hAnsi="Arial" w:cs="Arial"/>
                <w:b/>
                <w:bCs/>
                <w:sz w:val="20"/>
                <w:szCs w:val="20"/>
                <w:lang w:val="en-US"/>
              </w:rPr>
              <w:t>Lit</w:t>
            </w:r>
            <w:r w:rsidR="00AB2885" w:rsidRPr="007E37EC">
              <w:rPr>
                <w:rFonts w:ascii="Arial" w:hAnsi="Arial" w:cs="Arial"/>
                <w:b/>
                <w:bCs/>
                <w:sz w:val="20"/>
                <w:szCs w:val="20"/>
                <w:lang w:val="en-US"/>
              </w:rPr>
              <w:t>r</w:t>
            </w:r>
            <w:r w:rsidR="00801426">
              <w:rPr>
                <w:rFonts w:ascii="Arial" w:hAnsi="Arial" w:cs="Arial"/>
                <w:b/>
                <w:bCs/>
                <w:sz w:val="20"/>
                <w:szCs w:val="20"/>
                <w:lang w:val="en-US"/>
              </w:rPr>
              <w:t>es</w:t>
            </w:r>
            <w:proofErr w:type="spellEnd"/>
            <w:r w:rsidRPr="007E37EC">
              <w:rPr>
                <w:rFonts w:ascii="Arial" w:hAnsi="Arial" w:cs="Arial"/>
                <w:b/>
                <w:bCs/>
                <w:sz w:val="20"/>
                <w:szCs w:val="20"/>
                <w:lang w:val="en-US"/>
              </w:rPr>
              <w:t>)</w:t>
            </w:r>
          </w:p>
        </w:tc>
        <w:tc>
          <w:tcPr>
            <w:tcW w:w="1360" w:type="dxa"/>
          </w:tcPr>
          <w:p w14:paraId="550568C0" w14:textId="057781C7" w:rsidR="00DF500E" w:rsidRPr="007E37EC" w:rsidRDefault="00DF500E" w:rsidP="00A40833">
            <w:pPr>
              <w:pStyle w:val="TableParagraph"/>
              <w:spacing w:before="1" w:line="360" w:lineRule="auto"/>
              <w:ind w:right="248"/>
              <w:jc w:val="both"/>
              <w:rPr>
                <w:rFonts w:ascii="Arial" w:hAnsi="Arial" w:cs="Arial"/>
                <w:b/>
                <w:bCs/>
                <w:color w:val="000000" w:themeColor="text1"/>
                <w:spacing w:val="-2"/>
                <w:sz w:val="20"/>
                <w:szCs w:val="20"/>
              </w:rPr>
            </w:pPr>
            <w:r w:rsidRPr="007E37EC">
              <w:rPr>
                <w:rFonts w:ascii="Arial" w:hAnsi="Arial" w:cs="Arial"/>
                <w:b/>
                <w:bCs/>
                <w:color w:val="000000" w:themeColor="text1"/>
                <w:sz w:val="20"/>
                <w:szCs w:val="20"/>
              </w:rPr>
              <w:t>Sugar</w:t>
            </w:r>
            <w:r w:rsidRPr="007E37EC">
              <w:rPr>
                <w:rFonts w:ascii="Arial" w:hAnsi="Arial" w:cs="Arial"/>
                <w:b/>
                <w:bCs/>
                <w:color w:val="000000" w:themeColor="text1"/>
                <w:spacing w:val="-12"/>
                <w:sz w:val="20"/>
                <w:szCs w:val="20"/>
              </w:rPr>
              <w:t xml:space="preserve"> </w:t>
            </w:r>
            <w:r w:rsidRPr="007E37EC">
              <w:rPr>
                <w:rFonts w:ascii="Arial" w:hAnsi="Arial" w:cs="Arial"/>
                <w:b/>
                <w:bCs/>
                <w:color w:val="000000" w:themeColor="text1"/>
                <w:sz w:val="20"/>
                <w:szCs w:val="20"/>
              </w:rPr>
              <w:t xml:space="preserve">Qty </w:t>
            </w:r>
            <w:r w:rsidRPr="007E37EC">
              <w:rPr>
                <w:rFonts w:ascii="Arial" w:hAnsi="Arial" w:cs="Arial"/>
                <w:b/>
                <w:bCs/>
                <w:color w:val="000000" w:themeColor="text1"/>
                <w:spacing w:val="-2"/>
                <w:sz w:val="20"/>
                <w:szCs w:val="20"/>
              </w:rPr>
              <w:t>(k</w:t>
            </w:r>
            <w:r w:rsidR="00A9162F" w:rsidRPr="007E37EC">
              <w:rPr>
                <w:rFonts w:ascii="Arial" w:hAnsi="Arial" w:cs="Arial"/>
                <w:b/>
                <w:bCs/>
                <w:color w:val="000000" w:themeColor="text1"/>
                <w:spacing w:val="-2"/>
                <w:sz w:val="20"/>
                <w:szCs w:val="20"/>
              </w:rPr>
              <w:t>g</w:t>
            </w:r>
            <w:r w:rsidRPr="007E37EC">
              <w:rPr>
                <w:rFonts w:ascii="Arial" w:hAnsi="Arial" w:cs="Arial"/>
                <w:b/>
                <w:bCs/>
                <w:color w:val="000000" w:themeColor="text1"/>
                <w:spacing w:val="-2"/>
                <w:sz w:val="20"/>
                <w:szCs w:val="20"/>
              </w:rPr>
              <w:t>)</w:t>
            </w:r>
          </w:p>
          <w:p w14:paraId="4B9081F7" w14:textId="77777777" w:rsidR="00DF500E" w:rsidRPr="007E37EC" w:rsidRDefault="00DF500E" w:rsidP="00A40833">
            <w:pPr>
              <w:spacing w:line="360" w:lineRule="auto"/>
              <w:jc w:val="both"/>
              <w:rPr>
                <w:rFonts w:ascii="Arial" w:hAnsi="Arial" w:cs="Arial"/>
                <w:b/>
                <w:bCs/>
                <w:sz w:val="20"/>
                <w:szCs w:val="20"/>
                <w:lang w:val="en-US"/>
              </w:rPr>
            </w:pPr>
          </w:p>
        </w:tc>
        <w:tc>
          <w:tcPr>
            <w:tcW w:w="1360" w:type="dxa"/>
          </w:tcPr>
          <w:p w14:paraId="01D6B002" w14:textId="1AB8CB58" w:rsidR="00DF500E" w:rsidRPr="007E37EC" w:rsidRDefault="00DF500E" w:rsidP="00A40833">
            <w:pPr>
              <w:spacing w:line="360" w:lineRule="auto"/>
              <w:jc w:val="both"/>
              <w:rPr>
                <w:rFonts w:ascii="Arial" w:hAnsi="Arial" w:cs="Arial"/>
                <w:b/>
                <w:bCs/>
                <w:sz w:val="20"/>
                <w:szCs w:val="20"/>
                <w:lang w:val="en-US"/>
              </w:rPr>
            </w:pPr>
            <w:r w:rsidRPr="007E37EC">
              <w:rPr>
                <w:rFonts w:ascii="Arial" w:hAnsi="Arial" w:cs="Arial"/>
                <w:b/>
                <w:bCs/>
                <w:sz w:val="20"/>
                <w:szCs w:val="20"/>
                <w:lang w:val="en-US"/>
              </w:rPr>
              <w:t>Production of curd (K</w:t>
            </w:r>
            <w:r w:rsidR="00A9162F" w:rsidRPr="007E37EC">
              <w:rPr>
                <w:rFonts w:ascii="Arial" w:hAnsi="Arial" w:cs="Arial"/>
                <w:b/>
                <w:bCs/>
                <w:sz w:val="20"/>
                <w:szCs w:val="20"/>
                <w:lang w:val="en-US"/>
              </w:rPr>
              <w:t>g</w:t>
            </w:r>
            <w:r w:rsidRPr="007E37EC">
              <w:rPr>
                <w:rFonts w:ascii="Arial" w:hAnsi="Arial" w:cs="Arial"/>
                <w:b/>
                <w:bCs/>
                <w:sz w:val="20"/>
                <w:szCs w:val="20"/>
                <w:lang w:val="en-US"/>
              </w:rPr>
              <w:t>)</w:t>
            </w:r>
          </w:p>
        </w:tc>
        <w:tc>
          <w:tcPr>
            <w:tcW w:w="1360" w:type="dxa"/>
          </w:tcPr>
          <w:p w14:paraId="242AF6F3" w14:textId="77777777" w:rsidR="00DF500E" w:rsidRPr="007E37EC" w:rsidRDefault="00DF500E" w:rsidP="00A40833">
            <w:pPr>
              <w:spacing w:line="360" w:lineRule="auto"/>
              <w:jc w:val="both"/>
              <w:rPr>
                <w:rFonts w:ascii="Arial" w:hAnsi="Arial" w:cs="Arial"/>
                <w:b/>
                <w:bCs/>
                <w:sz w:val="20"/>
                <w:szCs w:val="20"/>
                <w:lang w:val="en-US"/>
              </w:rPr>
            </w:pPr>
            <w:r w:rsidRPr="007E37EC">
              <w:rPr>
                <w:rFonts w:ascii="Arial" w:hAnsi="Arial" w:cs="Arial"/>
                <w:b/>
                <w:bCs/>
                <w:sz w:val="20"/>
                <w:szCs w:val="20"/>
                <w:lang w:val="en-US"/>
              </w:rPr>
              <w:t>Milk Price</w:t>
            </w:r>
          </w:p>
          <w:p w14:paraId="1F5080EE" w14:textId="77777777" w:rsidR="00DF500E" w:rsidRPr="007E37EC" w:rsidRDefault="00DF500E" w:rsidP="00A40833">
            <w:pPr>
              <w:spacing w:line="360" w:lineRule="auto"/>
              <w:jc w:val="both"/>
              <w:rPr>
                <w:rFonts w:ascii="Arial" w:hAnsi="Arial" w:cs="Arial"/>
                <w:b/>
                <w:bCs/>
                <w:sz w:val="20"/>
                <w:szCs w:val="20"/>
                <w:lang w:val="en-US"/>
              </w:rPr>
            </w:pPr>
            <w:r w:rsidRPr="007E37EC">
              <w:rPr>
                <w:rFonts w:ascii="Arial" w:hAnsi="Arial" w:cs="Arial"/>
                <w:b/>
                <w:bCs/>
                <w:sz w:val="20"/>
                <w:szCs w:val="20"/>
                <w:lang w:val="en-US"/>
              </w:rPr>
              <w:t>(Rs/</w:t>
            </w:r>
            <w:proofErr w:type="spellStart"/>
            <w:r w:rsidRPr="007E37EC">
              <w:rPr>
                <w:rFonts w:ascii="Arial" w:hAnsi="Arial" w:cs="Arial"/>
                <w:b/>
                <w:bCs/>
                <w:sz w:val="20"/>
                <w:szCs w:val="20"/>
                <w:lang w:val="en-US"/>
              </w:rPr>
              <w:t>litre</w:t>
            </w:r>
            <w:proofErr w:type="spellEnd"/>
            <w:r w:rsidRPr="007E37EC">
              <w:rPr>
                <w:rFonts w:ascii="Arial" w:hAnsi="Arial" w:cs="Arial"/>
                <w:b/>
                <w:bCs/>
                <w:sz w:val="20"/>
                <w:szCs w:val="20"/>
                <w:lang w:val="en-US"/>
              </w:rPr>
              <w:t>)</w:t>
            </w:r>
          </w:p>
        </w:tc>
        <w:tc>
          <w:tcPr>
            <w:tcW w:w="1360" w:type="dxa"/>
          </w:tcPr>
          <w:p w14:paraId="6E6EDADD" w14:textId="77777777" w:rsidR="00DF500E" w:rsidRPr="007E37EC" w:rsidRDefault="00DF500E" w:rsidP="00A40833">
            <w:pPr>
              <w:spacing w:line="360" w:lineRule="auto"/>
              <w:jc w:val="both"/>
              <w:rPr>
                <w:rFonts w:ascii="Arial" w:hAnsi="Arial" w:cs="Arial"/>
                <w:b/>
                <w:bCs/>
                <w:sz w:val="20"/>
                <w:szCs w:val="20"/>
                <w:lang w:val="en-US"/>
              </w:rPr>
            </w:pPr>
            <w:r w:rsidRPr="007E37EC">
              <w:rPr>
                <w:rFonts w:ascii="Arial" w:hAnsi="Arial" w:cs="Arial"/>
                <w:b/>
                <w:bCs/>
                <w:sz w:val="20"/>
                <w:szCs w:val="20"/>
                <w:lang w:val="en-US"/>
              </w:rPr>
              <w:t>Curd price</w:t>
            </w:r>
          </w:p>
          <w:p w14:paraId="2DCF372A" w14:textId="41772FFF" w:rsidR="00DF500E" w:rsidRPr="007E37EC" w:rsidRDefault="00DF500E" w:rsidP="00A40833">
            <w:pPr>
              <w:spacing w:line="360" w:lineRule="auto"/>
              <w:jc w:val="both"/>
              <w:rPr>
                <w:rFonts w:ascii="Arial" w:hAnsi="Arial" w:cs="Arial"/>
                <w:b/>
                <w:bCs/>
                <w:sz w:val="20"/>
                <w:szCs w:val="20"/>
                <w:lang w:val="en-US"/>
              </w:rPr>
            </w:pPr>
            <w:r w:rsidRPr="007E37EC">
              <w:rPr>
                <w:rFonts w:ascii="Arial" w:hAnsi="Arial" w:cs="Arial"/>
                <w:b/>
                <w:bCs/>
                <w:sz w:val="20"/>
                <w:szCs w:val="20"/>
                <w:lang w:val="en-US"/>
              </w:rPr>
              <w:t>(Rs/k</w:t>
            </w:r>
            <w:r w:rsidR="00A9162F" w:rsidRPr="007E37EC">
              <w:rPr>
                <w:rFonts w:ascii="Arial" w:hAnsi="Arial" w:cs="Arial"/>
                <w:b/>
                <w:bCs/>
                <w:sz w:val="20"/>
                <w:szCs w:val="20"/>
                <w:lang w:val="en-US"/>
              </w:rPr>
              <w:t>g</w:t>
            </w:r>
            <w:r w:rsidRPr="007E37EC">
              <w:rPr>
                <w:rFonts w:ascii="Arial" w:hAnsi="Arial" w:cs="Arial"/>
                <w:b/>
                <w:bCs/>
                <w:sz w:val="20"/>
                <w:szCs w:val="20"/>
                <w:lang w:val="en-US"/>
              </w:rPr>
              <w:t>)</w:t>
            </w:r>
          </w:p>
        </w:tc>
      </w:tr>
      <w:tr w:rsidR="00DF500E" w:rsidRPr="007E37EC" w14:paraId="58299AE0" w14:textId="77777777" w:rsidTr="001E7672">
        <w:trPr>
          <w:trHeight w:val="360"/>
        </w:trPr>
        <w:tc>
          <w:tcPr>
            <w:tcW w:w="1915" w:type="dxa"/>
          </w:tcPr>
          <w:p w14:paraId="415518D8" w14:textId="6A1FB840" w:rsidR="00DF500E" w:rsidRPr="007E37EC" w:rsidRDefault="00DF500E" w:rsidP="00A40833">
            <w:pPr>
              <w:spacing w:after="160" w:line="360" w:lineRule="auto"/>
              <w:jc w:val="both"/>
              <w:rPr>
                <w:rFonts w:ascii="Arial" w:hAnsi="Arial" w:cs="Arial"/>
                <w:b/>
                <w:bCs/>
                <w:sz w:val="20"/>
                <w:szCs w:val="20"/>
                <w:lang w:val="en-US"/>
              </w:rPr>
            </w:pPr>
            <w:proofErr w:type="spellStart"/>
            <w:r w:rsidRPr="007E37EC">
              <w:rPr>
                <w:rFonts w:ascii="Arial" w:hAnsi="Arial" w:cs="Arial"/>
                <w:b/>
                <w:bCs/>
                <w:sz w:val="20"/>
                <w:szCs w:val="20"/>
                <w:lang w:val="en-US"/>
              </w:rPr>
              <w:t>Coochbehar</w:t>
            </w:r>
            <w:proofErr w:type="spellEnd"/>
            <w:r w:rsidR="00DB517F">
              <w:rPr>
                <w:rFonts w:ascii="Arial" w:hAnsi="Arial" w:cs="Arial"/>
                <w:b/>
                <w:bCs/>
                <w:sz w:val="20"/>
                <w:szCs w:val="20"/>
                <w:lang w:val="en-US"/>
              </w:rPr>
              <w:t>-</w:t>
            </w:r>
            <w:r w:rsidRPr="007E37EC">
              <w:rPr>
                <w:rFonts w:ascii="Arial" w:hAnsi="Arial" w:cs="Arial"/>
                <w:b/>
                <w:bCs/>
                <w:sz w:val="20"/>
                <w:szCs w:val="20"/>
                <w:lang w:val="en-US"/>
              </w:rPr>
              <w:t>II</w:t>
            </w:r>
          </w:p>
        </w:tc>
        <w:tc>
          <w:tcPr>
            <w:tcW w:w="1472" w:type="dxa"/>
          </w:tcPr>
          <w:p w14:paraId="78A6FB65" w14:textId="77777777" w:rsidR="00DF500E" w:rsidRPr="007E37EC" w:rsidRDefault="00DF500E" w:rsidP="00A40833">
            <w:pPr>
              <w:spacing w:after="160" w:line="360" w:lineRule="auto"/>
              <w:jc w:val="both"/>
              <w:rPr>
                <w:rFonts w:ascii="Arial" w:hAnsi="Arial" w:cs="Arial"/>
                <w:sz w:val="20"/>
                <w:szCs w:val="20"/>
                <w:lang w:val="en-US"/>
              </w:rPr>
            </w:pPr>
            <w:r w:rsidRPr="007E37EC">
              <w:rPr>
                <w:rFonts w:ascii="Arial" w:hAnsi="Arial" w:cs="Arial"/>
                <w:sz w:val="20"/>
                <w:szCs w:val="20"/>
                <w:lang w:val="en-US"/>
              </w:rPr>
              <w:t>11</w:t>
            </w:r>
          </w:p>
        </w:tc>
        <w:tc>
          <w:tcPr>
            <w:tcW w:w="1262" w:type="dxa"/>
          </w:tcPr>
          <w:p w14:paraId="390750B2" w14:textId="77777777" w:rsidR="00DF500E" w:rsidRPr="007E37EC" w:rsidRDefault="00DF500E" w:rsidP="00A40833">
            <w:pPr>
              <w:spacing w:after="160" w:line="360" w:lineRule="auto"/>
              <w:jc w:val="both"/>
              <w:rPr>
                <w:rFonts w:ascii="Arial" w:hAnsi="Arial" w:cs="Arial"/>
                <w:sz w:val="20"/>
                <w:szCs w:val="20"/>
                <w:lang w:val="en-US"/>
              </w:rPr>
            </w:pPr>
            <w:r w:rsidRPr="007E37EC">
              <w:rPr>
                <w:rFonts w:ascii="Arial" w:hAnsi="Arial" w:cs="Arial"/>
                <w:sz w:val="20"/>
                <w:szCs w:val="20"/>
                <w:lang w:val="en-US"/>
              </w:rPr>
              <w:t>168.47</w:t>
            </w:r>
          </w:p>
        </w:tc>
        <w:tc>
          <w:tcPr>
            <w:tcW w:w="1360" w:type="dxa"/>
          </w:tcPr>
          <w:p w14:paraId="68AF9201" w14:textId="77777777" w:rsidR="00DF500E" w:rsidRPr="007E37EC" w:rsidRDefault="00DF500E" w:rsidP="00A40833">
            <w:pPr>
              <w:spacing w:line="360" w:lineRule="auto"/>
              <w:jc w:val="both"/>
              <w:rPr>
                <w:rFonts w:ascii="Arial" w:hAnsi="Arial" w:cs="Arial"/>
                <w:sz w:val="20"/>
                <w:szCs w:val="20"/>
                <w:lang w:val="en-US"/>
              </w:rPr>
            </w:pPr>
            <w:r w:rsidRPr="007E37EC">
              <w:rPr>
                <w:rFonts w:ascii="Arial" w:hAnsi="Arial" w:cs="Arial"/>
                <w:color w:val="000000" w:themeColor="text1"/>
                <w:spacing w:val="-2"/>
                <w:sz w:val="20"/>
                <w:szCs w:val="20"/>
              </w:rPr>
              <w:t>40.74</w:t>
            </w:r>
          </w:p>
        </w:tc>
        <w:tc>
          <w:tcPr>
            <w:tcW w:w="1360" w:type="dxa"/>
          </w:tcPr>
          <w:p w14:paraId="32812C4C" w14:textId="77777777" w:rsidR="00DF500E" w:rsidRPr="007E37EC" w:rsidRDefault="00DF500E" w:rsidP="00A40833">
            <w:pPr>
              <w:spacing w:line="360" w:lineRule="auto"/>
              <w:jc w:val="both"/>
              <w:rPr>
                <w:rFonts w:ascii="Arial" w:hAnsi="Arial" w:cs="Arial"/>
                <w:sz w:val="20"/>
                <w:szCs w:val="20"/>
                <w:lang w:val="en-US"/>
              </w:rPr>
            </w:pPr>
            <w:r w:rsidRPr="007E37EC">
              <w:rPr>
                <w:rFonts w:ascii="Arial" w:hAnsi="Arial" w:cs="Arial"/>
                <w:sz w:val="20"/>
                <w:szCs w:val="20"/>
                <w:lang w:val="en-US"/>
              </w:rPr>
              <w:t>140.39</w:t>
            </w:r>
          </w:p>
        </w:tc>
        <w:tc>
          <w:tcPr>
            <w:tcW w:w="1360" w:type="dxa"/>
          </w:tcPr>
          <w:p w14:paraId="208D23B9" w14:textId="77777777" w:rsidR="00DF500E" w:rsidRPr="007E37EC" w:rsidRDefault="00DF500E" w:rsidP="00A40833">
            <w:pPr>
              <w:spacing w:line="360" w:lineRule="auto"/>
              <w:jc w:val="both"/>
              <w:rPr>
                <w:rFonts w:ascii="Arial" w:hAnsi="Arial" w:cs="Arial"/>
                <w:sz w:val="20"/>
                <w:szCs w:val="20"/>
                <w:lang w:val="en-US"/>
              </w:rPr>
            </w:pPr>
            <w:r w:rsidRPr="007E37EC">
              <w:rPr>
                <w:rFonts w:ascii="Arial" w:hAnsi="Arial" w:cs="Arial"/>
                <w:sz w:val="20"/>
                <w:szCs w:val="20"/>
                <w:lang w:val="en-US"/>
              </w:rPr>
              <w:t>36.61</w:t>
            </w:r>
          </w:p>
        </w:tc>
        <w:tc>
          <w:tcPr>
            <w:tcW w:w="1360" w:type="dxa"/>
          </w:tcPr>
          <w:p w14:paraId="61A027F4" w14:textId="77777777" w:rsidR="00DF500E" w:rsidRPr="007E37EC" w:rsidRDefault="00DF500E" w:rsidP="00A40833">
            <w:pPr>
              <w:spacing w:line="360" w:lineRule="auto"/>
              <w:jc w:val="both"/>
              <w:rPr>
                <w:rFonts w:ascii="Arial" w:hAnsi="Arial" w:cs="Arial"/>
                <w:sz w:val="20"/>
                <w:szCs w:val="20"/>
                <w:lang w:val="en-US"/>
              </w:rPr>
            </w:pPr>
            <w:r w:rsidRPr="007E37EC">
              <w:rPr>
                <w:rFonts w:ascii="Arial" w:hAnsi="Arial" w:cs="Arial"/>
                <w:sz w:val="20"/>
                <w:szCs w:val="20"/>
                <w:lang w:val="en-US"/>
              </w:rPr>
              <w:t>123.52</w:t>
            </w:r>
          </w:p>
        </w:tc>
      </w:tr>
      <w:tr w:rsidR="00DF500E" w:rsidRPr="007E37EC" w14:paraId="3081806D" w14:textId="77777777" w:rsidTr="001E7672">
        <w:trPr>
          <w:trHeight w:val="360"/>
        </w:trPr>
        <w:tc>
          <w:tcPr>
            <w:tcW w:w="1915" w:type="dxa"/>
          </w:tcPr>
          <w:p w14:paraId="4F27580B" w14:textId="4D9A1F12" w:rsidR="00DF500E" w:rsidRPr="007E37EC" w:rsidRDefault="00DF500E" w:rsidP="00A40833">
            <w:pPr>
              <w:spacing w:after="160" w:line="360" w:lineRule="auto"/>
              <w:jc w:val="both"/>
              <w:rPr>
                <w:rFonts w:ascii="Arial" w:hAnsi="Arial" w:cs="Arial"/>
                <w:b/>
                <w:bCs/>
                <w:sz w:val="20"/>
                <w:szCs w:val="20"/>
                <w:lang w:val="en-US"/>
              </w:rPr>
            </w:pPr>
            <w:proofErr w:type="spellStart"/>
            <w:r w:rsidRPr="007E37EC">
              <w:rPr>
                <w:rFonts w:ascii="Arial" w:hAnsi="Arial" w:cs="Arial"/>
                <w:b/>
                <w:bCs/>
                <w:sz w:val="20"/>
                <w:szCs w:val="20"/>
                <w:lang w:val="en-US"/>
              </w:rPr>
              <w:t>Tufanganj</w:t>
            </w:r>
            <w:proofErr w:type="spellEnd"/>
            <w:r w:rsidR="00DB517F">
              <w:rPr>
                <w:rFonts w:ascii="Arial" w:hAnsi="Arial" w:cs="Arial"/>
                <w:b/>
                <w:bCs/>
                <w:sz w:val="20"/>
                <w:szCs w:val="20"/>
                <w:lang w:val="en-US"/>
              </w:rPr>
              <w:t>-</w:t>
            </w:r>
            <w:r w:rsidRPr="007E37EC">
              <w:rPr>
                <w:rFonts w:ascii="Arial" w:hAnsi="Arial" w:cs="Arial"/>
                <w:b/>
                <w:bCs/>
                <w:sz w:val="20"/>
                <w:szCs w:val="20"/>
                <w:lang w:val="en-US"/>
              </w:rPr>
              <w:t>I</w:t>
            </w:r>
          </w:p>
        </w:tc>
        <w:tc>
          <w:tcPr>
            <w:tcW w:w="1472" w:type="dxa"/>
          </w:tcPr>
          <w:p w14:paraId="33698194" w14:textId="77777777" w:rsidR="00DF500E" w:rsidRPr="007E37EC" w:rsidRDefault="00DF500E" w:rsidP="00A40833">
            <w:pPr>
              <w:spacing w:after="160" w:line="360" w:lineRule="auto"/>
              <w:jc w:val="both"/>
              <w:rPr>
                <w:rFonts w:ascii="Arial" w:hAnsi="Arial" w:cs="Arial"/>
                <w:sz w:val="20"/>
                <w:szCs w:val="20"/>
                <w:lang w:val="en-US"/>
              </w:rPr>
            </w:pPr>
            <w:r w:rsidRPr="007E37EC">
              <w:rPr>
                <w:rFonts w:ascii="Arial" w:hAnsi="Arial" w:cs="Arial"/>
                <w:sz w:val="20"/>
                <w:szCs w:val="20"/>
                <w:lang w:val="en-US"/>
              </w:rPr>
              <w:t>10</w:t>
            </w:r>
          </w:p>
        </w:tc>
        <w:tc>
          <w:tcPr>
            <w:tcW w:w="1262" w:type="dxa"/>
          </w:tcPr>
          <w:p w14:paraId="719CCD99" w14:textId="77777777" w:rsidR="00DF500E" w:rsidRPr="007E37EC" w:rsidRDefault="00DF500E" w:rsidP="00A40833">
            <w:pPr>
              <w:spacing w:after="160" w:line="360" w:lineRule="auto"/>
              <w:jc w:val="both"/>
              <w:rPr>
                <w:rFonts w:ascii="Arial" w:hAnsi="Arial" w:cs="Arial"/>
                <w:sz w:val="20"/>
                <w:szCs w:val="20"/>
                <w:lang w:val="en-US"/>
              </w:rPr>
            </w:pPr>
            <w:r w:rsidRPr="007E37EC">
              <w:rPr>
                <w:rFonts w:ascii="Arial" w:hAnsi="Arial" w:cs="Arial"/>
                <w:sz w:val="20"/>
                <w:szCs w:val="20"/>
                <w:lang w:val="en-US"/>
              </w:rPr>
              <w:t>137.36</w:t>
            </w:r>
          </w:p>
        </w:tc>
        <w:tc>
          <w:tcPr>
            <w:tcW w:w="1360" w:type="dxa"/>
          </w:tcPr>
          <w:p w14:paraId="278867AF" w14:textId="77777777" w:rsidR="00DF500E" w:rsidRPr="007E37EC" w:rsidRDefault="00DF500E" w:rsidP="00A40833">
            <w:pPr>
              <w:spacing w:line="360" w:lineRule="auto"/>
              <w:jc w:val="both"/>
              <w:rPr>
                <w:rFonts w:ascii="Arial" w:hAnsi="Arial" w:cs="Arial"/>
                <w:sz w:val="20"/>
                <w:szCs w:val="20"/>
                <w:lang w:val="en-US"/>
              </w:rPr>
            </w:pPr>
            <w:r w:rsidRPr="007E37EC">
              <w:rPr>
                <w:rFonts w:ascii="Arial" w:hAnsi="Arial" w:cs="Arial"/>
                <w:color w:val="000000" w:themeColor="text1"/>
                <w:spacing w:val="-2"/>
                <w:sz w:val="20"/>
                <w:szCs w:val="20"/>
              </w:rPr>
              <w:t>42.94</w:t>
            </w:r>
          </w:p>
        </w:tc>
        <w:tc>
          <w:tcPr>
            <w:tcW w:w="1360" w:type="dxa"/>
          </w:tcPr>
          <w:p w14:paraId="36FE7D37" w14:textId="77777777" w:rsidR="00DF500E" w:rsidRPr="007E37EC" w:rsidRDefault="00DF500E" w:rsidP="00A40833">
            <w:pPr>
              <w:spacing w:line="360" w:lineRule="auto"/>
              <w:jc w:val="both"/>
              <w:rPr>
                <w:rFonts w:ascii="Arial" w:hAnsi="Arial" w:cs="Arial"/>
                <w:sz w:val="20"/>
                <w:szCs w:val="20"/>
                <w:lang w:val="en-US"/>
              </w:rPr>
            </w:pPr>
            <w:r w:rsidRPr="007E37EC">
              <w:rPr>
                <w:rFonts w:ascii="Arial" w:hAnsi="Arial" w:cs="Arial"/>
                <w:sz w:val="20"/>
                <w:szCs w:val="20"/>
                <w:lang w:val="en-US"/>
              </w:rPr>
              <w:t>117.38</w:t>
            </w:r>
          </w:p>
        </w:tc>
        <w:tc>
          <w:tcPr>
            <w:tcW w:w="1360" w:type="dxa"/>
          </w:tcPr>
          <w:p w14:paraId="5C167C3F" w14:textId="77777777" w:rsidR="00DF500E" w:rsidRPr="007E37EC" w:rsidRDefault="00DF500E" w:rsidP="00A40833">
            <w:pPr>
              <w:spacing w:line="360" w:lineRule="auto"/>
              <w:jc w:val="both"/>
              <w:rPr>
                <w:rFonts w:ascii="Arial" w:hAnsi="Arial" w:cs="Arial"/>
                <w:sz w:val="20"/>
                <w:szCs w:val="20"/>
                <w:lang w:val="en-US"/>
              </w:rPr>
            </w:pPr>
            <w:r w:rsidRPr="007E37EC">
              <w:rPr>
                <w:rFonts w:ascii="Arial" w:hAnsi="Arial" w:cs="Arial"/>
                <w:sz w:val="20"/>
                <w:szCs w:val="20"/>
                <w:lang w:val="en-US"/>
              </w:rPr>
              <w:t>37.59</w:t>
            </w:r>
          </w:p>
        </w:tc>
        <w:tc>
          <w:tcPr>
            <w:tcW w:w="1360" w:type="dxa"/>
          </w:tcPr>
          <w:p w14:paraId="65A971D9" w14:textId="77777777" w:rsidR="00DF500E" w:rsidRPr="007E37EC" w:rsidRDefault="00DF500E" w:rsidP="00A40833">
            <w:pPr>
              <w:spacing w:line="360" w:lineRule="auto"/>
              <w:jc w:val="both"/>
              <w:rPr>
                <w:rFonts w:ascii="Arial" w:hAnsi="Arial" w:cs="Arial"/>
                <w:sz w:val="20"/>
                <w:szCs w:val="20"/>
                <w:lang w:val="en-US"/>
              </w:rPr>
            </w:pPr>
            <w:r w:rsidRPr="007E37EC">
              <w:rPr>
                <w:rFonts w:ascii="Arial" w:hAnsi="Arial" w:cs="Arial"/>
                <w:sz w:val="20"/>
                <w:szCs w:val="20"/>
                <w:lang w:val="en-US"/>
              </w:rPr>
              <w:t>124.00</w:t>
            </w:r>
          </w:p>
        </w:tc>
      </w:tr>
      <w:tr w:rsidR="00DF500E" w:rsidRPr="007E37EC" w14:paraId="59069EC6" w14:textId="77777777" w:rsidTr="001E7672">
        <w:trPr>
          <w:trHeight w:val="360"/>
        </w:trPr>
        <w:tc>
          <w:tcPr>
            <w:tcW w:w="1915" w:type="dxa"/>
          </w:tcPr>
          <w:p w14:paraId="7328B355" w14:textId="14CDC0AA" w:rsidR="00DF500E" w:rsidRPr="007E37EC" w:rsidRDefault="00DF500E" w:rsidP="00A40833">
            <w:pPr>
              <w:spacing w:after="160" w:line="360" w:lineRule="auto"/>
              <w:jc w:val="both"/>
              <w:rPr>
                <w:rFonts w:ascii="Arial" w:hAnsi="Arial" w:cs="Arial"/>
                <w:b/>
                <w:bCs/>
                <w:sz w:val="20"/>
                <w:szCs w:val="20"/>
                <w:lang w:val="en-US"/>
              </w:rPr>
            </w:pPr>
            <w:proofErr w:type="spellStart"/>
            <w:r w:rsidRPr="007E37EC">
              <w:rPr>
                <w:rFonts w:ascii="Arial" w:hAnsi="Arial" w:cs="Arial"/>
                <w:b/>
                <w:bCs/>
                <w:sz w:val="20"/>
                <w:szCs w:val="20"/>
                <w:lang w:val="en-US"/>
              </w:rPr>
              <w:t>Alipurduar</w:t>
            </w:r>
            <w:proofErr w:type="spellEnd"/>
            <w:r w:rsidR="00DB517F">
              <w:rPr>
                <w:rFonts w:ascii="Arial" w:hAnsi="Arial" w:cs="Arial"/>
                <w:b/>
                <w:bCs/>
                <w:sz w:val="20"/>
                <w:szCs w:val="20"/>
                <w:lang w:val="en-US"/>
              </w:rPr>
              <w:t>-</w:t>
            </w:r>
            <w:r w:rsidRPr="007E37EC">
              <w:rPr>
                <w:rFonts w:ascii="Arial" w:hAnsi="Arial" w:cs="Arial"/>
                <w:b/>
                <w:bCs/>
                <w:sz w:val="20"/>
                <w:szCs w:val="20"/>
                <w:lang w:val="en-US"/>
              </w:rPr>
              <w:t>I</w:t>
            </w:r>
          </w:p>
        </w:tc>
        <w:tc>
          <w:tcPr>
            <w:tcW w:w="1472" w:type="dxa"/>
          </w:tcPr>
          <w:p w14:paraId="7B74A6A2" w14:textId="77777777" w:rsidR="00DF500E" w:rsidRPr="007E37EC" w:rsidRDefault="00DF500E" w:rsidP="00A40833">
            <w:pPr>
              <w:spacing w:after="160" w:line="360" w:lineRule="auto"/>
              <w:jc w:val="both"/>
              <w:rPr>
                <w:rFonts w:ascii="Arial" w:hAnsi="Arial" w:cs="Arial"/>
                <w:sz w:val="20"/>
                <w:szCs w:val="20"/>
                <w:lang w:val="en-US"/>
              </w:rPr>
            </w:pPr>
            <w:r w:rsidRPr="007E37EC">
              <w:rPr>
                <w:rFonts w:ascii="Arial" w:hAnsi="Arial" w:cs="Arial"/>
                <w:sz w:val="20"/>
                <w:szCs w:val="20"/>
                <w:lang w:val="en-US"/>
              </w:rPr>
              <w:t>4</w:t>
            </w:r>
          </w:p>
        </w:tc>
        <w:tc>
          <w:tcPr>
            <w:tcW w:w="1262" w:type="dxa"/>
          </w:tcPr>
          <w:p w14:paraId="45297E47" w14:textId="77777777" w:rsidR="00DF500E" w:rsidRPr="007E37EC" w:rsidRDefault="00DF500E" w:rsidP="00A40833">
            <w:pPr>
              <w:spacing w:after="160" w:line="360" w:lineRule="auto"/>
              <w:jc w:val="both"/>
              <w:rPr>
                <w:rFonts w:ascii="Arial" w:hAnsi="Arial" w:cs="Arial"/>
                <w:sz w:val="20"/>
                <w:szCs w:val="20"/>
                <w:lang w:val="en-US"/>
              </w:rPr>
            </w:pPr>
            <w:r w:rsidRPr="007E37EC">
              <w:rPr>
                <w:rFonts w:ascii="Arial" w:hAnsi="Arial" w:cs="Arial"/>
                <w:sz w:val="20"/>
                <w:szCs w:val="20"/>
                <w:lang w:val="en-US"/>
              </w:rPr>
              <w:t>129.49</w:t>
            </w:r>
          </w:p>
        </w:tc>
        <w:tc>
          <w:tcPr>
            <w:tcW w:w="1360" w:type="dxa"/>
          </w:tcPr>
          <w:p w14:paraId="63DE3325" w14:textId="77777777" w:rsidR="00DF500E" w:rsidRPr="007E37EC" w:rsidRDefault="00DF500E" w:rsidP="00A40833">
            <w:pPr>
              <w:spacing w:line="360" w:lineRule="auto"/>
              <w:jc w:val="both"/>
              <w:rPr>
                <w:rFonts w:ascii="Arial" w:hAnsi="Arial" w:cs="Arial"/>
                <w:sz w:val="20"/>
                <w:szCs w:val="20"/>
                <w:lang w:val="en-US"/>
              </w:rPr>
            </w:pPr>
            <w:r w:rsidRPr="007E37EC">
              <w:rPr>
                <w:rFonts w:ascii="Arial" w:hAnsi="Arial" w:cs="Arial"/>
                <w:color w:val="000000" w:themeColor="text1"/>
                <w:spacing w:val="-2"/>
                <w:sz w:val="20"/>
                <w:szCs w:val="20"/>
              </w:rPr>
              <w:t>37.87</w:t>
            </w:r>
          </w:p>
        </w:tc>
        <w:tc>
          <w:tcPr>
            <w:tcW w:w="1360" w:type="dxa"/>
          </w:tcPr>
          <w:p w14:paraId="5E5D0BF9" w14:textId="77777777" w:rsidR="00DF500E" w:rsidRPr="007E37EC" w:rsidRDefault="00DF500E" w:rsidP="00A40833">
            <w:pPr>
              <w:spacing w:line="360" w:lineRule="auto"/>
              <w:jc w:val="both"/>
              <w:rPr>
                <w:rFonts w:ascii="Arial" w:hAnsi="Arial" w:cs="Arial"/>
                <w:sz w:val="20"/>
                <w:szCs w:val="20"/>
                <w:lang w:val="en-US"/>
              </w:rPr>
            </w:pPr>
            <w:r w:rsidRPr="007E37EC">
              <w:rPr>
                <w:rFonts w:ascii="Arial" w:hAnsi="Arial" w:cs="Arial"/>
                <w:sz w:val="20"/>
                <w:szCs w:val="20"/>
                <w:lang w:val="en-US"/>
              </w:rPr>
              <w:t>107.91</w:t>
            </w:r>
          </w:p>
        </w:tc>
        <w:tc>
          <w:tcPr>
            <w:tcW w:w="1360" w:type="dxa"/>
          </w:tcPr>
          <w:p w14:paraId="32A14120" w14:textId="77777777" w:rsidR="00DF500E" w:rsidRPr="007E37EC" w:rsidRDefault="00DF500E" w:rsidP="00A40833">
            <w:pPr>
              <w:spacing w:line="360" w:lineRule="auto"/>
              <w:jc w:val="both"/>
              <w:rPr>
                <w:rFonts w:ascii="Arial" w:hAnsi="Arial" w:cs="Arial"/>
                <w:sz w:val="20"/>
                <w:szCs w:val="20"/>
                <w:lang w:val="en-US"/>
              </w:rPr>
            </w:pPr>
            <w:r w:rsidRPr="007E37EC">
              <w:rPr>
                <w:rFonts w:ascii="Arial" w:hAnsi="Arial" w:cs="Arial"/>
                <w:sz w:val="20"/>
                <w:szCs w:val="20"/>
                <w:lang w:val="en-US"/>
              </w:rPr>
              <w:t>42.91</w:t>
            </w:r>
          </w:p>
        </w:tc>
        <w:tc>
          <w:tcPr>
            <w:tcW w:w="1360" w:type="dxa"/>
          </w:tcPr>
          <w:p w14:paraId="6F4C3127" w14:textId="77777777" w:rsidR="00DF500E" w:rsidRPr="007E37EC" w:rsidRDefault="00DF500E" w:rsidP="00A40833">
            <w:pPr>
              <w:spacing w:line="360" w:lineRule="auto"/>
              <w:jc w:val="both"/>
              <w:rPr>
                <w:rFonts w:ascii="Arial" w:hAnsi="Arial" w:cs="Arial"/>
                <w:sz w:val="20"/>
                <w:szCs w:val="20"/>
                <w:lang w:val="en-US"/>
              </w:rPr>
            </w:pPr>
            <w:r w:rsidRPr="007E37EC">
              <w:rPr>
                <w:rFonts w:ascii="Arial" w:hAnsi="Arial" w:cs="Arial"/>
                <w:sz w:val="20"/>
                <w:szCs w:val="20"/>
                <w:lang w:val="en-US"/>
              </w:rPr>
              <w:t>127.43</w:t>
            </w:r>
          </w:p>
        </w:tc>
      </w:tr>
      <w:tr w:rsidR="00DF500E" w:rsidRPr="007E37EC" w14:paraId="64E2CCD9" w14:textId="77777777" w:rsidTr="001E7672">
        <w:trPr>
          <w:trHeight w:val="360"/>
        </w:trPr>
        <w:tc>
          <w:tcPr>
            <w:tcW w:w="1915" w:type="dxa"/>
          </w:tcPr>
          <w:p w14:paraId="6E060AA3" w14:textId="222CA318" w:rsidR="00DF500E" w:rsidRPr="007E37EC" w:rsidRDefault="00DF500E" w:rsidP="00A40833">
            <w:pPr>
              <w:spacing w:after="160" w:line="360" w:lineRule="auto"/>
              <w:jc w:val="both"/>
              <w:rPr>
                <w:rFonts w:ascii="Arial" w:hAnsi="Arial" w:cs="Arial"/>
                <w:b/>
                <w:bCs/>
                <w:sz w:val="20"/>
                <w:szCs w:val="20"/>
                <w:lang w:val="en-US"/>
              </w:rPr>
            </w:pPr>
            <w:proofErr w:type="spellStart"/>
            <w:r w:rsidRPr="007E37EC">
              <w:rPr>
                <w:rFonts w:ascii="Arial" w:hAnsi="Arial" w:cs="Arial"/>
                <w:b/>
                <w:bCs/>
                <w:sz w:val="20"/>
                <w:szCs w:val="20"/>
                <w:lang w:val="en-US"/>
              </w:rPr>
              <w:t>Alipurduar</w:t>
            </w:r>
            <w:proofErr w:type="spellEnd"/>
            <w:r w:rsidR="00DB517F">
              <w:rPr>
                <w:rFonts w:ascii="Arial" w:hAnsi="Arial" w:cs="Arial"/>
                <w:b/>
                <w:bCs/>
                <w:sz w:val="20"/>
                <w:szCs w:val="20"/>
                <w:lang w:val="en-US"/>
              </w:rPr>
              <w:t>-</w:t>
            </w:r>
            <w:r w:rsidRPr="007E37EC">
              <w:rPr>
                <w:rFonts w:ascii="Arial" w:hAnsi="Arial" w:cs="Arial"/>
                <w:b/>
                <w:bCs/>
                <w:sz w:val="20"/>
                <w:szCs w:val="20"/>
                <w:lang w:val="en-US"/>
              </w:rPr>
              <w:t>II</w:t>
            </w:r>
          </w:p>
        </w:tc>
        <w:tc>
          <w:tcPr>
            <w:tcW w:w="1472" w:type="dxa"/>
          </w:tcPr>
          <w:p w14:paraId="78D300F4" w14:textId="77777777" w:rsidR="00DF500E" w:rsidRPr="007E37EC" w:rsidRDefault="00DF500E" w:rsidP="00A40833">
            <w:pPr>
              <w:spacing w:after="160" w:line="360" w:lineRule="auto"/>
              <w:jc w:val="both"/>
              <w:rPr>
                <w:rFonts w:ascii="Arial" w:hAnsi="Arial" w:cs="Arial"/>
                <w:sz w:val="20"/>
                <w:szCs w:val="20"/>
                <w:lang w:val="en-US"/>
              </w:rPr>
            </w:pPr>
            <w:r w:rsidRPr="007E37EC">
              <w:rPr>
                <w:rFonts w:ascii="Arial" w:hAnsi="Arial" w:cs="Arial"/>
                <w:sz w:val="20"/>
                <w:szCs w:val="20"/>
                <w:lang w:val="en-US"/>
              </w:rPr>
              <w:t>6</w:t>
            </w:r>
          </w:p>
        </w:tc>
        <w:tc>
          <w:tcPr>
            <w:tcW w:w="1262" w:type="dxa"/>
          </w:tcPr>
          <w:p w14:paraId="51D886A7" w14:textId="77777777" w:rsidR="00DF500E" w:rsidRPr="007E37EC" w:rsidRDefault="00DF500E" w:rsidP="00A40833">
            <w:pPr>
              <w:spacing w:after="160" w:line="360" w:lineRule="auto"/>
              <w:jc w:val="both"/>
              <w:rPr>
                <w:rFonts w:ascii="Arial" w:hAnsi="Arial" w:cs="Arial"/>
                <w:b/>
                <w:bCs/>
                <w:sz w:val="20"/>
                <w:szCs w:val="20"/>
                <w:lang w:val="en-US"/>
              </w:rPr>
            </w:pPr>
            <w:r w:rsidRPr="007E37EC">
              <w:rPr>
                <w:rFonts w:ascii="Arial" w:hAnsi="Arial" w:cs="Arial"/>
                <w:sz w:val="20"/>
                <w:szCs w:val="20"/>
                <w:lang w:val="en-US"/>
              </w:rPr>
              <w:t>143.22</w:t>
            </w:r>
          </w:p>
        </w:tc>
        <w:tc>
          <w:tcPr>
            <w:tcW w:w="1360" w:type="dxa"/>
          </w:tcPr>
          <w:p w14:paraId="7AB291CD" w14:textId="77777777" w:rsidR="00DF500E" w:rsidRPr="007E37EC" w:rsidRDefault="00DF500E" w:rsidP="00A40833">
            <w:pPr>
              <w:spacing w:line="360" w:lineRule="auto"/>
              <w:jc w:val="both"/>
              <w:rPr>
                <w:rFonts w:ascii="Arial" w:hAnsi="Arial" w:cs="Arial"/>
                <w:sz w:val="20"/>
                <w:szCs w:val="20"/>
                <w:lang w:val="en-US"/>
              </w:rPr>
            </w:pPr>
            <w:r w:rsidRPr="007E37EC">
              <w:rPr>
                <w:rFonts w:ascii="Arial" w:hAnsi="Arial" w:cs="Arial"/>
                <w:color w:val="000000" w:themeColor="text1"/>
                <w:spacing w:val="-2"/>
                <w:sz w:val="20"/>
                <w:szCs w:val="20"/>
              </w:rPr>
              <w:t>49.62</w:t>
            </w:r>
          </w:p>
        </w:tc>
        <w:tc>
          <w:tcPr>
            <w:tcW w:w="1360" w:type="dxa"/>
          </w:tcPr>
          <w:p w14:paraId="2F905D36" w14:textId="77777777" w:rsidR="00DF500E" w:rsidRPr="007E37EC" w:rsidRDefault="00DF500E" w:rsidP="00A40833">
            <w:pPr>
              <w:spacing w:line="360" w:lineRule="auto"/>
              <w:jc w:val="both"/>
              <w:rPr>
                <w:rFonts w:ascii="Arial" w:hAnsi="Arial" w:cs="Arial"/>
                <w:sz w:val="20"/>
                <w:szCs w:val="20"/>
                <w:lang w:val="en-US"/>
              </w:rPr>
            </w:pPr>
            <w:r w:rsidRPr="007E37EC">
              <w:rPr>
                <w:rFonts w:ascii="Arial" w:hAnsi="Arial" w:cs="Arial"/>
                <w:sz w:val="20"/>
                <w:szCs w:val="20"/>
                <w:lang w:val="en-US"/>
              </w:rPr>
              <w:t>119.15</w:t>
            </w:r>
          </w:p>
        </w:tc>
        <w:tc>
          <w:tcPr>
            <w:tcW w:w="1360" w:type="dxa"/>
          </w:tcPr>
          <w:p w14:paraId="50549E48" w14:textId="77777777" w:rsidR="00DF500E" w:rsidRPr="007E37EC" w:rsidRDefault="00DF500E" w:rsidP="00A40833">
            <w:pPr>
              <w:spacing w:line="360" w:lineRule="auto"/>
              <w:jc w:val="both"/>
              <w:rPr>
                <w:rFonts w:ascii="Arial" w:hAnsi="Arial" w:cs="Arial"/>
                <w:sz w:val="20"/>
                <w:szCs w:val="20"/>
                <w:lang w:val="en-US"/>
              </w:rPr>
            </w:pPr>
            <w:r w:rsidRPr="007E37EC">
              <w:rPr>
                <w:rFonts w:ascii="Arial" w:hAnsi="Arial" w:cs="Arial"/>
                <w:sz w:val="20"/>
                <w:szCs w:val="20"/>
                <w:lang w:val="en-US"/>
              </w:rPr>
              <w:t>42.36</w:t>
            </w:r>
          </w:p>
        </w:tc>
        <w:tc>
          <w:tcPr>
            <w:tcW w:w="1360" w:type="dxa"/>
          </w:tcPr>
          <w:p w14:paraId="59491CCD" w14:textId="77777777" w:rsidR="00DF500E" w:rsidRPr="007E37EC" w:rsidRDefault="00DF500E" w:rsidP="00A40833">
            <w:pPr>
              <w:spacing w:line="360" w:lineRule="auto"/>
              <w:jc w:val="both"/>
              <w:rPr>
                <w:rFonts w:ascii="Arial" w:hAnsi="Arial" w:cs="Arial"/>
                <w:sz w:val="20"/>
                <w:szCs w:val="20"/>
                <w:lang w:val="en-US"/>
              </w:rPr>
            </w:pPr>
            <w:r w:rsidRPr="007E37EC">
              <w:rPr>
                <w:rFonts w:ascii="Arial" w:hAnsi="Arial" w:cs="Arial"/>
                <w:sz w:val="20"/>
                <w:szCs w:val="20"/>
                <w:lang w:val="en-US"/>
              </w:rPr>
              <w:t>121.70</w:t>
            </w:r>
          </w:p>
        </w:tc>
      </w:tr>
      <w:tr w:rsidR="00DF500E" w:rsidRPr="007E37EC" w14:paraId="49D45C6C" w14:textId="77777777" w:rsidTr="001E7672">
        <w:trPr>
          <w:trHeight w:val="360"/>
        </w:trPr>
        <w:tc>
          <w:tcPr>
            <w:tcW w:w="1915" w:type="dxa"/>
          </w:tcPr>
          <w:p w14:paraId="6BD97BA5" w14:textId="1C9D52FD" w:rsidR="00DF500E" w:rsidRPr="007E37EC" w:rsidRDefault="00174E12" w:rsidP="00A40833">
            <w:pPr>
              <w:spacing w:line="360" w:lineRule="auto"/>
              <w:jc w:val="both"/>
              <w:rPr>
                <w:rFonts w:ascii="Arial" w:hAnsi="Arial" w:cs="Arial"/>
                <w:b/>
                <w:bCs/>
                <w:sz w:val="20"/>
                <w:szCs w:val="20"/>
                <w:lang w:val="en-US"/>
              </w:rPr>
            </w:pPr>
            <w:r>
              <w:rPr>
                <w:rFonts w:ascii="Arial" w:hAnsi="Arial" w:cs="Arial"/>
                <w:b/>
                <w:bCs/>
                <w:sz w:val="20"/>
                <w:szCs w:val="20"/>
                <w:lang w:val="en-US"/>
              </w:rPr>
              <w:t>Average</w:t>
            </w:r>
          </w:p>
        </w:tc>
        <w:tc>
          <w:tcPr>
            <w:tcW w:w="1472" w:type="dxa"/>
          </w:tcPr>
          <w:p w14:paraId="1169487A" w14:textId="77777777" w:rsidR="00DF500E" w:rsidRPr="007E37EC" w:rsidRDefault="00DF500E" w:rsidP="00A40833">
            <w:pPr>
              <w:spacing w:line="360" w:lineRule="auto"/>
              <w:jc w:val="both"/>
              <w:rPr>
                <w:rFonts w:ascii="Arial" w:hAnsi="Arial" w:cs="Arial"/>
                <w:b/>
                <w:bCs/>
                <w:sz w:val="20"/>
                <w:szCs w:val="20"/>
                <w:lang w:val="en-US"/>
              </w:rPr>
            </w:pPr>
            <w:r w:rsidRPr="007E37EC">
              <w:rPr>
                <w:rFonts w:ascii="Arial" w:hAnsi="Arial" w:cs="Arial"/>
                <w:b/>
                <w:bCs/>
                <w:sz w:val="20"/>
                <w:szCs w:val="20"/>
                <w:lang w:val="en-US"/>
              </w:rPr>
              <w:t>31</w:t>
            </w:r>
          </w:p>
        </w:tc>
        <w:tc>
          <w:tcPr>
            <w:tcW w:w="1262" w:type="dxa"/>
          </w:tcPr>
          <w:p w14:paraId="0F0E3A94" w14:textId="77777777" w:rsidR="00DF500E" w:rsidRPr="007E37EC" w:rsidRDefault="00DF500E" w:rsidP="00A40833">
            <w:pPr>
              <w:spacing w:line="360" w:lineRule="auto"/>
              <w:jc w:val="both"/>
              <w:rPr>
                <w:rFonts w:ascii="Arial" w:hAnsi="Arial" w:cs="Arial"/>
                <w:b/>
                <w:bCs/>
                <w:sz w:val="20"/>
                <w:szCs w:val="20"/>
                <w:lang w:val="en-US"/>
              </w:rPr>
            </w:pPr>
            <w:r w:rsidRPr="007E37EC">
              <w:rPr>
                <w:rFonts w:ascii="Arial" w:hAnsi="Arial" w:cs="Arial"/>
                <w:b/>
                <w:bCs/>
                <w:sz w:val="20"/>
                <w:szCs w:val="20"/>
                <w:lang w:val="en-US"/>
              </w:rPr>
              <w:t>148.51</w:t>
            </w:r>
          </w:p>
        </w:tc>
        <w:tc>
          <w:tcPr>
            <w:tcW w:w="1360" w:type="dxa"/>
          </w:tcPr>
          <w:p w14:paraId="2FE9F378" w14:textId="77777777" w:rsidR="00DF500E" w:rsidRPr="007E37EC" w:rsidRDefault="00DF500E" w:rsidP="00A40833">
            <w:pPr>
              <w:spacing w:line="360" w:lineRule="auto"/>
              <w:jc w:val="both"/>
              <w:rPr>
                <w:rFonts w:ascii="Arial" w:hAnsi="Arial" w:cs="Arial"/>
                <w:b/>
                <w:bCs/>
                <w:sz w:val="20"/>
                <w:szCs w:val="20"/>
                <w:lang w:val="en-US"/>
              </w:rPr>
            </w:pPr>
            <w:r w:rsidRPr="007E37EC">
              <w:rPr>
                <w:rFonts w:ascii="Arial" w:hAnsi="Arial" w:cs="Arial"/>
                <w:b/>
                <w:bCs/>
                <w:color w:val="000000" w:themeColor="text1"/>
                <w:spacing w:val="-2"/>
                <w:sz w:val="20"/>
                <w:szCs w:val="20"/>
              </w:rPr>
              <w:t>42.80</w:t>
            </w:r>
          </w:p>
        </w:tc>
        <w:tc>
          <w:tcPr>
            <w:tcW w:w="1360" w:type="dxa"/>
          </w:tcPr>
          <w:p w14:paraId="3D2E02CF" w14:textId="77777777" w:rsidR="00DF500E" w:rsidRPr="007E37EC" w:rsidRDefault="00DF500E" w:rsidP="00A40833">
            <w:pPr>
              <w:spacing w:line="360" w:lineRule="auto"/>
              <w:jc w:val="both"/>
              <w:rPr>
                <w:rFonts w:ascii="Arial" w:hAnsi="Arial" w:cs="Arial"/>
                <w:b/>
                <w:bCs/>
                <w:sz w:val="20"/>
                <w:szCs w:val="20"/>
                <w:lang w:val="en-US"/>
              </w:rPr>
            </w:pPr>
            <w:r w:rsidRPr="007E37EC">
              <w:rPr>
                <w:rFonts w:ascii="Arial" w:hAnsi="Arial" w:cs="Arial"/>
                <w:b/>
                <w:bCs/>
                <w:sz w:val="20"/>
                <w:szCs w:val="20"/>
                <w:lang w:val="en-US"/>
              </w:rPr>
              <w:t>124.66</w:t>
            </w:r>
          </w:p>
        </w:tc>
        <w:tc>
          <w:tcPr>
            <w:tcW w:w="1360" w:type="dxa"/>
          </w:tcPr>
          <w:p w14:paraId="292E8C3A" w14:textId="77777777" w:rsidR="00DF500E" w:rsidRPr="007E37EC" w:rsidRDefault="00DF500E" w:rsidP="00A40833">
            <w:pPr>
              <w:spacing w:line="360" w:lineRule="auto"/>
              <w:jc w:val="both"/>
              <w:rPr>
                <w:rFonts w:ascii="Arial" w:hAnsi="Arial" w:cs="Arial"/>
                <w:b/>
                <w:bCs/>
                <w:sz w:val="20"/>
                <w:szCs w:val="20"/>
                <w:lang w:val="en-US"/>
              </w:rPr>
            </w:pPr>
            <w:r w:rsidRPr="007E37EC">
              <w:rPr>
                <w:rFonts w:ascii="Arial" w:hAnsi="Arial" w:cs="Arial"/>
                <w:b/>
                <w:bCs/>
                <w:sz w:val="20"/>
                <w:szCs w:val="20"/>
                <w:lang w:val="en-US"/>
              </w:rPr>
              <w:t>38.85</w:t>
            </w:r>
          </w:p>
        </w:tc>
        <w:tc>
          <w:tcPr>
            <w:tcW w:w="1360" w:type="dxa"/>
          </w:tcPr>
          <w:p w14:paraId="79C65C6B" w14:textId="77777777" w:rsidR="00DF500E" w:rsidRPr="007E37EC" w:rsidRDefault="00DF500E" w:rsidP="00A40833">
            <w:pPr>
              <w:spacing w:line="360" w:lineRule="auto"/>
              <w:jc w:val="both"/>
              <w:rPr>
                <w:rFonts w:ascii="Arial" w:hAnsi="Arial" w:cs="Arial"/>
                <w:b/>
                <w:bCs/>
                <w:sz w:val="20"/>
                <w:szCs w:val="20"/>
                <w:lang w:val="en-US"/>
              </w:rPr>
            </w:pPr>
            <w:r w:rsidRPr="007E37EC">
              <w:rPr>
                <w:rFonts w:ascii="Arial" w:hAnsi="Arial" w:cs="Arial"/>
                <w:b/>
                <w:bCs/>
                <w:sz w:val="20"/>
                <w:szCs w:val="20"/>
                <w:lang w:val="en-US"/>
              </w:rPr>
              <w:t>123.82</w:t>
            </w:r>
          </w:p>
        </w:tc>
      </w:tr>
    </w:tbl>
    <w:p w14:paraId="22FF3210" w14:textId="204F4A48" w:rsidR="00574288" w:rsidRDefault="0049610B" w:rsidP="00A40833">
      <w:pPr>
        <w:spacing w:after="0"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Source:</w:t>
      </w:r>
      <w:r w:rsidR="00812341">
        <w:rPr>
          <w:rFonts w:ascii="Arial" w:eastAsia="Times New Roman" w:hAnsi="Arial" w:cs="Arial"/>
          <w:kern w:val="0"/>
          <w:sz w:val="20"/>
          <w:szCs w:val="20"/>
          <w:lang w:eastAsia="en-IN"/>
          <w14:ligatures w14:val="none"/>
        </w:rPr>
        <w:t xml:space="preserve"> Primary data collected through field survey (April 2024- March 2025)</w:t>
      </w:r>
    </w:p>
    <w:p w14:paraId="1DF3382C" w14:textId="77777777" w:rsidR="00174E12" w:rsidRPr="007E37EC" w:rsidRDefault="00174E12" w:rsidP="00A40833">
      <w:pPr>
        <w:spacing w:after="0" w:line="360" w:lineRule="auto"/>
        <w:jc w:val="both"/>
        <w:rPr>
          <w:rFonts w:ascii="Arial" w:eastAsia="Times New Roman" w:hAnsi="Arial" w:cs="Arial"/>
          <w:kern w:val="0"/>
          <w:sz w:val="20"/>
          <w:szCs w:val="20"/>
          <w:lang w:eastAsia="en-IN"/>
          <w14:ligatures w14:val="none"/>
        </w:rPr>
      </w:pPr>
    </w:p>
    <w:p w14:paraId="07018901" w14:textId="46E8B31C" w:rsidR="00C63C30" w:rsidRPr="007E37EC" w:rsidRDefault="001E7AFD" w:rsidP="00A40833">
      <w:pPr>
        <w:spacing w:after="0" w:line="360" w:lineRule="auto"/>
        <w:jc w:val="both"/>
        <w:rPr>
          <w:rFonts w:ascii="Arial" w:eastAsia="Times New Roman" w:hAnsi="Arial" w:cs="Arial"/>
          <w:kern w:val="0"/>
          <w:sz w:val="20"/>
          <w:szCs w:val="20"/>
          <w:lang w:eastAsia="en-IN"/>
          <w14:ligatures w14:val="none"/>
        </w:rPr>
      </w:pPr>
      <w:r w:rsidRPr="007E37EC">
        <w:rPr>
          <w:rFonts w:ascii="Arial" w:eastAsia="Times New Roman" w:hAnsi="Arial" w:cs="Arial"/>
          <w:kern w:val="0"/>
          <w:sz w:val="20"/>
          <w:szCs w:val="20"/>
          <w:lang w:eastAsia="en-IN"/>
          <w14:ligatures w14:val="none"/>
        </w:rPr>
        <w:t xml:space="preserve">Among the surveyed regions, </w:t>
      </w:r>
      <w:proofErr w:type="spellStart"/>
      <w:r w:rsidRPr="007E37EC">
        <w:rPr>
          <w:rFonts w:ascii="Arial" w:eastAsia="Times New Roman" w:hAnsi="Arial" w:cs="Arial"/>
          <w:kern w:val="0"/>
          <w:sz w:val="20"/>
          <w:szCs w:val="20"/>
          <w:lang w:eastAsia="en-IN"/>
          <w14:ligatures w14:val="none"/>
        </w:rPr>
        <w:t>Coochbehar</w:t>
      </w:r>
      <w:proofErr w:type="spellEnd"/>
      <w:r w:rsidR="00DB517F">
        <w:rPr>
          <w:rFonts w:ascii="Arial" w:eastAsia="Times New Roman" w:hAnsi="Arial" w:cs="Arial"/>
          <w:kern w:val="0"/>
          <w:sz w:val="20"/>
          <w:szCs w:val="20"/>
          <w:lang w:eastAsia="en-IN"/>
          <w14:ligatures w14:val="none"/>
        </w:rPr>
        <w:t>-</w:t>
      </w:r>
      <w:r w:rsidRPr="007E37EC">
        <w:rPr>
          <w:rFonts w:ascii="Arial" w:eastAsia="Times New Roman" w:hAnsi="Arial" w:cs="Arial"/>
          <w:kern w:val="0"/>
          <w:sz w:val="20"/>
          <w:szCs w:val="20"/>
          <w:lang w:eastAsia="en-IN"/>
          <w14:ligatures w14:val="none"/>
        </w:rPr>
        <w:t xml:space="preserve">II’s </w:t>
      </w:r>
      <w:r w:rsidR="002B0BFE">
        <w:rPr>
          <w:rFonts w:ascii="Arial" w:eastAsia="Times New Roman" w:hAnsi="Arial" w:cs="Arial"/>
          <w:kern w:val="0"/>
          <w:sz w:val="20"/>
          <w:szCs w:val="20"/>
          <w:lang w:eastAsia="en-IN"/>
          <w14:ligatures w14:val="none"/>
        </w:rPr>
        <w:t xml:space="preserve">eleven </w:t>
      </w:r>
      <w:r w:rsidR="001519F9" w:rsidRPr="007E37EC">
        <w:rPr>
          <w:rFonts w:ascii="Arial" w:eastAsia="Times New Roman" w:hAnsi="Arial" w:cs="Arial"/>
          <w:kern w:val="0"/>
          <w:sz w:val="20"/>
          <w:szCs w:val="20"/>
          <w:lang w:eastAsia="en-IN"/>
          <w14:ligatures w14:val="none"/>
        </w:rPr>
        <w:t>processing units demonstrate</w:t>
      </w:r>
      <w:r w:rsidRPr="007E37EC">
        <w:rPr>
          <w:rFonts w:ascii="Arial" w:eastAsia="Times New Roman" w:hAnsi="Arial" w:cs="Arial"/>
          <w:kern w:val="0"/>
          <w:sz w:val="20"/>
          <w:szCs w:val="20"/>
          <w:lang w:eastAsia="en-IN"/>
          <w14:ligatures w14:val="none"/>
        </w:rPr>
        <w:t xml:space="preserve"> maximum in </w:t>
      </w:r>
      <w:r w:rsidR="00B40B29">
        <w:rPr>
          <w:rFonts w:ascii="Arial" w:eastAsia="Times New Roman" w:hAnsi="Arial" w:cs="Arial"/>
          <w:kern w:val="0"/>
          <w:sz w:val="20"/>
          <w:szCs w:val="20"/>
          <w:lang w:eastAsia="en-IN"/>
          <w14:ligatures w14:val="none"/>
        </w:rPr>
        <w:t>utilisation</w:t>
      </w:r>
      <w:r w:rsidRPr="007E37EC">
        <w:rPr>
          <w:rFonts w:ascii="Arial" w:eastAsia="Times New Roman" w:hAnsi="Arial" w:cs="Arial"/>
          <w:kern w:val="0"/>
          <w:sz w:val="20"/>
          <w:szCs w:val="20"/>
          <w:lang w:eastAsia="en-IN"/>
          <w14:ligatures w14:val="none"/>
        </w:rPr>
        <w:t xml:space="preserve"> </w:t>
      </w:r>
      <w:r w:rsidR="002B0BFE">
        <w:rPr>
          <w:rFonts w:ascii="Arial" w:eastAsia="Times New Roman" w:hAnsi="Arial" w:cs="Arial"/>
          <w:kern w:val="0"/>
          <w:sz w:val="20"/>
          <w:szCs w:val="20"/>
          <w:lang w:eastAsia="en-IN"/>
          <w14:ligatures w14:val="none"/>
        </w:rPr>
        <w:t>of fluid milk</w:t>
      </w:r>
      <w:r w:rsidR="00C63C30" w:rsidRPr="007E37EC">
        <w:rPr>
          <w:rFonts w:ascii="Arial" w:eastAsia="Times New Roman" w:hAnsi="Arial" w:cs="Arial"/>
          <w:kern w:val="0"/>
          <w:sz w:val="20"/>
          <w:szCs w:val="20"/>
          <w:lang w:eastAsia="en-IN"/>
          <w14:ligatures w14:val="none"/>
        </w:rPr>
        <w:t xml:space="preserve"> (168.47 L per day per firm) and sugar (40.74 kg), </w:t>
      </w:r>
      <w:r w:rsidRPr="007E37EC">
        <w:rPr>
          <w:rFonts w:ascii="Arial" w:eastAsia="Times New Roman" w:hAnsi="Arial" w:cs="Arial"/>
          <w:kern w:val="0"/>
          <w:sz w:val="20"/>
          <w:szCs w:val="20"/>
          <w:lang w:eastAsia="en-IN"/>
          <w14:ligatures w14:val="none"/>
        </w:rPr>
        <w:t>yielding</w:t>
      </w:r>
      <w:r w:rsidR="00C63C30" w:rsidRPr="007E37EC">
        <w:rPr>
          <w:rFonts w:ascii="Arial" w:eastAsia="Times New Roman" w:hAnsi="Arial" w:cs="Arial"/>
          <w:kern w:val="0"/>
          <w:sz w:val="20"/>
          <w:szCs w:val="20"/>
          <w:lang w:eastAsia="en-IN"/>
          <w14:ligatures w14:val="none"/>
        </w:rPr>
        <w:t xml:space="preserve"> in a production output of 140.39 kg of curd at a relatively low milk price of Rs 36.61 per </w:t>
      </w:r>
      <w:r w:rsidR="00001E8B" w:rsidRPr="007E37EC">
        <w:rPr>
          <w:rFonts w:ascii="Arial" w:eastAsia="Times New Roman" w:hAnsi="Arial" w:cs="Arial"/>
          <w:kern w:val="0"/>
          <w:sz w:val="20"/>
          <w:szCs w:val="20"/>
          <w:lang w:eastAsia="en-IN"/>
          <w14:ligatures w14:val="none"/>
        </w:rPr>
        <w:t>litre</w:t>
      </w:r>
      <w:r w:rsidR="00C63C30" w:rsidRPr="007E37EC">
        <w:rPr>
          <w:rFonts w:ascii="Arial" w:eastAsia="Times New Roman" w:hAnsi="Arial" w:cs="Arial"/>
          <w:kern w:val="0"/>
          <w:sz w:val="20"/>
          <w:szCs w:val="20"/>
          <w:lang w:eastAsia="en-IN"/>
          <w14:ligatures w14:val="none"/>
        </w:rPr>
        <w:t xml:space="preserve">. In comparison, </w:t>
      </w:r>
      <w:proofErr w:type="spellStart"/>
      <w:r w:rsidR="00C63C30" w:rsidRPr="007E37EC">
        <w:rPr>
          <w:rFonts w:ascii="Arial" w:eastAsia="Times New Roman" w:hAnsi="Arial" w:cs="Arial"/>
          <w:kern w:val="0"/>
          <w:sz w:val="20"/>
          <w:szCs w:val="20"/>
          <w:lang w:eastAsia="en-IN"/>
          <w14:ligatures w14:val="none"/>
        </w:rPr>
        <w:t>Tufanganj</w:t>
      </w:r>
      <w:proofErr w:type="spellEnd"/>
      <w:r w:rsidR="00E52B18">
        <w:rPr>
          <w:rFonts w:ascii="Arial" w:eastAsia="Times New Roman" w:hAnsi="Arial" w:cs="Arial"/>
          <w:kern w:val="0"/>
          <w:sz w:val="20"/>
          <w:szCs w:val="20"/>
          <w:lang w:eastAsia="en-IN"/>
          <w14:ligatures w14:val="none"/>
        </w:rPr>
        <w:t>-</w:t>
      </w:r>
      <w:r w:rsidR="00C63C30" w:rsidRPr="007E37EC">
        <w:rPr>
          <w:rFonts w:ascii="Arial" w:eastAsia="Times New Roman" w:hAnsi="Arial" w:cs="Arial"/>
          <w:kern w:val="0"/>
          <w:sz w:val="20"/>
          <w:szCs w:val="20"/>
          <w:lang w:eastAsia="en-IN"/>
          <w14:ligatures w14:val="none"/>
        </w:rPr>
        <w:t xml:space="preserve">I, consisting of 10 firms, uses less milk (137.36 L) but a greater amount of sugar (42.94 kg), producing 117.38 kg of curd. </w:t>
      </w:r>
      <w:proofErr w:type="spellStart"/>
      <w:r w:rsidR="00001E8B" w:rsidRPr="007E37EC">
        <w:rPr>
          <w:rFonts w:ascii="Arial" w:eastAsia="Times New Roman" w:hAnsi="Arial" w:cs="Arial"/>
          <w:kern w:val="0"/>
          <w:sz w:val="20"/>
          <w:szCs w:val="20"/>
          <w:lang w:eastAsia="en-IN"/>
          <w14:ligatures w14:val="none"/>
        </w:rPr>
        <w:t>Alipurduar</w:t>
      </w:r>
      <w:proofErr w:type="spellEnd"/>
      <w:r w:rsidR="001F3EBE">
        <w:rPr>
          <w:rFonts w:ascii="Arial" w:eastAsia="Times New Roman" w:hAnsi="Arial" w:cs="Arial"/>
          <w:kern w:val="0"/>
          <w:sz w:val="20"/>
          <w:szCs w:val="20"/>
          <w:lang w:eastAsia="en-IN"/>
          <w14:ligatures w14:val="none"/>
        </w:rPr>
        <w:t>-</w:t>
      </w:r>
      <w:r w:rsidR="00C63C30" w:rsidRPr="007E37EC">
        <w:rPr>
          <w:rFonts w:ascii="Arial" w:eastAsia="Times New Roman" w:hAnsi="Arial" w:cs="Arial"/>
          <w:kern w:val="0"/>
          <w:sz w:val="20"/>
          <w:szCs w:val="20"/>
          <w:lang w:eastAsia="en-IN"/>
          <w14:ligatures w14:val="none"/>
        </w:rPr>
        <w:t xml:space="preserve">I </w:t>
      </w:r>
      <w:r w:rsidR="003D1DC9">
        <w:rPr>
          <w:rFonts w:ascii="Arial" w:eastAsia="Times New Roman" w:hAnsi="Arial" w:cs="Arial"/>
          <w:kern w:val="0"/>
          <w:sz w:val="20"/>
          <w:szCs w:val="20"/>
          <w:lang w:eastAsia="en-IN"/>
          <w14:ligatures w14:val="none"/>
        </w:rPr>
        <w:t>operates</w:t>
      </w:r>
      <w:r w:rsidR="00C63C30" w:rsidRPr="007E37EC">
        <w:rPr>
          <w:rFonts w:ascii="Arial" w:eastAsia="Times New Roman" w:hAnsi="Arial" w:cs="Arial"/>
          <w:kern w:val="0"/>
          <w:sz w:val="20"/>
          <w:szCs w:val="20"/>
          <w:lang w:eastAsia="en-IN"/>
          <w14:ligatures w14:val="none"/>
        </w:rPr>
        <w:t xml:space="preserve"> on a smaller scale with 4 firms, consuming 129.49 L of milk and 37.87 kg of sugar to yield 107.91 kg of curd, despite higher milk prices (Rs 42.91 per </w:t>
      </w:r>
      <w:r w:rsidR="00AC2E7D" w:rsidRPr="007E37EC">
        <w:rPr>
          <w:rFonts w:ascii="Arial" w:eastAsia="Times New Roman" w:hAnsi="Arial" w:cs="Arial"/>
          <w:kern w:val="0"/>
          <w:sz w:val="20"/>
          <w:szCs w:val="20"/>
          <w:lang w:eastAsia="en-IN"/>
          <w14:ligatures w14:val="none"/>
        </w:rPr>
        <w:t>litre</w:t>
      </w:r>
      <w:r w:rsidR="00C63C30" w:rsidRPr="007E37EC">
        <w:rPr>
          <w:rFonts w:ascii="Arial" w:eastAsia="Times New Roman" w:hAnsi="Arial" w:cs="Arial"/>
          <w:kern w:val="0"/>
          <w:sz w:val="20"/>
          <w:szCs w:val="20"/>
          <w:lang w:eastAsia="en-IN"/>
          <w14:ligatures w14:val="none"/>
        </w:rPr>
        <w:t xml:space="preserve">). </w:t>
      </w:r>
      <w:proofErr w:type="spellStart"/>
      <w:r w:rsidR="00C63C30" w:rsidRPr="007E37EC">
        <w:rPr>
          <w:rFonts w:ascii="Arial" w:eastAsia="Times New Roman" w:hAnsi="Arial" w:cs="Arial"/>
          <w:kern w:val="0"/>
          <w:sz w:val="20"/>
          <w:szCs w:val="20"/>
          <w:lang w:eastAsia="en-IN"/>
          <w14:ligatures w14:val="none"/>
        </w:rPr>
        <w:lastRenderedPageBreak/>
        <w:t>Alipurduar</w:t>
      </w:r>
      <w:proofErr w:type="spellEnd"/>
      <w:r w:rsidR="00D4518B">
        <w:rPr>
          <w:rFonts w:ascii="Arial" w:eastAsia="Times New Roman" w:hAnsi="Arial" w:cs="Arial"/>
          <w:kern w:val="0"/>
          <w:sz w:val="20"/>
          <w:szCs w:val="20"/>
          <w:lang w:eastAsia="en-IN"/>
          <w14:ligatures w14:val="none"/>
        </w:rPr>
        <w:t>-</w:t>
      </w:r>
      <w:r w:rsidR="00C63C30" w:rsidRPr="007E37EC">
        <w:rPr>
          <w:rFonts w:ascii="Arial" w:eastAsia="Times New Roman" w:hAnsi="Arial" w:cs="Arial"/>
          <w:kern w:val="0"/>
          <w:sz w:val="20"/>
          <w:szCs w:val="20"/>
          <w:lang w:eastAsia="en-IN"/>
          <w14:ligatures w14:val="none"/>
        </w:rPr>
        <w:t xml:space="preserve">II, comprising 6 firms, achieves a balance by using 143.22 L of milk and 49.62 kg of sugar, resulting in 119.15 kg of curd. On average, firms consume 148.51 L of milk and 42.80 kg of sugar, leading to the sale of 124.66 kg of curd at Rs 123.82 per kg, with milk priced at Rs 38.85 per </w:t>
      </w:r>
      <w:r w:rsidR="00001E8B" w:rsidRPr="007E37EC">
        <w:rPr>
          <w:rFonts w:ascii="Arial" w:eastAsia="Times New Roman" w:hAnsi="Arial" w:cs="Arial"/>
          <w:kern w:val="0"/>
          <w:sz w:val="20"/>
          <w:szCs w:val="20"/>
          <w:lang w:eastAsia="en-IN"/>
          <w14:ligatures w14:val="none"/>
        </w:rPr>
        <w:t>litre</w:t>
      </w:r>
      <w:r w:rsidR="00C63C30" w:rsidRPr="007E37EC">
        <w:rPr>
          <w:rFonts w:ascii="Arial" w:eastAsia="Times New Roman" w:hAnsi="Arial" w:cs="Arial"/>
          <w:kern w:val="0"/>
          <w:sz w:val="20"/>
          <w:szCs w:val="20"/>
          <w:lang w:eastAsia="en-IN"/>
          <w14:ligatures w14:val="none"/>
        </w:rPr>
        <w:t xml:space="preserve">. </w:t>
      </w:r>
      <w:proofErr w:type="spellStart"/>
      <w:r w:rsidR="00C63C30" w:rsidRPr="007E37EC">
        <w:rPr>
          <w:rFonts w:ascii="Arial" w:eastAsia="Times New Roman" w:hAnsi="Arial" w:cs="Arial"/>
          <w:kern w:val="0"/>
          <w:sz w:val="20"/>
          <w:szCs w:val="20"/>
          <w:lang w:eastAsia="en-IN"/>
          <w14:ligatures w14:val="none"/>
        </w:rPr>
        <w:t>Coochbehar</w:t>
      </w:r>
      <w:proofErr w:type="spellEnd"/>
      <w:r w:rsidR="00E2475E">
        <w:rPr>
          <w:rFonts w:ascii="Arial" w:eastAsia="Times New Roman" w:hAnsi="Arial" w:cs="Arial"/>
          <w:kern w:val="0"/>
          <w:sz w:val="20"/>
          <w:szCs w:val="20"/>
          <w:lang w:eastAsia="en-IN"/>
          <w14:ligatures w14:val="none"/>
        </w:rPr>
        <w:t>-</w:t>
      </w:r>
      <w:r w:rsidR="00C63C30" w:rsidRPr="007E37EC">
        <w:rPr>
          <w:rFonts w:ascii="Arial" w:eastAsia="Times New Roman" w:hAnsi="Arial" w:cs="Arial"/>
          <w:kern w:val="0"/>
          <w:sz w:val="20"/>
          <w:szCs w:val="20"/>
          <w:lang w:eastAsia="en-IN"/>
          <w14:ligatures w14:val="none"/>
        </w:rPr>
        <w:t xml:space="preserve">II demonstrates efficiency through high production volume, whereas </w:t>
      </w:r>
      <w:proofErr w:type="spellStart"/>
      <w:r w:rsidR="00C63C30" w:rsidRPr="007E37EC">
        <w:rPr>
          <w:rFonts w:ascii="Arial" w:eastAsia="Times New Roman" w:hAnsi="Arial" w:cs="Arial"/>
          <w:kern w:val="0"/>
          <w:sz w:val="20"/>
          <w:szCs w:val="20"/>
          <w:lang w:eastAsia="en-IN"/>
          <w14:ligatures w14:val="none"/>
        </w:rPr>
        <w:t>Alipurduar</w:t>
      </w:r>
      <w:proofErr w:type="spellEnd"/>
      <w:r w:rsidR="00C63C30" w:rsidRPr="007E37EC">
        <w:rPr>
          <w:rFonts w:ascii="Arial" w:eastAsia="Times New Roman" w:hAnsi="Arial" w:cs="Arial"/>
          <w:kern w:val="0"/>
          <w:sz w:val="20"/>
          <w:szCs w:val="20"/>
          <w:lang w:eastAsia="en-IN"/>
          <w14:ligatures w14:val="none"/>
        </w:rPr>
        <w:t xml:space="preserve"> encounters cost-related challenges, highlighting the need for supply chain interventions in oligopolistic markets.</w:t>
      </w:r>
    </w:p>
    <w:p w14:paraId="627B783F" w14:textId="7F3A7EF3" w:rsidR="00C63C30" w:rsidRPr="007E37EC" w:rsidRDefault="00C63C30" w:rsidP="00A40833">
      <w:pPr>
        <w:pStyle w:val="BodyText"/>
        <w:spacing w:line="360" w:lineRule="auto"/>
        <w:ind w:right="429"/>
        <w:jc w:val="both"/>
        <w:rPr>
          <w:rFonts w:ascii="Arial" w:hAnsi="Arial" w:cs="Arial"/>
          <w:b/>
          <w:bCs/>
          <w:sz w:val="22"/>
          <w:szCs w:val="22"/>
        </w:rPr>
      </w:pPr>
      <w:r w:rsidRPr="007E37EC">
        <w:rPr>
          <w:rFonts w:ascii="Arial" w:hAnsi="Arial" w:cs="Arial"/>
          <w:b/>
          <w:bCs/>
          <w:sz w:val="22"/>
          <w:szCs w:val="22"/>
        </w:rPr>
        <w:t xml:space="preserve">3.2. Analysis of variable cost other than </w:t>
      </w:r>
      <w:r w:rsidR="00531FD8">
        <w:rPr>
          <w:rFonts w:ascii="Arial" w:hAnsi="Arial" w:cs="Arial"/>
          <w:b/>
          <w:bCs/>
          <w:sz w:val="22"/>
          <w:szCs w:val="22"/>
        </w:rPr>
        <w:t>Labor</w:t>
      </w:r>
      <w:r w:rsidRPr="007E37EC">
        <w:rPr>
          <w:rFonts w:ascii="Arial" w:hAnsi="Arial" w:cs="Arial"/>
          <w:b/>
          <w:bCs/>
          <w:sz w:val="22"/>
          <w:szCs w:val="22"/>
        </w:rPr>
        <w:t xml:space="preserve"> </w:t>
      </w:r>
      <w:r w:rsidR="00033F7D" w:rsidRPr="007E37EC">
        <w:rPr>
          <w:rFonts w:ascii="Arial" w:hAnsi="Arial" w:cs="Arial"/>
          <w:b/>
          <w:bCs/>
          <w:sz w:val="22"/>
          <w:szCs w:val="22"/>
        </w:rPr>
        <w:t>(</w:t>
      </w:r>
      <w:r w:rsidRPr="007E37EC">
        <w:rPr>
          <w:rFonts w:ascii="Arial" w:hAnsi="Arial" w:cs="Arial"/>
          <w:b/>
          <w:bCs/>
          <w:sz w:val="22"/>
          <w:szCs w:val="22"/>
        </w:rPr>
        <w:t>per day per processing unit</w:t>
      </w:r>
      <w:r w:rsidR="00033F7D" w:rsidRPr="007E37EC">
        <w:rPr>
          <w:rFonts w:ascii="Arial" w:hAnsi="Arial" w:cs="Arial"/>
          <w:b/>
          <w:bCs/>
          <w:sz w:val="22"/>
          <w:szCs w:val="22"/>
        </w:rPr>
        <w:t>)</w:t>
      </w:r>
    </w:p>
    <w:p w14:paraId="35C100FF" w14:textId="77777777" w:rsidR="00C63C30" w:rsidRPr="007E37EC" w:rsidRDefault="00C63C30" w:rsidP="00A40833">
      <w:pPr>
        <w:spacing w:line="360" w:lineRule="auto"/>
        <w:ind w:right="866"/>
        <w:jc w:val="both"/>
        <w:rPr>
          <w:rFonts w:ascii="Arial" w:hAnsi="Arial" w:cs="Arial"/>
          <w:color w:val="000000" w:themeColor="text1"/>
        </w:rPr>
      </w:pPr>
      <w:r w:rsidRPr="003800DB">
        <w:rPr>
          <w:rFonts w:ascii="Arial" w:hAnsi="Arial" w:cs="Arial"/>
          <w:b/>
          <w:color w:val="000000" w:themeColor="text1"/>
          <w:sz w:val="20"/>
          <w:szCs w:val="20"/>
        </w:rPr>
        <w:t xml:space="preserve">Table 2: </w:t>
      </w:r>
      <w:r w:rsidRPr="003800DB">
        <w:rPr>
          <w:rFonts w:ascii="Arial" w:hAnsi="Arial" w:cs="Arial"/>
          <w:color w:val="000000" w:themeColor="text1"/>
          <w:sz w:val="20"/>
          <w:szCs w:val="20"/>
        </w:rPr>
        <w:t>Cost of variable items per firm per day (in Rs)</w:t>
      </w:r>
    </w:p>
    <w:tbl>
      <w:tblPr>
        <w:tblStyle w:val="TableGrid"/>
        <w:tblW w:w="9554" w:type="dxa"/>
        <w:tblLook w:val="04A0" w:firstRow="1" w:lastRow="0" w:firstColumn="1" w:lastColumn="0" w:noHBand="0" w:noVBand="1"/>
      </w:tblPr>
      <w:tblGrid>
        <w:gridCol w:w="1591"/>
        <w:gridCol w:w="1591"/>
        <w:gridCol w:w="1593"/>
        <w:gridCol w:w="1593"/>
        <w:gridCol w:w="1593"/>
        <w:gridCol w:w="1593"/>
      </w:tblGrid>
      <w:tr w:rsidR="00FF33A9" w:rsidRPr="007E37EC" w14:paraId="71A75D13" w14:textId="77777777" w:rsidTr="00FF76EA">
        <w:trPr>
          <w:trHeight w:val="255"/>
        </w:trPr>
        <w:tc>
          <w:tcPr>
            <w:tcW w:w="1591" w:type="dxa"/>
            <w:vAlign w:val="center"/>
          </w:tcPr>
          <w:p w14:paraId="2BB46C0F" w14:textId="77777777" w:rsidR="00FF33A9" w:rsidRPr="002B0BFE" w:rsidRDefault="00FF33A9" w:rsidP="00A40833">
            <w:pPr>
              <w:spacing w:line="360" w:lineRule="auto"/>
              <w:jc w:val="center"/>
              <w:rPr>
                <w:rFonts w:ascii="Arial" w:hAnsi="Arial" w:cs="Arial"/>
                <w:b/>
                <w:bCs/>
                <w:sz w:val="20"/>
                <w:szCs w:val="20"/>
              </w:rPr>
            </w:pPr>
            <w:r w:rsidRPr="002B0BFE">
              <w:rPr>
                <w:rFonts w:ascii="Arial" w:hAnsi="Arial" w:cs="Arial"/>
                <w:b/>
                <w:bCs/>
                <w:sz w:val="20"/>
                <w:szCs w:val="20"/>
              </w:rPr>
              <w:t>Blocks</w:t>
            </w:r>
          </w:p>
        </w:tc>
        <w:tc>
          <w:tcPr>
            <w:tcW w:w="1591" w:type="dxa"/>
            <w:vAlign w:val="center"/>
          </w:tcPr>
          <w:p w14:paraId="43A24A6C" w14:textId="77777777" w:rsidR="00FF33A9" w:rsidRPr="002B0BFE" w:rsidRDefault="00FF33A9" w:rsidP="00A40833">
            <w:pPr>
              <w:spacing w:line="360" w:lineRule="auto"/>
              <w:jc w:val="center"/>
              <w:rPr>
                <w:rFonts w:ascii="Arial" w:hAnsi="Arial" w:cs="Arial"/>
                <w:b/>
                <w:bCs/>
                <w:sz w:val="20"/>
                <w:szCs w:val="20"/>
              </w:rPr>
            </w:pPr>
            <w:r w:rsidRPr="002B0BFE">
              <w:rPr>
                <w:rFonts w:ascii="Arial" w:hAnsi="Arial" w:cs="Arial"/>
                <w:b/>
                <w:bCs/>
                <w:sz w:val="20"/>
                <w:szCs w:val="20"/>
              </w:rPr>
              <w:t>Fluid Milk</w:t>
            </w:r>
          </w:p>
        </w:tc>
        <w:tc>
          <w:tcPr>
            <w:tcW w:w="1593" w:type="dxa"/>
            <w:vAlign w:val="center"/>
          </w:tcPr>
          <w:p w14:paraId="440DFC4F" w14:textId="77777777" w:rsidR="00FF33A9" w:rsidRPr="002B0BFE" w:rsidRDefault="00FF33A9" w:rsidP="00A40833">
            <w:pPr>
              <w:spacing w:line="360" w:lineRule="auto"/>
              <w:jc w:val="center"/>
              <w:rPr>
                <w:rFonts w:ascii="Arial" w:hAnsi="Arial" w:cs="Arial"/>
                <w:b/>
                <w:bCs/>
                <w:sz w:val="20"/>
                <w:szCs w:val="20"/>
              </w:rPr>
            </w:pPr>
            <w:r w:rsidRPr="002B0BFE">
              <w:rPr>
                <w:rFonts w:ascii="Arial" w:hAnsi="Arial" w:cs="Arial"/>
                <w:b/>
                <w:bCs/>
                <w:sz w:val="20"/>
                <w:szCs w:val="20"/>
              </w:rPr>
              <w:t>Sugar</w:t>
            </w:r>
          </w:p>
        </w:tc>
        <w:tc>
          <w:tcPr>
            <w:tcW w:w="1593" w:type="dxa"/>
            <w:vAlign w:val="center"/>
          </w:tcPr>
          <w:p w14:paraId="67952BD4" w14:textId="77777777" w:rsidR="00FF33A9" w:rsidRPr="002B0BFE" w:rsidRDefault="00FF33A9" w:rsidP="00A40833">
            <w:pPr>
              <w:spacing w:line="360" w:lineRule="auto"/>
              <w:jc w:val="center"/>
              <w:rPr>
                <w:rFonts w:ascii="Arial" w:hAnsi="Arial" w:cs="Arial"/>
                <w:b/>
                <w:bCs/>
                <w:sz w:val="20"/>
                <w:szCs w:val="20"/>
              </w:rPr>
            </w:pPr>
            <w:r w:rsidRPr="002B0BFE">
              <w:rPr>
                <w:rFonts w:ascii="Arial" w:hAnsi="Arial" w:cs="Arial"/>
                <w:b/>
                <w:bCs/>
                <w:sz w:val="20"/>
                <w:szCs w:val="20"/>
              </w:rPr>
              <w:t>Fuel</w:t>
            </w:r>
          </w:p>
        </w:tc>
        <w:tc>
          <w:tcPr>
            <w:tcW w:w="1593" w:type="dxa"/>
            <w:vAlign w:val="center"/>
          </w:tcPr>
          <w:p w14:paraId="60BF48A5" w14:textId="77777777" w:rsidR="00FF33A9" w:rsidRPr="002B0BFE" w:rsidRDefault="00FF33A9" w:rsidP="00A40833">
            <w:pPr>
              <w:spacing w:line="360" w:lineRule="auto"/>
              <w:jc w:val="center"/>
              <w:rPr>
                <w:rFonts w:ascii="Arial" w:hAnsi="Arial" w:cs="Arial"/>
                <w:b/>
                <w:bCs/>
                <w:sz w:val="20"/>
                <w:szCs w:val="20"/>
              </w:rPr>
            </w:pPr>
            <w:r w:rsidRPr="002B0BFE">
              <w:rPr>
                <w:rFonts w:ascii="Arial" w:hAnsi="Arial" w:cs="Arial"/>
                <w:b/>
                <w:bCs/>
                <w:sz w:val="20"/>
                <w:szCs w:val="20"/>
              </w:rPr>
              <w:t>Container</w:t>
            </w:r>
          </w:p>
        </w:tc>
        <w:tc>
          <w:tcPr>
            <w:tcW w:w="1593" w:type="dxa"/>
            <w:vAlign w:val="center"/>
          </w:tcPr>
          <w:p w14:paraId="2552B99C" w14:textId="75854E7F" w:rsidR="00FF33A9" w:rsidRPr="002B0BFE" w:rsidRDefault="006B6EE8" w:rsidP="00A40833">
            <w:pPr>
              <w:spacing w:line="360" w:lineRule="auto"/>
              <w:jc w:val="center"/>
              <w:rPr>
                <w:rFonts w:ascii="Arial" w:hAnsi="Arial" w:cs="Arial"/>
                <w:b/>
                <w:bCs/>
                <w:sz w:val="20"/>
                <w:szCs w:val="20"/>
              </w:rPr>
            </w:pPr>
            <w:r>
              <w:rPr>
                <w:rFonts w:ascii="Arial" w:hAnsi="Arial" w:cs="Arial"/>
                <w:b/>
                <w:bCs/>
                <w:sz w:val="20"/>
                <w:szCs w:val="20"/>
              </w:rPr>
              <w:t>Total Variable Cost</w:t>
            </w:r>
          </w:p>
        </w:tc>
      </w:tr>
      <w:tr w:rsidR="00FF33A9" w:rsidRPr="007E37EC" w14:paraId="7A1E3579" w14:textId="77777777" w:rsidTr="00FF76EA">
        <w:trPr>
          <w:trHeight w:val="510"/>
        </w:trPr>
        <w:tc>
          <w:tcPr>
            <w:tcW w:w="1591" w:type="dxa"/>
            <w:vAlign w:val="center"/>
          </w:tcPr>
          <w:p w14:paraId="3CAAA614" w14:textId="2608A52F" w:rsidR="00FF33A9" w:rsidRPr="007E37EC" w:rsidRDefault="00FF33A9" w:rsidP="00A40833">
            <w:pPr>
              <w:spacing w:line="360" w:lineRule="auto"/>
              <w:jc w:val="center"/>
              <w:rPr>
                <w:rFonts w:ascii="Arial" w:hAnsi="Arial" w:cs="Arial"/>
                <w:sz w:val="20"/>
                <w:szCs w:val="20"/>
              </w:rPr>
            </w:pPr>
            <w:proofErr w:type="spellStart"/>
            <w:r w:rsidRPr="007E37EC">
              <w:rPr>
                <w:rFonts w:ascii="Arial" w:hAnsi="Arial" w:cs="Arial"/>
                <w:b/>
                <w:bCs/>
                <w:color w:val="000000" w:themeColor="text1"/>
                <w:sz w:val="20"/>
                <w:szCs w:val="20"/>
              </w:rPr>
              <w:t>Coochbehar</w:t>
            </w:r>
            <w:proofErr w:type="spellEnd"/>
            <w:r w:rsidR="00E2475E">
              <w:rPr>
                <w:rFonts w:ascii="Arial" w:hAnsi="Arial" w:cs="Arial"/>
                <w:b/>
                <w:bCs/>
                <w:color w:val="000000" w:themeColor="text1"/>
                <w:sz w:val="20"/>
                <w:szCs w:val="20"/>
              </w:rPr>
              <w:t>-</w:t>
            </w:r>
            <w:r w:rsidRPr="007E37EC">
              <w:rPr>
                <w:rFonts w:ascii="Arial" w:hAnsi="Arial" w:cs="Arial"/>
                <w:b/>
                <w:bCs/>
                <w:color w:val="000000" w:themeColor="text1"/>
                <w:sz w:val="20"/>
                <w:szCs w:val="20"/>
              </w:rPr>
              <w:t>II</w:t>
            </w:r>
          </w:p>
        </w:tc>
        <w:tc>
          <w:tcPr>
            <w:tcW w:w="1591" w:type="dxa"/>
            <w:vAlign w:val="center"/>
          </w:tcPr>
          <w:p w14:paraId="79B2109F"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pacing w:val="-2"/>
                <w:sz w:val="20"/>
                <w:szCs w:val="20"/>
              </w:rPr>
              <w:t>6188.62</w:t>
            </w:r>
          </w:p>
        </w:tc>
        <w:tc>
          <w:tcPr>
            <w:tcW w:w="1593" w:type="dxa"/>
            <w:vAlign w:val="center"/>
          </w:tcPr>
          <w:p w14:paraId="3F34AF47"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pacing w:val="-2"/>
                <w:sz w:val="20"/>
                <w:szCs w:val="20"/>
              </w:rPr>
              <w:t>1,683.20</w:t>
            </w:r>
          </w:p>
        </w:tc>
        <w:tc>
          <w:tcPr>
            <w:tcW w:w="1593" w:type="dxa"/>
            <w:vAlign w:val="center"/>
          </w:tcPr>
          <w:p w14:paraId="63351906"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pacing w:val="-2"/>
                <w:sz w:val="20"/>
                <w:szCs w:val="20"/>
              </w:rPr>
              <w:t>260.91</w:t>
            </w:r>
          </w:p>
        </w:tc>
        <w:tc>
          <w:tcPr>
            <w:tcW w:w="1593" w:type="dxa"/>
            <w:vAlign w:val="center"/>
          </w:tcPr>
          <w:p w14:paraId="070DDA0B"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pacing w:val="-2"/>
                <w:sz w:val="20"/>
                <w:szCs w:val="20"/>
              </w:rPr>
              <w:t>942.43</w:t>
            </w:r>
          </w:p>
        </w:tc>
        <w:tc>
          <w:tcPr>
            <w:tcW w:w="1593" w:type="dxa"/>
            <w:vAlign w:val="center"/>
          </w:tcPr>
          <w:p w14:paraId="397289D3"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z w:val="20"/>
                <w:szCs w:val="20"/>
              </w:rPr>
              <w:t>9075.16</w:t>
            </w:r>
          </w:p>
        </w:tc>
      </w:tr>
      <w:tr w:rsidR="00FF33A9" w:rsidRPr="007E37EC" w14:paraId="0FDEEE40" w14:textId="77777777" w:rsidTr="00FF76EA">
        <w:trPr>
          <w:trHeight w:val="255"/>
        </w:trPr>
        <w:tc>
          <w:tcPr>
            <w:tcW w:w="1591" w:type="dxa"/>
            <w:vAlign w:val="center"/>
          </w:tcPr>
          <w:p w14:paraId="73F64A48" w14:textId="3CFC3947" w:rsidR="00FF33A9" w:rsidRPr="007E37EC" w:rsidRDefault="00FF33A9" w:rsidP="00A40833">
            <w:pPr>
              <w:spacing w:line="360" w:lineRule="auto"/>
              <w:jc w:val="center"/>
              <w:rPr>
                <w:rFonts w:ascii="Arial" w:hAnsi="Arial" w:cs="Arial"/>
                <w:sz w:val="20"/>
                <w:szCs w:val="20"/>
              </w:rPr>
            </w:pPr>
            <w:proofErr w:type="spellStart"/>
            <w:r w:rsidRPr="007E37EC">
              <w:rPr>
                <w:rFonts w:ascii="Arial" w:hAnsi="Arial" w:cs="Arial"/>
                <w:b/>
                <w:bCs/>
                <w:color w:val="000000" w:themeColor="text1"/>
                <w:spacing w:val="-2"/>
                <w:sz w:val="20"/>
                <w:szCs w:val="20"/>
              </w:rPr>
              <w:t>Tufanganj</w:t>
            </w:r>
            <w:proofErr w:type="spellEnd"/>
            <w:r w:rsidR="00E2475E">
              <w:rPr>
                <w:rFonts w:ascii="Arial" w:hAnsi="Arial" w:cs="Arial"/>
                <w:b/>
                <w:bCs/>
                <w:color w:val="000000" w:themeColor="text1"/>
                <w:spacing w:val="-2"/>
                <w:sz w:val="20"/>
                <w:szCs w:val="20"/>
              </w:rPr>
              <w:t>-</w:t>
            </w:r>
            <w:r w:rsidRPr="007E37EC">
              <w:rPr>
                <w:rFonts w:ascii="Arial" w:hAnsi="Arial" w:cs="Arial"/>
                <w:b/>
                <w:bCs/>
                <w:color w:val="000000" w:themeColor="text1"/>
                <w:spacing w:val="-2"/>
                <w:sz w:val="20"/>
                <w:szCs w:val="20"/>
              </w:rPr>
              <w:t>I</w:t>
            </w:r>
          </w:p>
        </w:tc>
        <w:tc>
          <w:tcPr>
            <w:tcW w:w="1591" w:type="dxa"/>
            <w:vAlign w:val="center"/>
          </w:tcPr>
          <w:p w14:paraId="4A8C9894"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pacing w:val="-2"/>
                <w:sz w:val="20"/>
                <w:szCs w:val="20"/>
              </w:rPr>
              <w:t>5172.16</w:t>
            </w:r>
          </w:p>
        </w:tc>
        <w:tc>
          <w:tcPr>
            <w:tcW w:w="1593" w:type="dxa"/>
            <w:vAlign w:val="center"/>
          </w:tcPr>
          <w:p w14:paraId="0EC63950"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pacing w:val="-2"/>
                <w:sz w:val="20"/>
                <w:szCs w:val="20"/>
              </w:rPr>
              <w:t>1,763.62</w:t>
            </w:r>
          </w:p>
        </w:tc>
        <w:tc>
          <w:tcPr>
            <w:tcW w:w="1593" w:type="dxa"/>
            <w:vAlign w:val="center"/>
          </w:tcPr>
          <w:p w14:paraId="659179D8"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pacing w:val="-2"/>
                <w:sz w:val="20"/>
                <w:szCs w:val="20"/>
              </w:rPr>
              <w:t>241.00</w:t>
            </w:r>
          </w:p>
        </w:tc>
        <w:tc>
          <w:tcPr>
            <w:tcW w:w="1593" w:type="dxa"/>
            <w:vAlign w:val="center"/>
          </w:tcPr>
          <w:p w14:paraId="18FC2DC3"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pacing w:val="-2"/>
                <w:sz w:val="20"/>
                <w:szCs w:val="20"/>
              </w:rPr>
              <w:t>732.84</w:t>
            </w:r>
          </w:p>
        </w:tc>
        <w:tc>
          <w:tcPr>
            <w:tcW w:w="1593" w:type="dxa"/>
            <w:vAlign w:val="center"/>
          </w:tcPr>
          <w:p w14:paraId="1D744099"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z w:val="20"/>
                <w:szCs w:val="20"/>
              </w:rPr>
              <w:t>7909.62</w:t>
            </w:r>
          </w:p>
        </w:tc>
      </w:tr>
      <w:tr w:rsidR="00FF33A9" w:rsidRPr="007E37EC" w14:paraId="7E93FE78" w14:textId="77777777" w:rsidTr="00FF76EA">
        <w:trPr>
          <w:trHeight w:val="255"/>
        </w:trPr>
        <w:tc>
          <w:tcPr>
            <w:tcW w:w="1591" w:type="dxa"/>
            <w:vAlign w:val="center"/>
          </w:tcPr>
          <w:p w14:paraId="7666B75B" w14:textId="0DEEE750" w:rsidR="00FF33A9" w:rsidRPr="007E37EC" w:rsidRDefault="00FF33A9" w:rsidP="00A40833">
            <w:pPr>
              <w:spacing w:line="360" w:lineRule="auto"/>
              <w:jc w:val="center"/>
              <w:rPr>
                <w:rFonts w:ascii="Arial" w:hAnsi="Arial" w:cs="Arial"/>
                <w:sz w:val="20"/>
                <w:szCs w:val="20"/>
              </w:rPr>
            </w:pPr>
            <w:proofErr w:type="spellStart"/>
            <w:r w:rsidRPr="007E37EC">
              <w:rPr>
                <w:rFonts w:ascii="Arial" w:hAnsi="Arial" w:cs="Arial"/>
                <w:b/>
                <w:bCs/>
                <w:color w:val="000000" w:themeColor="text1"/>
                <w:sz w:val="20"/>
                <w:szCs w:val="20"/>
              </w:rPr>
              <w:t>Alipurduar</w:t>
            </w:r>
            <w:proofErr w:type="spellEnd"/>
            <w:r w:rsidR="00E2475E">
              <w:rPr>
                <w:rFonts w:ascii="Arial" w:hAnsi="Arial" w:cs="Arial"/>
                <w:b/>
                <w:bCs/>
                <w:color w:val="000000" w:themeColor="text1"/>
                <w:sz w:val="20"/>
                <w:szCs w:val="20"/>
              </w:rPr>
              <w:t>-</w:t>
            </w:r>
            <w:r w:rsidRPr="007E37EC">
              <w:rPr>
                <w:rFonts w:ascii="Arial" w:hAnsi="Arial" w:cs="Arial"/>
                <w:b/>
                <w:bCs/>
                <w:color w:val="000000" w:themeColor="text1"/>
                <w:spacing w:val="-10"/>
                <w:sz w:val="20"/>
                <w:szCs w:val="20"/>
              </w:rPr>
              <w:t>I</w:t>
            </w:r>
          </w:p>
        </w:tc>
        <w:tc>
          <w:tcPr>
            <w:tcW w:w="1591" w:type="dxa"/>
            <w:vAlign w:val="center"/>
          </w:tcPr>
          <w:p w14:paraId="5D952168"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pacing w:val="-2"/>
                <w:sz w:val="20"/>
                <w:szCs w:val="20"/>
              </w:rPr>
              <w:t>5542.35</w:t>
            </w:r>
          </w:p>
        </w:tc>
        <w:tc>
          <w:tcPr>
            <w:tcW w:w="1593" w:type="dxa"/>
            <w:vAlign w:val="center"/>
          </w:tcPr>
          <w:p w14:paraId="3D2F7CA8"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pacing w:val="-2"/>
                <w:sz w:val="20"/>
                <w:szCs w:val="20"/>
              </w:rPr>
              <w:t>1,607.95</w:t>
            </w:r>
          </w:p>
        </w:tc>
        <w:tc>
          <w:tcPr>
            <w:tcW w:w="1593" w:type="dxa"/>
            <w:vAlign w:val="center"/>
          </w:tcPr>
          <w:p w14:paraId="61CE05C2"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pacing w:val="-2"/>
                <w:sz w:val="20"/>
                <w:szCs w:val="20"/>
              </w:rPr>
              <w:t>240.00</w:t>
            </w:r>
          </w:p>
        </w:tc>
        <w:tc>
          <w:tcPr>
            <w:tcW w:w="1593" w:type="dxa"/>
            <w:vAlign w:val="center"/>
          </w:tcPr>
          <w:p w14:paraId="37BFBD51"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pacing w:val="-2"/>
                <w:sz w:val="20"/>
                <w:szCs w:val="20"/>
              </w:rPr>
              <w:t>760.38</w:t>
            </w:r>
          </w:p>
        </w:tc>
        <w:tc>
          <w:tcPr>
            <w:tcW w:w="1593" w:type="dxa"/>
            <w:vAlign w:val="center"/>
          </w:tcPr>
          <w:p w14:paraId="51CE9E19"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z w:val="20"/>
                <w:szCs w:val="20"/>
              </w:rPr>
              <w:t>8150.68</w:t>
            </w:r>
          </w:p>
        </w:tc>
      </w:tr>
      <w:tr w:rsidR="00FF33A9" w:rsidRPr="007E37EC" w14:paraId="6760DD39" w14:textId="77777777" w:rsidTr="00FF76EA">
        <w:trPr>
          <w:trHeight w:val="255"/>
        </w:trPr>
        <w:tc>
          <w:tcPr>
            <w:tcW w:w="1591" w:type="dxa"/>
            <w:vAlign w:val="center"/>
          </w:tcPr>
          <w:p w14:paraId="0E96362F" w14:textId="47213143" w:rsidR="00FF33A9" w:rsidRPr="007E37EC" w:rsidRDefault="00FF33A9" w:rsidP="00A40833">
            <w:pPr>
              <w:spacing w:line="360" w:lineRule="auto"/>
              <w:jc w:val="center"/>
              <w:rPr>
                <w:rFonts w:ascii="Arial" w:hAnsi="Arial" w:cs="Arial"/>
                <w:sz w:val="20"/>
                <w:szCs w:val="20"/>
              </w:rPr>
            </w:pPr>
            <w:proofErr w:type="spellStart"/>
            <w:r w:rsidRPr="007E37EC">
              <w:rPr>
                <w:rFonts w:ascii="Arial" w:hAnsi="Arial" w:cs="Arial"/>
                <w:b/>
                <w:bCs/>
                <w:color w:val="000000" w:themeColor="text1"/>
                <w:sz w:val="20"/>
                <w:szCs w:val="20"/>
              </w:rPr>
              <w:t>Alipurduar</w:t>
            </w:r>
            <w:proofErr w:type="spellEnd"/>
            <w:r w:rsidR="00E2475E">
              <w:rPr>
                <w:rFonts w:ascii="Arial" w:hAnsi="Arial" w:cs="Arial"/>
                <w:b/>
                <w:bCs/>
                <w:color w:val="000000" w:themeColor="text1"/>
                <w:sz w:val="20"/>
                <w:szCs w:val="20"/>
              </w:rPr>
              <w:t>-</w:t>
            </w:r>
            <w:r w:rsidRPr="007E37EC">
              <w:rPr>
                <w:rFonts w:ascii="Arial" w:hAnsi="Arial" w:cs="Arial"/>
                <w:b/>
                <w:bCs/>
                <w:color w:val="000000" w:themeColor="text1"/>
                <w:spacing w:val="-5"/>
                <w:sz w:val="20"/>
                <w:szCs w:val="20"/>
              </w:rPr>
              <w:t>II</w:t>
            </w:r>
          </w:p>
        </w:tc>
        <w:tc>
          <w:tcPr>
            <w:tcW w:w="1591" w:type="dxa"/>
            <w:vAlign w:val="center"/>
          </w:tcPr>
          <w:p w14:paraId="33A974D4"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pacing w:val="-2"/>
                <w:sz w:val="20"/>
                <w:szCs w:val="20"/>
              </w:rPr>
              <w:t>6051.45</w:t>
            </w:r>
          </w:p>
        </w:tc>
        <w:tc>
          <w:tcPr>
            <w:tcW w:w="1593" w:type="dxa"/>
            <w:vAlign w:val="center"/>
          </w:tcPr>
          <w:p w14:paraId="06F3B4FF"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pacing w:val="-2"/>
                <w:sz w:val="20"/>
                <w:szCs w:val="20"/>
              </w:rPr>
              <w:t>2,103.75</w:t>
            </w:r>
          </w:p>
        </w:tc>
        <w:tc>
          <w:tcPr>
            <w:tcW w:w="1593" w:type="dxa"/>
            <w:vAlign w:val="center"/>
          </w:tcPr>
          <w:p w14:paraId="4E735528"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pacing w:val="-2"/>
                <w:sz w:val="20"/>
                <w:szCs w:val="20"/>
              </w:rPr>
              <w:t>241.67</w:t>
            </w:r>
          </w:p>
        </w:tc>
        <w:tc>
          <w:tcPr>
            <w:tcW w:w="1593" w:type="dxa"/>
            <w:vAlign w:val="center"/>
          </w:tcPr>
          <w:p w14:paraId="3996B40D"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pacing w:val="-2"/>
                <w:sz w:val="20"/>
                <w:szCs w:val="20"/>
              </w:rPr>
              <w:t>795.00</w:t>
            </w:r>
          </w:p>
        </w:tc>
        <w:tc>
          <w:tcPr>
            <w:tcW w:w="1593" w:type="dxa"/>
            <w:vAlign w:val="center"/>
          </w:tcPr>
          <w:p w14:paraId="65862C5D"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color w:val="000000" w:themeColor="text1"/>
                <w:sz w:val="20"/>
                <w:szCs w:val="20"/>
              </w:rPr>
              <w:t>9191.87</w:t>
            </w:r>
          </w:p>
        </w:tc>
      </w:tr>
      <w:tr w:rsidR="00FF33A9" w:rsidRPr="007E37EC" w14:paraId="7E268A4E" w14:textId="77777777" w:rsidTr="00FF76EA">
        <w:trPr>
          <w:trHeight w:val="255"/>
        </w:trPr>
        <w:tc>
          <w:tcPr>
            <w:tcW w:w="1591" w:type="dxa"/>
            <w:vAlign w:val="center"/>
          </w:tcPr>
          <w:p w14:paraId="0A13D410" w14:textId="72DA5D6C" w:rsidR="00FF33A9" w:rsidRPr="007E37EC" w:rsidRDefault="00174E12" w:rsidP="00A40833">
            <w:pPr>
              <w:spacing w:line="360" w:lineRule="auto"/>
              <w:jc w:val="center"/>
              <w:rPr>
                <w:rFonts w:ascii="Arial" w:hAnsi="Arial" w:cs="Arial"/>
                <w:sz w:val="20"/>
                <w:szCs w:val="20"/>
              </w:rPr>
            </w:pPr>
            <w:r>
              <w:rPr>
                <w:rFonts w:ascii="Arial" w:hAnsi="Arial" w:cs="Arial"/>
                <w:b/>
                <w:bCs/>
                <w:sz w:val="20"/>
                <w:szCs w:val="20"/>
                <w:lang w:val="en-US"/>
              </w:rPr>
              <w:t>Average</w:t>
            </w:r>
          </w:p>
        </w:tc>
        <w:tc>
          <w:tcPr>
            <w:tcW w:w="1591" w:type="dxa"/>
            <w:vAlign w:val="center"/>
          </w:tcPr>
          <w:p w14:paraId="35BB230F"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b/>
                <w:bCs/>
                <w:color w:val="000000" w:themeColor="text1"/>
                <w:spacing w:val="-2"/>
                <w:sz w:val="20"/>
                <w:szCs w:val="20"/>
              </w:rPr>
              <w:t>5750.74</w:t>
            </w:r>
          </w:p>
        </w:tc>
        <w:tc>
          <w:tcPr>
            <w:tcW w:w="1593" w:type="dxa"/>
            <w:vAlign w:val="center"/>
          </w:tcPr>
          <w:p w14:paraId="673CC798"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b/>
                <w:bCs/>
                <w:color w:val="000000" w:themeColor="text1"/>
                <w:spacing w:val="-2"/>
                <w:sz w:val="20"/>
                <w:szCs w:val="20"/>
              </w:rPr>
              <w:t>1780.83</w:t>
            </w:r>
          </w:p>
        </w:tc>
        <w:tc>
          <w:tcPr>
            <w:tcW w:w="1593" w:type="dxa"/>
            <w:vAlign w:val="center"/>
          </w:tcPr>
          <w:p w14:paraId="21C2078F"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b/>
                <w:bCs/>
                <w:color w:val="000000" w:themeColor="text1"/>
                <w:spacing w:val="-2"/>
                <w:sz w:val="20"/>
                <w:szCs w:val="20"/>
              </w:rPr>
              <w:t>248.06</w:t>
            </w:r>
          </w:p>
        </w:tc>
        <w:tc>
          <w:tcPr>
            <w:tcW w:w="1593" w:type="dxa"/>
            <w:vAlign w:val="center"/>
          </w:tcPr>
          <w:p w14:paraId="2BA8BDA9"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b/>
                <w:bCs/>
                <w:color w:val="000000" w:themeColor="text1"/>
                <w:spacing w:val="-2"/>
                <w:sz w:val="20"/>
                <w:szCs w:val="20"/>
              </w:rPr>
              <w:t>822.80</w:t>
            </w:r>
          </w:p>
        </w:tc>
        <w:tc>
          <w:tcPr>
            <w:tcW w:w="1593" w:type="dxa"/>
            <w:vAlign w:val="center"/>
          </w:tcPr>
          <w:p w14:paraId="0380C587" w14:textId="77777777" w:rsidR="00FF33A9" w:rsidRPr="007E37EC" w:rsidRDefault="00FF33A9" w:rsidP="00A40833">
            <w:pPr>
              <w:spacing w:line="360" w:lineRule="auto"/>
              <w:jc w:val="center"/>
              <w:rPr>
                <w:rFonts w:ascii="Arial" w:hAnsi="Arial" w:cs="Arial"/>
                <w:sz w:val="20"/>
                <w:szCs w:val="20"/>
              </w:rPr>
            </w:pPr>
            <w:r w:rsidRPr="007E37EC">
              <w:rPr>
                <w:rFonts w:ascii="Arial" w:hAnsi="Arial" w:cs="Arial"/>
                <w:b/>
                <w:bCs/>
                <w:color w:val="000000" w:themeColor="text1"/>
                <w:sz w:val="20"/>
                <w:szCs w:val="20"/>
              </w:rPr>
              <w:t>8602.43</w:t>
            </w:r>
          </w:p>
        </w:tc>
      </w:tr>
    </w:tbl>
    <w:p w14:paraId="228D6E63" w14:textId="26D08F07" w:rsidR="0049610B" w:rsidRPr="007E37EC" w:rsidRDefault="0049610B" w:rsidP="00A40833">
      <w:pPr>
        <w:spacing w:after="0"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Source: Primary data collected through field survey (April 2024- March 2025)</w:t>
      </w:r>
    </w:p>
    <w:p w14:paraId="77029659" w14:textId="77777777" w:rsidR="003800DB" w:rsidRDefault="003800DB" w:rsidP="00A40833">
      <w:pPr>
        <w:spacing w:after="0" w:line="360" w:lineRule="auto"/>
        <w:jc w:val="both"/>
        <w:rPr>
          <w:rFonts w:ascii="Arial" w:hAnsi="Arial" w:cs="Arial"/>
          <w:color w:val="000000" w:themeColor="text1"/>
          <w:sz w:val="20"/>
          <w:szCs w:val="20"/>
        </w:rPr>
      </w:pPr>
    </w:p>
    <w:p w14:paraId="7DED90C8" w14:textId="2BA8F75D" w:rsidR="00C63C30" w:rsidRPr="007E37EC" w:rsidRDefault="00C63C30" w:rsidP="00A40833">
      <w:pPr>
        <w:spacing w:after="0" w:line="360" w:lineRule="auto"/>
        <w:jc w:val="both"/>
        <w:rPr>
          <w:rFonts w:ascii="Arial" w:eastAsia="Times New Roman" w:hAnsi="Arial" w:cs="Arial"/>
          <w:kern w:val="0"/>
          <w:sz w:val="20"/>
          <w:szCs w:val="20"/>
          <w:lang w:eastAsia="en-IN"/>
          <w14:ligatures w14:val="none"/>
        </w:rPr>
      </w:pPr>
      <w:r w:rsidRPr="007E37EC">
        <w:rPr>
          <w:rFonts w:ascii="Arial" w:eastAsia="Times New Roman" w:hAnsi="Arial" w:cs="Arial"/>
          <w:kern w:val="0"/>
          <w:sz w:val="20"/>
          <w:szCs w:val="20"/>
          <w:lang w:eastAsia="en-IN"/>
          <w14:ligatures w14:val="none"/>
        </w:rPr>
        <w:t xml:space="preserve">The table presents the total variable costs per day for sweet curd production across four </w:t>
      </w:r>
      <w:proofErr w:type="spellStart"/>
      <w:r w:rsidRPr="007E37EC">
        <w:rPr>
          <w:rFonts w:ascii="Arial" w:eastAsia="Times New Roman" w:hAnsi="Arial" w:cs="Arial"/>
          <w:kern w:val="0"/>
          <w:sz w:val="20"/>
          <w:szCs w:val="20"/>
          <w:lang w:eastAsia="en-IN"/>
          <w14:ligatures w14:val="none"/>
        </w:rPr>
        <w:t>Terai</w:t>
      </w:r>
      <w:proofErr w:type="spellEnd"/>
      <w:r w:rsidRPr="007E37EC">
        <w:rPr>
          <w:rFonts w:ascii="Arial" w:eastAsia="Times New Roman" w:hAnsi="Arial" w:cs="Arial"/>
          <w:kern w:val="0"/>
          <w:sz w:val="20"/>
          <w:szCs w:val="20"/>
          <w:lang w:eastAsia="en-IN"/>
          <w14:ligatures w14:val="none"/>
        </w:rPr>
        <w:t xml:space="preserve"> blocks, based on data from 31 surveyed firms. These costs include fluid milk, sugar, fuel, and containers, with an average annual expenditure of Rs 8,602.43 per firm. Fluid milk represents the largest cost component, accounting for 66.8% of the total (averaging Rs 5,750.74), highlighting its central role in sweet curd production. Sugar comprises 20.7% (Rs 1,780.83), with notable regional variation: </w:t>
      </w:r>
      <w:proofErr w:type="spellStart"/>
      <w:r w:rsidRPr="007E37EC">
        <w:rPr>
          <w:rFonts w:ascii="Arial" w:eastAsia="Times New Roman" w:hAnsi="Arial" w:cs="Arial"/>
          <w:kern w:val="0"/>
          <w:sz w:val="20"/>
          <w:szCs w:val="20"/>
          <w:lang w:eastAsia="en-IN"/>
          <w14:ligatures w14:val="none"/>
        </w:rPr>
        <w:t>Coochbehar</w:t>
      </w:r>
      <w:proofErr w:type="spellEnd"/>
      <w:r w:rsidR="00E2475E">
        <w:rPr>
          <w:rFonts w:ascii="Arial" w:eastAsia="Times New Roman" w:hAnsi="Arial" w:cs="Arial"/>
          <w:kern w:val="0"/>
          <w:sz w:val="20"/>
          <w:szCs w:val="20"/>
          <w:lang w:eastAsia="en-IN"/>
          <w14:ligatures w14:val="none"/>
        </w:rPr>
        <w:t>-</w:t>
      </w:r>
      <w:r w:rsidRPr="007E37EC">
        <w:rPr>
          <w:rFonts w:ascii="Arial" w:eastAsia="Times New Roman" w:hAnsi="Arial" w:cs="Arial"/>
          <w:kern w:val="0"/>
          <w:sz w:val="20"/>
          <w:szCs w:val="20"/>
          <w:lang w:eastAsia="en-IN"/>
          <w14:ligatures w14:val="none"/>
        </w:rPr>
        <w:t xml:space="preserve">II reports the lowest average at Rs 1,683, while </w:t>
      </w:r>
      <w:proofErr w:type="spellStart"/>
      <w:r w:rsidRPr="007E37EC">
        <w:rPr>
          <w:rFonts w:ascii="Arial" w:eastAsia="Times New Roman" w:hAnsi="Arial" w:cs="Arial"/>
          <w:kern w:val="0"/>
          <w:sz w:val="20"/>
          <w:szCs w:val="20"/>
          <w:lang w:eastAsia="en-IN"/>
          <w14:ligatures w14:val="none"/>
        </w:rPr>
        <w:t>Alipurduar</w:t>
      </w:r>
      <w:proofErr w:type="spellEnd"/>
      <w:r w:rsidR="00D4518B">
        <w:rPr>
          <w:rFonts w:ascii="Arial" w:eastAsia="Times New Roman" w:hAnsi="Arial" w:cs="Arial"/>
          <w:kern w:val="0"/>
          <w:sz w:val="20"/>
          <w:szCs w:val="20"/>
          <w:lang w:eastAsia="en-IN"/>
          <w14:ligatures w14:val="none"/>
        </w:rPr>
        <w:t>-</w:t>
      </w:r>
      <w:r w:rsidRPr="007E37EC">
        <w:rPr>
          <w:rFonts w:ascii="Arial" w:eastAsia="Times New Roman" w:hAnsi="Arial" w:cs="Arial"/>
          <w:kern w:val="0"/>
          <w:sz w:val="20"/>
          <w:szCs w:val="20"/>
          <w:lang w:eastAsia="en-IN"/>
          <w14:ligatures w14:val="none"/>
        </w:rPr>
        <w:t xml:space="preserve">II reports the highest at Rs 2,104. Fuel costs are relatively consistent, ranging from Rs 240 to Rs 262 (2.9%), and the average cost of containers is Rs 823 (9.6%), which increases with production volume. </w:t>
      </w:r>
      <w:proofErr w:type="spellStart"/>
      <w:r w:rsidRPr="007E37EC">
        <w:rPr>
          <w:rFonts w:ascii="Arial" w:eastAsia="Times New Roman" w:hAnsi="Arial" w:cs="Arial"/>
          <w:kern w:val="0"/>
          <w:sz w:val="20"/>
          <w:szCs w:val="20"/>
          <w:lang w:eastAsia="en-IN"/>
          <w14:ligatures w14:val="none"/>
        </w:rPr>
        <w:t>Coochbehar</w:t>
      </w:r>
      <w:proofErr w:type="spellEnd"/>
      <w:r w:rsidR="00E2475E">
        <w:rPr>
          <w:rFonts w:ascii="Arial" w:eastAsia="Times New Roman" w:hAnsi="Arial" w:cs="Arial"/>
          <w:kern w:val="0"/>
          <w:sz w:val="20"/>
          <w:szCs w:val="20"/>
          <w:lang w:eastAsia="en-IN"/>
          <w14:ligatures w14:val="none"/>
        </w:rPr>
        <w:t>-</w:t>
      </w:r>
      <w:r w:rsidRPr="007E37EC">
        <w:rPr>
          <w:rFonts w:ascii="Arial" w:eastAsia="Times New Roman" w:hAnsi="Arial" w:cs="Arial"/>
          <w:kern w:val="0"/>
          <w:sz w:val="20"/>
          <w:szCs w:val="20"/>
          <w:lang w:eastAsia="en-IN"/>
          <w14:ligatures w14:val="none"/>
        </w:rPr>
        <w:t xml:space="preserve">II incurs the highest total costs (Rs 9,075) due to greater milk usage, but benefits from economies of scale with 11 firms in operation. </w:t>
      </w:r>
      <w:proofErr w:type="spellStart"/>
      <w:r w:rsidR="00033F7D" w:rsidRPr="007E37EC">
        <w:rPr>
          <w:rFonts w:ascii="Arial" w:eastAsia="Times New Roman" w:hAnsi="Arial" w:cs="Arial"/>
          <w:kern w:val="0"/>
          <w:sz w:val="20"/>
          <w:szCs w:val="20"/>
          <w:lang w:eastAsia="en-IN"/>
          <w14:ligatures w14:val="none"/>
        </w:rPr>
        <w:t>Tufanganj</w:t>
      </w:r>
      <w:proofErr w:type="spellEnd"/>
      <w:r w:rsidR="00033F7D" w:rsidRPr="007E37EC">
        <w:rPr>
          <w:rFonts w:ascii="Arial" w:eastAsia="Times New Roman" w:hAnsi="Arial" w:cs="Arial"/>
          <w:kern w:val="0"/>
          <w:sz w:val="20"/>
          <w:szCs w:val="20"/>
          <w:lang w:eastAsia="en-IN"/>
          <w14:ligatures w14:val="none"/>
        </w:rPr>
        <w:t>-</w:t>
      </w:r>
      <w:r w:rsidRPr="007E37EC">
        <w:rPr>
          <w:rFonts w:ascii="Arial" w:eastAsia="Times New Roman" w:hAnsi="Arial" w:cs="Arial"/>
          <w:kern w:val="0"/>
          <w:sz w:val="20"/>
          <w:szCs w:val="20"/>
          <w:lang w:eastAsia="en-IN"/>
          <w14:ligatures w14:val="none"/>
        </w:rPr>
        <w:t xml:space="preserve"> I record the lowest costs (Rs 7,910), whereas the </w:t>
      </w:r>
      <w:proofErr w:type="spellStart"/>
      <w:r w:rsidRPr="007E37EC">
        <w:rPr>
          <w:rFonts w:ascii="Arial" w:eastAsia="Times New Roman" w:hAnsi="Arial" w:cs="Arial"/>
          <w:kern w:val="0"/>
          <w:sz w:val="20"/>
          <w:szCs w:val="20"/>
          <w:lang w:eastAsia="en-IN"/>
          <w14:ligatures w14:val="none"/>
        </w:rPr>
        <w:t>Alipurduar</w:t>
      </w:r>
      <w:proofErr w:type="spellEnd"/>
      <w:r w:rsidRPr="007E37EC">
        <w:rPr>
          <w:rFonts w:ascii="Arial" w:eastAsia="Times New Roman" w:hAnsi="Arial" w:cs="Arial"/>
          <w:kern w:val="0"/>
          <w:sz w:val="20"/>
          <w:szCs w:val="20"/>
          <w:lang w:eastAsia="en-IN"/>
          <w14:ligatures w14:val="none"/>
        </w:rPr>
        <w:t xml:space="preserve"> regions fall within the mid-range (Rs 8,151 to Rs 9,192).</w:t>
      </w:r>
    </w:p>
    <w:p w14:paraId="5DB5F24F" w14:textId="77777777" w:rsidR="00F25E7A" w:rsidRPr="007E37EC" w:rsidRDefault="00F25E7A" w:rsidP="00A40833">
      <w:pPr>
        <w:spacing w:line="360" w:lineRule="auto"/>
        <w:jc w:val="both"/>
        <w:rPr>
          <w:rFonts w:ascii="Arial" w:hAnsi="Arial" w:cs="Arial"/>
          <w:b/>
          <w:bCs/>
        </w:rPr>
      </w:pPr>
      <w:r w:rsidRPr="007E37EC">
        <w:rPr>
          <w:rFonts w:ascii="Arial" w:hAnsi="Arial" w:cs="Arial"/>
          <w:b/>
          <w:bCs/>
        </w:rPr>
        <w:t>3.3</w:t>
      </w:r>
      <w:r w:rsidRPr="007E37EC">
        <w:rPr>
          <w:rFonts w:ascii="Arial" w:hAnsi="Arial" w:cs="Arial"/>
          <w:b/>
          <w:bCs/>
          <w:color w:val="000000" w:themeColor="text1"/>
        </w:rPr>
        <w:t xml:space="preserve">Analysis of fixed costs </w:t>
      </w:r>
    </w:p>
    <w:p w14:paraId="281DB98F" w14:textId="1DF99E4A" w:rsidR="00F25E7A" w:rsidRPr="003800DB" w:rsidRDefault="00F25E7A" w:rsidP="00A40833">
      <w:pPr>
        <w:spacing w:line="360" w:lineRule="auto"/>
        <w:jc w:val="both"/>
        <w:rPr>
          <w:rFonts w:ascii="Arial" w:hAnsi="Arial" w:cs="Arial"/>
          <w:color w:val="000000" w:themeColor="text1"/>
          <w:sz w:val="20"/>
          <w:szCs w:val="20"/>
        </w:rPr>
      </w:pPr>
      <w:r w:rsidRPr="003800DB">
        <w:rPr>
          <w:rFonts w:ascii="Arial" w:hAnsi="Arial" w:cs="Arial"/>
          <w:b/>
          <w:bCs/>
          <w:color w:val="000000" w:themeColor="text1"/>
          <w:sz w:val="20"/>
          <w:szCs w:val="20"/>
        </w:rPr>
        <w:t xml:space="preserve">Table 3: </w:t>
      </w:r>
      <w:r w:rsidRPr="003800DB">
        <w:rPr>
          <w:rFonts w:ascii="Arial" w:hAnsi="Arial" w:cs="Arial"/>
          <w:color w:val="000000" w:themeColor="text1"/>
          <w:sz w:val="20"/>
          <w:szCs w:val="20"/>
        </w:rPr>
        <w:t xml:space="preserve">Calculation of depreciation on equipment and building </w:t>
      </w:r>
      <w:r w:rsidR="00475872" w:rsidRPr="003800DB">
        <w:rPr>
          <w:rFonts w:ascii="Arial" w:hAnsi="Arial" w:cs="Arial"/>
          <w:color w:val="000000" w:themeColor="text1"/>
          <w:sz w:val="20"/>
          <w:szCs w:val="20"/>
        </w:rPr>
        <w:t>(per</w:t>
      </w:r>
      <w:r w:rsidRPr="003800DB">
        <w:rPr>
          <w:rFonts w:ascii="Arial" w:hAnsi="Arial" w:cs="Arial"/>
          <w:color w:val="000000" w:themeColor="text1"/>
          <w:sz w:val="20"/>
          <w:szCs w:val="20"/>
        </w:rPr>
        <w:t xml:space="preserve"> firm per day in Rs.)</w:t>
      </w:r>
    </w:p>
    <w:tbl>
      <w:tblPr>
        <w:tblStyle w:val="TableGrid"/>
        <w:tblW w:w="9852" w:type="dxa"/>
        <w:tblLook w:val="04A0" w:firstRow="1" w:lastRow="0" w:firstColumn="1" w:lastColumn="0" w:noHBand="0" w:noVBand="1"/>
      </w:tblPr>
      <w:tblGrid>
        <w:gridCol w:w="1511"/>
        <w:gridCol w:w="1199"/>
        <w:gridCol w:w="1152"/>
        <w:gridCol w:w="1159"/>
        <w:gridCol w:w="1150"/>
        <w:gridCol w:w="1387"/>
        <w:gridCol w:w="1170"/>
        <w:gridCol w:w="1124"/>
      </w:tblGrid>
      <w:tr w:rsidR="006B6EE8" w:rsidRPr="007E37EC" w14:paraId="24A22D3C" w14:textId="77777777" w:rsidTr="000965F4">
        <w:trPr>
          <w:trHeight w:val="872"/>
        </w:trPr>
        <w:tc>
          <w:tcPr>
            <w:tcW w:w="1511" w:type="dxa"/>
          </w:tcPr>
          <w:p w14:paraId="2DC1E3B5" w14:textId="77777777" w:rsidR="00F72B93" w:rsidRPr="007E37EC" w:rsidRDefault="00F72B93" w:rsidP="00A40833">
            <w:pPr>
              <w:spacing w:line="360" w:lineRule="auto"/>
              <w:rPr>
                <w:rFonts w:ascii="Arial" w:hAnsi="Arial" w:cs="Arial"/>
                <w:b/>
                <w:bCs/>
                <w:sz w:val="20"/>
                <w:szCs w:val="20"/>
              </w:rPr>
            </w:pPr>
            <w:r w:rsidRPr="007E37EC">
              <w:rPr>
                <w:rFonts w:ascii="Arial" w:hAnsi="Arial" w:cs="Arial"/>
                <w:b/>
                <w:bCs/>
                <w:sz w:val="20"/>
                <w:szCs w:val="20"/>
              </w:rPr>
              <w:t>Blocks</w:t>
            </w:r>
          </w:p>
        </w:tc>
        <w:tc>
          <w:tcPr>
            <w:tcW w:w="1199" w:type="dxa"/>
          </w:tcPr>
          <w:p w14:paraId="0249758B" w14:textId="77777777" w:rsidR="00F72B93" w:rsidRPr="007E37EC" w:rsidRDefault="00F72B93" w:rsidP="00A40833">
            <w:pPr>
              <w:spacing w:line="360" w:lineRule="auto"/>
              <w:rPr>
                <w:rFonts w:ascii="Arial" w:hAnsi="Arial" w:cs="Arial"/>
                <w:b/>
                <w:bCs/>
                <w:sz w:val="20"/>
                <w:szCs w:val="20"/>
              </w:rPr>
            </w:pPr>
            <w:r w:rsidRPr="007E37EC">
              <w:rPr>
                <w:rFonts w:ascii="Arial" w:hAnsi="Arial" w:cs="Arial"/>
                <w:b/>
                <w:bCs/>
                <w:sz w:val="20"/>
                <w:szCs w:val="20"/>
              </w:rPr>
              <w:t>Cauldron</w:t>
            </w:r>
          </w:p>
        </w:tc>
        <w:tc>
          <w:tcPr>
            <w:tcW w:w="1152" w:type="dxa"/>
          </w:tcPr>
          <w:p w14:paraId="572F005B" w14:textId="77777777" w:rsidR="00F72B93" w:rsidRPr="007E37EC" w:rsidRDefault="00F72B93" w:rsidP="00A40833">
            <w:pPr>
              <w:spacing w:line="360" w:lineRule="auto"/>
              <w:rPr>
                <w:rFonts w:ascii="Arial" w:hAnsi="Arial" w:cs="Arial"/>
                <w:b/>
                <w:bCs/>
                <w:sz w:val="20"/>
                <w:szCs w:val="20"/>
              </w:rPr>
            </w:pPr>
            <w:r w:rsidRPr="007E37EC">
              <w:rPr>
                <w:rFonts w:ascii="Arial" w:hAnsi="Arial" w:cs="Arial"/>
                <w:b/>
                <w:bCs/>
                <w:sz w:val="20"/>
                <w:szCs w:val="20"/>
              </w:rPr>
              <w:t>Spatula</w:t>
            </w:r>
          </w:p>
        </w:tc>
        <w:tc>
          <w:tcPr>
            <w:tcW w:w="1159" w:type="dxa"/>
          </w:tcPr>
          <w:p w14:paraId="412D7901" w14:textId="77777777" w:rsidR="00F72B93" w:rsidRPr="007E37EC" w:rsidRDefault="00F72B93" w:rsidP="00A40833">
            <w:pPr>
              <w:spacing w:line="360" w:lineRule="auto"/>
              <w:rPr>
                <w:rFonts w:ascii="Arial" w:hAnsi="Arial" w:cs="Arial"/>
                <w:b/>
                <w:bCs/>
                <w:sz w:val="20"/>
                <w:szCs w:val="20"/>
              </w:rPr>
            </w:pPr>
            <w:r w:rsidRPr="007E37EC">
              <w:rPr>
                <w:rFonts w:ascii="Arial" w:hAnsi="Arial" w:cs="Arial"/>
                <w:b/>
                <w:bCs/>
                <w:sz w:val="20"/>
                <w:szCs w:val="20"/>
              </w:rPr>
              <w:t>Buckets</w:t>
            </w:r>
          </w:p>
        </w:tc>
        <w:tc>
          <w:tcPr>
            <w:tcW w:w="1150" w:type="dxa"/>
          </w:tcPr>
          <w:p w14:paraId="0887F2F5" w14:textId="77777777" w:rsidR="00F72B93" w:rsidRPr="007E37EC" w:rsidRDefault="00F72B93" w:rsidP="00A40833">
            <w:pPr>
              <w:spacing w:line="360" w:lineRule="auto"/>
              <w:rPr>
                <w:rFonts w:ascii="Arial" w:hAnsi="Arial" w:cs="Arial"/>
                <w:b/>
                <w:bCs/>
                <w:sz w:val="20"/>
                <w:szCs w:val="20"/>
              </w:rPr>
            </w:pPr>
            <w:r w:rsidRPr="007E37EC">
              <w:rPr>
                <w:rFonts w:ascii="Arial" w:hAnsi="Arial" w:cs="Arial"/>
                <w:b/>
                <w:bCs/>
                <w:sz w:val="20"/>
                <w:szCs w:val="20"/>
              </w:rPr>
              <w:t>Freezer</w:t>
            </w:r>
          </w:p>
        </w:tc>
        <w:tc>
          <w:tcPr>
            <w:tcW w:w="1387" w:type="dxa"/>
          </w:tcPr>
          <w:p w14:paraId="62806171" w14:textId="77777777" w:rsidR="00F72B93" w:rsidRPr="007E37EC" w:rsidRDefault="00F72B93" w:rsidP="00A40833">
            <w:pPr>
              <w:spacing w:line="360" w:lineRule="auto"/>
              <w:rPr>
                <w:rFonts w:ascii="Arial" w:hAnsi="Arial" w:cs="Arial"/>
                <w:b/>
                <w:bCs/>
                <w:sz w:val="20"/>
                <w:szCs w:val="20"/>
              </w:rPr>
            </w:pPr>
            <w:proofErr w:type="spellStart"/>
            <w:r w:rsidRPr="007E37EC">
              <w:rPr>
                <w:rFonts w:ascii="Arial" w:hAnsi="Arial" w:cs="Arial"/>
                <w:b/>
                <w:bCs/>
                <w:sz w:val="20"/>
                <w:szCs w:val="20"/>
              </w:rPr>
              <w:t>Tupri</w:t>
            </w:r>
            <w:proofErr w:type="spellEnd"/>
            <w:r w:rsidRPr="007E37EC">
              <w:rPr>
                <w:rFonts w:ascii="Arial" w:hAnsi="Arial" w:cs="Arial"/>
                <w:b/>
                <w:bCs/>
                <w:sz w:val="20"/>
                <w:szCs w:val="20"/>
              </w:rPr>
              <w:t>/Cover</w:t>
            </w:r>
          </w:p>
        </w:tc>
        <w:tc>
          <w:tcPr>
            <w:tcW w:w="1170" w:type="dxa"/>
          </w:tcPr>
          <w:p w14:paraId="72270DFB" w14:textId="77777777" w:rsidR="00F72B93" w:rsidRPr="007E37EC" w:rsidRDefault="00F72B93" w:rsidP="00A40833">
            <w:pPr>
              <w:spacing w:line="360" w:lineRule="auto"/>
              <w:rPr>
                <w:rFonts w:ascii="Arial" w:hAnsi="Arial" w:cs="Arial"/>
                <w:b/>
                <w:bCs/>
                <w:sz w:val="20"/>
                <w:szCs w:val="20"/>
              </w:rPr>
            </w:pPr>
            <w:r w:rsidRPr="007E37EC">
              <w:rPr>
                <w:rFonts w:ascii="Arial" w:hAnsi="Arial" w:cs="Arial"/>
                <w:b/>
                <w:bCs/>
                <w:sz w:val="20"/>
                <w:szCs w:val="20"/>
              </w:rPr>
              <w:t>Building</w:t>
            </w:r>
          </w:p>
        </w:tc>
        <w:tc>
          <w:tcPr>
            <w:tcW w:w="1124" w:type="dxa"/>
          </w:tcPr>
          <w:p w14:paraId="5F503F88" w14:textId="31811AD0" w:rsidR="00F72B93" w:rsidRPr="007E37EC" w:rsidRDefault="006B6EE8" w:rsidP="00A40833">
            <w:pPr>
              <w:spacing w:line="360" w:lineRule="auto"/>
              <w:rPr>
                <w:rFonts w:ascii="Arial" w:hAnsi="Arial" w:cs="Arial"/>
                <w:b/>
                <w:bCs/>
                <w:sz w:val="20"/>
                <w:szCs w:val="20"/>
              </w:rPr>
            </w:pPr>
            <w:r>
              <w:rPr>
                <w:rFonts w:ascii="Arial" w:hAnsi="Arial" w:cs="Arial"/>
                <w:b/>
                <w:bCs/>
                <w:sz w:val="20"/>
                <w:szCs w:val="20"/>
              </w:rPr>
              <w:t xml:space="preserve">Total </w:t>
            </w:r>
            <w:r w:rsidR="00F72B93" w:rsidRPr="007E37EC">
              <w:rPr>
                <w:rFonts w:ascii="Arial" w:hAnsi="Arial" w:cs="Arial"/>
                <w:b/>
                <w:bCs/>
                <w:sz w:val="20"/>
                <w:szCs w:val="20"/>
              </w:rPr>
              <w:t xml:space="preserve">Fixed </w:t>
            </w:r>
            <w:r>
              <w:rPr>
                <w:rFonts w:ascii="Arial" w:hAnsi="Arial" w:cs="Arial"/>
                <w:b/>
                <w:bCs/>
                <w:sz w:val="20"/>
                <w:szCs w:val="20"/>
              </w:rPr>
              <w:t>Cost</w:t>
            </w:r>
          </w:p>
        </w:tc>
      </w:tr>
      <w:tr w:rsidR="006B6EE8" w:rsidRPr="007E37EC" w14:paraId="54FE00AC" w14:textId="77777777" w:rsidTr="000965F4">
        <w:trPr>
          <w:trHeight w:val="510"/>
        </w:trPr>
        <w:tc>
          <w:tcPr>
            <w:tcW w:w="1511" w:type="dxa"/>
            <w:vAlign w:val="center"/>
          </w:tcPr>
          <w:p w14:paraId="7CAE0EB1" w14:textId="236EB030" w:rsidR="00F72B93" w:rsidRPr="007E37EC" w:rsidRDefault="00F72B93" w:rsidP="00A40833">
            <w:pPr>
              <w:spacing w:line="360" w:lineRule="auto"/>
              <w:rPr>
                <w:rFonts w:ascii="Arial" w:hAnsi="Arial" w:cs="Arial"/>
                <w:sz w:val="20"/>
                <w:szCs w:val="20"/>
              </w:rPr>
            </w:pPr>
            <w:proofErr w:type="spellStart"/>
            <w:r w:rsidRPr="007E37EC">
              <w:rPr>
                <w:rFonts w:ascii="Arial" w:hAnsi="Arial" w:cs="Arial"/>
                <w:b/>
                <w:bCs/>
                <w:color w:val="000000" w:themeColor="text1"/>
                <w:sz w:val="20"/>
                <w:szCs w:val="20"/>
              </w:rPr>
              <w:t>Coochbehar</w:t>
            </w:r>
            <w:proofErr w:type="spellEnd"/>
            <w:r w:rsidR="00E2475E">
              <w:rPr>
                <w:rFonts w:ascii="Arial" w:hAnsi="Arial" w:cs="Arial"/>
                <w:b/>
                <w:bCs/>
                <w:color w:val="000000" w:themeColor="text1"/>
                <w:sz w:val="20"/>
                <w:szCs w:val="20"/>
              </w:rPr>
              <w:t>-</w:t>
            </w:r>
            <w:r w:rsidRPr="007E37EC">
              <w:rPr>
                <w:rFonts w:ascii="Arial" w:hAnsi="Arial" w:cs="Arial"/>
                <w:b/>
                <w:bCs/>
                <w:color w:val="000000" w:themeColor="text1"/>
                <w:sz w:val="20"/>
                <w:szCs w:val="20"/>
              </w:rPr>
              <w:t>II</w:t>
            </w:r>
          </w:p>
        </w:tc>
        <w:tc>
          <w:tcPr>
            <w:tcW w:w="1199" w:type="dxa"/>
            <w:vAlign w:val="center"/>
          </w:tcPr>
          <w:p w14:paraId="3C768979"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17.06</w:t>
            </w:r>
          </w:p>
        </w:tc>
        <w:tc>
          <w:tcPr>
            <w:tcW w:w="1152" w:type="dxa"/>
            <w:vAlign w:val="center"/>
          </w:tcPr>
          <w:p w14:paraId="2A84B376"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1.68</w:t>
            </w:r>
          </w:p>
        </w:tc>
        <w:tc>
          <w:tcPr>
            <w:tcW w:w="1159" w:type="dxa"/>
            <w:vAlign w:val="center"/>
          </w:tcPr>
          <w:p w14:paraId="3FE57ACD"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4.33</w:t>
            </w:r>
          </w:p>
        </w:tc>
        <w:tc>
          <w:tcPr>
            <w:tcW w:w="1150" w:type="dxa"/>
            <w:vAlign w:val="center"/>
          </w:tcPr>
          <w:p w14:paraId="61A4E882"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78.95</w:t>
            </w:r>
          </w:p>
        </w:tc>
        <w:tc>
          <w:tcPr>
            <w:tcW w:w="1387" w:type="dxa"/>
            <w:vAlign w:val="center"/>
          </w:tcPr>
          <w:p w14:paraId="0E789B7F"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4.22</w:t>
            </w:r>
          </w:p>
        </w:tc>
        <w:tc>
          <w:tcPr>
            <w:tcW w:w="1170" w:type="dxa"/>
            <w:vAlign w:val="center"/>
          </w:tcPr>
          <w:p w14:paraId="43F20990"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rPr>
              <w:t>24.83</w:t>
            </w:r>
          </w:p>
        </w:tc>
        <w:tc>
          <w:tcPr>
            <w:tcW w:w="1124" w:type="dxa"/>
            <w:vAlign w:val="center"/>
          </w:tcPr>
          <w:p w14:paraId="3765BC85"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131.07</w:t>
            </w:r>
          </w:p>
        </w:tc>
      </w:tr>
      <w:tr w:rsidR="006B6EE8" w:rsidRPr="007E37EC" w14:paraId="70E8AA7D" w14:textId="77777777" w:rsidTr="000965F4">
        <w:trPr>
          <w:trHeight w:val="246"/>
        </w:trPr>
        <w:tc>
          <w:tcPr>
            <w:tcW w:w="1511" w:type="dxa"/>
            <w:vAlign w:val="center"/>
          </w:tcPr>
          <w:p w14:paraId="2F6CB5D4" w14:textId="445E0A07" w:rsidR="00F72B93" w:rsidRPr="007E37EC" w:rsidRDefault="00F72B93" w:rsidP="00A40833">
            <w:pPr>
              <w:spacing w:line="360" w:lineRule="auto"/>
              <w:rPr>
                <w:rFonts w:ascii="Arial" w:hAnsi="Arial" w:cs="Arial"/>
                <w:sz w:val="20"/>
                <w:szCs w:val="20"/>
              </w:rPr>
            </w:pPr>
            <w:proofErr w:type="spellStart"/>
            <w:r w:rsidRPr="007E37EC">
              <w:rPr>
                <w:rFonts w:ascii="Arial" w:hAnsi="Arial" w:cs="Arial"/>
                <w:b/>
                <w:bCs/>
                <w:color w:val="000000" w:themeColor="text1"/>
                <w:spacing w:val="-2"/>
                <w:sz w:val="20"/>
                <w:szCs w:val="20"/>
              </w:rPr>
              <w:t>Tufanganj</w:t>
            </w:r>
            <w:proofErr w:type="spellEnd"/>
            <w:r w:rsidR="00E2475E">
              <w:rPr>
                <w:rFonts w:ascii="Arial" w:hAnsi="Arial" w:cs="Arial"/>
                <w:b/>
                <w:bCs/>
                <w:color w:val="000000" w:themeColor="text1"/>
                <w:spacing w:val="-2"/>
                <w:sz w:val="20"/>
                <w:szCs w:val="20"/>
              </w:rPr>
              <w:t>-</w:t>
            </w:r>
            <w:r w:rsidRPr="007E37EC">
              <w:rPr>
                <w:rFonts w:ascii="Arial" w:hAnsi="Arial" w:cs="Arial"/>
                <w:b/>
                <w:bCs/>
                <w:color w:val="000000" w:themeColor="text1"/>
                <w:spacing w:val="-2"/>
                <w:sz w:val="20"/>
                <w:szCs w:val="20"/>
              </w:rPr>
              <w:t>I</w:t>
            </w:r>
          </w:p>
        </w:tc>
        <w:tc>
          <w:tcPr>
            <w:tcW w:w="1199" w:type="dxa"/>
            <w:vAlign w:val="center"/>
          </w:tcPr>
          <w:p w14:paraId="78885CB4"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15.76</w:t>
            </w:r>
          </w:p>
        </w:tc>
        <w:tc>
          <w:tcPr>
            <w:tcW w:w="1152" w:type="dxa"/>
            <w:vAlign w:val="center"/>
          </w:tcPr>
          <w:p w14:paraId="22596BAA"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1.55</w:t>
            </w:r>
          </w:p>
        </w:tc>
        <w:tc>
          <w:tcPr>
            <w:tcW w:w="1159" w:type="dxa"/>
            <w:vAlign w:val="center"/>
          </w:tcPr>
          <w:p w14:paraId="5B841F6A"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4.30</w:t>
            </w:r>
          </w:p>
        </w:tc>
        <w:tc>
          <w:tcPr>
            <w:tcW w:w="1150" w:type="dxa"/>
            <w:vAlign w:val="center"/>
          </w:tcPr>
          <w:p w14:paraId="76B60A5C"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84.11</w:t>
            </w:r>
          </w:p>
        </w:tc>
        <w:tc>
          <w:tcPr>
            <w:tcW w:w="1387" w:type="dxa"/>
            <w:vAlign w:val="center"/>
          </w:tcPr>
          <w:p w14:paraId="40B857FE"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4.50</w:t>
            </w:r>
          </w:p>
        </w:tc>
        <w:tc>
          <w:tcPr>
            <w:tcW w:w="1170" w:type="dxa"/>
            <w:vAlign w:val="center"/>
          </w:tcPr>
          <w:p w14:paraId="7B148CC0"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rPr>
              <w:t>29.73</w:t>
            </w:r>
          </w:p>
        </w:tc>
        <w:tc>
          <w:tcPr>
            <w:tcW w:w="1124" w:type="dxa"/>
            <w:vAlign w:val="center"/>
          </w:tcPr>
          <w:p w14:paraId="5E68AE04"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139.95</w:t>
            </w:r>
          </w:p>
        </w:tc>
      </w:tr>
      <w:tr w:rsidR="006B6EE8" w:rsidRPr="007E37EC" w14:paraId="4A5F2D90" w14:textId="77777777" w:rsidTr="000965F4">
        <w:trPr>
          <w:trHeight w:val="246"/>
        </w:trPr>
        <w:tc>
          <w:tcPr>
            <w:tcW w:w="1511" w:type="dxa"/>
            <w:vAlign w:val="center"/>
          </w:tcPr>
          <w:p w14:paraId="28E171DA" w14:textId="0E422345" w:rsidR="00F72B93" w:rsidRPr="007E37EC" w:rsidRDefault="00F72B93" w:rsidP="00A40833">
            <w:pPr>
              <w:spacing w:line="360" w:lineRule="auto"/>
              <w:rPr>
                <w:rFonts w:ascii="Arial" w:hAnsi="Arial" w:cs="Arial"/>
                <w:sz w:val="20"/>
                <w:szCs w:val="20"/>
              </w:rPr>
            </w:pPr>
            <w:proofErr w:type="spellStart"/>
            <w:r w:rsidRPr="007E37EC">
              <w:rPr>
                <w:rFonts w:ascii="Arial" w:hAnsi="Arial" w:cs="Arial"/>
                <w:b/>
                <w:bCs/>
                <w:color w:val="000000" w:themeColor="text1"/>
                <w:sz w:val="20"/>
                <w:szCs w:val="20"/>
              </w:rPr>
              <w:t>Alipurduar</w:t>
            </w:r>
            <w:proofErr w:type="spellEnd"/>
            <w:r w:rsidR="00E2475E">
              <w:rPr>
                <w:rFonts w:ascii="Arial" w:hAnsi="Arial" w:cs="Arial"/>
                <w:b/>
                <w:bCs/>
                <w:color w:val="000000" w:themeColor="text1"/>
                <w:sz w:val="20"/>
                <w:szCs w:val="20"/>
              </w:rPr>
              <w:t>-</w:t>
            </w:r>
            <w:r w:rsidRPr="007E37EC">
              <w:rPr>
                <w:rFonts w:ascii="Arial" w:hAnsi="Arial" w:cs="Arial"/>
                <w:b/>
                <w:bCs/>
                <w:color w:val="000000" w:themeColor="text1"/>
                <w:spacing w:val="-10"/>
                <w:sz w:val="20"/>
                <w:szCs w:val="20"/>
              </w:rPr>
              <w:t>I</w:t>
            </w:r>
          </w:p>
        </w:tc>
        <w:tc>
          <w:tcPr>
            <w:tcW w:w="1199" w:type="dxa"/>
            <w:vAlign w:val="center"/>
          </w:tcPr>
          <w:p w14:paraId="6BD97629"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15.31</w:t>
            </w:r>
          </w:p>
        </w:tc>
        <w:tc>
          <w:tcPr>
            <w:tcW w:w="1152" w:type="dxa"/>
            <w:vAlign w:val="center"/>
          </w:tcPr>
          <w:p w14:paraId="1096E50E"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1.31</w:t>
            </w:r>
          </w:p>
        </w:tc>
        <w:tc>
          <w:tcPr>
            <w:tcW w:w="1159" w:type="dxa"/>
            <w:vAlign w:val="center"/>
          </w:tcPr>
          <w:p w14:paraId="07DDFBC4"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3.82</w:t>
            </w:r>
          </w:p>
        </w:tc>
        <w:tc>
          <w:tcPr>
            <w:tcW w:w="1150" w:type="dxa"/>
            <w:vAlign w:val="center"/>
          </w:tcPr>
          <w:p w14:paraId="6A105216"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83.56</w:t>
            </w:r>
          </w:p>
        </w:tc>
        <w:tc>
          <w:tcPr>
            <w:tcW w:w="1387" w:type="dxa"/>
            <w:vAlign w:val="center"/>
          </w:tcPr>
          <w:p w14:paraId="0F2A0590"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3.80</w:t>
            </w:r>
          </w:p>
        </w:tc>
        <w:tc>
          <w:tcPr>
            <w:tcW w:w="1170" w:type="dxa"/>
            <w:vAlign w:val="center"/>
          </w:tcPr>
          <w:p w14:paraId="5A242A8C"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rPr>
              <w:t>22.60</w:t>
            </w:r>
          </w:p>
        </w:tc>
        <w:tc>
          <w:tcPr>
            <w:tcW w:w="1124" w:type="dxa"/>
            <w:vAlign w:val="center"/>
          </w:tcPr>
          <w:p w14:paraId="38811068"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130.40</w:t>
            </w:r>
          </w:p>
        </w:tc>
      </w:tr>
      <w:tr w:rsidR="006B6EE8" w:rsidRPr="007E37EC" w14:paraId="31D1FD7A" w14:textId="77777777" w:rsidTr="000965F4">
        <w:trPr>
          <w:trHeight w:val="493"/>
        </w:trPr>
        <w:tc>
          <w:tcPr>
            <w:tcW w:w="1511" w:type="dxa"/>
            <w:vAlign w:val="center"/>
          </w:tcPr>
          <w:p w14:paraId="4063C79A" w14:textId="04167CC3" w:rsidR="00F72B93" w:rsidRPr="007E37EC" w:rsidRDefault="00F72B93" w:rsidP="00A40833">
            <w:pPr>
              <w:spacing w:line="360" w:lineRule="auto"/>
              <w:rPr>
                <w:rFonts w:ascii="Arial" w:hAnsi="Arial" w:cs="Arial"/>
                <w:sz w:val="20"/>
                <w:szCs w:val="20"/>
              </w:rPr>
            </w:pPr>
            <w:proofErr w:type="spellStart"/>
            <w:r w:rsidRPr="007E37EC">
              <w:rPr>
                <w:rFonts w:ascii="Arial" w:hAnsi="Arial" w:cs="Arial"/>
                <w:b/>
                <w:bCs/>
                <w:color w:val="000000" w:themeColor="text1"/>
                <w:sz w:val="20"/>
                <w:szCs w:val="20"/>
              </w:rPr>
              <w:lastRenderedPageBreak/>
              <w:t>Alipurduar</w:t>
            </w:r>
            <w:proofErr w:type="spellEnd"/>
            <w:r w:rsidR="00E2475E">
              <w:rPr>
                <w:rFonts w:ascii="Arial" w:hAnsi="Arial" w:cs="Arial"/>
                <w:b/>
                <w:bCs/>
                <w:color w:val="000000" w:themeColor="text1"/>
                <w:sz w:val="20"/>
                <w:szCs w:val="20"/>
              </w:rPr>
              <w:t>-</w:t>
            </w:r>
            <w:r w:rsidRPr="007E37EC">
              <w:rPr>
                <w:rFonts w:ascii="Arial" w:hAnsi="Arial" w:cs="Arial"/>
                <w:b/>
                <w:bCs/>
                <w:color w:val="000000" w:themeColor="text1"/>
                <w:spacing w:val="-5"/>
                <w:sz w:val="20"/>
                <w:szCs w:val="20"/>
              </w:rPr>
              <w:t>II</w:t>
            </w:r>
          </w:p>
        </w:tc>
        <w:tc>
          <w:tcPr>
            <w:tcW w:w="1199" w:type="dxa"/>
            <w:vAlign w:val="center"/>
          </w:tcPr>
          <w:p w14:paraId="4EED3410"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20.40</w:t>
            </w:r>
          </w:p>
        </w:tc>
        <w:tc>
          <w:tcPr>
            <w:tcW w:w="1152" w:type="dxa"/>
            <w:vAlign w:val="center"/>
          </w:tcPr>
          <w:p w14:paraId="7CF330D6"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1.63</w:t>
            </w:r>
          </w:p>
        </w:tc>
        <w:tc>
          <w:tcPr>
            <w:tcW w:w="1159" w:type="dxa"/>
            <w:vAlign w:val="center"/>
          </w:tcPr>
          <w:p w14:paraId="18A57895"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4.97</w:t>
            </w:r>
          </w:p>
        </w:tc>
        <w:tc>
          <w:tcPr>
            <w:tcW w:w="1150" w:type="dxa"/>
            <w:vAlign w:val="center"/>
          </w:tcPr>
          <w:p w14:paraId="1F0FA2E7"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80.82</w:t>
            </w:r>
          </w:p>
        </w:tc>
        <w:tc>
          <w:tcPr>
            <w:tcW w:w="1387" w:type="dxa"/>
            <w:vAlign w:val="center"/>
          </w:tcPr>
          <w:p w14:paraId="35E9494B"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3.04</w:t>
            </w:r>
          </w:p>
        </w:tc>
        <w:tc>
          <w:tcPr>
            <w:tcW w:w="1170" w:type="dxa"/>
            <w:vAlign w:val="center"/>
          </w:tcPr>
          <w:p w14:paraId="51AD7FC3"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rPr>
              <w:t>28.25</w:t>
            </w:r>
          </w:p>
        </w:tc>
        <w:tc>
          <w:tcPr>
            <w:tcW w:w="1124" w:type="dxa"/>
            <w:vAlign w:val="center"/>
          </w:tcPr>
          <w:p w14:paraId="080B3A8E" w14:textId="77777777" w:rsidR="00F72B93" w:rsidRPr="007E37EC" w:rsidRDefault="00F72B93" w:rsidP="00A40833">
            <w:pPr>
              <w:spacing w:line="360" w:lineRule="auto"/>
              <w:rPr>
                <w:rFonts w:ascii="Arial" w:hAnsi="Arial" w:cs="Arial"/>
                <w:sz w:val="20"/>
                <w:szCs w:val="20"/>
              </w:rPr>
            </w:pPr>
            <w:r w:rsidRPr="007E37EC">
              <w:rPr>
                <w:rFonts w:ascii="Arial" w:hAnsi="Arial" w:cs="Arial"/>
                <w:sz w:val="20"/>
                <w:szCs w:val="20"/>
                <w:lang w:val="en-US"/>
              </w:rPr>
              <w:t>139.11</w:t>
            </w:r>
          </w:p>
        </w:tc>
      </w:tr>
      <w:tr w:rsidR="006B6EE8" w:rsidRPr="007E37EC" w14:paraId="028A129B" w14:textId="77777777" w:rsidTr="000965F4">
        <w:trPr>
          <w:trHeight w:val="246"/>
        </w:trPr>
        <w:tc>
          <w:tcPr>
            <w:tcW w:w="1511" w:type="dxa"/>
            <w:vAlign w:val="center"/>
          </w:tcPr>
          <w:p w14:paraId="5FF60B62" w14:textId="0F01C721" w:rsidR="00F72B93" w:rsidRPr="007E37EC" w:rsidRDefault="00174E12" w:rsidP="00A40833">
            <w:pPr>
              <w:spacing w:line="360" w:lineRule="auto"/>
              <w:rPr>
                <w:rFonts w:ascii="Arial" w:hAnsi="Arial" w:cs="Arial"/>
                <w:sz w:val="20"/>
                <w:szCs w:val="20"/>
              </w:rPr>
            </w:pPr>
            <w:r>
              <w:rPr>
                <w:rFonts w:ascii="Arial" w:hAnsi="Arial" w:cs="Arial"/>
                <w:b/>
                <w:bCs/>
                <w:sz w:val="20"/>
                <w:szCs w:val="20"/>
                <w:lang w:val="en-US"/>
              </w:rPr>
              <w:t>Average</w:t>
            </w:r>
          </w:p>
        </w:tc>
        <w:tc>
          <w:tcPr>
            <w:tcW w:w="1199" w:type="dxa"/>
            <w:vAlign w:val="center"/>
          </w:tcPr>
          <w:p w14:paraId="7D1F952D" w14:textId="77777777" w:rsidR="00F72B93" w:rsidRPr="007E37EC" w:rsidRDefault="00F72B93" w:rsidP="00A40833">
            <w:pPr>
              <w:spacing w:line="360" w:lineRule="auto"/>
              <w:rPr>
                <w:rFonts w:ascii="Arial" w:hAnsi="Arial" w:cs="Arial"/>
                <w:sz w:val="20"/>
                <w:szCs w:val="20"/>
              </w:rPr>
            </w:pPr>
            <w:r w:rsidRPr="007E37EC">
              <w:rPr>
                <w:rFonts w:ascii="Arial" w:hAnsi="Arial" w:cs="Arial"/>
                <w:b/>
                <w:bCs/>
                <w:sz w:val="20"/>
                <w:szCs w:val="20"/>
              </w:rPr>
              <w:t>17.06</w:t>
            </w:r>
          </w:p>
        </w:tc>
        <w:tc>
          <w:tcPr>
            <w:tcW w:w="1152" w:type="dxa"/>
            <w:vAlign w:val="center"/>
          </w:tcPr>
          <w:p w14:paraId="3FAAD2BD" w14:textId="77777777" w:rsidR="00F72B93" w:rsidRPr="007E37EC" w:rsidRDefault="00F72B93" w:rsidP="00A40833">
            <w:pPr>
              <w:spacing w:line="360" w:lineRule="auto"/>
              <w:rPr>
                <w:rFonts w:ascii="Arial" w:hAnsi="Arial" w:cs="Arial"/>
                <w:sz w:val="20"/>
                <w:szCs w:val="20"/>
              </w:rPr>
            </w:pPr>
            <w:r w:rsidRPr="007E37EC">
              <w:rPr>
                <w:rFonts w:ascii="Arial" w:hAnsi="Arial" w:cs="Arial"/>
                <w:b/>
                <w:bCs/>
                <w:sz w:val="20"/>
                <w:szCs w:val="20"/>
              </w:rPr>
              <w:t>1.58</w:t>
            </w:r>
          </w:p>
        </w:tc>
        <w:tc>
          <w:tcPr>
            <w:tcW w:w="1159" w:type="dxa"/>
            <w:vAlign w:val="center"/>
          </w:tcPr>
          <w:p w14:paraId="17636C03" w14:textId="77777777" w:rsidR="00F72B93" w:rsidRPr="007E37EC" w:rsidRDefault="00F72B93" w:rsidP="00A40833">
            <w:pPr>
              <w:spacing w:line="360" w:lineRule="auto"/>
              <w:rPr>
                <w:rFonts w:ascii="Arial" w:hAnsi="Arial" w:cs="Arial"/>
                <w:sz w:val="20"/>
                <w:szCs w:val="20"/>
              </w:rPr>
            </w:pPr>
            <w:r w:rsidRPr="007E37EC">
              <w:rPr>
                <w:rFonts w:ascii="Arial" w:hAnsi="Arial" w:cs="Arial"/>
                <w:b/>
                <w:bCs/>
                <w:sz w:val="20"/>
                <w:szCs w:val="20"/>
              </w:rPr>
              <w:t>4.38</w:t>
            </w:r>
          </w:p>
        </w:tc>
        <w:tc>
          <w:tcPr>
            <w:tcW w:w="1150" w:type="dxa"/>
            <w:vAlign w:val="center"/>
          </w:tcPr>
          <w:p w14:paraId="5C337047" w14:textId="77777777" w:rsidR="00F72B93" w:rsidRPr="007E37EC" w:rsidRDefault="00F72B93" w:rsidP="00A40833">
            <w:pPr>
              <w:spacing w:line="360" w:lineRule="auto"/>
              <w:rPr>
                <w:rFonts w:ascii="Arial" w:hAnsi="Arial" w:cs="Arial"/>
                <w:sz w:val="20"/>
                <w:szCs w:val="20"/>
              </w:rPr>
            </w:pPr>
            <w:r w:rsidRPr="007E37EC">
              <w:rPr>
                <w:rFonts w:ascii="Arial" w:hAnsi="Arial" w:cs="Arial"/>
                <w:b/>
                <w:bCs/>
                <w:sz w:val="20"/>
                <w:szCs w:val="20"/>
              </w:rPr>
              <w:t>81.57</w:t>
            </w:r>
          </w:p>
        </w:tc>
        <w:tc>
          <w:tcPr>
            <w:tcW w:w="1387" w:type="dxa"/>
            <w:vAlign w:val="center"/>
          </w:tcPr>
          <w:p w14:paraId="3C672EAE" w14:textId="77777777" w:rsidR="00F72B93" w:rsidRPr="007E37EC" w:rsidRDefault="00F72B93" w:rsidP="00A40833">
            <w:pPr>
              <w:spacing w:line="360" w:lineRule="auto"/>
              <w:rPr>
                <w:rFonts w:ascii="Arial" w:hAnsi="Arial" w:cs="Arial"/>
                <w:sz w:val="20"/>
                <w:szCs w:val="20"/>
              </w:rPr>
            </w:pPr>
            <w:r w:rsidRPr="007E37EC">
              <w:rPr>
                <w:rFonts w:ascii="Arial" w:hAnsi="Arial" w:cs="Arial"/>
                <w:b/>
                <w:bCs/>
                <w:sz w:val="20"/>
                <w:szCs w:val="20"/>
              </w:rPr>
              <w:t>4.03</w:t>
            </w:r>
          </w:p>
        </w:tc>
        <w:tc>
          <w:tcPr>
            <w:tcW w:w="1170" w:type="dxa"/>
            <w:vAlign w:val="center"/>
          </w:tcPr>
          <w:p w14:paraId="5D76AFB6" w14:textId="77777777" w:rsidR="00F72B93" w:rsidRPr="007E37EC" w:rsidRDefault="00F72B93" w:rsidP="00A40833">
            <w:pPr>
              <w:spacing w:line="360" w:lineRule="auto"/>
              <w:rPr>
                <w:rFonts w:ascii="Arial" w:hAnsi="Arial" w:cs="Arial"/>
                <w:sz w:val="20"/>
                <w:szCs w:val="20"/>
              </w:rPr>
            </w:pPr>
            <w:r w:rsidRPr="007E37EC">
              <w:rPr>
                <w:rFonts w:ascii="Arial" w:hAnsi="Arial" w:cs="Arial"/>
                <w:b/>
                <w:bCs/>
                <w:sz w:val="20"/>
                <w:szCs w:val="20"/>
              </w:rPr>
              <w:t>26.78</w:t>
            </w:r>
          </w:p>
        </w:tc>
        <w:tc>
          <w:tcPr>
            <w:tcW w:w="1124" w:type="dxa"/>
            <w:vAlign w:val="center"/>
          </w:tcPr>
          <w:p w14:paraId="2D3FC58A" w14:textId="77777777" w:rsidR="00F72B93" w:rsidRPr="007E37EC" w:rsidRDefault="00F72B93" w:rsidP="00A40833">
            <w:pPr>
              <w:spacing w:line="360" w:lineRule="auto"/>
              <w:rPr>
                <w:rFonts w:ascii="Arial" w:hAnsi="Arial" w:cs="Arial"/>
                <w:sz w:val="20"/>
                <w:szCs w:val="20"/>
              </w:rPr>
            </w:pPr>
            <w:r w:rsidRPr="007E37EC">
              <w:rPr>
                <w:rFonts w:ascii="Arial" w:hAnsi="Arial" w:cs="Arial"/>
                <w:b/>
                <w:bCs/>
                <w:sz w:val="20"/>
                <w:szCs w:val="20"/>
              </w:rPr>
              <w:t>135.40</w:t>
            </w:r>
          </w:p>
        </w:tc>
      </w:tr>
    </w:tbl>
    <w:p w14:paraId="08AA9E53" w14:textId="77777777" w:rsidR="0049610B" w:rsidRPr="007E37EC" w:rsidRDefault="0049610B" w:rsidP="00A40833">
      <w:pPr>
        <w:spacing w:after="0"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Source: Primary data collected through field survey (April 2024- March 2025)</w:t>
      </w:r>
    </w:p>
    <w:p w14:paraId="21087469" w14:textId="77777777" w:rsidR="003800DB" w:rsidRDefault="003800DB" w:rsidP="00A40833">
      <w:pPr>
        <w:spacing w:after="0" w:line="360" w:lineRule="auto"/>
        <w:jc w:val="both"/>
        <w:rPr>
          <w:rFonts w:ascii="Arial" w:hAnsi="Arial" w:cs="Arial"/>
          <w:sz w:val="20"/>
          <w:szCs w:val="20"/>
        </w:rPr>
      </w:pPr>
    </w:p>
    <w:p w14:paraId="1DD83E12" w14:textId="1416258A" w:rsidR="00C63C30" w:rsidRPr="007E37EC" w:rsidRDefault="00F25E7A" w:rsidP="00A40833">
      <w:pPr>
        <w:spacing w:after="0" w:line="360" w:lineRule="auto"/>
        <w:jc w:val="both"/>
        <w:rPr>
          <w:rFonts w:ascii="Arial" w:eastAsia="Times New Roman" w:hAnsi="Arial" w:cs="Arial"/>
          <w:kern w:val="0"/>
          <w:sz w:val="20"/>
          <w:szCs w:val="20"/>
          <w:lang w:eastAsia="en-IN"/>
          <w14:ligatures w14:val="none"/>
        </w:rPr>
      </w:pPr>
      <w:r w:rsidRPr="007E37EC">
        <w:rPr>
          <w:rFonts w:ascii="Arial" w:eastAsia="Times New Roman" w:hAnsi="Arial" w:cs="Arial"/>
          <w:kern w:val="0"/>
          <w:sz w:val="20"/>
          <w:szCs w:val="20"/>
          <w:lang w:eastAsia="en-IN"/>
          <w14:ligatures w14:val="none"/>
        </w:rPr>
        <w:t>With an average daily</w:t>
      </w:r>
      <w:r w:rsidR="00B4123E" w:rsidRPr="007E37EC">
        <w:rPr>
          <w:rFonts w:ascii="Arial" w:eastAsia="Times New Roman" w:hAnsi="Arial" w:cs="Arial"/>
          <w:kern w:val="0"/>
          <w:sz w:val="20"/>
          <w:szCs w:val="20"/>
          <w:lang w:eastAsia="en-IN"/>
          <w14:ligatures w14:val="none"/>
        </w:rPr>
        <w:t xml:space="preserve"> freezer depreciation cost</w:t>
      </w:r>
      <w:r w:rsidRPr="007E37EC">
        <w:rPr>
          <w:rFonts w:ascii="Arial" w:eastAsia="Times New Roman" w:hAnsi="Arial" w:cs="Arial"/>
          <w:kern w:val="0"/>
          <w:sz w:val="20"/>
          <w:szCs w:val="20"/>
          <w:lang w:eastAsia="en-IN"/>
          <w14:ligatures w14:val="none"/>
        </w:rPr>
        <w:t xml:space="preserve"> of Rs. 81.57</w:t>
      </w:r>
      <w:r w:rsidR="0049610B">
        <w:rPr>
          <w:rFonts w:ascii="Arial" w:eastAsia="Times New Roman" w:hAnsi="Arial" w:cs="Arial"/>
          <w:kern w:val="0"/>
          <w:sz w:val="20"/>
          <w:szCs w:val="20"/>
          <w:lang w:eastAsia="en-IN"/>
          <w14:ligatures w14:val="none"/>
        </w:rPr>
        <w:t>,</w:t>
      </w:r>
      <w:r w:rsidR="00033F7D" w:rsidRPr="007E37EC">
        <w:rPr>
          <w:rFonts w:ascii="Arial" w:eastAsia="Times New Roman" w:hAnsi="Arial" w:cs="Arial"/>
          <w:kern w:val="0"/>
          <w:sz w:val="20"/>
          <w:szCs w:val="20"/>
          <w:lang w:eastAsia="en-IN"/>
          <w14:ligatures w14:val="none"/>
        </w:rPr>
        <w:t xml:space="preserve"> </w:t>
      </w:r>
      <w:r w:rsidRPr="007E37EC">
        <w:rPr>
          <w:rFonts w:ascii="Arial" w:eastAsia="Times New Roman" w:hAnsi="Arial" w:cs="Arial"/>
          <w:kern w:val="0"/>
          <w:sz w:val="20"/>
          <w:szCs w:val="20"/>
          <w:lang w:eastAsia="en-IN"/>
          <w14:ligatures w14:val="none"/>
        </w:rPr>
        <w:t xml:space="preserve">this table shows the capital and depreciation costs of critical processing equipment and infrastructure. At Rs. 26.78 per day, building costs rank as the second-highest expense, depending on the facility. Although inexpensive, the </w:t>
      </w:r>
      <w:r w:rsidR="00CA7E14" w:rsidRPr="007E37EC">
        <w:rPr>
          <w:rFonts w:ascii="Arial" w:eastAsia="Times New Roman" w:hAnsi="Arial" w:cs="Arial"/>
          <w:kern w:val="0"/>
          <w:sz w:val="20"/>
          <w:szCs w:val="20"/>
          <w:lang w:eastAsia="en-IN"/>
          <w14:ligatures w14:val="none"/>
        </w:rPr>
        <w:t>other essential equipment</w:t>
      </w:r>
      <w:r w:rsidRPr="007E37EC">
        <w:rPr>
          <w:rFonts w:ascii="Arial" w:eastAsia="Times New Roman" w:hAnsi="Arial" w:cs="Arial"/>
          <w:kern w:val="0"/>
          <w:sz w:val="20"/>
          <w:szCs w:val="20"/>
          <w:lang w:eastAsia="en-IN"/>
          <w14:ligatures w14:val="none"/>
        </w:rPr>
        <w:t xml:space="preserve"> </w:t>
      </w:r>
      <w:r w:rsidR="00CA7E14" w:rsidRPr="007E37EC">
        <w:rPr>
          <w:rFonts w:ascii="Arial" w:eastAsia="Times New Roman" w:hAnsi="Arial" w:cs="Arial"/>
          <w:kern w:val="0"/>
          <w:sz w:val="20"/>
          <w:szCs w:val="20"/>
          <w:lang w:eastAsia="en-IN"/>
          <w14:ligatures w14:val="none"/>
        </w:rPr>
        <w:t xml:space="preserve">for processing </w:t>
      </w:r>
      <w:r w:rsidR="0049610B">
        <w:rPr>
          <w:rFonts w:ascii="Arial" w:eastAsia="Times New Roman" w:hAnsi="Arial" w:cs="Arial"/>
          <w:kern w:val="0"/>
          <w:sz w:val="20"/>
          <w:szCs w:val="20"/>
          <w:lang w:eastAsia="en-IN"/>
          <w14:ligatures w14:val="none"/>
        </w:rPr>
        <w:t>is</w:t>
      </w:r>
      <w:r w:rsidR="00CA7E14" w:rsidRPr="007E37EC">
        <w:rPr>
          <w:rFonts w:ascii="Arial" w:eastAsia="Times New Roman" w:hAnsi="Arial" w:cs="Arial"/>
          <w:kern w:val="0"/>
          <w:sz w:val="20"/>
          <w:szCs w:val="20"/>
          <w:lang w:eastAsia="en-IN"/>
          <w14:ligatures w14:val="none"/>
        </w:rPr>
        <w:t xml:space="preserve"> cauldrons</w:t>
      </w:r>
      <w:r w:rsidRPr="007E37EC">
        <w:rPr>
          <w:rFonts w:ascii="Arial" w:eastAsia="Times New Roman" w:hAnsi="Arial" w:cs="Arial"/>
          <w:kern w:val="0"/>
          <w:sz w:val="20"/>
          <w:szCs w:val="20"/>
          <w:lang w:eastAsia="en-IN"/>
          <w14:ligatures w14:val="none"/>
        </w:rPr>
        <w:t xml:space="preserve"> (Rs. 17.06), buck</w:t>
      </w:r>
      <w:r w:rsidR="00CA7E14" w:rsidRPr="007E37EC">
        <w:rPr>
          <w:rFonts w:ascii="Arial" w:eastAsia="Times New Roman" w:hAnsi="Arial" w:cs="Arial"/>
          <w:kern w:val="0"/>
          <w:sz w:val="20"/>
          <w:szCs w:val="20"/>
          <w:lang w:eastAsia="en-IN"/>
          <w14:ligatures w14:val="none"/>
        </w:rPr>
        <w:t xml:space="preserve">ets (Rs. 4.38), </w:t>
      </w:r>
      <w:proofErr w:type="spellStart"/>
      <w:r w:rsidR="00CA7E14" w:rsidRPr="007E37EC">
        <w:rPr>
          <w:rFonts w:ascii="Arial" w:eastAsia="Times New Roman" w:hAnsi="Arial" w:cs="Arial"/>
          <w:kern w:val="0"/>
          <w:sz w:val="20"/>
          <w:szCs w:val="20"/>
          <w:lang w:eastAsia="en-IN"/>
          <w14:ligatures w14:val="none"/>
        </w:rPr>
        <w:t>tupri</w:t>
      </w:r>
      <w:proofErr w:type="spellEnd"/>
      <w:r w:rsidR="00CA7E14" w:rsidRPr="007E37EC">
        <w:rPr>
          <w:rFonts w:ascii="Arial" w:eastAsia="Times New Roman" w:hAnsi="Arial" w:cs="Arial"/>
          <w:kern w:val="0"/>
          <w:sz w:val="20"/>
          <w:szCs w:val="20"/>
          <w:lang w:eastAsia="en-IN"/>
          <w14:ligatures w14:val="none"/>
        </w:rPr>
        <w:t xml:space="preserve"> (</w:t>
      </w:r>
      <w:r w:rsidR="0049610B">
        <w:rPr>
          <w:rFonts w:ascii="Arial" w:eastAsia="Times New Roman" w:hAnsi="Arial" w:cs="Arial"/>
          <w:kern w:val="0"/>
          <w:sz w:val="20"/>
          <w:szCs w:val="20"/>
          <w:lang w:eastAsia="en-IN"/>
          <w14:ligatures w14:val="none"/>
        </w:rPr>
        <w:t>bamboo-made</w:t>
      </w:r>
      <w:r w:rsidR="00CA7E14" w:rsidRPr="007E37EC">
        <w:rPr>
          <w:rFonts w:ascii="Arial" w:eastAsia="Times New Roman" w:hAnsi="Arial" w:cs="Arial"/>
          <w:kern w:val="0"/>
          <w:sz w:val="20"/>
          <w:szCs w:val="20"/>
          <w:lang w:eastAsia="en-IN"/>
          <w14:ligatures w14:val="none"/>
        </w:rPr>
        <w:t xml:space="preserve"> hemispheric cover)</w:t>
      </w:r>
      <w:r w:rsidRPr="007E37EC">
        <w:rPr>
          <w:rFonts w:ascii="Arial" w:eastAsia="Times New Roman" w:hAnsi="Arial" w:cs="Arial"/>
          <w:kern w:val="0"/>
          <w:sz w:val="20"/>
          <w:szCs w:val="20"/>
          <w:lang w:eastAsia="en-IN"/>
          <w14:ligatures w14:val="none"/>
        </w:rPr>
        <w:t xml:space="preserve"> (Rs. 4.03), and spatulas (Rs. 1.58). The average daily fixed cost </w:t>
      </w:r>
      <w:r w:rsidR="00CA7E14" w:rsidRPr="007E37EC">
        <w:rPr>
          <w:rFonts w:ascii="Arial" w:eastAsia="Times New Roman" w:hAnsi="Arial" w:cs="Arial"/>
          <w:kern w:val="0"/>
          <w:sz w:val="20"/>
          <w:szCs w:val="20"/>
          <w:lang w:eastAsia="en-IN"/>
          <w14:ligatures w14:val="none"/>
        </w:rPr>
        <w:t xml:space="preserve">comes </w:t>
      </w:r>
      <w:r w:rsidR="009908C4" w:rsidRPr="007E37EC">
        <w:rPr>
          <w:rFonts w:ascii="Arial" w:eastAsia="Times New Roman" w:hAnsi="Arial" w:cs="Arial"/>
          <w:kern w:val="0"/>
          <w:sz w:val="20"/>
          <w:szCs w:val="20"/>
          <w:lang w:eastAsia="en-IN"/>
          <w14:ligatures w14:val="none"/>
        </w:rPr>
        <w:t>at Rs</w:t>
      </w:r>
      <w:r w:rsidRPr="007E37EC">
        <w:rPr>
          <w:rFonts w:ascii="Arial" w:eastAsia="Times New Roman" w:hAnsi="Arial" w:cs="Arial"/>
          <w:kern w:val="0"/>
          <w:sz w:val="20"/>
          <w:szCs w:val="20"/>
          <w:lang w:eastAsia="en-IN"/>
          <w14:ligatures w14:val="none"/>
        </w:rPr>
        <w:t>. 135.40, or roughly 1.4% of operating costs</w:t>
      </w:r>
      <w:r w:rsidR="00CA7E14" w:rsidRPr="007E37EC">
        <w:rPr>
          <w:rFonts w:ascii="Arial" w:eastAsia="Times New Roman" w:hAnsi="Arial" w:cs="Arial"/>
          <w:kern w:val="0"/>
          <w:sz w:val="20"/>
          <w:szCs w:val="20"/>
          <w:lang w:eastAsia="en-IN"/>
          <w14:ligatures w14:val="none"/>
        </w:rPr>
        <w:t>.</w:t>
      </w:r>
      <w:r w:rsidRPr="007E37EC">
        <w:rPr>
          <w:rFonts w:ascii="Arial" w:eastAsia="Times New Roman" w:hAnsi="Arial" w:cs="Arial"/>
          <w:kern w:val="0"/>
          <w:sz w:val="20"/>
          <w:szCs w:val="20"/>
          <w:lang w:eastAsia="en-IN"/>
          <w14:ligatures w14:val="none"/>
        </w:rPr>
        <w:t xml:space="preserve"> </w:t>
      </w:r>
    </w:p>
    <w:p w14:paraId="69DC0F35" w14:textId="77777777" w:rsidR="003B5A7D" w:rsidRPr="007E37EC" w:rsidRDefault="003B5A7D" w:rsidP="00A40833">
      <w:pPr>
        <w:spacing w:after="0" w:line="360" w:lineRule="auto"/>
        <w:jc w:val="both"/>
        <w:rPr>
          <w:rFonts w:ascii="Arial" w:eastAsia="Times New Roman" w:hAnsi="Arial" w:cs="Arial"/>
          <w:kern w:val="0"/>
          <w:lang w:eastAsia="en-IN"/>
          <w14:ligatures w14:val="none"/>
        </w:rPr>
      </w:pPr>
    </w:p>
    <w:p w14:paraId="51018B6C" w14:textId="664C9FF0" w:rsidR="00DC09BF" w:rsidRPr="007E37EC" w:rsidRDefault="00DC09BF" w:rsidP="00A40833">
      <w:pPr>
        <w:pStyle w:val="BodyText"/>
        <w:spacing w:line="360" w:lineRule="auto"/>
        <w:ind w:right="741"/>
        <w:jc w:val="both"/>
        <w:rPr>
          <w:rFonts w:ascii="Arial" w:hAnsi="Arial" w:cs="Arial"/>
          <w:b/>
          <w:bCs/>
          <w:color w:val="000000" w:themeColor="text1"/>
          <w:spacing w:val="-2"/>
          <w:sz w:val="22"/>
          <w:szCs w:val="22"/>
        </w:rPr>
      </w:pPr>
      <w:r w:rsidRPr="007E37EC">
        <w:rPr>
          <w:rFonts w:ascii="Arial" w:hAnsi="Arial" w:cs="Arial"/>
          <w:b/>
          <w:bCs/>
          <w:color w:val="000000" w:themeColor="text1"/>
          <w:spacing w:val="-2"/>
          <w:sz w:val="22"/>
          <w:szCs w:val="22"/>
        </w:rPr>
        <w:t xml:space="preserve">3.4 Analysis of </w:t>
      </w:r>
      <w:r w:rsidR="00531FD8">
        <w:rPr>
          <w:rFonts w:ascii="Arial" w:hAnsi="Arial" w:cs="Arial"/>
          <w:b/>
          <w:bCs/>
          <w:color w:val="000000" w:themeColor="text1"/>
          <w:spacing w:val="-2"/>
          <w:sz w:val="22"/>
          <w:szCs w:val="22"/>
        </w:rPr>
        <w:t>Labor</w:t>
      </w:r>
      <w:r w:rsidRPr="007E37EC">
        <w:rPr>
          <w:rFonts w:ascii="Arial" w:hAnsi="Arial" w:cs="Arial"/>
          <w:b/>
          <w:bCs/>
          <w:color w:val="000000" w:themeColor="text1"/>
          <w:spacing w:val="-2"/>
          <w:sz w:val="22"/>
          <w:szCs w:val="22"/>
        </w:rPr>
        <w:t xml:space="preserve"> cost cum employment generation</w:t>
      </w:r>
    </w:p>
    <w:p w14:paraId="434E8BD2" w14:textId="77777777" w:rsidR="00DC09BF" w:rsidRPr="003800DB" w:rsidRDefault="00DC09BF" w:rsidP="00A40833">
      <w:pPr>
        <w:spacing w:line="360" w:lineRule="auto"/>
        <w:ind w:right="866"/>
        <w:jc w:val="both"/>
        <w:rPr>
          <w:rFonts w:ascii="Arial" w:hAnsi="Arial" w:cs="Arial"/>
          <w:b/>
          <w:bCs/>
          <w:color w:val="000000" w:themeColor="text1"/>
          <w:sz w:val="20"/>
          <w:szCs w:val="20"/>
        </w:rPr>
      </w:pPr>
      <w:r w:rsidRPr="003800DB">
        <w:rPr>
          <w:rFonts w:ascii="Arial" w:hAnsi="Arial" w:cs="Arial"/>
          <w:b/>
          <w:bCs/>
          <w:color w:val="000000" w:themeColor="text1"/>
          <w:spacing w:val="-2"/>
          <w:sz w:val="20"/>
          <w:szCs w:val="20"/>
        </w:rPr>
        <w:t>Table 4:</w:t>
      </w:r>
      <w:r w:rsidRPr="003800DB">
        <w:rPr>
          <w:rFonts w:ascii="Arial" w:hAnsi="Arial" w:cs="Arial"/>
          <w:b/>
          <w:bCs/>
          <w:color w:val="545454"/>
          <w:sz w:val="20"/>
          <w:szCs w:val="20"/>
        </w:rPr>
        <w:t xml:space="preserve"> G</w:t>
      </w:r>
      <w:r w:rsidRPr="003800DB">
        <w:rPr>
          <w:rFonts w:ascii="Arial" w:hAnsi="Arial" w:cs="Arial"/>
          <w:color w:val="000000" w:themeColor="text1"/>
          <w:sz w:val="20"/>
          <w:szCs w:val="20"/>
        </w:rPr>
        <w:t>eneration of employment and their respective costs (per firm per day)</w:t>
      </w:r>
      <w:r w:rsidRPr="003800DB">
        <w:rPr>
          <w:rFonts w:ascii="Arial" w:hAnsi="Arial" w:cs="Arial"/>
          <w:b/>
          <w:bCs/>
          <w:color w:val="000000" w:themeColor="text1"/>
          <w:sz w:val="20"/>
          <w:szCs w:val="20"/>
        </w:rPr>
        <w:t xml:space="preserve"> </w:t>
      </w:r>
    </w:p>
    <w:tbl>
      <w:tblPr>
        <w:tblStyle w:val="TableGrid"/>
        <w:tblpPr w:leftFromText="180" w:rightFromText="180" w:vertAnchor="text" w:horzAnchor="margin" w:tblpY="144"/>
        <w:tblW w:w="10014" w:type="dxa"/>
        <w:tblLayout w:type="fixed"/>
        <w:tblLook w:val="01E0" w:firstRow="1" w:lastRow="1" w:firstColumn="1" w:lastColumn="1" w:noHBand="0" w:noVBand="0"/>
      </w:tblPr>
      <w:tblGrid>
        <w:gridCol w:w="1121"/>
        <w:gridCol w:w="1046"/>
        <w:gridCol w:w="1121"/>
        <w:gridCol w:w="1046"/>
        <w:gridCol w:w="1046"/>
        <w:gridCol w:w="1121"/>
        <w:gridCol w:w="1046"/>
        <w:gridCol w:w="1271"/>
        <w:gridCol w:w="1196"/>
      </w:tblGrid>
      <w:tr w:rsidR="0016759E" w:rsidRPr="007E37EC" w14:paraId="283F8AB6" w14:textId="77777777" w:rsidTr="00251A1B">
        <w:trPr>
          <w:trHeight w:val="891"/>
        </w:trPr>
        <w:tc>
          <w:tcPr>
            <w:tcW w:w="1121" w:type="dxa"/>
            <w:vMerge w:val="restart"/>
            <w:vAlign w:val="center"/>
          </w:tcPr>
          <w:p w14:paraId="01D105C3" w14:textId="77777777" w:rsidR="0016759E" w:rsidRPr="007E37EC" w:rsidRDefault="0016759E" w:rsidP="00A40833">
            <w:pPr>
              <w:pStyle w:val="TableParagraph"/>
              <w:spacing w:before="151" w:line="360" w:lineRule="auto"/>
              <w:ind w:left="0"/>
              <w:jc w:val="both"/>
              <w:rPr>
                <w:rFonts w:ascii="Arial" w:hAnsi="Arial" w:cs="Arial"/>
                <w:b/>
                <w:bCs/>
                <w:color w:val="000000" w:themeColor="text1"/>
                <w:sz w:val="20"/>
                <w:szCs w:val="20"/>
              </w:rPr>
            </w:pPr>
          </w:p>
          <w:p w14:paraId="6529F0FF" w14:textId="4AD6BFDD" w:rsidR="0016759E" w:rsidRPr="007E37EC" w:rsidRDefault="0016759E" w:rsidP="00A40833">
            <w:pPr>
              <w:pStyle w:val="TableParagraph"/>
              <w:spacing w:before="1" w:line="360" w:lineRule="auto"/>
              <w:jc w:val="both"/>
              <w:rPr>
                <w:rFonts w:ascii="Arial" w:hAnsi="Arial" w:cs="Arial"/>
                <w:b/>
                <w:bCs/>
                <w:color w:val="000000" w:themeColor="text1"/>
                <w:sz w:val="20"/>
                <w:szCs w:val="20"/>
              </w:rPr>
            </w:pPr>
            <w:r w:rsidRPr="007E37EC">
              <w:rPr>
                <w:rFonts w:ascii="Arial" w:hAnsi="Arial" w:cs="Arial"/>
                <w:b/>
                <w:bCs/>
                <w:color w:val="000000" w:themeColor="text1"/>
                <w:spacing w:val="-2"/>
                <w:sz w:val="20"/>
                <w:szCs w:val="20"/>
              </w:rPr>
              <w:t>Blocks</w:t>
            </w:r>
          </w:p>
        </w:tc>
        <w:tc>
          <w:tcPr>
            <w:tcW w:w="3213" w:type="dxa"/>
            <w:gridSpan w:val="3"/>
            <w:vAlign w:val="center"/>
          </w:tcPr>
          <w:p w14:paraId="4126BC3E" w14:textId="4024D92A" w:rsidR="0016759E" w:rsidRPr="007E37EC" w:rsidRDefault="0016759E" w:rsidP="00A40833">
            <w:pPr>
              <w:pStyle w:val="TableParagraph"/>
              <w:spacing w:before="31" w:line="360" w:lineRule="auto"/>
              <w:ind w:left="0"/>
              <w:jc w:val="both"/>
              <w:rPr>
                <w:rFonts w:ascii="Arial" w:hAnsi="Arial" w:cs="Arial"/>
                <w:b/>
                <w:bCs/>
                <w:color w:val="000000" w:themeColor="text1"/>
                <w:sz w:val="20"/>
                <w:szCs w:val="20"/>
              </w:rPr>
            </w:pPr>
            <w:r w:rsidRPr="007E37EC">
              <w:rPr>
                <w:rFonts w:ascii="Arial" w:hAnsi="Arial" w:cs="Arial"/>
                <w:b/>
                <w:bCs/>
                <w:color w:val="000000" w:themeColor="text1"/>
                <w:spacing w:val="-2"/>
                <w:sz w:val="20"/>
                <w:szCs w:val="20"/>
              </w:rPr>
              <w:t>Imputed</w:t>
            </w:r>
            <w:r w:rsidRPr="007E37EC">
              <w:rPr>
                <w:rFonts w:ascii="Arial" w:hAnsi="Arial" w:cs="Arial"/>
                <w:b/>
                <w:bCs/>
                <w:color w:val="000000" w:themeColor="text1"/>
                <w:sz w:val="20"/>
                <w:szCs w:val="20"/>
              </w:rPr>
              <w:t xml:space="preserve"> </w:t>
            </w:r>
            <w:r w:rsidR="00531FD8">
              <w:rPr>
                <w:rFonts w:ascii="Arial" w:hAnsi="Arial" w:cs="Arial"/>
                <w:b/>
                <w:bCs/>
                <w:color w:val="000000" w:themeColor="text1"/>
                <w:sz w:val="20"/>
                <w:szCs w:val="20"/>
              </w:rPr>
              <w:t>Labor</w:t>
            </w:r>
          </w:p>
        </w:tc>
        <w:tc>
          <w:tcPr>
            <w:tcW w:w="3213" w:type="dxa"/>
            <w:gridSpan w:val="3"/>
            <w:vAlign w:val="center"/>
          </w:tcPr>
          <w:p w14:paraId="17BDA5A7" w14:textId="3D9885EE" w:rsidR="0016759E" w:rsidRPr="007E37EC" w:rsidRDefault="0016759E" w:rsidP="00A40833">
            <w:pPr>
              <w:pStyle w:val="TableParagraph"/>
              <w:spacing w:before="31" w:line="360" w:lineRule="auto"/>
              <w:ind w:left="0"/>
              <w:jc w:val="both"/>
              <w:rPr>
                <w:rFonts w:ascii="Arial" w:hAnsi="Arial" w:cs="Arial"/>
                <w:b/>
                <w:bCs/>
                <w:color w:val="000000" w:themeColor="text1"/>
                <w:sz w:val="20"/>
                <w:szCs w:val="20"/>
              </w:rPr>
            </w:pPr>
            <w:r w:rsidRPr="007E37EC">
              <w:rPr>
                <w:rFonts w:ascii="Arial" w:hAnsi="Arial" w:cs="Arial"/>
                <w:b/>
                <w:bCs/>
                <w:color w:val="000000" w:themeColor="text1"/>
                <w:spacing w:val="-2"/>
                <w:sz w:val="20"/>
                <w:szCs w:val="20"/>
              </w:rPr>
              <w:t>Hired</w:t>
            </w:r>
            <w:r w:rsidRPr="007E37EC">
              <w:rPr>
                <w:rFonts w:ascii="Arial" w:hAnsi="Arial" w:cs="Arial"/>
                <w:b/>
                <w:bCs/>
                <w:color w:val="000000" w:themeColor="text1"/>
                <w:sz w:val="20"/>
                <w:szCs w:val="20"/>
              </w:rPr>
              <w:t xml:space="preserve"> </w:t>
            </w:r>
            <w:r w:rsidR="00531FD8">
              <w:rPr>
                <w:rFonts w:ascii="Arial" w:hAnsi="Arial" w:cs="Arial"/>
                <w:b/>
                <w:bCs/>
                <w:color w:val="000000" w:themeColor="text1"/>
                <w:sz w:val="20"/>
                <w:szCs w:val="20"/>
              </w:rPr>
              <w:t>Labor</w:t>
            </w:r>
          </w:p>
        </w:tc>
        <w:tc>
          <w:tcPr>
            <w:tcW w:w="1271" w:type="dxa"/>
            <w:vMerge w:val="restart"/>
            <w:vAlign w:val="center"/>
          </w:tcPr>
          <w:p w14:paraId="289964C9" w14:textId="77777777" w:rsidR="0016759E" w:rsidRPr="007E37EC" w:rsidRDefault="0016759E" w:rsidP="00A40833">
            <w:pPr>
              <w:pStyle w:val="TableParagraph"/>
              <w:spacing w:before="31" w:line="360" w:lineRule="auto"/>
              <w:ind w:left="0"/>
              <w:jc w:val="both"/>
              <w:rPr>
                <w:rFonts w:ascii="Arial" w:hAnsi="Arial" w:cs="Arial"/>
                <w:b/>
                <w:bCs/>
                <w:color w:val="000000" w:themeColor="text1"/>
                <w:sz w:val="20"/>
                <w:szCs w:val="20"/>
              </w:rPr>
            </w:pPr>
          </w:p>
          <w:p w14:paraId="6188B016" w14:textId="36E30B16" w:rsidR="0016759E" w:rsidRPr="007E37EC" w:rsidRDefault="0016759E" w:rsidP="00A40833">
            <w:pPr>
              <w:pStyle w:val="TableParagraph"/>
              <w:spacing w:before="1" w:line="360" w:lineRule="auto"/>
              <w:ind w:left="0" w:right="185"/>
              <w:jc w:val="both"/>
              <w:rPr>
                <w:rFonts w:ascii="Arial" w:hAnsi="Arial" w:cs="Arial"/>
                <w:b/>
                <w:bCs/>
                <w:color w:val="000000" w:themeColor="text1"/>
                <w:sz w:val="20"/>
                <w:szCs w:val="20"/>
              </w:rPr>
            </w:pPr>
            <w:r w:rsidRPr="007E37EC">
              <w:rPr>
                <w:rFonts w:ascii="Arial" w:hAnsi="Arial" w:cs="Arial"/>
                <w:b/>
                <w:bCs/>
                <w:color w:val="000000" w:themeColor="text1"/>
                <w:sz w:val="20"/>
                <w:szCs w:val="20"/>
              </w:rPr>
              <w:t>Total</w:t>
            </w:r>
            <w:r w:rsidRPr="007E37EC">
              <w:rPr>
                <w:rFonts w:ascii="Arial" w:hAnsi="Arial" w:cs="Arial"/>
                <w:b/>
                <w:bCs/>
                <w:color w:val="000000" w:themeColor="text1"/>
                <w:spacing w:val="-11"/>
                <w:sz w:val="20"/>
                <w:szCs w:val="20"/>
              </w:rPr>
              <w:t xml:space="preserve"> </w:t>
            </w:r>
            <w:r w:rsidR="00531FD8">
              <w:rPr>
                <w:rFonts w:ascii="Arial" w:hAnsi="Arial" w:cs="Arial"/>
                <w:b/>
                <w:bCs/>
                <w:color w:val="000000" w:themeColor="text1"/>
                <w:sz w:val="20"/>
                <w:szCs w:val="20"/>
              </w:rPr>
              <w:t>Labor</w:t>
            </w:r>
            <w:r w:rsidRPr="007E37EC">
              <w:rPr>
                <w:rFonts w:ascii="Arial" w:hAnsi="Arial" w:cs="Arial"/>
                <w:b/>
                <w:bCs/>
                <w:color w:val="000000" w:themeColor="text1"/>
                <w:sz w:val="20"/>
                <w:szCs w:val="20"/>
              </w:rPr>
              <w:t xml:space="preserve"> cost (Rs)</w:t>
            </w:r>
          </w:p>
        </w:tc>
        <w:tc>
          <w:tcPr>
            <w:tcW w:w="1196" w:type="dxa"/>
            <w:vMerge w:val="restart"/>
            <w:vAlign w:val="center"/>
          </w:tcPr>
          <w:p w14:paraId="46CD9627" w14:textId="77777777" w:rsidR="0016759E" w:rsidRPr="007E37EC" w:rsidRDefault="0016759E" w:rsidP="00A40833">
            <w:pPr>
              <w:pStyle w:val="TableParagraph"/>
              <w:spacing w:before="31" w:line="360" w:lineRule="auto"/>
              <w:ind w:left="0"/>
              <w:jc w:val="both"/>
              <w:rPr>
                <w:rFonts w:ascii="Arial" w:hAnsi="Arial" w:cs="Arial"/>
                <w:b/>
                <w:bCs/>
                <w:color w:val="000000" w:themeColor="text1"/>
                <w:sz w:val="20"/>
                <w:szCs w:val="20"/>
              </w:rPr>
            </w:pPr>
          </w:p>
          <w:p w14:paraId="53D83394" w14:textId="7A793BD9" w:rsidR="0016759E" w:rsidRPr="007E37EC" w:rsidRDefault="006B6EE8" w:rsidP="00A40833">
            <w:pPr>
              <w:pStyle w:val="TableParagraph"/>
              <w:spacing w:before="1" w:line="360" w:lineRule="auto"/>
              <w:ind w:right="160"/>
              <w:jc w:val="both"/>
              <w:rPr>
                <w:rFonts w:ascii="Arial" w:hAnsi="Arial" w:cs="Arial"/>
                <w:b/>
                <w:bCs/>
                <w:color w:val="000000" w:themeColor="text1"/>
                <w:sz w:val="20"/>
                <w:szCs w:val="20"/>
              </w:rPr>
            </w:pPr>
            <w:r>
              <w:rPr>
                <w:rFonts w:ascii="Arial" w:hAnsi="Arial" w:cs="Arial"/>
                <w:b/>
                <w:bCs/>
                <w:color w:val="000000" w:themeColor="text1"/>
                <w:sz w:val="20"/>
                <w:szCs w:val="20"/>
              </w:rPr>
              <w:t>Average</w:t>
            </w:r>
            <w:r w:rsidR="00E44985">
              <w:rPr>
                <w:rFonts w:ascii="Arial" w:hAnsi="Arial" w:cs="Arial"/>
                <w:b/>
                <w:bCs/>
                <w:color w:val="000000" w:themeColor="text1"/>
                <w:sz w:val="20"/>
                <w:szCs w:val="20"/>
              </w:rPr>
              <w:t xml:space="preserve"> </w:t>
            </w:r>
            <w:r w:rsidR="00531FD8">
              <w:rPr>
                <w:rFonts w:ascii="Arial" w:hAnsi="Arial" w:cs="Arial"/>
                <w:b/>
                <w:bCs/>
                <w:color w:val="000000" w:themeColor="text1"/>
                <w:sz w:val="20"/>
                <w:szCs w:val="20"/>
              </w:rPr>
              <w:t>Labor</w:t>
            </w:r>
            <w:r w:rsidR="0016759E" w:rsidRPr="007E37EC">
              <w:rPr>
                <w:rFonts w:ascii="Arial" w:hAnsi="Arial" w:cs="Arial"/>
                <w:b/>
                <w:bCs/>
                <w:color w:val="000000" w:themeColor="text1"/>
                <w:spacing w:val="-11"/>
                <w:sz w:val="20"/>
                <w:szCs w:val="20"/>
              </w:rPr>
              <w:t xml:space="preserve"> </w:t>
            </w:r>
            <w:r w:rsidR="0016759E" w:rsidRPr="007E37EC">
              <w:rPr>
                <w:rFonts w:ascii="Arial" w:hAnsi="Arial" w:cs="Arial"/>
                <w:b/>
                <w:bCs/>
                <w:color w:val="000000" w:themeColor="text1"/>
                <w:sz w:val="20"/>
                <w:szCs w:val="20"/>
              </w:rPr>
              <w:t xml:space="preserve">Cost per Kg of </w:t>
            </w:r>
            <w:proofErr w:type="gramStart"/>
            <w:r w:rsidR="0016759E" w:rsidRPr="007E37EC">
              <w:rPr>
                <w:rFonts w:ascii="Arial" w:hAnsi="Arial" w:cs="Arial"/>
                <w:b/>
                <w:bCs/>
                <w:color w:val="000000" w:themeColor="text1"/>
                <w:sz w:val="20"/>
                <w:szCs w:val="20"/>
              </w:rPr>
              <w:t>output</w:t>
            </w:r>
            <w:r w:rsidR="0016759E" w:rsidRPr="007E37EC">
              <w:rPr>
                <w:rFonts w:ascii="Arial" w:hAnsi="Arial" w:cs="Arial"/>
                <w:b/>
                <w:bCs/>
                <w:color w:val="000000" w:themeColor="text1"/>
                <w:spacing w:val="-5"/>
                <w:sz w:val="20"/>
                <w:szCs w:val="20"/>
              </w:rPr>
              <w:t>(</w:t>
            </w:r>
            <w:proofErr w:type="gramEnd"/>
            <w:r w:rsidR="0016759E" w:rsidRPr="007E37EC">
              <w:rPr>
                <w:rFonts w:ascii="Arial" w:hAnsi="Arial" w:cs="Arial"/>
                <w:b/>
                <w:bCs/>
                <w:color w:val="000000" w:themeColor="text1"/>
                <w:spacing w:val="-5"/>
                <w:sz w:val="20"/>
                <w:szCs w:val="20"/>
              </w:rPr>
              <w:t>Rs)</w:t>
            </w:r>
          </w:p>
        </w:tc>
      </w:tr>
      <w:tr w:rsidR="0016759E" w:rsidRPr="007E37EC" w14:paraId="6AB837F2" w14:textId="77777777" w:rsidTr="00251DEB">
        <w:trPr>
          <w:trHeight w:val="891"/>
        </w:trPr>
        <w:tc>
          <w:tcPr>
            <w:tcW w:w="1121" w:type="dxa"/>
            <w:vMerge/>
            <w:vAlign w:val="center"/>
          </w:tcPr>
          <w:p w14:paraId="17E11954" w14:textId="7F768B75" w:rsidR="0016759E" w:rsidRPr="007E37EC" w:rsidRDefault="0016759E" w:rsidP="00A40833">
            <w:pPr>
              <w:pStyle w:val="TableParagraph"/>
              <w:spacing w:before="1" w:line="360" w:lineRule="auto"/>
              <w:jc w:val="both"/>
              <w:rPr>
                <w:rFonts w:ascii="Arial" w:hAnsi="Arial" w:cs="Arial"/>
                <w:b/>
                <w:bCs/>
                <w:color w:val="000000" w:themeColor="text1"/>
                <w:sz w:val="20"/>
                <w:szCs w:val="20"/>
              </w:rPr>
            </w:pPr>
          </w:p>
        </w:tc>
        <w:tc>
          <w:tcPr>
            <w:tcW w:w="1046" w:type="dxa"/>
            <w:vAlign w:val="center"/>
          </w:tcPr>
          <w:p w14:paraId="4B7B1BA9" w14:textId="2066E12A" w:rsidR="0016759E" w:rsidRPr="007E37EC" w:rsidRDefault="0016759E" w:rsidP="00A40833">
            <w:pPr>
              <w:pStyle w:val="TableParagraph"/>
              <w:spacing w:before="1" w:line="360" w:lineRule="auto"/>
              <w:ind w:left="0" w:right="85"/>
              <w:jc w:val="both"/>
              <w:rPr>
                <w:rFonts w:ascii="Arial" w:hAnsi="Arial" w:cs="Arial"/>
                <w:b/>
                <w:bCs/>
                <w:color w:val="000000" w:themeColor="text1"/>
                <w:sz w:val="20"/>
                <w:szCs w:val="20"/>
              </w:rPr>
            </w:pPr>
            <w:r w:rsidRPr="007E37EC">
              <w:rPr>
                <w:rFonts w:ascii="Arial" w:hAnsi="Arial" w:cs="Arial"/>
                <w:b/>
                <w:bCs/>
                <w:color w:val="000000" w:themeColor="text1"/>
                <w:spacing w:val="-11"/>
                <w:sz w:val="20"/>
                <w:szCs w:val="20"/>
              </w:rPr>
              <w:t>N</w:t>
            </w:r>
            <w:r w:rsidRPr="007E37EC">
              <w:rPr>
                <w:rFonts w:ascii="Arial" w:hAnsi="Arial" w:cs="Arial"/>
                <w:b/>
                <w:bCs/>
                <w:color w:val="000000" w:themeColor="text1"/>
                <w:sz w:val="20"/>
                <w:szCs w:val="20"/>
              </w:rPr>
              <w:t>umber</w:t>
            </w:r>
          </w:p>
        </w:tc>
        <w:tc>
          <w:tcPr>
            <w:tcW w:w="1121" w:type="dxa"/>
            <w:vAlign w:val="center"/>
          </w:tcPr>
          <w:p w14:paraId="4CE0F3EB" w14:textId="2711AD60" w:rsidR="0016759E" w:rsidRPr="007E37EC" w:rsidRDefault="00531FD8" w:rsidP="00A40833">
            <w:pPr>
              <w:pStyle w:val="TableParagraph"/>
              <w:spacing w:before="1" w:line="360" w:lineRule="auto"/>
              <w:ind w:left="0"/>
              <w:jc w:val="both"/>
              <w:rPr>
                <w:rFonts w:ascii="Arial" w:hAnsi="Arial" w:cs="Arial"/>
                <w:b/>
                <w:bCs/>
                <w:color w:val="000000" w:themeColor="text1"/>
                <w:sz w:val="20"/>
                <w:szCs w:val="20"/>
              </w:rPr>
            </w:pPr>
            <w:r>
              <w:rPr>
                <w:rFonts w:ascii="Arial" w:hAnsi="Arial" w:cs="Arial"/>
                <w:b/>
                <w:bCs/>
                <w:color w:val="000000" w:themeColor="text1"/>
                <w:sz w:val="20"/>
                <w:szCs w:val="20"/>
              </w:rPr>
              <w:t>Labor</w:t>
            </w:r>
          </w:p>
          <w:p w14:paraId="6CFA49D2" w14:textId="7039E90F" w:rsidR="0016759E" w:rsidRPr="007E37EC" w:rsidRDefault="0016759E" w:rsidP="00A40833">
            <w:pPr>
              <w:pStyle w:val="TableParagraph"/>
              <w:spacing w:before="1" w:line="360" w:lineRule="auto"/>
              <w:ind w:left="0"/>
              <w:jc w:val="both"/>
              <w:rPr>
                <w:rFonts w:ascii="Arial" w:hAnsi="Arial" w:cs="Arial"/>
                <w:b/>
                <w:bCs/>
                <w:color w:val="000000" w:themeColor="text1"/>
                <w:sz w:val="20"/>
                <w:szCs w:val="20"/>
              </w:rPr>
            </w:pPr>
            <w:r w:rsidRPr="007E37EC">
              <w:rPr>
                <w:rFonts w:ascii="Arial" w:hAnsi="Arial" w:cs="Arial"/>
                <w:b/>
                <w:bCs/>
                <w:color w:val="000000" w:themeColor="text1"/>
                <w:spacing w:val="-2"/>
                <w:sz w:val="20"/>
                <w:szCs w:val="20"/>
              </w:rPr>
              <w:t>hours</w:t>
            </w:r>
          </w:p>
        </w:tc>
        <w:tc>
          <w:tcPr>
            <w:tcW w:w="1046" w:type="dxa"/>
            <w:vAlign w:val="center"/>
          </w:tcPr>
          <w:p w14:paraId="58EEFA1E" w14:textId="77777777" w:rsidR="0016759E" w:rsidRPr="007E37EC" w:rsidRDefault="0016759E" w:rsidP="00A40833">
            <w:pPr>
              <w:pStyle w:val="TableParagraph"/>
              <w:spacing w:before="31" w:line="360" w:lineRule="auto"/>
              <w:ind w:left="0"/>
              <w:jc w:val="both"/>
              <w:rPr>
                <w:rFonts w:ascii="Arial" w:hAnsi="Arial" w:cs="Arial"/>
                <w:b/>
                <w:bCs/>
                <w:color w:val="000000" w:themeColor="text1"/>
                <w:sz w:val="20"/>
                <w:szCs w:val="20"/>
              </w:rPr>
            </w:pPr>
          </w:p>
          <w:p w14:paraId="62FE426A" w14:textId="16DB245E" w:rsidR="0016759E" w:rsidRPr="007E37EC" w:rsidRDefault="0016759E" w:rsidP="00A40833">
            <w:pPr>
              <w:pStyle w:val="TableParagraph"/>
              <w:spacing w:before="1" w:line="360" w:lineRule="auto"/>
              <w:ind w:left="0" w:right="159"/>
              <w:jc w:val="both"/>
              <w:rPr>
                <w:rFonts w:ascii="Arial" w:hAnsi="Arial" w:cs="Arial"/>
                <w:b/>
                <w:bCs/>
                <w:color w:val="000000" w:themeColor="text1"/>
                <w:sz w:val="20"/>
                <w:szCs w:val="20"/>
              </w:rPr>
            </w:pPr>
            <w:r w:rsidRPr="007E37EC">
              <w:rPr>
                <w:rFonts w:ascii="Arial" w:hAnsi="Arial" w:cs="Arial"/>
                <w:b/>
                <w:bCs/>
                <w:color w:val="000000" w:themeColor="text1"/>
                <w:sz w:val="20"/>
                <w:szCs w:val="20"/>
              </w:rPr>
              <w:t xml:space="preserve">Cost </w:t>
            </w:r>
            <w:r w:rsidRPr="007E37EC">
              <w:rPr>
                <w:rFonts w:ascii="Arial" w:hAnsi="Arial" w:cs="Arial"/>
                <w:b/>
                <w:bCs/>
                <w:color w:val="000000" w:themeColor="text1"/>
                <w:spacing w:val="-5"/>
                <w:sz w:val="20"/>
                <w:szCs w:val="20"/>
              </w:rPr>
              <w:t>(Rs)</w:t>
            </w:r>
          </w:p>
        </w:tc>
        <w:tc>
          <w:tcPr>
            <w:tcW w:w="1046" w:type="dxa"/>
            <w:vAlign w:val="center"/>
          </w:tcPr>
          <w:p w14:paraId="4F46BD77" w14:textId="77777777" w:rsidR="0016759E" w:rsidRPr="007E37EC" w:rsidRDefault="0016759E" w:rsidP="00A40833">
            <w:pPr>
              <w:pStyle w:val="TableParagraph"/>
              <w:spacing w:before="31" w:line="360" w:lineRule="auto"/>
              <w:ind w:left="0"/>
              <w:jc w:val="both"/>
              <w:rPr>
                <w:rFonts w:ascii="Arial" w:hAnsi="Arial" w:cs="Arial"/>
                <w:b/>
                <w:bCs/>
                <w:color w:val="000000" w:themeColor="text1"/>
                <w:sz w:val="20"/>
                <w:szCs w:val="20"/>
              </w:rPr>
            </w:pPr>
          </w:p>
          <w:p w14:paraId="67DF59B7" w14:textId="7BD09E63" w:rsidR="0016759E" w:rsidRPr="007E37EC" w:rsidRDefault="0016759E" w:rsidP="00A40833">
            <w:pPr>
              <w:pStyle w:val="TableParagraph"/>
              <w:spacing w:before="1" w:line="360" w:lineRule="auto"/>
              <w:ind w:right="85"/>
              <w:jc w:val="both"/>
              <w:rPr>
                <w:rFonts w:ascii="Arial" w:hAnsi="Arial" w:cs="Arial"/>
                <w:b/>
                <w:bCs/>
                <w:color w:val="000000" w:themeColor="text1"/>
                <w:sz w:val="20"/>
                <w:szCs w:val="20"/>
              </w:rPr>
            </w:pPr>
            <w:r w:rsidRPr="007E37EC">
              <w:rPr>
                <w:rFonts w:ascii="Arial" w:hAnsi="Arial" w:cs="Arial"/>
                <w:b/>
                <w:bCs/>
                <w:color w:val="000000" w:themeColor="text1"/>
                <w:spacing w:val="-11"/>
                <w:sz w:val="20"/>
                <w:szCs w:val="20"/>
              </w:rPr>
              <w:t xml:space="preserve"> </w:t>
            </w:r>
            <w:r w:rsidRPr="007E37EC">
              <w:rPr>
                <w:rFonts w:ascii="Arial" w:hAnsi="Arial" w:cs="Arial"/>
                <w:b/>
                <w:bCs/>
                <w:color w:val="000000" w:themeColor="text1"/>
                <w:sz w:val="20"/>
                <w:szCs w:val="20"/>
              </w:rPr>
              <w:t>Number</w:t>
            </w:r>
          </w:p>
        </w:tc>
        <w:tc>
          <w:tcPr>
            <w:tcW w:w="1121" w:type="dxa"/>
            <w:vAlign w:val="center"/>
          </w:tcPr>
          <w:p w14:paraId="58EF2E81" w14:textId="47E00992" w:rsidR="0016759E" w:rsidRPr="007E37EC" w:rsidRDefault="00531FD8" w:rsidP="00A40833">
            <w:pPr>
              <w:pStyle w:val="TableParagraph"/>
              <w:spacing w:before="1" w:line="360" w:lineRule="auto"/>
              <w:ind w:left="0"/>
              <w:jc w:val="both"/>
              <w:rPr>
                <w:rFonts w:ascii="Arial" w:hAnsi="Arial" w:cs="Arial"/>
                <w:b/>
                <w:bCs/>
                <w:color w:val="000000" w:themeColor="text1"/>
                <w:sz w:val="20"/>
                <w:szCs w:val="20"/>
              </w:rPr>
            </w:pPr>
            <w:r>
              <w:rPr>
                <w:rFonts w:ascii="Arial" w:hAnsi="Arial" w:cs="Arial"/>
                <w:b/>
                <w:bCs/>
                <w:color w:val="000000" w:themeColor="text1"/>
                <w:sz w:val="20"/>
                <w:szCs w:val="20"/>
              </w:rPr>
              <w:t>Labor</w:t>
            </w:r>
          </w:p>
          <w:p w14:paraId="7E81B95D" w14:textId="77777777" w:rsidR="0016759E" w:rsidRPr="007E37EC" w:rsidRDefault="0016759E" w:rsidP="00A40833">
            <w:pPr>
              <w:pStyle w:val="TableParagraph"/>
              <w:spacing w:before="31" w:line="360" w:lineRule="auto"/>
              <w:ind w:left="0"/>
              <w:jc w:val="both"/>
              <w:rPr>
                <w:rFonts w:ascii="Arial" w:hAnsi="Arial" w:cs="Arial"/>
                <w:b/>
                <w:bCs/>
                <w:color w:val="000000" w:themeColor="text1"/>
                <w:sz w:val="20"/>
                <w:szCs w:val="20"/>
              </w:rPr>
            </w:pPr>
          </w:p>
          <w:p w14:paraId="51B1169A" w14:textId="66A0E258" w:rsidR="0016759E" w:rsidRPr="007E37EC" w:rsidRDefault="0016759E" w:rsidP="00A40833">
            <w:pPr>
              <w:pStyle w:val="TableParagraph"/>
              <w:spacing w:before="1" w:line="360" w:lineRule="auto"/>
              <w:jc w:val="both"/>
              <w:rPr>
                <w:rFonts w:ascii="Arial" w:hAnsi="Arial" w:cs="Arial"/>
                <w:b/>
                <w:bCs/>
                <w:color w:val="000000" w:themeColor="text1"/>
                <w:sz w:val="20"/>
                <w:szCs w:val="20"/>
              </w:rPr>
            </w:pPr>
            <w:r w:rsidRPr="007E37EC">
              <w:rPr>
                <w:rFonts w:ascii="Arial" w:hAnsi="Arial" w:cs="Arial"/>
                <w:b/>
                <w:bCs/>
                <w:color w:val="000000" w:themeColor="text1"/>
                <w:spacing w:val="-2"/>
                <w:sz w:val="20"/>
                <w:szCs w:val="20"/>
              </w:rPr>
              <w:t>hours</w:t>
            </w:r>
          </w:p>
        </w:tc>
        <w:tc>
          <w:tcPr>
            <w:tcW w:w="1046" w:type="dxa"/>
            <w:vAlign w:val="center"/>
          </w:tcPr>
          <w:p w14:paraId="11BCE87E" w14:textId="77777777" w:rsidR="0016759E" w:rsidRPr="007E37EC" w:rsidRDefault="0016759E" w:rsidP="00A40833">
            <w:pPr>
              <w:pStyle w:val="TableParagraph"/>
              <w:spacing w:before="31" w:line="360" w:lineRule="auto"/>
              <w:ind w:left="0"/>
              <w:jc w:val="both"/>
              <w:rPr>
                <w:rFonts w:ascii="Arial" w:hAnsi="Arial" w:cs="Arial"/>
                <w:b/>
                <w:bCs/>
                <w:color w:val="000000" w:themeColor="text1"/>
                <w:sz w:val="20"/>
                <w:szCs w:val="20"/>
              </w:rPr>
            </w:pPr>
          </w:p>
          <w:p w14:paraId="172FD562" w14:textId="305552C0" w:rsidR="0016759E" w:rsidRPr="007E37EC" w:rsidRDefault="0016759E" w:rsidP="00A40833">
            <w:pPr>
              <w:pStyle w:val="TableParagraph"/>
              <w:spacing w:before="1" w:line="360" w:lineRule="auto"/>
              <w:ind w:right="155"/>
              <w:jc w:val="both"/>
              <w:rPr>
                <w:rFonts w:ascii="Arial" w:hAnsi="Arial" w:cs="Arial"/>
                <w:b/>
                <w:bCs/>
                <w:color w:val="000000" w:themeColor="text1"/>
                <w:sz w:val="20"/>
                <w:szCs w:val="20"/>
              </w:rPr>
            </w:pPr>
            <w:r w:rsidRPr="007E37EC">
              <w:rPr>
                <w:rFonts w:ascii="Arial" w:hAnsi="Arial" w:cs="Arial"/>
                <w:b/>
                <w:bCs/>
                <w:color w:val="000000" w:themeColor="text1"/>
                <w:sz w:val="20"/>
                <w:szCs w:val="20"/>
              </w:rPr>
              <w:t>Cost</w:t>
            </w:r>
            <w:r w:rsidRPr="007E37EC">
              <w:rPr>
                <w:rFonts w:ascii="Arial" w:hAnsi="Arial" w:cs="Arial"/>
                <w:b/>
                <w:bCs/>
                <w:color w:val="000000" w:themeColor="text1"/>
                <w:spacing w:val="-11"/>
                <w:sz w:val="20"/>
                <w:szCs w:val="20"/>
              </w:rPr>
              <w:t xml:space="preserve"> </w:t>
            </w:r>
            <w:r w:rsidRPr="007E37EC">
              <w:rPr>
                <w:rFonts w:ascii="Arial" w:hAnsi="Arial" w:cs="Arial"/>
                <w:b/>
                <w:bCs/>
                <w:color w:val="000000" w:themeColor="text1"/>
                <w:sz w:val="20"/>
                <w:szCs w:val="20"/>
              </w:rPr>
              <w:t>(Rs)</w:t>
            </w:r>
          </w:p>
        </w:tc>
        <w:tc>
          <w:tcPr>
            <w:tcW w:w="1271" w:type="dxa"/>
            <w:vMerge/>
            <w:vAlign w:val="center"/>
          </w:tcPr>
          <w:p w14:paraId="78A0159A" w14:textId="253620EA" w:rsidR="0016759E" w:rsidRPr="007E37EC" w:rsidRDefault="0016759E" w:rsidP="00A40833">
            <w:pPr>
              <w:pStyle w:val="TableParagraph"/>
              <w:spacing w:before="1" w:line="360" w:lineRule="auto"/>
              <w:ind w:left="0" w:right="185"/>
              <w:jc w:val="both"/>
              <w:rPr>
                <w:rFonts w:ascii="Arial" w:hAnsi="Arial" w:cs="Arial"/>
                <w:b/>
                <w:bCs/>
                <w:color w:val="000000" w:themeColor="text1"/>
                <w:sz w:val="20"/>
                <w:szCs w:val="20"/>
              </w:rPr>
            </w:pPr>
          </w:p>
        </w:tc>
        <w:tc>
          <w:tcPr>
            <w:tcW w:w="1196" w:type="dxa"/>
            <w:vMerge/>
            <w:vAlign w:val="center"/>
          </w:tcPr>
          <w:p w14:paraId="60745A47" w14:textId="71E3AF6B" w:rsidR="0016759E" w:rsidRPr="007E37EC" w:rsidRDefault="0016759E" w:rsidP="00A40833">
            <w:pPr>
              <w:pStyle w:val="TableParagraph"/>
              <w:spacing w:before="1" w:line="360" w:lineRule="auto"/>
              <w:ind w:right="160"/>
              <w:jc w:val="both"/>
              <w:rPr>
                <w:rFonts w:ascii="Arial" w:hAnsi="Arial" w:cs="Arial"/>
                <w:b/>
                <w:bCs/>
                <w:color w:val="000000" w:themeColor="text1"/>
                <w:sz w:val="20"/>
                <w:szCs w:val="20"/>
              </w:rPr>
            </w:pPr>
          </w:p>
        </w:tc>
      </w:tr>
      <w:tr w:rsidR="00DC09BF" w:rsidRPr="007E37EC" w14:paraId="7B1F9BDA" w14:textId="77777777" w:rsidTr="00251DEB">
        <w:trPr>
          <w:trHeight w:val="358"/>
        </w:trPr>
        <w:tc>
          <w:tcPr>
            <w:tcW w:w="1121" w:type="dxa"/>
            <w:vAlign w:val="center"/>
          </w:tcPr>
          <w:p w14:paraId="38473D2B" w14:textId="060AA78A" w:rsidR="00DC09BF" w:rsidRPr="007E37EC" w:rsidRDefault="00DC09BF" w:rsidP="00A40833">
            <w:pPr>
              <w:pStyle w:val="TableParagraph"/>
              <w:spacing w:before="64" w:line="360" w:lineRule="auto"/>
              <w:ind w:right="1"/>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Coochbehar</w:t>
            </w:r>
            <w:proofErr w:type="spellEnd"/>
            <w:r w:rsidR="00E2475E">
              <w:rPr>
                <w:rFonts w:ascii="Arial" w:hAnsi="Arial" w:cs="Arial"/>
                <w:b/>
                <w:bCs/>
                <w:color w:val="000000" w:themeColor="text1"/>
                <w:sz w:val="20"/>
                <w:szCs w:val="20"/>
              </w:rPr>
              <w:t>-</w:t>
            </w:r>
            <w:r w:rsidRPr="007E37EC">
              <w:rPr>
                <w:rFonts w:ascii="Arial" w:hAnsi="Arial" w:cs="Arial"/>
                <w:b/>
                <w:bCs/>
                <w:color w:val="000000" w:themeColor="text1"/>
                <w:sz w:val="20"/>
                <w:szCs w:val="20"/>
              </w:rPr>
              <w:t>II</w:t>
            </w:r>
          </w:p>
        </w:tc>
        <w:tc>
          <w:tcPr>
            <w:tcW w:w="1046" w:type="dxa"/>
            <w:vAlign w:val="center"/>
          </w:tcPr>
          <w:p w14:paraId="200276EF"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1.29</w:t>
            </w:r>
          </w:p>
        </w:tc>
        <w:tc>
          <w:tcPr>
            <w:tcW w:w="1121" w:type="dxa"/>
            <w:vAlign w:val="center"/>
          </w:tcPr>
          <w:p w14:paraId="19998046"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6.29</w:t>
            </w:r>
          </w:p>
        </w:tc>
        <w:tc>
          <w:tcPr>
            <w:tcW w:w="1046" w:type="dxa"/>
            <w:vAlign w:val="center"/>
          </w:tcPr>
          <w:p w14:paraId="30DAC1EA"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314.29</w:t>
            </w:r>
          </w:p>
        </w:tc>
        <w:tc>
          <w:tcPr>
            <w:tcW w:w="1046" w:type="dxa"/>
            <w:vAlign w:val="center"/>
          </w:tcPr>
          <w:p w14:paraId="534E0898"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2.00</w:t>
            </w:r>
          </w:p>
        </w:tc>
        <w:tc>
          <w:tcPr>
            <w:tcW w:w="1121" w:type="dxa"/>
            <w:vAlign w:val="center"/>
          </w:tcPr>
          <w:p w14:paraId="73ACA035"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15.11</w:t>
            </w:r>
          </w:p>
        </w:tc>
        <w:tc>
          <w:tcPr>
            <w:tcW w:w="1046" w:type="dxa"/>
            <w:vAlign w:val="center"/>
          </w:tcPr>
          <w:p w14:paraId="408B0E29"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566.67</w:t>
            </w:r>
          </w:p>
        </w:tc>
        <w:tc>
          <w:tcPr>
            <w:tcW w:w="1271" w:type="dxa"/>
            <w:vAlign w:val="center"/>
          </w:tcPr>
          <w:p w14:paraId="31AB0CF1"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880.96</w:t>
            </w:r>
          </w:p>
        </w:tc>
        <w:tc>
          <w:tcPr>
            <w:tcW w:w="1196" w:type="dxa"/>
            <w:vAlign w:val="center"/>
          </w:tcPr>
          <w:p w14:paraId="0A1C4F6C"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6.28</w:t>
            </w:r>
          </w:p>
        </w:tc>
      </w:tr>
      <w:tr w:rsidR="00DC09BF" w:rsidRPr="007E37EC" w14:paraId="6435F6FD" w14:textId="77777777" w:rsidTr="00251DEB">
        <w:trPr>
          <w:trHeight w:val="358"/>
        </w:trPr>
        <w:tc>
          <w:tcPr>
            <w:tcW w:w="1121" w:type="dxa"/>
            <w:vAlign w:val="center"/>
          </w:tcPr>
          <w:p w14:paraId="06AAEE30" w14:textId="2174B5C6" w:rsidR="00DC09BF" w:rsidRPr="007E37EC" w:rsidRDefault="00DC09BF" w:rsidP="00A40833">
            <w:pPr>
              <w:pStyle w:val="TableParagraph"/>
              <w:spacing w:before="64" w:line="360" w:lineRule="auto"/>
              <w:jc w:val="both"/>
              <w:rPr>
                <w:rFonts w:ascii="Arial" w:hAnsi="Arial" w:cs="Arial"/>
                <w:b/>
                <w:bCs/>
                <w:color w:val="000000" w:themeColor="text1"/>
                <w:spacing w:val="-2"/>
                <w:sz w:val="20"/>
                <w:szCs w:val="20"/>
              </w:rPr>
            </w:pPr>
            <w:proofErr w:type="spellStart"/>
            <w:r w:rsidRPr="007E37EC">
              <w:rPr>
                <w:rFonts w:ascii="Arial" w:hAnsi="Arial" w:cs="Arial"/>
                <w:b/>
                <w:bCs/>
                <w:color w:val="000000" w:themeColor="text1"/>
                <w:spacing w:val="-2"/>
                <w:sz w:val="20"/>
                <w:szCs w:val="20"/>
              </w:rPr>
              <w:t>Tufanganj</w:t>
            </w:r>
            <w:proofErr w:type="spellEnd"/>
            <w:r w:rsidR="00E2475E">
              <w:rPr>
                <w:rFonts w:ascii="Arial" w:hAnsi="Arial" w:cs="Arial"/>
                <w:b/>
                <w:bCs/>
                <w:color w:val="000000" w:themeColor="text1"/>
                <w:spacing w:val="-2"/>
                <w:sz w:val="20"/>
                <w:szCs w:val="20"/>
              </w:rPr>
              <w:t>-</w:t>
            </w:r>
            <w:r w:rsidRPr="007E37EC">
              <w:rPr>
                <w:rFonts w:ascii="Arial" w:hAnsi="Arial" w:cs="Arial"/>
                <w:b/>
                <w:bCs/>
                <w:color w:val="000000" w:themeColor="text1"/>
                <w:spacing w:val="-2"/>
                <w:sz w:val="20"/>
                <w:szCs w:val="20"/>
              </w:rPr>
              <w:t>I</w:t>
            </w:r>
          </w:p>
        </w:tc>
        <w:tc>
          <w:tcPr>
            <w:tcW w:w="1046" w:type="dxa"/>
            <w:vAlign w:val="center"/>
          </w:tcPr>
          <w:p w14:paraId="668061CE"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1.44</w:t>
            </w:r>
          </w:p>
        </w:tc>
        <w:tc>
          <w:tcPr>
            <w:tcW w:w="1121" w:type="dxa"/>
            <w:vAlign w:val="center"/>
          </w:tcPr>
          <w:p w14:paraId="663508C8"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7.67</w:t>
            </w:r>
          </w:p>
        </w:tc>
        <w:tc>
          <w:tcPr>
            <w:tcW w:w="1046" w:type="dxa"/>
            <w:vAlign w:val="center"/>
          </w:tcPr>
          <w:p w14:paraId="1B9EBE8B"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383.33</w:t>
            </w:r>
          </w:p>
        </w:tc>
        <w:tc>
          <w:tcPr>
            <w:tcW w:w="1046" w:type="dxa"/>
            <w:vAlign w:val="center"/>
          </w:tcPr>
          <w:p w14:paraId="3400A4D3"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2.00</w:t>
            </w:r>
          </w:p>
        </w:tc>
        <w:tc>
          <w:tcPr>
            <w:tcW w:w="1121" w:type="dxa"/>
            <w:vAlign w:val="center"/>
          </w:tcPr>
          <w:p w14:paraId="17C013B0"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14.00</w:t>
            </w:r>
          </w:p>
        </w:tc>
        <w:tc>
          <w:tcPr>
            <w:tcW w:w="1046" w:type="dxa"/>
            <w:vAlign w:val="center"/>
          </w:tcPr>
          <w:p w14:paraId="3EC00308"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525.00</w:t>
            </w:r>
          </w:p>
        </w:tc>
        <w:tc>
          <w:tcPr>
            <w:tcW w:w="1271" w:type="dxa"/>
            <w:vAlign w:val="center"/>
          </w:tcPr>
          <w:p w14:paraId="6741174E"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908.33</w:t>
            </w:r>
          </w:p>
        </w:tc>
        <w:tc>
          <w:tcPr>
            <w:tcW w:w="1196" w:type="dxa"/>
            <w:vAlign w:val="center"/>
          </w:tcPr>
          <w:p w14:paraId="4727FD87"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7.74</w:t>
            </w:r>
          </w:p>
        </w:tc>
      </w:tr>
      <w:tr w:rsidR="00DC09BF" w:rsidRPr="007E37EC" w14:paraId="6C81F5F7" w14:textId="77777777" w:rsidTr="00251DEB">
        <w:trPr>
          <w:trHeight w:val="358"/>
        </w:trPr>
        <w:tc>
          <w:tcPr>
            <w:tcW w:w="1121" w:type="dxa"/>
            <w:vAlign w:val="center"/>
          </w:tcPr>
          <w:p w14:paraId="055124AD" w14:textId="4030E12C" w:rsidR="00DC09BF" w:rsidRPr="007E37EC" w:rsidRDefault="00DC09BF" w:rsidP="00A40833">
            <w:pPr>
              <w:pStyle w:val="TableParagraph"/>
              <w:spacing w:before="64" w:line="360" w:lineRule="auto"/>
              <w:ind w:right="1"/>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Alipurduar</w:t>
            </w:r>
            <w:proofErr w:type="spellEnd"/>
            <w:r w:rsidR="00E2475E">
              <w:rPr>
                <w:rFonts w:ascii="Arial" w:hAnsi="Arial" w:cs="Arial"/>
                <w:b/>
                <w:bCs/>
                <w:color w:val="000000" w:themeColor="text1"/>
                <w:sz w:val="20"/>
                <w:szCs w:val="20"/>
              </w:rPr>
              <w:t>-</w:t>
            </w:r>
            <w:r w:rsidRPr="007E37EC">
              <w:rPr>
                <w:rFonts w:ascii="Arial" w:hAnsi="Arial" w:cs="Arial"/>
                <w:b/>
                <w:bCs/>
                <w:color w:val="000000" w:themeColor="text1"/>
                <w:spacing w:val="-10"/>
                <w:sz w:val="20"/>
                <w:szCs w:val="20"/>
              </w:rPr>
              <w:t>I</w:t>
            </w:r>
          </w:p>
        </w:tc>
        <w:tc>
          <w:tcPr>
            <w:tcW w:w="1046" w:type="dxa"/>
            <w:vAlign w:val="center"/>
          </w:tcPr>
          <w:p w14:paraId="14F8AF62"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1.67</w:t>
            </w:r>
          </w:p>
        </w:tc>
        <w:tc>
          <w:tcPr>
            <w:tcW w:w="1121" w:type="dxa"/>
            <w:vAlign w:val="center"/>
          </w:tcPr>
          <w:p w14:paraId="236CEE5D"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11.00</w:t>
            </w:r>
          </w:p>
        </w:tc>
        <w:tc>
          <w:tcPr>
            <w:tcW w:w="1046" w:type="dxa"/>
            <w:vAlign w:val="center"/>
          </w:tcPr>
          <w:p w14:paraId="25011C43"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550.00</w:t>
            </w:r>
          </w:p>
        </w:tc>
        <w:tc>
          <w:tcPr>
            <w:tcW w:w="1046" w:type="dxa"/>
            <w:vAlign w:val="center"/>
          </w:tcPr>
          <w:p w14:paraId="36A5EBD7"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1.50</w:t>
            </w:r>
          </w:p>
        </w:tc>
        <w:tc>
          <w:tcPr>
            <w:tcW w:w="1121" w:type="dxa"/>
            <w:vAlign w:val="center"/>
          </w:tcPr>
          <w:p w14:paraId="1655651C"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13.00</w:t>
            </w:r>
          </w:p>
        </w:tc>
        <w:tc>
          <w:tcPr>
            <w:tcW w:w="1046" w:type="dxa"/>
            <w:vAlign w:val="center"/>
          </w:tcPr>
          <w:p w14:paraId="65149A04"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487.50</w:t>
            </w:r>
          </w:p>
        </w:tc>
        <w:tc>
          <w:tcPr>
            <w:tcW w:w="1271" w:type="dxa"/>
            <w:vAlign w:val="center"/>
          </w:tcPr>
          <w:p w14:paraId="62658A28"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1037.50</w:t>
            </w:r>
          </w:p>
        </w:tc>
        <w:tc>
          <w:tcPr>
            <w:tcW w:w="1196" w:type="dxa"/>
            <w:vAlign w:val="center"/>
          </w:tcPr>
          <w:p w14:paraId="6C72004A"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9.61</w:t>
            </w:r>
          </w:p>
        </w:tc>
      </w:tr>
      <w:tr w:rsidR="00DC09BF" w:rsidRPr="007E37EC" w14:paraId="5689AA6B" w14:textId="77777777" w:rsidTr="00251DEB">
        <w:trPr>
          <w:trHeight w:val="358"/>
        </w:trPr>
        <w:tc>
          <w:tcPr>
            <w:tcW w:w="1121" w:type="dxa"/>
            <w:vAlign w:val="center"/>
          </w:tcPr>
          <w:p w14:paraId="50C5F1E6" w14:textId="3099D9A7" w:rsidR="00DC09BF" w:rsidRPr="007E37EC" w:rsidRDefault="00DC09BF" w:rsidP="00A40833">
            <w:pPr>
              <w:pStyle w:val="TableParagraph"/>
              <w:spacing w:before="64" w:line="360" w:lineRule="auto"/>
              <w:ind w:right="1"/>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Alipurduar</w:t>
            </w:r>
            <w:proofErr w:type="spellEnd"/>
            <w:r w:rsidR="00E2475E">
              <w:rPr>
                <w:rFonts w:ascii="Arial" w:hAnsi="Arial" w:cs="Arial"/>
                <w:b/>
                <w:bCs/>
                <w:color w:val="000000" w:themeColor="text1"/>
                <w:sz w:val="20"/>
                <w:szCs w:val="20"/>
              </w:rPr>
              <w:t>-</w:t>
            </w:r>
            <w:r w:rsidRPr="007E37EC">
              <w:rPr>
                <w:rFonts w:ascii="Arial" w:hAnsi="Arial" w:cs="Arial"/>
                <w:b/>
                <w:bCs/>
                <w:color w:val="000000" w:themeColor="text1"/>
                <w:spacing w:val="-5"/>
                <w:sz w:val="20"/>
                <w:szCs w:val="20"/>
              </w:rPr>
              <w:t>II</w:t>
            </w:r>
          </w:p>
        </w:tc>
        <w:tc>
          <w:tcPr>
            <w:tcW w:w="1046" w:type="dxa"/>
            <w:vAlign w:val="center"/>
          </w:tcPr>
          <w:p w14:paraId="54DDF76B"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1.17</w:t>
            </w:r>
          </w:p>
        </w:tc>
        <w:tc>
          <w:tcPr>
            <w:tcW w:w="1121" w:type="dxa"/>
            <w:vAlign w:val="center"/>
          </w:tcPr>
          <w:p w14:paraId="6269AF2B"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5.83</w:t>
            </w:r>
          </w:p>
        </w:tc>
        <w:tc>
          <w:tcPr>
            <w:tcW w:w="1046" w:type="dxa"/>
            <w:vAlign w:val="center"/>
          </w:tcPr>
          <w:p w14:paraId="0B71E2A9"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291.67</w:t>
            </w:r>
          </w:p>
        </w:tc>
        <w:tc>
          <w:tcPr>
            <w:tcW w:w="1046" w:type="dxa"/>
            <w:vAlign w:val="center"/>
          </w:tcPr>
          <w:p w14:paraId="2B111F4C"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1.80</w:t>
            </w:r>
          </w:p>
        </w:tc>
        <w:tc>
          <w:tcPr>
            <w:tcW w:w="1121" w:type="dxa"/>
            <w:vAlign w:val="center"/>
          </w:tcPr>
          <w:p w14:paraId="4AEA7F66"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12.40</w:t>
            </w:r>
          </w:p>
        </w:tc>
        <w:tc>
          <w:tcPr>
            <w:tcW w:w="1046" w:type="dxa"/>
            <w:vAlign w:val="center"/>
          </w:tcPr>
          <w:p w14:paraId="21264F43"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465.00</w:t>
            </w:r>
          </w:p>
        </w:tc>
        <w:tc>
          <w:tcPr>
            <w:tcW w:w="1271" w:type="dxa"/>
            <w:vAlign w:val="center"/>
          </w:tcPr>
          <w:p w14:paraId="55BB83B2"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756.67</w:t>
            </w:r>
          </w:p>
        </w:tc>
        <w:tc>
          <w:tcPr>
            <w:tcW w:w="1196" w:type="dxa"/>
            <w:vAlign w:val="center"/>
          </w:tcPr>
          <w:p w14:paraId="15B83303" w14:textId="77777777" w:rsidR="00DC09BF" w:rsidRPr="007E37EC" w:rsidRDefault="00DC09BF" w:rsidP="00A40833">
            <w:pPr>
              <w:pStyle w:val="TableParagraph"/>
              <w:spacing w:before="64"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6.35</w:t>
            </w:r>
          </w:p>
        </w:tc>
      </w:tr>
      <w:tr w:rsidR="00DC09BF" w:rsidRPr="007E37EC" w14:paraId="1C9730FA" w14:textId="77777777" w:rsidTr="00251DEB">
        <w:trPr>
          <w:trHeight w:val="358"/>
        </w:trPr>
        <w:tc>
          <w:tcPr>
            <w:tcW w:w="1121" w:type="dxa"/>
            <w:vAlign w:val="center"/>
          </w:tcPr>
          <w:p w14:paraId="7A5BAAC7" w14:textId="1D10AAED" w:rsidR="00DC09BF" w:rsidRPr="007E37EC" w:rsidRDefault="00174E12" w:rsidP="00A40833">
            <w:pPr>
              <w:pStyle w:val="TableParagraph"/>
              <w:spacing w:before="64" w:line="360" w:lineRule="auto"/>
              <w:ind w:right="1"/>
              <w:jc w:val="both"/>
              <w:rPr>
                <w:rFonts w:ascii="Arial" w:hAnsi="Arial" w:cs="Arial"/>
                <w:b/>
                <w:bCs/>
                <w:color w:val="000000" w:themeColor="text1"/>
                <w:sz w:val="20"/>
                <w:szCs w:val="20"/>
              </w:rPr>
            </w:pPr>
            <w:r>
              <w:rPr>
                <w:rFonts w:ascii="Arial" w:hAnsi="Arial" w:cs="Arial"/>
                <w:b/>
                <w:bCs/>
                <w:sz w:val="20"/>
                <w:szCs w:val="20"/>
              </w:rPr>
              <w:t>Average</w:t>
            </w:r>
          </w:p>
        </w:tc>
        <w:tc>
          <w:tcPr>
            <w:tcW w:w="1046" w:type="dxa"/>
            <w:vAlign w:val="bottom"/>
          </w:tcPr>
          <w:p w14:paraId="29B38151" w14:textId="77777777" w:rsidR="00DC09BF" w:rsidRPr="007E37EC" w:rsidRDefault="00DC09BF" w:rsidP="00A40833">
            <w:pPr>
              <w:pStyle w:val="TableParagraph"/>
              <w:spacing w:before="64" w:line="360" w:lineRule="auto"/>
              <w:jc w:val="both"/>
              <w:rPr>
                <w:rFonts w:ascii="Arial" w:hAnsi="Arial" w:cs="Arial"/>
                <w:b/>
                <w:bCs/>
                <w:color w:val="000000" w:themeColor="text1"/>
                <w:spacing w:val="-4"/>
                <w:sz w:val="20"/>
                <w:szCs w:val="20"/>
              </w:rPr>
            </w:pPr>
            <w:r w:rsidRPr="007E37EC">
              <w:rPr>
                <w:rFonts w:ascii="Arial" w:hAnsi="Arial" w:cs="Arial"/>
                <w:b/>
                <w:bCs/>
                <w:color w:val="000000"/>
                <w:sz w:val="20"/>
                <w:szCs w:val="20"/>
              </w:rPr>
              <w:t>1.36</w:t>
            </w:r>
          </w:p>
        </w:tc>
        <w:tc>
          <w:tcPr>
            <w:tcW w:w="1121" w:type="dxa"/>
            <w:vAlign w:val="bottom"/>
          </w:tcPr>
          <w:p w14:paraId="6674BEFD" w14:textId="77777777" w:rsidR="00DC09BF" w:rsidRPr="007E37EC" w:rsidRDefault="00DC09BF" w:rsidP="00A40833">
            <w:pPr>
              <w:pStyle w:val="TableParagraph"/>
              <w:spacing w:before="64" w:line="360" w:lineRule="auto"/>
              <w:jc w:val="both"/>
              <w:rPr>
                <w:rFonts w:ascii="Arial" w:hAnsi="Arial" w:cs="Arial"/>
                <w:b/>
                <w:bCs/>
                <w:color w:val="000000" w:themeColor="text1"/>
                <w:spacing w:val="-4"/>
                <w:sz w:val="20"/>
                <w:szCs w:val="20"/>
              </w:rPr>
            </w:pPr>
            <w:r w:rsidRPr="007E37EC">
              <w:rPr>
                <w:rFonts w:ascii="Arial" w:hAnsi="Arial" w:cs="Arial"/>
                <w:b/>
                <w:bCs/>
                <w:color w:val="000000"/>
                <w:sz w:val="20"/>
                <w:szCs w:val="20"/>
              </w:rPr>
              <w:t>7.25</w:t>
            </w:r>
          </w:p>
        </w:tc>
        <w:tc>
          <w:tcPr>
            <w:tcW w:w="1046" w:type="dxa"/>
            <w:vAlign w:val="bottom"/>
          </w:tcPr>
          <w:p w14:paraId="27CFE374" w14:textId="77777777" w:rsidR="00DC09BF" w:rsidRPr="007E37EC" w:rsidRDefault="00DC09BF" w:rsidP="00A40833">
            <w:pPr>
              <w:pStyle w:val="TableParagraph"/>
              <w:spacing w:before="64" w:line="360" w:lineRule="auto"/>
              <w:jc w:val="both"/>
              <w:rPr>
                <w:rFonts w:ascii="Arial" w:hAnsi="Arial" w:cs="Arial"/>
                <w:b/>
                <w:bCs/>
                <w:color w:val="000000" w:themeColor="text1"/>
                <w:spacing w:val="-2"/>
                <w:sz w:val="20"/>
                <w:szCs w:val="20"/>
              </w:rPr>
            </w:pPr>
            <w:r w:rsidRPr="007E37EC">
              <w:rPr>
                <w:rFonts w:ascii="Arial" w:hAnsi="Arial" w:cs="Arial"/>
                <w:b/>
                <w:bCs/>
                <w:color w:val="000000"/>
                <w:sz w:val="20"/>
                <w:szCs w:val="20"/>
              </w:rPr>
              <w:t>362.6</w:t>
            </w:r>
          </w:p>
        </w:tc>
        <w:tc>
          <w:tcPr>
            <w:tcW w:w="1046" w:type="dxa"/>
            <w:vAlign w:val="bottom"/>
          </w:tcPr>
          <w:p w14:paraId="6D559010" w14:textId="77777777" w:rsidR="00DC09BF" w:rsidRPr="007E37EC" w:rsidRDefault="00DC09BF" w:rsidP="00A40833">
            <w:pPr>
              <w:pStyle w:val="TableParagraph"/>
              <w:spacing w:before="64" w:line="360" w:lineRule="auto"/>
              <w:jc w:val="both"/>
              <w:rPr>
                <w:rFonts w:ascii="Arial" w:hAnsi="Arial" w:cs="Arial"/>
                <w:b/>
                <w:bCs/>
                <w:color w:val="000000" w:themeColor="text1"/>
                <w:spacing w:val="-4"/>
                <w:sz w:val="20"/>
                <w:szCs w:val="20"/>
              </w:rPr>
            </w:pPr>
            <w:r w:rsidRPr="007E37EC">
              <w:rPr>
                <w:rFonts w:ascii="Arial" w:hAnsi="Arial" w:cs="Arial"/>
                <w:b/>
                <w:bCs/>
                <w:color w:val="000000"/>
                <w:sz w:val="20"/>
                <w:szCs w:val="20"/>
              </w:rPr>
              <w:t>1.90</w:t>
            </w:r>
          </w:p>
        </w:tc>
        <w:tc>
          <w:tcPr>
            <w:tcW w:w="1121" w:type="dxa"/>
            <w:vAlign w:val="bottom"/>
          </w:tcPr>
          <w:p w14:paraId="06849520" w14:textId="77777777" w:rsidR="00DC09BF" w:rsidRPr="007E37EC" w:rsidRDefault="00DC09BF" w:rsidP="00A40833">
            <w:pPr>
              <w:pStyle w:val="TableParagraph"/>
              <w:spacing w:before="64" w:line="360" w:lineRule="auto"/>
              <w:jc w:val="both"/>
              <w:rPr>
                <w:rFonts w:ascii="Arial" w:hAnsi="Arial" w:cs="Arial"/>
                <w:b/>
                <w:bCs/>
                <w:color w:val="000000" w:themeColor="text1"/>
                <w:spacing w:val="-2"/>
                <w:sz w:val="20"/>
                <w:szCs w:val="20"/>
              </w:rPr>
            </w:pPr>
            <w:r w:rsidRPr="007E37EC">
              <w:rPr>
                <w:rFonts w:ascii="Arial" w:hAnsi="Arial" w:cs="Arial"/>
                <w:b/>
                <w:bCs/>
                <w:color w:val="000000"/>
                <w:sz w:val="20"/>
                <w:szCs w:val="20"/>
              </w:rPr>
              <w:t>13.95</w:t>
            </w:r>
          </w:p>
        </w:tc>
        <w:tc>
          <w:tcPr>
            <w:tcW w:w="1046" w:type="dxa"/>
            <w:vAlign w:val="bottom"/>
          </w:tcPr>
          <w:p w14:paraId="2759A1E7" w14:textId="77777777" w:rsidR="00DC09BF" w:rsidRPr="007E37EC" w:rsidRDefault="00DC09BF" w:rsidP="00A40833">
            <w:pPr>
              <w:pStyle w:val="TableParagraph"/>
              <w:spacing w:before="64" w:line="360" w:lineRule="auto"/>
              <w:jc w:val="both"/>
              <w:rPr>
                <w:rFonts w:ascii="Arial" w:hAnsi="Arial" w:cs="Arial"/>
                <w:b/>
                <w:bCs/>
                <w:color w:val="000000" w:themeColor="text1"/>
                <w:spacing w:val="-2"/>
                <w:sz w:val="20"/>
                <w:szCs w:val="20"/>
              </w:rPr>
            </w:pPr>
            <w:r w:rsidRPr="007E37EC">
              <w:rPr>
                <w:rFonts w:ascii="Arial" w:hAnsi="Arial" w:cs="Arial"/>
                <w:b/>
                <w:bCs/>
                <w:color w:val="000000"/>
                <w:sz w:val="20"/>
                <w:szCs w:val="20"/>
              </w:rPr>
              <w:t>523.33</w:t>
            </w:r>
          </w:p>
        </w:tc>
        <w:tc>
          <w:tcPr>
            <w:tcW w:w="1271" w:type="dxa"/>
            <w:vAlign w:val="bottom"/>
          </w:tcPr>
          <w:p w14:paraId="34A4D404" w14:textId="77777777" w:rsidR="00DC09BF" w:rsidRPr="007E37EC" w:rsidRDefault="00DC09BF" w:rsidP="00A40833">
            <w:pPr>
              <w:pStyle w:val="TableParagraph"/>
              <w:spacing w:before="64" w:line="360" w:lineRule="auto"/>
              <w:jc w:val="both"/>
              <w:rPr>
                <w:rFonts w:ascii="Arial" w:hAnsi="Arial" w:cs="Arial"/>
                <w:b/>
                <w:bCs/>
                <w:color w:val="000000" w:themeColor="text1"/>
                <w:spacing w:val="-2"/>
                <w:sz w:val="20"/>
                <w:szCs w:val="20"/>
              </w:rPr>
            </w:pPr>
            <w:r w:rsidRPr="007E37EC">
              <w:rPr>
                <w:rFonts w:ascii="Arial" w:hAnsi="Arial" w:cs="Arial"/>
                <w:b/>
                <w:bCs/>
                <w:color w:val="000000"/>
                <w:sz w:val="20"/>
                <w:szCs w:val="20"/>
              </w:rPr>
              <w:t>885.93</w:t>
            </w:r>
          </w:p>
        </w:tc>
        <w:tc>
          <w:tcPr>
            <w:tcW w:w="1196" w:type="dxa"/>
            <w:vAlign w:val="bottom"/>
          </w:tcPr>
          <w:p w14:paraId="326660AA" w14:textId="77777777" w:rsidR="00DC09BF" w:rsidRPr="007E37EC" w:rsidRDefault="00DC09BF" w:rsidP="00A40833">
            <w:pPr>
              <w:pStyle w:val="TableParagraph"/>
              <w:spacing w:before="64" w:line="360" w:lineRule="auto"/>
              <w:jc w:val="both"/>
              <w:rPr>
                <w:rFonts w:ascii="Arial" w:hAnsi="Arial" w:cs="Arial"/>
                <w:b/>
                <w:bCs/>
                <w:color w:val="000000" w:themeColor="text1"/>
                <w:spacing w:val="-4"/>
                <w:sz w:val="20"/>
                <w:szCs w:val="20"/>
              </w:rPr>
            </w:pPr>
            <w:r w:rsidRPr="007E37EC">
              <w:rPr>
                <w:rFonts w:ascii="Arial" w:hAnsi="Arial" w:cs="Arial"/>
                <w:b/>
                <w:bCs/>
                <w:color w:val="000000"/>
                <w:sz w:val="20"/>
                <w:szCs w:val="20"/>
              </w:rPr>
              <w:t>7.19</w:t>
            </w:r>
          </w:p>
        </w:tc>
      </w:tr>
    </w:tbl>
    <w:p w14:paraId="1AC03927" w14:textId="77777777" w:rsidR="0049610B" w:rsidRPr="007E37EC" w:rsidRDefault="0049610B" w:rsidP="00A40833">
      <w:pPr>
        <w:spacing w:after="0"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Source: Primary data collected through field survey (April 2024- March 2025)</w:t>
      </w:r>
    </w:p>
    <w:p w14:paraId="5790E6FE" w14:textId="77777777" w:rsidR="005D25FA" w:rsidRDefault="005D25FA" w:rsidP="00A40833">
      <w:pPr>
        <w:spacing w:after="0" w:line="360" w:lineRule="auto"/>
        <w:jc w:val="both"/>
        <w:rPr>
          <w:rFonts w:ascii="Arial" w:hAnsi="Arial" w:cs="Arial"/>
          <w:sz w:val="20"/>
          <w:szCs w:val="20"/>
        </w:rPr>
      </w:pPr>
    </w:p>
    <w:p w14:paraId="451CCEA4" w14:textId="7EF756C0" w:rsidR="00DC09BF" w:rsidRPr="007E37EC" w:rsidRDefault="00A5721A" w:rsidP="00A40833">
      <w:pPr>
        <w:spacing w:after="0" w:line="360" w:lineRule="auto"/>
        <w:jc w:val="both"/>
        <w:rPr>
          <w:rFonts w:ascii="Arial" w:eastAsia="Times New Roman" w:hAnsi="Arial" w:cs="Arial"/>
          <w:kern w:val="0"/>
          <w:sz w:val="20"/>
          <w:szCs w:val="20"/>
          <w:lang w:eastAsia="en-IN"/>
          <w14:ligatures w14:val="none"/>
        </w:rPr>
      </w:pPr>
      <w:r w:rsidRPr="007E37EC">
        <w:rPr>
          <w:rFonts w:ascii="Arial" w:eastAsia="Times New Roman" w:hAnsi="Arial" w:cs="Arial"/>
          <w:kern w:val="0"/>
          <w:sz w:val="20"/>
          <w:szCs w:val="20"/>
          <w:lang w:eastAsia="en-IN"/>
          <w14:ligatures w14:val="none"/>
        </w:rPr>
        <w:t>This table shows t</w:t>
      </w:r>
      <w:r w:rsidR="00DC09BF" w:rsidRPr="007E37EC">
        <w:rPr>
          <w:rFonts w:ascii="Arial" w:eastAsia="Times New Roman" w:hAnsi="Arial" w:cs="Arial"/>
          <w:kern w:val="0"/>
          <w:sz w:val="20"/>
          <w:szCs w:val="20"/>
          <w:lang w:eastAsia="en-IN"/>
          <w14:ligatures w14:val="none"/>
        </w:rPr>
        <w:t>he dynamics between</w:t>
      </w:r>
      <w:r w:rsidR="0016759E" w:rsidRPr="007E37EC">
        <w:rPr>
          <w:rFonts w:ascii="Arial" w:eastAsia="Times New Roman" w:hAnsi="Arial" w:cs="Arial"/>
          <w:kern w:val="0"/>
          <w:sz w:val="20"/>
          <w:szCs w:val="20"/>
          <w:lang w:eastAsia="en-IN"/>
          <w14:ligatures w14:val="none"/>
        </w:rPr>
        <w:t xml:space="preserve"> imputed family</w:t>
      </w:r>
      <w:r w:rsidR="00DC09BF" w:rsidRPr="007E37EC">
        <w:rPr>
          <w:rFonts w:ascii="Arial" w:eastAsia="Times New Roman" w:hAnsi="Arial" w:cs="Arial"/>
          <w:kern w:val="0"/>
          <w:sz w:val="20"/>
          <w:szCs w:val="20"/>
          <w:lang w:eastAsia="en-IN"/>
          <w14:ligatures w14:val="none"/>
        </w:rPr>
        <w:t xml:space="preserve"> </w:t>
      </w:r>
      <w:proofErr w:type="spellStart"/>
      <w:r w:rsidR="00531FD8">
        <w:rPr>
          <w:rFonts w:ascii="Arial" w:eastAsia="Times New Roman" w:hAnsi="Arial" w:cs="Arial"/>
          <w:kern w:val="0"/>
          <w:sz w:val="20"/>
          <w:szCs w:val="20"/>
          <w:lang w:eastAsia="en-IN"/>
          <w14:ligatures w14:val="none"/>
        </w:rPr>
        <w:t>Labor</w:t>
      </w:r>
      <w:proofErr w:type="spellEnd"/>
      <w:r w:rsidR="00DC09BF" w:rsidRPr="007E37EC">
        <w:rPr>
          <w:rFonts w:ascii="Arial" w:eastAsia="Times New Roman" w:hAnsi="Arial" w:cs="Arial"/>
          <w:kern w:val="0"/>
          <w:sz w:val="20"/>
          <w:szCs w:val="20"/>
          <w:lang w:eastAsia="en-IN"/>
          <w14:ligatures w14:val="none"/>
        </w:rPr>
        <w:t xml:space="preserve"> and hired </w:t>
      </w:r>
      <w:proofErr w:type="spellStart"/>
      <w:r w:rsidR="00531FD8">
        <w:rPr>
          <w:rFonts w:ascii="Arial" w:eastAsia="Times New Roman" w:hAnsi="Arial" w:cs="Arial"/>
          <w:kern w:val="0"/>
          <w:sz w:val="20"/>
          <w:szCs w:val="20"/>
          <w:lang w:eastAsia="en-IN"/>
          <w14:ligatures w14:val="none"/>
        </w:rPr>
        <w:t>Labor</w:t>
      </w:r>
      <w:proofErr w:type="spellEnd"/>
      <w:r w:rsidR="00DC09BF" w:rsidRPr="007E37EC">
        <w:rPr>
          <w:rFonts w:ascii="Arial" w:eastAsia="Times New Roman" w:hAnsi="Arial" w:cs="Arial"/>
          <w:kern w:val="0"/>
          <w:sz w:val="20"/>
          <w:szCs w:val="20"/>
          <w:lang w:eastAsia="en-IN"/>
          <w14:ligatures w14:val="none"/>
        </w:rPr>
        <w:t xml:space="preserve"> in </w:t>
      </w:r>
      <w:r w:rsidR="0016759E" w:rsidRPr="007E37EC">
        <w:rPr>
          <w:rFonts w:ascii="Arial" w:eastAsia="Times New Roman" w:hAnsi="Arial" w:cs="Arial"/>
          <w:kern w:val="0"/>
          <w:sz w:val="20"/>
          <w:szCs w:val="20"/>
          <w:lang w:eastAsia="en-IN"/>
          <w14:ligatures w14:val="none"/>
        </w:rPr>
        <w:t>small scale</w:t>
      </w:r>
      <w:r w:rsidR="00DC09BF" w:rsidRPr="007E37EC">
        <w:rPr>
          <w:rFonts w:ascii="Arial" w:eastAsia="Times New Roman" w:hAnsi="Arial" w:cs="Arial"/>
          <w:kern w:val="0"/>
          <w:sz w:val="20"/>
          <w:szCs w:val="20"/>
          <w:lang w:eastAsia="en-IN"/>
          <w14:ligatures w14:val="none"/>
        </w:rPr>
        <w:t xml:space="preserve"> dairy processing industry. </w:t>
      </w:r>
      <w:r w:rsidR="00726B0F" w:rsidRPr="007E37EC">
        <w:rPr>
          <w:rFonts w:ascii="Arial" w:eastAsia="Times New Roman" w:hAnsi="Arial" w:cs="Arial"/>
          <w:kern w:val="0"/>
          <w:sz w:val="20"/>
          <w:szCs w:val="20"/>
          <w:lang w:eastAsia="en-IN"/>
          <w14:ligatures w14:val="none"/>
        </w:rPr>
        <w:t>Firms</w:t>
      </w:r>
      <w:r w:rsidR="00DC09BF" w:rsidRPr="007E37EC">
        <w:rPr>
          <w:rFonts w:ascii="Arial" w:eastAsia="Times New Roman" w:hAnsi="Arial" w:cs="Arial"/>
          <w:kern w:val="0"/>
          <w:sz w:val="20"/>
          <w:szCs w:val="20"/>
          <w:lang w:eastAsia="en-IN"/>
          <w14:ligatures w14:val="none"/>
        </w:rPr>
        <w:t xml:space="preserve"> typically </w:t>
      </w:r>
      <w:r w:rsidR="00726B0F" w:rsidRPr="007E37EC">
        <w:rPr>
          <w:rFonts w:ascii="Arial" w:eastAsia="Times New Roman" w:hAnsi="Arial" w:cs="Arial"/>
          <w:kern w:val="0"/>
          <w:sz w:val="20"/>
          <w:szCs w:val="20"/>
          <w:lang w:eastAsia="en-IN"/>
          <w14:ligatures w14:val="none"/>
        </w:rPr>
        <w:t>engage</w:t>
      </w:r>
      <w:r w:rsidR="00DC09BF" w:rsidRPr="007E37EC">
        <w:rPr>
          <w:rFonts w:ascii="Arial" w:eastAsia="Times New Roman" w:hAnsi="Arial" w:cs="Arial"/>
          <w:kern w:val="0"/>
          <w:sz w:val="20"/>
          <w:szCs w:val="20"/>
          <w:lang w:eastAsia="en-IN"/>
          <w14:ligatures w14:val="none"/>
        </w:rPr>
        <w:t xml:space="preserve"> 1.9 </w:t>
      </w:r>
      <w:r w:rsidR="00726B0F" w:rsidRPr="007E37EC">
        <w:rPr>
          <w:rFonts w:ascii="Arial" w:eastAsia="Times New Roman" w:hAnsi="Arial" w:cs="Arial"/>
          <w:kern w:val="0"/>
          <w:sz w:val="20"/>
          <w:szCs w:val="20"/>
          <w:lang w:eastAsia="en-IN"/>
          <w14:ligatures w14:val="none"/>
        </w:rPr>
        <w:t xml:space="preserve">numbers of </w:t>
      </w:r>
      <w:r w:rsidR="00DC09BF" w:rsidRPr="007E37EC">
        <w:rPr>
          <w:rFonts w:ascii="Arial" w:eastAsia="Times New Roman" w:hAnsi="Arial" w:cs="Arial"/>
          <w:kern w:val="0"/>
          <w:sz w:val="20"/>
          <w:szCs w:val="20"/>
          <w:lang w:eastAsia="en-IN"/>
          <w14:ligatures w14:val="none"/>
        </w:rPr>
        <w:t xml:space="preserve">hired workers (13.95 </w:t>
      </w:r>
      <w:proofErr w:type="spellStart"/>
      <w:r w:rsidR="00531FD8">
        <w:rPr>
          <w:rFonts w:ascii="Arial" w:eastAsia="Times New Roman" w:hAnsi="Arial" w:cs="Arial"/>
          <w:kern w:val="0"/>
          <w:sz w:val="20"/>
          <w:szCs w:val="20"/>
          <w:lang w:eastAsia="en-IN"/>
          <w14:ligatures w14:val="none"/>
        </w:rPr>
        <w:t>Labor</w:t>
      </w:r>
      <w:proofErr w:type="spellEnd"/>
      <w:r w:rsidR="00726B0F" w:rsidRPr="007E37EC">
        <w:rPr>
          <w:rFonts w:ascii="Arial" w:eastAsia="Times New Roman" w:hAnsi="Arial" w:cs="Arial"/>
          <w:kern w:val="0"/>
          <w:sz w:val="20"/>
          <w:szCs w:val="20"/>
          <w:lang w:eastAsia="en-IN"/>
          <w14:ligatures w14:val="none"/>
        </w:rPr>
        <w:t xml:space="preserve"> </w:t>
      </w:r>
      <w:r w:rsidR="0016759E" w:rsidRPr="007E37EC">
        <w:rPr>
          <w:rFonts w:ascii="Arial" w:eastAsia="Times New Roman" w:hAnsi="Arial" w:cs="Arial"/>
          <w:kern w:val="0"/>
          <w:sz w:val="20"/>
          <w:szCs w:val="20"/>
          <w:lang w:eastAsia="en-IN"/>
          <w14:ligatures w14:val="none"/>
        </w:rPr>
        <w:t xml:space="preserve">working </w:t>
      </w:r>
      <w:r w:rsidR="00DC09BF" w:rsidRPr="007E37EC">
        <w:rPr>
          <w:rFonts w:ascii="Arial" w:eastAsia="Times New Roman" w:hAnsi="Arial" w:cs="Arial"/>
          <w:kern w:val="0"/>
          <w:sz w:val="20"/>
          <w:szCs w:val="20"/>
          <w:lang w:eastAsia="en-IN"/>
          <w14:ligatures w14:val="none"/>
        </w:rPr>
        <w:t xml:space="preserve">hours, Rs. 523.33 wages) and 1.36 </w:t>
      </w:r>
      <w:r w:rsidR="00726B0F" w:rsidRPr="007E37EC">
        <w:rPr>
          <w:rFonts w:ascii="Arial" w:eastAsia="Times New Roman" w:hAnsi="Arial" w:cs="Arial"/>
          <w:kern w:val="0"/>
          <w:sz w:val="20"/>
          <w:szCs w:val="20"/>
          <w:lang w:eastAsia="en-IN"/>
          <w14:ligatures w14:val="none"/>
        </w:rPr>
        <w:t xml:space="preserve">numbers of </w:t>
      </w:r>
      <w:r w:rsidR="00DC09BF" w:rsidRPr="007E37EC">
        <w:rPr>
          <w:rFonts w:ascii="Arial" w:eastAsia="Times New Roman" w:hAnsi="Arial" w:cs="Arial"/>
          <w:kern w:val="0"/>
          <w:sz w:val="20"/>
          <w:szCs w:val="20"/>
          <w:lang w:eastAsia="en-IN"/>
          <w14:ligatures w14:val="none"/>
        </w:rPr>
        <w:t xml:space="preserve">family </w:t>
      </w:r>
      <w:r w:rsidR="00726B0F" w:rsidRPr="007E37EC">
        <w:rPr>
          <w:rFonts w:ascii="Arial" w:eastAsia="Times New Roman" w:hAnsi="Arial" w:cs="Arial"/>
          <w:kern w:val="0"/>
          <w:sz w:val="20"/>
          <w:szCs w:val="20"/>
          <w:lang w:eastAsia="en-IN"/>
          <w14:ligatures w14:val="none"/>
        </w:rPr>
        <w:t>workers (</w:t>
      </w:r>
      <w:r w:rsidR="00DC09BF" w:rsidRPr="007E37EC">
        <w:rPr>
          <w:rFonts w:ascii="Arial" w:eastAsia="Times New Roman" w:hAnsi="Arial" w:cs="Arial"/>
          <w:kern w:val="0"/>
          <w:sz w:val="20"/>
          <w:szCs w:val="20"/>
          <w:lang w:eastAsia="en-IN"/>
          <w14:ligatures w14:val="none"/>
        </w:rPr>
        <w:t>7.25</w:t>
      </w:r>
      <w:r w:rsidR="00531FD8">
        <w:rPr>
          <w:rFonts w:ascii="Arial" w:eastAsia="Times New Roman" w:hAnsi="Arial" w:cs="Arial"/>
          <w:kern w:val="0"/>
          <w:sz w:val="20"/>
          <w:szCs w:val="20"/>
          <w:lang w:eastAsia="en-IN"/>
          <w14:ligatures w14:val="none"/>
        </w:rPr>
        <w:t>Labor</w:t>
      </w:r>
      <w:r w:rsidR="00726B0F" w:rsidRPr="007E37EC">
        <w:rPr>
          <w:rFonts w:ascii="Arial" w:eastAsia="Times New Roman" w:hAnsi="Arial" w:cs="Arial"/>
          <w:kern w:val="0"/>
          <w:sz w:val="20"/>
          <w:szCs w:val="20"/>
          <w:lang w:eastAsia="en-IN"/>
          <w14:ligatures w14:val="none"/>
        </w:rPr>
        <w:t xml:space="preserve"> working hours</w:t>
      </w:r>
      <w:r w:rsidR="00DC09BF" w:rsidRPr="007E37EC">
        <w:rPr>
          <w:rFonts w:ascii="Arial" w:eastAsia="Times New Roman" w:hAnsi="Arial" w:cs="Arial"/>
          <w:kern w:val="0"/>
          <w:sz w:val="20"/>
          <w:szCs w:val="20"/>
          <w:lang w:eastAsia="en-IN"/>
          <w14:ligatures w14:val="none"/>
        </w:rPr>
        <w:t xml:space="preserve"> daily, Rs. 362.60 cost)</w:t>
      </w:r>
      <w:r w:rsidR="00726B0F" w:rsidRPr="007E37EC">
        <w:rPr>
          <w:rFonts w:ascii="Arial" w:eastAsia="Times New Roman" w:hAnsi="Arial" w:cs="Arial"/>
          <w:kern w:val="0"/>
          <w:sz w:val="20"/>
          <w:szCs w:val="20"/>
          <w:lang w:eastAsia="en-IN"/>
          <w14:ligatures w14:val="none"/>
        </w:rPr>
        <w:t xml:space="preserve"> daily</w:t>
      </w:r>
      <w:r w:rsidR="00DC09BF" w:rsidRPr="007E37EC">
        <w:rPr>
          <w:rFonts w:ascii="Arial" w:eastAsia="Times New Roman" w:hAnsi="Arial" w:cs="Arial"/>
          <w:kern w:val="0"/>
          <w:sz w:val="20"/>
          <w:szCs w:val="20"/>
          <w:lang w:eastAsia="en-IN"/>
          <w14:ligatures w14:val="none"/>
        </w:rPr>
        <w:t xml:space="preserve">. With the highest imputed cost and the greatest reliance on family </w:t>
      </w:r>
      <w:proofErr w:type="spellStart"/>
      <w:r w:rsidR="00531FD8">
        <w:rPr>
          <w:rFonts w:ascii="Arial" w:eastAsia="Times New Roman" w:hAnsi="Arial" w:cs="Arial"/>
          <w:kern w:val="0"/>
          <w:sz w:val="20"/>
          <w:szCs w:val="20"/>
          <w:lang w:eastAsia="en-IN"/>
          <w14:ligatures w14:val="none"/>
        </w:rPr>
        <w:t>Labor</w:t>
      </w:r>
      <w:proofErr w:type="spellEnd"/>
      <w:r w:rsidR="00DC09BF" w:rsidRPr="007E37EC">
        <w:rPr>
          <w:rFonts w:ascii="Arial" w:eastAsia="Times New Roman" w:hAnsi="Arial" w:cs="Arial"/>
          <w:kern w:val="0"/>
          <w:sz w:val="20"/>
          <w:szCs w:val="20"/>
          <w:lang w:eastAsia="en-IN"/>
          <w14:ligatures w14:val="none"/>
        </w:rPr>
        <w:t xml:space="preserve">, </w:t>
      </w:r>
      <w:proofErr w:type="spellStart"/>
      <w:r w:rsidR="00DC09BF" w:rsidRPr="007E37EC">
        <w:rPr>
          <w:rFonts w:ascii="Arial" w:eastAsia="Times New Roman" w:hAnsi="Arial" w:cs="Arial"/>
          <w:kern w:val="0"/>
          <w:sz w:val="20"/>
          <w:szCs w:val="20"/>
          <w:lang w:eastAsia="en-IN"/>
          <w14:ligatures w14:val="none"/>
        </w:rPr>
        <w:t>Alipurduar</w:t>
      </w:r>
      <w:proofErr w:type="spellEnd"/>
      <w:r w:rsidR="00DC09BF" w:rsidRPr="007E37EC">
        <w:rPr>
          <w:rFonts w:ascii="Arial" w:eastAsia="Times New Roman" w:hAnsi="Arial" w:cs="Arial"/>
          <w:kern w:val="0"/>
          <w:sz w:val="20"/>
          <w:szCs w:val="20"/>
          <w:lang w:eastAsia="en-IN"/>
          <w14:ligatures w14:val="none"/>
        </w:rPr>
        <w:t xml:space="preserve"> </w:t>
      </w:r>
      <w:r w:rsidR="00726B0F" w:rsidRPr="007E37EC">
        <w:rPr>
          <w:rFonts w:ascii="Arial" w:eastAsia="Times New Roman" w:hAnsi="Arial" w:cs="Arial"/>
          <w:kern w:val="0"/>
          <w:sz w:val="20"/>
          <w:szCs w:val="20"/>
          <w:lang w:eastAsia="en-IN"/>
          <w14:ligatures w14:val="none"/>
        </w:rPr>
        <w:t>-</w:t>
      </w:r>
      <w:r w:rsidR="00DC09BF" w:rsidRPr="007E37EC">
        <w:rPr>
          <w:rFonts w:ascii="Arial" w:eastAsia="Times New Roman" w:hAnsi="Arial" w:cs="Arial"/>
          <w:kern w:val="0"/>
          <w:sz w:val="20"/>
          <w:szCs w:val="20"/>
          <w:lang w:eastAsia="en-IN"/>
          <w14:ligatures w14:val="none"/>
        </w:rPr>
        <w:t xml:space="preserve">I </w:t>
      </w:r>
      <w:r w:rsidR="00726B0F" w:rsidRPr="007E37EC">
        <w:rPr>
          <w:rFonts w:ascii="Arial" w:eastAsia="Times New Roman" w:hAnsi="Arial" w:cs="Arial"/>
          <w:kern w:val="0"/>
          <w:sz w:val="20"/>
          <w:szCs w:val="20"/>
          <w:lang w:eastAsia="en-IN"/>
          <w14:ligatures w14:val="none"/>
        </w:rPr>
        <w:t xml:space="preserve">represent more inclination to </w:t>
      </w:r>
      <w:r w:rsidR="00DC09BF" w:rsidRPr="007E37EC">
        <w:rPr>
          <w:rFonts w:ascii="Arial" w:eastAsia="Times New Roman" w:hAnsi="Arial" w:cs="Arial"/>
          <w:kern w:val="0"/>
          <w:sz w:val="20"/>
          <w:szCs w:val="20"/>
          <w:lang w:eastAsia="en-IN"/>
          <w14:ligatures w14:val="none"/>
        </w:rPr>
        <w:t xml:space="preserve">family-run businesses. The range of </w:t>
      </w:r>
      <w:proofErr w:type="spellStart"/>
      <w:r w:rsidR="00531FD8">
        <w:rPr>
          <w:rFonts w:ascii="Arial" w:eastAsia="Times New Roman" w:hAnsi="Arial" w:cs="Arial"/>
          <w:kern w:val="0"/>
          <w:sz w:val="20"/>
          <w:szCs w:val="20"/>
          <w:lang w:eastAsia="en-IN"/>
          <w14:ligatures w14:val="none"/>
        </w:rPr>
        <w:t>Labor</w:t>
      </w:r>
      <w:proofErr w:type="spellEnd"/>
      <w:r w:rsidR="00DC09BF" w:rsidRPr="007E37EC">
        <w:rPr>
          <w:rFonts w:ascii="Arial" w:eastAsia="Times New Roman" w:hAnsi="Arial" w:cs="Arial"/>
          <w:kern w:val="0"/>
          <w:sz w:val="20"/>
          <w:szCs w:val="20"/>
          <w:lang w:eastAsia="en-IN"/>
          <w14:ligatures w14:val="none"/>
        </w:rPr>
        <w:t xml:space="preserve"> costs per kilogram of curd, which reflects the relationship between costs, production efficiency, and scale economies, is Rs. 6.28 </w:t>
      </w:r>
      <w:r w:rsidR="00DC09BF" w:rsidRPr="007E37EC">
        <w:rPr>
          <w:rFonts w:ascii="Arial" w:eastAsia="Times New Roman" w:hAnsi="Arial" w:cs="Arial"/>
          <w:kern w:val="0"/>
          <w:sz w:val="20"/>
          <w:szCs w:val="20"/>
          <w:lang w:eastAsia="en-IN"/>
          <w14:ligatures w14:val="none"/>
        </w:rPr>
        <w:lastRenderedPageBreak/>
        <w:t xml:space="preserve">to Rs. 9.61. The average daily cost of </w:t>
      </w:r>
      <w:proofErr w:type="spellStart"/>
      <w:r w:rsidR="00531FD8">
        <w:rPr>
          <w:rFonts w:ascii="Arial" w:eastAsia="Times New Roman" w:hAnsi="Arial" w:cs="Arial"/>
          <w:kern w:val="0"/>
          <w:sz w:val="20"/>
          <w:szCs w:val="20"/>
          <w:lang w:eastAsia="en-IN"/>
          <w14:ligatures w14:val="none"/>
        </w:rPr>
        <w:t>Labor</w:t>
      </w:r>
      <w:proofErr w:type="spellEnd"/>
      <w:r w:rsidR="00DC09BF" w:rsidRPr="007E37EC">
        <w:rPr>
          <w:rFonts w:ascii="Arial" w:eastAsia="Times New Roman" w:hAnsi="Arial" w:cs="Arial"/>
          <w:kern w:val="0"/>
          <w:sz w:val="20"/>
          <w:szCs w:val="20"/>
          <w:lang w:eastAsia="en-IN"/>
          <w14:ligatures w14:val="none"/>
        </w:rPr>
        <w:t xml:space="preserve"> is Rs. 885.93, or roughly 5.76% of total revenue. The results highlight the productivity advantages of larger operations and point to an efficient combination of family knowledge and hired </w:t>
      </w:r>
      <w:proofErr w:type="spellStart"/>
      <w:r w:rsidR="00531FD8">
        <w:rPr>
          <w:rFonts w:ascii="Arial" w:eastAsia="Times New Roman" w:hAnsi="Arial" w:cs="Arial"/>
          <w:kern w:val="0"/>
          <w:sz w:val="20"/>
          <w:szCs w:val="20"/>
          <w:lang w:eastAsia="en-IN"/>
          <w14:ligatures w14:val="none"/>
        </w:rPr>
        <w:t>Labor</w:t>
      </w:r>
      <w:proofErr w:type="spellEnd"/>
      <w:r w:rsidR="00DC09BF" w:rsidRPr="007E37EC">
        <w:rPr>
          <w:rFonts w:ascii="Arial" w:eastAsia="Times New Roman" w:hAnsi="Arial" w:cs="Arial"/>
          <w:kern w:val="0"/>
          <w:sz w:val="20"/>
          <w:szCs w:val="20"/>
          <w:lang w:eastAsia="en-IN"/>
          <w14:ligatures w14:val="none"/>
        </w:rPr>
        <w:t xml:space="preserve"> that improves flexibility and cost effectiveness (</w:t>
      </w:r>
      <w:proofErr w:type="spellStart"/>
      <w:r w:rsidR="00DC09BF" w:rsidRPr="007E37EC">
        <w:rPr>
          <w:rFonts w:ascii="Arial" w:eastAsia="Times New Roman" w:hAnsi="Arial" w:cs="Arial"/>
          <w:kern w:val="0"/>
          <w:sz w:val="20"/>
          <w:szCs w:val="20"/>
          <w:lang w:eastAsia="en-IN"/>
          <w14:ligatures w14:val="none"/>
        </w:rPr>
        <w:t>Katoch</w:t>
      </w:r>
      <w:proofErr w:type="spellEnd"/>
      <w:r w:rsidR="00DC09BF" w:rsidRPr="007E37EC">
        <w:rPr>
          <w:rFonts w:ascii="Arial" w:eastAsia="Times New Roman" w:hAnsi="Arial" w:cs="Arial"/>
          <w:kern w:val="0"/>
          <w:sz w:val="20"/>
          <w:szCs w:val="20"/>
          <w:lang w:eastAsia="en-IN"/>
          <w14:ligatures w14:val="none"/>
        </w:rPr>
        <w:t xml:space="preserve"> et al., 2024). </w:t>
      </w:r>
    </w:p>
    <w:p w14:paraId="50A2030F" w14:textId="77777777" w:rsidR="00480638" w:rsidRPr="007E37EC" w:rsidRDefault="00480638" w:rsidP="00A40833">
      <w:pPr>
        <w:spacing w:after="0" w:line="360" w:lineRule="auto"/>
        <w:jc w:val="both"/>
        <w:rPr>
          <w:rFonts w:ascii="Arial" w:eastAsia="Times New Roman" w:hAnsi="Arial" w:cs="Arial"/>
          <w:kern w:val="0"/>
          <w:sz w:val="20"/>
          <w:szCs w:val="20"/>
          <w:lang w:eastAsia="en-IN"/>
          <w14:ligatures w14:val="none"/>
        </w:rPr>
      </w:pPr>
    </w:p>
    <w:p w14:paraId="497BE789" w14:textId="43AC55E3" w:rsidR="00B46AAA" w:rsidRPr="007E37EC" w:rsidRDefault="00B46AAA" w:rsidP="00A40833">
      <w:pPr>
        <w:spacing w:line="360" w:lineRule="auto"/>
        <w:jc w:val="both"/>
        <w:rPr>
          <w:rFonts w:ascii="Arial" w:hAnsi="Arial" w:cs="Arial"/>
        </w:rPr>
      </w:pPr>
      <w:r w:rsidRPr="007E37EC">
        <w:rPr>
          <w:rFonts w:ascii="Arial" w:hAnsi="Arial" w:cs="Arial"/>
          <w:b/>
          <w:bCs/>
        </w:rPr>
        <w:t>3.5</w:t>
      </w:r>
      <w:r w:rsidR="00726B0F" w:rsidRPr="007E37EC">
        <w:rPr>
          <w:rFonts w:ascii="Arial" w:hAnsi="Arial" w:cs="Arial"/>
          <w:b/>
          <w:bCs/>
        </w:rPr>
        <w:t xml:space="preserve"> </w:t>
      </w:r>
      <w:r w:rsidRPr="007E37EC">
        <w:rPr>
          <w:rFonts w:ascii="Arial" w:hAnsi="Arial" w:cs="Arial"/>
          <w:b/>
          <w:bCs/>
        </w:rPr>
        <w:t>Production</w:t>
      </w:r>
      <w:r w:rsidR="00902F8E">
        <w:rPr>
          <w:rFonts w:ascii="Arial" w:hAnsi="Arial" w:cs="Arial"/>
          <w:b/>
          <w:bCs/>
        </w:rPr>
        <w:t xml:space="preserve"> of</w:t>
      </w:r>
      <w:r w:rsidRPr="007E37EC">
        <w:rPr>
          <w:rFonts w:ascii="Arial" w:hAnsi="Arial" w:cs="Arial"/>
          <w:b/>
          <w:bCs/>
        </w:rPr>
        <w:t xml:space="preserve"> output and revenue generation</w:t>
      </w:r>
    </w:p>
    <w:p w14:paraId="316E450B" w14:textId="17B32779" w:rsidR="00B46AAA" w:rsidRPr="005D25FA" w:rsidRDefault="00B46AAA" w:rsidP="00A40833">
      <w:pPr>
        <w:spacing w:line="360" w:lineRule="auto"/>
        <w:ind w:right="866"/>
        <w:jc w:val="both"/>
        <w:rPr>
          <w:rFonts w:ascii="Arial" w:hAnsi="Arial" w:cs="Arial"/>
          <w:color w:val="000000" w:themeColor="text1"/>
          <w:sz w:val="20"/>
          <w:szCs w:val="20"/>
        </w:rPr>
      </w:pPr>
      <w:r w:rsidRPr="005D25FA">
        <w:rPr>
          <w:rFonts w:ascii="Arial" w:hAnsi="Arial" w:cs="Arial"/>
          <w:b/>
          <w:bCs/>
          <w:color w:val="000000" w:themeColor="text1"/>
          <w:sz w:val="20"/>
          <w:szCs w:val="20"/>
        </w:rPr>
        <w:t xml:space="preserve">Table 5: </w:t>
      </w:r>
      <w:r w:rsidR="00454D3A" w:rsidRPr="005D25FA">
        <w:rPr>
          <w:rFonts w:ascii="Arial" w:hAnsi="Arial" w:cs="Arial"/>
          <w:bCs/>
          <w:color w:val="000000" w:themeColor="text1"/>
          <w:sz w:val="20"/>
          <w:szCs w:val="20"/>
        </w:rPr>
        <w:t>Accounts of</w:t>
      </w:r>
      <w:r w:rsidR="00454D3A" w:rsidRPr="005D25FA">
        <w:rPr>
          <w:rFonts w:ascii="Arial" w:hAnsi="Arial" w:cs="Arial"/>
          <w:b/>
          <w:bCs/>
          <w:color w:val="000000" w:themeColor="text1"/>
          <w:sz w:val="20"/>
          <w:szCs w:val="20"/>
        </w:rPr>
        <w:t xml:space="preserve"> </w:t>
      </w:r>
      <w:r w:rsidR="00454D3A" w:rsidRPr="005D25FA">
        <w:rPr>
          <w:rFonts w:ascii="Arial" w:hAnsi="Arial" w:cs="Arial"/>
          <w:color w:val="000000" w:themeColor="text1"/>
          <w:sz w:val="20"/>
          <w:szCs w:val="20"/>
        </w:rPr>
        <w:t>Daily p</w:t>
      </w:r>
      <w:r w:rsidRPr="005D25FA">
        <w:rPr>
          <w:rFonts w:ascii="Arial" w:hAnsi="Arial" w:cs="Arial"/>
          <w:color w:val="000000" w:themeColor="text1"/>
          <w:sz w:val="20"/>
          <w:szCs w:val="20"/>
        </w:rPr>
        <w:t xml:space="preserve">roduction and Revenue </w:t>
      </w:r>
      <w:r w:rsidR="00454D3A" w:rsidRPr="005D25FA">
        <w:rPr>
          <w:rFonts w:ascii="Arial" w:hAnsi="Arial" w:cs="Arial"/>
          <w:color w:val="000000" w:themeColor="text1"/>
          <w:spacing w:val="-2"/>
          <w:sz w:val="20"/>
          <w:szCs w:val="20"/>
        </w:rPr>
        <w:t>generation</w:t>
      </w:r>
    </w:p>
    <w:tbl>
      <w:tblPr>
        <w:tblStyle w:val="TableGrid"/>
        <w:tblW w:w="9690" w:type="dxa"/>
        <w:tblLayout w:type="fixed"/>
        <w:tblLook w:val="01E0" w:firstRow="1" w:lastRow="1" w:firstColumn="1" w:lastColumn="1" w:noHBand="0" w:noVBand="0"/>
      </w:tblPr>
      <w:tblGrid>
        <w:gridCol w:w="1598"/>
        <w:gridCol w:w="2175"/>
        <w:gridCol w:w="1559"/>
        <w:gridCol w:w="2169"/>
        <w:gridCol w:w="2189"/>
      </w:tblGrid>
      <w:tr w:rsidR="00B46AAA" w:rsidRPr="007E37EC" w14:paraId="386244BA" w14:textId="77777777" w:rsidTr="00FD593E">
        <w:trPr>
          <w:trHeight w:val="898"/>
        </w:trPr>
        <w:tc>
          <w:tcPr>
            <w:tcW w:w="1598" w:type="dxa"/>
            <w:vAlign w:val="center"/>
          </w:tcPr>
          <w:p w14:paraId="6E5B7B67" w14:textId="77777777" w:rsidR="00B46AAA" w:rsidRPr="007E37EC" w:rsidRDefault="00B46AAA" w:rsidP="00A40833">
            <w:pPr>
              <w:pStyle w:val="TableParagraph"/>
              <w:spacing w:before="140" w:line="360" w:lineRule="auto"/>
              <w:ind w:left="0"/>
              <w:jc w:val="both"/>
              <w:rPr>
                <w:rFonts w:ascii="Arial" w:hAnsi="Arial" w:cs="Arial"/>
                <w:b/>
                <w:bCs/>
                <w:color w:val="000000" w:themeColor="text1"/>
                <w:sz w:val="20"/>
                <w:szCs w:val="20"/>
              </w:rPr>
            </w:pPr>
          </w:p>
          <w:p w14:paraId="469A1867" w14:textId="55FF572C" w:rsidR="00B46AAA" w:rsidRPr="007E37EC" w:rsidRDefault="00582E57" w:rsidP="00A40833">
            <w:pPr>
              <w:pStyle w:val="TableParagraph"/>
              <w:spacing w:before="1" w:line="360" w:lineRule="auto"/>
              <w:jc w:val="both"/>
              <w:rPr>
                <w:rFonts w:ascii="Arial" w:hAnsi="Arial" w:cs="Arial"/>
                <w:b/>
                <w:bCs/>
                <w:color w:val="000000" w:themeColor="text1"/>
                <w:sz w:val="20"/>
                <w:szCs w:val="20"/>
              </w:rPr>
            </w:pPr>
            <w:r w:rsidRPr="007E37EC">
              <w:rPr>
                <w:rFonts w:ascii="Arial" w:hAnsi="Arial" w:cs="Arial"/>
                <w:b/>
                <w:bCs/>
                <w:color w:val="000000" w:themeColor="text1"/>
                <w:spacing w:val="-2"/>
                <w:sz w:val="20"/>
                <w:szCs w:val="20"/>
              </w:rPr>
              <w:t>Blocks</w:t>
            </w:r>
          </w:p>
        </w:tc>
        <w:tc>
          <w:tcPr>
            <w:tcW w:w="2175" w:type="dxa"/>
            <w:vAlign w:val="center"/>
          </w:tcPr>
          <w:p w14:paraId="20A6F62B" w14:textId="77777777" w:rsidR="00B46AAA" w:rsidRPr="007E37EC" w:rsidRDefault="00B46AAA" w:rsidP="00A40833">
            <w:pPr>
              <w:pStyle w:val="TableParagraph"/>
              <w:spacing w:before="20" w:line="360" w:lineRule="auto"/>
              <w:ind w:left="0"/>
              <w:jc w:val="both"/>
              <w:rPr>
                <w:rFonts w:ascii="Arial" w:hAnsi="Arial" w:cs="Arial"/>
                <w:b/>
                <w:bCs/>
                <w:color w:val="000000" w:themeColor="text1"/>
                <w:sz w:val="20"/>
                <w:szCs w:val="20"/>
              </w:rPr>
            </w:pPr>
          </w:p>
          <w:p w14:paraId="403EA5CA" w14:textId="18A4A344" w:rsidR="00B46AAA" w:rsidRPr="007E37EC" w:rsidRDefault="00B46AAA" w:rsidP="00A40833">
            <w:pPr>
              <w:pStyle w:val="TableParagraph"/>
              <w:spacing w:before="1" w:line="360" w:lineRule="auto"/>
              <w:ind w:left="0" w:right="244"/>
              <w:jc w:val="both"/>
              <w:rPr>
                <w:rFonts w:ascii="Arial" w:hAnsi="Arial" w:cs="Arial"/>
                <w:b/>
                <w:bCs/>
                <w:color w:val="000000" w:themeColor="text1"/>
                <w:sz w:val="20"/>
                <w:szCs w:val="20"/>
              </w:rPr>
            </w:pPr>
            <w:r w:rsidRPr="007E37EC">
              <w:rPr>
                <w:rFonts w:ascii="Arial" w:hAnsi="Arial" w:cs="Arial"/>
                <w:b/>
                <w:bCs/>
                <w:color w:val="000000" w:themeColor="text1"/>
                <w:spacing w:val="-2"/>
                <w:sz w:val="20"/>
                <w:szCs w:val="20"/>
              </w:rPr>
              <w:t xml:space="preserve">Production </w:t>
            </w:r>
            <w:r w:rsidRPr="007E37EC">
              <w:rPr>
                <w:rFonts w:ascii="Arial" w:hAnsi="Arial" w:cs="Arial"/>
                <w:b/>
                <w:bCs/>
                <w:color w:val="000000" w:themeColor="text1"/>
                <w:sz w:val="20"/>
                <w:szCs w:val="20"/>
              </w:rPr>
              <w:t xml:space="preserve">Qty </w:t>
            </w:r>
            <w:r w:rsidR="00454D3A" w:rsidRPr="007E37EC">
              <w:rPr>
                <w:rFonts w:ascii="Arial" w:hAnsi="Arial" w:cs="Arial"/>
                <w:b/>
                <w:bCs/>
                <w:color w:val="000000" w:themeColor="text1"/>
                <w:spacing w:val="-2"/>
                <w:sz w:val="20"/>
                <w:szCs w:val="20"/>
              </w:rPr>
              <w:t>(kg</w:t>
            </w:r>
            <w:r w:rsidRPr="007E37EC">
              <w:rPr>
                <w:rFonts w:ascii="Arial" w:hAnsi="Arial" w:cs="Arial"/>
                <w:b/>
                <w:bCs/>
                <w:color w:val="000000" w:themeColor="text1"/>
                <w:spacing w:val="-2"/>
                <w:sz w:val="20"/>
                <w:szCs w:val="20"/>
              </w:rPr>
              <w:t>)</w:t>
            </w:r>
          </w:p>
        </w:tc>
        <w:tc>
          <w:tcPr>
            <w:tcW w:w="1559" w:type="dxa"/>
            <w:vAlign w:val="center"/>
          </w:tcPr>
          <w:p w14:paraId="3E6B0BE0" w14:textId="77777777" w:rsidR="00B46AAA" w:rsidRPr="007E37EC" w:rsidRDefault="00B46AAA" w:rsidP="00A40833">
            <w:pPr>
              <w:pStyle w:val="TableParagraph"/>
              <w:spacing w:before="1" w:line="360" w:lineRule="auto"/>
              <w:ind w:left="0" w:right="229"/>
              <w:jc w:val="both"/>
              <w:rPr>
                <w:rFonts w:ascii="Arial" w:hAnsi="Arial" w:cs="Arial"/>
                <w:b/>
                <w:bCs/>
                <w:color w:val="000000" w:themeColor="text1"/>
                <w:sz w:val="20"/>
                <w:szCs w:val="20"/>
              </w:rPr>
            </w:pPr>
          </w:p>
          <w:p w14:paraId="2BB373E2" w14:textId="77777777" w:rsidR="00B46AAA" w:rsidRPr="007E37EC" w:rsidRDefault="00B46AAA" w:rsidP="00A40833">
            <w:pPr>
              <w:pStyle w:val="TableParagraph"/>
              <w:spacing w:before="1" w:line="360" w:lineRule="auto"/>
              <w:ind w:left="0" w:right="229"/>
              <w:jc w:val="both"/>
              <w:rPr>
                <w:rFonts w:ascii="Arial" w:hAnsi="Arial" w:cs="Arial"/>
                <w:b/>
                <w:bCs/>
                <w:color w:val="000000" w:themeColor="text1"/>
                <w:sz w:val="20"/>
                <w:szCs w:val="20"/>
              </w:rPr>
            </w:pPr>
            <w:r w:rsidRPr="007E37EC">
              <w:rPr>
                <w:rFonts w:ascii="Arial" w:hAnsi="Arial" w:cs="Arial"/>
                <w:b/>
                <w:bCs/>
                <w:color w:val="000000" w:themeColor="text1"/>
                <w:spacing w:val="-2"/>
                <w:sz w:val="20"/>
                <w:szCs w:val="20"/>
              </w:rPr>
              <w:t xml:space="preserve">Spoilage </w:t>
            </w:r>
            <w:r w:rsidRPr="007E37EC">
              <w:rPr>
                <w:rFonts w:ascii="Arial" w:hAnsi="Arial" w:cs="Arial"/>
                <w:b/>
                <w:bCs/>
                <w:color w:val="000000" w:themeColor="text1"/>
                <w:spacing w:val="-4"/>
                <w:sz w:val="20"/>
                <w:szCs w:val="20"/>
              </w:rPr>
              <w:t>(kg)</w:t>
            </w:r>
          </w:p>
        </w:tc>
        <w:tc>
          <w:tcPr>
            <w:tcW w:w="2169" w:type="dxa"/>
            <w:vAlign w:val="center"/>
          </w:tcPr>
          <w:p w14:paraId="1E7160F9" w14:textId="77777777" w:rsidR="00B46AAA" w:rsidRPr="007E37EC" w:rsidRDefault="00B46AAA" w:rsidP="00A40833">
            <w:pPr>
              <w:pStyle w:val="TableParagraph"/>
              <w:spacing w:before="20" w:line="360" w:lineRule="auto"/>
              <w:ind w:left="0"/>
              <w:jc w:val="both"/>
              <w:rPr>
                <w:rFonts w:ascii="Arial" w:hAnsi="Arial" w:cs="Arial"/>
                <w:b/>
                <w:bCs/>
                <w:color w:val="000000" w:themeColor="text1"/>
                <w:sz w:val="20"/>
                <w:szCs w:val="20"/>
              </w:rPr>
            </w:pPr>
          </w:p>
          <w:p w14:paraId="7EA1E8F3" w14:textId="77777777" w:rsidR="00B46AAA" w:rsidRPr="007E37EC" w:rsidRDefault="00B46AAA" w:rsidP="00A40833">
            <w:pPr>
              <w:pStyle w:val="TableParagraph"/>
              <w:spacing w:before="1" w:line="360" w:lineRule="auto"/>
              <w:ind w:left="0" w:right="275"/>
              <w:jc w:val="both"/>
              <w:rPr>
                <w:rFonts w:ascii="Arial" w:hAnsi="Arial" w:cs="Arial"/>
                <w:b/>
                <w:bCs/>
                <w:color w:val="000000" w:themeColor="text1"/>
                <w:sz w:val="20"/>
                <w:szCs w:val="20"/>
              </w:rPr>
            </w:pPr>
            <w:r w:rsidRPr="007E37EC">
              <w:rPr>
                <w:rFonts w:ascii="Arial" w:hAnsi="Arial" w:cs="Arial"/>
                <w:b/>
                <w:bCs/>
                <w:color w:val="000000" w:themeColor="text1"/>
                <w:spacing w:val="-2"/>
                <w:sz w:val="20"/>
                <w:szCs w:val="20"/>
              </w:rPr>
              <w:t xml:space="preserve">Disposable </w:t>
            </w:r>
            <w:r w:rsidRPr="007E37EC">
              <w:rPr>
                <w:rFonts w:ascii="Arial" w:hAnsi="Arial" w:cs="Arial"/>
                <w:b/>
                <w:bCs/>
                <w:color w:val="000000" w:themeColor="text1"/>
                <w:sz w:val="20"/>
                <w:szCs w:val="20"/>
              </w:rPr>
              <w:t xml:space="preserve">Qty </w:t>
            </w:r>
            <w:r w:rsidRPr="007E37EC">
              <w:rPr>
                <w:rFonts w:ascii="Arial" w:hAnsi="Arial" w:cs="Arial"/>
                <w:b/>
                <w:bCs/>
                <w:color w:val="000000" w:themeColor="text1"/>
                <w:spacing w:val="-4"/>
                <w:sz w:val="20"/>
                <w:szCs w:val="20"/>
              </w:rPr>
              <w:t>(kg)</w:t>
            </w:r>
          </w:p>
        </w:tc>
        <w:tc>
          <w:tcPr>
            <w:tcW w:w="2189" w:type="dxa"/>
            <w:vAlign w:val="center"/>
          </w:tcPr>
          <w:p w14:paraId="2472B0D5" w14:textId="77777777" w:rsidR="00B46AAA" w:rsidRPr="007E37EC" w:rsidRDefault="00B46AAA" w:rsidP="00A40833">
            <w:pPr>
              <w:pStyle w:val="TableParagraph"/>
              <w:spacing w:before="20" w:line="360" w:lineRule="auto"/>
              <w:ind w:left="0"/>
              <w:jc w:val="both"/>
              <w:rPr>
                <w:rFonts w:ascii="Arial" w:hAnsi="Arial" w:cs="Arial"/>
                <w:b/>
                <w:bCs/>
                <w:color w:val="000000" w:themeColor="text1"/>
                <w:sz w:val="20"/>
                <w:szCs w:val="20"/>
              </w:rPr>
            </w:pPr>
          </w:p>
          <w:p w14:paraId="5EF6AD46" w14:textId="2F28FE9E" w:rsidR="00B46AAA" w:rsidRPr="007E37EC" w:rsidRDefault="00E44985" w:rsidP="00A40833">
            <w:pPr>
              <w:pStyle w:val="TableParagraph"/>
              <w:spacing w:before="1" w:line="360" w:lineRule="auto"/>
              <w:ind w:left="0" w:right="233"/>
              <w:jc w:val="both"/>
              <w:rPr>
                <w:rFonts w:ascii="Arial" w:hAnsi="Arial" w:cs="Arial"/>
                <w:b/>
                <w:bCs/>
                <w:color w:val="000000" w:themeColor="text1"/>
                <w:sz w:val="20"/>
                <w:szCs w:val="20"/>
              </w:rPr>
            </w:pPr>
            <w:r>
              <w:rPr>
                <w:rFonts w:ascii="Arial" w:hAnsi="Arial" w:cs="Arial"/>
                <w:b/>
                <w:bCs/>
                <w:color w:val="000000" w:themeColor="text1"/>
                <w:sz w:val="20"/>
                <w:szCs w:val="20"/>
              </w:rPr>
              <w:t>Average</w:t>
            </w:r>
            <w:r w:rsidR="006B6EE8">
              <w:rPr>
                <w:rFonts w:ascii="Arial" w:hAnsi="Arial" w:cs="Arial"/>
                <w:b/>
                <w:bCs/>
                <w:color w:val="000000" w:themeColor="text1"/>
                <w:sz w:val="20"/>
                <w:szCs w:val="20"/>
              </w:rPr>
              <w:t xml:space="preserve"> Total</w:t>
            </w:r>
            <w:r>
              <w:rPr>
                <w:rFonts w:ascii="Arial" w:hAnsi="Arial" w:cs="Arial"/>
                <w:b/>
                <w:bCs/>
                <w:color w:val="000000" w:themeColor="text1"/>
                <w:sz w:val="20"/>
                <w:szCs w:val="20"/>
              </w:rPr>
              <w:t xml:space="preserve"> </w:t>
            </w:r>
            <w:r w:rsidR="00B46AAA" w:rsidRPr="007E37EC">
              <w:rPr>
                <w:rFonts w:ascii="Arial" w:hAnsi="Arial" w:cs="Arial"/>
                <w:b/>
                <w:bCs/>
                <w:color w:val="000000" w:themeColor="text1"/>
                <w:sz w:val="20"/>
                <w:szCs w:val="20"/>
              </w:rPr>
              <w:t xml:space="preserve">Revenue </w:t>
            </w:r>
            <w:r w:rsidR="00454D3A" w:rsidRPr="007E37EC">
              <w:rPr>
                <w:rFonts w:ascii="Arial" w:hAnsi="Arial" w:cs="Arial"/>
                <w:b/>
                <w:bCs/>
                <w:color w:val="000000" w:themeColor="text1"/>
                <w:spacing w:val="-2"/>
                <w:sz w:val="20"/>
                <w:szCs w:val="20"/>
              </w:rPr>
              <w:t>(Rs</w:t>
            </w:r>
            <w:r w:rsidR="00B46AAA" w:rsidRPr="007E37EC">
              <w:rPr>
                <w:rFonts w:ascii="Arial" w:hAnsi="Arial" w:cs="Arial"/>
                <w:b/>
                <w:bCs/>
                <w:color w:val="000000" w:themeColor="text1"/>
                <w:spacing w:val="-2"/>
                <w:sz w:val="20"/>
                <w:szCs w:val="20"/>
              </w:rPr>
              <w:t>)</w:t>
            </w:r>
          </w:p>
        </w:tc>
      </w:tr>
      <w:tr w:rsidR="00B46AAA" w:rsidRPr="007E37EC" w14:paraId="459BB927" w14:textId="77777777" w:rsidTr="00FD593E">
        <w:trPr>
          <w:trHeight w:val="360"/>
        </w:trPr>
        <w:tc>
          <w:tcPr>
            <w:tcW w:w="1598" w:type="dxa"/>
            <w:vAlign w:val="center"/>
          </w:tcPr>
          <w:p w14:paraId="2CF3556F" w14:textId="3909B198" w:rsidR="00B46AAA" w:rsidRPr="007E37EC" w:rsidRDefault="00B46AAA" w:rsidP="00A40833">
            <w:pPr>
              <w:pStyle w:val="TableParagraph"/>
              <w:spacing w:line="360" w:lineRule="auto"/>
              <w:ind w:right="1"/>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Coochbehar</w:t>
            </w:r>
            <w:proofErr w:type="spellEnd"/>
            <w:r w:rsidR="00E2475E">
              <w:rPr>
                <w:rFonts w:ascii="Arial" w:hAnsi="Arial" w:cs="Arial"/>
                <w:b/>
                <w:bCs/>
                <w:color w:val="000000" w:themeColor="text1"/>
                <w:sz w:val="20"/>
                <w:szCs w:val="20"/>
              </w:rPr>
              <w:t>-</w:t>
            </w:r>
            <w:r w:rsidRPr="007E37EC">
              <w:rPr>
                <w:rFonts w:ascii="Arial" w:hAnsi="Arial" w:cs="Arial"/>
                <w:b/>
                <w:bCs/>
                <w:color w:val="000000" w:themeColor="text1"/>
                <w:sz w:val="20"/>
                <w:szCs w:val="20"/>
              </w:rPr>
              <w:t>II</w:t>
            </w:r>
          </w:p>
        </w:tc>
        <w:tc>
          <w:tcPr>
            <w:tcW w:w="2175" w:type="dxa"/>
            <w:vAlign w:val="center"/>
          </w:tcPr>
          <w:p w14:paraId="0E215034" w14:textId="77777777" w:rsidR="00B46AAA" w:rsidRPr="007E37EC" w:rsidRDefault="00B46AAA" w:rsidP="00A40833">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140.39</w:t>
            </w:r>
          </w:p>
        </w:tc>
        <w:tc>
          <w:tcPr>
            <w:tcW w:w="1559" w:type="dxa"/>
            <w:vAlign w:val="center"/>
          </w:tcPr>
          <w:p w14:paraId="2F0E9C4E" w14:textId="77777777" w:rsidR="00B46AAA" w:rsidRPr="007E37EC" w:rsidRDefault="00B46AAA" w:rsidP="00A40833">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0.64</w:t>
            </w:r>
          </w:p>
        </w:tc>
        <w:tc>
          <w:tcPr>
            <w:tcW w:w="2169" w:type="dxa"/>
            <w:vAlign w:val="center"/>
          </w:tcPr>
          <w:p w14:paraId="5E8F25C4" w14:textId="77777777" w:rsidR="00B46AAA" w:rsidRPr="007E37EC" w:rsidRDefault="00B46AAA" w:rsidP="00A40833">
            <w:pPr>
              <w:pStyle w:val="TableParagraph"/>
              <w:spacing w:line="360" w:lineRule="auto"/>
              <w:ind w:left="218" w:right="208"/>
              <w:jc w:val="both"/>
              <w:rPr>
                <w:rFonts w:ascii="Arial" w:hAnsi="Arial" w:cs="Arial"/>
                <w:color w:val="000000" w:themeColor="text1"/>
                <w:sz w:val="20"/>
                <w:szCs w:val="20"/>
              </w:rPr>
            </w:pPr>
            <w:r w:rsidRPr="007E37EC">
              <w:rPr>
                <w:rFonts w:ascii="Arial" w:hAnsi="Arial" w:cs="Arial"/>
                <w:color w:val="000000" w:themeColor="text1"/>
                <w:spacing w:val="-2"/>
                <w:sz w:val="20"/>
                <w:szCs w:val="20"/>
              </w:rPr>
              <w:t>139.76</w:t>
            </w:r>
          </w:p>
        </w:tc>
        <w:tc>
          <w:tcPr>
            <w:tcW w:w="2189" w:type="dxa"/>
            <w:vAlign w:val="center"/>
          </w:tcPr>
          <w:p w14:paraId="34A8AA58" w14:textId="77777777" w:rsidR="00B46AAA" w:rsidRPr="007E37EC" w:rsidRDefault="00B46AAA" w:rsidP="00A40833">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17,263.15</w:t>
            </w:r>
          </w:p>
        </w:tc>
      </w:tr>
      <w:tr w:rsidR="00B46AAA" w:rsidRPr="007E37EC" w14:paraId="2461C2C9" w14:textId="77777777" w:rsidTr="00FD593E">
        <w:trPr>
          <w:trHeight w:val="360"/>
        </w:trPr>
        <w:tc>
          <w:tcPr>
            <w:tcW w:w="1598" w:type="dxa"/>
            <w:vAlign w:val="center"/>
          </w:tcPr>
          <w:p w14:paraId="021AD614" w14:textId="3E18DF2D" w:rsidR="00B46AAA" w:rsidRPr="007E37EC" w:rsidRDefault="00B46AAA" w:rsidP="00A40833">
            <w:pPr>
              <w:pStyle w:val="TableParagraph"/>
              <w:spacing w:line="360" w:lineRule="auto"/>
              <w:jc w:val="both"/>
              <w:rPr>
                <w:rFonts w:ascii="Arial" w:hAnsi="Arial" w:cs="Arial"/>
                <w:b/>
                <w:bCs/>
                <w:color w:val="000000" w:themeColor="text1"/>
                <w:spacing w:val="-2"/>
                <w:sz w:val="20"/>
                <w:szCs w:val="20"/>
              </w:rPr>
            </w:pPr>
            <w:proofErr w:type="spellStart"/>
            <w:r w:rsidRPr="007E37EC">
              <w:rPr>
                <w:rFonts w:ascii="Arial" w:hAnsi="Arial" w:cs="Arial"/>
                <w:b/>
                <w:bCs/>
                <w:color w:val="000000" w:themeColor="text1"/>
                <w:spacing w:val="-2"/>
                <w:sz w:val="20"/>
                <w:szCs w:val="20"/>
              </w:rPr>
              <w:t>Tufanganj</w:t>
            </w:r>
            <w:proofErr w:type="spellEnd"/>
            <w:r w:rsidR="00E2475E">
              <w:rPr>
                <w:rFonts w:ascii="Arial" w:hAnsi="Arial" w:cs="Arial"/>
                <w:b/>
                <w:bCs/>
                <w:color w:val="000000" w:themeColor="text1"/>
                <w:spacing w:val="-2"/>
                <w:sz w:val="20"/>
                <w:szCs w:val="20"/>
              </w:rPr>
              <w:t>-</w:t>
            </w:r>
            <w:r w:rsidRPr="007E37EC">
              <w:rPr>
                <w:rFonts w:ascii="Arial" w:hAnsi="Arial" w:cs="Arial"/>
                <w:b/>
                <w:bCs/>
                <w:color w:val="000000" w:themeColor="text1"/>
                <w:spacing w:val="-2"/>
                <w:sz w:val="20"/>
                <w:szCs w:val="20"/>
              </w:rPr>
              <w:t>I</w:t>
            </w:r>
          </w:p>
          <w:p w14:paraId="5A9366A0" w14:textId="77777777" w:rsidR="00B46AAA" w:rsidRPr="007E37EC" w:rsidRDefault="00B46AAA" w:rsidP="00A40833">
            <w:pPr>
              <w:pStyle w:val="TableParagraph"/>
              <w:spacing w:line="360" w:lineRule="auto"/>
              <w:ind w:left="0"/>
              <w:jc w:val="both"/>
              <w:rPr>
                <w:rFonts w:ascii="Arial" w:hAnsi="Arial" w:cs="Arial"/>
                <w:b/>
                <w:bCs/>
                <w:color w:val="000000" w:themeColor="text1"/>
                <w:sz w:val="20"/>
                <w:szCs w:val="20"/>
              </w:rPr>
            </w:pPr>
          </w:p>
        </w:tc>
        <w:tc>
          <w:tcPr>
            <w:tcW w:w="2175" w:type="dxa"/>
            <w:vAlign w:val="center"/>
          </w:tcPr>
          <w:p w14:paraId="63D4EC28" w14:textId="77777777" w:rsidR="00B46AAA" w:rsidRPr="007E37EC" w:rsidRDefault="00B46AAA" w:rsidP="00A40833">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117.38</w:t>
            </w:r>
          </w:p>
        </w:tc>
        <w:tc>
          <w:tcPr>
            <w:tcW w:w="1559" w:type="dxa"/>
            <w:vAlign w:val="center"/>
          </w:tcPr>
          <w:p w14:paraId="7A7497D0" w14:textId="77777777" w:rsidR="00B46AAA" w:rsidRPr="007E37EC" w:rsidRDefault="00B46AAA" w:rsidP="00A40833">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0.29</w:t>
            </w:r>
          </w:p>
        </w:tc>
        <w:tc>
          <w:tcPr>
            <w:tcW w:w="2169" w:type="dxa"/>
            <w:vAlign w:val="center"/>
          </w:tcPr>
          <w:p w14:paraId="65F10C3C" w14:textId="77777777" w:rsidR="00B46AAA" w:rsidRPr="007E37EC" w:rsidRDefault="00B46AAA" w:rsidP="00A40833">
            <w:pPr>
              <w:pStyle w:val="TableParagraph"/>
              <w:spacing w:line="360" w:lineRule="auto"/>
              <w:ind w:left="218" w:right="208"/>
              <w:jc w:val="both"/>
              <w:rPr>
                <w:rFonts w:ascii="Arial" w:hAnsi="Arial" w:cs="Arial"/>
                <w:color w:val="000000" w:themeColor="text1"/>
                <w:sz w:val="20"/>
                <w:szCs w:val="20"/>
              </w:rPr>
            </w:pPr>
            <w:r w:rsidRPr="007E37EC">
              <w:rPr>
                <w:rFonts w:ascii="Arial" w:hAnsi="Arial" w:cs="Arial"/>
                <w:color w:val="000000" w:themeColor="text1"/>
                <w:spacing w:val="-2"/>
                <w:sz w:val="20"/>
                <w:szCs w:val="20"/>
              </w:rPr>
              <w:t>117.10</w:t>
            </w:r>
          </w:p>
        </w:tc>
        <w:tc>
          <w:tcPr>
            <w:tcW w:w="2189" w:type="dxa"/>
            <w:vAlign w:val="center"/>
          </w:tcPr>
          <w:p w14:paraId="6B6F356F" w14:textId="77777777" w:rsidR="00B46AAA" w:rsidRPr="007E37EC" w:rsidRDefault="00B46AAA" w:rsidP="00A40833">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14,520.4</w:t>
            </w:r>
          </w:p>
        </w:tc>
      </w:tr>
      <w:tr w:rsidR="00B46AAA" w:rsidRPr="007E37EC" w14:paraId="01C372C0" w14:textId="77777777" w:rsidTr="00FD593E">
        <w:trPr>
          <w:trHeight w:val="360"/>
        </w:trPr>
        <w:tc>
          <w:tcPr>
            <w:tcW w:w="1598" w:type="dxa"/>
            <w:vAlign w:val="center"/>
          </w:tcPr>
          <w:p w14:paraId="557A5C61" w14:textId="58BE542D" w:rsidR="00B46AAA" w:rsidRPr="007E37EC" w:rsidRDefault="00B46AAA" w:rsidP="00A40833">
            <w:pPr>
              <w:pStyle w:val="TableParagraph"/>
              <w:spacing w:line="360" w:lineRule="auto"/>
              <w:ind w:right="1"/>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Alipurduar</w:t>
            </w:r>
            <w:proofErr w:type="spellEnd"/>
            <w:r w:rsidR="00E2475E">
              <w:rPr>
                <w:rFonts w:ascii="Arial" w:hAnsi="Arial" w:cs="Arial"/>
                <w:b/>
                <w:bCs/>
                <w:color w:val="000000" w:themeColor="text1"/>
                <w:sz w:val="20"/>
                <w:szCs w:val="20"/>
              </w:rPr>
              <w:t>-</w:t>
            </w:r>
            <w:r w:rsidRPr="007E37EC">
              <w:rPr>
                <w:rFonts w:ascii="Arial" w:hAnsi="Arial" w:cs="Arial"/>
                <w:b/>
                <w:bCs/>
                <w:color w:val="000000" w:themeColor="text1"/>
                <w:spacing w:val="-10"/>
                <w:sz w:val="20"/>
                <w:szCs w:val="20"/>
              </w:rPr>
              <w:t>I</w:t>
            </w:r>
          </w:p>
        </w:tc>
        <w:tc>
          <w:tcPr>
            <w:tcW w:w="2175" w:type="dxa"/>
            <w:vAlign w:val="center"/>
          </w:tcPr>
          <w:p w14:paraId="5236DA64" w14:textId="77777777" w:rsidR="00B46AAA" w:rsidRPr="007E37EC" w:rsidRDefault="00B46AAA" w:rsidP="00A40833">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107.91</w:t>
            </w:r>
          </w:p>
        </w:tc>
        <w:tc>
          <w:tcPr>
            <w:tcW w:w="1559" w:type="dxa"/>
            <w:vAlign w:val="center"/>
          </w:tcPr>
          <w:p w14:paraId="1D651069" w14:textId="77777777" w:rsidR="00B46AAA" w:rsidRPr="007E37EC" w:rsidRDefault="00B46AAA" w:rsidP="00A40833">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0.53</w:t>
            </w:r>
          </w:p>
        </w:tc>
        <w:tc>
          <w:tcPr>
            <w:tcW w:w="2169" w:type="dxa"/>
            <w:vAlign w:val="center"/>
          </w:tcPr>
          <w:p w14:paraId="49335D11" w14:textId="77777777" w:rsidR="00B46AAA" w:rsidRPr="007E37EC" w:rsidRDefault="00B46AAA" w:rsidP="00A40833">
            <w:pPr>
              <w:pStyle w:val="TableParagraph"/>
              <w:spacing w:line="360" w:lineRule="auto"/>
              <w:ind w:left="218" w:right="208"/>
              <w:jc w:val="both"/>
              <w:rPr>
                <w:rFonts w:ascii="Arial" w:hAnsi="Arial" w:cs="Arial"/>
                <w:color w:val="000000" w:themeColor="text1"/>
                <w:sz w:val="20"/>
                <w:szCs w:val="20"/>
              </w:rPr>
            </w:pPr>
            <w:r w:rsidRPr="007E37EC">
              <w:rPr>
                <w:rFonts w:ascii="Arial" w:hAnsi="Arial" w:cs="Arial"/>
                <w:color w:val="000000" w:themeColor="text1"/>
                <w:spacing w:val="-2"/>
                <w:sz w:val="20"/>
                <w:szCs w:val="20"/>
              </w:rPr>
              <w:t>107.38</w:t>
            </w:r>
          </w:p>
        </w:tc>
        <w:tc>
          <w:tcPr>
            <w:tcW w:w="2189" w:type="dxa"/>
            <w:vAlign w:val="center"/>
          </w:tcPr>
          <w:p w14:paraId="5286359C" w14:textId="77777777" w:rsidR="00B46AAA" w:rsidRPr="007E37EC" w:rsidRDefault="00B46AAA" w:rsidP="00A40833">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13,683.43</w:t>
            </w:r>
          </w:p>
        </w:tc>
      </w:tr>
      <w:tr w:rsidR="00B46AAA" w:rsidRPr="007E37EC" w14:paraId="6F5BE437" w14:textId="77777777" w:rsidTr="00FD593E">
        <w:trPr>
          <w:trHeight w:val="360"/>
        </w:trPr>
        <w:tc>
          <w:tcPr>
            <w:tcW w:w="1598" w:type="dxa"/>
            <w:vAlign w:val="center"/>
          </w:tcPr>
          <w:p w14:paraId="4215D165" w14:textId="3B46C04B" w:rsidR="00B46AAA" w:rsidRPr="007E37EC" w:rsidRDefault="00B46AAA" w:rsidP="00A40833">
            <w:pPr>
              <w:pStyle w:val="TableParagraph"/>
              <w:spacing w:line="360" w:lineRule="auto"/>
              <w:ind w:right="1"/>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Alipurduar</w:t>
            </w:r>
            <w:proofErr w:type="spellEnd"/>
            <w:r w:rsidR="00E2475E">
              <w:rPr>
                <w:rFonts w:ascii="Arial" w:hAnsi="Arial" w:cs="Arial"/>
                <w:b/>
                <w:bCs/>
                <w:color w:val="000000" w:themeColor="text1"/>
                <w:sz w:val="20"/>
                <w:szCs w:val="20"/>
              </w:rPr>
              <w:t>-</w:t>
            </w:r>
            <w:r w:rsidRPr="007E37EC">
              <w:rPr>
                <w:rFonts w:ascii="Arial" w:hAnsi="Arial" w:cs="Arial"/>
                <w:b/>
                <w:bCs/>
                <w:color w:val="000000" w:themeColor="text1"/>
                <w:spacing w:val="-5"/>
                <w:sz w:val="20"/>
                <w:szCs w:val="20"/>
              </w:rPr>
              <w:t>II</w:t>
            </w:r>
          </w:p>
        </w:tc>
        <w:tc>
          <w:tcPr>
            <w:tcW w:w="2175" w:type="dxa"/>
            <w:vAlign w:val="center"/>
          </w:tcPr>
          <w:p w14:paraId="5A0ED886" w14:textId="77777777" w:rsidR="00B46AAA" w:rsidRPr="007E37EC" w:rsidRDefault="00B46AAA" w:rsidP="00A40833">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119.15</w:t>
            </w:r>
          </w:p>
        </w:tc>
        <w:tc>
          <w:tcPr>
            <w:tcW w:w="1559" w:type="dxa"/>
            <w:vAlign w:val="center"/>
          </w:tcPr>
          <w:p w14:paraId="06956C71" w14:textId="77777777" w:rsidR="00B46AAA" w:rsidRPr="007E37EC" w:rsidRDefault="00B46AAA" w:rsidP="00A40833">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4"/>
                <w:sz w:val="20"/>
                <w:szCs w:val="20"/>
              </w:rPr>
              <w:t>0.54</w:t>
            </w:r>
          </w:p>
        </w:tc>
        <w:tc>
          <w:tcPr>
            <w:tcW w:w="2169" w:type="dxa"/>
            <w:vAlign w:val="center"/>
          </w:tcPr>
          <w:p w14:paraId="2D6DE3C6" w14:textId="77777777" w:rsidR="00B46AAA" w:rsidRPr="007E37EC" w:rsidRDefault="00B46AAA" w:rsidP="00A40833">
            <w:pPr>
              <w:pStyle w:val="TableParagraph"/>
              <w:spacing w:line="360" w:lineRule="auto"/>
              <w:ind w:left="218" w:right="208"/>
              <w:jc w:val="both"/>
              <w:rPr>
                <w:rFonts w:ascii="Arial" w:hAnsi="Arial" w:cs="Arial"/>
                <w:color w:val="000000" w:themeColor="text1"/>
                <w:sz w:val="20"/>
                <w:szCs w:val="20"/>
              </w:rPr>
            </w:pPr>
            <w:r w:rsidRPr="007E37EC">
              <w:rPr>
                <w:rFonts w:ascii="Arial" w:hAnsi="Arial" w:cs="Arial"/>
                <w:color w:val="000000" w:themeColor="text1"/>
                <w:spacing w:val="-2"/>
                <w:sz w:val="20"/>
                <w:szCs w:val="20"/>
              </w:rPr>
              <w:t>118.61</w:t>
            </w:r>
          </w:p>
        </w:tc>
        <w:tc>
          <w:tcPr>
            <w:tcW w:w="2189" w:type="dxa"/>
            <w:vAlign w:val="center"/>
          </w:tcPr>
          <w:p w14:paraId="6BC7E9A9" w14:textId="77777777" w:rsidR="00B46AAA" w:rsidRPr="007E37EC" w:rsidRDefault="00B46AAA" w:rsidP="00A40833">
            <w:pPr>
              <w:pStyle w:val="TableParagraph"/>
              <w:spacing w:line="360" w:lineRule="auto"/>
              <w:jc w:val="both"/>
              <w:rPr>
                <w:rFonts w:ascii="Arial" w:hAnsi="Arial" w:cs="Arial"/>
                <w:color w:val="000000" w:themeColor="text1"/>
                <w:sz w:val="20"/>
                <w:szCs w:val="20"/>
              </w:rPr>
            </w:pPr>
            <w:r w:rsidRPr="007E37EC">
              <w:rPr>
                <w:rFonts w:ascii="Arial" w:hAnsi="Arial" w:cs="Arial"/>
                <w:color w:val="000000" w:themeColor="text1"/>
                <w:spacing w:val="-2"/>
                <w:sz w:val="20"/>
                <w:szCs w:val="20"/>
              </w:rPr>
              <w:t>14,434.87</w:t>
            </w:r>
          </w:p>
        </w:tc>
      </w:tr>
      <w:tr w:rsidR="00B46AAA" w:rsidRPr="007E37EC" w14:paraId="3ECF633B" w14:textId="77777777" w:rsidTr="00FD593E">
        <w:trPr>
          <w:trHeight w:val="360"/>
        </w:trPr>
        <w:tc>
          <w:tcPr>
            <w:tcW w:w="1598" w:type="dxa"/>
            <w:vAlign w:val="center"/>
          </w:tcPr>
          <w:p w14:paraId="334EFA82" w14:textId="19798D4D" w:rsidR="00B46AAA" w:rsidRPr="007E37EC" w:rsidRDefault="00174E12" w:rsidP="00A40833">
            <w:pPr>
              <w:pStyle w:val="TableParagraph"/>
              <w:spacing w:line="360" w:lineRule="auto"/>
              <w:ind w:right="1"/>
              <w:jc w:val="both"/>
              <w:rPr>
                <w:rFonts w:ascii="Arial" w:hAnsi="Arial" w:cs="Arial"/>
                <w:b/>
                <w:bCs/>
                <w:color w:val="000000" w:themeColor="text1"/>
                <w:sz w:val="20"/>
                <w:szCs w:val="20"/>
              </w:rPr>
            </w:pPr>
            <w:r>
              <w:rPr>
                <w:rFonts w:ascii="Arial" w:hAnsi="Arial" w:cs="Arial"/>
                <w:b/>
                <w:bCs/>
                <w:sz w:val="20"/>
                <w:szCs w:val="20"/>
              </w:rPr>
              <w:t>Average</w:t>
            </w:r>
          </w:p>
        </w:tc>
        <w:tc>
          <w:tcPr>
            <w:tcW w:w="2175" w:type="dxa"/>
            <w:vAlign w:val="bottom"/>
          </w:tcPr>
          <w:p w14:paraId="77ED0FAF" w14:textId="77777777" w:rsidR="00B46AAA" w:rsidRPr="007E37EC" w:rsidRDefault="00B46AAA" w:rsidP="00A40833">
            <w:pPr>
              <w:pStyle w:val="TableParagraph"/>
              <w:spacing w:line="360" w:lineRule="auto"/>
              <w:jc w:val="both"/>
              <w:rPr>
                <w:rFonts w:ascii="Arial" w:hAnsi="Arial" w:cs="Arial"/>
                <w:b/>
                <w:bCs/>
                <w:color w:val="000000" w:themeColor="text1"/>
                <w:spacing w:val="-2"/>
                <w:sz w:val="20"/>
                <w:szCs w:val="20"/>
              </w:rPr>
            </w:pPr>
            <w:r w:rsidRPr="007E37EC">
              <w:rPr>
                <w:rFonts w:ascii="Arial" w:hAnsi="Arial" w:cs="Arial"/>
                <w:b/>
                <w:bCs/>
                <w:color w:val="000000" w:themeColor="text1"/>
                <w:spacing w:val="-2"/>
                <w:sz w:val="20"/>
                <w:szCs w:val="20"/>
              </w:rPr>
              <w:t>124.66</w:t>
            </w:r>
          </w:p>
        </w:tc>
        <w:tc>
          <w:tcPr>
            <w:tcW w:w="1559" w:type="dxa"/>
            <w:vAlign w:val="bottom"/>
          </w:tcPr>
          <w:p w14:paraId="5C7FB132" w14:textId="77777777" w:rsidR="00B46AAA" w:rsidRPr="007E37EC" w:rsidRDefault="00B46AAA" w:rsidP="00A40833">
            <w:pPr>
              <w:pStyle w:val="TableParagraph"/>
              <w:spacing w:line="360" w:lineRule="auto"/>
              <w:jc w:val="both"/>
              <w:rPr>
                <w:rFonts w:ascii="Arial" w:hAnsi="Arial" w:cs="Arial"/>
                <w:b/>
                <w:bCs/>
                <w:color w:val="000000" w:themeColor="text1"/>
                <w:spacing w:val="-4"/>
                <w:sz w:val="20"/>
                <w:szCs w:val="20"/>
              </w:rPr>
            </w:pPr>
            <w:r w:rsidRPr="007E37EC">
              <w:rPr>
                <w:rFonts w:ascii="Arial" w:hAnsi="Arial" w:cs="Arial"/>
                <w:b/>
                <w:bCs/>
                <w:color w:val="000000" w:themeColor="text1"/>
                <w:spacing w:val="-4"/>
                <w:sz w:val="20"/>
                <w:szCs w:val="20"/>
              </w:rPr>
              <w:t>0.49</w:t>
            </w:r>
          </w:p>
        </w:tc>
        <w:tc>
          <w:tcPr>
            <w:tcW w:w="2169" w:type="dxa"/>
            <w:vAlign w:val="bottom"/>
          </w:tcPr>
          <w:p w14:paraId="29BDB87C" w14:textId="77777777" w:rsidR="00B46AAA" w:rsidRPr="007E37EC" w:rsidRDefault="00B46AAA" w:rsidP="00A40833">
            <w:pPr>
              <w:pStyle w:val="TableParagraph"/>
              <w:spacing w:line="360" w:lineRule="auto"/>
              <w:ind w:left="218" w:right="208"/>
              <w:jc w:val="both"/>
              <w:rPr>
                <w:rFonts w:ascii="Arial" w:hAnsi="Arial" w:cs="Arial"/>
                <w:b/>
                <w:bCs/>
                <w:color w:val="000000" w:themeColor="text1"/>
                <w:spacing w:val="-2"/>
                <w:sz w:val="20"/>
                <w:szCs w:val="20"/>
              </w:rPr>
            </w:pPr>
            <w:r w:rsidRPr="007E37EC">
              <w:rPr>
                <w:rFonts w:ascii="Arial" w:hAnsi="Arial" w:cs="Arial"/>
                <w:b/>
                <w:bCs/>
                <w:color w:val="000000" w:themeColor="text1"/>
                <w:spacing w:val="-2"/>
                <w:sz w:val="20"/>
                <w:szCs w:val="20"/>
              </w:rPr>
              <w:t>124.18</w:t>
            </w:r>
          </w:p>
        </w:tc>
        <w:tc>
          <w:tcPr>
            <w:tcW w:w="2189" w:type="dxa"/>
            <w:vAlign w:val="bottom"/>
          </w:tcPr>
          <w:p w14:paraId="6E5B4768" w14:textId="77777777" w:rsidR="00B46AAA" w:rsidRPr="007E37EC" w:rsidRDefault="00B46AAA" w:rsidP="00A40833">
            <w:pPr>
              <w:pStyle w:val="TableParagraph"/>
              <w:spacing w:line="360" w:lineRule="auto"/>
              <w:jc w:val="both"/>
              <w:rPr>
                <w:rFonts w:ascii="Arial" w:hAnsi="Arial" w:cs="Arial"/>
                <w:b/>
                <w:bCs/>
                <w:color w:val="000000" w:themeColor="text1"/>
                <w:spacing w:val="-2"/>
                <w:sz w:val="20"/>
                <w:szCs w:val="20"/>
              </w:rPr>
            </w:pPr>
            <w:r w:rsidRPr="007E37EC">
              <w:rPr>
                <w:rFonts w:ascii="Arial" w:hAnsi="Arial" w:cs="Arial"/>
                <w:b/>
                <w:bCs/>
                <w:color w:val="000000" w:themeColor="text1"/>
                <w:spacing w:val="-2"/>
                <w:sz w:val="20"/>
                <w:szCs w:val="20"/>
              </w:rPr>
              <w:t>15,369.08</w:t>
            </w:r>
          </w:p>
        </w:tc>
      </w:tr>
    </w:tbl>
    <w:p w14:paraId="5B5D4510" w14:textId="77777777" w:rsidR="0049610B" w:rsidRPr="007E37EC" w:rsidRDefault="0049610B" w:rsidP="00A40833">
      <w:pPr>
        <w:spacing w:after="0"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Source: Primary data collected through field survey (April 2024- March 2025)</w:t>
      </w:r>
    </w:p>
    <w:p w14:paraId="75890752" w14:textId="77777777" w:rsidR="00B46AAA" w:rsidRPr="007E37EC" w:rsidRDefault="00B46AAA" w:rsidP="00A40833">
      <w:pPr>
        <w:pStyle w:val="BodyText"/>
        <w:spacing w:line="360" w:lineRule="auto"/>
        <w:jc w:val="both"/>
        <w:rPr>
          <w:rFonts w:ascii="Arial" w:hAnsi="Arial" w:cs="Arial"/>
          <w:color w:val="000000" w:themeColor="text1"/>
          <w:sz w:val="22"/>
          <w:szCs w:val="22"/>
        </w:rPr>
      </w:pPr>
    </w:p>
    <w:p w14:paraId="24EAD07F" w14:textId="38C8A7BE" w:rsidR="00B46AAA" w:rsidRPr="007E37EC" w:rsidRDefault="00B46AAA" w:rsidP="00A40833">
      <w:pPr>
        <w:pStyle w:val="BodyText"/>
        <w:spacing w:line="360" w:lineRule="auto"/>
        <w:jc w:val="both"/>
        <w:rPr>
          <w:rFonts w:ascii="Arial" w:hAnsi="Arial" w:cs="Arial"/>
          <w:color w:val="000000" w:themeColor="text1"/>
        </w:rPr>
      </w:pPr>
      <w:r w:rsidRPr="007E37EC">
        <w:rPr>
          <w:rFonts w:ascii="Arial" w:hAnsi="Arial" w:cs="Arial"/>
          <w:color w:val="000000" w:themeColor="text1"/>
        </w:rPr>
        <w:t xml:space="preserve">The table shows curd </w:t>
      </w:r>
      <w:r w:rsidR="008516FB" w:rsidRPr="007E37EC">
        <w:rPr>
          <w:rFonts w:ascii="Arial" w:hAnsi="Arial" w:cs="Arial"/>
          <w:color w:val="000000" w:themeColor="text1"/>
        </w:rPr>
        <w:t>production,</w:t>
      </w:r>
      <w:r w:rsidRPr="007E37EC">
        <w:rPr>
          <w:rFonts w:ascii="Arial" w:hAnsi="Arial" w:cs="Arial"/>
          <w:color w:val="000000" w:themeColor="text1"/>
        </w:rPr>
        <w:t xml:space="preserve"> spoilage</w:t>
      </w:r>
      <w:r w:rsidR="00842AFB" w:rsidRPr="007E37EC">
        <w:rPr>
          <w:rFonts w:ascii="Arial" w:hAnsi="Arial" w:cs="Arial"/>
          <w:color w:val="000000" w:themeColor="text1"/>
        </w:rPr>
        <w:t xml:space="preserve"> and generation of revenue per </w:t>
      </w:r>
      <w:r w:rsidR="00480638" w:rsidRPr="007E37EC">
        <w:rPr>
          <w:rFonts w:ascii="Arial" w:hAnsi="Arial" w:cs="Arial"/>
          <w:color w:val="000000" w:themeColor="text1"/>
        </w:rPr>
        <w:t>day for</w:t>
      </w:r>
      <w:r w:rsidRPr="007E37EC">
        <w:rPr>
          <w:rFonts w:ascii="Arial" w:hAnsi="Arial" w:cs="Arial"/>
          <w:color w:val="000000" w:themeColor="text1"/>
        </w:rPr>
        <w:t xml:space="preserve"> different blocks. On average, each firm produces 124.66 kg of curd with a spoilage rate of 0.39%. </w:t>
      </w:r>
      <w:proofErr w:type="spellStart"/>
      <w:r w:rsidRPr="007E37EC">
        <w:rPr>
          <w:rFonts w:ascii="Arial" w:hAnsi="Arial" w:cs="Arial"/>
          <w:color w:val="000000" w:themeColor="text1"/>
        </w:rPr>
        <w:t>Coochbehar</w:t>
      </w:r>
      <w:proofErr w:type="spellEnd"/>
      <w:r w:rsidR="00EE3B00">
        <w:rPr>
          <w:rFonts w:ascii="Arial" w:hAnsi="Arial" w:cs="Arial"/>
          <w:color w:val="000000" w:themeColor="text1"/>
        </w:rPr>
        <w:t>-</w:t>
      </w:r>
      <w:r w:rsidRPr="007E37EC">
        <w:rPr>
          <w:rFonts w:ascii="Arial" w:hAnsi="Arial" w:cs="Arial"/>
          <w:color w:val="000000" w:themeColor="text1"/>
        </w:rPr>
        <w:t>II has the highest production at 14</w:t>
      </w:r>
      <w:r w:rsidR="00842AFB" w:rsidRPr="007E37EC">
        <w:rPr>
          <w:rFonts w:ascii="Arial" w:hAnsi="Arial" w:cs="Arial"/>
          <w:color w:val="000000" w:themeColor="text1"/>
        </w:rPr>
        <w:t>0.39 kg and earns Rs. 17,263.15.</w:t>
      </w:r>
      <w:r w:rsidRPr="007E37EC">
        <w:rPr>
          <w:rFonts w:ascii="Arial" w:hAnsi="Arial" w:cs="Arial"/>
          <w:color w:val="000000" w:themeColor="text1"/>
        </w:rPr>
        <w:t xml:space="preserve"> </w:t>
      </w:r>
      <w:proofErr w:type="spellStart"/>
      <w:r w:rsidRPr="007E37EC">
        <w:rPr>
          <w:rFonts w:ascii="Arial" w:hAnsi="Arial" w:cs="Arial"/>
          <w:color w:val="000000" w:themeColor="text1"/>
        </w:rPr>
        <w:t>Tufanganj</w:t>
      </w:r>
      <w:proofErr w:type="spellEnd"/>
      <w:r w:rsidR="00EE3B00">
        <w:rPr>
          <w:rFonts w:ascii="Arial" w:hAnsi="Arial" w:cs="Arial"/>
          <w:color w:val="000000" w:themeColor="text1"/>
        </w:rPr>
        <w:t>-</w:t>
      </w:r>
      <w:r w:rsidRPr="007E37EC">
        <w:rPr>
          <w:rFonts w:ascii="Arial" w:hAnsi="Arial" w:cs="Arial"/>
          <w:color w:val="000000" w:themeColor="text1"/>
        </w:rPr>
        <w:t xml:space="preserve">I </w:t>
      </w:r>
      <w:r w:rsidR="00480638" w:rsidRPr="007E37EC">
        <w:rPr>
          <w:rFonts w:ascii="Arial" w:hAnsi="Arial" w:cs="Arial"/>
          <w:color w:val="000000" w:themeColor="text1"/>
        </w:rPr>
        <w:t>have</w:t>
      </w:r>
      <w:r w:rsidRPr="007E37EC">
        <w:rPr>
          <w:rFonts w:ascii="Arial" w:hAnsi="Arial" w:cs="Arial"/>
          <w:color w:val="000000" w:themeColor="text1"/>
        </w:rPr>
        <w:t xml:space="preserve"> the lowest spoilage rate at 0.25%, producing 117.38 kg and earning Rs. 14,520.40, which </w:t>
      </w:r>
      <w:r w:rsidR="00842AFB" w:rsidRPr="007E37EC">
        <w:rPr>
          <w:rFonts w:ascii="Arial" w:hAnsi="Arial" w:cs="Arial"/>
          <w:color w:val="000000" w:themeColor="text1"/>
        </w:rPr>
        <w:t xml:space="preserve">also </w:t>
      </w:r>
      <w:r w:rsidRPr="007E37EC">
        <w:rPr>
          <w:rFonts w:ascii="Arial" w:hAnsi="Arial" w:cs="Arial"/>
          <w:color w:val="000000" w:themeColor="text1"/>
        </w:rPr>
        <w:t>suggests strong</w:t>
      </w:r>
      <w:r w:rsidR="00842AFB" w:rsidRPr="007E37EC">
        <w:rPr>
          <w:rFonts w:ascii="Arial" w:hAnsi="Arial" w:cs="Arial"/>
          <w:color w:val="000000" w:themeColor="text1"/>
        </w:rPr>
        <w:t>er</w:t>
      </w:r>
      <w:r w:rsidRPr="007E37EC">
        <w:rPr>
          <w:rFonts w:ascii="Arial" w:hAnsi="Arial" w:cs="Arial"/>
          <w:color w:val="000000" w:themeColor="text1"/>
        </w:rPr>
        <w:t xml:space="preserve"> quality control. </w:t>
      </w:r>
      <w:proofErr w:type="spellStart"/>
      <w:r w:rsidRPr="007E37EC">
        <w:rPr>
          <w:rFonts w:ascii="Arial" w:hAnsi="Arial" w:cs="Arial"/>
          <w:color w:val="000000" w:themeColor="text1"/>
        </w:rPr>
        <w:t>Alipurduar</w:t>
      </w:r>
      <w:proofErr w:type="spellEnd"/>
      <w:r w:rsidR="00B04E73">
        <w:rPr>
          <w:rFonts w:ascii="Arial" w:hAnsi="Arial" w:cs="Arial"/>
          <w:color w:val="000000" w:themeColor="text1"/>
        </w:rPr>
        <w:t>-</w:t>
      </w:r>
      <w:r w:rsidRPr="007E37EC">
        <w:rPr>
          <w:rFonts w:ascii="Arial" w:hAnsi="Arial" w:cs="Arial"/>
          <w:color w:val="000000" w:themeColor="text1"/>
        </w:rPr>
        <w:t xml:space="preserve">I produce the least curd at 107.91 kg, </w:t>
      </w:r>
      <w:r w:rsidR="00E44985">
        <w:rPr>
          <w:rFonts w:ascii="Arial" w:hAnsi="Arial" w:cs="Arial"/>
          <w:color w:val="000000" w:themeColor="text1"/>
        </w:rPr>
        <w:t>earns</w:t>
      </w:r>
      <w:r w:rsidRPr="007E37EC">
        <w:rPr>
          <w:rFonts w:ascii="Arial" w:hAnsi="Arial" w:cs="Arial"/>
          <w:color w:val="000000" w:themeColor="text1"/>
        </w:rPr>
        <w:t xml:space="preserve"> Rs. 13,683.43, and </w:t>
      </w:r>
      <w:r w:rsidR="00E44985">
        <w:rPr>
          <w:rFonts w:ascii="Arial" w:hAnsi="Arial" w:cs="Arial"/>
          <w:color w:val="000000" w:themeColor="text1"/>
        </w:rPr>
        <w:t>has</w:t>
      </w:r>
      <w:r w:rsidRPr="007E37EC">
        <w:rPr>
          <w:rFonts w:ascii="Arial" w:hAnsi="Arial" w:cs="Arial"/>
          <w:color w:val="000000" w:themeColor="text1"/>
        </w:rPr>
        <w:t xml:space="preserve"> a spoilage of 0.53 kg. </w:t>
      </w:r>
      <w:proofErr w:type="spellStart"/>
      <w:r w:rsidRPr="007E37EC">
        <w:rPr>
          <w:rFonts w:ascii="Arial" w:hAnsi="Arial" w:cs="Arial"/>
          <w:color w:val="000000" w:themeColor="text1"/>
        </w:rPr>
        <w:t>Alipurduar</w:t>
      </w:r>
      <w:proofErr w:type="spellEnd"/>
      <w:r w:rsidR="00B04E73">
        <w:rPr>
          <w:rFonts w:ascii="Arial" w:hAnsi="Arial" w:cs="Arial"/>
          <w:color w:val="000000" w:themeColor="text1"/>
        </w:rPr>
        <w:t>-</w:t>
      </w:r>
      <w:r w:rsidRPr="007E37EC">
        <w:rPr>
          <w:rFonts w:ascii="Arial" w:hAnsi="Arial" w:cs="Arial"/>
          <w:color w:val="000000" w:themeColor="text1"/>
        </w:rPr>
        <w:t xml:space="preserve">II falls in the middle with 119.15 kg produced, Rs. 14,434.87 in revenue, and 0.54 kg of spoilage. In general, spoilage is well managed, and changes in revenue are mostly due to differences in production, not quality problems </w:t>
      </w:r>
      <w:r w:rsidRPr="007E37EC">
        <w:rPr>
          <w:rFonts w:ascii="Arial" w:hAnsi="Arial" w:cs="Arial"/>
          <w:color w:val="000000" w:themeColor="text1"/>
          <w:lang w:val="en-IN"/>
        </w:rPr>
        <w:t>(</w:t>
      </w:r>
      <w:proofErr w:type="spellStart"/>
      <w:r w:rsidRPr="007E37EC">
        <w:rPr>
          <w:rFonts w:ascii="Arial" w:hAnsi="Arial" w:cs="Arial"/>
          <w:color w:val="000000" w:themeColor="text1"/>
          <w:lang w:val="en-IN"/>
        </w:rPr>
        <w:t>Marchi</w:t>
      </w:r>
      <w:proofErr w:type="spellEnd"/>
      <w:r w:rsidRPr="007E37EC">
        <w:rPr>
          <w:rFonts w:ascii="Arial" w:hAnsi="Arial" w:cs="Arial"/>
          <w:color w:val="000000" w:themeColor="text1"/>
          <w:lang w:val="en-IN"/>
        </w:rPr>
        <w:t xml:space="preserve"> et al., 2022).</w:t>
      </w:r>
    </w:p>
    <w:p w14:paraId="7A3F50B1" w14:textId="77777777" w:rsidR="00842AFB" w:rsidRPr="007E37EC" w:rsidRDefault="00842AFB" w:rsidP="00A40833">
      <w:pPr>
        <w:pStyle w:val="BodyText"/>
        <w:spacing w:line="360" w:lineRule="auto"/>
        <w:jc w:val="both"/>
        <w:rPr>
          <w:rFonts w:ascii="Arial" w:hAnsi="Arial" w:cs="Arial"/>
          <w:b/>
          <w:bCs/>
          <w:color w:val="000000" w:themeColor="text1"/>
          <w:sz w:val="22"/>
          <w:szCs w:val="22"/>
        </w:rPr>
      </w:pPr>
    </w:p>
    <w:p w14:paraId="507AD523" w14:textId="5FE7C5EF" w:rsidR="00B46AAA" w:rsidRPr="007E37EC" w:rsidRDefault="00B46AAA" w:rsidP="00A40833">
      <w:pPr>
        <w:pStyle w:val="BodyText"/>
        <w:spacing w:line="360" w:lineRule="auto"/>
        <w:jc w:val="both"/>
        <w:rPr>
          <w:rFonts w:ascii="Arial" w:hAnsi="Arial" w:cs="Arial"/>
          <w:b/>
          <w:color w:val="000000" w:themeColor="text1"/>
          <w:sz w:val="22"/>
          <w:szCs w:val="22"/>
        </w:rPr>
      </w:pPr>
      <w:r w:rsidRPr="007E37EC">
        <w:rPr>
          <w:rFonts w:ascii="Arial" w:hAnsi="Arial" w:cs="Arial"/>
          <w:b/>
          <w:bCs/>
          <w:color w:val="000000" w:themeColor="text1"/>
          <w:sz w:val="22"/>
          <w:szCs w:val="22"/>
        </w:rPr>
        <w:t>3.6</w:t>
      </w:r>
      <w:r w:rsidRPr="007E37EC">
        <w:rPr>
          <w:rFonts w:ascii="Arial" w:hAnsi="Arial" w:cs="Arial"/>
          <w:color w:val="000000" w:themeColor="text1"/>
          <w:sz w:val="22"/>
          <w:szCs w:val="22"/>
        </w:rPr>
        <w:t xml:space="preserve"> </w:t>
      </w:r>
      <w:r w:rsidRPr="007E37EC">
        <w:rPr>
          <w:rFonts w:ascii="Arial" w:hAnsi="Arial" w:cs="Arial"/>
          <w:b/>
          <w:bCs/>
          <w:color w:val="000000" w:themeColor="text1"/>
          <w:sz w:val="22"/>
          <w:szCs w:val="22"/>
        </w:rPr>
        <w:t>Analysis of</w:t>
      </w:r>
      <w:r w:rsidRPr="007E37EC">
        <w:rPr>
          <w:rFonts w:ascii="Arial" w:hAnsi="Arial" w:cs="Arial"/>
          <w:color w:val="000000" w:themeColor="text1"/>
          <w:sz w:val="22"/>
          <w:szCs w:val="22"/>
        </w:rPr>
        <w:t xml:space="preserve"> </w:t>
      </w:r>
      <w:r w:rsidR="00B40B29">
        <w:rPr>
          <w:rFonts w:ascii="Arial" w:hAnsi="Arial" w:cs="Arial"/>
          <w:b/>
          <w:color w:val="000000" w:themeColor="text1"/>
          <w:sz w:val="22"/>
          <w:szCs w:val="22"/>
        </w:rPr>
        <w:t>the cost</w:t>
      </w:r>
      <w:r w:rsidRPr="007E37EC">
        <w:rPr>
          <w:rFonts w:ascii="Arial" w:hAnsi="Arial" w:cs="Arial"/>
          <w:b/>
          <w:color w:val="000000" w:themeColor="text1"/>
          <w:sz w:val="22"/>
          <w:szCs w:val="22"/>
        </w:rPr>
        <w:t xml:space="preserve"> of production and </w:t>
      </w:r>
      <w:r w:rsidR="00B40B29">
        <w:rPr>
          <w:rFonts w:ascii="Arial" w:hAnsi="Arial" w:cs="Arial"/>
          <w:b/>
          <w:color w:val="000000" w:themeColor="text1"/>
          <w:sz w:val="22"/>
          <w:szCs w:val="22"/>
        </w:rPr>
        <w:t xml:space="preserve">the </w:t>
      </w:r>
      <w:r w:rsidR="00B238DE" w:rsidRPr="007E37EC">
        <w:rPr>
          <w:rFonts w:ascii="Arial" w:hAnsi="Arial" w:cs="Arial"/>
          <w:b/>
          <w:color w:val="000000" w:themeColor="text1"/>
          <w:sz w:val="22"/>
          <w:szCs w:val="22"/>
        </w:rPr>
        <w:t>net profit</w:t>
      </w:r>
      <w:r w:rsidRPr="007E37EC">
        <w:rPr>
          <w:rFonts w:ascii="Arial" w:hAnsi="Arial" w:cs="Arial"/>
          <w:b/>
          <w:color w:val="000000" w:themeColor="text1"/>
          <w:sz w:val="22"/>
          <w:szCs w:val="22"/>
        </w:rPr>
        <w:t xml:space="preserve"> per kg of sweet curd </w:t>
      </w:r>
    </w:p>
    <w:p w14:paraId="7DBD4E8D" w14:textId="06101A5B" w:rsidR="00C63C30" w:rsidRPr="005D25FA" w:rsidRDefault="00B46AAA" w:rsidP="00A40833">
      <w:pPr>
        <w:spacing w:after="0" w:line="360" w:lineRule="auto"/>
        <w:jc w:val="both"/>
        <w:rPr>
          <w:rFonts w:ascii="Arial" w:hAnsi="Arial" w:cs="Arial"/>
          <w:bCs/>
          <w:color w:val="000000" w:themeColor="text1"/>
          <w:sz w:val="20"/>
          <w:szCs w:val="20"/>
        </w:rPr>
      </w:pPr>
      <w:r w:rsidRPr="005D25FA">
        <w:rPr>
          <w:rFonts w:ascii="Arial" w:hAnsi="Arial" w:cs="Arial"/>
          <w:b/>
          <w:color w:val="000000" w:themeColor="text1"/>
          <w:sz w:val="20"/>
          <w:szCs w:val="20"/>
        </w:rPr>
        <w:t xml:space="preserve">Table 6: </w:t>
      </w:r>
      <w:r w:rsidRPr="005D25FA">
        <w:rPr>
          <w:rFonts w:ascii="Arial" w:hAnsi="Arial" w:cs="Arial"/>
          <w:bCs/>
          <w:color w:val="000000" w:themeColor="text1"/>
          <w:sz w:val="20"/>
          <w:szCs w:val="20"/>
        </w:rPr>
        <w:t>Cost Structure analysis per Kg of Sweet curd</w:t>
      </w:r>
      <w:r w:rsidR="00B238DE" w:rsidRPr="005D25FA">
        <w:rPr>
          <w:rFonts w:ascii="Arial" w:hAnsi="Arial" w:cs="Arial"/>
          <w:bCs/>
          <w:color w:val="000000" w:themeColor="text1"/>
          <w:sz w:val="20"/>
          <w:szCs w:val="20"/>
        </w:rPr>
        <w:t xml:space="preserve"> and net profit</w:t>
      </w:r>
      <w:r w:rsidR="00F07E07">
        <w:rPr>
          <w:rFonts w:ascii="Arial" w:hAnsi="Arial" w:cs="Arial"/>
          <w:bCs/>
          <w:color w:val="000000" w:themeColor="text1"/>
          <w:sz w:val="20"/>
          <w:szCs w:val="20"/>
        </w:rPr>
        <w:t xml:space="preserve"> (in Rs)</w:t>
      </w:r>
    </w:p>
    <w:p w14:paraId="65C4B11F" w14:textId="77777777" w:rsidR="00B46AAA" w:rsidRPr="007E37EC" w:rsidRDefault="00B46AAA" w:rsidP="00A40833">
      <w:pPr>
        <w:spacing w:after="0" w:line="360" w:lineRule="auto"/>
        <w:jc w:val="both"/>
        <w:rPr>
          <w:rFonts w:ascii="Arial" w:eastAsia="Times New Roman" w:hAnsi="Arial" w:cs="Arial"/>
          <w:kern w:val="0"/>
          <w:lang w:eastAsia="en-IN"/>
          <w14:ligatures w14:val="none"/>
        </w:rPr>
      </w:pPr>
    </w:p>
    <w:tbl>
      <w:tblPr>
        <w:tblStyle w:val="TableGrid"/>
        <w:tblW w:w="9786" w:type="dxa"/>
        <w:tblLook w:val="04A0" w:firstRow="1" w:lastRow="0" w:firstColumn="1" w:lastColumn="0" w:noHBand="0" w:noVBand="1"/>
      </w:tblPr>
      <w:tblGrid>
        <w:gridCol w:w="1807"/>
        <w:gridCol w:w="1775"/>
        <w:gridCol w:w="1563"/>
        <w:gridCol w:w="1678"/>
        <w:gridCol w:w="1678"/>
        <w:gridCol w:w="1285"/>
      </w:tblGrid>
      <w:tr w:rsidR="00B46AAA" w:rsidRPr="007E37EC" w14:paraId="3AA7FC5A" w14:textId="77777777" w:rsidTr="00251DEB">
        <w:trPr>
          <w:trHeight w:val="1970"/>
        </w:trPr>
        <w:tc>
          <w:tcPr>
            <w:tcW w:w="1807" w:type="dxa"/>
            <w:vAlign w:val="center"/>
          </w:tcPr>
          <w:p w14:paraId="40D0783C"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Cost component</w:t>
            </w:r>
          </w:p>
        </w:tc>
        <w:tc>
          <w:tcPr>
            <w:tcW w:w="1775" w:type="dxa"/>
            <w:vAlign w:val="center"/>
          </w:tcPr>
          <w:p w14:paraId="18A17329" w14:textId="3C7852BC" w:rsidR="00B46AAA" w:rsidRPr="007E37EC" w:rsidRDefault="00B46AAA" w:rsidP="00A40833">
            <w:pPr>
              <w:pStyle w:val="BodyText"/>
              <w:spacing w:line="360" w:lineRule="auto"/>
              <w:jc w:val="center"/>
              <w:rPr>
                <w:rFonts w:ascii="Arial" w:hAnsi="Arial" w:cs="Arial"/>
                <w:b/>
                <w:color w:val="000000" w:themeColor="text1"/>
              </w:rPr>
            </w:pPr>
            <w:proofErr w:type="spellStart"/>
            <w:r w:rsidRPr="007E37EC">
              <w:rPr>
                <w:rFonts w:ascii="Arial" w:hAnsi="Arial" w:cs="Arial"/>
                <w:b/>
                <w:color w:val="000000" w:themeColor="text1"/>
              </w:rPr>
              <w:t>Coochbehar</w:t>
            </w:r>
            <w:proofErr w:type="spellEnd"/>
            <w:r w:rsidR="00EE3B00">
              <w:rPr>
                <w:rFonts w:ascii="Arial" w:hAnsi="Arial" w:cs="Arial"/>
                <w:b/>
                <w:color w:val="000000" w:themeColor="text1"/>
              </w:rPr>
              <w:t>-</w:t>
            </w:r>
            <w:r w:rsidRPr="007E37EC">
              <w:rPr>
                <w:rFonts w:ascii="Arial" w:hAnsi="Arial" w:cs="Arial"/>
                <w:b/>
                <w:color w:val="000000" w:themeColor="text1"/>
              </w:rPr>
              <w:t>II</w:t>
            </w:r>
          </w:p>
          <w:p w14:paraId="04CBABD0"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(Rs/kg)</w:t>
            </w:r>
          </w:p>
        </w:tc>
        <w:tc>
          <w:tcPr>
            <w:tcW w:w="1563" w:type="dxa"/>
            <w:vAlign w:val="center"/>
          </w:tcPr>
          <w:p w14:paraId="148AFBB8" w14:textId="64C7F3BA" w:rsidR="00B46AAA" w:rsidRPr="007E37EC" w:rsidRDefault="00B46AAA" w:rsidP="00A40833">
            <w:pPr>
              <w:pStyle w:val="BodyText"/>
              <w:spacing w:line="360" w:lineRule="auto"/>
              <w:jc w:val="center"/>
              <w:rPr>
                <w:rFonts w:ascii="Arial" w:hAnsi="Arial" w:cs="Arial"/>
                <w:b/>
                <w:color w:val="000000" w:themeColor="text1"/>
              </w:rPr>
            </w:pPr>
            <w:proofErr w:type="spellStart"/>
            <w:r w:rsidRPr="007E37EC">
              <w:rPr>
                <w:rFonts w:ascii="Arial" w:hAnsi="Arial" w:cs="Arial"/>
                <w:b/>
                <w:color w:val="000000" w:themeColor="text1"/>
              </w:rPr>
              <w:t>Tufanganj</w:t>
            </w:r>
            <w:proofErr w:type="spellEnd"/>
            <w:r w:rsidR="001F3EBE">
              <w:rPr>
                <w:rFonts w:ascii="Arial" w:hAnsi="Arial" w:cs="Arial"/>
                <w:b/>
                <w:color w:val="000000" w:themeColor="text1"/>
              </w:rPr>
              <w:t>-</w:t>
            </w:r>
            <w:r w:rsidRPr="007E37EC">
              <w:rPr>
                <w:rFonts w:ascii="Arial" w:hAnsi="Arial" w:cs="Arial"/>
                <w:b/>
                <w:color w:val="000000" w:themeColor="text1"/>
              </w:rPr>
              <w:t>I</w:t>
            </w:r>
          </w:p>
          <w:p w14:paraId="32E77B51"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(Rs/kg)</w:t>
            </w:r>
          </w:p>
        </w:tc>
        <w:tc>
          <w:tcPr>
            <w:tcW w:w="1678" w:type="dxa"/>
            <w:vAlign w:val="center"/>
          </w:tcPr>
          <w:p w14:paraId="7572921D" w14:textId="13ADEC32" w:rsidR="00B46AAA" w:rsidRPr="007E37EC" w:rsidRDefault="00B46AAA" w:rsidP="00A40833">
            <w:pPr>
              <w:pStyle w:val="BodyText"/>
              <w:spacing w:line="360" w:lineRule="auto"/>
              <w:jc w:val="center"/>
              <w:rPr>
                <w:rFonts w:ascii="Arial" w:hAnsi="Arial" w:cs="Arial"/>
                <w:b/>
                <w:color w:val="000000" w:themeColor="text1"/>
              </w:rPr>
            </w:pPr>
            <w:proofErr w:type="spellStart"/>
            <w:r w:rsidRPr="007E37EC">
              <w:rPr>
                <w:rFonts w:ascii="Arial" w:hAnsi="Arial" w:cs="Arial"/>
                <w:b/>
                <w:color w:val="000000" w:themeColor="text1"/>
              </w:rPr>
              <w:t>Alipurduar</w:t>
            </w:r>
            <w:proofErr w:type="spellEnd"/>
            <w:r w:rsidR="001F3EBE">
              <w:rPr>
                <w:rFonts w:ascii="Arial" w:hAnsi="Arial" w:cs="Arial"/>
                <w:b/>
                <w:color w:val="000000" w:themeColor="text1"/>
              </w:rPr>
              <w:t>-</w:t>
            </w:r>
            <w:r w:rsidRPr="007E37EC">
              <w:rPr>
                <w:rFonts w:ascii="Arial" w:hAnsi="Arial" w:cs="Arial"/>
                <w:b/>
                <w:color w:val="000000" w:themeColor="text1"/>
              </w:rPr>
              <w:t>I</w:t>
            </w:r>
          </w:p>
          <w:p w14:paraId="475C4B82"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(Rs/kg)</w:t>
            </w:r>
          </w:p>
        </w:tc>
        <w:tc>
          <w:tcPr>
            <w:tcW w:w="1678" w:type="dxa"/>
            <w:vAlign w:val="center"/>
          </w:tcPr>
          <w:p w14:paraId="3AC9A680" w14:textId="43FAE5C8" w:rsidR="00B46AAA" w:rsidRPr="007E37EC" w:rsidRDefault="00B46AAA" w:rsidP="00A40833">
            <w:pPr>
              <w:pStyle w:val="BodyText"/>
              <w:spacing w:line="360" w:lineRule="auto"/>
              <w:jc w:val="center"/>
              <w:rPr>
                <w:rFonts w:ascii="Arial" w:hAnsi="Arial" w:cs="Arial"/>
                <w:b/>
                <w:color w:val="000000" w:themeColor="text1"/>
              </w:rPr>
            </w:pPr>
            <w:proofErr w:type="spellStart"/>
            <w:r w:rsidRPr="007E37EC">
              <w:rPr>
                <w:rFonts w:ascii="Arial" w:hAnsi="Arial" w:cs="Arial"/>
                <w:b/>
                <w:color w:val="000000" w:themeColor="text1"/>
              </w:rPr>
              <w:t>Alipurduar</w:t>
            </w:r>
            <w:proofErr w:type="spellEnd"/>
            <w:r w:rsidR="008F635D">
              <w:rPr>
                <w:rFonts w:ascii="Arial" w:hAnsi="Arial" w:cs="Arial"/>
                <w:b/>
                <w:color w:val="000000" w:themeColor="text1"/>
              </w:rPr>
              <w:t>-</w:t>
            </w:r>
            <w:r w:rsidRPr="007E37EC">
              <w:rPr>
                <w:rFonts w:ascii="Arial" w:hAnsi="Arial" w:cs="Arial"/>
                <w:b/>
                <w:color w:val="000000" w:themeColor="text1"/>
              </w:rPr>
              <w:t>II</w:t>
            </w:r>
          </w:p>
          <w:p w14:paraId="65054208"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(Rs/kg)</w:t>
            </w:r>
          </w:p>
        </w:tc>
        <w:tc>
          <w:tcPr>
            <w:tcW w:w="1285" w:type="dxa"/>
            <w:vAlign w:val="center"/>
          </w:tcPr>
          <w:p w14:paraId="15C31C54" w14:textId="6C195F71"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Average</w:t>
            </w:r>
          </w:p>
          <w:p w14:paraId="792279CF"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(Rs/kg)</w:t>
            </w:r>
          </w:p>
        </w:tc>
      </w:tr>
      <w:tr w:rsidR="00B46AAA" w:rsidRPr="007E37EC" w14:paraId="7098D3C5" w14:textId="77777777" w:rsidTr="00251DEB">
        <w:trPr>
          <w:trHeight w:val="487"/>
        </w:trPr>
        <w:tc>
          <w:tcPr>
            <w:tcW w:w="9786" w:type="dxa"/>
            <w:gridSpan w:val="6"/>
            <w:vAlign w:val="center"/>
          </w:tcPr>
          <w:p w14:paraId="5988CFCD"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A. Variable costs</w:t>
            </w:r>
          </w:p>
        </w:tc>
      </w:tr>
      <w:tr w:rsidR="00B46AAA" w:rsidRPr="007E37EC" w14:paraId="2ED6560C" w14:textId="77777777" w:rsidTr="00251DEB">
        <w:trPr>
          <w:trHeight w:val="469"/>
        </w:trPr>
        <w:tc>
          <w:tcPr>
            <w:tcW w:w="1807" w:type="dxa"/>
            <w:vAlign w:val="center"/>
          </w:tcPr>
          <w:p w14:paraId="320126C7"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Fluid Milk</w:t>
            </w:r>
          </w:p>
        </w:tc>
        <w:tc>
          <w:tcPr>
            <w:tcW w:w="1775" w:type="dxa"/>
            <w:vAlign w:val="center"/>
          </w:tcPr>
          <w:p w14:paraId="71395DA8"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44.08</w:t>
            </w:r>
          </w:p>
          <w:p w14:paraId="40CAED2B"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lastRenderedPageBreak/>
              <w:t>(61.35)</w:t>
            </w:r>
          </w:p>
        </w:tc>
        <w:tc>
          <w:tcPr>
            <w:tcW w:w="1563" w:type="dxa"/>
            <w:vAlign w:val="center"/>
          </w:tcPr>
          <w:p w14:paraId="43F95D44"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lastRenderedPageBreak/>
              <w:t>44.06</w:t>
            </w:r>
          </w:p>
          <w:p w14:paraId="507BE0F4"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lastRenderedPageBreak/>
              <w:t>(57.74)</w:t>
            </w:r>
          </w:p>
        </w:tc>
        <w:tc>
          <w:tcPr>
            <w:tcW w:w="1678" w:type="dxa"/>
            <w:vAlign w:val="center"/>
          </w:tcPr>
          <w:p w14:paraId="3B71D605"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lastRenderedPageBreak/>
              <w:t>51.36</w:t>
            </w:r>
          </w:p>
          <w:p w14:paraId="192C4E71"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lastRenderedPageBreak/>
              <w:t>(59.25)</w:t>
            </w:r>
          </w:p>
        </w:tc>
        <w:tc>
          <w:tcPr>
            <w:tcW w:w="1678" w:type="dxa"/>
            <w:vAlign w:val="center"/>
          </w:tcPr>
          <w:p w14:paraId="53CA099C"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lastRenderedPageBreak/>
              <w:t>50.79</w:t>
            </w:r>
          </w:p>
          <w:p w14:paraId="08DF873B"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lastRenderedPageBreak/>
              <w:t>(59.68)</w:t>
            </w:r>
          </w:p>
        </w:tc>
        <w:tc>
          <w:tcPr>
            <w:tcW w:w="1285" w:type="dxa"/>
            <w:vAlign w:val="center"/>
          </w:tcPr>
          <w:p w14:paraId="0253A8F2"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lastRenderedPageBreak/>
              <w:t>46.31</w:t>
            </w:r>
          </w:p>
          <w:p w14:paraId="5E84FC77" w14:textId="2C31E28E"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lastRenderedPageBreak/>
              <w:t>(59.</w:t>
            </w:r>
            <w:r w:rsidR="005F6765" w:rsidRPr="007E37EC">
              <w:rPr>
                <w:rFonts w:ascii="Arial" w:hAnsi="Arial" w:cs="Arial"/>
                <w:bCs/>
                <w:color w:val="000000" w:themeColor="text1"/>
              </w:rPr>
              <w:t>65</w:t>
            </w:r>
            <w:r w:rsidRPr="007E37EC">
              <w:rPr>
                <w:rFonts w:ascii="Arial" w:hAnsi="Arial" w:cs="Arial"/>
                <w:bCs/>
                <w:color w:val="000000" w:themeColor="text1"/>
              </w:rPr>
              <w:t>)</w:t>
            </w:r>
          </w:p>
        </w:tc>
      </w:tr>
      <w:tr w:rsidR="00B46AAA" w:rsidRPr="007E37EC" w14:paraId="517371B5" w14:textId="77777777" w:rsidTr="00251DEB">
        <w:trPr>
          <w:trHeight w:val="487"/>
        </w:trPr>
        <w:tc>
          <w:tcPr>
            <w:tcW w:w="1807" w:type="dxa"/>
            <w:vAlign w:val="center"/>
          </w:tcPr>
          <w:p w14:paraId="6FAFDBA7"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lastRenderedPageBreak/>
              <w:t>Sugar</w:t>
            </w:r>
          </w:p>
        </w:tc>
        <w:tc>
          <w:tcPr>
            <w:tcW w:w="1775" w:type="dxa"/>
            <w:vAlign w:val="center"/>
          </w:tcPr>
          <w:p w14:paraId="488A98F1"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11.99</w:t>
            </w:r>
          </w:p>
          <w:p w14:paraId="081A3863"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(16.69)</w:t>
            </w:r>
          </w:p>
        </w:tc>
        <w:tc>
          <w:tcPr>
            <w:tcW w:w="1563" w:type="dxa"/>
            <w:vAlign w:val="center"/>
          </w:tcPr>
          <w:p w14:paraId="70F1D17A"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15.02</w:t>
            </w:r>
          </w:p>
          <w:p w14:paraId="07FE3946"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(19.69)</w:t>
            </w:r>
          </w:p>
        </w:tc>
        <w:tc>
          <w:tcPr>
            <w:tcW w:w="1678" w:type="dxa"/>
            <w:vAlign w:val="center"/>
          </w:tcPr>
          <w:p w14:paraId="3EE7E0F6"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14.90</w:t>
            </w:r>
          </w:p>
          <w:p w14:paraId="60AE0F7D"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(17.32)</w:t>
            </w:r>
          </w:p>
        </w:tc>
        <w:tc>
          <w:tcPr>
            <w:tcW w:w="1678" w:type="dxa"/>
            <w:vAlign w:val="center"/>
          </w:tcPr>
          <w:p w14:paraId="10950B40"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17.66</w:t>
            </w:r>
          </w:p>
          <w:p w14:paraId="40DD4BC0"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(20.62)</w:t>
            </w:r>
          </w:p>
        </w:tc>
        <w:tc>
          <w:tcPr>
            <w:tcW w:w="1285" w:type="dxa"/>
            <w:vAlign w:val="center"/>
          </w:tcPr>
          <w:p w14:paraId="04AFD2C1"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14.44</w:t>
            </w:r>
          </w:p>
          <w:p w14:paraId="6834ECF5" w14:textId="73575329"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(18.</w:t>
            </w:r>
            <w:r w:rsidR="005F6765" w:rsidRPr="007E37EC">
              <w:rPr>
                <w:rFonts w:ascii="Arial" w:hAnsi="Arial" w:cs="Arial"/>
                <w:bCs/>
                <w:color w:val="000000" w:themeColor="text1"/>
              </w:rPr>
              <w:t>60</w:t>
            </w:r>
            <w:r w:rsidRPr="007E37EC">
              <w:rPr>
                <w:rFonts w:ascii="Arial" w:hAnsi="Arial" w:cs="Arial"/>
                <w:bCs/>
                <w:color w:val="000000" w:themeColor="text1"/>
              </w:rPr>
              <w:t>)</w:t>
            </w:r>
          </w:p>
        </w:tc>
      </w:tr>
      <w:tr w:rsidR="00B46AAA" w:rsidRPr="007E37EC" w14:paraId="2BB56763" w14:textId="77777777" w:rsidTr="00251DEB">
        <w:trPr>
          <w:trHeight w:val="487"/>
        </w:trPr>
        <w:tc>
          <w:tcPr>
            <w:tcW w:w="1807" w:type="dxa"/>
            <w:vAlign w:val="center"/>
          </w:tcPr>
          <w:p w14:paraId="54DE0C83"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Fuel</w:t>
            </w:r>
          </w:p>
        </w:tc>
        <w:tc>
          <w:tcPr>
            <w:tcW w:w="1775" w:type="dxa"/>
            <w:vAlign w:val="center"/>
          </w:tcPr>
          <w:p w14:paraId="6592DCAC"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1.86</w:t>
            </w:r>
          </w:p>
          <w:p w14:paraId="4E289F94"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(2.59)</w:t>
            </w:r>
          </w:p>
        </w:tc>
        <w:tc>
          <w:tcPr>
            <w:tcW w:w="1563" w:type="dxa"/>
            <w:vAlign w:val="center"/>
          </w:tcPr>
          <w:p w14:paraId="077EDC97"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2.05</w:t>
            </w:r>
          </w:p>
          <w:p w14:paraId="28E14EF2"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(2.69)</w:t>
            </w:r>
          </w:p>
        </w:tc>
        <w:tc>
          <w:tcPr>
            <w:tcW w:w="1678" w:type="dxa"/>
            <w:vAlign w:val="center"/>
          </w:tcPr>
          <w:p w14:paraId="669E5555"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2.22</w:t>
            </w:r>
          </w:p>
          <w:p w14:paraId="633C794A"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(2.58)</w:t>
            </w:r>
          </w:p>
        </w:tc>
        <w:tc>
          <w:tcPr>
            <w:tcW w:w="1678" w:type="dxa"/>
            <w:vAlign w:val="center"/>
          </w:tcPr>
          <w:p w14:paraId="2205FCCD"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2.02</w:t>
            </w:r>
          </w:p>
          <w:p w14:paraId="5AC0140C"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(2.36)</w:t>
            </w:r>
          </w:p>
        </w:tc>
        <w:tc>
          <w:tcPr>
            <w:tcW w:w="1285" w:type="dxa"/>
            <w:vAlign w:val="center"/>
          </w:tcPr>
          <w:p w14:paraId="15CDE674"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2.00</w:t>
            </w:r>
          </w:p>
          <w:p w14:paraId="170EBEAB"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(2.57)</w:t>
            </w:r>
          </w:p>
        </w:tc>
      </w:tr>
      <w:tr w:rsidR="00B46AAA" w:rsidRPr="007E37EC" w14:paraId="688037A1" w14:textId="77777777" w:rsidTr="00251DEB">
        <w:trPr>
          <w:trHeight w:val="487"/>
        </w:trPr>
        <w:tc>
          <w:tcPr>
            <w:tcW w:w="1807" w:type="dxa"/>
            <w:vAlign w:val="center"/>
          </w:tcPr>
          <w:p w14:paraId="694BFC75"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Container</w:t>
            </w:r>
          </w:p>
        </w:tc>
        <w:tc>
          <w:tcPr>
            <w:tcW w:w="1775" w:type="dxa"/>
            <w:vAlign w:val="center"/>
          </w:tcPr>
          <w:p w14:paraId="2320F6E3"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6.71</w:t>
            </w:r>
          </w:p>
          <w:p w14:paraId="42AC28E6"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(9.34)</w:t>
            </w:r>
          </w:p>
        </w:tc>
        <w:tc>
          <w:tcPr>
            <w:tcW w:w="1563" w:type="dxa"/>
            <w:vAlign w:val="center"/>
          </w:tcPr>
          <w:p w14:paraId="61A9CF80"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6.24</w:t>
            </w:r>
          </w:p>
          <w:p w14:paraId="4A8A5A6F"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(8.18)</w:t>
            </w:r>
          </w:p>
        </w:tc>
        <w:tc>
          <w:tcPr>
            <w:tcW w:w="1678" w:type="dxa"/>
            <w:vAlign w:val="center"/>
          </w:tcPr>
          <w:p w14:paraId="38BC349C"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7.05</w:t>
            </w:r>
          </w:p>
          <w:p w14:paraId="273B07CF"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(8.20)</w:t>
            </w:r>
          </w:p>
        </w:tc>
        <w:tc>
          <w:tcPr>
            <w:tcW w:w="1678" w:type="dxa"/>
            <w:vAlign w:val="center"/>
          </w:tcPr>
          <w:p w14:paraId="1EA76073"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6.67</w:t>
            </w:r>
          </w:p>
          <w:p w14:paraId="162BE3DC"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(7.79)</w:t>
            </w:r>
          </w:p>
        </w:tc>
        <w:tc>
          <w:tcPr>
            <w:tcW w:w="1285" w:type="dxa"/>
            <w:vAlign w:val="center"/>
          </w:tcPr>
          <w:p w14:paraId="2CD13EB9"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6.59</w:t>
            </w:r>
          </w:p>
          <w:p w14:paraId="726003D7" w14:textId="3A32713F"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(8.4</w:t>
            </w:r>
            <w:r w:rsidR="005F6765" w:rsidRPr="007E37EC">
              <w:rPr>
                <w:rFonts w:ascii="Arial" w:hAnsi="Arial" w:cs="Arial"/>
                <w:bCs/>
                <w:color w:val="000000" w:themeColor="text1"/>
              </w:rPr>
              <w:t>9</w:t>
            </w:r>
            <w:r w:rsidRPr="007E37EC">
              <w:rPr>
                <w:rFonts w:ascii="Arial" w:hAnsi="Arial" w:cs="Arial"/>
                <w:bCs/>
                <w:color w:val="000000" w:themeColor="text1"/>
              </w:rPr>
              <w:t>)</w:t>
            </w:r>
          </w:p>
        </w:tc>
      </w:tr>
      <w:tr w:rsidR="00B46AAA" w:rsidRPr="007E37EC" w14:paraId="107651C3" w14:textId="77777777" w:rsidTr="00251DEB">
        <w:trPr>
          <w:trHeight w:val="469"/>
        </w:trPr>
        <w:tc>
          <w:tcPr>
            <w:tcW w:w="1807" w:type="dxa"/>
            <w:vAlign w:val="center"/>
          </w:tcPr>
          <w:p w14:paraId="19E30451" w14:textId="22496E02" w:rsidR="00B46AAA" w:rsidRPr="007E37EC" w:rsidRDefault="00531FD8" w:rsidP="00A40833">
            <w:pPr>
              <w:pStyle w:val="BodyText"/>
              <w:spacing w:line="360" w:lineRule="auto"/>
              <w:jc w:val="center"/>
              <w:rPr>
                <w:rFonts w:ascii="Arial" w:hAnsi="Arial" w:cs="Arial"/>
                <w:b/>
                <w:color w:val="000000" w:themeColor="text1"/>
              </w:rPr>
            </w:pPr>
            <w:r>
              <w:rPr>
                <w:rFonts w:ascii="Arial" w:hAnsi="Arial" w:cs="Arial"/>
                <w:b/>
                <w:color w:val="000000" w:themeColor="text1"/>
              </w:rPr>
              <w:t>Labor</w:t>
            </w:r>
          </w:p>
        </w:tc>
        <w:tc>
          <w:tcPr>
            <w:tcW w:w="1775" w:type="dxa"/>
            <w:vAlign w:val="center"/>
          </w:tcPr>
          <w:p w14:paraId="35294F53"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6.27</w:t>
            </w:r>
          </w:p>
          <w:p w14:paraId="0CD4E9F7"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(8.73)</w:t>
            </w:r>
          </w:p>
        </w:tc>
        <w:tc>
          <w:tcPr>
            <w:tcW w:w="1563" w:type="dxa"/>
            <w:vAlign w:val="center"/>
          </w:tcPr>
          <w:p w14:paraId="5F204ECB"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7.74</w:t>
            </w:r>
          </w:p>
          <w:p w14:paraId="757BA612"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(10.14)</w:t>
            </w:r>
          </w:p>
        </w:tc>
        <w:tc>
          <w:tcPr>
            <w:tcW w:w="1678" w:type="dxa"/>
            <w:vAlign w:val="center"/>
          </w:tcPr>
          <w:p w14:paraId="239F090F"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9.61</w:t>
            </w:r>
          </w:p>
          <w:p w14:paraId="272B5C7E"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(11.17)</w:t>
            </w:r>
          </w:p>
        </w:tc>
        <w:tc>
          <w:tcPr>
            <w:tcW w:w="1678" w:type="dxa"/>
            <w:vAlign w:val="center"/>
          </w:tcPr>
          <w:p w14:paraId="458811A9"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6.35</w:t>
            </w:r>
          </w:p>
          <w:p w14:paraId="101A499A"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(7.41)</w:t>
            </w:r>
          </w:p>
        </w:tc>
        <w:tc>
          <w:tcPr>
            <w:tcW w:w="1285" w:type="dxa"/>
            <w:vAlign w:val="center"/>
          </w:tcPr>
          <w:p w14:paraId="5B865E2D"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7.19</w:t>
            </w:r>
          </w:p>
          <w:p w14:paraId="4CD7DE41" w14:textId="7C9EEAC2"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(9.2</w:t>
            </w:r>
            <w:r w:rsidR="005F6765" w:rsidRPr="007E37EC">
              <w:rPr>
                <w:rFonts w:ascii="Arial" w:hAnsi="Arial" w:cs="Arial"/>
                <w:bCs/>
                <w:color w:val="000000" w:themeColor="text1"/>
              </w:rPr>
              <w:t>6</w:t>
            </w:r>
            <w:r w:rsidRPr="007E37EC">
              <w:rPr>
                <w:rFonts w:ascii="Arial" w:hAnsi="Arial" w:cs="Arial"/>
                <w:bCs/>
                <w:color w:val="000000" w:themeColor="text1"/>
              </w:rPr>
              <w:t>)</w:t>
            </w:r>
          </w:p>
        </w:tc>
      </w:tr>
      <w:tr w:rsidR="00B46AAA" w:rsidRPr="007E37EC" w14:paraId="0D97668C" w14:textId="77777777" w:rsidTr="00251DEB">
        <w:trPr>
          <w:trHeight w:val="1478"/>
        </w:trPr>
        <w:tc>
          <w:tcPr>
            <w:tcW w:w="1807" w:type="dxa"/>
            <w:vAlign w:val="center"/>
          </w:tcPr>
          <w:p w14:paraId="262B59C4"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Total Variable Cost</w:t>
            </w:r>
          </w:p>
        </w:tc>
        <w:tc>
          <w:tcPr>
            <w:tcW w:w="1775" w:type="dxa"/>
            <w:vAlign w:val="center"/>
          </w:tcPr>
          <w:p w14:paraId="681F8952" w14:textId="77777777" w:rsidR="00B46AAA" w:rsidRPr="007E37EC" w:rsidRDefault="00B46AAA" w:rsidP="00A40833">
            <w:pPr>
              <w:pStyle w:val="BodyText"/>
              <w:spacing w:line="360" w:lineRule="auto"/>
              <w:jc w:val="center"/>
              <w:rPr>
                <w:rFonts w:ascii="Arial" w:hAnsi="Arial" w:cs="Arial"/>
                <w:bCs/>
              </w:rPr>
            </w:pPr>
            <w:r w:rsidRPr="007E37EC">
              <w:rPr>
                <w:rFonts w:ascii="Arial" w:hAnsi="Arial" w:cs="Arial"/>
                <w:bCs/>
              </w:rPr>
              <w:t>70.91</w:t>
            </w:r>
          </w:p>
          <w:p w14:paraId="1CE3F5D1"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(98.70)</w:t>
            </w:r>
          </w:p>
        </w:tc>
        <w:tc>
          <w:tcPr>
            <w:tcW w:w="1563" w:type="dxa"/>
            <w:vAlign w:val="center"/>
          </w:tcPr>
          <w:p w14:paraId="705A2365" w14:textId="77777777" w:rsidR="00B46AAA" w:rsidRPr="007E37EC" w:rsidRDefault="00B46AAA" w:rsidP="00A40833">
            <w:pPr>
              <w:pStyle w:val="BodyText"/>
              <w:spacing w:line="360" w:lineRule="auto"/>
              <w:jc w:val="center"/>
              <w:rPr>
                <w:rFonts w:ascii="Arial" w:hAnsi="Arial" w:cs="Arial"/>
                <w:bCs/>
              </w:rPr>
            </w:pPr>
            <w:r w:rsidRPr="007E37EC">
              <w:rPr>
                <w:rFonts w:ascii="Arial" w:hAnsi="Arial" w:cs="Arial"/>
                <w:bCs/>
              </w:rPr>
              <w:t>75.11</w:t>
            </w:r>
          </w:p>
          <w:p w14:paraId="4D0CDD0A"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(98.44)</w:t>
            </w:r>
          </w:p>
        </w:tc>
        <w:tc>
          <w:tcPr>
            <w:tcW w:w="1678" w:type="dxa"/>
            <w:vAlign w:val="center"/>
          </w:tcPr>
          <w:p w14:paraId="0188B283" w14:textId="77777777" w:rsidR="00B46AAA" w:rsidRPr="007E37EC" w:rsidRDefault="00B46AAA" w:rsidP="00A40833">
            <w:pPr>
              <w:pStyle w:val="BodyText"/>
              <w:spacing w:line="360" w:lineRule="auto"/>
              <w:jc w:val="center"/>
              <w:rPr>
                <w:rFonts w:ascii="Arial" w:hAnsi="Arial" w:cs="Arial"/>
                <w:bCs/>
              </w:rPr>
            </w:pPr>
            <w:r w:rsidRPr="007E37EC">
              <w:rPr>
                <w:rFonts w:ascii="Arial" w:hAnsi="Arial" w:cs="Arial"/>
                <w:bCs/>
              </w:rPr>
              <w:t>85.14</w:t>
            </w:r>
          </w:p>
          <w:p w14:paraId="7434F1F3"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(98.6)</w:t>
            </w:r>
          </w:p>
        </w:tc>
        <w:tc>
          <w:tcPr>
            <w:tcW w:w="1678" w:type="dxa"/>
            <w:vAlign w:val="center"/>
          </w:tcPr>
          <w:p w14:paraId="2E32F77B" w14:textId="77777777" w:rsidR="00B46AAA" w:rsidRPr="007E37EC" w:rsidRDefault="00B46AAA" w:rsidP="00A40833">
            <w:pPr>
              <w:pStyle w:val="BodyText"/>
              <w:spacing w:line="360" w:lineRule="auto"/>
              <w:jc w:val="center"/>
              <w:rPr>
                <w:rFonts w:ascii="Arial" w:hAnsi="Arial" w:cs="Arial"/>
                <w:bCs/>
              </w:rPr>
            </w:pPr>
            <w:r w:rsidRPr="007E37EC">
              <w:rPr>
                <w:rFonts w:ascii="Arial" w:hAnsi="Arial" w:cs="Arial"/>
                <w:bCs/>
              </w:rPr>
              <w:t>83.49</w:t>
            </w:r>
          </w:p>
          <w:p w14:paraId="744D06F7"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(98.61)</w:t>
            </w:r>
          </w:p>
        </w:tc>
        <w:tc>
          <w:tcPr>
            <w:tcW w:w="1285" w:type="dxa"/>
            <w:vAlign w:val="center"/>
          </w:tcPr>
          <w:p w14:paraId="4A113767" w14:textId="77777777" w:rsidR="00B46AAA" w:rsidRPr="007E37EC" w:rsidRDefault="00B46AAA" w:rsidP="00A40833">
            <w:pPr>
              <w:pStyle w:val="BodyText"/>
              <w:spacing w:line="360" w:lineRule="auto"/>
              <w:jc w:val="center"/>
              <w:rPr>
                <w:rFonts w:ascii="Arial" w:hAnsi="Arial" w:cs="Arial"/>
                <w:bCs/>
              </w:rPr>
            </w:pPr>
            <w:r w:rsidRPr="007E37EC">
              <w:rPr>
                <w:rFonts w:ascii="Arial" w:hAnsi="Arial" w:cs="Arial"/>
                <w:bCs/>
              </w:rPr>
              <w:t>76.53</w:t>
            </w:r>
          </w:p>
          <w:p w14:paraId="1187460F" w14:textId="7B975274"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(98.5</w:t>
            </w:r>
            <w:r w:rsidR="005F6765" w:rsidRPr="007E37EC">
              <w:rPr>
                <w:rFonts w:ascii="Arial" w:hAnsi="Arial" w:cs="Arial"/>
                <w:bCs/>
                <w:color w:val="000000" w:themeColor="text1"/>
              </w:rPr>
              <w:t>7</w:t>
            </w:r>
            <w:r w:rsidRPr="007E37EC">
              <w:rPr>
                <w:rFonts w:ascii="Arial" w:hAnsi="Arial" w:cs="Arial"/>
                <w:bCs/>
                <w:color w:val="000000" w:themeColor="text1"/>
              </w:rPr>
              <w:t>)</w:t>
            </w:r>
          </w:p>
        </w:tc>
      </w:tr>
      <w:tr w:rsidR="00B46AAA" w:rsidRPr="007E37EC" w14:paraId="04B2A5C2" w14:textId="77777777" w:rsidTr="00251DEB">
        <w:trPr>
          <w:trHeight w:val="469"/>
        </w:trPr>
        <w:tc>
          <w:tcPr>
            <w:tcW w:w="9786" w:type="dxa"/>
            <w:gridSpan w:val="6"/>
            <w:vAlign w:val="center"/>
          </w:tcPr>
          <w:p w14:paraId="0445CC13"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B. Fixed Costs</w:t>
            </w:r>
          </w:p>
        </w:tc>
      </w:tr>
      <w:tr w:rsidR="00B46AAA" w:rsidRPr="007E37EC" w14:paraId="1D2C026B" w14:textId="77777777" w:rsidTr="00251DEB">
        <w:trPr>
          <w:trHeight w:val="2452"/>
        </w:trPr>
        <w:tc>
          <w:tcPr>
            <w:tcW w:w="1807" w:type="dxa"/>
            <w:vAlign w:val="center"/>
          </w:tcPr>
          <w:p w14:paraId="548DC770"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Equipment and building depreciation</w:t>
            </w:r>
          </w:p>
        </w:tc>
        <w:tc>
          <w:tcPr>
            <w:tcW w:w="1775" w:type="dxa"/>
            <w:vAlign w:val="center"/>
          </w:tcPr>
          <w:p w14:paraId="5E28E3DC"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0.93</w:t>
            </w:r>
          </w:p>
          <w:p w14:paraId="61BA5665"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(1.29)</w:t>
            </w:r>
          </w:p>
        </w:tc>
        <w:tc>
          <w:tcPr>
            <w:tcW w:w="1563" w:type="dxa"/>
            <w:vAlign w:val="center"/>
          </w:tcPr>
          <w:p w14:paraId="44915AF9"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1.19</w:t>
            </w:r>
          </w:p>
          <w:p w14:paraId="175BED15"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(1.56)</w:t>
            </w:r>
          </w:p>
        </w:tc>
        <w:tc>
          <w:tcPr>
            <w:tcW w:w="1678" w:type="dxa"/>
            <w:vAlign w:val="center"/>
          </w:tcPr>
          <w:p w14:paraId="3CA30450"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1.21</w:t>
            </w:r>
          </w:p>
          <w:p w14:paraId="54E9480E"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(1.40)</w:t>
            </w:r>
          </w:p>
        </w:tc>
        <w:tc>
          <w:tcPr>
            <w:tcW w:w="1678" w:type="dxa"/>
            <w:vAlign w:val="center"/>
          </w:tcPr>
          <w:p w14:paraId="147E1682"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1.17</w:t>
            </w:r>
          </w:p>
          <w:p w14:paraId="44322F66"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(1.38)</w:t>
            </w:r>
          </w:p>
        </w:tc>
        <w:tc>
          <w:tcPr>
            <w:tcW w:w="1285" w:type="dxa"/>
            <w:vAlign w:val="center"/>
          </w:tcPr>
          <w:p w14:paraId="54514268" w14:textId="77777777"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1.10</w:t>
            </w:r>
          </w:p>
          <w:p w14:paraId="4C6D6E44" w14:textId="640C601D" w:rsidR="00B46AAA" w:rsidRPr="007E37EC" w:rsidRDefault="00B46AAA" w:rsidP="00A40833">
            <w:pPr>
              <w:pStyle w:val="BodyText"/>
              <w:spacing w:line="360" w:lineRule="auto"/>
              <w:jc w:val="center"/>
              <w:rPr>
                <w:rFonts w:ascii="Arial" w:hAnsi="Arial" w:cs="Arial"/>
                <w:bCs/>
                <w:color w:val="000000" w:themeColor="text1"/>
              </w:rPr>
            </w:pPr>
            <w:r w:rsidRPr="007E37EC">
              <w:rPr>
                <w:rFonts w:ascii="Arial" w:hAnsi="Arial" w:cs="Arial"/>
                <w:bCs/>
                <w:color w:val="000000" w:themeColor="text1"/>
              </w:rPr>
              <w:t>(1.4</w:t>
            </w:r>
            <w:r w:rsidR="005F6765" w:rsidRPr="007E37EC">
              <w:rPr>
                <w:rFonts w:ascii="Arial" w:hAnsi="Arial" w:cs="Arial"/>
                <w:bCs/>
                <w:color w:val="000000" w:themeColor="text1"/>
              </w:rPr>
              <w:t>2</w:t>
            </w:r>
            <w:r w:rsidRPr="007E37EC">
              <w:rPr>
                <w:rFonts w:ascii="Arial" w:hAnsi="Arial" w:cs="Arial"/>
                <w:bCs/>
                <w:color w:val="000000" w:themeColor="text1"/>
              </w:rPr>
              <w:t>)</w:t>
            </w:r>
          </w:p>
        </w:tc>
      </w:tr>
      <w:tr w:rsidR="00B46AAA" w:rsidRPr="007E37EC" w14:paraId="2C9DDC54" w14:textId="77777777" w:rsidTr="00251DEB">
        <w:trPr>
          <w:trHeight w:val="1461"/>
        </w:trPr>
        <w:tc>
          <w:tcPr>
            <w:tcW w:w="1807" w:type="dxa"/>
            <w:vAlign w:val="center"/>
          </w:tcPr>
          <w:p w14:paraId="3C6582EF"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Total costs per kg (A+B)</w:t>
            </w:r>
          </w:p>
        </w:tc>
        <w:tc>
          <w:tcPr>
            <w:tcW w:w="1775" w:type="dxa"/>
            <w:vAlign w:val="center"/>
          </w:tcPr>
          <w:p w14:paraId="1D5CF048" w14:textId="77777777" w:rsidR="00B46AAA" w:rsidRPr="007E37EC" w:rsidRDefault="00B46AAA" w:rsidP="00A40833">
            <w:pPr>
              <w:pStyle w:val="BodyText"/>
              <w:spacing w:line="360" w:lineRule="auto"/>
              <w:jc w:val="center"/>
              <w:rPr>
                <w:rFonts w:ascii="Arial" w:hAnsi="Arial" w:cs="Arial"/>
              </w:rPr>
            </w:pPr>
            <w:r w:rsidRPr="007E37EC">
              <w:rPr>
                <w:rFonts w:ascii="Arial" w:hAnsi="Arial" w:cs="Arial"/>
              </w:rPr>
              <w:t>71.84</w:t>
            </w:r>
          </w:p>
          <w:p w14:paraId="117AAB63"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(100)</w:t>
            </w:r>
          </w:p>
        </w:tc>
        <w:tc>
          <w:tcPr>
            <w:tcW w:w="1563" w:type="dxa"/>
            <w:vAlign w:val="center"/>
          </w:tcPr>
          <w:p w14:paraId="2A0DB568" w14:textId="77777777" w:rsidR="00B46AAA" w:rsidRPr="007E37EC" w:rsidRDefault="00B46AAA" w:rsidP="00A40833">
            <w:pPr>
              <w:pStyle w:val="BodyText"/>
              <w:spacing w:line="360" w:lineRule="auto"/>
              <w:jc w:val="center"/>
              <w:rPr>
                <w:rFonts w:ascii="Arial" w:hAnsi="Arial" w:cs="Arial"/>
              </w:rPr>
            </w:pPr>
            <w:r w:rsidRPr="007E37EC">
              <w:rPr>
                <w:rFonts w:ascii="Arial" w:hAnsi="Arial" w:cs="Arial"/>
              </w:rPr>
              <w:t>76.30</w:t>
            </w:r>
          </w:p>
          <w:p w14:paraId="6AF51259"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(100)</w:t>
            </w:r>
          </w:p>
        </w:tc>
        <w:tc>
          <w:tcPr>
            <w:tcW w:w="1678" w:type="dxa"/>
            <w:vAlign w:val="center"/>
          </w:tcPr>
          <w:p w14:paraId="56CDC9AE" w14:textId="77777777" w:rsidR="00B46AAA" w:rsidRPr="007E37EC" w:rsidRDefault="00B46AAA" w:rsidP="00A40833">
            <w:pPr>
              <w:pStyle w:val="BodyText"/>
              <w:spacing w:line="360" w:lineRule="auto"/>
              <w:jc w:val="center"/>
              <w:rPr>
                <w:rFonts w:ascii="Arial" w:hAnsi="Arial" w:cs="Arial"/>
              </w:rPr>
            </w:pPr>
            <w:r w:rsidRPr="007E37EC">
              <w:rPr>
                <w:rFonts w:ascii="Arial" w:hAnsi="Arial" w:cs="Arial"/>
              </w:rPr>
              <w:t>86.35</w:t>
            </w:r>
          </w:p>
          <w:p w14:paraId="2FBF0109"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(100)</w:t>
            </w:r>
          </w:p>
        </w:tc>
        <w:tc>
          <w:tcPr>
            <w:tcW w:w="1678" w:type="dxa"/>
            <w:vAlign w:val="center"/>
          </w:tcPr>
          <w:p w14:paraId="4D979487" w14:textId="77777777" w:rsidR="00B46AAA" w:rsidRPr="007E37EC" w:rsidRDefault="00B46AAA" w:rsidP="00A40833">
            <w:pPr>
              <w:pStyle w:val="BodyText"/>
              <w:spacing w:line="360" w:lineRule="auto"/>
              <w:jc w:val="center"/>
              <w:rPr>
                <w:rFonts w:ascii="Arial" w:hAnsi="Arial" w:cs="Arial"/>
              </w:rPr>
            </w:pPr>
            <w:r w:rsidRPr="007E37EC">
              <w:rPr>
                <w:rFonts w:ascii="Arial" w:hAnsi="Arial" w:cs="Arial"/>
              </w:rPr>
              <w:t>84.66</w:t>
            </w:r>
          </w:p>
          <w:p w14:paraId="4B29EC37"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(100)</w:t>
            </w:r>
          </w:p>
        </w:tc>
        <w:tc>
          <w:tcPr>
            <w:tcW w:w="1285" w:type="dxa"/>
            <w:vAlign w:val="center"/>
          </w:tcPr>
          <w:p w14:paraId="2257C669" w14:textId="77777777" w:rsidR="00B46AAA" w:rsidRPr="007E37EC" w:rsidRDefault="00B46AAA" w:rsidP="00A40833">
            <w:pPr>
              <w:pStyle w:val="BodyText"/>
              <w:spacing w:line="360" w:lineRule="auto"/>
              <w:jc w:val="center"/>
              <w:rPr>
                <w:rFonts w:ascii="Arial" w:hAnsi="Arial" w:cs="Arial"/>
              </w:rPr>
            </w:pPr>
            <w:r w:rsidRPr="007E37EC">
              <w:rPr>
                <w:rFonts w:ascii="Arial" w:hAnsi="Arial" w:cs="Arial"/>
              </w:rPr>
              <w:t>77.63</w:t>
            </w:r>
          </w:p>
          <w:p w14:paraId="1C63681D"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(100)</w:t>
            </w:r>
          </w:p>
        </w:tc>
      </w:tr>
      <w:tr w:rsidR="00B46AAA" w:rsidRPr="007E37EC" w14:paraId="42E7C952" w14:textId="77777777" w:rsidTr="00251DEB">
        <w:trPr>
          <w:trHeight w:val="974"/>
        </w:trPr>
        <w:tc>
          <w:tcPr>
            <w:tcW w:w="1807" w:type="dxa"/>
            <w:vAlign w:val="center"/>
          </w:tcPr>
          <w:p w14:paraId="3F1A5A68"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Selling Price per kg</w:t>
            </w:r>
          </w:p>
        </w:tc>
        <w:tc>
          <w:tcPr>
            <w:tcW w:w="1775" w:type="dxa"/>
            <w:vAlign w:val="center"/>
          </w:tcPr>
          <w:p w14:paraId="710B2417"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rPr>
              <w:t>123.52</w:t>
            </w:r>
          </w:p>
        </w:tc>
        <w:tc>
          <w:tcPr>
            <w:tcW w:w="1563" w:type="dxa"/>
            <w:vAlign w:val="center"/>
          </w:tcPr>
          <w:p w14:paraId="53747E2A"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rPr>
              <w:t>124.00</w:t>
            </w:r>
          </w:p>
        </w:tc>
        <w:tc>
          <w:tcPr>
            <w:tcW w:w="1678" w:type="dxa"/>
            <w:vAlign w:val="center"/>
          </w:tcPr>
          <w:p w14:paraId="3718FC2E"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rPr>
              <w:t>127.43</w:t>
            </w:r>
          </w:p>
        </w:tc>
        <w:tc>
          <w:tcPr>
            <w:tcW w:w="1678" w:type="dxa"/>
            <w:vAlign w:val="center"/>
          </w:tcPr>
          <w:p w14:paraId="548F5244"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rPr>
              <w:t>121.70</w:t>
            </w:r>
          </w:p>
        </w:tc>
        <w:tc>
          <w:tcPr>
            <w:tcW w:w="1285" w:type="dxa"/>
            <w:vAlign w:val="center"/>
          </w:tcPr>
          <w:p w14:paraId="1953E794"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rPr>
              <w:t>123.82</w:t>
            </w:r>
          </w:p>
        </w:tc>
      </w:tr>
      <w:tr w:rsidR="00B46AAA" w:rsidRPr="007E37EC" w14:paraId="7C9A985C" w14:textId="77777777" w:rsidTr="00251DEB">
        <w:trPr>
          <w:trHeight w:val="956"/>
        </w:trPr>
        <w:tc>
          <w:tcPr>
            <w:tcW w:w="1807" w:type="dxa"/>
            <w:vAlign w:val="center"/>
          </w:tcPr>
          <w:p w14:paraId="51231D3D" w14:textId="77777777" w:rsidR="00B46AAA" w:rsidRPr="007E37EC" w:rsidRDefault="00B46AAA" w:rsidP="00A40833">
            <w:pPr>
              <w:pStyle w:val="BodyText"/>
              <w:spacing w:line="360" w:lineRule="auto"/>
              <w:jc w:val="center"/>
              <w:rPr>
                <w:rFonts w:ascii="Arial" w:hAnsi="Arial" w:cs="Arial"/>
                <w:b/>
                <w:color w:val="000000" w:themeColor="text1"/>
              </w:rPr>
            </w:pPr>
            <w:r w:rsidRPr="007E37EC">
              <w:rPr>
                <w:rFonts w:ascii="Arial" w:hAnsi="Arial" w:cs="Arial"/>
                <w:b/>
                <w:color w:val="000000" w:themeColor="text1"/>
              </w:rPr>
              <w:t>Net Profit per kg</w:t>
            </w:r>
          </w:p>
        </w:tc>
        <w:tc>
          <w:tcPr>
            <w:tcW w:w="1775" w:type="dxa"/>
            <w:vAlign w:val="center"/>
          </w:tcPr>
          <w:p w14:paraId="4B258DD1" w14:textId="77777777" w:rsidR="00B46AAA" w:rsidRPr="007E37EC" w:rsidRDefault="00B46AAA" w:rsidP="00A40833">
            <w:pPr>
              <w:pStyle w:val="BodyText"/>
              <w:spacing w:line="360" w:lineRule="auto"/>
              <w:jc w:val="center"/>
              <w:rPr>
                <w:rFonts w:ascii="Arial" w:hAnsi="Arial" w:cs="Arial"/>
                <w:b/>
                <w:bCs/>
                <w:color w:val="000000" w:themeColor="text1"/>
              </w:rPr>
            </w:pPr>
            <w:r w:rsidRPr="007E37EC">
              <w:rPr>
                <w:rFonts w:ascii="Arial" w:hAnsi="Arial" w:cs="Arial"/>
                <w:b/>
                <w:bCs/>
              </w:rPr>
              <w:t>51.68</w:t>
            </w:r>
          </w:p>
        </w:tc>
        <w:tc>
          <w:tcPr>
            <w:tcW w:w="1563" w:type="dxa"/>
            <w:vAlign w:val="center"/>
          </w:tcPr>
          <w:p w14:paraId="7ABE70E6" w14:textId="77777777" w:rsidR="00B46AAA" w:rsidRPr="007E37EC" w:rsidRDefault="00B46AAA" w:rsidP="00A40833">
            <w:pPr>
              <w:pStyle w:val="BodyText"/>
              <w:spacing w:line="360" w:lineRule="auto"/>
              <w:jc w:val="center"/>
              <w:rPr>
                <w:rFonts w:ascii="Arial" w:hAnsi="Arial" w:cs="Arial"/>
                <w:b/>
                <w:bCs/>
                <w:color w:val="000000" w:themeColor="text1"/>
              </w:rPr>
            </w:pPr>
            <w:r w:rsidRPr="007E37EC">
              <w:rPr>
                <w:rFonts w:ascii="Arial" w:hAnsi="Arial" w:cs="Arial"/>
                <w:b/>
                <w:bCs/>
              </w:rPr>
              <w:t>47.70</w:t>
            </w:r>
          </w:p>
        </w:tc>
        <w:tc>
          <w:tcPr>
            <w:tcW w:w="1678" w:type="dxa"/>
            <w:vAlign w:val="center"/>
          </w:tcPr>
          <w:p w14:paraId="76FE2FEC" w14:textId="77777777" w:rsidR="00B46AAA" w:rsidRPr="007E37EC" w:rsidRDefault="00B46AAA" w:rsidP="00A40833">
            <w:pPr>
              <w:pStyle w:val="BodyText"/>
              <w:spacing w:line="360" w:lineRule="auto"/>
              <w:jc w:val="center"/>
              <w:rPr>
                <w:rFonts w:ascii="Arial" w:hAnsi="Arial" w:cs="Arial"/>
                <w:b/>
                <w:bCs/>
                <w:color w:val="000000" w:themeColor="text1"/>
              </w:rPr>
            </w:pPr>
            <w:r w:rsidRPr="007E37EC">
              <w:rPr>
                <w:rFonts w:ascii="Arial" w:hAnsi="Arial" w:cs="Arial"/>
                <w:b/>
                <w:bCs/>
              </w:rPr>
              <w:t>41.08</w:t>
            </w:r>
          </w:p>
        </w:tc>
        <w:tc>
          <w:tcPr>
            <w:tcW w:w="1678" w:type="dxa"/>
            <w:vAlign w:val="center"/>
          </w:tcPr>
          <w:p w14:paraId="1081610E" w14:textId="0744B802" w:rsidR="00B46AAA" w:rsidRPr="007E37EC" w:rsidRDefault="00B46AAA" w:rsidP="00A40833">
            <w:pPr>
              <w:pStyle w:val="BodyText"/>
              <w:spacing w:line="360" w:lineRule="auto"/>
              <w:jc w:val="center"/>
              <w:rPr>
                <w:rFonts w:ascii="Arial" w:hAnsi="Arial" w:cs="Arial"/>
                <w:b/>
                <w:bCs/>
                <w:color w:val="000000" w:themeColor="text1"/>
              </w:rPr>
            </w:pPr>
            <w:r w:rsidRPr="007E37EC">
              <w:rPr>
                <w:rFonts w:ascii="Arial" w:hAnsi="Arial" w:cs="Arial"/>
                <w:b/>
                <w:bCs/>
              </w:rPr>
              <w:t>3</w:t>
            </w:r>
            <w:r w:rsidR="007150C9" w:rsidRPr="007E37EC">
              <w:rPr>
                <w:rFonts w:ascii="Arial" w:hAnsi="Arial" w:cs="Arial"/>
                <w:b/>
                <w:bCs/>
              </w:rPr>
              <w:t>7</w:t>
            </w:r>
            <w:r w:rsidRPr="007E37EC">
              <w:rPr>
                <w:rFonts w:ascii="Arial" w:hAnsi="Arial" w:cs="Arial"/>
                <w:b/>
                <w:bCs/>
              </w:rPr>
              <w:t>.04</w:t>
            </w:r>
          </w:p>
        </w:tc>
        <w:tc>
          <w:tcPr>
            <w:tcW w:w="1285" w:type="dxa"/>
            <w:vAlign w:val="center"/>
          </w:tcPr>
          <w:p w14:paraId="4E75145A" w14:textId="37BB6B29" w:rsidR="00B46AAA" w:rsidRPr="007E37EC" w:rsidRDefault="00B46AAA" w:rsidP="00A40833">
            <w:pPr>
              <w:pStyle w:val="BodyText"/>
              <w:spacing w:line="360" w:lineRule="auto"/>
              <w:jc w:val="center"/>
              <w:rPr>
                <w:rFonts w:ascii="Arial" w:hAnsi="Arial" w:cs="Arial"/>
                <w:b/>
                <w:bCs/>
                <w:color w:val="000000" w:themeColor="text1"/>
              </w:rPr>
            </w:pPr>
            <w:r w:rsidRPr="007E37EC">
              <w:rPr>
                <w:rFonts w:ascii="Arial" w:hAnsi="Arial" w:cs="Arial"/>
                <w:b/>
                <w:bCs/>
                <w:color w:val="000000" w:themeColor="text1"/>
              </w:rPr>
              <w:t>46.</w:t>
            </w:r>
            <w:r w:rsidR="00E92F10" w:rsidRPr="007E37EC">
              <w:rPr>
                <w:rFonts w:ascii="Arial" w:hAnsi="Arial" w:cs="Arial"/>
                <w:b/>
                <w:bCs/>
                <w:color w:val="000000" w:themeColor="text1"/>
              </w:rPr>
              <w:t>19</w:t>
            </w:r>
          </w:p>
        </w:tc>
      </w:tr>
    </w:tbl>
    <w:p w14:paraId="2A679BBD" w14:textId="0DBFF353" w:rsidR="00B46AAA" w:rsidRDefault="0049610B" w:rsidP="00A40833">
      <w:pPr>
        <w:spacing w:after="0" w:line="360" w:lineRule="auto"/>
        <w:jc w:val="both"/>
        <w:rPr>
          <w:rFonts w:ascii="Arial" w:hAnsi="Arial" w:cs="Arial"/>
          <w:bCs/>
          <w:color w:val="000000" w:themeColor="text1"/>
          <w:sz w:val="20"/>
          <w:szCs w:val="20"/>
        </w:rPr>
      </w:pPr>
      <w:r>
        <w:rPr>
          <w:rFonts w:ascii="Arial" w:eastAsia="Times New Roman" w:hAnsi="Arial" w:cs="Arial"/>
          <w:kern w:val="0"/>
          <w:sz w:val="20"/>
          <w:szCs w:val="20"/>
          <w:lang w:eastAsia="en-IN"/>
          <w14:ligatures w14:val="none"/>
        </w:rPr>
        <w:t xml:space="preserve">Source: Primary data collected through field survey (April 2024- March 2025) </w:t>
      </w:r>
      <w:r w:rsidR="00EA7B50" w:rsidRPr="007E37EC">
        <w:rPr>
          <w:rFonts w:ascii="Arial" w:hAnsi="Arial" w:cs="Arial"/>
          <w:sz w:val="20"/>
          <w:szCs w:val="20"/>
        </w:rPr>
        <w:t>(</w:t>
      </w:r>
      <w:r w:rsidR="00B46AAA" w:rsidRPr="007E37EC">
        <w:rPr>
          <w:rFonts w:ascii="Arial" w:hAnsi="Arial" w:cs="Arial"/>
          <w:bCs/>
          <w:color w:val="000000" w:themeColor="text1"/>
          <w:sz w:val="20"/>
          <w:szCs w:val="20"/>
        </w:rPr>
        <w:t xml:space="preserve">Figures within parentheses indicate percentage </w:t>
      </w:r>
      <w:r w:rsidR="00E90129">
        <w:rPr>
          <w:rFonts w:ascii="Arial" w:hAnsi="Arial" w:cs="Arial"/>
          <w:bCs/>
          <w:color w:val="000000" w:themeColor="text1"/>
          <w:sz w:val="20"/>
          <w:szCs w:val="20"/>
        </w:rPr>
        <w:t>of</w:t>
      </w:r>
      <w:r w:rsidR="00B46AAA" w:rsidRPr="007E37EC">
        <w:rPr>
          <w:rFonts w:ascii="Arial" w:hAnsi="Arial" w:cs="Arial"/>
          <w:bCs/>
          <w:color w:val="000000" w:themeColor="text1"/>
          <w:sz w:val="20"/>
          <w:szCs w:val="20"/>
        </w:rPr>
        <w:t xml:space="preserve"> the total of respective column)</w:t>
      </w:r>
    </w:p>
    <w:p w14:paraId="4BF5B179" w14:textId="77777777" w:rsidR="0049610B" w:rsidRPr="0049610B" w:rsidRDefault="0049610B" w:rsidP="00A40833">
      <w:pPr>
        <w:spacing w:after="0" w:line="360" w:lineRule="auto"/>
        <w:jc w:val="both"/>
        <w:rPr>
          <w:rFonts w:ascii="Arial" w:eastAsia="Times New Roman" w:hAnsi="Arial" w:cs="Arial"/>
          <w:kern w:val="0"/>
          <w:sz w:val="20"/>
          <w:szCs w:val="20"/>
          <w:lang w:eastAsia="en-IN"/>
          <w14:ligatures w14:val="none"/>
        </w:rPr>
      </w:pPr>
    </w:p>
    <w:p w14:paraId="46F52B3B" w14:textId="2760B4FA" w:rsidR="00D30881" w:rsidRPr="007E37EC" w:rsidRDefault="00D30881" w:rsidP="00A40833">
      <w:pPr>
        <w:spacing w:line="360" w:lineRule="auto"/>
        <w:jc w:val="both"/>
        <w:rPr>
          <w:rFonts w:ascii="Arial" w:hAnsi="Arial" w:cs="Arial"/>
          <w:sz w:val="20"/>
          <w:szCs w:val="20"/>
        </w:rPr>
      </w:pPr>
      <w:r w:rsidRPr="007E37EC">
        <w:rPr>
          <w:rFonts w:ascii="Arial" w:hAnsi="Arial" w:cs="Arial"/>
          <w:sz w:val="20"/>
          <w:szCs w:val="20"/>
        </w:rPr>
        <w:t>This comprehensive cost-benefit analysis table breaks down the per-kilogram economics of sweet curd (</w:t>
      </w:r>
      <w:proofErr w:type="spellStart"/>
      <w:r w:rsidRPr="007E37EC">
        <w:rPr>
          <w:rFonts w:ascii="Arial" w:hAnsi="Arial" w:cs="Arial"/>
          <w:sz w:val="20"/>
          <w:szCs w:val="20"/>
        </w:rPr>
        <w:t>Mishti</w:t>
      </w:r>
      <w:proofErr w:type="spellEnd"/>
      <w:r w:rsidRPr="007E37EC">
        <w:rPr>
          <w:rFonts w:ascii="Arial" w:hAnsi="Arial" w:cs="Arial"/>
          <w:sz w:val="20"/>
          <w:szCs w:val="20"/>
        </w:rPr>
        <w:t xml:space="preserve"> Doi) production across four</w:t>
      </w:r>
      <w:r w:rsidR="006E1574" w:rsidRPr="007E37EC">
        <w:rPr>
          <w:rFonts w:ascii="Arial" w:hAnsi="Arial" w:cs="Arial"/>
          <w:sz w:val="20"/>
          <w:szCs w:val="20"/>
        </w:rPr>
        <w:t xml:space="preserve"> production regions. The cost structure is dominated </w:t>
      </w:r>
      <w:r w:rsidR="008516FB" w:rsidRPr="007E37EC">
        <w:rPr>
          <w:rFonts w:ascii="Arial" w:hAnsi="Arial" w:cs="Arial"/>
          <w:sz w:val="20"/>
          <w:szCs w:val="20"/>
        </w:rPr>
        <w:t>by Variable</w:t>
      </w:r>
      <w:r w:rsidRPr="007E37EC">
        <w:rPr>
          <w:rFonts w:ascii="Arial" w:hAnsi="Arial" w:cs="Arial"/>
          <w:sz w:val="20"/>
          <w:szCs w:val="20"/>
        </w:rPr>
        <w:t xml:space="preserve"> costs</w:t>
      </w:r>
      <w:r w:rsidR="00E90129">
        <w:rPr>
          <w:rFonts w:ascii="Arial" w:hAnsi="Arial" w:cs="Arial"/>
          <w:sz w:val="20"/>
          <w:szCs w:val="20"/>
        </w:rPr>
        <w:t>,</w:t>
      </w:r>
      <w:r w:rsidRPr="007E37EC">
        <w:rPr>
          <w:rFonts w:ascii="Arial" w:hAnsi="Arial" w:cs="Arial"/>
          <w:sz w:val="20"/>
          <w:szCs w:val="20"/>
        </w:rPr>
        <w:t xml:space="preserve"> making up an average of 98.57% of total production expenses, while fixed costs are a mere 1.42%. The primary cost driver is fluid milk, which accounts for 59-62% of total costs in these regions (ranging from Rs 44.06 to 51.36 per kg). Following closely is sugar, the second largest expense, costing </w:t>
      </w:r>
      <w:r w:rsidRPr="007E37EC">
        <w:rPr>
          <w:rFonts w:ascii="Arial" w:hAnsi="Arial" w:cs="Arial"/>
          <w:sz w:val="20"/>
          <w:szCs w:val="20"/>
        </w:rPr>
        <w:lastRenderedPageBreak/>
        <w:t xml:space="preserve">between Rs 14.44 and 17.66 per kg (17-21% of total costs). Other costs include </w:t>
      </w:r>
      <w:proofErr w:type="spellStart"/>
      <w:r w:rsidR="00531FD8">
        <w:rPr>
          <w:rFonts w:ascii="Arial" w:hAnsi="Arial" w:cs="Arial"/>
          <w:sz w:val="20"/>
          <w:szCs w:val="20"/>
        </w:rPr>
        <w:t>Labor</w:t>
      </w:r>
      <w:proofErr w:type="spellEnd"/>
      <w:r w:rsidRPr="007E37EC">
        <w:rPr>
          <w:rFonts w:ascii="Arial" w:hAnsi="Arial" w:cs="Arial"/>
          <w:sz w:val="20"/>
          <w:szCs w:val="20"/>
        </w:rPr>
        <w:t xml:space="preserve"> (Rs 6.27-9.61/kg),</w:t>
      </w:r>
      <w:r w:rsidR="002B0BFE">
        <w:rPr>
          <w:rFonts w:ascii="Arial" w:hAnsi="Arial" w:cs="Arial"/>
          <w:sz w:val="20"/>
          <w:szCs w:val="20"/>
        </w:rPr>
        <w:t xml:space="preserve"> earthen</w:t>
      </w:r>
      <w:r w:rsidRPr="007E37EC">
        <w:rPr>
          <w:rFonts w:ascii="Arial" w:hAnsi="Arial" w:cs="Arial"/>
          <w:sz w:val="20"/>
          <w:szCs w:val="20"/>
        </w:rPr>
        <w:t xml:space="preserve"> containers (Rs 6.24-7.05/kg), and fuel (Rs 1.86-2.22/kg). Notably, the </w:t>
      </w:r>
      <w:proofErr w:type="spellStart"/>
      <w:r w:rsidRPr="007E37EC">
        <w:rPr>
          <w:rFonts w:ascii="Arial" w:hAnsi="Arial" w:cs="Arial"/>
          <w:sz w:val="20"/>
          <w:szCs w:val="20"/>
        </w:rPr>
        <w:t>Alipurduar</w:t>
      </w:r>
      <w:proofErr w:type="spellEnd"/>
      <w:r w:rsidRPr="007E37EC">
        <w:rPr>
          <w:rFonts w:ascii="Arial" w:hAnsi="Arial" w:cs="Arial"/>
          <w:sz w:val="20"/>
          <w:szCs w:val="20"/>
        </w:rPr>
        <w:t xml:space="preserve"> region has higher production costs (Rs 84.66-86.35/kg) compared to </w:t>
      </w:r>
      <w:proofErr w:type="spellStart"/>
      <w:r w:rsidRPr="007E37EC">
        <w:rPr>
          <w:rFonts w:ascii="Arial" w:hAnsi="Arial" w:cs="Arial"/>
          <w:sz w:val="20"/>
          <w:szCs w:val="20"/>
        </w:rPr>
        <w:t>Coochbehar</w:t>
      </w:r>
      <w:proofErr w:type="spellEnd"/>
      <w:r w:rsidR="007E663C">
        <w:rPr>
          <w:rFonts w:ascii="Arial" w:hAnsi="Arial" w:cs="Arial"/>
          <w:sz w:val="20"/>
          <w:szCs w:val="20"/>
        </w:rPr>
        <w:t>-</w:t>
      </w:r>
      <w:r w:rsidRPr="007E37EC">
        <w:rPr>
          <w:rFonts w:ascii="Arial" w:hAnsi="Arial" w:cs="Arial"/>
          <w:sz w:val="20"/>
          <w:szCs w:val="20"/>
        </w:rPr>
        <w:t xml:space="preserve">II and </w:t>
      </w:r>
      <w:proofErr w:type="spellStart"/>
      <w:r w:rsidRPr="007E37EC">
        <w:rPr>
          <w:rFonts w:ascii="Arial" w:hAnsi="Arial" w:cs="Arial"/>
          <w:sz w:val="20"/>
          <w:szCs w:val="20"/>
        </w:rPr>
        <w:t>Tufanganj</w:t>
      </w:r>
      <w:proofErr w:type="spellEnd"/>
      <w:r w:rsidR="008F54EB">
        <w:rPr>
          <w:rFonts w:ascii="Arial" w:hAnsi="Arial" w:cs="Arial"/>
          <w:sz w:val="20"/>
          <w:szCs w:val="20"/>
        </w:rPr>
        <w:t>-</w:t>
      </w:r>
      <w:r w:rsidRPr="007E37EC">
        <w:rPr>
          <w:rFonts w:ascii="Arial" w:hAnsi="Arial" w:cs="Arial"/>
          <w:sz w:val="20"/>
          <w:szCs w:val="20"/>
        </w:rPr>
        <w:t xml:space="preserve">I (Rs 71.84-76.30/kg), due to higher milk procurement prices. </w:t>
      </w:r>
      <w:proofErr w:type="spellStart"/>
      <w:r w:rsidR="00531FD8">
        <w:rPr>
          <w:rFonts w:ascii="Arial" w:hAnsi="Arial" w:cs="Arial"/>
          <w:sz w:val="20"/>
          <w:szCs w:val="20"/>
        </w:rPr>
        <w:t>Labor</w:t>
      </w:r>
      <w:proofErr w:type="spellEnd"/>
      <w:r w:rsidRPr="007E37EC">
        <w:rPr>
          <w:rFonts w:ascii="Arial" w:hAnsi="Arial" w:cs="Arial"/>
          <w:sz w:val="20"/>
          <w:szCs w:val="20"/>
        </w:rPr>
        <w:t xml:space="preserve"> costs vary significantly, from Rs 6.27/kg in </w:t>
      </w:r>
      <w:proofErr w:type="spellStart"/>
      <w:r w:rsidRPr="007E37EC">
        <w:rPr>
          <w:rFonts w:ascii="Arial" w:hAnsi="Arial" w:cs="Arial"/>
          <w:sz w:val="20"/>
          <w:szCs w:val="20"/>
        </w:rPr>
        <w:t>Coochbehar</w:t>
      </w:r>
      <w:proofErr w:type="spellEnd"/>
      <w:r w:rsidR="007E663C">
        <w:rPr>
          <w:rFonts w:ascii="Arial" w:hAnsi="Arial" w:cs="Arial"/>
          <w:sz w:val="20"/>
          <w:szCs w:val="20"/>
        </w:rPr>
        <w:t>-</w:t>
      </w:r>
      <w:r w:rsidRPr="007E37EC">
        <w:rPr>
          <w:rFonts w:ascii="Arial" w:hAnsi="Arial" w:cs="Arial"/>
          <w:sz w:val="20"/>
          <w:szCs w:val="20"/>
        </w:rPr>
        <w:t xml:space="preserve">II to Rs 9.61/kg in </w:t>
      </w:r>
      <w:proofErr w:type="spellStart"/>
      <w:r w:rsidRPr="007E37EC">
        <w:rPr>
          <w:rFonts w:ascii="Arial" w:hAnsi="Arial" w:cs="Arial"/>
          <w:sz w:val="20"/>
          <w:szCs w:val="20"/>
        </w:rPr>
        <w:t>Alipurduar</w:t>
      </w:r>
      <w:proofErr w:type="spellEnd"/>
      <w:r w:rsidR="008F54EB">
        <w:rPr>
          <w:rFonts w:ascii="Arial" w:hAnsi="Arial" w:cs="Arial"/>
          <w:sz w:val="20"/>
          <w:szCs w:val="20"/>
        </w:rPr>
        <w:t>-</w:t>
      </w:r>
      <w:r w:rsidRPr="007E37EC">
        <w:rPr>
          <w:rFonts w:ascii="Arial" w:hAnsi="Arial" w:cs="Arial"/>
          <w:sz w:val="20"/>
          <w:szCs w:val="20"/>
        </w:rPr>
        <w:t xml:space="preserve">I, reflecting differences in regional wages and operational efficiency. While selling prices remain fairly stable (Rs 121.70-127.43/kg), profit margins differ widely. </w:t>
      </w:r>
      <w:proofErr w:type="spellStart"/>
      <w:r w:rsidRPr="007E37EC">
        <w:rPr>
          <w:rFonts w:ascii="Arial" w:hAnsi="Arial" w:cs="Arial"/>
          <w:sz w:val="20"/>
          <w:szCs w:val="20"/>
        </w:rPr>
        <w:t>Coochbehar</w:t>
      </w:r>
      <w:proofErr w:type="spellEnd"/>
      <w:r w:rsidR="007E663C">
        <w:rPr>
          <w:rFonts w:ascii="Arial" w:hAnsi="Arial" w:cs="Arial"/>
          <w:sz w:val="20"/>
          <w:szCs w:val="20"/>
        </w:rPr>
        <w:t>-</w:t>
      </w:r>
      <w:r w:rsidRPr="007E37EC">
        <w:rPr>
          <w:rFonts w:ascii="Arial" w:hAnsi="Arial" w:cs="Arial"/>
          <w:sz w:val="20"/>
          <w:szCs w:val="20"/>
        </w:rPr>
        <w:t xml:space="preserve">II boasts the highest net profit at Rs 51.68/kg (a 71.9% margin), while </w:t>
      </w:r>
      <w:proofErr w:type="spellStart"/>
      <w:r w:rsidRPr="007E37EC">
        <w:rPr>
          <w:rFonts w:ascii="Arial" w:hAnsi="Arial" w:cs="Arial"/>
          <w:sz w:val="20"/>
          <w:szCs w:val="20"/>
        </w:rPr>
        <w:t>Alipurduar</w:t>
      </w:r>
      <w:proofErr w:type="spellEnd"/>
      <w:r w:rsidR="008F635D">
        <w:rPr>
          <w:rFonts w:ascii="Arial" w:hAnsi="Arial" w:cs="Arial"/>
          <w:sz w:val="20"/>
          <w:szCs w:val="20"/>
        </w:rPr>
        <w:t>-</w:t>
      </w:r>
      <w:r w:rsidRPr="007E37EC">
        <w:rPr>
          <w:rFonts w:ascii="Arial" w:hAnsi="Arial" w:cs="Arial"/>
          <w:sz w:val="20"/>
          <w:szCs w:val="20"/>
        </w:rPr>
        <w:t>II has the lowest at Rs 37.04/kg (43.8% margin). On average, net profit across all regions stands at Rs 46.19/kg, indicating strong profitability despite limited opportunities for cutting costs in fuel, containers, and depreciation.</w:t>
      </w:r>
    </w:p>
    <w:p w14:paraId="38E7EEED" w14:textId="1B3DDD09" w:rsidR="00494C8C" w:rsidRPr="007E37EC" w:rsidRDefault="00494C8C" w:rsidP="00A40833">
      <w:pPr>
        <w:spacing w:line="360" w:lineRule="auto"/>
        <w:jc w:val="both"/>
        <w:rPr>
          <w:rFonts w:ascii="Arial" w:hAnsi="Arial" w:cs="Arial"/>
          <w:b/>
          <w:bCs/>
          <w:color w:val="000000" w:themeColor="text1"/>
        </w:rPr>
      </w:pPr>
      <w:r w:rsidRPr="007E37EC">
        <w:rPr>
          <w:rFonts w:ascii="Arial" w:hAnsi="Arial" w:cs="Arial"/>
          <w:b/>
          <w:bCs/>
          <w:color w:val="000000" w:themeColor="text1"/>
        </w:rPr>
        <w:t xml:space="preserve">3.7 Comprehensive economic viability: </w:t>
      </w:r>
      <w:r w:rsidR="00B40B29">
        <w:rPr>
          <w:rFonts w:ascii="Arial" w:hAnsi="Arial" w:cs="Arial"/>
          <w:b/>
          <w:bCs/>
          <w:color w:val="000000" w:themeColor="text1"/>
        </w:rPr>
        <w:t>Benefit-Cost</w:t>
      </w:r>
      <w:r w:rsidRPr="007E37EC">
        <w:rPr>
          <w:rFonts w:ascii="Arial" w:hAnsi="Arial" w:cs="Arial"/>
          <w:b/>
          <w:bCs/>
          <w:color w:val="000000" w:themeColor="text1"/>
        </w:rPr>
        <w:t xml:space="preserve"> Analysis</w:t>
      </w:r>
    </w:p>
    <w:p w14:paraId="34C5BE22" w14:textId="77777777" w:rsidR="00494C8C" w:rsidRPr="005D25FA" w:rsidRDefault="00494C8C" w:rsidP="00A40833">
      <w:pPr>
        <w:spacing w:line="360" w:lineRule="auto"/>
        <w:ind w:right="866"/>
        <w:jc w:val="both"/>
        <w:rPr>
          <w:rFonts w:ascii="Arial" w:hAnsi="Arial" w:cs="Arial"/>
          <w:b/>
          <w:bCs/>
          <w:color w:val="000000" w:themeColor="text1"/>
          <w:spacing w:val="-2"/>
          <w:sz w:val="20"/>
          <w:szCs w:val="20"/>
        </w:rPr>
      </w:pPr>
      <w:r w:rsidRPr="005D25FA">
        <w:rPr>
          <w:rFonts w:ascii="Arial" w:hAnsi="Arial" w:cs="Arial"/>
          <w:b/>
          <w:bCs/>
          <w:color w:val="000000" w:themeColor="text1"/>
          <w:sz w:val="20"/>
          <w:szCs w:val="20"/>
        </w:rPr>
        <w:t xml:space="preserve">Table 7: </w:t>
      </w:r>
      <w:r w:rsidRPr="005D25FA">
        <w:rPr>
          <w:rFonts w:ascii="Arial" w:hAnsi="Arial" w:cs="Arial"/>
          <w:color w:val="000000" w:themeColor="text1"/>
          <w:sz w:val="20"/>
          <w:szCs w:val="20"/>
        </w:rPr>
        <w:t xml:space="preserve">Comprehensive Benefit- Cost Analysis and Profitability </w:t>
      </w:r>
      <w:r w:rsidRPr="005D25FA">
        <w:rPr>
          <w:rFonts w:ascii="Arial" w:hAnsi="Arial" w:cs="Arial"/>
          <w:color w:val="000000" w:themeColor="text1"/>
          <w:spacing w:val="-2"/>
          <w:sz w:val="20"/>
          <w:szCs w:val="20"/>
        </w:rPr>
        <w:t>Metrics</w:t>
      </w:r>
      <w:r w:rsidRPr="005D25FA">
        <w:rPr>
          <w:rFonts w:ascii="Arial" w:hAnsi="Arial" w:cs="Arial"/>
          <w:b/>
          <w:bCs/>
          <w:color w:val="000000" w:themeColor="text1"/>
          <w:spacing w:val="-2"/>
          <w:sz w:val="20"/>
          <w:szCs w:val="20"/>
        </w:rPr>
        <w:t xml:space="preserve"> </w:t>
      </w:r>
    </w:p>
    <w:tbl>
      <w:tblPr>
        <w:tblStyle w:val="TableGrid"/>
        <w:tblW w:w="10728" w:type="dxa"/>
        <w:tblInd w:w="-592" w:type="dxa"/>
        <w:tblLayout w:type="fixed"/>
        <w:tblLook w:val="04A0" w:firstRow="1" w:lastRow="0" w:firstColumn="1" w:lastColumn="0" w:noHBand="0" w:noVBand="1"/>
      </w:tblPr>
      <w:tblGrid>
        <w:gridCol w:w="1136"/>
        <w:gridCol w:w="1000"/>
        <w:gridCol w:w="1003"/>
        <w:gridCol w:w="1140"/>
        <w:gridCol w:w="1128"/>
        <w:gridCol w:w="872"/>
        <w:gridCol w:w="1143"/>
        <w:gridCol w:w="859"/>
        <w:gridCol w:w="811"/>
        <w:gridCol w:w="898"/>
        <w:gridCol w:w="738"/>
      </w:tblGrid>
      <w:tr w:rsidR="00494C8C" w:rsidRPr="007E37EC" w14:paraId="7F40ECF3" w14:textId="77777777" w:rsidTr="00251DEB">
        <w:trPr>
          <w:trHeight w:val="1844"/>
        </w:trPr>
        <w:tc>
          <w:tcPr>
            <w:tcW w:w="1136" w:type="dxa"/>
            <w:vMerge w:val="restart"/>
            <w:vAlign w:val="center"/>
            <w:hideMark/>
          </w:tcPr>
          <w:p w14:paraId="34A2892E" w14:textId="6DEA48B8" w:rsidR="00494C8C" w:rsidRPr="007E37EC" w:rsidRDefault="006E1574" w:rsidP="00A40833">
            <w:pPr>
              <w:spacing w:line="360" w:lineRule="auto"/>
              <w:jc w:val="both"/>
              <w:rPr>
                <w:rFonts w:ascii="Arial" w:hAnsi="Arial" w:cs="Arial"/>
                <w:b/>
                <w:bCs/>
                <w:color w:val="000000"/>
                <w:sz w:val="20"/>
                <w:szCs w:val="20"/>
              </w:rPr>
            </w:pPr>
            <w:r w:rsidRPr="007E37EC">
              <w:rPr>
                <w:rFonts w:ascii="Arial" w:hAnsi="Arial" w:cs="Arial"/>
                <w:b/>
                <w:bCs/>
                <w:color w:val="000000"/>
                <w:sz w:val="20"/>
                <w:szCs w:val="20"/>
                <w:lang w:val="en-US"/>
              </w:rPr>
              <w:t>Blocks</w:t>
            </w:r>
          </w:p>
        </w:tc>
        <w:tc>
          <w:tcPr>
            <w:tcW w:w="1000" w:type="dxa"/>
            <w:vMerge w:val="restart"/>
            <w:vAlign w:val="center"/>
            <w:hideMark/>
          </w:tcPr>
          <w:p w14:paraId="5A7581C0" w14:textId="50ACF4EE" w:rsidR="00494C8C" w:rsidRPr="007E37EC" w:rsidRDefault="006E1574" w:rsidP="00A40833">
            <w:pPr>
              <w:spacing w:line="360" w:lineRule="auto"/>
              <w:jc w:val="both"/>
              <w:rPr>
                <w:rFonts w:ascii="Arial" w:hAnsi="Arial" w:cs="Arial"/>
                <w:b/>
                <w:bCs/>
                <w:color w:val="000000"/>
                <w:sz w:val="20"/>
                <w:szCs w:val="20"/>
              </w:rPr>
            </w:pPr>
            <w:r w:rsidRPr="007E37EC">
              <w:rPr>
                <w:rFonts w:ascii="Arial" w:hAnsi="Arial" w:cs="Arial"/>
                <w:b/>
                <w:bCs/>
                <w:color w:val="000000"/>
                <w:sz w:val="20"/>
                <w:szCs w:val="20"/>
                <w:lang w:val="en-US"/>
              </w:rPr>
              <w:t>Total Variable c</w:t>
            </w:r>
            <w:r w:rsidR="00494C8C" w:rsidRPr="007E37EC">
              <w:rPr>
                <w:rFonts w:ascii="Arial" w:hAnsi="Arial" w:cs="Arial"/>
                <w:b/>
                <w:bCs/>
                <w:color w:val="000000"/>
                <w:sz w:val="20"/>
                <w:szCs w:val="20"/>
                <w:lang w:val="en-US"/>
              </w:rPr>
              <w:t>osts</w:t>
            </w:r>
            <w:r w:rsidRPr="007E37EC">
              <w:rPr>
                <w:rFonts w:ascii="Arial" w:hAnsi="Arial" w:cs="Arial"/>
                <w:b/>
                <w:bCs/>
                <w:color w:val="000000"/>
                <w:sz w:val="20"/>
                <w:szCs w:val="20"/>
                <w:lang w:val="en-US"/>
              </w:rPr>
              <w:t xml:space="preserve"> (TVC)</w:t>
            </w:r>
            <w:r w:rsidR="00494C8C" w:rsidRPr="007E37EC">
              <w:rPr>
                <w:rFonts w:ascii="Arial" w:hAnsi="Arial" w:cs="Arial"/>
                <w:b/>
                <w:bCs/>
                <w:color w:val="000000"/>
                <w:sz w:val="20"/>
                <w:szCs w:val="20"/>
                <w:lang w:val="en-US"/>
              </w:rPr>
              <w:t xml:space="preserve"> (Rs)</w:t>
            </w:r>
          </w:p>
        </w:tc>
        <w:tc>
          <w:tcPr>
            <w:tcW w:w="1003" w:type="dxa"/>
            <w:vMerge w:val="restart"/>
            <w:vAlign w:val="center"/>
            <w:hideMark/>
          </w:tcPr>
          <w:p w14:paraId="68FF8CFF" w14:textId="6ECAFD73" w:rsidR="00494C8C" w:rsidRPr="007E37EC" w:rsidRDefault="006E1574" w:rsidP="00A40833">
            <w:pPr>
              <w:spacing w:line="360" w:lineRule="auto"/>
              <w:jc w:val="both"/>
              <w:rPr>
                <w:rFonts w:ascii="Arial" w:hAnsi="Arial" w:cs="Arial"/>
                <w:b/>
                <w:bCs/>
                <w:color w:val="000000"/>
                <w:sz w:val="20"/>
                <w:szCs w:val="20"/>
              </w:rPr>
            </w:pPr>
            <w:r w:rsidRPr="007E37EC">
              <w:rPr>
                <w:rFonts w:ascii="Arial" w:hAnsi="Arial" w:cs="Arial"/>
                <w:b/>
                <w:bCs/>
                <w:color w:val="000000"/>
                <w:sz w:val="20"/>
                <w:szCs w:val="20"/>
                <w:lang w:val="en-US"/>
              </w:rPr>
              <w:t>Total Fixed c</w:t>
            </w:r>
            <w:r w:rsidR="00494C8C" w:rsidRPr="007E37EC">
              <w:rPr>
                <w:rFonts w:ascii="Arial" w:hAnsi="Arial" w:cs="Arial"/>
                <w:b/>
                <w:bCs/>
                <w:color w:val="000000"/>
                <w:sz w:val="20"/>
                <w:szCs w:val="20"/>
                <w:lang w:val="en-US"/>
              </w:rPr>
              <w:t>osts</w:t>
            </w:r>
            <w:r w:rsidRPr="007E37EC">
              <w:rPr>
                <w:rFonts w:ascii="Arial" w:hAnsi="Arial" w:cs="Arial"/>
                <w:b/>
                <w:bCs/>
                <w:color w:val="000000"/>
                <w:sz w:val="20"/>
                <w:szCs w:val="20"/>
                <w:lang w:val="en-US"/>
              </w:rPr>
              <w:t xml:space="preserve"> </w:t>
            </w:r>
            <w:r w:rsidR="00494C8C" w:rsidRPr="007E37EC">
              <w:rPr>
                <w:rFonts w:ascii="Arial" w:hAnsi="Arial" w:cs="Arial"/>
                <w:b/>
                <w:bCs/>
                <w:color w:val="000000"/>
                <w:sz w:val="20"/>
                <w:szCs w:val="20"/>
                <w:lang w:val="en-US"/>
              </w:rPr>
              <w:t>(Rs)</w:t>
            </w:r>
          </w:p>
        </w:tc>
        <w:tc>
          <w:tcPr>
            <w:tcW w:w="1140" w:type="dxa"/>
            <w:vMerge w:val="restart"/>
            <w:vAlign w:val="center"/>
            <w:hideMark/>
          </w:tcPr>
          <w:p w14:paraId="17F2978F" w14:textId="77777777" w:rsidR="006E1574" w:rsidRPr="007E37EC" w:rsidRDefault="006E1574" w:rsidP="00A40833">
            <w:pPr>
              <w:spacing w:line="360" w:lineRule="auto"/>
              <w:jc w:val="both"/>
              <w:rPr>
                <w:rFonts w:ascii="Arial" w:hAnsi="Arial" w:cs="Arial"/>
                <w:b/>
                <w:bCs/>
                <w:color w:val="000000"/>
                <w:sz w:val="20"/>
                <w:szCs w:val="20"/>
                <w:lang w:val="en-US"/>
              </w:rPr>
            </w:pPr>
          </w:p>
          <w:p w14:paraId="2ED10235" w14:textId="46D4DA64" w:rsidR="00494C8C" w:rsidRPr="007E37EC" w:rsidRDefault="006E1574" w:rsidP="00A40833">
            <w:pPr>
              <w:spacing w:line="360" w:lineRule="auto"/>
              <w:jc w:val="both"/>
              <w:rPr>
                <w:rFonts w:ascii="Arial" w:hAnsi="Arial" w:cs="Arial"/>
                <w:b/>
                <w:bCs/>
                <w:color w:val="000000"/>
                <w:sz w:val="20"/>
                <w:szCs w:val="20"/>
              </w:rPr>
            </w:pPr>
            <w:r w:rsidRPr="007E37EC">
              <w:rPr>
                <w:rFonts w:ascii="Arial" w:hAnsi="Arial" w:cs="Arial"/>
                <w:b/>
                <w:bCs/>
                <w:color w:val="000000"/>
                <w:sz w:val="20"/>
                <w:szCs w:val="20"/>
                <w:lang w:val="en-US"/>
              </w:rPr>
              <w:t>Total c</w:t>
            </w:r>
            <w:r w:rsidR="00494C8C" w:rsidRPr="007E37EC">
              <w:rPr>
                <w:rFonts w:ascii="Arial" w:hAnsi="Arial" w:cs="Arial"/>
                <w:b/>
                <w:bCs/>
                <w:color w:val="000000"/>
                <w:sz w:val="20"/>
                <w:szCs w:val="20"/>
                <w:lang w:val="en-US"/>
              </w:rPr>
              <w:t xml:space="preserve">osts </w:t>
            </w:r>
            <w:r w:rsidRPr="007E37EC">
              <w:rPr>
                <w:rFonts w:ascii="Arial" w:hAnsi="Arial" w:cs="Arial"/>
                <w:b/>
                <w:bCs/>
                <w:color w:val="000000"/>
                <w:sz w:val="20"/>
                <w:szCs w:val="20"/>
                <w:lang w:val="en-US"/>
              </w:rPr>
              <w:t xml:space="preserve">(TC) </w:t>
            </w:r>
            <w:r w:rsidR="00494C8C" w:rsidRPr="007E37EC">
              <w:rPr>
                <w:rFonts w:ascii="Arial" w:hAnsi="Arial" w:cs="Arial"/>
                <w:b/>
                <w:bCs/>
                <w:color w:val="000000"/>
                <w:sz w:val="20"/>
                <w:szCs w:val="20"/>
                <w:lang w:val="en-US"/>
              </w:rPr>
              <w:t>(Rs)</w:t>
            </w:r>
          </w:p>
        </w:tc>
        <w:tc>
          <w:tcPr>
            <w:tcW w:w="1128" w:type="dxa"/>
            <w:vMerge w:val="restart"/>
            <w:vAlign w:val="center"/>
            <w:hideMark/>
          </w:tcPr>
          <w:p w14:paraId="234E707D" w14:textId="77777777" w:rsidR="00494C8C" w:rsidRPr="007E37EC" w:rsidRDefault="00494C8C" w:rsidP="00A40833">
            <w:pPr>
              <w:spacing w:line="360" w:lineRule="auto"/>
              <w:jc w:val="both"/>
              <w:rPr>
                <w:rFonts w:ascii="Arial" w:hAnsi="Arial" w:cs="Arial"/>
                <w:b/>
                <w:bCs/>
                <w:color w:val="000000"/>
                <w:sz w:val="20"/>
                <w:szCs w:val="20"/>
              </w:rPr>
            </w:pPr>
            <w:r w:rsidRPr="007E37EC">
              <w:rPr>
                <w:rFonts w:ascii="Arial" w:hAnsi="Arial" w:cs="Arial"/>
                <w:b/>
                <w:bCs/>
                <w:color w:val="000000"/>
                <w:sz w:val="20"/>
                <w:szCs w:val="20"/>
                <w:lang w:val="en-US"/>
              </w:rPr>
              <w:t>Total Revenue (Rs)</w:t>
            </w:r>
          </w:p>
        </w:tc>
        <w:tc>
          <w:tcPr>
            <w:tcW w:w="872" w:type="dxa"/>
            <w:vMerge w:val="restart"/>
            <w:vAlign w:val="center"/>
            <w:hideMark/>
          </w:tcPr>
          <w:p w14:paraId="133E3EF5" w14:textId="77777777" w:rsidR="00494C8C" w:rsidRPr="007E37EC" w:rsidRDefault="00494C8C" w:rsidP="00A40833">
            <w:pPr>
              <w:spacing w:line="360" w:lineRule="auto"/>
              <w:jc w:val="both"/>
              <w:rPr>
                <w:rFonts w:ascii="Arial" w:hAnsi="Arial" w:cs="Arial"/>
                <w:b/>
                <w:bCs/>
                <w:color w:val="000000"/>
                <w:sz w:val="20"/>
                <w:szCs w:val="20"/>
              </w:rPr>
            </w:pPr>
            <w:r w:rsidRPr="007E37EC">
              <w:rPr>
                <w:rFonts w:ascii="Arial" w:hAnsi="Arial" w:cs="Arial"/>
                <w:b/>
                <w:bCs/>
                <w:color w:val="000000"/>
                <w:sz w:val="20"/>
                <w:szCs w:val="20"/>
                <w:lang w:val="en-US"/>
              </w:rPr>
              <w:t>Profit over TVC (Rs)</w:t>
            </w:r>
          </w:p>
        </w:tc>
        <w:tc>
          <w:tcPr>
            <w:tcW w:w="1143" w:type="dxa"/>
            <w:vMerge w:val="restart"/>
            <w:vAlign w:val="center"/>
            <w:hideMark/>
          </w:tcPr>
          <w:p w14:paraId="560204C9" w14:textId="77777777" w:rsidR="00494C8C" w:rsidRPr="007E37EC" w:rsidRDefault="00494C8C" w:rsidP="00A40833">
            <w:pPr>
              <w:spacing w:line="360" w:lineRule="auto"/>
              <w:jc w:val="both"/>
              <w:rPr>
                <w:rFonts w:ascii="Arial" w:hAnsi="Arial" w:cs="Arial"/>
                <w:b/>
                <w:bCs/>
                <w:color w:val="000000"/>
                <w:sz w:val="20"/>
                <w:szCs w:val="20"/>
              </w:rPr>
            </w:pPr>
            <w:r w:rsidRPr="007E37EC">
              <w:rPr>
                <w:rFonts w:ascii="Arial" w:hAnsi="Arial" w:cs="Arial"/>
                <w:b/>
                <w:bCs/>
                <w:color w:val="000000"/>
                <w:sz w:val="20"/>
                <w:szCs w:val="20"/>
                <w:lang w:val="en-US"/>
              </w:rPr>
              <w:t xml:space="preserve"> Profit over TC (Rs)</w:t>
            </w:r>
          </w:p>
        </w:tc>
        <w:tc>
          <w:tcPr>
            <w:tcW w:w="1670" w:type="dxa"/>
            <w:gridSpan w:val="2"/>
            <w:vAlign w:val="center"/>
            <w:hideMark/>
          </w:tcPr>
          <w:p w14:paraId="267E6D4F" w14:textId="77777777" w:rsidR="00494C8C" w:rsidRPr="007E37EC" w:rsidRDefault="00494C8C" w:rsidP="00A40833">
            <w:pPr>
              <w:spacing w:line="360" w:lineRule="auto"/>
              <w:jc w:val="both"/>
              <w:rPr>
                <w:rFonts w:ascii="Arial" w:hAnsi="Arial" w:cs="Arial"/>
                <w:b/>
                <w:bCs/>
                <w:color w:val="000000"/>
                <w:sz w:val="20"/>
                <w:szCs w:val="20"/>
              </w:rPr>
            </w:pPr>
            <w:r w:rsidRPr="007E37EC">
              <w:rPr>
                <w:rFonts w:ascii="Arial" w:hAnsi="Arial" w:cs="Arial"/>
                <w:b/>
                <w:bCs/>
                <w:color w:val="000000"/>
                <w:sz w:val="20"/>
                <w:szCs w:val="20"/>
                <w:lang w:val="en-US"/>
              </w:rPr>
              <w:t>Profit Margin (%)</w:t>
            </w:r>
          </w:p>
        </w:tc>
        <w:tc>
          <w:tcPr>
            <w:tcW w:w="1636" w:type="dxa"/>
            <w:gridSpan w:val="2"/>
            <w:vAlign w:val="center"/>
            <w:hideMark/>
          </w:tcPr>
          <w:p w14:paraId="5B3444D1" w14:textId="77777777" w:rsidR="00494C8C" w:rsidRPr="007E37EC" w:rsidRDefault="00494C8C" w:rsidP="00A40833">
            <w:pPr>
              <w:spacing w:line="360" w:lineRule="auto"/>
              <w:jc w:val="both"/>
              <w:rPr>
                <w:rFonts w:ascii="Arial" w:hAnsi="Arial" w:cs="Arial"/>
                <w:b/>
                <w:bCs/>
                <w:color w:val="000000"/>
                <w:sz w:val="20"/>
                <w:szCs w:val="20"/>
              </w:rPr>
            </w:pPr>
            <w:r w:rsidRPr="007E37EC">
              <w:rPr>
                <w:rFonts w:ascii="Arial" w:hAnsi="Arial" w:cs="Arial"/>
                <w:b/>
                <w:bCs/>
                <w:color w:val="000000"/>
                <w:sz w:val="20"/>
                <w:szCs w:val="20"/>
                <w:lang w:val="en-US"/>
              </w:rPr>
              <w:t>Benefit-cost Ratio</w:t>
            </w:r>
          </w:p>
        </w:tc>
      </w:tr>
      <w:tr w:rsidR="00494C8C" w:rsidRPr="007E37EC" w14:paraId="47183553" w14:textId="77777777" w:rsidTr="00251DEB">
        <w:trPr>
          <w:trHeight w:val="654"/>
        </w:trPr>
        <w:tc>
          <w:tcPr>
            <w:tcW w:w="1136" w:type="dxa"/>
            <w:vMerge/>
            <w:vAlign w:val="center"/>
          </w:tcPr>
          <w:p w14:paraId="78CF1D1C" w14:textId="77777777" w:rsidR="00494C8C" w:rsidRPr="007E37EC" w:rsidRDefault="00494C8C" w:rsidP="00A40833">
            <w:pPr>
              <w:spacing w:line="360" w:lineRule="auto"/>
              <w:jc w:val="both"/>
              <w:rPr>
                <w:rFonts w:ascii="Arial" w:hAnsi="Arial" w:cs="Arial"/>
                <w:b/>
                <w:bCs/>
                <w:color w:val="000000"/>
                <w:sz w:val="20"/>
                <w:szCs w:val="20"/>
                <w:lang w:val="en-US"/>
              </w:rPr>
            </w:pPr>
          </w:p>
        </w:tc>
        <w:tc>
          <w:tcPr>
            <w:tcW w:w="1000" w:type="dxa"/>
            <w:vMerge/>
            <w:vAlign w:val="center"/>
          </w:tcPr>
          <w:p w14:paraId="3C9CBEAC" w14:textId="77777777" w:rsidR="00494C8C" w:rsidRPr="007E37EC" w:rsidRDefault="00494C8C" w:rsidP="00A40833">
            <w:pPr>
              <w:spacing w:line="360" w:lineRule="auto"/>
              <w:jc w:val="both"/>
              <w:rPr>
                <w:rFonts w:ascii="Arial" w:hAnsi="Arial" w:cs="Arial"/>
                <w:b/>
                <w:bCs/>
                <w:color w:val="000000"/>
                <w:sz w:val="20"/>
                <w:szCs w:val="20"/>
                <w:lang w:val="en-US"/>
              </w:rPr>
            </w:pPr>
          </w:p>
        </w:tc>
        <w:tc>
          <w:tcPr>
            <w:tcW w:w="1003" w:type="dxa"/>
            <w:vMerge/>
            <w:vAlign w:val="center"/>
          </w:tcPr>
          <w:p w14:paraId="644B9DEE" w14:textId="77777777" w:rsidR="00494C8C" w:rsidRPr="007E37EC" w:rsidRDefault="00494C8C" w:rsidP="00A40833">
            <w:pPr>
              <w:spacing w:line="360" w:lineRule="auto"/>
              <w:jc w:val="both"/>
              <w:rPr>
                <w:rFonts w:ascii="Arial" w:hAnsi="Arial" w:cs="Arial"/>
                <w:b/>
                <w:bCs/>
                <w:color w:val="000000"/>
                <w:sz w:val="20"/>
                <w:szCs w:val="20"/>
                <w:lang w:val="en-US"/>
              </w:rPr>
            </w:pPr>
          </w:p>
        </w:tc>
        <w:tc>
          <w:tcPr>
            <w:tcW w:w="1140" w:type="dxa"/>
            <w:vMerge/>
            <w:vAlign w:val="center"/>
          </w:tcPr>
          <w:p w14:paraId="43F69E4F" w14:textId="77777777" w:rsidR="00494C8C" w:rsidRPr="007E37EC" w:rsidRDefault="00494C8C" w:rsidP="00A40833">
            <w:pPr>
              <w:spacing w:line="360" w:lineRule="auto"/>
              <w:jc w:val="both"/>
              <w:rPr>
                <w:rFonts w:ascii="Arial" w:hAnsi="Arial" w:cs="Arial"/>
                <w:b/>
                <w:bCs/>
                <w:color w:val="000000"/>
                <w:sz w:val="20"/>
                <w:szCs w:val="20"/>
                <w:lang w:val="en-US"/>
              </w:rPr>
            </w:pPr>
          </w:p>
        </w:tc>
        <w:tc>
          <w:tcPr>
            <w:tcW w:w="1128" w:type="dxa"/>
            <w:vMerge/>
            <w:vAlign w:val="center"/>
          </w:tcPr>
          <w:p w14:paraId="67241749" w14:textId="77777777" w:rsidR="00494C8C" w:rsidRPr="007E37EC" w:rsidRDefault="00494C8C" w:rsidP="00A40833">
            <w:pPr>
              <w:spacing w:line="360" w:lineRule="auto"/>
              <w:jc w:val="both"/>
              <w:rPr>
                <w:rFonts w:ascii="Arial" w:hAnsi="Arial" w:cs="Arial"/>
                <w:b/>
                <w:bCs/>
                <w:color w:val="000000"/>
                <w:sz w:val="20"/>
                <w:szCs w:val="20"/>
                <w:lang w:val="en-US"/>
              </w:rPr>
            </w:pPr>
          </w:p>
        </w:tc>
        <w:tc>
          <w:tcPr>
            <w:tcW w:w="872" w:type="dxa"/>
            <w:vMerge/>
            <w:vAlign w:val="center"/>
          </w:tcPr>
          <w:p w14:paraId="6E9E3C82" w14:textId="77777777" w:rsidR="00494C8C" w:rsidRPr="007E37EC" w:rsidRDefault="00494C8C" w:rsidP="00A40833">
            <w:pPr>
              <w:spacing w:line="360" w:lineRule="auto"/>
              <w:jc w:val="both"/>
              <w:rPr>
                <w:rFonts w:ascii="Arial" w:hAnsi="Arial" w:cs="Arial"/>
                <w:b/>
                <w:bCs/>
                <w:color w:val="000000"/>
                <w:sz w:val="20"/>
                <w:szCs w:val="20"/>
                <w:lang w:val="en-US"/>
              </w:rPr>
            </w:pPr>
          </w:p>
        </w:tc>
        <w:tc>
          <w:tcPr>
            <w:tcW w:w="1143" w:type="dxa"/>
            <w:vMerge/>
            <w:vAlign w:val="center"/>
          </w:tcPr>
          <w:p w14:paraId="47844422" w14:textId="77777777" w:rsidR="00494C8C" w:rsidRPr="007E37EC" w:rsidRDefault="00494C8C" w:rsidP="00A40833">
            <w:pPr>
              <w:spacing w:line="360" w:lineRule="auto"/>
              <w:jc w:val="both"/>
              <w:rPr>
                <w:rFonts w:ascii="Arial" w:hAnsi="Arial" w:cs="Arial"/>
                <w:b/>
                <w:bCs/>
                <w:color w:val="000000"/>
                <w:sz w:val="20"/>
                <w:szCs w:val="20"/>
                <w:lang w:val="en-US"/>
              </w:rPr>
            </w:pPr>
          </w:p>
        </w:tc>
        <w:tc>
          <w:tcPr>
            <w:tcW w:w="859" w:type="dxa"/>
            <w:vAlign w:val="center"/>
          </w:tcPr>
          <w:p w14:paraId="38369E66" w14:textId="77777777" w:rsidR="00494C8C" w:rsidRPr="007E37EC" w:rsidRDefault="00494C8C" w:rsidP="00A40833">
            <w:pPr>
              <w:spacing w:line="360" w:lineRule="auto"/>
              <w:jc w:val="both"/>
              <w:rPr>
                <w:rFonts w:ascii="Arial" w:hAnsi="Arial" w:cs="Arial"/>
                <w:b/>
                <w:bCs/>
                <w:color w:val="000000"/>
                <w:sz w:val="20"/>
                <w:szCs w:val="20"/>
                <w:lang w:val="en-US"/>
              </w:rPr>
            </w:pPr>
            <w:r w:rsidRPr="007E37EC">
              <w:rPr>
                <w:rFonts w:ascii="Arial" w:hAnsi="Arial" w:cs="Arial"/>
                <w:b/>
                <w:bCs/>
                <w:color w:val="000000"/>
                <w:sz w:val="20"/>
                <w:szCs w:val="20"/>
                <w:lang w:val="en-US"/>
              </w:rPr>
              <w:t>Over TVC</w:t>
            </w:r>
          </w:p>
        </w:tc>
        <w:tc>
          <w:tcPr>
            <w:tcW w:w="811" w:type="dxa"/>
            <w:vAlign w:val="center"/>
          </w:tcPr>
          <w:p w14:paraId="226784ED" w14:textId="77777777" w:rsidR="00494C8C" w:rsidRPr="007E37EC" w:rsidRDefault="00494C8C" w:rsidP="00A40833">
            <w:pPr>
              <w:spacing w:line="360" w:lineRule="auto"/>
              <w:jc w:val="both"/>
              <w:rPr>
                <w:rFonts w:ascii="Arial" w:hAnsi="Arial" w:cs="Arial"/>
                <w:b/>
                <w:bCs/>
                <w:color w:val="000000"/>
                <w:sz w:val="20"/>
                <w:szCs w:val="20"/>
                <w:lang w:val="en-US"/>
              </w:rPr>
            </w:pPr>
            <w:r w:rsidRPr="007E37EC">
              <w:rPr>
                <w:rFonts w:ascii="Arial" w:hAnsi="Arial" w:cs="Arial"/>
                <w:b/>
                <w:bCs/>
                <w:color w:val="000000"/>
                <w:sz w:val="20"/>
                <w:szCs w:val="20"/>
                <w:lang w:val="en-US"/>
              </w:rPr>
              <w:t>Over TC</w:t>
            </w:r>
          </w:p>
        </w:tc>
        <w:tc>
          <w:tcPr>
            <w:tcW w:w="898" w:type="dxa"/>
            <w:vAlign w:val="center"/>
          </w:tcPr>
          <w:p w14:paraId="786331B7" w14:textId="77777777" w:rsidR="00494C8C" w:rsidRPr="007E37EC" w:rsidRDefault="00494C8C" w:rsidP="00A40833">
            <w:pPr>
              <w:spacing w:line="360" w:lineRule="auto"/>
              <w:jc w:val="both"/>
              <w:rPr>
                <w:rFonts w:ascii="Arial" w:hAnsi="Arial" w:cs="Arial"/>
                <w:b/>
                <w:bCs/>
                <w:color w:val="000000"/>
                <w:sz w:val="20"/>
                <w:szCs w:val="20"/>
                <w:lang w:val="en-US"/>
              </w:rPr>
            </w:pPr>
            <w:r w:rsidRPr="007E37EC">
              <w:rPr>
                <w:rFonts w:ascii="Arial" w:hAnsi="Arial" w:cs="Arial"/>
                <w:b/>
                <w:bCs/>
                <w:color w:val="000000"/>
                <w:sz w:val="20"/>
                <w:szCs w:val="20"/>
                <w:lang w:val="en-US"/>
              </w:rPr>
              <w:t>Over TVC</w:t>
            </w:r>
          </w:p>
        </w:tc>
        <w:tc>
          <w:tcPr>
            <w:tcW w:w="738" w:type="dxa"/>
            <w:vAlign w:val="center"/>
          </w:tcPr>
          <w:p w14:paraId="10772D79" w14:textId="77777777" w:rsidR="00494C8C" w:rsidRPr="007E37EC" w:rsidRDefault="00494C8C" w:rsidP="00A40833">
            <w:pPr>
              <w:spacing w:line="360" w:lineRule="auto"/>
              <w:jc w:val="both"/>
              <w:rPr>
                <w:rFonts w:ascii="Arial" w:hAnsi="Arial" w:cs="Arial"/>
                <w:b/>
                <w:bCs/>
                <w:color w:val="000000"/>
                <w:sz w:val="20"/>
                <w:szCs w:val="20"/>
                <w:lang w:val="en-US"/>
              </w:rPr>
            </w:pPr>
            <w:r w:rsidRPr="007E37EC">
              <w:rPr>
                <w:rFonts w:ascii="Arial" w:hAnsi="Arial" w:cs="Arial"/>
                <w:b/>
                <w:bCs/>
                <w:color w:val="000000"/>
                <w:sz w:val="20"/>
                <w:szCs w:val="20"/>
                <w:lang w:val="en-US"/>
              </w:rPr>
              <w:t>Over TC</w:t>
            </w:r>
          </w:p>
        </w:tc>
      </w:tr>
      <w:tr w:rsidR="00494C8C" w:rsidRPr="007E37EC" w14:paraId="1A89A3F8" w14:textId="77777777" w:rsidTr="00251DEB">
        <w:trPr>
          <w:trHeight w:val="326"/>
        </w:trPr>
        <w:tc>
          <w:tcPr>
            <w:tcW w:w="1136" w:type="dxa"/>
            <w:vAlign w:val="center"/>
            <w:hideMark/>
          </w:tcPr>
          <w:p w14:paraId="06C29E1A" w14:textId="0B391367" w:rsidR="00494C8C" w:rsidRPr="007E37EC" w:rsidRDefault="00494C8C" w:rsidP="00A40833">
            <w:pPr>
              <w:spacing w:line="360" w:lineRule="auto"/>
              <w:jc w:val="both"/>
              <w:rPr>
                <w:rFonts w:ascii="Arial" w:hAnsi="Arial" w:cs="Arial"/>
                <w:b/>
                <w:bCs/>
                <w:color w:val="000000"/>
                <w:sz w:val="20"/>
                <w:szCs w:val="20"/>
              </w:rPr>
            </w:pPr>
            <w:proofErr w:type="spellStart"/>
            <w:r w:rsidRPr="007E37EC">
              <w:rPr>
                <w:rFonts w:ascii="Arial" w:hAnsi="Arial" w:cs="Arial"/>
                <w:b/>
                <w:bCs/>
                <w:color w:val="000000" w:themeColor="text1"/>
                <w:sz w:val="20"/>
                <w:szCs w:val="20"/>
              </w:rPr>
              <w:t>Coochbehar</w:t>
            </w:r>
            <w:proofErr w:type="spellEnd"/>
            <w:r w:rsidR="00EE3B00">
              <w:rPr>
                <w:rFonts w:ascii="Arial" w:hAnsi="Arial" w:cs="Arial"/>
                <w:b/>
                <w:bCs/>
                <w:color w:val="000000" w:themeColor="text1"/>
                <w:sz w:val="20"/>
                <w:szCs w:val="20"/>
              </w:rPr>
              <w:t>-</w:t>
            </w:r>
            <w:r w:rsidRPr="007E37EC">
              <w:rPr>
                <w:rFonts w:ascii="Arial" w:hAnsi="Arial" w:cs="Arial"/>
                <w:b/>
                <w:bCs/>
                <w:color w:val="000000" w:themeColor="text1"/>
                <w:sz w:val="20"/>
                <w:szCs w:val="20"/>
              </w:rPr>
              <w:t>II</w:t>
            </w:r>
          </w:p>
        </w:tc>
        <w:tc>
          <w:tcPr>
            <w:tcW w:w="1000" w:type="dxa"/>
            <w:vAlign w:val="center"/>
          </w:tcPr>
          <w:p w14:paraId="733802F7"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9956.12</w:t>
            </w:r>
          </w:p>
        </w:tc>
        <w:tc>
          <w:tcPr>
            <w:tcW w:w="1003" w:type="dxa"/>
            <w:vAlign w:val="center"/>
          </w:tcPr>
          <w:p w14:paraId="46D6AE6C"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sz w:val="20"/>
                <w:szCs w:val="20"/>
                <w:lang w:val="en-US"/>
              </w:rPr>
              <w:t>131.07</w:t>
            </w:r>
          </w:p>
        </w:tc>
        <w:tc>
          <w:tcPr>
            <w:tcW w:w="1140" w:type="dxa"/>
            <w:vAlign w:val="center"/>
          </w:tcPr>
          <w:p w14:paraId="34EE4644"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10087.19</w:t>
            </w:r>
          </w:p>
        </w:tc>
        <w:tc>
          <w:tcPr>
            <w:tcW w:w="1128" w:type="dxa"/>
            <w:vAlign w:val="center"/>
            <w:hideMark/>
          </w:tcPr>
          <w:p w14:paraId="340A8129"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lang w:val="en-US"/>
              </w:rPr>
              <w:t>17,263.15</w:t>
            </w:r>
          </w:p>
        </w:tc>
        <w:tc>
          <w:tcPr>
            <w:tcW w:w="872" w:type="dxa"/>
            <w:noWrap/>
            <w:vAlign w:val="center"/>
          </w:tcPr>
          <w:p w14:paraId="1209CF4C"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7307.03</w:t>
            </w:r>
          </w:p>
        </w:tc>
        <w:tc>
          <w:tcPr>
            <w:tcW w:w="1143" w:type="dxa"/>
            <w:vAlign w:val="center"/>
          </w:tcPr>
          <w:p w14:paraId="1D626270"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7175.96</w:t>
            </w:r>
          </w:p>
        </w:tc>
        <w:tc>
          <w:tcPr>
            <w:tcW w:w="859" w:type="dxa"/>
            <w:noWrap/>
            <w:vAlign w:val="center"/>
          </w:tcPr>
          <w:p w14:paraId="626735A2"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42.33</w:t>
            </w:r>
          </w:p>
        </w:tc>
        <w:tc>
          <w:tcPr>
            <w:tcW w:w="811" w:type="dxa"/>
            <w:vAlign w:val="center"/>
          </w:tcPr>
          <w:p w14:paraId="2C81649D"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41.57</w:t>
            </w:r>
          </w:p>
        </w:tc>
        <w:tc>
          <w:tcPr>
            <w:tcW w:w="898" w:type="dxa"/>
            <w:vAlign w:val="center"/>
          </w:tcPr>
          <w:p w14:paraId="7AFDAFED"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1.72</w:t>
            </w:r>
          </w:p>
        </w:tc>
        <w:tc>
          <w:tcPr>
            <w:tcW w:w="738" w:type="dxa"/>
            <w:vAlign w:val="center"/>
          </w:tcPr>
          <w:p w14:paraId="71530F94"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1.71</w:t>
            </w:r>
          </w:p>
        </w:tc>
      </w:tr>
      <w:tr w:rsidR="00494C8C" w:rsidRPr="007E37EC" w14:paraId="78989D68" w14:textId="77777777" w:rsidTr="00251DEB">
        <w:trPr>
          <w:trHeight w:val="326"/>
        </w:trPr>
        <w:tc>
          <w:tcPr>
            <w:tcW w:w="1136" w:type="dxa"/>
            <w:vAlign w:val="center"/>
            <w:hideMark/>
          </w:tcPr>
          <w:p w14:paraId="2D6416AB" w14:textId="0547E7EC" w:rsidR="00494C8C" w:rsidRPr="007E37EC" w:rsidRDefault="00494C8C" w:rsidP="00A40833">
            <w:pPr>
              <w:spacing w:line="360" w:lineRule="auto"/>
              <w:jc w:val="both"/>
              <w:rPr>
                <w:rFonts w:ascii="Arial" w:hAnsi="Arial" w:cs="Arial"/>
                <w:b/>
                <w:bCs/>
                <w:color w:val="000000"/>
                <w:sz w:val="20"/>
                <w:szCs w:val="20"/>
              </w:rPr>
            </w:pPr>
            <w:proofErr w:type="spellStart"/>
            <w:r w:rsidRPr="007E37EC">
              <w:rPr>
                <w:rFonts w:ascii="Arial" w:hAnsi="Arial" w:cs="Arial"/>
                <w:b/>
                <w:bCs/>
                <w:color w:val="000000" w:themeColor="text1"/>
                <w:spacing w:val="-2"/>
                <w:sz w:val="20"/>
                <w:szCs w:val="20"/>
              </w:rPr>
              <w:t>Tufanganj</w:t>
            </w:r>
            <w:proofErr w:type="spellEnd"/>
            <w:r w:rsidR="008F635D">
              <w:rPr>
                <w:rFonts w:ascii="Arial" w:hAnsi="Arial" w:cs="Arial"/>
                <w:b/>
                <w:bCs/>
                <w:color w:val="000000" w:themeColor="text1"/>
                <w:spacing w:val="-2"/>
                <w:sz w:val="20"/>
                <w:szCs w:val="20"/>
              </w:rPr>
              <w:t>-</w:t>
            </w:r>
            <w:r w:rsidRPr="007E37EC">
              <w:rPr>
                <w:rFonts w:ascii="Arial" w:hAnsi="Arial" w:cs="Arial"/>
                <w:b/>
                <w:bCs/>
                <w:color w:val="000000" w:themeColor="text1"/>
                <w:spacing w:val="-2"/>
                <w:sz w:val="20"/>
                <w:szCs w:val="20"/>
              </w:rPr>
              <w:t>I</w:t>
            </w:r>
          </w:p>
        </w:tc>
        <w:tc>
          <w:tcPr>
            <w:tcW w:w="1000" w:type="dxa"/>
            <w:vAlign w:val="center"/>
          </w:tcPr>
          <w:p w14:paraId="73C67316"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8817.95</w:t>
            </w:r>
          </w:p>
        </w:tc>
        <w:tc>
          <w:tcPr>
            <w:tcW w:w="1003" w:type="dxa"/>
            <w:vAlign w:val="center"/>
          </w:tcPr>
          <w:p w14:paraId="1F3A1273"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sz w:val="20"/>
                <w:szCs w:val="20"/>
                <w:lang w:val="en-US"/>
              </w:rPr>
              <w:t>139.95</w:t>
            </w:r>
          </w:p>
        </w:tc>
        <w:tc>
          <w:tcPr>
            <w:tcW w:w="1140" w:type="dxa"/>
            <w:vAlign w:val="center"/>
          </w:tcPr>
          <w:p w14:paraId="11E27835"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8953.90</w:t>
            </w:r>
          </w:p>
        </w:tc>
        <w:tc>
          <w:tcPr>
            <w:tcW w:w="1128" w:type="dxa"/>
            <w:vAlign w:val="center"/>
            <w:hideMark/>
          </w:tcPr>
          <w:p w14:paraId="382A4619"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lang w:val="en-US"/>
              </w:rPr>
              <w:t>14,520.40</w:t>
            </w:r>
          </w:p>
        </w:tc>
        <w:tc>
          <w:tcPr>
            <w:tcW w:w="872" w:type="dxa"/>
            <w:noWrap/>
            <w:vAlign w:val="center"/>
          </w:tcPr>
          <w:p w14:paraId="48CFF371"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5702.45</w:t>
            </w:r>
          </w:p>
        </w:tc>
        <w:tc>
          <w:tcPr>
            <w:tcW w:w="1143" w:type="dxa"/>
            <w:vAlign w:val="center"/>
          </w:tcPr>
          <w:p w14:paraId="6CBAFF07"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5566.50</w:t>
            </w:r>
          </w:p>
        </w:tc>
        <w:tc>
          <w:tcPr>
            <w:tcW w:w="859" w:type="dxa"/>
            <w:noWrap/>
            <w:vAlign w:val="center"/>
          </w:tcPr>
          <w:p w14:paraId="5CD6AC99"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39.27</w:t>
            </w:r>
          </w:p>
        </w:tc>
        <w:tc>
          <w:tcPr>
            <w:tcW w:w="811" w:type="dxa"/>
            <w:vAlign w:val="center"/>
          </w:tcPr>
          <w:p w14:paraId="32A84991"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38.33</w:t>
            </w:r>
          </w:p>
        </w:tc>
        <w:tc>
          <w:tcPr>
            <w:tcW w:w="898" w:type="dxa"/>
            <w:vAlign w:val="center"/>
          </w:tcPr>
          <w:p w14:paraId="7D1B0D4C"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1.64</w:t>
            </w:r>
          </w:p>
        </w:tc>
        <w:tc>
          <w:tcPr>
            <w:tcW w:w="738" w:type="dxa"/>
            <w:vAlign w:val="center"/>
          </w:tcPr>
          <w:p w14:paraId="11DA23B5"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1.62</w:t>
            </w:r>
          </w:p>
        </w:tc>
      </w:tr>
      <w:tr w:rsidR="00494C8C" w:rsidRPr="007E37EC" w14:paraId="71C3250C" w14:textId="77777777" w:rsidTr="00251DEB">
        <w:trPr>
          <w:trHeight w:val="326"/>
        </w:trPr>
        <w:tc>
          <w:tcPr>
            <w:tcW w:w="1136" w:type="dxa"/>
            <w:vAlign w:val="center"/>
            <w:hideMark/>
          </w:tcPr>
          <w:p w14:paraId="11DBAA00" w14:textId="3415DE03" w:rsidR="00494C8C" w:rsidRPr="007E37EC" w:rsidRDefault="00494C8C" w:rsidP="00A40833">
            <w:pPr>
              <w:spacing w:line="360" w:lineRule="auto"/>
              <w:jc w:val="both"/>
              <w:rPr>
                <w:rFonts w:ascii="Arial" w:hAnsi="Arial" w:cs="Arial"/>
                <w:b/>
                <w:bCs/>
                <w:color w:val="000000"/>
                <w:sz w:val="20"/>
                <w:szCs w:val="20"/>
              </w:rPr>
            </w:pPr>
            <w:proofErr w:type="spellStart"/>
            <w:r w:rsidRPr="007E37EC">
              <w:rPr>
                <w:rFonts w:ascii="Arial" w:hAnsi="Arial" w:cs="Arial"/>
                <w:b/>
                <w:bCs/>
                <w:color w:val="000000" w:themeColor="text1"/>
                <w:sz w:val="20"/>
                <w:szCs w:val="20"/>
              </w:rPr>
              <w:t>Alipurduar</w:t>
            </w:r>
            <w:proofErr w:type="spellEnd"/>
            <w:r w:rsidR="008F635D">
              <w:rPr>
                <w:rFonts w:ascii="Arial" w:hAnsi="Arial" w:cs="Arial"/>
                <w:b/>
                <w:bCs/>
                <w:color w:val="000000" w:themeColor="text1"/>
                <w:sz w:val="20"/>
                <w:szCs w:val="20"/>
              </w:rPr>
              <w:t>-</w:t>
            </w:r>
            <w:r w:rsidRPr="007E37EC">
              <w:rPr>
                <w:rFonts w:ascii="Arial" w:hAnsi="Arial" w:cs="Arial"/>
                <w:b/>
                <w:bCs/>
                <w:color w:val="000000" w:themeColor="text1"/>
                <w:spacing w:val="-10"/>
                <w:sz w:val="20"/>
                <w:szCs w:val="20"/>
              </w:rPr>
              <w:t>I</w:t>
            </w:r>
          </w:p>
        </w:tc>
        <w:tc>
          <w:tcPr>
            <w:tcW w:w="1000" w:type="dxa"/>
            <w:vAlign w:val="center"/>
          </w:tcPr>
          <w:p w14:paraId="3315885C"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9188.18</w:t>
            </w:r>
          </w:p>
        </w:tc>
        <w:tc>
          <w:tcPr>
            <w:tcW w:w="1003" w:type="dxa"/>
            <w:vAlign w:val="center"/>
          </w:tcPr>
          <w:p w14:paraId="5C1CFA67"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sz w:val="20"/>
                <w:szCs w:val="20"/>
                <w:lang w:val="en-US"/>
              </w:rPr>
              <w:t>130.40</w:t>
            </w:r>
          </w:p>
        </w:tc>
        <w:tc>
          <w:tcPr>
            <w:tcW w:w="1140" w:type="dxa"/>
            <w:vAlign w:val="center"/>
          </w:tcPr>
          <w:p w14:paraId="5EBF181C"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9318.58</w:t>
            </w:r>
          </w:p>
        </w:tc>
        <w:tc>
          <w:tcPr>
            <w:tcW w:w="1128" w:type="dxa"/>
            <w:vAlign w:val="center"/>
            <w:hideMark/>
          </w:tcPr>
          <w:p w14:paraId="640CCA14"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lang w:val="en-US"/>
              </w:rPr>
              <w:t>13683.43</w:t>
            </w:r>
          </w:p>
        </w:tc>
        <w:tc>
          <w:tcPr>
            <w:tcW w:w="872" w:type="dxa"/>
            <w:noWrap/>
            <w:vAlign w:val="center"/>
          </w:tcPr>
          <w:p w14:paraId="59B14E49"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4495.25</w:t>
            </w:r>
          </w:p>
        </w:tc>
        <w:tc>
          <w:tcPr>
            <w:tcW w:w="1143" w:type="dxa"/>
            <w:vAlign w:val="center"/>
          </w:tcPr>
          <w:p w14:paraId="02152B61"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4364.85</w:t>
            </w:r>
          </w:p>
        </w:tc>
        <w:tc>
          <w:tcPr>
            <w:tcW w:w="859" w:type="dxa"/>
            <w:noWrap/>
            <w:vAlign w:val="center"/>
          </w:tcPr>
          <w:p w14:paraId="012DC816"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32.85</w:t>
            </w:r>
          </w:p>
        </w:tc>
        <w:tc>
          <w:tcPr>
            <w:tcW w:w="811" w:type="dxa"/>
            <w:vAlign w:val="center"/>
          </w:tcPr>
          <w:p w14:paraId="5461AF09"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31.90</w:t>
            </w:r>
          </w:p>
        </w:tc>
        <w:tc>
          <w:tcPr>
            <w:tcW w:w="898" w:type="dxa"/>
            <w:vAlign w:val="center"/>
          </w:tcPr>
          <w:p w14:paraId="4284E233"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1.48</w:t>
            </w:r>
          </w:p>
        </w:tc>
        <w:tc>
          <w:tcPr>
            <w:tcW w:w="738" w:type="dxa"/>
            <w:vAlign w:val="center"/>
          </w:tcPr>
          <w:p w14:paraId="7EE6A7DF"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1.47</w:t>
            </w:r>
          </w:p>
        </w:tc>
      </w:tr>
      <w:tr w:rsidR="00494C8C" w:rsidRPr="007E37EC" w14:paraId="41D73C32" w14:textId="77777777" w:rsidTr="00251DEB">
        <w:trPr>
          <w:trHeight w:val="326"/>
        </w:trPr>
        <w:tc>
          <w:tcPr>
            <w:tcW w:w="1136" w:type="dxa"/>
            <w:vAlign w:val="center"/>
            <w:hideMark/>
          </w:tcPr>
          <w:p w14:paraId="6671341E" w14:textId="125EBD28" w:rsidR="00494C8C" w:rsidRPr="007E37EC" w:rsidRDefault="00494C8C" w:rsidP="00A40833">
            <w:pPr>
              <w:spacing w:line="360" w:lineRule="auto"/>
              <w:jc w:val="both"/>
              <w:rPr>
                <w:rFonts w:ascii="Arial" w:hAnsi="Arial" w:cs="Arial"/>
                <w:b/>
                <w:bCs/>
                <w:color w:val="000000"/>
                <w:sz w:val="20"/>
                <w:szCs w:val="20"/>
              </w:rPr>
            </w:pPr>
            <w:proofErr w:type="spellStart"/>
            <w:r w:rsidRPr="007E37EC">
              <w:rPr>
                <w:rFonts w:ascii="Arial" w:hAnsi="Arial" w:cs="Arial"/>
                <w:b/>
                <w:bCs/>
                <w:color w:val="000000" w:themeColor="text1"/>
                <w:sz w:val="20"/>
                <w:szCs w:val="20"/>
              </w:rPr>
              <w:t>Alipurduar</w:t>
            </w:r>
            <w:proofErr w:type="spellEnd"/>
            <w:r w:rsidR="008F635D">
              <w:rPr>
                <w:rFonts w:ascii="Arial" w:hAnsi="Arial" w:cs="Arial"/>
                <w:b/>
                <w:bCs/>
                <w:color w:val="000000" w:themeColor="text1"/>
                <w:sz w:val="20"/>
                <w:szCs w:val="20"/>
              </w:rPr>
              <w:t>-</w:t>
            </w:r>
            <w:r w:rsidRPr="007E37EC">
              <w:rPr>
                <w:rFonts w:ascii="Arial" w:hAnsi="Arial" w:cs="Arial"/>
                <w:b/>
                <w:bCs/>
                <w:color w:val="000000" w:themeColor="text1"/>
                <w:spacing w:val="-5"/>
                <w:sz w:val="20"/>
                <w:szCs w:val="20"/>
              </w:rPr>
              <w:t>II</w:t>
            </w:r>
          </w:p>
        </w:tc>
        <w:tc>
          <w:tcPr>
            <w:tcW w:w="1000" w:type="dxa"/>
            <w:vAlign w:val="center"/>
          </w:tcPr>
          <w:p w14:paraId="1FE95F5B"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9978.54</w:t>
            </w:r>
          </w:p>
        </w:tc>
        <w:tc>
          <w:tcPr>
            <w:tcW w:w="1003" w:type="dxa"/>
            <w:vAlign w:val="center"/>
          </w:tcPr>
          <w:p w14:paraId="56FBF495"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sz w:val="20"/>
                <w:szCs w:val="20"/>
                <w:lang w:val="en-US"/>
              </w:rPr>
              <w:t>139.11</w:t>
            </w:r>
          </w:p>
        </w:tc>
        <w:tc>
          <w:tcPr>
            <w:tcW w:w="1140" w:type="dxa"/>
            <w:vAlign w:val="center"/>
          </w:tcPr>
          <w:p w14:paraId="1AE2DFC2"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10117.65</w:t>
            </w:r>
          </w:p>
        </w:tc>
        <w:tc>
          <w:tcPr>
            <w:tcW w:w="1128" w:type="dxa"/>
            <w:vAlign w:val="center"/>
            <w:hideMark/>
          </w:tcPr>
          <w:p w14:paraId="0CAED0F9"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lang w:val="en-US"/>
              </w:rPr>
              <w:t>14,434.87</w:t>
            </w:r>
          </w:p>
        </w:tc>
        <w:tc>
          <w:tcPr>
            <w:tcW w:w="872" w:type="dxa"/>
            <w:noWrap/>
            <w:vAlign w:val="center"/>
          </w:tcPr>
          <w:p w14:paraId="29939C7A"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4456.33</w:t>
            </w:r>
          </w:p>
        </w:tc>
        <w:tc>
          <w:tcPr>
            <w:tcW w:w="1143" w:type="dxa"/>
            <w:vAlign w:val="center"/>
          </w:tcPr>
          <w:p w14:paraId="1EE6BAC1"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4317.22</w:t>
            </w:r>
          </w:p>
        </w:tc>
        <w:tc>
          <w:tcPr>
            <w:tcW w:w="859" w:type="dxa"/>
            <w:noWrap/>
            <w:vAlign w:val="center"/>
          </w:tcPr>
          <w:p w14:paraId="14974E11"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30.87</w:t>
            </w:r>
          </w:p>
        </w:tc>
        <w:tc>
          <w:tcPr>
            <w:tcW w:w="811" w:type="dxa"/>
            <w:vAlign w:val="center"/>
          </w:tcPr>
          <w:p w14:paraId="0B9A8E63"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29.91</w:t>
            </w:r>
          </w:p>
        </w:tc>
        <w:tc>
          <w:tcPr>
            <w:tcW w:w="898" w:type="dxa"/>
            <w:vAlign w:val="center"/>
          </w:tcPr>
          <w:p w14:paraId="435525E2"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1.44</w:t>
            </w:r>
          </w:p>
        </w:tc>
        <w:tc>
          <w:tcPr>
            <w:tcW w:w="738" w:type="dxa"/>
            <w:vAlign w:val="center"/>
          </w:tcPr>
          <w:p w14:paraId="349B389A" w14:textId="77777777" w:rsidR="00494C8C" w:rsidRPr="007E37EC" w:rsidRDefault="00494C8C" w:rsidP="00A40833">
            <w:pPr>
              <w:spacing w:line="360" w:lineRule="auto"/>
              <w:jc w:val="both"/>
              <w:rPr>
                <w:rFonts w:ascii="Arial" w:hAnsi="Arial" w:cs="Arial"/>
                <w:color w:val="000000"/>
                <w:sz w:val="20"/>
                <w:szCs w:val="20"/>
              </w:rPr>
            </w:pPr>
            <w:r w:rsidRPr="007E37EC">
              <w:rPr>
                <w:rFonts w:ascii="Arial" w:hAnsi="Arial" w:cs="Arial"/>
                <w:color w:val="000000"/>
                <w:sz w:val="20"/>
                <w:szCs w:val="20"/>
              </w:rPr>
              <w:t>1.43</w:t>
            </w:r>
          </w:p>
        </w:tc>
      </w:tr>
      <w:tr w:rsidR="00494C8C" w:rsidRPr="007E37EC" w14:paraId="23DB4EC8" w14:textId="77777777" w:rsidTr="00251DEB">
        <w:trPr>
          <w:trHeight w:val="326"/>
        </w:trPr>
        <w:tc>
          <w:tcPr>
            <w:tcW w:w="1136" w:type="dxa"/>
            <w:vAlign w:val="center"/>
          </w:tcPr>
          <w:p w14:paraId="792D123E" w14:textId="7E7CD4AF" w:rsidR="00494C8C" w:rsidRPr="007E37EC" w:rsidRDefault="00174E12" w:rsidP="00A40833">
            <w:pPr>
              <w:spacing w:line="360" w:lineRule="auto"/>
              <w:jc w:val="both"/>
              <w:rPr>
                <w:rFonts w:ascii="Arial" w:hAnsi="Arial" w:cs="Arial"/>
                <w:b/>
                <w:bCs/>
                <w:color w:val="000000"/>
                <w:sz w:val="20"/>
                <w:szCs w:val="20"/>
                <w:lang w:val="en-US"/>
              </w:rPr>
            </w:pPr>
            <w:r>
              <w:rPr>
                <w:rFonts w:ascii="Arial" w:hAnsi="Arial" w:cs="Arial"/>
                <w:b/>
                <w:bCs/>
                <w:sz w:val="20"/>
                <w:szCs w:val="20"/>
                <w:lang w:val="en-US"/>
              </w:rPr>
              <w:t>Average</w:t>
            </w:r>
          </w:p>
        </w:tc>
        <w:tc>
          <w:tcPr>
            <w:tcW w:w="1000" w:type="dxa"/>
            <w:vAlign w:val="bottom"/>
          </w:tcPr>
          <w:p w14:paraId="5121CAAF" w14:textId="77777777" w:rsidR="00494C8C" w:rsidRPr="007E37EC" w:rsidRDefault="00494C8C" w:rsidP="00A40833">
            <w:pPr>
              <w:spacing w:line="360" w:lineRule="auto"/>
              <w:jc w:val="both"/>
              <w:rPr>
                <w:rFonts w:ascii="Arial" w:hAnsi="Arial" w:cs="Arial"/>
                <w:b/>
                <w:bCs/>
                <w:color w:val="000000"/>
                <w:sz w:val="20"/>
                <w:szCs w:val="20"/>
              </w:rPr>
            </w:pPr>
            <w:r w:rsidRPr="007E37EC">
              <w:rPr>
                <w:rFonts w:ascii="Arial" w:hAnsi="Arial" w:cs="Arial"/>
                <w:b/>
                <w:bCs/>
                <w:color w:val="000000"/>
                <w:sz w:val="20"/>
                <w:szCs w:val="20"/>
              </w:rPr>
              <w:t>9494.21</w:t>
            </w:r>
          </w:p>
        </w:tc>
        <w:tc>
          <w:tcPr>
            <w:tcW w:w="1003" w:type="dxa"/>
            <w:vAlign w:val="bottom"/>
          </w:tcPr>
          <w:p w14:paraId="186986A6" w14:textId="77777777" w:rsidR="00494C8C" w:rsidRPr="007E37EC" w:rsidRDefault="00494C8C" w:rsidP="00A40833">
            <w:pPr>
              <w:spacing w:line="360" w:lineRule="auto"/>
              <w:jc w:val="both"/>
              <w:rPr>
                <w:rFonts w:ascii="Arial" w:hAnsi="Arial" w:cs="Arial"/>
                <w:b/>
                <w:bCs/>
                <w:sz w:val="20"/>
                <w:szCs w:val="20"/>
                <w:lang w:val="en-US"/>
              </w:rPr>
            </w:pPr>
            <w:r w:rsidRPr="007E37EC">
              <w:rPr>
                <w:rFonts w:ascii="Arial" w:hAnsi="Arial" w:cs="Arial"/>
                <w:b/>
                <w:bCs/>
                <w:sz w:val="20"/>
                <w:szCs w:val="20"/>
                <w:lang w:val="en-US"/>
              </w:rPr>
              <w:t>135.40</w:t>
            </w:r>
          </w:p>
        </w:tc>
        <w:tc>
          <w:tcPr>
            <w:tcW w:w="1140" w:type="dxa"/>
            <w:vAlign w:val="bottom"/>
          </w:tcPr>
          <w:p w14:paraId="235F5770" w14:textId="77777777" w:rsidR="00494C8C" w:rsidRPr="007E37EC" w:rsidRDefault="00494C8C" w:rsidP="00A40833">
            <w:pPr>
              <w:spacing w:line="360" w:lineRule="auto"/>
              <w:jc w:val="both"/>
              <w:rPr>
                <w:rFonts w:ascii="Arial" w:hAnsi="Arial" w:cs="Arial"/>
                <w:b/>
                <w:bCs/>
                <w:color w:val="000000"/>
                <w:sz w:val="20"/>
                <w:szCs w:val="20"/>
              </w:rPr>
            </w:pPr>
            <w:r w:rsidRPr="007E37EC">
              <w:rPr>
                <w:rFonts w:ascii="Arial" w:hAnsi="Arial" w:cs="Arial"/>
                <w:b/>
                <w:bCs/>
                <w:color w:val="000000"/>
                <w:sz w:val="20"/>
                <w:szCs w:val="20"/>
              </w:rPr>
              <w:t>9628.33</w:t>
            </w:r>
          </w:p>
        </w:tc>
        <w:tc>
          <w:tcPr>
            <w:tcW w:w="1128" w:type="dxa"/>
            <w:vAlign w:val="bottom"/>
          </w:tcPr>
          <w:p w14:paraId="1BAA21F5" w14:textId="77777777" w:rsidR="00494C8C" w:rsidRPr="007E37EC" w:rsidRDefault="00494C8C" w:rsidP="00A40833">
            <w:pPr>
              <w:spacing w:line="360" w:lineRule="auto"/>
              <w:jc w:val="both"/>
              <w:rPr>
                <w:rFonts w:ascii="Arial" w:hAnsi="Arial" w:cs="Arial"/>
                <w:b/>
                <w:bCs/>
                <w:color w:val="000000"/>
                <w:sz w:val="20"/>
                <w:szCs w:val="20"/>
                <w:lang w:val="en-US"/>
              </w:rPr>
            </w:pPr>
            <w:r w:rsidRPr="007E37EC">
              <w:rPr>
                <w:rFonts w:ascii="Arial" w:hAnsi="Arial" w:cs="Arial"/>
                <w:b/>
                <w:bCs/>
                <w:color w:val="000000"/>
                <w:sz w:val="20"/>
                <w:szCs w:val="20"/>
                <w:lang w:val="en-US"/>
              </w:rPr>
              <w:t>15369.08</w:t>
            </w:r>
          </w:p>
        </w:tc>
        <w:tc>
          <w:tcPr>
            <w:tcW w:w="872" w:type="dxa"/>
            <w:noWrap/>
            <w:vAlign w:val="bottom"/>
          </w:tcPr>
          <w:p w14:paraId="68E5654E" w14:textId="77777777" w:rsidR="00494C8C" w:rsidRPr="007E37EC" w:rsidRDefault="00494C8C" w:rsidP="00A40833">
            <w:pPr>
              <w:spacing w:line="360" w:lineRule="auto"/>
              <w:jc w:val="both"/>
              <w:rPr>
                <w:rFonts w:ascii="Arial" w:hAnsi="Arial" w:cs="Arial"/>
                <w:b/>
                <w:bCs/>
                <w:color w:val="000000"/>
                <w:sz w:val="20"/>
                <w:szCs w:val="20"/>
              </w:rPr>
            </w:pPr>
            <w:r w:rsidRPr="007E37EC">
              <w:rPr>
                <w:rFonts w:ascii="Arial" w:hAnsi="Arial" w:cs="Arial"/>
                <w:b/>
                <w:bCs/>
                <w:color w:val="000000"/>
                <w:sz w:val="20"/>
                <w:szCs w:val="20"/>
              </w:rPr>
              <w:t>5874.86</w:t>
            </w:r>
          </w:p>
        </w:tc>
        <w:tc>
          <w:tcPr>
            <w:tcW w:w="1143" w:type="dxa"/>
            <w:vAlign w:val="bottom"/>
          </w:tcPr>
          <w:p w14:paraId="436C4F1B" w14:textId="77777777" w:rsidR="00494C8C" w:rsidRPr="007E37EC" w:rsidRDefault="00494C8C" w:rsidP="00A40833">
            <w:pPr>
              <w:spacing w:line="360" w:lineRule="auto"/>
              <w:jc w:val="both"/>
              <w:rPr>
                <w:rFonts w:ascii="Arial" w:hAnsi="Arial" w:cs="Arial"/>
                <w:b/>
                <w:bCs/>
                <w:color w:val="000000"/>
                <w:sz w:val="20"/>
                <w:szCs w:val="20"/>
              </w:rPr>
            </w:pPr>
            <w:r w:rsidRPr="007E37EC">
              <w:rPr>
                <w:rFonts w:ascii="Arial" w:hAnsi="Arial" w:cs="Arial"/>
                <w:b/>
                <w:bCs/>
                <w:color w:val="000000"/>
                <w:sz w:val="20"/>
                <w:szCs w:val="20"/>
              </w:rPr>
              <w:t>5740.75</w:t>
            </w:r>
          </w:p>
        </w:tc>
        <w:tc>
          <w:tcPr>
            <w:tcW w:w="859" w:type="dxa"/>
            <w:noWrap/>
            <w:vAlign w:val="bottom"/>
          </w:tcPr>
          <w:p w14:paraId="2D239C9F" w14:textId="77777777" w:rsidR="00494C8C" w:rsidRPr="007E37EC" w:rsidRDefault="00494C8C" w:rsidP="00A40833">
            <w:pPr>
              <w:spacing w:line="360" w:lineRule="auto"/>
              <w:jc w:val="both"/>
              <w:rPr>
                <w:rFonts w:ascii="Arial" w:hAnsi="Arial" w:cs="Arial"/>
                <w:b/>
                <w:bCs/>
                <w:color w:val="000000"/>
                <w:sz w:val="20"/>
                <w:szCs w:val="20"/>
              </w:rPr>
            </w:pPr>
            <w:r w:rsidRPr="007E37EC">
              <w:rPr>
                <w:rFonts w:ascii="Arial" w:hAnsi="Arial" w:cs="Arial"/>
                <w:b/>
                <w:bCs/>
                <w:color w:val="000000"/>
                <w:sz w:val="20"/>
                <w:szCs w:val="20"/>
              </w:rPr>
              <w:t>37.90</w:t>
            </w:r>
          </w:p>
        </w:tc>
        <w:tc>
          <w:tcPr>
            <w:tcW w:w="811" w:type="dxa"/>
            <w:vAlign w:val="bottom"/>
          </w:tcPr>
          <w:p w14:paraId="4A3C431F" w14:textId="77777777" w:rsidR="00494C8C" w:rsidRPr="007E37EC" w:rsidRDefault="00494C8C" w:rsidP="00A40833">
            <w:pPr>
              <w:spacing w:line="360" w:lineRule="auto"/>
              <w:jc w:val="both"/>
              <w:rPr>
                <w:rFonts w:ascii="Arial" w:hAnsi="Arial" w:cs="Arial"/>
                <w:b/>
                <w:bCs/>
                <w:color w:val="000000"/>
                <w:sz w:val="20"/>
                <w:szCs w:val="20"/>
              </w:rPr>
            </w:pPr>
            <w:r w:rsidRPr="007E37EC">
              <w:rPr>
                <w:rFonts w:ascii="Arial" w:hAnsi="Arial" w:cs="Arial"/>
                <w:b/>
                <w:bCs/>
                <w:color w:val="000000"/>
                <w:sz w:val="20"/>
                <w:szCs w:val="20"/>
              </w:rPr>
              <w:t>37.02</w:t>
            </w:r>
          </w:p>
        </w:tc>
        <w:tc>
          <w:tcPr>
            <w:tcW w:w="898" w:type="dxa"/>
            <w:vAlign w:val="bottom"/>
          </w:tcPr>
          <w:p w14:paraId="04E7E16B" w14:textId="77777777" w:rsidR="00494C8C" w:rsidRPr="007E37EC" w:rsidRDefault="00494C8C" w:rsidP="00A40833">
            <w:pPr>
              <w:spacing w:line="360" w:lineRule="auto"/>
              <w:jc w:val="both"/>
              <w:rPr>
                <w:rFonts w:ascii="Arial" w:hAnsi="Arial" w:cs="Arial"/>
                <w:b/>
                <w:bCs/>
                <w:color w:val="000000"/>
                <w:sz w:val="20"/>
                <w:szCs w:val="20"/>
              </w:rPr>
            </w:pPr>
            <w:r w:rsidRPr="007E37EC">
              <w:rPr>
                <w:rFonts w:ascii="Arial" w:hAnsi="Arial" w:cs="Arial"/>
                <w:b/>
                <w:bCs/>
                <w:color w:val="000000"/>
                <w:sz w:val="20"/>
                <w:szCs w:val="20"/>
              </w:rPr>
              <w:t>1.61</w:t>
            </w:r>
          </w:p>
        </w:tc>
        <w:tc>
          <w:tcPr>
            <w:tcW w:w="738" w:type="dxa"/>
            <w:vAlign w:val="bottom"/>
          </w:tcPr>
          <w:p w14:paraId="4EBF8197" w14:textId="77777777" w:rsidR="00494C8C" w:rsidRPr="007E37EC" w:rsidRDefault="00494C8C" w:rsidP="00A40833">
            <w:pPr>
              <w:spacing w:line="360" w:lineRule="auto"/>
              <w:jc w:val="both"/>
              <w:rPr>
                <w:rFonts w:ascii="Arial" w:hAnsi="Arial" w:cs="Arial"/>
                <w:b/>
                <w:bCs/>
                <w:color w:val="000000"/>
                <w:sz w:val="20"/>
                <w:szCs w:val="20"/>
              </w:rPr>
            </w:pPr>
            <w:r w:rsidRPr="007E37EC">
              <w:rPr>
                <w:rFonts w:ascii="Arial" w:hAnsi="Arial" w:cs="Arial"/>
                <w:b/>
                <w:bCs/>
                <w:color w:val="000000"/>
                <w:sz w:val="20"/>
                <w:szCs w:val="20"/>
              </w:rPr>
              <w:t>1.59</w:t>
            </w:r>
          </w:p>
        </w:tc>
      </w:tr>
    </w:tbl>
    <w:p w14:paraId="112B681C" w14:textId="0130313A" w:rsidR="00494C8C" w:rsidRDefault="00E90129" w:rsidP="00A40833">
      <w:pPr>
        <w:spacing w:after="0" w:line="360" w:lineRule="auto"/>
        <w:jc w:val="both"/>
        <w:rPr>
          <w:rFonts w:ascii="Arial" w:hAnsi="Arial" w:cs="Arial"/>
          <w:sz w:val="20"/>
          <w:szCs w:val="20"/>
        </w:rPr>
      </w:pPr>
      <w:r>
        <w:rPr>
          <w:rFonts w:ascii="Arial" w:eastAsia="Times New Roman" w:hAnsi="Arial" w:cs="Arial"/>
          <w:kern w:val="0"/>
          <w:sz w:val="20"/>
          <w:szCs w:val="20"/>
          <w:lang w:eastAsia="en-IN"/>
          <w14:ligatures w14:val="none"/>
        </w:rPr>
        <w:t xml:space="preserve">Source: Primary data collected through field survey (April 2024- March 2025) </w:t>
      </w:r>
      <w:r w:rsidR="00494C8C" w:rsidRPr="007E37EC">
        <w:rPr>
          <w:rFonts w:ascii="Arial" w:hAnsi="Arial" w:cs="Arial"/>
          <w:sz w:val="20"/>
          <w:szCs w:val="20"/>
        </w:rPr>
        <w:t>*Per Processing unit per day</w:t>
      </w:r>
    </w:p>
    <w:p w14:paraId="328BA4F9" w14:textId="77777777" w:rsidR="00E90129" w:rsidRPr="00E90129" w:rsidRDefault="00E90129" w:rsidP="00A40833">
      <w:pPr>
        <w:spacing w:after="0" w:line="360" w:lineRule="auto"/>
        <w:jc w:val="both"/>
        <w:rPr>
          <w:rFonts w:ascii="Arial" w:eastAsia="Times New Roman" w:hAnsi="Arial" w:cs="Arial"/>
          <w:kern w:val="0"/>
          <w:sz w:val="20"/>
          <w:szCs w:val="20"/>
          <w:lang w:eastAsia="en-IN"/>
          <w14:ligatures w14:val="none"/>
        </w:rPr>
      </w:pPr>
    </w:p>
    <w:p w14:paraId="5BF7F8F7" w14:textId="494C6C22" w:rsidR="00595952" w:rsidRPr="007E37EC" w:rsidRDefault="00595952" w:rsidP="00A40833">
      <w:pPr>
        <w:spacing w:line="360" w:lineRule="auto"/>
        <w:jc w:val="both"/>
        <w:rPr>
          <w:rFonts w:ascii="Arial" w:hAnsi="Arial" w:cs="Arial"/>
          <w:sz w:val="20"/>
          <w:szCs w:val="20"/>
        </w:rPr>
      </w:pPr>
      <w:r w:rsidRPr="007E37EC">
        <w:rPr>
          <w:rFonts w:ascii="Arial" w:hAnsi="Arial" w:cs="Arial"/>
          <w:sz w:val="20"/>
          <w:szCs w:val="20"/>
        </w:rPr>
        <w:t xml:space="preserve">A financial analysis of sweet curd production in four regions is shown in this table, with an emphasis on profitability metrics in connection to total costs (TC) and total variable costs (TVC). At 98.6% of total expenses, variable costs predominate. </w:t>
      </w:r>
      <w:proofErr w:type="spellStart"/>
      <w:r w:rsidRPr="007E37EC">
        <w:rPr>
          <w:rFonts w:ascii="Arial" w:hAnsi="Arial" w:cs="Arial"/>
          <w:sz w:val="20"/>
          <w:szCs w:val="20"/>
        </w:rPr>
        <w:t>Tufanganj</w:t>
      </w:r>
      <w:proofErr w:type="spellEnd"/>
      <w:r w:rsidR="00E52B18">
        <w:rPr>
          <w:rFonts w:ascii="Arial" w:hAnsi="Arial" w:cs="Arial"/>
          <w:sz w:val="20"/>
          <w:szCs w:val="20"/>
        </w:rPr>
        <w:t>-</w:t>
      </w:r>
      <w:r w:rsidRPr="007E37EC">
        <w:rPr>
          <w:rFonts w:ascii="Arial" w:hAnsi="Arial" w:cs="Arial"/>
          <w:sz w:val="20"/>
          <w:szCs w:val="20"/>
        </w:rPr>
        <w:t xml:space="preserve">I </w:t>
      </w:r>
      <w:r w:rsidR="00B40B29">
        <w:rPr>
          <w:rFonts w:ascii="Arial" w:hAnsi="Arial" w:cs="Arial"/>
          <w:sz w:val="20"/>
          <w:szCs w:val="20"/>
        </w:rPr>
        <w:t>costs</w:t>
      </w:r>
      <w:r w:rsidRPr="007E37EC">
        <w:rPr>
          <w:rFonts w:ascii="Arial" w:hAnsi="Arial" w:cs="Arial"/>
          <w:sz w:val="20"/>
          <w:szCs w:val="20"/>
        </w:rPr>
        <w:t xml:space="preserve"> Rs 8,954, while </w:t>
      </w:r>
      <w:proofErr w:type="spellStart"/>
      <w:r w:rsidRPr="007E37EC">
        <w:rPr>
          <w:rFonts w:ascii="Arial" w:hAnsi="Arial" w:cs="Arial"/>
          <w:sz w:val="20"/>
          <w:szCs w:val="20"/>
        </w:rPr>
        <w:t>Alipurduar</w:t>
      </w:r>
      <w:proofErr w:type="spellEnd"/>
      <w:r w:rsidR="008F635D">
        <w:rPr>
          <w:rFonts w:ascii="Arial" w:hAnsi="Arial" w:cs="Arial"/>
          <w:sz w:val="20"/>
          <w:szCs w:val="20"/>
        </w:rPr>
        <w:t>-</w:t>
      </w:r>
      <w:r w:rsidRPr="007E37EC">
        <w:rPr>
          <w:rFonts w:ascii="Arial" w:hAnsi="Arial" w:cs="Arial"/>
          <w:sz w:val="20"/>
          <w:szCs w:val="20"/>
        </w:rPr>
        <w:t xml:space="preserve">II costs Rs 10,118. </w:t>
      </w:r>
      <w:proofErr w:type="spellStart"/>
      <w:r w:rsidRPr="007E37EC">
        <w:rPr>
          <w:rFonts w:ascii="Arial" w:hAnsi="Arial" w:cs="Arial"/>
          <w:sz w:val="20"/>
          <w:szCs w:val="20"/>
        </w:rPr>
        <w:t>Alipurduar</w:t>
      </w:r>
      <w:proofErr w:type="spellEnd"/>
      <w:r w:rsidR="008F635D">
        <w:rPr>
          <w:rFonts w:ascii="Arial" w:hAnsi="Arial" w:cs="Arial"/>
          <w:sz w:val="20"/>
          <w:szCs w:val="20"/>
        </w:rPr>
        <w:t>-</w:t>
      </w:r>
      <w:r w:rsidRPr="007E37EC">
        <w:rPr>
          <w:rFonts w:ascii="Arial" w:hAnsi="Arial" w:cs="Arial"/>
          <w:sz w:val="20"/>
          <w:szCs w:val="20"/>
        </w:rPr>
        <w:t xml:space="preserve">II has the lowest profit margin at 30.87% and makes Rs 4,456 per batch, while </w:t>
      </w:r>
      <w:proofErr w:type="spellStart"/>
      <w:r w:rsidRPr="007E37EC">
        <w:rPr>
          <w:rFonts w:ascii="Arial" w:hAnsi="Arial" w:cs="Arial"/>
          <w:sz w:val="20"/>
          <w:szCs w:val="20"/>
        </w:rPr>
        <w:t>Coochbehar</w:t>
      </w:r>
      <w:proofErr w:type="spellEnd"/>
      <w:r w:rsidR="00EE3B00">
        <w:rPr>
          <w:rFonts w:ascii="Arial" w:hAnsi="Arial" w:cs="Arial"/>
          <w:sz w:val="20"/>
          <w:szCs w:val="20"/>
        </w:rPr>
        <w:t>-</w:t>
      </w:r>
      <w:r w:rsidRPr="007E37EC">
        <w:rPr>
          <w:rFonts w:ascii="Arial" w:hAnsi="Arial" w:cs="Arial"/>
          <w:sz w:val="20"/>
          <w:szCs w:val="20"/>
        </w:rPr>
        <w:t xml:space="preserve">II leads with a profit margin of 42.33% over TVC and makes Rs 7,307 per batch. </w:t>
      </w:r>
      <w:proofErr w:type="spellStart"/>
      <w:r w:rsidRPr="007E37EC">
        <w:rPr>
          <w:rFonts w:ascii="Arial" w:hAnsi="Arial" w:cs="Arial"/>
          <w:sz w:val="20"/>
          <w:szCs w:val="20"/>
        </w:rPr>
        <w:t>Coochbehar</w:t>
      </w:r>
      <w:proofErr w:type="spellEnd"/>
      <w:r w:rsidR="00EE3B00">
        <w:rPr>
          <w:rFonts w:ascii="Arial" w:hAnsi="Arial" w:cs="Arial"/>
          <w:sz w:val="20"/>
          <w:szCs w:val="20"/>
        </w:rPr>
        <w:t>-</w:t>
      </w:r>
      <w:r w:rsidRPr="007E37EC">
        <w:rPr>
          <w:rFonts w:ascii="Arial" w:hAnsi="Arial" w:cs="Arial"/>
          <w:sz w:val="20"/>
          <w:szCs w:val="20"/>
        </w:rPr>
        <w:t xml:space="preserve">II's benefit-cost ratios of 1.72 (TVC) and 1.71 (TC) demonstrate profitability in every region. Although the </w:t>
      </w:r>
      <w:r w:rsidRPr="007E37EC">
        <w:rPr>
          <w:rFonts w:ascii="Arial" w:hAnsi="Arial" w:cs="Arial"/>
          <w:sz w:val="20"/>
          <w:szCs w:val="20"/>
        </w:rPr>
        <w:lastRenderedPageBreak/>
        <w:t>overall average benefit-cost ratio of 1.61 indicates strong profitability, regional differences point to areas with lower performance that could use improvement</w:t>
      </w:r>
      <w:r w:rsidR="00273AAA">
        <w:rPr>
          <w:rFonts w:ascii="Arial" w:hAnsi="Arial" w:cs="Arial"/>
          <w:sz w:val="20"/>
          <w:szCs w:val="20"/>
        </w:rPr>
        <w:t xml:space="preserve"> (Wolf, 2010).</w:t>
      </w:r>
    </w:p>
    <w:p w14:paraId="0D9E60D0" w14:textId="77777777" w:rsidR="00595952" w:rsidRPr="007E37EC" w:rsidRDefault="00595952" w:rsidP="00A40833">
      <w:pPr>
        <w:spacing w:line="360" w:lineRule="auto"/>
        <w:jc w:val="both"/>
        <w:rPr>
          <w:rFonts w:ascii="Arial" w:hAnsi="Arial" w:cs="Arial"/>
          <w:b/>
          <w:bCs/>
          <w:color w:val="000000" w:themeColor="text1"/>
        </w:rPr>
      </w:pPr>
      <w:r w:rsidRPr="007E37EC">
        <w:rPr>
          <w:rFonts w:ascii="Arial" w:hAnsi="Arial" w:cs="Arial"/>
          <w:b/>
          <w:bCs/>
          <w:color w:val="000000" w:themeColor="text1"/>
        </w:rPr>
        <w:t>3.8</w:t>
      </w:r>
      <w:r w:rsidRPr="007E37EC">
        <w:rPr>
          <w:rFonts w:ascii="Arial" w:hAnsi="Arial" w:cs="Arial"/>
          <w:color w:val="000000" w:themeColor="text1"/>
        </w:rPr>
        <w:t xml:space="preserve"> </w:t>
      </w:r>
      <w:r w:rsidRPr="007E37EC">
        <w:rPr>
          <w:rFonts w:ascii="Arial" w:hAnsi="Arial" w:cs="Arial"/>
          <w:b/>
          <w:bCs/>
          <w:color w:val="000000" w:themeColor="text1"/>
        </w:rPr>
        <w:t>Market Concentration and Competitive Dynamics in the Production of Sweet Curd</w:t>
      </w:r>
    </w:p>
    <w:p w14:paraId="0FF4CC9B" w14:textId="7C6A1DC8" w:rsidR="00595952" w:rsidRPr="005D25FA" w:rsidRDefault="00595952" w:rsidP="00A40833">
      <w:pPr>
        <w:spacing w:line="360" w:lineRule="auto"/>
        <w:jc w:val="both"/>
        <w:rPr>
          <w:rFonts w:ascii="Arial" w:hAnsi="Arial" w:cs="Arial"/>
          <w:b/>
          <w:bCs/>
          <w:color w:val="000000" w:themeColor="text1"/>
          <w:sz w:val="20"/>
          <w:szCs w:val="20"/>
        </w:rPr>
      </w:pPr>
      <w:r w:rsidRPr="005D25FA">
        <w:rPr>
          <w:rFonts w:ascii="Arial" w:hAnsi="Arial" w:cs="Arial"/>
          <w:b/>
          <w:bCs/>
          <w:color w:val="000000" w:themeColor="text1"/>
          <w:sz w:val="20"/>
          <w:szCs w:val="20"/>
        </w:rPr>
        <w:t xml:space="preserve">Table 8: </w:t>
      </w:r>
      <w:r w:rsidRPr="005D25FA">
        <w:rPr>
          <w:rFonts w:ascii="Arial" w:hAnsi="Arial" w:cs="Arial"/>
          <w:color w:val="000000" w:themeColor="text1"/>
          <w:sz w:val="20"/>
          <w:szCs w:val="20"/>
        </w:rPr>
        <w:t>Market concentration, HHI and Gini ratio of sweet curd</w:t>
      </w:r>
      <w:r w:rsidR="006E1574" w:rsidRPr="005D25FA">
        <w:rPr>
          <w:rFonts w:ascii="Arial" w:hAnsi="Arial" w:cs="Arial"/>
          <w:color w:val="000000" w:themeColor="text1"/>
          <w:sz w:val="20"/>
          <w:szCs w:val="20"/>
        </w:rPr>
        <w:t xml:space="preserve"> processing firms</w:t>
      </w:r>
    </w:p>
    <w:tbl>
      <w:tblPr>
        <w:tblStyle w:val="TableGrid"/>
        <w:tblW w:w="9549" w:type="dxa"/>
        <w:tblLook w:val="04A0" w:firstRow="1" w:lastRow="0" w:firstColumn="1" w:lastColumn="0" w:noHBand="0" w:noVBand="1"/>
      </w:tblPr>
      <w:tblGrid>
        <w:gridCol w:w="2365"/>
        <w:gridCol w:w="2365"/>
        <w:gridCol w:w="2454"/>
        <w:gridCol w:w="2365"/>
      </w:tblGrid>
      <w:tr w:rsidR="00595952" w:rsidRPr="007E37EC" w14:paraId="72557753" w14:textId="77777777" w:rsidTr="00FD593E">
        <w:trPr>
          <w:trHeight w:val="282"/>
        </w:trPr>
        <w:tc>
          <w:tcPr>
            <w:tcW w:w="2365" w:type="dxa"/>
            <w:noWrap/>
            <w:hideMark/>
          </w:tcPr>
          <w:p w14:paraId="3D59FCE6" w14:textId="77777777" w:rsidR="00595952" w:rsidRPr="007E37EC" w:rsidRDefault="00595952" w:rsidP="00A40833">
            <w:pPr>
              <w:spacing w:line="360" w:lineRule="auto"/>
              <w:jc w:val="both"/>
              <w:rPr>
                <w:rFonts w:ascii="Arial" w:hAnsi="Arial" w:cs="Arial"/>
                <w:b/>
                <w:bCs/>
                <w:color w:val="000000" w:themeColor="text1"/>
                <w:sz w:val="20"/>
                <w:szCs w:val="20"/>
              </w:rPr>
            </w:pPr>
            <w:r w:rsidRPr="007E37EC">
              <w:rPr>
                <w:rFonts w:ascii="Arial" w:hAnsi="Arial" w:cs="Arial"/>
                <w:b/>
                <w:bCs/>
                <w:color w:val="000000" w:themeColor="text1"/>
                <w:sz w:val="20"/>
                <w:szCs w:val="20"/>
              </w:rPr>
              <w:t>Market Segment</w:t>
            </w:r>
          </w:p>
        </w:tc>
        <w:tc>
          <w:tcPr>
            <w:tcW w:w="2365" w:type="dxa"/>
            <w:noWrap/>
            <w:hideMark/>
          </w:tcPr>
          <w:p w14:paraId="4047CBF0" w14:textId="77777777" w:rsidR="00595952" w:rsidRPr="007E37EC" w:rsidRDefault="00595952" w:rsidP="00A40833">
            <w:pPr>
              <w:spacing w:line="360" w:lineRule="auto"/>
              <w:jc w:val="both"/>
              <w:rPr>
                <w:rFonts w:ascii="Arial" w:hAnsi="Arial" w:cs="Arial"/>
                <w:b/>
                <w:bCs/>
                <w:color w:val="000000" w:themeColor="text1"/>
                <w:sz w:val="20"/>
                <w:szCs w:val="20"/>
              </w:rPr>
            </w:pPr>
            <w:r w:rsidRPr="007E37EC">
              <w:rPr>
                <w:rFonts w:ascii="Arial" w:hAnsi="Arial" w:cs="Arial"/>
                <w:b/>
                <w:bCs/>
                <w:color w:val="000000" w:themeColor="text1"/>
                <w:sz w:val="20"/>
                <w:szCs w:val="20"/>
                <w:lang w:val="en-US"/>
              </w:rPr>
              <w:t>CR4 (%)</w:t>
            </w:r>
          </w:p>
        </w:tc>
        <w:tc>
          <w:tcPr>
            <w:tcW w:w="2454" w:type="dxa"/>
            <w:noWrap/>
            <w:hideMark/>
          </w:tcPr>
          <w:p w14:paraId="1D677B80" w14:textId="77777777" w:rsidR="00595952" w:rsidRPr="007E37EC" w:rsidRDefault="00595952" w:rsidP="00A40833">
            <w:pPr>
              <w:spacing w:line="360" w:lineRule="auto"/>
              <w:jc w:val="both"/>
              <w:rPr>
                <w:rFonts w:ascii="Arial" w:hAnsi="Arial" w:cs="Arial"/>
                <w:b/>
                <w:bCs/>
                <w:color w:val="000000" w:themeColor="text1"/>
                <w:sz w:val="20"/>
                <w:szCs w:val="20"/>
              </w:rPr>
            </w:pPr>
            <w:r w:rsidRPr="007E37EC">
              <w:rPr>
                <w:rFonts w:ascii="Arial" w:hAnsi="Arial" w:cs="Arial"/>
                <w:b/>
                <w:bCs/>
                <w:color w:val="000000" w:themeColor="text1"/>
                <w:sz w:val="20"/>
                <w:szCs w:val="20"/>
                <w:lang w:val="en-US"/>
              </w:rPr>
              <w:t>HHI</w:t>
            </w:r>
          </w:p>
        </w:tc>
        <w:tc>
          <w:tcPr>
            <w:tcW w:w="2365" w:type="dxa"/>
            <w:noWrap/>
            <w:hideMark/>
          </w:tcPr>
          <w:p w14:paraId="25F991A7" w14:textId="77777777" w:rsidR="00595952" w:rsidRPr="007E37EC" w:rsidRDefault="00595952" w:rsidP="00A40833">
            <w:pPr>
              <w:spacing w:line="360" w:lineRule="auto"/>
              <w:jc w:val="both"/>
              <w:rPr>
                <w:rFonts w:ascii="Arial" w:hAnsi="Arial" w:cs="Arial"/>
                <w:b/>
                <w:bCs/>
                <w:color w:val="000000" w:themeColor="text1"/>
                <w:sz w:val="20"/>
                <w:szCs w:val="20"/>
              </w:rPr>
            </w:pPr>
            <w:r w:rsidRPr="007E37EC">
              <w:rPr>
                <w:rFonts w:ascii="Arial" w:hAnsi="Arial" w:cs="Arial"/>
                <w:b/>
                <w:bCs/>
                <w:color w:val="000000" w:themeColor="text1"/>
                <w:sz w:val="20"/>
                <w:szCs w:val="20"/>
                <w:lang w:val="en-US"/>
              </w:rPr>
              <w:t>Gini</w:t>
            </w:r>
          </w:p>
        </w:tc>
      </w:tr>
      <w:tr w:rsidR="00595952" w:rsidRPr="007E37EC" w14:paraId="0B32B275" w14:textId="77777777" w:rsidTr="00FD593E">
        <w:trPr>
          <w:trHeight w:val="282"/>
        </w:trPr>
        <w:tc>
          <w:tcPr>
            <w:tcW w:w="2365" w:type="dxa"/>
            <w:noWrap/>
            <w:vAlign w:val="center"/>
            <w:hideMark/>
          </w:tcPr>
          <w:p w14:paraId="53CFAC2E" w14:textId="26F4047D" w:rsidR="00595952" w:rsidRPr="007E37EC" w:rsidRDefault="00595952" w:rsidP="00A40833">
            <w:pPr>
              <w:spacing w:line="360" w:lineRule="auto"/>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Coochbehar</w:t>
            </w:r>
            <w:proofErr w:type="spellEnd"/>
            <w:r w:rsidR="00EE3B00">
              <w:rPr>
                <w:rFonts w:ascii="Arial" w:hAnsi="Arial" w:cs="Arial"/>
                <w:b/>
                <w:bCs/>
                <w:color w:val="000000" w:themeColor="text1"/>
                <w:sz w:val="20"/>
                <w:szCs w:val="20"/>
              </w:rPr>
              <w:t>-</w:t>
            </w:r>
            <w:r w:rsidRPr="007E37EC">
              <w:rPr>
                <w:rFonts w:ascii="Arial" w:hAnsi="Arial" w:cs="Arial"/>
                <w:b/>
                <w:bCs/>
                <w:color w:val="000000" w:themeColor="text1"/>
                <w:sz w:val="20"/>
                <w:szCs w:val="20"/>
              </w:rPr>
              <w:t>II</w:t>
            </w:r>
          </w:p>
        </w:tc>
        <w:tc>
          <w:tcPr>
            <w:tcW w:w="2365" w:type="dxa"/>
            <w:noWrap/>
            <w:hideMark/>
          </w:tcPr>
          <w:p w14:paraId="610D3275" w14:textId="77777777" w:rsidR="00595952" w:rsidRPr="007E37EC" w:rsidRDefault="00595952" w:rsidP="00A40833">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47.35</w:t>
            </w:r>
          </w:p>
        </w:tc>
        <w:tc>
          <w:tcPr>
            <w:tcW w:w="2454" w:type="dxa"/>
            <w:noWrap/>
            <w:hideMark/>
          </w:tcPr>
          <w:p w14:paraId="525592DC" w14:textId="77777777" w:rsidR="00595952" w:rsidRPr="007E37EC" w:rsidRDefault="00595952" w:rsidP="00A40833">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982.97</w:t>
            </w:r>
          </w:p>
        </w:tc>
        <w:tc>
          <w:tcPr>
            <w:tcW w:w="2365" w:type="dxa"/>
            <w:noWrap/>
            <w:hideMark/>
          </w:tcPr>
          <w:p w14:paraId="37EFF264" w14:textId="77777777" w:rsidR="00595952" w:rsidRPr="007E37EC" w:rsidRDefault="00595952" w:rsidP="00A40833">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0.15</w:t>
            </w:r>
          </w:p>
        </w:tc>
      </w:tr>
      <w:tr w:rsidR="00595952" w:rsidRPr="007E37EC" w14:paraId="479A7CCE" w14:textId="77777777" w:rsidTr="00FD593E">
        <w:trPr>
          <w:trHeight w:val="282"/>
        </w:trPr>
        <w:tc>
          <w:tcPr>
            <w:tcW w:w="2365" w:type="dxa"/>
            <w:noWrap/>
            <w:vAlign w:val="center"/>
            <w:hideMark/>
          </w:tcPr>
          <w:p w14:paraId="32F4FAF6" w14:textId="5C9500CD" w:rsidR="00595952" w:rsidRPr="007E37EC" w:rsidRDefault="00595952" w:rsidP="00A40833">
            <w:pPr>
              <w:spacing w:line="360" w:lineRule="auto"/>
              <w:jc w:val="both"/>
              <w:rPr>
                <w:rFonts w:ascii="Arial" w:hAnsi="Arial" w:cs="Arial"/>
                <w:b/>
                <w:bCs/>
                <w:color w:val="000000" w:themeColor="text1"/>
                <w:sz w:val="20"/>
                <w:szCs w:val="20"/>
              </w:rPr>
            </w:pPr>
            <w:proofErr w:type="spellStart"/>
            <w:r w:rsidRPr="007E37EC">
              <w:rPr>
                <w:rFonts w:ascii="Arial" w:hAnsi="Arial" w:cs="Arial"/>
                <w:b/>
                <w:bCs/>
                <w:color w:val="000000" w:themeColor="text1"/>
                <w:spacing w:val="-2"/>
                <w:sz w:val="20"/>
                <w:szCs w:val="20"/>
              </w:rPr>
              <w:t>Tufanganj</w:t>
            </w:r>
            <w:proofErr w:type="spellEnd"/>
            <w:r w:rsidR="00EE3B00">
              <w:rPr>
                <w:rFonts w:ascii="Arial" w:hAnsi="Arial" w:cs="Arial"/>
                <w:b/>
                <w:bCs/>
                <w:color w:val="000000" w:themeColor="text1"/>
                <w:spacing w:val="-2"/>
                <w:sz w:val="20"/>
                <w:szCs w:val="20"/>
              </w:rPr>
              <w:t>-</w:t>
            </w:r>
            <w:r w:rsidRPr="007E37EC">
              <w:rPr>
                <w:rFonts w:ascii="Arial" w:hAnsi="Arial" w:cs="Arial"/>
                <w:b/>
                <w:bCs/>
                <w:color w:val="000000" w:themeColor="text1"/>
                <w:spacing w:val="-2"/>
                <w:sz w:val="20"/>
                <w:szCs w:val="20"/>
              </w:rPr>
              <w:t>I</w:t>
            </w:r>
          </w:p>
        </w:tc>
        <w:tc>
          <w:tcPr>
            <w:tcW w:w="2365" w:type="dxa"/>
            <w:noWrap/>
            <w:hideMark/>
          </w:tcPr>
          <w:p w14:paraId="7B4C7BA4" w14:textId="77777777" w:rsidR="00595952" w:rsidRPr="007E37EC" w:rsidRDefault="00595952" w:rsidP="00A40833">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49.80</w:t>
            </w:r>
          </w:p>
        </w:tc>
        <w:tc>
          <w:tcPr>
            <w:tcW w:w="2454" w:type="dxa"/>
            <w:noWrap/>
            <w:hideMark/>
          </w:tcPr>
          <w:p w14:paraId="40303F56" w14:textId="77777777" w:rsidR="00595952" w:rsidRPr="007E37EC" w:rsidRDefault="00595952" w:rsidP="00A40833">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1071.97</w:t>
            </w:r>
          </w:p>
        </w:tc>
        <w:tc>
          <w:tcPr>
            <w:tcW w:w="2365" w:type="dxa"/>
            <w:noWrap/>
            <w:hideMark/>
          </w:tcPr>
          <w:p w14:paraId="15FA8A5B" w14:textId="77777777" w:rsidR="00595952" w:rsidRPr="007E37EC" w:rsidRDefault="00595952" w:rsidP="00A40833">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0.12</w:t>
            </w:r>
          </w:p>
        </w:tc>
      </w:tr>
      <w:tr w:rsidR="00595952" w:rsidRPr="007E37EC" w14:paraId="6CC50D80" w14:textId="77777777" w:rsidTr="00FD593E">
        <w:trPr>
          <w:trHeight w:val="282"/>
        </w:trPr>
        <w:tc>
          <w:tcPr>
            <w:tcW w:w="2365" w:type="dxa"/>
            <w:noWrap/>
            <w:vAlign w:val="center"/>
            <w:hideMark/>
          </w:tcPr>
          <w:p w14:paraId="0CB2CA13" w14:textId="2772AC40" w:rsidR="00595952" w:rsidRPr="007E37EC" w:rsidRDefault="00595952" w:rsidP="00A40833">
            <w:pPr>
              <w:spacing w:line="360" w:lineRule="auto"/>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Alipurduar</w:t>
            </w:r>
            <w:proofErr w:type="spellEnd"/>
            <w:r w:rsidR="00EE3B00">
              <w:rPr>
                <w:rFonts w:ascii="Arial" w:hAnsi="Arial" w:cs="Arial"/>
                <w:b/>
                <w:bCs/>
                <w:color w:val="000000" w:themeColor="text1"/>
                <w:sz w:val="20"/>
                <w:szCs w:val="20"/>
              </w:rPr>
              <w:t>-</w:t>
            </w:r>
            <w:r w:rsidRPr="007E37EC">
              <w:rPr>
                <w:rFonts w:ascii="Arial" w:hAnsi="Arial" w:cs="Arial"/>
                <w:b/>
                <w:bCs/>
                <w:color w:val="000000" w:themeColor="text1"/>
                <w:spacing w:val="-10"/>
                <w:sz w:val="20"/>
                <w:szCs w:val="20"/>
              </w:rPr>
              <w:t>I</w:t>
            </w:r>
          </w:p>
        </w:tc>
        <w:tc>
          <w:tcPr>
            <w:tcW w:w="2365" w:type="dxa"/>
            <w:noWrap/>
            <w:hideMark/>
          </w:tcPr>
          <w:p w14:paraId="41FEE935" w14:textId="77777777" w:rsidR="00595952" w:rsidRPr="007E37EC" w:rsidRDefault="00595952" w:rsidP="00A40833">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100.00</w:t>
            </w:r>
          </w:p>
        </w:tc>
        <w:tc>
          <w:tcPr>
            <w:tcW w:w="2454" w:type="dxa"/>
            <w:noWrap/>
            <w:hideMark/>
          </w:tcPr>
          <w:p w14:paraId="6B4579D5" w14:textId="77777777" w:rsidR="00595952" w:rsidRPr="007E37EC" w:rsidRDefault="00595952" w:rsidP="00A40833">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2548.72</w:t>
            </w:r>
          </w:p>
        </w:tc>
        <w:tc>
          <w:tcPr>
            <w:tcW w:w="2365" w:type="dxa"/>
            <w:noWrap/>
            <w:hideMark/>
          </w:tcPr>
          <w:p w14:paraId="635FC994" w14:textId="77777777" w:rsidR="00595952" w:rsidRPr="007E37EC" w:rsidRDefault="00595952" w:rsidP="00A40833">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0.08</w:t>
            </w:r>
          </w:p>
        </w:tc>
      </w:tr>
      <w:tr w:rsidR="00595952" w:rsidRPr="007E37EC" w14:paraId="1CC837C9" w14:textId="77777777" w:rsidTr="00FD593E">
        <w:trPr>
          <w:trHeight w:val="282"/>
        </w:trPr>
        <w:tc>
          <w:tcPr>
            <w:tcW w:w="2365" w:type="dxa"/>
            <w:noWrap/>
            <w:vAlign w:val="center"/>
            <w:hideMark/>
          </w:tcPr>
          <w:p w14:paraId="5EA3E66D" w14:textId="37765CEA" w:rsidR="00595952" w:rsidRPr="007E37EC" w:rsidRDefault="00595952" w:rsidP="00A40833">
            <w:pPr>
              <w:spacing w:line="360" w:lineRule="auto"/>
              <w:jc w:val="both"/>
              <w:rPr>
                <w:rFonts w:ascii="Arial" w:hAnsi="Arial" w:cs="Arial"/>
                <w:b/>
                <w:bCs/>
                <w:color w:val="000000" w:themeColor="text1"/>
                <w:sz w:val="20"/>
                <w:szCs w:val="20"/>
              </w:rPr>
            </w:pPr>
            <w:proofErr w:type="spellStart"/>
            <w:r w:rsidRPr="007E37EC">
              <w:rPr>
                <w:rFonts w:ascii="Arial" w:hAnsi="Arial" w:cs="Arial"/>
                <w:b/>
                <w:bCs/>
                <w:color w:val="000000" w:themeColor="text1"/>
                <w:sz w:val="20"/>
                <w:szCs w:val="20"/>
              </w:rPr>
              <w:t>Alipurduar</w:t>
            </w:r>
            <w:proofErr w:type="spellEnd"/>
            <w:r w:rsidR="00EE3B00">
              <w:rPr>
                <w:rFonts w:ascii="Arial" w:hAnsi="Arial" w:cs="Arial"/>
                <w:b/>
                <w:bCs/>
                <w:color w:val="000000" w:themeColor="text1"/>
                <w:sz w:val="20"/>
                <w:szCs w:val="20"/>
              </w:rPr>
              <w:t>-</w:t>
            </w:r>
            <w:r w:rsidRPr="007E37EC">
              <w:rPr>
                <w:rFonts w:ascii="Arial" w:hAnsi="Arial" w:cs="Arial"/>
                <w:b/>
                <w:bCs/>
                <w:color w:val="000000" w:themeColor="text1"/>
                <w:spacing w:val="-5"/>
                <w:sz w:val="20"/>
                <w:szCs w:val="20"/>
              </w:rPr>
              <w:t>II</w:t>
            </w:r>
          </w:p>
        </w:tc>
        <w:tc>
          <w:tcPr>
            <w:tcW w:w="2365" w:type="dxa"/>
            <w:noWrap/>
            <w:hideMark/>
          </w:tcPr>
          <w:p w14:paraId="50CBD869" w14:textId="77777777" w:rsidR="00595952" w:rsidRPr="007E37EC" w:rsidRDefault="00595952" w:rsidP="00A40833">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72.46</w:t>
            </w:r>
          </w:p>
        </w:tc>
        <w:tc>
          <w:tcPr>
            <w:tcW w:w="2454" w:type="dxa"/>
            <w:noWrap/>
            <w:hideMark/>
          </w:tcPr>
          <w:p w14:paraId="373A14CE" w14:textId="77777777" w:rsidR="00595952" w:rsidRPr="007E37EC" w:rsidRDefault="00595952" w:rsidP="00A40833">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1694.19</w:t>
            </w:r>
          </w:p>
        </w:tc>
        <w:tc>
          <w:tcPr>
            <w:tcW w:w="2365" w:type="dxa"/>
            <w:noWrap/>
            <w:hideMark/>
          </w:tcPr>
          <w:p w14:paraId="4A3CE273" w14:textId="77777777" w:rsidR="00595952" w:rsidRPr="007E37EC" w:rsidRDefault="00595952" w:rsidP="00A40833">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lang w:val="en-US"/>
              </w:rPr>
              <w:t>0.07</w:t>
            </w:r>
          </w:p>
        </w:tc>
      </w:tr>
      <w:tr w:rsidR="00595952" w:rsidRPr="007E37EC" w14:paraId="54968F14" w14:textId="77777777" w:rsidTr="00FD593E">
        <w:trPr>
          <w:trHeight w:val="282"/>
        </w:trPr>
        <w:tc>
          <w:tcPr>
            <w:tcW w:w="2365" w:type="dxa"/>
            <w:noWrap/>
          </w:tcPr>
          <w:p w14:paraId="4810E3F9" w14:textId="77777777" w:rsidR="00595952" w:rsidRPr="007E37EC" w:rsidRDefault="00595952" w:rsidP="00A40833">
            <w:pPr>
              <w:spacing w:line="360" w:lineRule="auto"/>
              <w:jc w:val="both"/>
              <w:rPr>
                <w:rFonts w:ascii="Arial" w:hAnsi="Arial" w:cs="Arial"/>
                <w:b/>
                <w:bCs/>
                <w:color w:val="000000" w:themeColor="text1"/>
                <w:sz w:val="20"/>
                <w:szCs w:val="20"/>
                <w:lang w:val="en-US"/>
              </w:rPr>
            </w:pPr>
            <w:r w:rsidRPr="007E37EC">
              <w:rPr>
                <w:rFonts w:ascii="Arial" w:hAnsi="Arial" w:cs="Arial"/>
                <w:b/>
                <w:bCs/>
                <w:color w:val="000000" w:themeColor="text1"/>
                <w:sz w:val="20"/>
                <w:szCs w:val="20"/>
                <w:lang w:val="en-US"/>
              </w:rPr>
              <w:t>Overall</w:t>
            </w:r>
          </w:p>
        </w:tc>
        <w:tc>
          <w:tcPr>
            <w:tcW w:w="2365" w:type="dxa"/>
            <w:noWrap/>
          </w:tcPr>
          <w:p w14:paraId="4B06AC03" w14:textId="77777777" w:rsidR="00595952" w:rsidRPr="007E37EC" w:rsidRDefault="00595952" w:rsidP="00A40833">
            <w:pPr>
              <w:spacing w:line="360" w:lineRule="auto"/>
              <w:jc w:val="both"/>
              <w:rPr>
                <w:rFonts w:ascii="Arial" w:hAnsi="Arial" w:cs="Arial"/>
                <w:b/>
                <w:bCs/>
                <w:color w:val="000000" w:themeColor="text1"/>
                <w:sz w:val="20"/>
                <w:szCs w:val="20"/>
                <w:lang w:val="en-US"/>
              </w:rPr>
            </w:pPr>
            <w:r w:rsidRPr="007E37EC">
              <w:rPr>
                <w:rFonts w:ascii="Arial" w:hAnsi="Arial" w:cs="Arial"/>
                <w:b/>
                <w:bCs/>
                <w:color w:val="000000" w:themeColor="text1"/>
                <w:sz w:val="20"/>
                <w:szCs w:val="20"/>
                <w:lang w:val="en-US"/>
              </w:rPr>
              <w:t>59.79</w:t>
            </w:r>
          </w:p>
        </w:tc>
        <w:tc>
          <w:tcPr>
            <w:tcW w:w="2454" w:type="dxa"/>
            <w:noWrap/>
          </w:tcPr>
          <w:p w14:paraId="5A01BFC9" w14:textId="77777777" w:rsidR="00595952" w:rsidRPr="007E37EC" w:rsidRDefault="00595952" w:rsidP="00A40833">
            <w:pPr>
              <w:spacing w:line="360" w:lineRule="auto"/>
              <w:jc w:val="both"/>
              <w:rPr>
                <w:rFonts w:ascii="Arial" w:hAnsi="Arial" w:cs="Arial"/>
                <w:b/>
                <w:bCs/>
                <w:color w:val="000000" w:themeColor="text1"/>
                <w:sz w:val="20"/>
                <w:szCs w:val="20"/>
                <w:lang w:val="en-US"/>
              </w:rPr>
            </w:pPr>
            <w:r w:rsidRPr="007E37EC">
              <w:rPr>
                <w:rFonts w:ascii="Arial" w:hAnsi="Arial" w:cs="Arial"/>
                <w:b/>
                <w:bCs/>
                <w:color w:val="000000" w:themeColor="text1"/>
                <w:sz w:val="20"/>
                <w:szCs w:val="20"/>
                <w:lang w:val="en-US"/>
              </w:rPr>
              <w:t>1351.37</w:t>
            </w:r>
          </w:p>
        </w:tc>
        <w:tc>
          <w:tcPr>
            <w:tcW w:w="2365" w:type="dxa"/>
            <w:noWrap/>
          </w:tcPr>
          <w:p w14:paraId="102773EA" w14:textId="77777777" w:rsidR="00595952" w:rsidRPr="007E37EC" w:rsidRDefault="00595952" w:rsidP="00A40833">
            <w:pPr>
              <w:spacing w:line="360" w:lineRule="auto"/>
              <w:jc w:val="both"/>
              <w:rPr>
                <w:rFonts w:ascii="Arial" w:hAnsi="Arial" w:cs="Arial"/>
                <w:b/>
                <w:bCs/>
                <w:color w:val="000000" w:themeColor="text1"/>
                <w:sz w:val="20"/>
                <w:szCs w:val="20"/>
                <w:lang w:val="en-US"/>
              </w:rPr>
            </w:pPr>
            <w:r w:rsidRPr="007E37EC">
              <w:rPr>
                <w:rFonts w:ascii="Arial" w:hAnsi="Arial" w:cs="Arial"/>
                <w:b/>
                <w:bCs/>
                <w:color w:val="000000" w:themeColor="text1"/>
                <w:sz w:val="20"/>
                <w:szCs w:val="20"/>
                <w:lang w:val="en-US"/>
              </w:rPr>
              <w:t>0.11</w:t>
            </w:r>
          </w:p>
        </w:tc>
      </w:tr>
    </w:tbl>
    <w:p w14:paraId="1106EE02" w14:textId="77777777" w:rsidR="00A4428E" w:rsidRPr="007E37EC" w:rsidRDefault="00A4428E" w:rsidP="00A40833">
      <w:pPr>
        <w:spacing w:after="0"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Source: Primary data collected through field survey (April 2024- March 2025)</w:t>
      </w:r>
    </w:p>
    <w:p w14:paraId="174AF56C" w14:textId="77777777" w:rsidR="005D25FA" w:rsidRDefault="005D25FA" w:rsidP="00A40833">
      <w:pPr>
        <w:pStyle w:val="BodyText"/>
        <w:spacing w:line="360" w:lineRule="auto"/>
        <w:jc w:val="both"/>
        <w:rPr>
          <w:rFonts w:ascii="Arial" w:hAnsi="Arial" w:cs="Arial"/>
          <w:color w:val="000000" w:themeColor="text1"/>
          <w:lang w:val="en-IN"/>
        </w:rPr>
      </w:pPr>
    </w:p>
    <w:p w14:paraId="7F99DEC0" w14:textId="4282313D" w:rsidR="00595952" w:rsidRPr="007E37EC" w:rsidRDefault="00595952" w:rsidP="00A40833">
      <w:pPr>
        <w:pStyle w:val="BodyText"/>
        <w:spacing w:line="360" w:lineRule="auto"/>
        <w:jc w:val="both"/>
        <w:rPr>
          <w:rFonts w:ascii="Arial" w:hAnsi="Arial" w:cs="Arial"/>
          <w:color w:val="000000" w:themeColor="text1"/>
          <w:lang w:val="en-IN"/>
        </w:rPr>
      </w:pPr>
      <w:r w:rsidRPr="007E37EC">
        <w:rPr>
          <w:rFonts w:ascii="Arial" w:hAnsi="Arial" w:cs="Arial"/>
          <w:color w:val="000000" w:themeColor="text1"/>
          <w:lang w:val="en-IN"/>
        </w:rPr>
        <w:t xml:space="preserve">The table </w:t>
      </w:r>
      <w:proofErr w:type="spellStart"/>
      <w:r w:rsidR="00DF5207">
        <w:rPr>
          <w:rFonts w:ascii="Arial" w:hAnsi="Arial" w:cs="Arial"/>
          <w:color w:val="000000" w:themeColor="text1"/>
          <w:lang w:val="en-IN"/>
        </w:rPr>
        <w:t>analyze</w:t>
      </w:r>
      <w:r w:rsidR="009217AB" w:rsidRPr="007E37EC">
        <w:rPr>
          <w:rFonts w:ascii="Arial" w:hAnsi="Arial" w:cs="Arial"/>
          <w:color w:val="000000" w:themeColor="text1"/>
          <w:lang w:val="en-IN"/>
        </w:rPr>
        <w:t>s</w:t>
      </w:r>
      <w:proofErr w:type="spellEnd"/>
      <w:r w:rsidRPr="007E37EC">
        <w:rPr>
          <w:rFonts w:ascii="Arial" w:hAnsi="Arial" w:cs="Arial"/>
          <w:color w:val="000000" w:themeColor="text1"/>
          <w:lang w:val="en-IN"/>
        </w:rPr>
        <w:t xml:space="preserve"> the intensity of competition using three key metrics: the four-firm concentration ratio (CR4), the Herfindahl-Hirschman Index (HHI), and Gini coefficients. </w:t>
      </w:r>
      <w:proofErr w:type="spellStart"/>
      <w:r w:rsidRPr="007E37EC">
        <w:rPr>
          <w:rFonts w:ascii="Arial" w:hAnsi="Arial" w:cs="Arial"/>
          <w:color w:val="000000" w:themeColor="text1"/>
          <w:lang w:val="en-IN"/>
        </w:rPr>
        <w:t>Alipurduar</w:t>
      </w:r>
      <w:proofErr w:type="spellEnd"/>
      <w:r w:rsidRPr="007E37EC">
        <w:rPr>
          <w:rFonts w:ascii="Arial" w:hAnsi="Arial" w:cs="Arial"/>
          <w:color w:val="000000" w:themeColor="text1"/>
          <w:lang w:val="en-IN"/>
        </w:rPr>
        <w:t xml:space="preserve">-I exhibits a CR4 of 100%, indicating a complete oligopoly, whereas Cooch Behar-II demonstrates </w:t>
      </w:r>
      <w:r w:rsidR="00372D42">
        <w:rPr>
          <w:rFonts w:ascii="Arial" w:hAnsi="Arial" w:cs="Arial"/>
          <w:color w:val="000000" w:themeColor="text1"/>
          <w:lang w:val="en-IN"/>
        </w:rPr>
        <w:t>a</w:t>
      </w:r>
      <w:r w:rsidRPr="007E37EC">
        <w:rPr>
          <w:rFonts w:ascii="Arial" w:hAnsi="Arial" w:cs="Arial"/>
          <w:color w:val="000000" w:themeColor="text1"/>
          <w:lang w:val="en-IN"/>
        </w:rPr>
        <w:t xml:space="preserve"> </w:t>
      </w:r>
      <w:r w:rsidR="00637349" w:rsidRPr="007E37EC">
        <w:rPr>
          <w:rFonts w:ascii="Arial" w:hAnsi="Arial" w:cs="Arial"/>
          <w:color w:val="000000" w:themeColor="text1"/>
          <w:lang w:val="en-IN"/>
        </w:rPr>
        <w:t>high</w:t>
      </w:r>
      <w:r w:rsidRPr="007E37EC">
        <w:rPr>
          <w:rFonts w:ascii="Arial" w:hAnsi="Arial" w:cs="Arial"/>
          <w:color w:val="000000" w:themeColor="text1"/>
          <w:lang w:val="en-IN"/>
        </w:rPr>
        <w:t xml:space="preserve"> level of competition with a CR4 of 47.35%. The HHI for </w:t>
      </w:r>
      <w:proofErr w:type="spellStart"/>
      <w:r w:rsidRPr="007E37EC">
        <w:rPr>
          <w:rFonts w:ascii="Arial" w:hAnsi="Arial" w:cs="Arial"/>
          <w:color w:val="000000" w:themeColor="text1"/>
          <w:lang w:val="en-IN"/>
        </w:rPr>
        <w:t>Alipurduar</w:t>
      </w:r>
      <w:proofErr w:type="spellEnd"/>
      <w:r w:rsidRPr="007E37EC">
        <w:rPr>
          <w:rFonts w:ascii="Arial" w:hAnsi="Arial" w:cs="Arial"/>
          <w:color w:val="000000" w:themeColor="text1"/>
          <w:lang w:val="en-IN"/>
        </w:rPr>
        <w:t xml:space="preserve">-I is 2,548.72, reflecting a highly concentrated market. In contrast, Cooch Behar-II and </w:t>
      </w:r>
      <w:proofErr w:type="spellStart"/>
      <w:r w:rsidRPr="007E37EC">
        <w:rPr>
          <w:rFonts w:ascii="Arial" w:hAnsi="Arial" w:cs="Arial"/>
          <w:color w:val="000000" w:themeColor="text1"/>
          <w:lang w:val="en-IN"/>
        </w:rPr>
        <w:t>Tufanganj</w:t>
      </w:r>
      <w:proofErr w:type="spellEnd"/>
      <w:r w:rsidR="00E52B18">
        <w:rPr>
          <w:rFonts w:ascii="Arial" w:hAnsi="Arial" w:cs="Arial"/>
          <w:color w:val="000000" w:themeColor="text1"/>
          <w:lang w:val="en-IN"/>
        </w:rPr>
        <w:t>-</w:t>
      </w:r>
      <w:r w:rsidRPr="007E37EC">
        <w:rPr>
          <w:rFonts w:ascii="Arial" w:hAnsi="Arial" w:cs="Arial"/>
          <w:color w:val="000000" w:themeColor="text1"/>
          <w:lang w:val="en-IN"/>
        </w:rPr>
        <w:t xml:space="preserve">I display </w:t>
      </w:r>
      <w:r w:rsidR="009217AB" w:rsidRPr="007E37EC">
        <w:rPr>
          <w:rFonts w:ascii="Arial" w:hAnsi="Arial" w:cs="Arial"/>
          <w:color w:val="000000" w:themeColor="text1"/>
          <w:lang w:val="en-IN"/>
        </w:rPr>
        <w:t>slightly moderate</w:t>
      </w:r>
      <w:r w:rsidRPr="007E37EC">
        <w:rPr>
          <w:rFonts w:ascii="Arial" w:hAnsi="Arial" w:cs="Arial"/>
          <w:color w:val="000000" w:themeColor="text1"/>
          <w:lang w:val="en-IN"/>
        </w:rPr>
        <w:t xml:space="preserve"> competition, with HHIs of 982.97 and 1,071.97, respectively. Despite these differences in market concentration, the low Gini coefficients (ranging from 0.07 to 0.15) suggest a relatively equitable distribution of market share. These findings indicate that even in structurally concentrated markets, the competitive landscape can remain balanced, with firms exhibiting comparable capabilities and effective strategies. Overall, the market demonstrates moderate concentration, as evidenced by a 59.79% CR4 and an HHI of 1,351.37 (Porter, 2008; Cabral, 2017). </w:t>
      </w:r>
    </w:p>
    <w:p w14:paraId="189EB263" w14:textId="4FC2E46C" w:rsidR="00595952" w:rsidRPr="007E37EC" w:rsidRDefault="00595952" w:rsidP="00A40833">
      <w:pPr>
        <w:pStyle w:val="BodyText"/>
        <w:spacing w:line="360" w:lineRule="auto"/>
        <w:jc w:val="both"/>
        <w:rPr>
          <w:rFonts w:ascii="Arial" w:hAnsi="Arial" w:cs="Arial"/>
          <w:b/>
          <w:bCs/>
          <w:color w:val="000000" w:themeColor="text1"/>
          <w:sz w:val="22"/>
          <w:szCs w:val="22"/>
          <w:lang w:val="en-IN"/>
        </w:rPr>
      </w:pPr>
      <w:r w:rsidRPr="007E37EC">
        <w:rPr>
          <w:rFonts w:ascii="Arial" w:hAnsi="Arial" w:cs="Arial"/>
          <w:b/>
          <w:bCs/>
          <w:color w:val="000000" w:themeColor="text1"/>
          <w:sz w:val="22"/>
          <w:szCs w:val="22"/>
          <w:lang w:val="en-IN"/>
        </w:rPr>
        <w:t xml:space="preserve">3.9 Analysis of </w:t>
      </w:r>
      <w:r w:rsidR="00B40B29">
        <w:rPr>
          <w:rFonts w:ascii="Arial" w:hAnsi="Arial" w:cs="Arial"/>
          <w:b/>
          <w:bCs/>
          <w:color w:val="000000" w:themeColor="text1"/>
          <w:sz w:val="22"/>
          <w:szCs w:val="22"/>
          <w:lang w:val="en-IN"/>
        </w:rPr>
        <w:t>the seasonal</w:t>
      </w:r>
      <w:r w:rsidRPr="007E37EC">
        <w:rPr>
          <w:rFonts w:ascii="Arial" w:hAnsi="Arial" w:cs="Arial"/>
          <w:b/>
          <w:bCs/>
          <w:color w:val="000000" w:themeColor="text1"/>
          <w:sz w:val="22"/>
          <w:szCs w:val="22"/>
          <w:lang w:val="en-IN"/>
        </w:rPr>
        <w:t xml:space="preserve"> variation of sweet curd demand</w:t>
      </w:r>
    </w:p>
    <w:p w14:paraId="016618CC" w14:textId="6A8967F7" w:rsidR="00D9174F" w:rsidRPr="007446A2" w:rsidRDefault="00595952" w:rsidP="00A40833">
      <w:pPr>
        <w:spacing w:line="360" w:lineRule="auto"/>
        <w:jc w:val="both"/>
        <w:rPr>
          <w:rFonts w:ascii="Arial" w:hAnsi="Arial" w:cs="Arial"/>
          <w:sz w:val="20"/>
          <w:szCs w:val="20"/>
        </w:rPr>
      </w:pPr>
      <w:r w:rsidRPr="005D25FA">
        <w:rPr>
          <w:rFonts w:ascii="Arial" w:hAnsi="Arial" w:cs="Arial"/>
          <w:b/>
          <w:bCs/>
          <w:sz w:val="20"/>
          <w:szCs w:val="20"/>
        </w:rPr>
        <w:t xml:space="preserve">Table 9: </w:t>
      </w:r>
      <w:r w:rsidRPr="005D25FA">
        <w:rPr>
          <w:rFonts w:ascii="Arial" w:hAnsi="Arial" w:cs="Arial"/>
          <w:sz w:val="20"/>
          <w:szCs w:val="20"/>
        </w:rPr>
        <w:t>Seasonality indices of production</w:t>
      </w:r>
    </w:p>
    <w:tbl>
      <w:tblPr>
        <w:tblStyle w:val="TableGrid"/>
        <w:tblW w:w="9387" w:type="dxa"/>
        <w:tblLook w:val="04A0" w:firstRow="1" w:lastRow="0" w:firstColumn="1" w:lastColumn="0" w:noHBand="0" w:noVBand="1"/>
      </w:tblPr>
      <w:tblGrid>
        <w:gridCol w:w="1923"/>
        <w:gridCol w:w="2076"/>
        <w:gridCol w:w="1796"/>
        <w:gridCol w:w="1796"/>
        <w:gridCol w:w="1796"/>
      </w:tblGrid>
      <w:tr w:rsidR="00D9174F" w:rsidRPr="007E37EC" w14:paraId="175477C4" w14:textId="77777777" w:rsidTr="007446A2">
        <w:trPr>
          <w:trHeight w:val="192"/>
        </w:trPr>
        <w:tc>
          <w:tcPr>
            <w:tcW w:w="1923" w:type="dxa"/>
            <w:noWrap/>
            <w:vAlign w:val="center"/>
            <w:hideMark/>
          </w:tcPr>
          <w:p w14:paraId="5A8BB8C7" w14:textId="77777777" w:rsidR="00D9174F" w:rsidRPr="007E37EC" w:rsidRDefault="00D9174F" w:rsidP="00A40833">
            <w:pPr>
              <w:spacing w:after="160" w:line="360" w:lineRule="auto"/>
              <w:jc w:val="both"/>
              <w:rPr>
                <w:rFonts w:ascii="Arial" w:hAnsi="Arial" w:cs="Arial"/>
                <w:b/>
                <w:bCs/>
                <w:sz w:val="20"/>
                <w:szCs w:val="20"/>
              </w:rPr>
            </w:pPr>
            <w:r w:rsidRPr="007E37EC">
              <w:rPr>
                <w:rFonts w:ascii="Arial" w:hAnsi="Arial" w:cs="Arial"/>
                <w:b/>
                <w:bCs/>
                <w:sz w:val="20"/>
                <w:szCs w:val="20"/>
              </w:rPr>
              <w:t>Blocks</w:t>
            </w:r>
          </w:p>
        </w:tc>
        <w:tc>
          <w:tcPr>
            <w:tcW w:w="2076" w:type="dxa"/>
            <w:noWrap/>
            <w:vAlign w:val="center"/>
            <w:hideMark/>
          </w:tcPr>
          <w:p w14:paraId="559D3E69" w14:textId="77777777" w:rsidR="00D9174F" w:rsidRPr="007E37EC" w:rsidRDefault="00D9174F" w:rsidP="00A40833">
            <w:pPr>
              <w:spacing w:after="160" w:line="360" w:lineRule="auto"/>
              <w:jc w:val="both"/>
              <w:rPr>
                <w:rFonts w:ascii="Arial" w:hAnsi="Arial" w:cs="Arial"/>
                <w:b/>
                <w:bCs/>
                <w:sz w:val="20"/>
                <w:szCs w:val="20"/>
              </w:rPr>
            </w:pPr>
            <w:r w:rsidRPr="007E37EC">
              <w:rPr>
                <w:rFonts w:ascii="Arial" w:hAnsi="Arial" w:cs="Arial"/>
                <w:b/>
                <w:bCs/>
                <w:sz w:val="20"/>
                <w:szCs w:val="20"/>
              </w:rPr>
              <w:t>April-June SI (%)</w:t>
            </w:r>
          </w:p>
        </w:tc>
        <w:tc>
          <w:tcPr>
            <w:tcW w:w="1796" w:type="dxa"/>
            <w:noWrap/>
            <w:vAlign w:val="center"/>
            <w:hideMark/>
          </w:tcPr>
          <w:p w14:paraId="0C7027E7" w14:textId="77777777" w:rsidR="00D9174F" w:rsidRPr="007E37EC" w:rsidRDefault="00D9174F" w:rsidP="00A40833">
            <w:pPr>
              <w:spacing w:after="160" w:line="360" w:lineRule="auto"/>
              <w:jc w:val="both"/>
              <w:rPr>
                <w:rFonts w:ascii="Arial" w:hAnsi="Arial" w:cs="Arial"/>
                <w:b/>
                <w:bCs/>
                <w:sz w:val="20"/>
                <w:szCs w:val="20"/>
              </w:rPr>
            </w:pPr>
            <w:r w:rsidRPr="007E37EC">
              <w:rPr>
                <w:rFonts w:ascii="Arial" w:hAnsi="Arial" w:cs="Arial"/>
                <w:b/>
                <w:bCs/>
                <w:sz w:val="20"/>
                <w:szCs w:val="20"/>
              </w:rPr>
              <w:t>July-September SI (%)</w:t>
            </w:r>
          </w:p>
        </w:tc>
        <w:tc>
          <w:tcPr>
            <w:tcW w:w="1796" w:type="dxa"/>
            <w:noWrap/>
            <w:vAlign w:val="center"/>
            <w:hideMark/>
          </w:tcPr>
          <w:p w14:paraId="45B76FA8" w14:textId="77777777" w:rsidR="00D9174F" w:rsidRPr="007E37EC" w:rsidRDefault="00D9174F" w:rsidP="00A40833">
            <w:pPr>
              <w:spacing w:after="160" w:line="360" w:lineRule="auto"/>
              <w:jc w:val="both"/>
              <w:rPr>
                <w:rFonts w:ascii="Arial" w:hAnsi="Arial" w:cs="Arial"/>
                <w:b/>
                <w:bCs/>
                <w:sz w:val="20"/>
                <w:szCs w:val="20"/>
              </w:rPr>
            </w:pPr>
            <w:r w:rsidRPr="007E37EC">
              <w:rPr>
                <w:rFonts w:ascii="Arial" w:hAnsi="Arial" w:cs="Arial"/>
                <w:b/>
                <w:bCs/>
                <w:sz w:val="20"/>
                <w:szCs w:val="20"/>
              </w:rPr>
              <w:t>September-December SI (%)</w:t>
            </w:r>
          </w:p>
        </w:tc>
        <w:tc>
          <w:tcPr>
            <w:tcW w:w="1796" w:type="dxa"/>
            <w:noWrap/>
            <w:vAlign w:val="center"/>
            <w:hideMark/>
          </w:tcPr>
          <w:p w14:paraId="2943565A" w14:textId="77777777" w:rsidR="00D9174F" w:rsidRPr="007E37EC" w:rsidRDefault="00D9174F" w:rsidP="00A40833">
            <w:pPr>
              <w:spacing w:after="160" w:line="360" w:lineRule="auto"/>
              <w:jc w:val="both"/>
              <w:rPr>
                <w:rFonts w:ascii="Arial" w:hAnsi="Arial" w:cs="Arial"/>
                <w:b/>
                <w:bCs/>
                <w:sz w:val="20"/>
                <w:szCs w:val="20"/>
              </w:rPr>
            </w:pPr>
            <w:r w:rsidRPr="007E37EC">
              <w:rPr>
                <w:rFonts w:ascii="Arial" w:hAnsi="Arial" w:cs="Arial"/>
                <w:b/>
                <w:bCs/>
                <w:sz w:val="20"/>
                <w:szCs w:val="20"/>
              </w:rPr>
              <w:t>December-March SI (%)</w:t>
            </w:r>
          </w:p>
        </w:tc>
      </w:tr>
      <w:tr w:rsidR="00D9174F" w:rsidRPr="007E37EC" w14:paraId="7BB900E9" w14:textId="77777777" w:rsidTr="007446A2">
        <w:trPr>
          <w:trHeight w:val="192"/>
        </w:trPr>
        <w:tc>
          <w:tcPr>
            <w:tcW w:w="1923" w:type="dxa"/>
            <w:noWrap/>
            <w:vAlign w:val="center"/>
            <w:hideMark/>
          </w:tcPr>
          <w:p w14:paraId="1E834F1B" w14:textId="599D59A3" w:rsidR="00D9174F" w:rsidRPr="007E37EC" w:rsidRDefault="00D9174F" w:rsidP="00A40833">
            <w:pPr>
              <w:spacing w:after="160" w:line="360" w:lineRule="auto"/>
              <w:jc w:val="both"/>
              <w:rPr>
                <w:rFonts w:ascii="Arial" w:hAnsi="Arial" w:cs="Arial"/>
                <w:b/>
                <w:bCs/>
                <w:sz w:val="20"/>
                <w:szCs w:val="20"/>
              </w:rPr>
            </w:pPr>
            <w:proofErr w:type="spellStart"/>
            <w:r w:rsidRPr="007E37EC">
              <w:rPr>
                <w:rFonts w:ascii="Arial" w:hAnsi="Arial" w:cs="Arial"/>
                <w:b/>
                <w:bCs/>
                <w:color w:val="000000" w:themeColor="text1"/>
                <w:sz w:val="20"/>
                <w:szCs w:val="20"/>
              </w:rPr>
              <w:t>Coochbehar</w:t>
            </w:r>
            <w:proofErr w:type="spellEnd"/>
            <w:r w:rsidR="00AA6FCD">
              <w:rPr>
                <w:rFonts w:ascii="Arial" w:hAnsi="Arial" w:cs="Arial"/>
                <w:b/>
                <w:bCs/>
                <w:color w:val="000000" w:themeColor="text1"/>
                <w:sz w:val="20"/>
                <w:szCs w:val="20"/>
              </w:rPr>
              <w:t>-</w:t>
            </w:r>
            <w:r w:rsidRPr="007E37EC">
              <w:rPr>
                <w:rFonts w:ascii="Arial" w:hAnsi="Arial" w:cs="Arial"/>
                <w:b/>
                <w:bCs/>
                <w:color w:val="000000" w:themeColor="text1"/>
                <w:sz w:val="20"/>
                <w:szCs w:val="20"/>
              </w:rPr>
              <w:t>II</w:t>
            </w:r>
          </w:p>
        </w:tc>
        <w:tc>
          <w:tcPr>
            <w:tcW w:w="2076" w:type="dxa"/>
            <w:noWrap/>
            <w:vAlign w:val="center"/>
            <w:hideMark/>
          </w:tcPr>
          <w:p w14:paraId="4551DC6A" w14:textId="77777777" w:rsidR="00D9174F" w:rsidRPr="007E37EC" w:rsidRDefault="00D9174F" w:rsidP="00A40833">
            <w:pPr>
              <w:spacing w:after="160" w:line="360" w:lineRule="auto"/>
              <w:jc w:val="both"/>
              <w:rPr>
                <w:rFonts w:ascii="Arial" w:hAnsi="Arial" w:cs="Arial"/>
                <w:sz w:val="20"/>
                <w:szCs w:val="20"/>
              </w:rPr>
            </w:pPr>
            <w:r w:rsidRPr="007E37EC">
              <w:rPr>
                <w:rFonts w:ascii="Arial" w:hAnsi="Arial" w:cs="Arial"/>
                <w:sz w:val="20"/>
                <w:szCs w:val="20"/>
              </w:rPr>
              <w:t>91.51</w:t>
            </w:r>
          </w:p>
        </w:tc>
        <w:tc>
          <w:tcPr>
            <w:tcW w:w="1796" w:type="dxa"/>
            <w:noWrap/>
            <w:vAlign w:val="center"/>
            <w:hideMark/>
          </w:tcPr>
          <w:p w14:paraId="7081A3D9" w14:textId="77777777" w:rsidR="00D9174F" w:rsidRPr="007E37EC" w:rsidRDefault="00D9174F" w:rsidP="00A40833">
            <w:pPr>
              <w:spacing w:after="160" w:line="360" w:lineRule="auto"/>
              <w:jc w:val="both"/>
              <w:rPr>
                <w:rFonts w:ascii="Arial" w:hAnsi="Arial" w:cs="Arial"/>
                <w:sz w:val="20"/>
                <w:szCs w:val="20"/>
              </w:rPr>
            </w:pPr>
            <w:r w:rsidRPr="007E37EC">
              <w:rPr>
                <w:rFonts w:ascii="Arial" w:hAnsi="Arial" w:cs="Arial"/>
                <w:sz w:val="20"/>
                <w:szCs w:val="20"/>
              </w:rPr>
              <w:t>90.96</w:t>
            </w:r>
          </w:p>
        </w:tc>
        <w:tc>
          <w:tcPr>
            <w:tcW w:w="1796" w:type="dxa"/>
            <w:noWrap/>
            <w:vAlign w:val="center"/>
            <w:hideMark/>
          </w:tcPr>
          <w:p w14:paraId="3877B7C4" w14:textId="77777777" w:rsidR="00D9174F" w:rsidRPr="007E37EC" w:rsidRDefault="00D9174F" w:rsidP="00A40833">
            <w:pPr>
              <w:spacing w:after="160" w:line="360" w:lineRule="auto"/>
              <w:jc w:val="both"/>
              <w:rPr>
                <w:rFonts w:ascii="Arial" w:hAnsi="Arial" w:cs="Arial"/>
                <w:sz w:val="20"/>
                <w:szCs w:val="20"/>
              </w:rPr>
            </w:pPr>
            <w:r w:rsidRPr="007E37EC">
              <w:rPr>
                <w:rFonts w:ascii="Arial" w:hAnsi="Arial" w:cs="Arial"/>
                <w:sz w:val="20"/>
                <w:szCs w:val="20"/>
              </w:rPr>
              <w:t>110.99</w:t>
            </w:r>
          </w:p>
        </w:tc>
        <w:tc>
          <w:tcPr>
            <w:tcW w:w="1796" w:type="dxa"/>
            <w:noWrap/>
            <w:vAlign w:val="center"/>
            <w:hideMark/>
          </w:tcPr>
          <w:p w14:paraId="63D19E76" w14:textId="77777777" w:rsidR="00D9174F" w:rsidRPr="007E37EC" w:rsidRDefault="00D9174F" w:rsidP="00A40833">
            <w:pPr>
              <w:spacing w:after="160" w:line="360" w:lineRule="auto"/>
              <w:jc w:val="both"/>
              <w:rPr>
                <w:rFonts w:ascii="Arial" w:hAnsi="Arial" w:cs="Arial"/>
                <w:sz w:val="20"/>
                <w:szCs w:val="20"/>
              </w:rPr>
            </w:pPr>
            <w:r w:rsidRPr="007E37EC">
              <w:rPr>
                <w:rFonts w:ascii="Arial" w:hAnsi="Arial" w:cs="Arial"/>
                <w:sz w:val="20"/>
                <w:szCs w:val="20"/>
              </w:rPr>
              <w:t>106.55</w:t>
            </w:r>
          </w:p>
        </w:tc>
      </w:tr>
      <w:tr w:rsidR="00D9174F" w:rsidRPr="007E37EC" w14:paraId="7192C436" w14:textId="77777777" w:rsidTr="007446A2">
        <w:trPr>
          <w:trHeight w:val="192"/>
        </w:trPr>
        <w:tc>
          <w:tcPr>
            <w:tcW w:w="1923" w:type="dxa"/>
            <w:noWrap/>
            <w:vAlign w:val="center"/>
            <w:hideMark/>
          </w:tcPr>
          <w:p w14:paraId="0364E801" w14:textId="71F88D80" w:rsidR="00D9174F" w:rsidRPr="007E37EC" w:rsidRDefault="00D9174F" w:rsidP="00A40833">
            <w:pPr>
              <w:spacing w:after="160" w:line="360" w:lineRule="auto"/>
              <w:jc w:val="both"/>
              <w:rPr>
                <w:rFonts w:ascii="Arial" w:hAnsi="Arial" w:cs="Arial"/>
                <w:b/>
                <w:bCs/>
                <w:sz w:val="20"/>
                <w:szCs w:val="20"/>
              </w:rPr>
            </w:pPr>
            <w:proofErr w:type="spellStart"/>
            <w:r w:rsidRPr="007E37EC">
              <w:rPr>
                <w:rFonts w:ascii="Arial" w:hAnsi="Arial" w:cs="Arial"/>
                <w:b/>
                <w:bCs/>
                <w:color w:val="000000" w:themeColor="text1"/>
                <w:spacing w:val="-2"/>
                <w:sz w:val="20"/>
                <w:szCs w:val="20"/>
              </w:rPr>
              <w:t>Tufanganj</w:t>
            </w:r>
            <w:proofErr w:type="spellEnd"/>
            <w:r w:rsidR="00AA6FCD">
              <w:rPr>
                <w:rFonts w:ascii="Arial" w:hAnsi="Arial" w:cs="Arial"/>
                <w:b/>
                <w:bCs/>
                <w:color w:val="000000" w:themeColor="text1"/>
                <w:spacing w:val="-2"/>
                <w:sz w:val="20"/>
                <w:szCs w:val="20"/>
              </w:rPr>
              <w:t>-</w:t>
            </w:r>
            <w:r w:rsidRPr="007E37EC">
              <w:rPr>
                <w:rFonts w:ascii="Arial" w:hAnsi="Arial" w:cs="Arial"/>
                <w:b/>
                <w:bCs/>
                <w:color w:val="000000" w:themeColor="text1"/>
                <w:spacing w:val="-2"/>
                <w:sz w:val="20"/>
                <w:szCs w:val="20"/>
              </w:rPr>
              <w:t>I</w:t>
            </w:r>
          </w:p>
        </w:tc>
        <w:tc>
          <w:tcPr>
            <w:tcW w:w="2076" w:type="dxa"/>
            <w:noWrap/>
            <w:vAlign w:val="center"/>
            <w:hideMark/>
          </w:tcPr>
          <w:p w14:paraId="17E94E48" w14:textId="77777777" w:rsidR="00D9174F" w:rsidRPr="007E37EC" w:rsidRDefault="00D9174F" w:rsidP="00A40833">
            <w:pPr>
              <w:spacing w:after="160" w:line="360" w:lineRule="auto"/>
              <w:jc w:val="both"/>
              <w:rPr>
                <w:rFonts w:ascii="Arial" w:hAnsi="Arial" w:cs="Arial"/>
                <w:sz w:val="20"/>
                <w:szCs w:val="20"/>
              </w:rPr>
            </w:pPr>
            <w:r w:rsidRPr="007E37EC">
              <w:rPr>
                <w:rFonts w:ascii="Arial" w:hAnsi="Arial" w:cs="Arial"/>
                <w:sz w:val="20"/>
                <w:szCs w:val="20"/>
              </w:rPr>
              <w:t>91.33</w:t>
            </w:r>
          </w:p>
        </w:tc>
        <w:tc>
          <w:tcPr>
            <w:tcW w:w="1796" w:type="dxa"/>
            <w:noWrap/>
            <w:vAlign w:val="center"/>
            <w:hideMark/>
          </w:tcPr>
          <w:p w14:paraId="6C6CDC06" w14:textId="77777777" w:rsidR="00D9174F" w:rsidRPr="007E37EC" w:rsidRDefault="00D9174F" w:rsidP="00A40833">
            <w:pPr>
              <w:spacing w:after="160" w:line="360" w:lineRule="auto"/>
              <w:jc w:val="both"/>
              <w:rPr>
                <w:rFonts w:ascii="Arial" w:hAnsi="Arial" w:cs="Arial"/>
                <w:sz w:val="20"/>
                <w:szCs w:val="20"/>
              </w:rPr>
            </w:pPr>
            <w:r w:rsidRPr="007E37EC">
              <w:rPr>
                <w:rFonts w:ascii="Arial" w:hAnsi="Arial" w:cs="Arial"/>
                <w:sz w:val="20"/>
                <w:szCs w:val="20"/>
              </w:rPr>
              <w:t>89.21</w:t>
            </w:r>
          </w:p>
        </w:tc>
        <w:tc>
          <w:tcPr>
            <w:tcW w:w="1796" w:type="dxa"/>
            <w:noWrap/>
            <w:vAlign w:val="center"/>
            <w:hideMark/>
          </w:tcPr>
          <w:p w14:paraId="2741B10A" w14:textId="77777777" w:rsidR="00D9174F" w:rsidRPr="007E37EC" w:rsidRDefault="00D9174F" w:rsidP="00A40833">
            <w:pPr>
              <w:spacing w:after="160" w:line="360" w:lineRule="auto"/>
              <w:jc w:val="both"/>
              <w:rPr>
                <w:rFonts w:ascii="Arial" w:hAnsi="Arial" w:cs="Arial"/>
                <w:sz w:val="20"/>
                <w:szCs w:val="20"/>
              </w:rPr>
            </w:pPr>
            <w:r w:rsidRPr="007E37EC">
              <w:rPr>
                <w:rFonts w:ascii="Arial" w:hAnsi="Arial" w:cs="Arial"/>
                <w:sz w:val="20"/>
                <w:szCs w:val="20"/>
              </w:rPr>
              <w:t>113.58</w:t>
            </w:r>
          </w:p>
        </w:tc>
        <w:tc>
          <w:tcPr>
            <w:tcW w:w="1796" w:type="dxa"/>
            <w:noWrap/>
            <w:vAlign w:val="center"/>
            <w:hideMark/>
          </w:tcPr>
          <w:p w14:paraId="1E31A4FA" w14:textId="77777777" w:rsidR="00D9174F" w:rsidRPr="007E37EC" w:rsidRDefault="00D9174F" w:rsidP="00A40833">
            <w:pPr>
              <w:spacing w:after="160" w:line="360" w:lineRule="auto"/>
              <w:jc w:val="both"/>
              <w:rPr>
                <w:rFonts w:ascii="Arial" w:hAnsi="Arial" w:cs="Arial"/>
                <w:sz w:val="20"/>
                <w:szCs w:val="20"/>
              </w:rPr>
            </w:pPr>
            <w:r w:rsidRPr="007E37EC">
              <w:rPr>
                <w:rFonts w:ascii="Arial" w:hAnsi="Arial" w:cs="Arial"/>
                <w:sz w:val="20"/>
                <w:szCs w:val="20"/>
              </w:rPr>
              <w:t>105.88</w:t>
            </w:r>
          </w:p>
        </w:tc>
      </w:tr>
      <w:tr w:rsidR="00D9174F" w:rsidRPr="007E37EC" w14:paraId="37F59D37" w14:textId="77777777" w:rsidTr="007446A2">
        <w:trPr>
          <w:trHeight w:val="192"/>
        </w:trPr>
        <w:tc>
          <w:tcPr>
            <w:tcW w:w="1923" w:type="dxa"/>
            <w:noWrap/>
            <w:vAlign w:val="center"/>
            <w:hideMark/>
          </w:tcPr>
          <w:p w14:paraId="267E5111" w14:textId="6A51288E" w:rsidR="00D9174F" w:rsidRPr="007E37EC" w:rsidRDefault="00D9174F" w:rsidP="00A40833">
            <w:pPr>
              <w:spacing w:after="160" w:line="360" w:lineRule="auto"/>
              <w:jc w:val="both"/>
              <w:rPr>
                <w:rFonts w:ascii="Arial" w:hAnsi="Arial" w:cs="Arial"/>
                <w:b/>
                <w:bCs/>
                <w:sz w:val="20"/>
                <w:szCs w:val="20"/>
              </w:rPr>
            </w:pPr>
            <w:proofErr w:type="spellStart"/>
            <w:r w:rsidRPr="007E37EC">
              <w:rPr>
                <w:rFonts w:ascii="Arial" w:hAnsi="Arial" w:cs="Arial"/>
                <w:b/>
                <w:bCs/>
                <w:color w:val="000000" w:themeColor="text1"/>
                <w:sz w:val="20"/>
                <w:szCs w:val="20"/>
              </w:rPr>
              <w:t>Alipurduar</w:t>
            </w:r>
            <w:proofErr w:type="spellEnd"/>
            <w:r w:rsidR="00AA6FCD">
              <w:rPr>
                <w:rFonts w:ascii="Arial" w:hAnsi="Arial" w:cs="Arial"/>
                <w:b/>
                <w:bCs/>
                <w:color w:val="000000" w:themeColor="text1"/>
                <w:sz w:val="20"/>
                <w:szCs w:val="20"/>
              </w:rPr>
              <w:t>-</w:t>
            </w:r>
            <w:r w:rsidRPr="007E37EC">
              <w:rPr>
                <w:rFonts w:ascii="Arial" w:hAnsi="Arial" w:cs="Arial"/>
                <w:b/>
                <w:bCs/>
                <w:color w:val="000000" w:themeColor="text1"/>
                <w:spacing w:val="-10"/>
                <w:sz w:val="20"/>
                <w:szCs w:val="20"/>
              </w:rPr>
              <w:t>I</w:t>
            </w:r>
          </w:p>
        </w:tc>
        <w:tc>
          <w:tcPr>
            <w:tcW w:w="2076" w:type="dxa"/>
            <w:noWrap/>
            <w:vAlign w:val="center"/>
            <w:hideMark/>
          </w:tcPr>
          <w:p w14:paraId="1FE9F2FA" w14:textId="77777777" w:rsidR="00D9174F" w:rsidRPr="007E37EC" w:rsidRDefault="00D9174F" w:rsidP="00A40833">
            <w:pPr>
              <w:spacing w:after="160" w:line="360" w:lineRule="auto"/>
              <w:jc w:val="both"/>
              <w:rPr>
                <w:rFonts w:ascii="Arial" w:hAnsi="Arial" w:cs="Arial"/>
                <w:sz w:val="20"/>
                <w:szCs w:val="20"/>
              </w:rPr>
            </w:pPr>
            <w:r w:rsidRPr="007E37EC">
              <w:rPr>
                <w:rFonts w:ascii="Arial" w:hAnsi="Arial" w:cs="Arial"/>
                <w:sz w:val="20"/>
                <w:szCs w:val="20"/>
              </w:rPr>
              <w:t>91.31</w:t>
            </w:r>
          </w:p>
        </w:tc>
        <w:tc>
          <w:tcPr>
            <w:tcW w:w="1796" w:type="dxa"/>
            <w:noWrap/>
            <w:vAlign w:val="center"/>
            <w:hideMark/>
          </w:tcPr>
          <w:p w14:paraId="6D1B1EC9" w14:textId="77777777" w:rsidR="00D9174F" w:rsidRPr="007E37EC" w:rsidRDefault="00D9174F" w:rsidP="00A40833">
            <w:pPr>
              <w:spacing w:after="160" w:line="360" w:lineRule="auto"/>
              <w:jc w:val="both"/>
              <w:rPr>
                <w:rFonts w:ascii="Arial" w:hAnsi="Arial" w:cs="Arial"/>
                <w:sz w:val="20"/>
                <w:szCs w:val="20"/>
              </w:rPr>
            </w:pPr>
            <w:r w:rsidRPr="007E37EC">
              <w:rPr>
                <w:rFonts w:ascii="Arial" w:hAnsi="Arial" w:cs="Arial"/>
                <w:sz w:val="20"/>
                <w:szCs w:val="20"/>
              </w:rPr>
              <w:t>90.66</w:t>
            </w:r>
          </w:p>
        </w:tc>
        <w:tc>
          <w:tcPr>
            <w:tcW w:w="1796" w:type="dxa"/>
            <w:noWrap/>
            <w:vAlign w:val="center"/>
            <w:hideMark/>
          </w:tcPr>
          <w:p w14:paraId="4478E72D" w14:textId="77777777" w:rsidR="00D9174F" w:rsidRPr="007E37EC" w:rsidRDefault="00D9174F" w:rsidP="00A40833">
            <w:pPr>
              <w:spacing w:after="160" w:line="360" w:lineRule="auto"/>
              <w:jc w:val="both"/>
              <w:rPr>
                <w:rFonts w:ascii="Arial" w:hAnsi="Arial" w:cs="Arial"/>
                <w:sz w:val="20"/>
                <w:szCs w:val="20"/>
              </w:rPr>
            </w:pPr>
            <w:r w:rsidRPr="007E37EC">
              <w:rPr>
                <w:rFonts w:ascii="Arial" w:hAnsi="Arial" w:cs="Arial"/>
                <w:sz w:val="20"/>
                <w:szCs w:val="20"/>
              </w:rPr>
              <w:t>111.15</w:t>
            </w:r>
          </w:p>
        </w:tc>
        <w:tc>
          <w:tcPr>
            <w:tcW w:w="1796" w:type="dxa"/>
            <w:noWrap/>
            <w:vAlign w:val="center"/>
            <w:hideMark/>
          </w:tcPr>
          <w:p w14:paraId="6D498163" w14:textId="77777777" w:rsidR="00D9174F" w:rsidRPr="007E37EC" w:rsidRDefault="00D9174F" w:rsidP="00A40833">
            <w:pPr>
              <w:spacing w:after="160" w:line="360" w:lineRule="auto"/>
              <w:jc w:val="both"/>
              <w:rPr>
                <w:rFonts w:ascii="Arial" w:hAnsi="Arial" w:cs="Arial"/>
                <w:sz w:val="20"/>
                <w:szCs w:val="20"/>
              </w:rPr>
            </w:pPr>
            <w:r w:rsidRPr="007E37EC">
              <w:rPr>
                <w:rFonts w:ascii="Arial" w:hAnsi="Arial" w:cs="Arial"/>
                <w:sz w:val="20"/>
                <w:szCs w:val="20"/>
              </w:rPr>
              <w:t>106.89</w:t>
            </w:r>
          </w:p>
        </w:tc>
      </w:tr>
      <w:tr w:rsidR="00D9174F" w:rsidRPr="007E37EC" w14:paraId="4C670B0D" w14:textId="77777777" w:rsidTr="007446A2">
        <w:trPr>
          <w:trHeight w:val="192"/>
        </w:trPr>
        <w:tc>
          <w:tcPr>
            <w:tcW w:w="1923" w:type="dxa"/>
            <w:noWrap/>
            <w:vAlign w:val="center"/>
            <w:hideMark/>
          </w:tcPr>
          <w:p w14:paraId="649D1055" w14:textId="45AC151F" w:rsidR="00D9174F" w:rsidRPr="007E37EC" w:rsidRDefault="00D9174F" w:rsidP="00A40833">
            <w:pPr>
              <w:spacing w:after="160" w:line="360" w:lineRule="auto"/>
              <w:jc w:val="both"/>
              <w:rPr>
                <w:rFonts w:ascii="Arial" w:hAnsi="Arial" w:cs="Arial"/>
                <w:b/>
                <w:bCs/>
                <w:sz w:val="20"/>
                <w:szCs w:val="20"/>
              </w:rPr>
            </w:pPr>
            <w:proofErr w:type="spellStart"/>
            <w:r w:rsidRPr="007E37EC">
              <w:rPr>
                <w:rFonts w:ascii="Arial" w:hAnsi="Arial" w:cs="Arial"/>
                <w:b/>
                <w:bCs/>
                <w:color w:val="000000" w:themeColor="text1"/>
                <w:sz w:val="20"/>
                <w:szCs w:val="20"/>
              </w:rPr>
              <w:t>Alipurduar</w:t>
            </w:r>
            <w:proofErr w:type="spellEnd"/>
            <w:r w:rsidR="00AA6FCD">
              <w:rPr>
                <w:rFonts w:ascii="Arial" w:hAnsi="Arial" w:cs="Arial"/>
                <w:b/>
                <w:bCs/>
                <w:color w:val="000000" w:themeColor="text1"/>
                <w:sz w:val="20"/>
                <w:szCs w:val="20"/>
              </w:rPr>
              <w:t>-</w:t>
            </w:r>
            <w:r w:rsidRPr="007E37EC">
              <w:rPr>
                <w:rFonts w:ascii="Arial" w:hAnsi="Arial" w:cs="Arial"/>
                <w:b/>
                <w:bCs/>
                <w:color w:val="000000" w:themeColor="text1"/>
                <w:spacing w:val="-5"/>
                <w:sz w:val="20"/>
                <w:szCs w:val="20"/>
              </w:rPr>
              <w:t>II</w:t>
            </w:r>
          </w:p>
        </w:tc>
        <w:tc>
          <w:tcPr>
            <w:tcW w:w="2076" w:type="dxa"/>
            <w:noWrap/>
            <w:vAlign w:val="center"/>
            <w:hideMark/>
          </w:tcPr>
          <w:p w14:paraId="28995BD0" w14:textId="77777777" w:rsidR="00D9174F" w:rsidRPr="007E37EC" w:rsidRDefault="00D9174F" w:rsidP="00A40833">
            <w:pPr>
              <w:spacing w:after="160" w:line="360" w:lineRule="auto"/>
              <w:jc w:val="both"/>
              <w:rPr>
                <w:rFonts w:ascii="Arial" w:hAnsi="Arial" w:cs="Arial"/>
                <w:sz w:val="20"/>
                <w:szCs w:val="20"/>
              </w:rPr>
            </w:pPr>
            <w:r w:rsidRPr="007E37EC">
              <w:rPr>
                <w:rFonts w:ascii="Arial" w:hAnsi="Arial" w:cs="Arial"/>
                <w:sz w:val="20"/>
                <w:szCs w:val="20"/>
              </w:rPr>
              <w:t>90.56</w:t>
            </w:r>
          </w:p>
        </w:tc>
        <w:tc>
          <w:tcPr>
            <w:tcW w:w="1796" w:type="dxa"/>
            <w:noWrap/>
            <w:vAlign w:val="center"/>
            <w:hideMark/>
          </w:tcPr>
          <w:p w14:paraId="1E64032C" w14:textId="77777777" w:rsidR="00D9174F" w:rsidRPr="007E37EC" w:rsidRDefault="00D9174F" w:rsidP="00A40833">
            <w:pPr>
              <w:spacing w:after="160" w:line="360" w:lineRule="auto"/>
              <w:jc w:val="both"/>
              <w:rPr>
                <w:rFonts w:ascii="Arial" w:hAnsi="Arial" w:cs="Arial"/>
                <w:sz w:val="20"/>
                <w:szCs w:val="20"/>
              </w:rPr>
            </w:pPr>
            <w:r w:rsidRPr="007E37EC">
              <w:rPr>
                <w:rFonts w:ascii="Arial" w:hAnsi="Arial" w:cs="Arial"/>
                <w:sz w:val="20"/>
                <w:szCs w:val="20"/>
              </w:rPr>
              <w:t>86.68</w:t>
            </w:r>
          </w:p>
        </w:tc>
        <w:tc>
          <w:tcPr>
            <w:tcW w:w="1796" w:type="dxa"/>
            <w:noWrap/>
            <w:vAlign w:val="center"/>
            <w:hideMark/>
          </w:tcPr>
          <w:p w14:paraId="7DDA62D5" w14:textId="77777777" w:rsidR="00D9174F" w:rsidRPr="007E37EC" w:rsidRDefault="00D9174F" w:rsidP="00A40833">
            <w:pPr>
              <w:spacing w:after="160" w:line="360" w:lineRule="auto"/>
              <w:jc w:val="both"/>
              <w:rPr>
                <w:rFonts w:ascii="Arial" w:hAnsi="Arial" w:cs="Arial"/>
                <w:sz w:val="20"/>
                <w:szCs w:val="20"/>
              </w:rPr>
            </w:pPr>
            <w:r w:rsidRPr="007E37EC">
              <w:rPr>
                <w:rFonts w:ascii="Arial" w:hAnsi="Arial" w:cs="Arial"/>
                <w:sz w:val="20"/>
                <w:szCs w:val="20"/>
              </w:rPr>
              <w:t>114.71</w:t>
            </w:r>
          </w:p>
        </w:tc>
        <w:tc>
          <w:tcPr>
            <w:tcW w:w="1796" w:type="dxa"/>
            <w:noWrap/>
            <w:vAlign w:val="center"/>
            <w:hideMark/>
          </w:tcPr>
          <w:p w14:paraId="3E0E79E5" w14:textId="77777777" w:rsidR="00D9174F" w:rsidRPr="007E37EC" w:rsidRDefault="00D9174F" w:rsidP="00A40833">
            <w:pPr>
              <w:spacing w:after="160" w:line="360" w:lineRule="auto"/>
              <w:jc w:val="both"/>
              <w:rPr>
                <w:rFonts w:ascii="Arial" w:hAnsi="Arial" w:cs="Arial"/>
                <w:sz w:val="20"/>
                <w:szCs w:val="20"/>
              </w:rPr>
            </w:pPr>
            <w:r w:rsidRPr="007E37EC">
              <w:rPr>
                <w:rFonts w:ascii="Arial" w:hAnsi="Arial" w:cs="Arial"/>
                <w:sz w:val="20"/>
                <w:szCs w:val="20"/>
              </w:rPr>
              <w:t>108.05</w:t>
            </w:r>
          </w:p>
        </w:tc>
      </w:tr>
      <w:tr w:rsidR="00D9174F" w:rsidRPr="007E37EC" w14:paraId="242323AC" w14:textId="77777777" w:rsidTr="007446A2">
        <w:trPr>
          <w:trHeight w:val="885"/>
        </w:trPr>
        <w:tc>
          <w:tcPr>
            <w:tcW w:w="1923" w:type="dxa"/>
            <w:noWrap/>
            <w:vAlign w:val="center"/>
          </w:tcPr>
          <w:p w14:paraId="281FC8CB" w14:textId="0A666243" w:rsidR="00D9174F" w:rsidRPr="007E37EC" w:rsidRDefault="00D9174F" w:rsidP="00A40833">
            <w:pPr>
              <w:spacing w:line="360" w:lineRule="auto"/>
              <w:jc w:val="both"/>
              <w:rPr>
                <w:rFonts w:ascii="Arial" w:hAnsi="Arial" w:cs="Arial"/>
                <w:b/>
                <w:bCs/>
                <w:sz w:val="20"/>
                <w:szCs w:val="20"/>
              </w:rPr>
            </w:pPr>
            <w:r>
              <w:rPr>
                <w:rFonts w:ascii="Arial" w:hAnsi="Arial" w:cs="Arial"/>
                <w:b/>
                <w:bCs/>
                <w:sz w:val="20"/>
                <w:szCs w:val="20"/>
                <w:lang w:val="en-US"/>
              </w:rPr>
              <w:t>Average Total</w:t>
            </w:r>
          </w:p>
        </w:tc>
        <w:tc>
          <w:tcPr>
            <w:tcW w:w="2076" w:type="dxa"/>
            <w:noWrap/>
            <w:vAlign w:val="center"/>
          </w:tcPr>
          <w:p w14:paraId="105762FC" w14:textId="77777777" w:rsidR="00D9174F" w:rsidRPr="007E37EC" w:rsidRDefault="00D9174F" w:rsidP="00A40833">
            <w:pPr>
              <w:spacing w:line="360" w:lineRule="auto"/>
              <w:jc w:val="both"/>
              <w:rPr>
                <w:rFonts w:ascii="Arial" w:hAnsi="Arial" w:cs="Arial"/>
                <w:b/>
                <w:bCs/>
                <w:sz w:val="20"/>
                <w:szCs w:val="20"/>
              </w:rPr>
            </w:pPr>
            <w:r w:rsidRPr="007E37EC">
              <w:rPr>
                <w:rFonts w:ascii="Arial" w:hAnsi="Arial" w:cs="Arial"/>
                <w:b/>
                <w:bCs/>
                <w:sz w:val="20"/>
                <w:szCs w:val="20"/>
              </w:rPr>
              <w:t>91.24</w:t>
            </w:r>
          </w:p>
        </w:tc>
        <w:tc>
          <w:tcPr>
            <w:tcW w:w="1796" w:type="dxa"/>
            <w:noWrap/>
            <w:vAlign w:val="center"/>
          </w:tcPr>
          <w:p w14:paraId="037D1DEA" w14:textId="77777777" w:rsidR="00D9174F" w:rsidRPr="007E37EC" w:rsidRDefault="00D9174F" w:rsidP="00A40833">
            <w:pPr>
              <w:spacing w:line="360" w:lineRule="auto"/>
              <w:jc w:val="both"/>
              <w:rPr>
                <w:rFonts w:ascii="Arial" w:hAnsi="Arial" w:cs="Arial"/>
                <w:b/>
                <w:bCs/>
                <w:sz w:val="20"/>
                <w:szCs w:val="20"/>
              </w:rPr>
            </w:pPr>
            <w:r w:rsidRPr="007E37EC">
              <w:rPr>
                <w:rFonts w:ascii="Arial" w:hAnsi="Arial" w:cs="Arial"/>
                <w:b/>
                <w:bCs/>
                <w:sz w:val="20"/>
                <w:szCs w:val="20"/>
              </w:rPr>
              <w:t>89.52</w:t>
            </w:r>
          </w:p>
        </w:tc>
        <w:tc>
          <w:tcPr>
            <w:tcW w:w="1796" w:type="dxa"/>
            <w:noWrap/>
            <w:vAlign w:val="center"/>
          </w:tcPr>
          <w:p w14:paraId="71F14E9B" w14:textId="77777777" w:rsidR="00D9174F" w:rsidRPr="007E37EC" w:rsidRDefault="00D9174F" w:rsidP="00A40833">
            <w:pPr>
              <w:spacing w:line="360" w:lineRule="auto"/>
              <w:jc w:val="both"/>
              <w:rPr>
                <w:rFonts w:ascii="Arial" w:hAnsi="Arial" w:cs="Arial"/>
                <w:b/>
                <w:bCs/>
                <w:sz w:val="20"/>
                <w:szCs w:val="20"/>
              </w:rPr>
            </w:pPr>
            <w:r w:rsidRPr="007E37EC">
              <w:rPr>
                <w:rFonts w:ascii="Arial" w:hAnsi="Arial" w:cs="Arial"/>
                <w:b/>
                <w:bCs/>
                <w:sz w:val="20"/>
                <w:szCs w:val="20"/>
              </w:rPr>
              <w:t>112.57</w:t>
            </w:r>
          </w:p>
        </w:tc>
        <w:tc>
          <w:tcPr>
            <w:tcW w:w="1796" w:type="dxa"/>
            <w:noWrap/>
            <w:vAlign w:val="center"/>
          </w:tcPr>
          <w:p w14:paraId="51617DC7" w14:textId="77777777" w:rsidR="00D9174F" w:rsidRPr="007E37EC" w:rsidRDefault="00D9174F" w:rsidP="00A40833">
            <w:pPr>
              <w:spacing w:line="360" w:lineRule="auto"/>
              <w:jc w:val="both"/>
              <w:rPr>
                <w:rFonts w:ascii="Arial" w:hAnsi="Arial" w:cs="Arial"/>
                <w:b/>
                <w:bCs/>
                <w:sz w:val="20"/>
                <w:szCs w:val="20"/>
              </w:rPr>
            </w:pPr>
            <w:r w:rsidRPr="007E37EC">
              <w:rPr>
                <w:rFonts w:ascii="Arial" w:hAnsi="Arial" w:cs="Arial"/>
                <w:b/>
                <w:bCs/>
                <w:sz w:val="20"/>
                <w:szCs w:val="20"/>
              </w:rPr>
              <w:t>106.67</w:t>
            </w:r>
          </w:p>
        </w:tc>
      </w:tr>
    </w:tbl>
    <w:p w14:paraId="51E58F61" w14:textId="77777777" w:rsidR="00A4428E" w:rsidRPr="007E37EC" w:rsidRDefault="00A4428E" w:rsidP="00A40833">
      <w:pPr>
        <w:spacing w:after="0"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Source: Primary data collected through field survey (April 2024- March 2025)</w:t>
      </w:r>
    </w:p>
    <w:p w14:paraId="2BF8B741" w14:textId="77777777" w:rsidR="005D25FA" w:rsidRDefault="005D25FA" w:rsidP="00A40833">
      <w:pPr>
        <w:spacing w:line="360" w:lineRule="auto"/>
        <w:jc w:val="both"/>
        <w:rPr>
          <w:rFonts w:ascii="Arial" w:hAnsi="Arial" w:cs="Arial"/>
          <w:sz w:val="20"/>
          <w:szCs w:val="20"/>
        </w:rPr>
      </w:pPr>
    </w:p>
    <w:p w14:paraId="1BB47D5C" w14:textId="59137AB9" w:rsidR="00595952" w:rsidRPr="007E37EC" w:rsidRDefault="00595952" w:rsidP="00A40833">
      <w:pPr>
        <w:spacing w:line="360" w:lineRule="auto"/>
        <w:jc w:val="both"/>
        <w:rPr>
          <w:rFonts w:ascii="Arial" w:hAnsi="Arial" w:cs="Arial"/>
          <w:b/>
          <w:bCs/>
          <w:color w:val="000000" w:themeColor="text1"/>
          <w:sz w:val="20"/>
          <w:szCs w:val="20"/>
        </w:rPr>
      </w:pPr>
      <w:r w:rsidRPr="007E37EC">
        <w:rPr>
          <w:rFonts w:ascii="Arial" w:hAnsi="Arial" w:cs="Arial"/>
          <w:color w:val="000000" w:themeColor="text1"/>
          <w:sz w:val="20"/>
          <w:szCs w:val="20"/>
        </w:rPr>
        <w:lastRenderedPageBreak/>
        <w:t xml:space="preserve">This table showcases the seasonal ups and downs in sweet curd </w:t>
      </w:r>
      <w:r w:rsidR="00637349" w:rsidRPr="007E37EC">
        <w:rPr>
          <w:rFonts w:ascii="Arial" w:hAnsi="Arial" w:cs="Arial"/>
          <w:color w:val="000000" w:themeColor="text1"/>
          <w:sz w:val="20"/>
          <w:szCs w:val="20"/>
        </w:rPr>
        <w:t>demand</w:t>
      </w:r>
      <w:r w:rsidRPr="007E37EC">
        <w:rPr>
          <w:rFonts w:ascii="Arial" w:hAnsi="Arial" w:cs="Arial"/>
          <w:color w:val="000000" w:themeColor="text1"/>
          <w:sz w:val="20"/>
          <w:szCs w:val="20"/>
        </w:rPr>
        <w:t xml:space="preserve"> across different regional markets, measured by Seasonal Indices (SI). Production exhibits a notable decline</w:t>
      </w:r>
      <w:r w:rsidR="00B40B29">
        <w:rPr>
          <w:rFonts w:ascii="Arial" w:hAnsi="Arial" w:cs="Arial"/>
          <w:color w:val="000000" w:themeColor="text1"/>
          <w:sz w:val="20"/>
          <w:szCs w:val="20"/>
        </w:rPr>
        <w:t>,</w:t>
      </w:r>
      <w:r w:rsidRPr="007E37EC">
        <w:rPr>
          <w:rFonts w:ascii="Arial" w:hAnsi="Arial" w:cs="Arial"/>
          <w:color w:val="000000" w:themeColor="text1"/>
          <w:sz w:val="20"/>
          <w:szCs w:val="20"/>
        </w:rPr>
        <w:t xml:space="preserve"> and conversely, with SIs ranging from </w:t>
      </w:r>
      <w:r w:rsidR="00F07E07">
        <w:rPr>
          <w:rFonts w:ascii="Arial" w:hAnsi="Arial" w:cs="Arial"/>
          <w:color w:val="000000" w:themeColor="text1"/>
          <w:sz w:val="20"/>
          <w:szCs w:val="20"/>
        </w:rPr>
        <w:t>91.24% to 112.57</w:t>
      </w:r>
      <w:proofErr w:type="gramStart"/>
      <w:r w:rsidR="00F07E07">
        <w:rPr>
          <w:rFonts w:ascii="Arial" w:hAnsi="Arial" w:cs="Arial"/>
          <w:color w:val="000000" w:themeColor="text1"/>
          <w:sz w:val="20"/>
          <w:szCs w:val="20"/>
        </w:rPr>
        <w:t xml:space="preserve">% </w:t>
      </w:r>
      <w:r w:rsidRPr="007E37EC">
        <w:rPr>
          <w:rFonts w:ascii="Arial" w:hAnsi="Arial" w:cs="Arial"/>
          <w:color w:val="000000" w:themeColor="text1"/>
          <w:sz w:val="20"/>
          <w:szCs w:val="20"/>
        </w:rPr>
        <w:t>.</w:t>
      </w:r>
      <w:proofErr w:type="gramEnd"/>
      <w:r w:rsidRPr="007E37EC">
        <w:rPr>
          <w:rFonts w:ascii="Arial" w:hAnsi="Arial" w:cs="Arial"/>
          <w:color w:val="000000" w:themeColor="text1"/>
          <w:sz w:val="20"/>
          <w:szCs w:val="20"/>
        </w:rPr>
        <w:t xml:space="preserve"> The decline is particularly sharp, hitting 89.52% from July to September, largely due to monsoon-related issues like a decrease in milk supply and spoilage</w:t>
      </w:r>
      <w:r w:rsidR="00637349" w:rsidRPr="007E37EC">
        <w:rPr>
          <w:rFonts w:ascii="Arial" w:hAnsi="Arial" w:cs="Arial"/>
          <w:color w:val="000000" w:themeColor="text1"/>
          <w:sz w:val="20"/>
          <w:szCs w:val="20"/>
        </w:rPr>
        <w:t xml:space="preserve"> due to warm</w:t>
      </w:r>
      <w:r w:rsidR="00B40B29">
        <w:rPr>
          <w:rFonts w:ascii="Arial" w:hAnsi="Arial" w:cs="Arial"/>
          <w:color w:val="000000" w:themeColor="text1"/>
          <w:sz w:val="20"/>
          <w:szCs w:val="20"/>
        </w:rPr>
        <w:t>,</w:t>
      </w:r>
      <w:r w:rsidR="00637349" w:rsidRPr="007E37EC">
        <w:rPr>
          <w:rFonts w:ascii="Arial" w:hAnsi="Arial" w:cs="Arial"/>
          <w:color w:val="000000" w:themeColor="text1"/>
          <w:sz w:val="20"/>
          <w:szCs w:val="20"/>
        </w:rPr>
        <w:t xml:space="preserve"> humid weather</w:t>
      </w:r>
      <w:r w:rsidRPr="007E37EC">
        <w:rPr>
          <w:rFonts w:ascii="Arial" w:hAnsi="Arial" w:cs="Arial"/>
          <w:color w:val="000000" w:themeColor="text1"/>
          <w:sz w:val="20"/>
          <w:szCs w:val="20"/>
        </w:rPr>
        <w:t xml:space="preserve">. On the </w:t>
      </w:r>
      <w:r w:rsidR="00CB0FCB">
        <w:rPr>
          <w:rFonts w:ascii="Arial" w:hAnsi="Arial" w:cs="Arial"/>
          <w:color w:val="000000" w:themeColor="text1"/>
          <w:sz w:val="20"/>
          <w:szCs w:val="20"/>
        </w:rPr>
        <w:t>other</w:t>
      </w:r>
      <w:r w:rsidRPr="007E37EC">
        <w:rPr>
          <w:rFonts w:ascii="Arial" w:hAnsi="Arial" w:cs="Arial"/>
          <w:color w:val="000000" w:themeColor="text1"/>
          <w:sz w:val="20"/>
          <w:szCs w:val="20"/>
        </w:rPr>
        <w:t xml:space="preserve"> side, from September to December, production soars to a peak of 112.57% SI, thanks to better post-monsoon </w:t>
      </w:r>
      <w:r w:rsidR="00637349" w:rsidRPr="007E37EC">
        <w:rPr>
          <w:rFonts w:ascii="Arial" w:hAnsi="Arial" w:cs="Arial"/>
          <w:color w:val="000000" w:themeColor="text1"/>
          <w:sz w:val="20"/>
          <w:szCs w:val="20"/>
        </w:rPr>
        <w:t xml:space="preserve">weather </w:t>
      </w:r>
      <w:r w:rsidRPr="007E37EC">
        <w:rPr>
          <w:rFonts w:ascii="Arial" w:hAnsi="Arial" w:cs="Arial"/>
          <w:color w:val="000000" w:themeColor="text1"/>
          <w:sz w:val="20"/>
          <w:szCs w:val="20"/>
        </w:rPr>
        <w:t xml:space="preserve">conditions and the festive season's demand. </w:t>
      </w:r>
      <w:proofErr w:type="spellStart"/>
      <w:r w:rsidRPr="007E37EC">
        <w:rPr>
          <w:rFonts w:ascii="Arial" w:hAnsi="Arial" w:cs="Arial"/>
          <w:color w:val="000000" w:themeColor="text1"/>
          <w:sz w:val="20"/>
          <w:szCs w:val="20"/>
        </w:rPr>
        <w:t>Alipurduar</w:t>
      </w:r>
      <w:proofErr w:type="spellEnd"/>
      <w:r w:rsidRPr="007E37EC">
        <w:rPr>
          <w:rFonts w:ascii="Arial" w:hAnsi="Arial" w:cs="Arial"/>
          <w:color w:val="000000" w:themeColor="text1"/>
          <w:sz w:val="20"/>
          <w:szCs w:val="20"/>
        </w:rPr>
        <w:t>-II stands out with the most significant seasonal variation, showing a 28-point gap between its highest and lowest production levels. The period from December to March also remains robust at 106.67% SI, benefiting from favourable winter weather and continued festival demand. These patterns highlight the importance of strategic planning in capacity, working capital, and inventory management to ensure profitability throughout the year (Kumar et al., 2011; Parmar et al., 2020</w:t>
      </w:r>
      <w:r w:rsidR="00F86BEC">
        <w:rPr>
          <w:rFonts w:ascii="Arial" w:hAnsi="Arial" w:cs="Arial"/>
          <w:color w:val="000000" w:themeColor="text1"/>
          <w:sz w:val="20"/>
          <w:szCs w:val="20"/>
        </w:rPr>
        <w:t>; Yasmin et al.,2012</w:t>
      </w:r>
      <w:r w:rsidRPr="007E37EC">
        <w:rPr>
          <w:rFonts w:ascii="Arial" w:hAnsi="Arial" w:cs="Arial"/>
          <w:color w:val="000000" w:themeColor="text1"/>
          <w:sz w:val="20"/>
          <w:szCs w:val="20"/>
        </w:rPr>
        <w:t>).</w:t>
      </w:r>
    </w:p>
    <w:p w14:paraId="56EBC05C" w14:textId="7CDD7DB9" w:rsidR="00E165AD" w:rsidRPr="007E37EC" w:rsidRDefault="00E165AD" w:rsidP="00A40833">
      <w:pPr>
        <w:spacing w:line="360" w:lineRule="auto"/>
        <w:jc w:val="both"/>
        <w:rPr>
          <w:rFonts w:ascii="Arial" w:hAnsi="Arial" w:cs="Arial"/>
          <w:b/>
          <w:bCs/>
          <w:color w:val="000000" w:themeColor="text1"/>
        </w:rPr>
      </w:pPr>
      <w:r w:rsidRPr="007E37EC">
        <w:rPr>
          <w:rFonts w:ascii="Arial" w:hAnsi="Arial" w:cs="Arial"/>
          <w:b/>
          <w:bCs/>
          <w:color w:val="000000" w:themeColor="text1"/>
        </w:rPr>
        <w:t>4.</w:t>
      </w:r>
      <w:r w:rsidR="0057593B">
        <w:rPr>
          <w:rFonts w:ascii="Arial" w:hAnsi="Arial" w:cs="Arial"/>
          <w:b/>
          <w:bCs/>
          <w:color w:val="000000" w:themeColor="text1"/>
        </w:rPr>
        <w:t xml:space="preserve"> </w:t>
      </w:r>
      <w:r w:rsidRPr="007E37EC">
        <w:rPr>
          <w:rFonts w:ascii="Arial" w:hAnsi="Arial" w:cs="Arial"/>
          <w:b/>
          <w:bCs/>
          <w:color w:val="000000" w:themeColor="text1"/>
        </w:rPr>
        <w:t>Discussion</w:t>
      </w:r>
    </w:p>
    <w:p w14:paraId="68981C42" w14:textId="3D648530" w:rsidR="003E3F7A" w:rsidRPr="007E37EC" w:rsidRDefault="00C572D2" w:rsidP="00A40833">
      <w:pPr>
        <w:spacing w:line="360" w:lineRule="auto"/>
        <w:jc w:val="both"/>
        <w:rPr>
          <w:rFonts w:ascii="Arial" w:hAnsi="Arial" w:cs="Arial"/>
          <w:sz w:val="20"/>
          <w:szCs w:val="20"/>
        </w:rPr>
      </w:pPr>
      <w:r w:rsidRPr="007E37EC">
        <w:rPr>
          <w:rFonts w:ascii="Arial" w:hAnsi="Arial" w:cs="Arial"/>
          <w:sz w:val="20"/>
          <w:szCs w:val="20"/>
        </w:rPr>
        <w:t xml:space="preserve">Financial evaluation across </w:t>
      </w:r>
      <w:proofErr w:type="spellStart"/>
      <w:r w:rsidRPr="007E37EC">
        <w:rPr>
          <w:rFonts w:ascii="Arial" w:hAnsi="Arial" w:cs="Arial"/>
          <w:sz w:val="20"/>
          <w:szCs w:val="20"/>
        </w:rPr>
        <w:t>Terai</w:t>
      </w:r>
      <w:proofErr w:type="spellEnd"/>
      <w:r w:rsidRPr="007E37EC">
        <w:rPr>
          <w:rFonts w:ascii="Arial" w:hAnsi="Arial" w:cs="Arial"/>
          <w:sz w:val="20"/>
          <w:szCs w:val="20"/>
        </w:rPr>
        <w:t xml:space="preserve"> district production facilities reveals substantial variations in operational expenses and return margins</w:t>
      </w:r>
      <w:r w:rsidR="003E3F7A" w:rsidRPr="007E37EC">
        <w:rPr>
          <w:rFonts w:ascii="Arial" w:hAnsi="Arial" w:cs="Arial"/>
          <w:sz w:val="20"/>
          <w:szCs w:val="20"/>
        </w:rPr>
        <w:t xml:space="preserve">, primarily influenced by fluid milk, which accounts for 59-62% of production costs. </w:t>
      </w:r>
      <w:proofErr w:type="spellStart"/>
      <w:r w:rsidR="003E3F7A" w:rsidRPr="007E37EC">
        <w:rPr>
          <w:rFonts w:ascii="Arial" w:hAnsi="Arial" w:cs="Arial"/>
          <w:sz w:val="20"/>
          <w:szCs w:val="20"/>
        </w:rPr>
        <w:t>Coochbehar</w:t>
      </w:r>
      <w:proofErr w:type="spellEnd"/>
      <w:r w:rsidR="00CD7C8C">
        <w:rPr>
          <w:rFonts w:ascii="Arial" w:hAnsi="Arial" w:cs="Arial"/>
          <w:sz w:val="20"/>
          <w:szCs w:val="20"/>
        </w:rPr>
        <w:t>-</w:t>
      </w:r>
      <w:r w:rsidR="003E3F7A" w:rsidRPr="007E37EC">
        <w:rPr>
          <w:rFonts w:ascii="Arial" w:hAnsi="Arial" w:cs="Arial"/>
          <w:sz w:val="20"/>
          <w:szCs w:val="20"/>
        </w:rPr>
        <w:t xml:space="preserve">II is more efficient (Rs 36.61/L) than </w:t>
      </w:r>
      <w:proofErr w:type="spellStart"/>
      <w:r w:rsidR="003E3F7A" w:rsidRPr="007E37EC">
        <w:rPr>
          <w:rFonts w:ascii="Arial" w:hAnsi="Arial" w:cs="Arial"/>
          <w:sz w:val="20"/>
          <w:szCs w:val="20"/>
        </w:rPr>
        <w:t>Alipurduar</w:t>
      </w:r>
      <w:proofErr w:type="spellEnd"/>
      <w:r w:rsidR="003E3F7A" w:rsidRPr="007E37EC">
        <w:rPr>
          <w:rFonts w:ascii="Arial" w:hAnsi="Arial" w:cs="Arial"/>
          <w:sz w:val="20"/>
          <w:szCs w:val="20"/>
        </w:rPr>
        <w:t xml:space="preserve"> (Rs 42.91/L), where an oligopolistic market structure (CR4: 100%, HHI: 2,548.72) favo</w:t>
      </w:r>
      <w:r w:rsidR="00A60683" w:rsidRPr="007E37EC">
        <w:rPr>
          <w:rFonts w:ascii="Arial" w:hAnsi="Arial" w:cs="Arial"/>
          <w:sz w:val="20"/>
          <w:szCs w:val="20"/>
        </w:rPr>
        <w:t>u</w:t>
      </w:r>
      <w:r w:rsidR="003E3F7A" w:rsidRPr="007E37EC">
        <w:rPr>
          <w:rFonts w:ascii="Arial" w:hAnsi="Arial" w:cs="Arial"/>
          <w:sz w:val="20"/>
          <w:szCs w:val="20"/>
        </w:rPr>
        <w:t xml:space="preserve">rs established firms with economies of scale. The benefit-cost ratio ranges from 1.44 to 1.72, showing that procurement efficiency greatly affects profitability, with </w:t>
      </w:r>
      <w:proofErr w:type="spellStart"/>
      <w:r w:rsidR="003E3F7A" w:rsidRPr="007E37EC">
        <w:rPr>
          <w:rFonts w:ascii="Arial" w:hAnsi="Arial" w:cs="Arial"/>
          <w:sz w:val="20"/>
          <w:szCs w:val="20"/>
        </w:rPr>
        <w:t>Coochbehar</w:t>
      </w:r>
      <w:proofErr w:type="spellEnd"/>
      <w:r w:rsidR="00CD7C8C">
        <w:rPr>
          <w:rFonts w:ascii="Arial" w:hAnsi="Arial" w:cs="Arial"/>
          <w:sz w:val="20"/>
          <w:szCs w:val="20"/>
        </w:rPr>
        <w:t>-</w:t>
      </w:r>
      <w:r w:rsidR="003E3F7A" w:rsidRPr="007E37EC">
        <w:rPr>
          <w:rFonts w:ascii="Arial" w:hAnsi="Arial" w:cs="Arial"/>
          <w:sz w:val="20"/>
          <w:szCs w:val="20"/>
        </w:rPr>
        <w:t xml:space="preserve">II achieving a 71.9% profit margin compared to </w:t>
      </w:r>
      <w:proofErr w:type="spellStart"/>
      <w:r w:rsidR="003E3F7A" w:rsidRPr="007E37EC">
        <w:rPr>
          <w:rFonts w:ascii="Arial" w:hAnsi="Arial" w:cs="Arial"/>
          <w:sz w:val="20"/>
          <w:szCs w:val="20"/>
        </w:rPr>
        <w:t>Alipurduar</w:t>
      </w:r>
      <w:proofErr w:type="spellEnd"/>
      <w:r w:rsidR="008F635D">
        <w:rPr>
          <w:rFonts w:ascii="Arial" w:hAnsi="Arial" w:cs="Arial"/>
          <w:sz w:val="20"/>
          <w:szCs w:val="20"/>
        </w:rPr>
        <w:t>-</w:t>
      </w:r>
      <w:r w:rsidR="003E3F7A" w:rsidRPr="007E37EC">
        <w:rPr>
          <w:rFonts w:ascii="Arial" w:hAnsi="Arial" w:cs="Arial"/>
          <w:sz w:val="20"/>
          <w:szCs w:val="20"/>
        </w:rPr>
        <w:t xml:space="preserve">II's 42.5%. </w:t>
      </w:r>
      <w:proofErr w:type="spellStart"/>
      <w:r w:rsidR="00531FD8">
        <w:rPr>
          <w:rFonts w:ascii="Arial" w:hAnsi="Arial" w:cs="Arial"/>
          <w:sz w:val="20"/>
          <w:szCs w:val="20"/>
        </w:rPr>
        <w:t>Labor</w:t>
      </w:r>
      <w:proofErr w:type="spellEnd"/>
      <w:r w:rsidR="003E3F7A" w:rsidRPr="007E37EC">
        <w:rPr>
          <w:rFonts w:ascii="Arial" w:hAnsi="Arial" w:cs="Arial"/>
          <w:sz w:val="20"/>
          <w:szCs w:val="20"/>
        </w:rPr>
        <w:t xml:space="preserve"> </w:t>
      </w:r>
      <w:r w:rsidR="00A60683" w:rsidRPr="007E37EC">
        <w:rPr>
          <w:rFonts w:ascii="Arial" w:hAnsi="Arial" w:cs="Arial"/>
          <w:sz w:val="20"/>
          <w:szCs w:val="20"/>
        </w:rPr>
        <w:t xml:space="preserve">engagement </w:t>
      </w:r>
      <w:r w:rsidR="003E3F7A" w:rsidRPr="007E37EC">
        <w:rPr>
          <w:rFonts w:ascii="Arial" w:hAnsi="Arial" w:cs="Arial"/>
          <w:sz w:val="20"/>
          <w:szCs w:val="20"/>
        </w:rPr>
        <w:t>anal</w:t>
      </w:r>
      <w:r w:rsidR="00E25A59" w:rsidRPr="007E37EC">
        <w:rPr>
          <w:rFonts w:ascii="Arial" w:hAnsi="Arial" w:cs="Arial"/>
          <w:sz w:val="20"/>
          <w:szCs w:val="20"/>
        </w:rPr>
        <w:t>ysis indicates that family</w:t>
      </w:r>
      <w:r w:rsidR="003E3F7A" w:rsidRPr="007E37EC">
        <w:rPr>
          <w:rFonts w:ascii="Arial" w:hAnsi="Arial" w:cs="Arial"/>
          <w:sz w:val="20"/>
          <w:szCs w:val="20"/>
        </w:rPr>
        <w:t xml:space="preserve"> </w:t>
      </w:r>
      <w:proofErr w:type="spellStart"/>
      <w:r w:rsidR="00531FD8">
        <w:rPr>
          <w:rFonts w:ascii="Arial" w:hAnsi="Arial" w:cs="Arial"/>
          <w:sz w:val="20"/>
          <w:szCs w:val="20"/>
        </w:rPr>
        <w:t>Labor</w:t>
      </w:r>
      <w:proofErr w:type="spellEnd"/>
      <w:r w:rsidR="003E3F7A" w:rsidRPr="007E37EC">
        <w:rPr>
          <w:rFonts w:ascii="Arial" w:hAnsi="Arial" w:cs="Arial"/>
          <w:sz w:val="20"/>
          <w:szCs w:val="20"/>
        </w:rPr>
        <w:t xml:space="preserve"> </w:t>
      </w:r>
      <w:r w:rsidR="00B40B29">
        <w:rPr>
          <w:rFonts w:ascii="Arial" w:hAnsi="Arial" w:cs="Arial"/>
          <w:sz w:val="20"/>
          <w:szCs w:val="20"/>
        </w:rPr>
        <w:t>optimises</w:t>
      </w:r>
      <w:r w:rsidR="003E3F7A" w:rsidRPr="007E37EC">
        <w:rPr>
          <w:rFonts w:ascii="Arial" w:hAnsi="Arial" w:cs="Arial"/>
          <w:sz w:val="20"/>
          <w:szCs w:val="20"/>
        </w:rPr>
        <w:t xml:space="preserve"> resource use in smaller operations. Seasonal production variability (SI: 86-113%) presents challenges, especially during monsoons (89.52% SI), but peaks in festive seasons (112.57% SI) allow for profit </w:t>
      </w:r>
      <w:r w:rsidR="00B40B29">
        <w:rPr>
          <w:rFonts w:ascii="Arial" w:hAnsi="Arial" w:cs="Arial"/>
          <w:sz w:val="20"/>
          <w:szCs w:val="20"/>
        </w:rPr>
        <w:t>maximisation</w:t>
      </w:r>
      <w:r w:rsidR="003E3F7A" w:rsidRPr="007E37EC">
        <w:rPr>
          <w:rFonts w:ascii="Arial" w:hAnsi="Arial" w:cs="Arial"/>
          <w:sz w:val="20"/>
          <w:szCs w:val="20"/>
        </w:rPr>
        <w:t>. A spoilage rate below 0.64% suggests effective quality control across regions, despite economic disparities.</w:t>
      </w:r>
    </w:p>
    <w:p w14:paraId="4E9CD866" w14:textId="543E8088" w:rsidR="003E3F7A" w:rsidRPr="007E37EC" w:rsidRDefault="003E3F7A" w:rsidP="00A40833">
      <w:pPr>
        <w:spacing w:line="360" w:lineRule="auto"/>
        <w:jc w:val="both"/>
        <w:rPr>
          <w:rFonts w:ascii="Arial" w:hAnsi="Arial" w:cs="Arial"/>
          <w:b/>
          <w:bCs/>
          <w:color w:val="000000" w:themeColor="text1"/>
        </w:rPr>
      </w:pPr>
      <w:r w:rsidRPr="007E37EC">
        <w:rPr>
          <w:rFonts w:ascii="Arial" w:hAnsi="Arial" w:cs="Arial"/>
          <w:b/>
          <w:bCs/>
          <w:color w:val="000000" w:themeColor="text1"/>
        </w:rPr>
        <w:t>5.</w:t>
      </w:r>
      <w:r w:rsidR="00174E12">
        <w:rPr>
          <w:rFonts w:ascii="Arial" w:hAnsi="Arial" w:cs="Arial"/>
          <w:b/>
          <w:bCs/>
          <w:color w:val="000000" w:themeColor="text1"/>
        </w:rPr>
        <w:t xml:space="preserve"> </w:t>
      </w:r>
      <w:r w:rsidRPr="007E37EC">
        <w:rPr>
          <w:rFonts w:ascii="Arial" w:hAnsi="Arial" w:cs="Arial"/>
          <w:b/>
          <w:bCs/>
          <w:color w:val="000000" w:themeColor="text1"/>
        </w:rPr>
        <w:t>Conclusion</w:t>
      </w:r>
    </w:p>
    <w:p w14:paraId="1F34505F" w14:textId="542C766F" w:rsidR="008B2E36" w:rsidRPr="007E37EC" w:rsidRDefault="00F2175E" w:rsidP="00A40833">
      <w:pPr>
        <w:spacing w:line="360" w:lineRule="auto"/>
        <w:jc w:val="both"/>
        <w:rPr>
          <w:rFonts w:ascii="Arial" w:hAnsi="Arial" w:cs="Arial"/>
        </w:rPr>
      </w:pPr>
      <w:r w:rsidRPr="007E37EC">
        <w:rPr>
          <w:rFonts w:ascii="Arial" w:hAnsi="Arial" w:cs="Arial"/>
          <w:sz w:val="20"/>
          <w:szCs w:val="20"/>
        </w:rPr>
        <w:t xml:space="preserve">The investigation establishes the financial viability of </w:t>
      </w:r>
      <w:r w:rsidR="00500E85" w:rsidRPr="007E37EC">
        <w:rPr>
          <w:rFonts w:ascii="Arial" w:hAnsi="Arial" w:cs="Arial"/>
          <w:sz w:val="20"/>
          <w:szCs w:val="20"/>
        </w:rPr>
        <w:t>sweet</w:t>
      </w:r>
      <w:r w:rsidRPr="007E37EC">
        <w:rPr>
          <w:rFonts w:ascii="Arial" w:hAnsi="Arial" w:cs="Arial"/>
          <w:sz w:val="20"/>
          <w:szCs w:val="20"/>
        </w:rPr>
        <w:t xml:space="preserve"> curd </w:t>
      </w:r>
      <w:r w:rsidR="00E25A59" w:rsidRPr="007E37EC">
        <w:rPr>
          <w:rFonts w:ascii="Arial" w:hAnsi="Arial" w:cs="Arial"/>
          <w:sz w:val="20"/>
          <w:szCs w:val="20"/>
        </w:rPr>
        <w:t>processing</w:t>
      </w:r>
      <w:r w:rsidRPr="007E37EC">
        <w:rPr>
          <w:rFonts w:ascii="Arial" w:hAnsi="Arial" w:cs="Arial"/>
          <w:sz w:val="20"/>
          <w:szCs w:val="20"/>
        </w:rPr>
        <w:t xml:space="preserve"> across </w:t>
      </w:r>
      <w:proofErr w:type="spellStart"/>
      <w:r w:rsidRPr="007E37EC">
        <w:rPr>
          <w:rFonts w:ascii="Arial" w:hAnsi="Arial" w:cs="Arial"/>
          <w:sz w:val="20"/>
          <w:szCs w:val="20"/>
        </w:rPr>
        <w:t>Terai</w:t>
      </w:r>
      <w:proofErr w:type="spellEnd"/>
      <w:r w:rsidRPr="007E37EC">
        <w:rPr>
          <w:rFonts w:ascii="Arial" w:hAnsi="Arial" w:cs="Arial"/>
          <w:sz w:val="20"/>
          <w:szCs w:val="20"/>
        </w:rPr>
        <w:t xml:space="preserve"> region facilities, with benefit-cost analysis yielding favo</w:t>
      </w:r>
      <w:r w:rsidR="00E25A59" w:rsidRPr="007E37EC">
        <w:rPr>
          <w:rFonts w:ascii="Arial" w:hAnsi="Arial" w:cs="Arial"/>
          <w:sz w:val="20"/>
          <w:szCs w:val="20"/>
        </w:rPr>
        <w:t>u</w:t>
      </w:r>
      <w:r w:rsidRPr="007E37EC">
        <w:rPr>
          <w:rFonts w:ascii="Arial" w:hAnsi="Arial" w:cs="Arial"/>
          <w:sz w:val="20"/>
          <w:szCs w:val="20"/>
        </w:rPr>
        <w:t xml:space="preserve">rable </w:t>
      </w:r>
      <w:r w:rsidR="00037504">
        <w:rPr>
          <w:rFonts w:ascii="Arial" w:hAnsi="Arial" w:cs="Arial"/>
          <w:sz w:val="20"/>
          <w:szCs w:val="20"/>
        </w:rPr>
        <w:t>benefit-cost</w:t>
      </w:r>
      <w:r w:rsidR="00E25A59" w:rsidRPr="007E37EC">
        <w:rPr>
          <w:rFonts w:ascii="Arial" w:hAnsi="Arial" w:cs="Arial"/>
          <w:sz w:val="20"/>
          <w:szCs w:val="20"/>
        </w:rPr>
        <w:t xml:space="preserve"> </w:t>
      </w:r>
      <w:r w:rsidRPr="007E37EC">
        <w:rPr>
          <w:rFonts w:ascii="Arial" w:hAnsi="Arial" w:cs="Arial"/>
          <w:sz w:val="20"/>
          <w:szCs w:val="20"/>
        </w:rPr>
        <w:t>ratios averaging 1.61</w:t>
      </w:r>
      <w:r w:rsidR="003E3F7A" w:rsidRPr="007E37EC">
        <w:rPr>
          <w:rFonts w:ascii="Arial" w:hAnsi="Arial" w:cs="Arial"/>
          <w:sz w:val="20"/>
          <w:szCs w:val="20"/>
        </w:rPr>
        <w:t xml:space="preserve"> and profit margins </w:t>
      </w:r>
      <w:r w:rsidR="00797D54" w:rsidRPr="007E37EC">
        <w:rPr>
          <w:rFonts w:ascii="Arial" w:hAnsi="Arial" w:cs="Arial"/>
          <w:sz w:val="20"/>
          <w:szCs w:val="20"/>
        </w:rPr>
        <w:t>of</w:t>
      </w:r>
      <w:r w:rsidR="003E3F7A" w:rsidRPr="007E37EC">
        <w:rPr>
          <w:rFonts w:ascii="Arial" w:hAnsi="Arial" w:cs="Arial"/>
          <w:sz w:val="20"/>
          <w:szCs w:val="20"/>
        </w:rPr>
        <w:t xml:space="preserve"> 37.9%. However, the differences in performance across regions call for targeted interventi</w:t>
      </w:r>
      <w:r w:rsidR="00E25A59" w:rsidRPr="007E37EC">
        <w:rPr>
          <w:rFonts w:ascii="Arial" w:hAnsi="Arial" w:cs="Arial"/>
          <w:sz w:val="20"/>
          <w:szCs w:val="20"/>
        </w:rPr>
        <w:t xml:space="preserve">ons. </w:t>
      </w:r>
      <w:r w:rsidR="003E3F7A" w:rsidRPr="007E37EC">
        <w:rPr>
          <w:rFonts w:ascii="Arial" w:hAnsi="Arial" w:cs="Arial"/>
          <w:sz w:val="20"/>
          <w:szCs w:val="20"/>
        </w:rPr>
        <w:t xml:space="preserve">The current oligopolistic market structure offers stability for established </w:t>
      </w:r>
      <w:r w:rsidR="00E25A59" w:rsidRPr="007E37EC">
        <w:rPr>
          <w:rFonts w:ascii="Arial" w:hAnsi="Arial" w:cs="Arial"/>
          <w:sz w:val="20"/>
          <w:szCs w:val="20"/>
        </w:rPr>
        <w:t>processing units</w:t>
      </w:r>
      <w:r w:rsidR="003E3F7A" w:rsidRPr="007E37EC">
        <w:rPr>
          <w:rFonts w:ascii="Arial" w:hAnsi="Arial" w:cs="Arial"/>
          <w:sz w:val="20"/>
          <w:szCs w:val="20"/>
        </w:rPr>
        <w:t xml:space="preserve"> but makes it tough for newcomers to break in</w:t>
      </w:r>
      <w:r w:rsidR="00E25A59" w:rsidRPr="007E37EC">
        <w:rPr>
          <w:rFonts w:ascii="Arial" w:hAnsi="Arial" w:cs="Arial"/>
          <w:sz w:val="20"/>
          <w:szCs w:val="20"/>
        </w:rPr>
        <w:t>.</w:t>
      </w:r>
      <w:r w:rsidR="003E3F7A" w:rsidRPr="007E37EC">
        <w:rPr>
          <w:rFonts w:ascii="Arial" w:hAnsi="Arial" w:cs="Arial"/>
          <w:sz w:val="20"/>
          <w:szCs w:val="20"/>
        </w:rPr>
        <w:t xml:space="preserve"> The study also points out low Gini coefficients (0.07-0.15), which suggest a fair distribution of market share. Seasonal management plays a vital role in profitability, pushing producers to adopt adaptive strategies such as cold storage and maintaining working capital reserves. Looking ahead, future research should </w:t>
      </w:r>
      <w:r w:rsidR="00E25A59" w:rsidRPr="007E37EC">
        <w:rPr>
          <w:rFonts w:ascii="Arial" w:hAnsi="Arial" w:cs="Arial"/>
          <w:sz w:val="20"/>
          <w:szCs w:val="20"/>
        </w:rPr>
        <w:t>explore</w:t>
      </w:r>
      <w:r w:rsidR="003E3F7A" w:rsidRPr="007E37EC">
        <w:rPr>
          <w:rFonts w:ascii="Arial" w:hAnsi="Arial" w:cs="Arial"/>
          <w:sz w:val="20"/>
          <w:szCs w:val="20"/>
        </w:rPr>
        <w:t xml:space="preserve"> value addition, consumer preferences, and climate-resilient technologies to boost efficiency and income generation in the region.</w:t>
      </w:r>
    </w:p>
    <w:p w14:paraId="6E3988AC" w14:textId="525843F8" w:rsidR="00BA6663" w:rsidRPr="007E37EC" w:rsidRDefault="00BA6663" w:rsidP="00A40833">
      <w:pPr>
        <w:spacing w:line="360" w:lineRule="auto"/>
        <w:jc w:val="both"/>
        <w:rPr>
          <w:rFonts w:ascii="Arial" w:hAnsi="Arial" w:cs="Arial"/>
          <w:b/>
          <w:bCs/>
          <w:color w:val="000000" w:themeColor="text1"/>
        </w:rPr>
      </w:pPr>
      <w:r w:rsidRPr="007E37EC">
        <w:rPr>
          <w:rFonts w:ascii="Arial" w:hAnsi="Arial" w:cs="Arial"/>
          <w:b/>
          <w:bCs/>
          <w:color w:val="000000" w:themeColor="text1"/>
        </w:rPr>
        <w:t xml:space="preserve">Consent </w:t>
      </w:r>
    </w:p>
    <w:p w14:paraId="0E1B6141" w14:textId="2FDA4796" w:rsidR="00407285" w:rsidRDefault="00BA6663" w:rsidP="00A40833">
      <w:pPr>
        <w:spacing w:line="360" w:lineRule="auto"/>
        <w:jc w:val="both"/>
        <w:rPr>
          <w:rFonts w:ascii="Arial" w:hAnsi="Arial" w:cs="Arial"/>
          <w:color w:val="000000" w:themeColor="text1"/>
          <w:sz w:val="20"/>
          <w:szCs w:val="20"/>
        </w:rPr>
      </w:pPr>
      <w:r w:rsidRPr="007E37EC">
        <w:rPr>
          <w:rFonts w:ascii="Arial" w:hAnsi="Arial" w:cs="Arial"/>
          <w:color w:val="000000" w:themeColor="text1"/>
          <w:sz w:val="20"/>
          <w:szCs w:val="20"/>
        </w:rPr>
        <w:t>As per international standards or university standards</w:t>
      </w:r>
      <w:r w:rsidR="00037504">
        <w:rPr>
          <w:rFonts w:ascii="Arial" w:hAnsi="Arial" w:cs="Arial"/>
          <w:color w:val="000000" w:themeColor="text1"/>
          <w:sz w:val="20"/>
          <w:szCs w:val="20"/>
        </w:rPr>
        <w:t>,</w:t>
      </w:r>
      <w:r w:rsidRPr="007E37EC">
        <w:rPr>
          <w:rFonts w:ascii="Arial" w:hAnsi="Arial" w:cs="Arial"/>
          <w:color w:val="000000" w:themeColor="text1"/>
          <w:sz w:val="20"/>
          <w:szCs w:val="20"/>
        </w:rPr>
        <w:t xml:space="preserve"> written consent</w:t>
      </w:r>
      <w:r w:rsidR="00925B10">
        <w:rPr>
          <w:rFonts w:ascii="Arial" w:hAnsi="Arial" w:cs="Arial"/>
          <w:color w:val="000000" w:themeColor="text1"/>
          <w:sz w:val="20"/>
          <w:szCs w:val="20"/>
        </w:rPr>
        <w:t xml:space="preserve"> from respondents</w:t>
      </w:r>
      <w:r w:rsidRPr="007E37EC">
        <w:rPr>
          <w:rFonts w:ascii="Arial" w:hAnsi="Arial" w:cs="Arial"/>
          <w:color w:val="000000" w:themeColor="text1"/>
          <w:sz w:val="20"/>
          <w:szCs w:val="20"/>
        </w:rPr>
        <w:t xml:space="preserve"> has been collected and preserved by the authors.</w:t>
      </w:r>
    </w:p>
    <w:p w14:paraId="3786F75D" w14:textId="77777777" w:rsidR="00D9358C" w:rsidRPr="007E37EC" w:rsidRDefault="00D9358C" w:rsidP="00A40833">
      <w:pPr>
        <w:spacing w:line="360" w:lineRule="auto"/>
        <w:jc w:val="both"/>
        <w:rPr>
          <w:rFonts w:ascii="Arial" w:eastAsia="Arial MT" w:hAnsi="Arial" w:cs="Arial"/>
          <w:b/>
          <w:bCs/>
          <w:kern w:val="0"/>
          <w14:ligatures w14:val="none"/>
        </w:rPr>
      </w:pPr>
      <w:r w:rsidRPr="007E37EC">
        <w:rPr>
          <w:rFonts w:ascii="Arial" w:eastAsia="Arial MT" w:hAnsi="Arial" w:cs="Arial"/>
          <w:b/>
          <w:bCs/>
          <w:kern w:val="0"/>
          <w14:ligatures w14:val="none"/>
        </w:rPr>
        <w:t>Abbreviations</w:t>
      </w:r>
      <w:bookmarkStart w:id="0" w:name="_GoBack"/>
      <w:bookmarkEnd w:id="0"/>
    </w:p>
    <w:p w14:paraId="6B40FF17" w14:textId="77935735" w:rsidR="00D9358C" w:rsidRDefault="00D9358C" w:rsidP="00A40833">
      <w:pPr>
        <w:spacing w:line="360" w:lineRule="auto"/>
        <w:jc w:val="both"/>
        <w:rPr>
          <w:rFonts w:ascii="Arial" w:eastAsia="Arial MT" w:hAnsi="Arial" w:cs="Arial"/>
          <w:kern w:val="0"/>
          <w:sz w:val="20"/>
          <w:szCs w:val="20"/>
          <w14:ligatures w14:val="none"/>
        </w:rPr>
      </w:pPr>
      <w:r w:rsidRPr="009539D6">
        <w:rPr>
          <w:rFonts w:ascii="Arial" w:eastAsia="Arial MT" w:hAnsi="Arial" w:cs="Arial"/>
          <w:kern w:val="0"/>
          <w:sz w:val="20"/>
          <w:szCs w:val="20"/>
          <w14:ligatures w14:val="none"/>
        </w:rPr>
        <w:lastRenderedPageBreak/>
        <w:t xml:space="preserve">Kg- Kilogram, L- Litre, CR- Concentration Ratio, % - Percentage, SI – Seasonality Index, Rs Rupees, TVC – Total Variable </w:t>
      </w:r>
      <w:r w:rsidR="00037504">
        <w:rPr>
          <w:rFonts w:ascii="Arial" w:eastAsia="Arial MT" w:hAnsi="Arial" w:cs="Arial"/>
          <w:kern w:val="0"/>
          <w:sz w:val="20"/>
          <w:szCs w:val="20"/>
          <w14:ligatures w14:val="none"/>
        </w:rPr>
        <w:t>Cost</w:t>
      </w:r>
      <w:r w:rsidRPr="009539D6">
        <w:rPr>
          <w:rFonts w:ascii="Arial" w:eastAsia="Arial MT" w:hAnsi="Arial" w:cs="Arial"/>
          <w:kern w:val="0"/>
          <w:sz w:val="20"/>
          <w:szCs w:val="20"/>
          <w14:ligatures w14:val="none"/>
        </w:rPr>
        <w:t>, TC – Total Cost</w:t>
      </w:r>
    </w:p>
    <w:p w14:paraId="30C032E5" w14:textId="77777777" w:rsidR="00037504" w:rsidRPr="00037504" w:rsidRDefault="00037504" w:rsidP="00A40833">
      <w:pPr>
        <w:spacing w:line="360" w:lineRule="auto"/>
        <w:jc w:val="both"/>
        <w:rPr>
          <w:rFonts w:ascii="Arial" w:eastAsia="Arial MT" w:hAnsi="Arial" w:cs="Arial"/>
          <w:b/>
          <w:bCs/>
          <w:kern w:val="0"/>
          <w14:ligatures w14:val="none"/>
        </w:rPr>
      </w:pPr>
      <w:r w:rsidRPr="00037504">
        <w:rPr>
          <w:rFonts w:ascii="Arial" w:eastAsia="Arial MT" w:hAnsi="Arial" w:cs="Arial"/>
          <w:b/>
          <w:bCs/>
          <w:kern w:val="0"/>
          <w14:ligatures w14:val="none"/>
        </w:rPr>
        <w:t>Disclaimer (Artificial intelligence)</w:t>
      </w:r>
    </w:p>
    <w:p w14:paraId="749C7299" w14:textId="3B0B754A" w:rsidR="00037504" w:rsidRPr="009539D6" w:rsidRDefault="00B40B29" w:rsidP="00A40833">
      <w:pPr>
        <w:spacing w:line="360" w:lineRule="auto"/>
        <w:jc w:val="both"/>
        <w:rPr>
          <w:rFonts w:ascii="Arial" w:eastAsia="Arial MT" w:hAnsi="Arial" w:cs="Arial"/>
          <w:kern w:val="0"/>
          <w:sz w:val="20"/>
          <w:szCs w:val="20"/>
          <w14:ligatures w14:val="none"/>
        </w:rPr>
      </w:pPr>
      <w:r>
        <w:rPr>
          <w:rFonts w:ascii="Arial" w:eastAsia="Arial MT" w:hAnsi="Arial" w:cs="Arial"/>
          <w:kern w:val="0"/>
          <w:sz w:val="20"/>
          <w:szCs w:val="20"/>
          <w14:ligatures w14:val="none"/>
        </w:rPr>
        <w:t xml:space="preserve">The author </w:t>
      </w:r>
      <w:r w:rsidR="00037504" w:rsidRPr="00037504">
        <w:rPr>
          <w:rFonts w:ascii="Arial" w:eastAsia="Arial MT" w:hAnsi="Arial" w:cs="Arial"/>
          <w:kern w:val="0"/>
          <w:sz w:val="20"/>
          <w:szCs w:val="20"/>
          <w14:ligatures w14:val="none"/>
        </w:rPr>
        <w:t xml:space="preserve">(s) hereby </w:t>
      </w:r>
      <w:r>
        <w:rPr>
          <w:rFonts w:ascii="Arial" w:eastAsia="Arial MT" w:hAnsi="Arial" w:cs="Arial"/>
          <w:kern w:val="0"/>
          <w:sz w:val="20"/>
          <w:szCs w:val="20"/>
          <w14:ligatures w14:val="none"/>
        </w:rPr>
        <w:t>declare</w:t>
      </w:r>
      <w:r w:rsidR="00037504" w:rsidRPr="00037504">
        <w:rPr>
          <w:rFonts w:ascii="Arial" w:eastAsia="Arial MT" w:hAnsi="Arial" w:cs="Arial"/>
          <w:kern w:val="0"/>
          <w:sz w:val="20"/>
          <w:szCs w:val="20"/>
          <w14:ligatures w14:val="none"/>
        </w:rPr>
        <w:t xml:space="preserve"> that NO generative AI technologies such as Large Language Models</w:t>
      </w:r>
      <w:r w:rsidR="00037504">
        <w:rPr>
          <w:rFonts w:ascii="Arial" w:eastAsia="Arial MT" w:hAnsi="Arial" w:cs="Arial"/>
          <w:kern w:val="0"/>
          <w:sz w:val="20"/>
          <w:szCs w:val="20"/>
          <w14:ligatures w14:val="none"/>
        </w:rPr>
        <w:t xml:space="preserve"> </w:t>
      </w:r>
      <w:r w:rsidR="00037504" w:rsidRPr="00037504">
        <w:rPr>
          <w:rFonts w:ascii="Arial" w:eastAsia="Arial MT" w:hAnsi="Arial" w:cs="Arial"/>
          <w:kern w:val="0"/>
          <w:sz w:val="20"/>
          <w:szCs w:val="20"/>
          <w14:ligatures w14:val="none"/>
        </w:rPr>
        <w:t>(</w:t>
      </w:r>
      <w:proofErr w:type="spellStart"/>
      <w:r w:rsidR="00037504" w:rsidRPr="00037504">
        <w:rPr>
          <w:rFonts w:ascii="Arial" w:eastAsia="Arial MT" w:hAnsi="Arial" w:cs="Arial"/>
          <w:kern w:val="0"/>
          <w:sz w:val="20"/>
          <w:szCs w:val="20"/>
          <w14:ligatures w14:val="none"/>
        </w:rPr>
        <w:t>ChatGPT</w:t>
      </w:r>
      <w:proofErr w:type="spellEnd"/>
      <w:r w:rsidR="00037504" w:rsidRPr="00037504">
        <w:rPr>
          <w:rFonts w:ascii="Arial" w:eastAsia="Arial MT" w:hAnsi="Arial" w:cs="Arial"/>
          <w:kern w:val="0"/>
          <w:sz w:val="20"/>
          <w:szCs w:val="20"/>
          <w14:ligatures w14:val="none"/>
        </w:rPr>
        <w:t>, COPILOT, etc.) and text-to-image generators have been used during the writing or editing</w:t>
      </w:r>
      <w:r w:rsidR="00037504">
        <w:rPr>
          <w:rFonts w:ascii="Arial" w:eastAsia="Arial MT" w:hAnsi="Arial" w:cs="Arial"/>
          <w:kern w:val="0"/>
          <w:sz w:val="20"/>
          <w:szCs w:val="20"/>
          <w14:ligatures w14:val="none"/>
        </w:rPr>
        <w:t xml:space="preserve"> </w:t>
      </w:r>
      <w:r w:rsidR="00037504" w:rsidRPr="00037504">
        <w:rPr>
          <w:rFonts w:ascii="Arial" w:eastAsia="Arial MT" w:hAnsi="Arial" w:cs="Arial"/>
          <w:kern w:val="0"/>
          <w:sz w:val="20"/>
          <w:szCs w:val="20"/>
          <w14:ligatures w14:val="none"/>
        </w:rPr>
        <w:t>of this manuscript.</w:t>
      </w:r>
    </w:p>
    <w:p w14:paraId="51B741FF" w14:textId="6E9FB93E" w:rsidR="00BA6663" w:rsidRPr="007E37EC" w:rsidRDefault="00BA6663" w:rsidP="00A40833">
      <w:pPr>
        <w:spacing w:line="360" w:lineRule="auto"/>
        <w:jc w:val="both"/>
        <w:rPr>
          <w:rFonts w:ascii="Arial" w:hAnsi="Arial" w:cs="Arial"/>
          <w:b/>
          <w:bCs/>
          <w:color w:val="000000" w:themeColor="text1"/>
        </w:rPr>
      </w:pPr>
      <w:r w:rsidRPr="007E37EC">
        <w:rPr>
          <w:rFonts w:ascii="Arial" w:hAnsi="Arial" w:cs="Arial"/>
          <w:b/>
          <w:bCs/>
          <w:color w:val="000000" w:themeColor="text1"/>
        </w:rPr>
        <w:t>References</w:t>
      </w:r>
    </w:p>
    <w:p w14:paraId="7ACE7BF2" w14:textId="1E8B9B5F" w:rsidR="00F33AF4" w:rsidRDefault="00C94FC6" w:rsidP="00A40833">
      <w:pPr>
        <w:spacing w:line="360" w:lineRule="auto"/>
        <w:ind w:left="720" w:hanging="720"/>
        <w:jc w:val="both"/>
        <w:rPr>
          <w:rFonts w:ascii="Arial" w:eastAsia="Arial MT" w:hAnsi="Arial" w:cs="Arial"/>
          <w:kern w:val="0"/>
          <w:sz w:val="20"/>
          <w:szCs w:val="20"/>
          <w14:ligatures w14:val="none"/>
        </w:rPr>
      </w:pPr>
      <w:r w:rsidRPr="007E37EC">
        <w:rPr>
          <w:rFonts w:ascii="Arial" w:eastAsia="Arial MT" w:hAnsi="Arial" w:cs="Arial"/>
          <w:kern w:val="0"/>
          <w:sz w:val="20"/>
          <w:szCs w:val="20"/>
          <w14:ligatures w14:val="none"/>
        </w:rPr>
        <w:t xml:space="preserve">Alli, M. M., Chauhan, A. K., Franco, D., &amp; Singh, S. P. (2020). Economics of Milk Products Manufacturing: A study on State Co-operative Dairy Plant of </w:t>
      </w:r>
      <w:proofErr w:type="spellStart"/>
      <w:r w:rsidRPr="007E37EC">
        <w:rPr>
          <w:rFonts w:ascii="Arial" w:eastAsia="Arial MT" w:hAnsi="Arial" w:cs="Arial"/>
          <w:kern w:val="0"/>
          <w:sz w:val="20"/>
          <w:szCs w:val="20"/>
          <w14:ligatures w14:val="none"/>
        </w:rPr>
        <w:t>Balasore</w:t>
      </w:r>
      <w:proofErr w:type="spellEnd"/>
      <w:r w:rsidRPr="007E37EC">
        <w:rPr>
          <w:rFonts w:ascii="Arial" w:eastAsia="Arial MT" w:hAnsi="Arial" w:cs="Arial"/>
          <w:kern w:val="0"/>
          <w:sz w:val="20"/>
          <w:szCs w:val="20"/>
          <w14:ligatures w14:val="none"/>
        </w:rPr>
        <w:t xml:space="preserve"> District</w:t>
      </w:r>
      <w:r w:rsidR="00B40B29">
        <w:rPr>
          <w:rFonts w:ascii="Arial" w:eastAsia="Arial MT" w:hAnsi="Arial" w:cs="Arial"/>
          <w:kern w:val="0"/>
          <w:sz w:val="20"/>
          <w:szCs w:val="20"/>
          <w14:ligatures w14:val="none"/>
        </w:rPr>
        <w:t>,</w:t>
      </w:r>
      <w:r w:rsidRPr="007E37EC">
        <w:rPr>
          <w:rFonts w:ascii="Arial" w:eastAsia="Arial MT" w:hAnsi="Arial" w:cs="Arial"/>
          <w:kern w:val="0"/>
          <w:sz w:val="20"/>
          <w:szCs w:val="20"/>
          <w14:ligatures w14:val="none"/>
        </w:rPr>
        <w:t xml:space="preserve"> Odisha, India. </w:t>
      </w:r>
      <w:r w:rsidRPr="007E37EC">
        <w:rPr>
          <w:rFonts w:ascii="Arial" w:eastAsia="Arial MT" w:hAnsi="Arial" w:cs="Arial"/>
          <w:i/>
          <w:iCs/>
          <w:kern w:val="0"/>
          <w:sz w:val="20"/>
          <w:szCs w:val="20"/>
          <w14:ligatures w14:val="none"/>
        </w:rPr>
        <w:t>Haryana Int</w:t>
      </w:r>
      <w:r w:rsidR="00171EC2" w:rsidRPr="007E37EC">
        <w:rPr>
          <w:rFonts w:ascii="Arial" w:eastAsia="Arial MT" w:hAnsi="Arial" w:cs="Arial"/>
          <w:i/>
          <w:iCs/>
          <w:kern w:val="0"/>
          <w:sz w:val="20"/>
          <w:szCs w:val="20"/>
          <w14:ligatures w14:val="none"/>
        </w:rPr>
        <w:t>ernational Journal of Current Microbiology and Applied Sciences</w:t>
      </w:r>
      <w:r w:rsidRPr="007E37EC">
        <w:rPr>
          <w:rFonts w:ascii="Arial" w:eastAsia="Arial MT" w:hAnsi="Arial" w:cs="Arial"/>
          <w:i/>
          <w:iCs/>
          <w:kern w:val="0"/>
          <w:sz w:val="20"/>
          <w:szCs w:val="20"/>
          <w14:ligatures w14:val="none"/>
        </w:rPr>
        <w:t>,</w:t>
      </w:r>
      <w:r w:rsidRPr="007E37EC">
        <w:rPr>
          <w:rFonts w:ascii="Arial" w:eastAsia="Arial MT" w:hAnsi="Arial" w:cs="Arial"/>
          <w:kern w:val="0"/>
          <w:sz w:val="20"/>
          <w:szCs w:val="20"/>
          <w14:ligatures w14:val="none"/>
        </w:rPr>
        <w:t xml:space="preserve"> 9(8), 3671-3679. </w:t>
      </w:r>
      <w:hyperlink r:id="rId7" w:history="1">
        <w:r w:rsidR="00F33AF4" w:rsidRPr="00B32368">
          <w:rPr>
            <w:rStyle w:val="Hyperlink"/>
            <w:rFonts w:ascii="Arial" w:eastAsia="Arial MT" w:hAnsi="Arial" w:cs="Arial"/>
            <w:kern w:val="0"/>
            <w:sz w:val="20"/>
            <w:szCs w:val="20"/>
            <w14:ligatures w14:val="none"/>
          </w:rPr>
          <w:t>https://doi.org/10.20546/ijcmas.2020.908.424</w:t>
        </w:r>
      </w:hyperlink>
    </w:p>
    <w:p w14:paraId="482F0490" w14:textId="77777777" w:rsidR="00E465D8" w:rsidRDefault="00CA3BE6" w:rsidP="00A40833">
      <w:pPr>
        <w:spacing w:line="360" w:lineRule="auto"/>
        <w:ind w:left="720" w:hanging="720"/>
        <w:jc w:val="both"/>
        <w:rPr>
          <w:rFonts w:ascii="Arial" w:eastAsia="Arial MT" w:hAnsi="Arial" w:cs="Arial"/>
          <w:kern w:val="0"/>
          <w:sz w:val="20"/>
          <w:szCs w:val="20"/>
          <w14:ligatures w14:val="none"/>
        </w:rPr>
      </w:pPr>
      <w:r w:rsidRPr="00CA3BE6">
        <w:rPr>
          <w:rFonts w:ascii="Arial" w:eastAsia="Arial MT" w:hAnsi="Arial" w:cs="Arial"/>
          <w:kern w:val="0"/>
          <w:sz w:val="20"/>
          <w:szCs w:val="20"/>
          <w14:ligatures w14:val="none"/>
        </w:rPr>
        <w:t xml:space="preserve">Anika, T. T., Al Noman, Z., Ashraf, N., Sultana, N., </w:t>
      </w:r>
      <w:proofErr w:type="spellStart"/>
      <w:r w:rsidRPr="00CA3BE6">
        <w:rPr>
          <w:rFonts w:ascii="Arial" w:eastAsia="Arial MT" w:hAnsi="Arial" w:cs="Arial"/>
          <w:kern w:val="0"/>
          <w:sz w:val="20"/>
          <w:szCs w:val="20"/>
          <w14:ligatures w14:val="none"/>
        </w:rPr>
        <w:t>Pervin</w:t>
      </w:r>
      <w:proofErr w:type="spellEnd"/>
      <w:r w:rsidRPr="00CA3BE6">
        <w:rPr>
          <w:rFonts w:ascii="Arial" w:eastAsia="Arial MT" w:hAnsi="Arial" w:cs="Arial"/>
          <w:kern w:val="0"/>
          <w:sz w:val="20"/>
          <w:szCs w:val="20"/>
          <w14:ligatures w14:val="none"/>
        </w:rPr>
        <w:t>, M., &amp; Khan, M. A. H. N. A. (2024). Assessment of Dairy Farm Hygiene Manners linked to Sub-clinical Mastitis in a Selected Dairy-belt of Bangladesh. </w:t>
      </w:r>
      <w:r w:rsidRPr="00CA3BE6">
        <w:rPr>
          <w:rFonts w:ascii="Arial" w:eastAsia="Arial MT" w:hAnsi="Arial" w:cs="Arial"/>
          <w:i/>
          <w:iCs/>
          <w:kern w:val="0"/>
          <w:sz w:val="20"/>
          <w:szCs w:val="20"/>
          <w14:ligatures w14:val="none"/>
        </w:rPr>
        <w:t>Journal of the Bangladesh Agricultural University</w:t>
      </w:r>
      <w:r w:rsidRPr="00CA3BE6">
        <w:rPr>
          <w:rFonts w:ascii="Arial" w:eastAsia="Arial MT" w:hAnsi="Arial" w:cs="Arial"/>
          <w:kern w:val="0"/>
          <w:sz w:val="20"/>
          <w:szCs w:val="20"/>
          <w14:ligatures w14:val="none"/>
        </w:rPr>
        <w:t>, </w:t>
      </w:r>
      <w:r w:rsidRPr="00CA3BE6">
        <w:rPr>
          <w:rFonts w:ascii="Arial" w:eastAsia="Arial MT" w:hAnsi="Arial" w:cs="Arial"/>
          <w:i/>
          <w:iCs/>
          <w:kern w:val="0"/>
          <w:sz w:val="20"/>
          <w:szCs w:val="20"/>
          <w14:ligatures w14:val="none"/>
        </w:rPr>
        <w:t>22</w:t>
      </w:r>
      <w:r w:rsidRPr="00CA3BE6">
        <w:rPr>
          <w:rFonts w:ascii="Arial" w:eastAsia="Arial MT" w:hAnsi="Arial" w:cs="Arial"/>
          <w:kern w:val="0"/>
          <w:sz w:val="20"/>
          <w:szCs w:val="20"/>
          <w14:ligatures w14:val="none"/>
        </w:rPr>
        <w:t>(1), 130-138.</w:t>
      </w:r>
      <w:r w:rsidR="00F241BA" w:rsidRPr="00F241BA">
        <w:t xml:space="preserve"> </w:t>
      </w:r>
      <w:hyperlink r:id="rId8" w:history="1">
        <w:r w:rsidR="00F241BA" w:rsidRPr="00925370">
          <w:rPr>
            <w:rStyle w:val="Hyperlink"/>
            <w:rFonts w:ascii="Arial" w:eastAsia="Arial MT" w:hAnsi="Arial" w:cs="Arial"/>
            <w:kern w:val="0"/>
            <w:sz w:val="20"/>
            <w:szCs w:val="20"/>
            <w14:ligatures w14:val="none"/>
          </w:rPr>
          <w:t>https://doi.org/10.5455/JBAU.176957</w:t>
        </w:r>
      </w:hyperlink>
    </w:p>
    <w:p w14:paraId="24728421" w14:textId="241B58EB" w:rsidR="00D236DB" w:rsidRDefault="00D236DB" w:rsidP="00A40833">
      <w:pPr>
        <w:spacing w:line="360" w:lineRule="auto"/>
        <w:ind w:left="720" w:hanging="720"/>
        <w:jc w:val="both"/>
        <w:rPr>
          <w:rFonts w:ascii="Arial" w:eastAsia="Arial MT" w:hAnsi="Arial" w:cs="Arial"/>
          <w:kern w:val="0"/>
          <w:sz w:val="20"/>
          <w:szCs w:val="20"/>
          <w14:ligatures w14:val="none"/>
        </w:rPr>
      </w:pPr>
      <w:r w:rsidRPr="00D236DB">
        <w:rPr>
          <w:rFonts w:ascii="Arial" w:eastAsia="Arial MT" w:hAnsi="Arial" w:cs="Arial"/>
          <w:kern w:val="0"/>
          <w:sz w:val="20"/>
          <w:szCs w:val="20"/>
          <w14:ligatures w14:val="none"/>
        </w:rPr>
        <w:t>Cabral, L. M. (2017). </w:t>
      </w:r>
      <w:r w:rsidRPr="00D236DB">
        <w:rPr>
          <w:rFonts w:ascii="Arial" w:eastAsia="Arial MT" w:hAnsi="Arial" w:cs="Arial"/>
          <w:i/>
          <w:iCs/>
          <w:kern w:val="0"/>
          <w:sz w:val="20"/>
          <w:szCs w:val="20"/>
          <w14:ligatures w14:val="none"/>
        </w:rPr>
        <w:t xml:space="preserve">Introduction to </w:t>
      </w:r>
      <w:r w:rsidR="0033236C">
        <w:rPr>
          <w:rFonts w:ascii="Arial" w:eastAsia="Arial MT" w:hAnsi="Arial" w:cs="Arial"/>
          <w:i/>
          <w:iCs/>
          <w:kern w:val="0"/>
          <w:sz w:val="20"/>
          <w:szCs w:val="20"/>
          <w14:ligatures w14:val="none"/>
        </w:rPr>
        <w:t>Industrial Organisation</w:t>
      </w:r>
      <w:r w:rsidRPr="00D236DB">
        <w:rPr>
          <w:rFonts w:ascii="Arial" w:eastAsia="Arial MT" w:hAnsi="Arial" w:cs="Arial"/>
          <w:kern w:val="0"/>
          <w:sz w:val="20"/>
          <w:szCs w:val="20"/>
          <w14:ligatures w14:val="none"/>
        </w:rPr>
        <w:t xml:space="preserve">. MIT </w:t>
      </w:r>
      <w:r w:rsidR="0033236C">
        <w:rPr>
          <w:rFonts w:ascii="Arial" w:eastAsia="Arial MT" w:hAnsi="Arial" w:cs="Arial"/>
          <w:kern w:val="0"/>
          <w:sz w:val="20"/>
          <w:szCs w:val="20"/>
          <w14:ligatures w14:val="none"/>
        </w:rPr>
        <w:t>Press</w:t>
      </w:r>
      <w:r w:rsidRPr="00D236DB">
        <w:rPr>
          <w:rFonts w:ascii="Arial" w:eastAsia="Arial MT" w:hAnsi="Arial" w:cs="Arial"/>
          <w:kern w:val="0"/>
          <w:sz w:val="20"/>
          <w:szCs w:val="20"/>
          <w14:ligatures w14:val="none"/>
        </w:rPr>
        <w:t>.</w:t>
      </w:r>
    </w:p>
    <w:p w14:paraId="16C6FB7C" w14:textId="3872A56E" w:rsidR="005D554C" w:rsidRPr="007E37EC" w:rsidRDefault="00A01EFD" w:rsidP="00A40833">
      <w:pPr>
        <w:spacing w:line="360" w:lineRule="auto"/>
        <w:ind w:left="720" w:hanging="720"/>
        <w:jc w:val="both"/>
        <w:rPr>
          <w:rFonts w:ascii="Arial" w:eastAsia="Arial MT" w:hAnsi="Arial" w:cs="Arial"/>
          <w:kern w:val="0"/>
          <w:sz w:val="20"/>
          <w:szCs w:val="20"/>
          <w14:ligatures w14:val="none"/>
        </w:rPr>
      </w:pPr>
      <w:r w:rsidRPr="007E37EC">
        <w:rPr>
          <w:rFonts w:ascii="Arial" w:eastAsia="Arial MT" w:hAnsi="Arial" w:cs="Arial"/>
          <w:kern w:val="0"/>
          <w:sz w:val="20"/>
          <w:szCs w:val="20"/>
          <w14:ligatures w14:val="none"/>
        </w:rPr>
        <w:t xml:space="preserve">Chandan, R. C. (2017). An overview of </w:t>
      </w:r>
      <w:r w:rsidR="0033236C">
        <w:rPr>
          <w:rFonts w:ascii="Arial" w:eastAsia="Arial MT" w:hAnsi="Arial" w:cs="Arial"/>
          <w:kern w:val="0"/>
          <w:sz w:val="20"/>
          <w:szCs w:val="20"/>
          <w14:ligatures w14:val="none"/>
        </w:rPr>
        <w:t>yoghurt</w:t>
      </w:r>
      <w:r w:rsidRPr="007E37EC">
        <w:rPr>
          <w:rFonts w:ascii="Arial" w:eastAsia="Arial MT" w:hAnsi="Arial" w:cs="Arial"/>
          <w:kern w:val="0"/>
          <w:sz w:val="20"/>
          <w:szCs w:val="20"/>
          <w14:ligatures w14:val="none"/>
        </w:rPr>
        <w:t xml:space="preserve"> production and composition. </w:t>
      </w:r>
      <w:r w:rsidR="0033236C">
        <w:rPr>
          <w:rFonts w:ascii="Arial" w:eastAsia="Arial MT" w:hAnsi="Arial" w:cs="Arial"/>
          <w:i/>
          <w:iCs/>
          <w:kern w:val="0"/>
          <w:sz w:val="20"/>
          <w:szCs w:val="20"/>
          <w14:ligatures w14:val="none"/>
        </w:rPr>
        <w:t>Yoghurt</w:t>
      </w:r>
      <w:r w:rsidRPr="007E37EC">
        <w:rPr>
          <w:rFonts w:ascii="Arial" w:eastAsia="Arial MT" w:hAnsi="Arial" w:cs="Arial"/>
          <w:i/>
          <w:iCs/>
          <w:kern w:val="0"/>
          <w:sz w:val="20"/>
          <w:szCs w:val="20"/>
          <w14:ligatures w14:val="none"/>
        </w:rPr>
        <w:t xml:space="preserve"> in health and disease prevention</w:t>
      </w:r>
      <w:r w:rsidRPr="007E37EC">
        <w:rPr>
          <w:rFonts w:ascii="Arial" w:eastAsia="Arial MT" w:hAnsi="Arial" w:cs="Arial"/>
          <w:kern w:val="0"/>
          <w:sz w:val="20"/>
          <w:szCs w:val="20"/>
          <w14:ligatures w14:val="none"/>
        </w:rPr>
        <w:t xml:space="preserve">, 31-47. </w:t>
      </w:r>
      <w:hyperlink r:id="rId9" w:history="1">
        <w:r w:rsidR="005D554C" w:rsidRPr="007E37EC">
          <w:rPr>
            <w:rStyle w:val="Hyperlink"/>
            <w:rFonts w:ascii="Arial" w:eastAsia="Arial MT" w:hAnsi="Arial" w:cs="Arial"/>
            <w:kern w:val="0"/>
            <w:sz w:val="20"/>
            <w:szCs w:val="20"/>
            <w14:ligatures w14:val="none"/>
          </w:rPr>
          <w:t>https://doi.org/10.1016/B978-0-12-805134-4.00002-X</w:t>
        </w:r>
      </w:hyperlink>
    </w:p>
    <w:p w14:paraId="7A554BF0" w14:textId="77777777" w:rsidR="005D554C" w:rsidRPr="007E37EC" w:rsidRDefault="005D554C" w:rsidP="00A40833">
      <w:pPr>
        <w:spacing w:line="360" w:lineRule="auto"/>
        <w:ind w:left="720" w:hanging="720"/>
        <w:jc w:val="both"/>
        <w:rPr>
          <w:rFonts w:ascii="Arial" w:eastAsia="Arial MT" w:hAnsi="Arial" w:cs="Arial"/>
          <w:kern w:val="0"/>
          <w:sz w:val="20"/>
          <w:szCs w:val="20"/>
          <w14:ligatures w14:val="none"/>
        </w:rPr>
      </w:pPr>
      <w:r w:rsidRPr="007E37EC">
        <w:rPr>
          <w:rFonts w:ascii="Arial" w:eastAsia="Arial MT" w:hAnsi="Arial" w:cs="Arial"/>
          <w:kern w:val="0"/>
          <w:sz w:val="20"/>
          <w:szCs w:val="20"/>
          <w14:ligatures w14:val="none"/>
        </w:rPr>
        <w:t xml:space="preserve">Cotter, T. S. (2021). Benefit–cost ratio analysis. In </w:t>
      </w:r>
      <w:r w:rsidRPr="007E37EC">
        <w:rPr>
          <w:rFonts w:ascii="Arial" w:eastAsia="Arial MT" w:hAnsi="Arial" w:cs="Arial"/>
          <w:i/>
          <w:iCs/>
          <w:kern w:val="0"/>
          <w:sz w:val="20"/>
          <w:szCs w:val="20"/>
          <w14:ligatures w14:val="none"/>
        </w:rPr>
        <w:t>Engineering managerial economic decision and risk analysis: economic decision-making and risk analysis</w:t>
      </w:r>
      <w:r w:rsidRPr="007E37EC">
        <w:rPr>
          <w:rFonts w:ascii="Arial" w:eastAsia="Arial MT" w:hAnsi="Arial" w:cs="Arial"/>
          <w:kern w:val="0"/>
          <w:sz w:val="20"/>
          <w:szCs w:val="20"/>
          <w14:ligatures w14:val="none"/>
        </w:rPr>
        <w:t xml:space="preserve"> (pp. 333-351). Cham: Springer International Publishing. </w:t>
      </w:r>
    </w:p>
    <w:p w14:paraId="354F3651" w14:textId="47410304" w:rsidR="005D554C" w:rsidRPr="007E37EC" w:rsidRDefault="005D554C" w:rsidP="00A40833">
      <w:pPr>
        <w:spacing w:line="360" w:lineRule="auto"/>
        <w:ind w:left="720" w:hanging="720"/>
        <w:jc w:val="both"/>
        <w:rPr>
          <w:rFonts w:ascii="Arial" w:eastAsia="Arial MT" w:hAnsi="Arial" w:cs="Arial"/>
          <w:kern w:val="0"/>
          <w:sz w:val="20"/>
          <w:szCs w:val="20"/>
          <w14:ligatures w14:val="none"/>
        </w:rPr>
      </w:pPr>
      <w:r w:rsidRPr="007E37EC">
        <w:rPr>
          <w:rFonts w:ascii="Arial" w:eastAsia="Arial MT" w:hAnsi="Arial" w:cs="Arial"/>
          <w:kern w:val="0"/>
          <w:sz w:val="20"/>
          <w:szCs w:val="20"/>
          <w14:ligatures w14:val="none"/>
        </w:rPr>
        <w:t xml:space="preserve">Gulati, A., </w:t>
      </w:r>
      <w:proofErr w:type="spellStart"/>
      <w:r w:rsidRPr="007E37EC">
        <w:rPr>
          <w:rFonts w:ascii="Arial" w:eastAsia="Arial MT" w:hAnsi="Arial" w:cs="Arial"/>
          <w:kern w:val="0"/>
          <w:sz w:val="20"/>
          <w:szCs w:val="20"/>
          <w14:ligatures w14:val="none"/>
        </w:rPr>
        <w:t>Ganguly</w:t>
      </w:r>
      <w:proofErr w:type="spellEnd"/>
      <w:r w:rsidRPr="007E37EC">
        <w:rPr>
          <w:rFonts w:ascii="Arial" w:eastAsia="Arial MT" w:hAnsi="Arial" w:cs="Arial"/>
          <w:kern w:val="0"/>
          <w:sz w:val="20"/>
          <w:szCs w:val="20"/>
          <w14:ligatures w14:val="none"/>
        </w:rPr>
        <w:t xml:space="preserve">, K., &amp; </w:t>
      </w:r>
      <w:proofErr w:type="spellStart"/>
      <w:r w:rsidRPr="007E37EC">
        <w:rPr>
          <w:rFonts w:ascii="Arial" w:eastAsia="Arial MT" w:hAnsi="Arial" w:cs="Arial"/>
          <w:kern w:val="0"/>
          <w:sz w:val="20"/>
          <w:szCs w:val="20"/>
          <w14:ligatures w14:val="none"/>
        </w:rPr>
        <w:t>Wardhan</w:t>
      </w:r>
      <w:proofErr w:type="spellEnd"/>
      <w:r w:rsidRPr="007E37EC">
        <w:rPr>
          <w:rFonts w:ascii="Arial" w:eastAsia="Arial MT" w:hAnsi="Arial" w:cs="Arial"/>
          <w:kern w:val="0"/>
          <w:sz w:val="20"/>
          <w:szCs w:val="20"/>
          <w14:ligatures w14:val="none"/>
        </w:rPr>
        <w:t>, H. (2022). </w:t>
      </w:r>
      <w:r w:rsidRPr="007E37EC">
        <w:rPr>
          <w:rFonts w:ascii="Arial" w:eastAsia="Arial MT" w:hAnsi="Arial" w:cs="Arial"/>
          <w:i/>
          <w:iCs/>
          <w:kern w:val="0"/>
          <w:sz w:val="20"/>
          <w:szCs w:val="20"/>
          <w14:ligatures w14:val="none"/>
        </w:rPr>
        <w:t>Agricultural value chains in India: Ensuring competitiveness, inclusiveness, sustainability, scalability, and improved finance (p. 298).</w:t>
      </w:r>
      <w:r w:rsidRPr="007E37EC">
        <w:rPr>
          <w:rFonts w:ascii="Arial" w:eastAsia="Arial MT" w:hAnsi="Arial" w:cs="Arial"/>
          <w:kern w:val="0"/>
          <w:sz w:val="20"/>
          <w:szCs w:val="20"/>
          <w14:ligatures w14:val="none"/>
        </w:rPr>
        <w:t xml:space="preserve"> Springer Nature.</w:t>
      </w:r>
      <w:r w:rsidR="00273204" w:rsidRPr="007E37EC">
        <w:rPr>
          <w:rFonts w:ascii="Arial" w:hAnsi="Arial" w:cs="Arial"/>
          <w:sz w:val="20"/>
          <w:szCs w:val="20"/>
        </w:rPr>
        <w:t xml:space="preserve"> </w:t>
      </w:r>
      <w:hyperlink r:id="rId10" w:history="1">
        <w:r w:rsidR="00273204" w:rsidRPr="007E37EC">
          <w:rPr>
            <w:rStyle w:val="Hyperlink"/>
            <w:rFonts w:ascii="Arial" w:eastAsia="Arial MT" w:hAnsi="Arial" w:cs="Arial"/>
            <w:kern w:val="0"/>
            <w:sz w:val="20"/>
            <w:szCs w:val="20"/>
            <w14:ligatures w14:val="none"/>
          </w:rPr>
          <w:t>https://doi.org/10.1007/978-981-33-4268-2</w:t>
        </w:r>
      </w:hyperlink>
    </w:p>
    <w:p w14:paraId="3F03A7A9" w14:textId="4E8224A4" w:rsidR="00273204" w:rsidRPr="007E37EC" w:rsidRDefault="005D554C" w:rsidP="00A40833">
      <w:pPr>
        <w:spacing w:line="360" w:lineRule="auto"/>
        <w:ind w:left="720" w:hanging="720"/>
        <w:jc w:val="both"/>
        <w:rPr>
          <w:rFonts w:ascii="Arial" w:eastAsia="Arial MT" w:hAnsi="Arial" w:cs="Arial"/>
          <w:kern w:val="0"/>
          <w:sz w:val="20"/>
          <w:szCs w:val="20"/>
          <w14:ligatures w14:val="none"/>
        </w:rPr>
      </w:pPr>
      <w:proofErr w:type="spellStart"/>
      <w:r w:rsidRPr="007E37EC">
        <w:rPr>
          <w:rFonts w:ascii="Arial" w:eastAsia="Arial MT" w:hAnsi="Arial" w:cs="Arial"/>
          <w:kern w:val="0"/>
          <w:sz w:val="20"/>
          <w:szCs w:val="20"/>
          <w14:ligatures w14:val="none"/>
        </w:rPr>
        <w:t>Katoch</w:t>
      </w:r>
      <w:proofErr w:type="spellEnd"/>
      <w:r w:rsidRPr="007E37EC">
        <w:rPr>
          <w:rFonts w:ascii="Arial" w:eastAsia="Arial MT" w:hAnsi="Arial" w:cs="Arial"/>
          <w:kern w:val="0"/>
          <w:sz w:val="20"/>
          <w:szCs w:val="20"/>
          <w14:ligatures w14:val="none"/>
        </w:rPr>
        <w:t xml:space="preserve">, S., Kumar, A., </w:t>
      </w:r>
      <w:proofErr w:type="spellStart"/>
      <w:r w:rsidRPr="007E37EC">
        <w:rPr>
          <w:rFonts w:ascii="Arial" w:eastAsia="Arial MT" w:hAnsi="Arial" w:cs="Arial"/>
          <w:kern w:val="0"/>
          <w:sz w:val="20"/>
          <w:szCs w:val="20"/>
          <w14:ligatures w14:val="none"/>
        </w:rPr>
        <w:t>Kolady</w:t>
      </w:r>
      <w:proofErr w:type="spellEnd"/>
      <w:r w:rsidRPr="007E37EC">
        <w:rPr>
          <w:rFonts w:ascii="Arial" w:eastAsia="Arial MT" w:hAnsi="Arial" w:cs="Arial"/>
          <w:kern w:val="0"/>
          <w:sz w:val="20"/>
          <w:szCs w:val="20"/>
          <w14:ligatures w14:val="none"/>
        </w:rPr>
        <w:t>, D. E., &amp; Sharma, K. (2024</w:t>
      </w:r>
      <w:r w:rsidRPr="007E37EC">
        <w:rPr>
          <w:rFonts w:ascii="Arial" w:eastAsia="Arial MT" w:hAnsi="Arial" w:cs="Arial"/>
          <w:i/>
          <w:iCs/>
          <w:kern w:val="0"/>
          <w:sz w:val="20"/>
          <w:szCs w:val="20"/>
          <w14:ligatures w14:val="none"/>
        </w:rPr>
        <w:t>). The adoption and impact of food safety measures on smallholder dairy farmers' economic welfare: Evidence from the Indo-Gangetic plains of India</w:t>
      </w:r>
      <w:r w:rsidRPr="007E37EC">
        <w:rPr>
          <w:rFonts w:ascii="Arial" w:eastAsia="Arial MT" w:hAnsi="Arial" w:cs="Arial"/>
          <w:kern w:val="0"/>
          <w:sz w:val="20"/>
          <w:szCs w:val="20"/>
          <w14:ligatures w14:val="none"/>
        </w:rPr>
        <w:t>. International Food Policy Research Institute.</w:t>
      </w:r>
      <w:r w:rsidR="00273204" w:rsidRPr="007E37EC">
        <w:rPr>
          <w:rFonts w:ascii="Arial" w:hAnsi="Arial" w:cs="Arial"/>
          <w:sz w:val="20"/>
          <w:szCs w:val="20"/>
        </w:rPr>
        <w:t xml:space="preserve"> </w:t>
      </w:r>
      <w:hyperlink r:id="rId11" w:history="1">
        <w:r w:rsidR="00273204" w:rsidRPr="007E37EC">
          <w:rPr>
            <w:rStyle w:val="Hyperlink"/>
            <w:rFonts w:ascii="Arial" w:eastAsia="Arial MT" w:hAnsi="Arial" w:cs="Arial"/>
            <w:kern w:val="0"/>
            <w:sz w:val="20"/>
            <w:szCs w:val="20"/>
            <w14:ligatures w14:val="none"/>
          </w:rPr>
          <w:t>https://doi.org/10.1016/j.jclepro.2024.144197</w:t>
        </w:r>
      </w:hyperlink>
    </w:p>
    <w:p w14:paraId="46896B3D" w14:textId="77777777" w:rsidR="005D554C" w:rsidRDefault="005D554C" w:rsidP="00A40833">
      <w:pPr>
        <w:spacing w:line="360" w:lineRule="auto"/>
        <w:ind w:left="720" w:hanging="720"/>
        <w:jc w:val="both"/>
        <w:rPr>
          <w:rFonts w:ascii="Arial" w:eastAsia="Arial MT" w:hAnsi="Arial" w:cs="Arial"/>
          <w:kern w:val="0"/>
          <w:sz w:val="20"/>
          <w:szCs w:val="20"/>
          <w14:ligatures w14:val="none"/>
        </w:rPr>
      </w:pPr>
      <w:r w:rsidRPr="007E37EC">
        <w:rPr>
          <w:rFonts w:ascii="Arial" w:eastAsia="Arial MT" w:hAnsi="Arial" w:cs="Arial"/>
          <w:kern w:val="0"/>
          <w:sz w:val="20"/>
          <w:szCs w:val="20"/>
          <w14:ligatures w14:val="none"/>
        </w:rPr>
        <w:t xml:space="preserve">Kumar, A., </w:t>
      </w:r>
      <w:proofErr w:type="spellStart"/>
      <w:r w:rsidRPr="007E37EC">
        <w:rPr>
          <w:rFonts w:ascii="Arial" w:eastAsia="Arial MT" w:hAnsi="Arial" w:cs="Arial"/>
          <w:kern w:val="0"/>
          <w:sz w:val="20"/>
          <w:szCs w:val="20"/>
          <w14:ligatures w14:val="none"/>
        </w:rPr>
        <w:t>Staal</w:t>
      </w:r>
      <w:proofErr w:type="spellEnd"/>
      <w:r w:rsidRPr="007E37EC">
        <w:rPr>
          <w:rFonts w:ascii="Arial" w:eastAsia="Arial MT" w:hAnsi="Arial" w:cs="Arial"/>
          <w:kern w:val="0"/>
          <w:sz w:val="20"/>
          <w:szCs w:val="20"/>
          <w14:ligatures w14:val="none"/>
        </w:rPr>
        <w:t>, S. J., &amp; Singh, D. K. (2011). Smallholder dairy farmers’ access to modern milk marketing chains in India. </w:t>
      </w:r>
      <w:r w:rsidRPr="007E37EC">
        <w:rPr>
          <w:rFonts w:ascii="Arial" w:eastAsia="Arial MT" w:hAnsi="Arial" w:cs="Arial"/>
          <w:i/>
          <w:iCs/>
          <w:kern w:val="0"/>
          <w:sz w:val="20"/>
          <w:szCs w:val="20"/>
          <w14:ligatures w14:val="none"/>
        </w:rPr>
        <w:t>Agricultural Economics Research Review</w:t>
      </w:r>
      <w:r w:rsidRPr="007E37EC">
        <w:rPr>
          <w:rFonts w:ascii="Arial" w:eastAsia="Arial MT" w:hAnsi="Arial" w:cs="Arial"/>
          <w:kern w:val="0"/>
          <w:sz w:val="20"/>
          <w:szCs w:val="20"/>
          <w14:ligatures w14:val="none"/>
        </w:rPr>
        <w:t>, </w:t>
      </w:r>
      <w:r w:rsidRPr="007E37EC">
        <w:rPr>
          <w:rFonts w:ascii="Arial" w:eastAsia="Arial MT" w:hAnsi="Arial" w:cs="Arial"/>
          <w:i/>
          <w:iCs/>
          <w:kern w:val="0"/>
          <w:sz w:val="20"/>
          <w:szCs w:val="20"/>
          <w14:ligatures w14:val="none"/>
        </w:rPr>
        <w:t>24</w:t>
      </w:r>
      <w:r w:rsidRPr="007E37EC">
        <w:rPr>
          <w:rFonts w:ascii="Arial" w:eastAsia="Arial MT" w:hAnsi="Arial" w:cs="Arial"/>
          <w:kern w:val="0"/>
          <w:sz w:val="20"/>
          <w:szCs w:val="20"/>
          <w14:ligatures w14:val="none"/>
        </w:rPr>
        <w:t>(2), 243-254.</w:t>
      </w:r>
    </w:p>
    <w:p w14:paraId="3D3E5EB3" w14:textId="10330700" w:rsidR="00DB2AFA" w:rsidRPr="00236B7F" w:rsidRDefault="00236B7F" w:rsidP="00A40833">
      <w:pPr>
        <w:spacing w:line="360" w:lineRule="auto"/>
        <w:ind w:left="720" w:hanging="720"/>
        <w:jc w:val="both"/>
        <w:rPr>
          <w:rFonts w:ascii="Arial" w:eastAsia="Arial MT" w:hAnsi="Arial" w:cs="Arial"/>
          <w:kern w:val="0"/>
          <w:sz w:val="20"/>
          <w:szCs w:val="20"/>
          <w14:ligatures w14:val="none"/>
        </w:rPr>
      </w:pPr>
      <w:proofErr w:type="spellStart"/>
      <w:r w:rsidRPr="00236B7F">
        <w:rPr>
          <w:rFonts w:ascii="Arial" w:eastAsia="Arial MT" w:hAnsi="Arial" w:cs="Arial"/>
          <w:kern w:val="0"/>
          <w:sz w:val="20"/>
          <w:szCs w:val="20"/>
          <w14:ligatures w14:val="none"/>
        </w:rPr>
        <w:t>Marchi</w:t>
      </w:r>
      <w:proofErr w:type="spellEnd"/>
      <w:r w:rsidRPr="00236B7F">
        <w:rPr>
          <w:rFonts w:ascii="Arial" w:eastAsia="Arial MT" w:hAnsi="Arial" w:cs="Arial"/>
          <w:kern w:val="0"/>
          <w:sz w:val="20"/>
          <w:szCs w:val="20"/>
          <w14:ligatures w14:val="none"/>
        </w:rPr>
        <w:t xml:space="preserve">, B., </w:t>
      </w:r>
      <w:proofErr w:type="spellStart"/>
      <w:r w:rsidRPr="00236B7F">
        <w:rPr>
          <w:rFonts w:ascii="Arial" w:eastAsia="Arial MT" w:hAnsi="Arial" w:cs="Arial"/>
          <w:kern w:val="0"/>
          <w:sz w:val="20"/>
          <w:szCs w:val="20"/>
          <w14:ligatures w14:val="none"/>
        </w:rPr>
        <w:t>Bettoni</w:t>
      </w:r>
      <w:proofErr w:type="spellEnd"/>
      <w:r w:rsidRPr="00236B7F">
        <w:rPr>
          <w:rFonts w:ascii="Arial" w:eastAsia="Arial MT" w:hAnsi="Arial" w:cs="Arial"/>
          <w:kern w:val="0"/>
          <w:sz w:val="20"/>
          <w:szCs w:val="20"/>
          <w14:ligatures w14:val="none"/>
        </w:rPr>
        <w:t xml:space="preserve">, L., &amp; </w:t>
      </w:r>
      <w:proofErr w:type="spellStart"/>
      <w:r w:rsidRPr="00236B7F">
        <w:rPr>
          <w:rFonts w:ascii="Arial" w:eastAsia="Arial MT" w:hAnsi="Arial" w:cs="Arial"/>
          <w:kern w:val="0"/>
          <w:sz w:val="20"/>
          <w:szCs w:val="20"/>
          <w14:ligatures w14:val="none"/>
        </w:rPr>
        <w:t>Zanoni</w:t>
      </w:r>
      <w:proofErr w:type="spellEnd"/>
      <w:r w:rsidRPr="00236B7F">
        <w:rPr>
          <w:rFonts w:ascii="Arial" w:eastAsia="Arial MT" w:hAnsi="Arial" w:cs="Arial"/>
          <w:kern w:val="0"/>
          <w:sz w:val="20"/>
          <w:szCs w:val="20"/>
          <w14:ligatures w14:val="none"/>
        </w:rPr>
        <w:t xml:space="preserve">, S. (2022). Assessment of energy efficiency measures in food cold supply chains: A dairy industry case study. </w:t>
      </w:r>
      <w:r w:rsidRPr="00FD524E">
        <w:rPr>
          <w:rFonts w:ascii="Arial" w:eastAsia="Arial MT" w:hAnsi="Arial" w:cs="Arial"/>
          <w:i/>
          <w:iCs/>
          <w:kern w:val="0"/>
          <w:sz w:val="20"/>
          <w:szCs w:val="20"/>
          <w14:ligatures w14:val="none"/>
        </w:rPr>
        <w:t>Energies</w:t>
      </w:r>
      <w:r w:rsidRPr="00236B7F">
        <w:rPr>
          <w:rFonts w:ascii="Arial" w:eastAsia="Arial MT" w:hAnsi="Arial" w:cs="Arial"/>
          <w:kern w:val="0"/>
          <w:sz w:val="20"/>
          <w:szCs w:val="20"/>
          <w14:ligatures w14:val="none"/>
        </w:rPr>
        <w:t>, 15(19), 6901.</w:t>
      </w:r>
      <w:hyperlink r:id="rId12" w:history="1">
        <w:r w:rsidRPr="00236B7F">
          <w:rPr>
            <w:rStyle w:val="Hyperlink"/>
            <w:rFonts w:ascii="Arial" w:eastAsia="Arial MT" w:hAnsi="Arial" w:cs="Arial"/>
            <w:kern w:val="0"/>
            <w:sz w:val="20"/>
            <w:szCs w:val="20"/>
            <w14:ligatures w14:val="none"/>
          </w:rPr>
          <w:t>https://doi.org/10.3390/en15196901</w:t>
        </w:r>
      </w:hyperlink>
    </w:p>
    <w:p w14:paraId="32336819" w14:textId="4AC0B300" w:rsidR="00EC4530" w:rsidRDefault="005D554C" w:rsidP="00A40833">
      <w:pPr>
        <w:spacing w:line="360" w:lineRule="auto"/>
        <w:ind w:left="720" w:hanging="720"/>
        <w:jc w:val="both"/>
      </w:pPr>
      <w:r w:rsidRPr="007E37EC">
        <w:rPr>
          <w:rFonts w:ascii="Arial" w:hAnsi="Arial" w:cs="Arial"/>
          <w:sz w:val="20"/>
          <w:szCs w:val="20"/>
        </w:rPr>
        <w:lastRenderedPageBreak/>
        <w:t xml:space="preserve">Mishra, G., Goswami, S. C., </w:t>
      </w:r>
      <w:proofErr w:type="spellStart"/>
      <w:r w:rsidRPr="007E37EC">
        <w:rPr>
          <w:rFonts w:ascii="Arial" w:hAnsi="Arial" w:cs="Arial"/>
          <w:sz w:val="20"/>
          <w:szCs w:val="20"/>
        </w:rPr>
        <w:t>Jhirwal</w:t>
      </w:r>
      <w:proofErr w:type="spellEnd"/>
      <w:r w:rsidRPr="007E37EC">
        <w:rPr>
          <w:rFonts w:ascii="Arial" w:hAnsi="Arial" w:cs="Arial"/>
          <w:sz w:val="20"/>
          <w:szCs w:val="20"/>
        </w:rPr>
        <w:t xml:space="preserve">, A. K., &amp; </w:t>
      </w:r>
      <w:proofErr w:type="spellStart"/>
      <w:r w:rsidRPr="007E37EC">
        <w:rPr>
          <w:rFonts w:ascii="Arial" w:hAnsi="Arial" w:cs="Arial"/>
          <w:sz w:val="20"/>
          <w:szCs w:val="20"/>
        </w:rPr>
        <w:t>Paliwal</w:t>
      </w:r>
      <w:proofErr w:type="spellEnd"/>
      <w:r w:rsidRPr="007E37EC">
        <w:rPr>
          <w:rFonts w:ascii="Arial" w:hAnsi="Arial" w:cs="Arial"/>
          <w:sz w:val="20"/>
          <w:szCs w:val="20"/>
        </w:rPr>
        <w:t xml:space="preserve">, S. (2025). Effect of breed, season and stage of lactation on different milk parameters at organized farm. </w:t>
      </w:r>
      <w:r w:rsidRPr="007E37EC">
        <w:rPr>
          <w:rFonts w:ascii="Arial" w:hAnsi="Arial" w:cs="Arial"/>
          <w:i/>
          <w:iCs/>
          <w:sz w:val="20"/>
          <w:szCs w:val="20"/>
        </w:rPr>
        <w:t>Asian Journal of Dairy and Food Research</w:t>
      </w:r>
      <w:r w:rsidRPr="007E37EC">
        <w:rPr>
          <w:rFonts w:ascii="Arial" w:hAnsi="Arial" w:cs="Arial"/>
          <w:sz w:val="20"/>
          <w:szCs w:val="20"/>
        </w:rPr>
        <w:t>, 44(5), 871-875.</w:t>
      </w:r>
      <w:r w:rsidR="00EC4530" w:rsidRPr="007E37EC">
        <w:rPr>
          <w:rFonts w:ascii="Arial" w:hAnsi="Arial" w:cs="Arial"/>
          <w:sz w:val="20"/>
          <w:szCs w:val="20"/>
        </w:rPr>
        <w:t xml:space="preserve"> </w:t>
      </w:r>
      <w:hyperlink r:id="rId13" w:history="1">
        <w:r w:rsidR="00EC4530" w:rsidRPr="007E37EC">
          <w:rPr>
            <w:rStyle w:val="Hyperlink"/>
            <w:rFonts w:ascii="Arial" w:hAnsi="Arial" w:cs="Arial"/>
            <w:sz w:val="20"/>
            <w:szCs w:val="20"/>
          </w:rPr>
          <w:t>http://dx.doi.org/10.18805/ajdfr.DR-1937</w:t>
        </w:r>
      </w:hyperlink>
    </w:p>
    <w:p w14:paraId="44B879CE" w14:textId="7ECADD52" w:rsidR="00D236DB" w:rsidRDefault="00D236DB" w:rsidP="00A40833">
      <w:pPr>
        <w:spacing w:line="360" w:lineRule="auto"/>
        <w:ind w:left="720" w:hanging="720"/>
        <w:jc w:val="both"/>
        <w:rPr>
          <w:rFonts w:ascii="Arial" w:hAnsi="Arial" w:cs="Arial"/>
          <w:sz w:val="20"/>
          <w:szCs w:val="20"/>
        </w:rPr>
      </w:pPr>
      <w:proofErr w:type="spellStart"/>
      <w:r w:rsidRPr="00D236DB">
        <w:rPr>
          <w:rFonts w:ascii="Arial" w:hAnsi="Arial" w:cs="Arial"/>
          <w:sz w:val="20"/>
          <w:szCs w:val="20"/>
        </w:rPr>
        <w:t>Nuryadi</w:t>
      </w:r>
      <w:proofErr w:type="spellEnd"/>
      <w:r w:rsidRPr="00D236DB">
        <w:rPr>
          <w:rFonts w:ascii="Arial" w:hAnsi="Arial" w:cs="Arial"/>
          <w:sz w:val="20"/>
          <w:szCs w:val="20"/>
        </w:rPr>
        <w:t xml:space="preserve">, R. T., &amp; </w:t>
      </w:r>
      <w:proofErr w:type="spellStart"/>
      <w:r w:rsidRPr="00D236DB">
        <w:rPr>
          <w:rFonts w:ascii="Arial" w:hAnsi="Arial" w:cs="Arial"/>
          <w:sz w:val="20"/>
          <w:szCs w:val="20"/>
        </w:rPr>
        <w:t>Mulyono</w:t>
      </w:r>
      <w:proofErr w:type="spellEnd"/>
      <w:r w:rsidRPr="00D236DB">
        <w:rPr>
          <w:rFonts w:ascii="Arial" w:hAnsi="Arial" w:cs="Arial"/>
          <w:sz w:val="20"/>
          <w:szCs w:val="20"/>
        </w:rPr>
        <w:t>, N. B. (2019). Proposed Business Model of Dairy Cooperative to Empower Dairy Supply Chain of Dairy Cooperative. </w:t>
      </w:r>
      <w:r w:rsidRPr="00D236DB">
        <w:rPr>
          <w:rFonts w:ascii="Arial" w:hAnsi="Arial" w:cs="Arial"/>
          <w:i/>
          <w:iCs/>
          <w:sz w:val="20"/>
          <w:szCs w:val="20"/>
        </w:rPr>
        <w:t>The Asian Journal of Technology Management</w:t>
      </w:r>
      <w:r w:rsidRPr="00D236DB">
        <w:rPr>
          <w:rFonts w:ascii="Arial" w:hAnsi="Arial" w:cs="Arial"/>
          <w:sz w:val="20"/>
          <w:szCs w:val="20"/>
        </w:rPr>
        <w:t>, </w:t>
      </w:r>
      <w:r w:rsidRPr="00D236DB">
        <w:rPr>
          <w:rFonts w:ascii="Arial" w:hAnsi="Arial" w:cs="Arial"/>
          <w:i/>
          <w:iCs/>
          <w:sz w:val="20"/>
          <w:szCs w:val="20"/>
        </w:rPr>
        <w:t>12</w:t>
      </w:r>
      <w:r w:rsidRPr="00D236DB">
        <w:rPr>
          <w:rFonts w:ascii="Arial" w:hAnsi="Arial" w:cs="Arial"/>
          <w:sz w:val="20"/>
          <w:szCs w:val="20"/>
        </w:rPr>
        <w:t>(3), 226-242.</w:t>
      </w:r>
      <w:r w:rsidRPr="00D236DB">
        <w:t xml:space="preserve"> </w:t>
      </w:r>
      <w:hyperlink r:id="rId14" w:history="1">
        <w:r w:rsidRPr="00925370">
          <w:rPr>
            <w:rStyle w:val="Hyperlink"/>
            <w:rFonts w:ascii="Arial" w:hAnsi="Arial" w:cs="Arial"/>
            <w:sz w:val="20"/>
            <w:szCs w:val="20"/>
          </w:rPr>
          <w:t>http://dx.doi.org/10.12695/ajtm.2019.12.3.6</w:t>
        </w:r>
      </w:hyperlink>
    </w:p>
    <w:p w14:paraId="6359BB60" w14:textId="6404E428" w:rsidR="005D554C" w:rsidRPr="007E37EC" w:rsidRDefault="005D554C" w:rsidP="00A40833">
      <w:pPr>
        <w:spacing w:line="360" w:lineRule="auto"/>
        <w:ind w:left="720" w:hanging="720"/>
        <w:jc w:val="both"/>
        <w:rPr>
          <w:rFonts w:ascii="Arial" w:hAnsi="Arial" w:cs="Arial"/>
          <w:sz w:val="20"/>
          <w:szCs w:val="20"/>
        </w:rPr>
      </w:pPr>
      <w:r w:rsidRPr="007E37EC">
        <w:rPr>
          <w:rFonts w:ascii="Arial" w:hAnsi="Arial" w:cs="Arial"/>
          <w:sz w:val="20"/>
          <w:szCs w:val="20"/>
        </w:rPr>
        <w:t xml:space="preserve">Parmar, P., Lopez-Villalobos, N., Tobin, J. T., Murphy, E., McDonagh, A., Crowley, S. V., ... &amp; </w:t>
      </w:r>
      <w:proofErr w:type="spellStart"/>
      <w:r w:rsidRPr="007E37EC">
        <w:rPr>
          <w:rFonts w:ascii="Arial" w:hAnsi="Arial" w:cs="Arial"/>
          <w:sz w:val="20"/>
          <w:szCs w:val="20"/>
        </w:rPr>
        <w:t>Shalloo</w:t>
      </w:r>
      <w:proofErr w:type="spellEnd"/>
      <w:r w:rsidRPr="007E37EC">
        <w:rPr>
          <w:rFonts w:ascii="Arial" w:hAnsi="Arial" w:cs="Arial"/>
          <w:sz w:val="20"/>
          <w:szCs w:val="20"/>
        </w:rPr>
        <w:t xml:space="preserve">, L. (2020). The effect of compositional changes due to seasonal variation on milk density and the determination of season-based density conversion factors for use in the dairy industry. Foods, 9(8), 1004. </w:t>
      </w:r>
      <w:hyperlink r:id="rId15" w:history="1">
        <w:r w:rsidRPr="007E37EC">
          <w:rPr>
            <w:rStyle w:val="Hyperlink"/>
            <w:rFonts w:ascii="Arial" w:hAnsi="Arial" w:cs="Arial"/>
            <w:sz w:val="20"/>
            <w:szCs w:val="20"/>
          </w:rPr>
          <w:t>https://doi.org/10.3390/foods9081004</w:t>
        </w:r>
      </w:hyperlink>
    </w:p>
    <w:p w14:paraId="04762B6B" w14:textId="6B8FF816" w:rsidR="005D554C" w:rsidRPr="007E37EC" w:rsidRDefault="005D554C" w:rsidP="00A40833">
      <w:pPr>
        <w:spacing w:line="360" w:lineRule="auto"/>
        <w:ind w:left="720" w:hanging="720"/>
        <w:jc w:val="both"/>
        <w:rPr>
          <w:rFonts w:ascii="Arial" w:hAnsi="Arial" w:cs="Arial"/>
          <w:sz w:val="20"/>
          <w:szCs w:val="20"/>
        </w:rPr>
      </w:pPr>
      <w:r w:rsidRPr="007E37EC">
        <w:rPr>
          <w:rFonts w:ascii="Arial" w:hAnsi="Arial" w:cs="Arial"/>
          <w:sz w:val="20"/>
          <w:szCs w:val="20"/>
        </w:rPr>
        <w:t xml:space="preserve">Porter, M. E. (2008). The five competitive forces that shape strategy. </w:t>
      </w:r>
      <w:r w:rsidRPr="007E37EC">
        <w:rPr>
          <w:rFonts w:ascii="Arial" w:hAnsi="Arial" w:cs="Arial"/>
          <w:i/>
          <w:iCs/>
          <w:sz w:val="20"/>
          <w:szCs w:val="20"/>
        </w:rPr>
        <w:t xml:space="preserve">Harvard </w:t>
      </w:r>
      <w:r w:rsidR="002F5B10">
        <w:rPr>
          <w:rFonts w:ascii="Arial" w:hAnsi="Arial" w:cs="Arial"/>
          <w:i/>
          <w:iCs/>
          <w:sz w:val="20"/>
          <w:szCs w:val="20"/>
        </w:rPr>
        <w:t>Business Review</w:t>
      </w:r>
      <w:r w:rsidRPr="007E37EC">
        <w:rPr>
          <w:rFonts w:ascii="Arial" w:hAnsi="Arial" w:cs="Arial"/>
          <w:sz w:val="20"/>
          <w:szCs w:val="20"/>
        </w:rPr>
        <w:t>, 86(1), 78.</w:t>
      </w:r>
    </w:p>
    <w:p w14:paraId="42523556" w14:textId="0EA1E8B5" w:rsidR="00C47E29" w:rsidRPr="007E37EC" w:rsidRDefault="00C47E29" w:rsidP="00A40833">
      <w:pPr>
        <w:spacing w:line="360" w:lineRule="auto"/>
        <w:ind w:left="720" w:hanging="720"/>
        <w:jc w:val="both"/>
        <w:rPr>
          <w:rFonts w:ascii="Arial" w:hAnsi="Arial" w:cs="Arial"/>
          <w:color w:val="222222"/>
          <w:sz w:val="20"/>
          <w:szCs w:val="20"/>
          <w:shd w:val="clear" w:color="auto" w:fill="FFFFFF"/>
        </w:rPr>
      </w:pPr>
      <w:r w:rsidRPr="007E37EC">
        <w:rPr>
          <w:rFonts w:ascii="Arial" w:hAnsi="Arial" w:cs="Arial"/>
          <w:color w:val="222222"/>
          <w:sz w:val="20"/>
          <w:szCs w:val="20"/>
          <w:shd w:val="clear" w:color="auto" w:fill="FFFFFF"/>
        </w:rPr>
        <w:t xml:space="preserve">Raju, P. N., &amp; Pal, D. (2011). Effect of bulking agents on the quality of artificially sweetened </w:t>
      </w:r>
      <w:proofErr w:type="spellStart"/>
      <w:r w:rsidRPr="007E37EC">
        <w:rPr>
          <w:rFonts w:ascii="Arial" w:hAnsi="Arial" w:cs="Arial"/>
          <w:color w:val="222222"/>
          <w:sz w:val="20"/>
          <w:szCs w:val="20"/>
          <w:shd w:val="clear" w:color="auto" w:fill="FFFFFF"/>
        </w:rPr>
        <w:t>misti</w:t>
      </w:r>
      <w:proofErr w:type="spellEnd"/>
      <w:r w:rsidRPr="007E37EC">
        <w:rPr>
          <w:rFonts w:ascii="Arial" w:hAnsi="Arial" w:cs="Arial"/>
          <w:color w:val="222222"/>
          <w:sz w:val="20"/>
          <w:szCs w:val="20"/>
          <w:shd w:val="clear" w:color="auto" w:fill="FFFFFF"/>
        </w:rPr>
        <w:t xml:space="preserve"> </w:t>
      </w:r>
      <w:proofErr w:type="spellStart"/>
      <w:r w:rsidRPr="007E37EC">
        <w:rPr>
          <w:rFonts w:ascii="Arial" w:hAnsi="Arial" w:cs="Arial"/>
          <w:color w:val="222222"/>
          <w:sz w:val="20"/>
          <w:szCs w:val="20"/>
          <w:shd w:val="clear" w:color="auto" w:fill="FFFFFF"/>
        </w:rPr>
        <w:t>dahi</w:t>
      </w:r>
      <w:proofErr w:type="spellEnd"/>
      <w:r w:rsidRPr="007E37EC">
        <w:rPr>
          <w:rFonts w:ascii="Arial" w:hAnsi="Arial" w:cs="Arial"/>
          <w:color w:val="222222"/>
          <w:sz w:val="20"/>
          <w:szCs w:val="20"/>
          <w:shd w:val="clear" w:color="auto" w:fill="FFFFFF"/>
        </w:rPr>
        <w:t xml:space="preserve"> (caramel </w:t>
      </w:r>
      <w:proofErr w:type="spellStart"/>
      <w:r w:rsidRPr="007E37EC">
        <w:rPr>
          <w:rFonts w:ascii="Arial" w:hAnsi="Arial" w:cs="Arial"/>
          <w:color w:val="222222"/>
          <w:sz w:val="20"/>
          <w:szCs w:val="20"/>
          <w:shd w:val="clear" w:color="auto" w:fill="FFFFFF"/>
        </w:rPr>
        <w:t>colored</w:t>
      </w:r>
      <w:proofErr w:type="spellEnd"/>
      <w:r w:rsidRPr="007E37EC">
        <w:rPr>
          <w:rFonts w:ascii="Arial" w:hAnsi="Arial" w:cs="Arial"/>
          <w:color w:val="222222"/>
          <w:sz w:val="20"/>
          <w:szCs w:val="20"/>
          <w:shd w:val="clear" w:color="auto" w:fill="FFFFFF"/>
        </w:rPr>
        <w:t xml:space="preserve"> sweetened yoghurt) prepared from reduced fat buffalo milk. </w:t>
      </w:r>
      <w:r w:rsidRPr="007E37EC">
        <w:rPr>
          <w:rFonts w:ascii="Arial" w:hAnsi="Arial" w:cs="Arial"/>
          <w:i/>
          <w:iCs/>
          <w:color w:val="222222"/>
          <w:sz w:val="20"/>
          <w:szCs w:val="20"/>
          <w:shd w:val="clear" w:color="auto" w:fill="FFFFFF"/>
        </w:rPr>
        <w:t>LWT-Food Science and Technology</w:t>
      </w:r>
      <w:r w:rsidRPr="007E37EC">
        <w:rPr>
          <w:rFonts w:ascii="Arial" w:hAnsi="Arial" w:cs="Arial"/>
          <w:color w:val="222222"/>
          <w:sz w:val="20"/>
          <w:szCs w:val="20"/>
          <w:shd w:val="clear" w:color="auto" w:fill="FFFFFF"/>
        </w:rPr>
        <w:t>, </w:t>
      </w:r>
      <w:r w:rsidRPr="007E37EC">
        <w:rPr>
          <w:rFonts w:ascii="Arial" w:hAnsi="Arial" w:cs="Arial"/>
          <w:i/>
          <w:iCs/>
          <w:color w:val="222222"/>
          <w:sz w:val="20"/>
          <w:szCs w:val="20"/>
          <w:shd w:val="clear" w:color="auto" w:fill="FFFFFF"/>
        </w:rPr>
        <w:t>44</w:t>
      </w:r>
      <w:r w:rsidRPr="007E37EC">
        <w:rPr>
          <w:rFonts w:ascii="Arial" w:hAnsi="Arial" w:cs="Arial"/>
          <w:color w:val="222222"/>
          <w:sz w:val="20"/>
          <w:szCs w:val="20"/>
          <w:shd w:val="clear" w:color="auto" w:fill="FFFFFF"/>
        </w:rPr>
        <w:t>(9), 1835-1843.</w:t>
      </w:r>
      <w:r w:rsidRPr="007E37EC">
        <w:rPr>
          <w:rFonts w:ascii="Arial" w:hAnsi="Arial" w:cs="Arial"/>
          <w:sz w:val="20"/>
          <w:szCs w:val="20"/>
        </w:rPr>
        <w:t xml:space="preserve"> </w:t>
      </w:r>
      <w:hyperlink r:id="rId16" w:history="1">
        <w:r w:rsidRPr="007E37EC">
          <w:rPr>
            <w:rStyle w:val="Hyperlink"/>
            <w:rFonts w:ascii="Arial" w:hAnsi="Arial" w:cs="Arial"/>
            <w:sz w:val="20"/>
            <w:szCs w:val="20"/>
            <w:shd w:val="clear" w:color="auto" w:fill="FFFFFF"/>
          </w:rPr>
          <w:t>https://doi.org/10.1016/j.lwt.2011.03.010</w:t>
        </w:r>
      </w:hyperlink>
    </w:p>
    <w:p w14:paraId="0C525300" w14:textId="1BA5BE64" w:rsidR="005D554C" w:rsidRPr="007E37EC" w:rsidRDefault="005D554C" w:rsidP="00A40833">
      <w:pPr>
        <w:spacing w:line="360" w:lineRule="auto"/>
        <w:ind w:left="720" w:hanging="720"/>
        <w:jc w:val="both"/>
        <w:rPr>
          <w:rFonts w:ascii="Arial" w:hAnsi="Arial" w:cs="Arial"/>
          <w:sz w:val="20"/>
          <w:szCs w:val="20"/>
        </w:rPr>
      </w:pPr>
      <w:proofErr w:type="spellStart"/>
      <w:r w:rsidRPr="007E37EC">
        <w:rPr>
          <w:rFonts w:ascii="Arial" w:hAnsi="Arial" w:cs="Arial"/>
          <w:sz w:val="20"/>
          <w:szCs w:val="20"/>
        </w:rPr>
        <w:t>Rasane</w:t>
      </w:r>
      <w:proofErr w:type="spellEnd"/>
      <w:r w:rsidRPr="007E37EC">
        <w:rPr>
          <w:rFonts w:ascii="Arial" w:hAnsi="Arial" w:cs="Arial"/>
          <w:sz w:val="20"/>
          <w:szCs w:val="20"/>
        </w:rPr>
        <w:t xml:space="preserve">, P., Kailey, R., &amp; Singh, S. K. (2017). Fermented Indigenous Indian Dairy Products: Standards, Nutrition, Technological Significance and Opportunities for its Processing. </w:t>
      </w:r>
      <w:r w:rsidRPr="007E37EC">
        <w:rPr>
          <w:rFonts w:ascii="Arial" w:hAnsi="Arial" w:cs="Arial"/>
          <w:i/>
          <w:iCs/>
          <w:sz w:val="20"/>
          <w:szCs w:val="20"/>
        </w:rPr>
        <w:t>Journal of Pure &amp; Applied Microbiology</w:t>
      </w:r>
      <w:r w:rsidRPr="007E37EC">
        <w:rPr>
          <w:rFonts w:ascii="Arial" w:hAnsi="Arial" w:cs="Arial"/>
          <w:sz w:val="20"/>
          <w:szCs w:val="20"/>
        </w:rPr>
        <w:t xml:space="preserve">, 11(2). </w:t>
      </w:r>
      <w:hyperlink r:id="rId17" w:history="1">
        <w:r w:rsidR="00C47E29" w:rsidRPr="007E37EC">
          <w:rPr>
            <w:rStyle w:val="Hyperlink"/>
            <w:rFonts w:ascii="Arial" w:hAnsi="Arial" w:cs="Arial"/>
            <w:sz w:val="20"/>
            <w:szCs w:val="20"/>
          </w:rPr>
          <w:t>http://dx.doi.org/10.22207/JPAM.11.2.68</w:t>
        </w:r>
      </w:hyperlink>
    </w:p>
    <w:p w14:paraId="4D46CD5D" w14:textId="3BC16ED6" w:rsidR="005D554C" w:rsidRPr="007E37EC" w:rsidRDefault="00E123F6" w:rsidP="00A40833">
      <w:pPr>
        <w:spacing w:line="360" w:lineRule="auto"/>
        <w:ind w:left="720" w:hanging="720"/>
        <w:jc w:val="both"/>
        <w:rPr>
          <w:rFonts w:ascii="Arial" w:hAnsi="Arial" w:cs="Arial"/>
          <w:sz w:val="20"/>
          <w:szCs w:val="20"/>
        </w:rPr>
      </w:pPr>
      <w:proofErr w:type="spellStart"/>
      <w:r w:rsidRPr="007E37EC">
        <w:rPr>
          <w:rFonts w:ascii="Arial" w:hAnsi="Arial" w:cs="Arial"/>
          <w:color w:val="222222"/>
          <w:sz w:val="20"/>
          <w:szCs w:val="20"/>
          <w:shd w:val="clear" w:color="auto" w:fill="FFFFFF"/>
        </w:rPr>
        <w:t>Savaiano</w:t>
      </w:r>
      <w:proofErr w:type="spellEnd"/>
      <w:r w:rsidRPr="007E37EC">
        <w:rPr>
          <w:rFonts w:ascii="Arial" w:hAnsi="Arial" w:cs="Arial"/>
          <w:color w:val="222222"/>
          <w:sz w:val="20"/>
          <w:szCs w:val="20"/>
          <w:shd w:val="clear" w:color="auto" w:fill="FFFFFF"/>
        </w:rPr>
        <w:t xml:space="preserve">, D. A., &amp; </w:t>
      </w:r>
      <w:proofErr w:type="spellStart"/>
      <w:r w:rsidRPr="007E37EC">
        <w:rPr>
          <w:rFonts w:ascii="Arial" w:hAnsi="Arial" w:cs="Arial"/>
          <w:color w:val="222222"/>
          <w:sz w:val="20"/>
          <w:szCs w:val="20"/>
          <w:shd w:val="clear" w:color="auto" w:fill="FFFFFF"/>
        </w:rPr>
        <w:t>Hutkins</w:t>
      </w:r>
      <w:proofErr w:type="spellEnd"/>
      <w:r w:rsidRPr="007E37EC">
        <w:rPr>
          <w:rFonts w:ascii="Arial" w:hAnsi="Arial" w:cs="Arial"/>
          <w:color w:val="222222"/>
          <w:sz w:val="20"/>
          <w:szCs w:val="20"/>
          <w:shd w:val="clear" w:color="auto" w:fill="FFFFFF"/>
        </w:rPr>
        <w:t xml:space="preserve">, R. W. (2021). </w:t>
      </w:r>
      <w:r w:rsidR="00F66C5C">
        <w:rPr>
          <w:rFonts w:ascii="Arial" w:hAnsi="Arial" w:cs="Arial"/>
          <w:color w:val="222222"/>
          <w:sz w:val="20"/>
          <w:szCs w:val="20"/>
          <w:shd w:val="clear" w:color="auto" w:fill="FFFFFF"/>
        </w:rPr>
        <w:t>Yoghurt</w:t>
      </w:r>
      <w:r w:rsidRPr="007E37EC">
        <w:rPr>
          <w:rFonts w:ascii="Arial" w:hAnsi="Arial" w:cs="Arial"/>
          <w:color w:val="222222"/>
          <w:sz w:val="20"/>
          <w:szCs w:val="20"/>
          <w:shd w:val="clear" w:color="auto" w:fill="FFFFFF"/>
        </w:rPr>
        <w:t>, cultured fermented milk, and health: A systematic review. </w:t>
      </w:r>
      <w:r w:rsidRPr="007E37EC">
        <w:rPr>
          <w:rFonts w:ascii="Arial" w:hAnsi="Arial" w:cs="Arial"/>
          <w:i/>
          <w:iCs/>
          <w:color w:val="222222"/>
          <w:sz w:val="20"/>
          <w:szCs w:val="20"/>
          <w:shd w:val="clear" w:color="auto" w:fill="FFFFFF"/>
        </w:rPr>
        <w:t>Nutrition reviews</w:t>
      </w:r>
      <w:r w:rsidRPr="007E37EC">
        <w:rPr>
          <w:rFonts w:ascii="Arial" w:hAnsi="Arial" w:cs="Arial"/>
          <w:color w:val="222222"/>
          <w:sz w:val="20"/>
          <w:szCs w:val="20"/>
          <w:shd w:val="clear" w:color="auto" w:fill="FFFFFF"/>
        </w:rPr>
        <w:t>, </w:t>
      </w:r>
      <w:r w:rsidRPr="007E37EC">
        <w:rPr>
          <w:rFonts w:ascii="Arial" w:hAnsi="Arial" w:cs="Arial"/>
          <w:i/>
          <w:iCs/>
          <w:color w:val="222222"/>
          <w:sz w:val="20"/>
          <w:szCs w:val="20"/>
          <w:shd w:val="clear" w:color="auto" w:fill="FFFFFF"/>
        </w:rPr>
        <w:t>79</w:t>
      </w:r>
      <w:r w:rsidRPr="007E37EC">
        <w:rPr>
          <w:rFonts w:ascii="Arial" w:hAnsi="Arial" w:cs="Arial"/>
          <w:color w:val="222222"/>
          <w:sz w:val="20"/>
          <w:szCs w:val="20"/>
          <w:shd w:val="clear" w:color="auto" w:fill="FFFFFF"/>
        </w:rPr>
        <w:t>(5), 599-614.</w:t>
      </w:r>
      <w:hyperlink r:id="rId18" w:history="1">
        <w:r w:rsidRPr="007E37EC">
          <w:rPr>
            <w:rStyle w:val="Hyperlink"/>
            <w:rFonts w:ascii="Arial" w:hAnsi="Arial" w:cs="Arial"/>
            <w:sz w:val="20"/>
            <w:szCs w:val="20"/>
          </w:rPr>
          <w:t>https://doi.org/10.1093/nutrit/nuaa013</w:t>
        </w:r>
      </w:hyperlink>
    </w:p>
    <w:p w14:paraId="304142A0" w14:textId="149C27C7" w:rsidR="005D554C" w:rsidRPr="007E37EC" w:rsidRDefault="005D554C" w:rsidP="00A40833">
      <w:pPr>
        <w:spacing w:line="360" w:lineRule="auto"/>
        <w:ind w:left="720" w:hanging="720"/>
        <w:jc w:val="both"/>
        <w:rPr>
          <w:rFonts w:ascii="Arial" w:hAnsi="Arial" w:cs="Arial"/>
          <w:sz w:val="20"/>
          <w:szCs w:val="20"/>
        </w:rPr>
      </w:pPr>
      <w:r w:rsidRPr="007E37EC">
        <w:rPr>
          <w:rFonts w:ascii="Arial" w:hAnsi="Arial" w:cs="Arial"/>
          <w:sz w:val="20"/>
          <w:szCs w:val="20"/>
        </w:rPr>
        <w:t xml:space="preserve">Schwab, B., &amp; </w:t>
      </w:r>
      <w:proofErr w:type="spellStart"/>
      <w:r w:rsidRPr="007E37EC">
        <w:rPr>
          <w:rFonts w:ascii="Arial" w:hAnsi="Arial" w:cs="Arial"/>
          <w:sz w:val="20"/>
          <w:szCs w:val="20"/>
        </w:rPr>
        <w:t>Lusztig</w:t>
      </w:r>
      <w:proofErr w:type="spellEnd"/>
      <w:r w:rsidRPr="007E37EC">
        <w:rPr>
          <w:rFonts w:ascii="Arial" w:hAnsi="Arial" w:cs="Arial"/>
          <w:sz w:val="20"/>
          <w:szCs w:val="20"/>
        </w:rPr>
        <w:t xml:space="preserve">, P. (1969). A comparative analysis of the net present value and the benefit-cost ratio as measures of the economic desirability of investments. </w:t>
      </w:r>
      <w:r w:rsidRPr="007E37EC">
        <w:rPr>
          <w:rFonts w:ascii="Arial" w:hAnsi="Arial" w:cs="Arial"/>
          <w:i/>
          <w:iCs/>
          <w:sz w:val="20"/>
          <w:szCs w:val="20"/>
        </w:rPr>
        <w:t>The Journal of Finance</w:t>
      </w:r>
      <w:r w:rsidRPr="007E37EC">
        <w:rPr>
          <w:rFonts w:ascii="Arial" w:hAnsi="Arial" w:cs="Arial"/>
          <w:sz w:val="20"/>
          <w:szCs w:val="20"/>
        </w:rPr>
        <w:t xml:space="preserve">, 24(3), 507-516. </w:t>
      </w:r>
      <w:hyperlink r:id="rId19" w:history="1">
        <w:r w:rsidR="003C3AA7" w:rsidRPr="007E37EC">
          <w:rPr>
            <w:rStyle w:val="Hyperlink"/>
            <w:rFonts w:ascii="Arial" w:hAnsi="Arial" w:cs="Arial"/>
            <w:sz w:val="20"/>
            <w:szCs w:val="20"/>
          </w:rPr>
          <w:t>https://doi.org/10.2307/2325349</w:t>
        </w:r>
      </w:hyperlink>
    </w:p>
    <w:p w14:paraId="307C72EF" w14:textId="77777777" w:rsidR="005D7EB9" w:rsidRPr="007E37EC" w:rsidRDefault="003C3AA7" w:rsidP="00F03AD2">
      <w:pPr>
        <w:spacing w:line="360" w:lineRule="auto"/>
        <w:ind w:left="720" w:hanging="720"/>
        <w:jc w:val="both"/>
        <w:rPr>
          <w:rFonts w:ascii="Arial" w:hAnsi="Arial" w:cs="Arial"/>
          <w:sz w:val="20"/>
          <w:szCs w:val="20"/>
        </w:rPr>
      </w:pPr>
      <w:r w:rsidRPr="007E37EC">
        <w:rPr>
          <w:rFonts w:ascii="Arial" w:hAnsi="Arial" w:cs="Arial"/>
          <w:color w:val="222222"/>
          <w:sz w:val="20"/>
          <w:szCs w:val="20"/>
          <w:shd w:val="clear" w:color="auto" w:fill="FFFFFF"/>
        </w:rPr>
        <w:t>Wolf, C. A. (2010). Understanding the milk-to-feed price ratio as a proxy for dairy farm profitability. </w:t>
      </w:r>
      <w:r w:rsidRPr="007E37EC">
        <w:rPr>
          <w:rFonts w:ascii="Arial" w:hAnsi="Arial" w:cs="Arial"/>
          <w:i/>
          <w:iCs/>
          <w:color w:val="222222"/>
          <w:sz w:val="20"/>
          <w:szCs w:val="20"/>
          <w:shd w:val="clear" w:color="auto" w:fill="FFFFFF"/>
        </w:rPr>
        <w:t>Journal of Dairy science</w:t>
      </w:r>
      <w:r w:rsidRPr="007E37EC">
        <w:rPr>
          <w:rFonts w:ascii="Arial" w:hAnsi="Arial" w:cs="Arial"/>
          <w:color w:val="222222"/>
          <w:sz w:val="20"/>
          <w:szCs w:val="20"/>
          <w:shd w:val="clear" w:color="auto" w:fill="FFFFFF"/>
        </w:rPr>
        <w:t>, </w:t>
      </w:r>
      <w:r w:rsidRPr="007E37EC">
        <w:rPr>
          <w:rFonts w:ascii="Arial" w:hAnsi="Arial" w:cs="Arial"/>
          <w:i/>
          <w:iCs/>
          <w:color w:val="222222"/>
          <w:sz w:val="20"/>
          <w:szCs w:val="20"/>
          <w:shd w:val="clear" w:color="auto" w:fill="FFFFFF"/>
        </w:rPr>
        <w:t>93</w:t>
      </w:r>
      <w:r w:rsidRPr="007E37EC">
        <w:rPr>
          <w:rFonts w:ascii="Arial" w:hAnsi="Arial" w:cs="Arial"/>
          <w:color w:val="222222"/>
          <w:sz w:val="20"/>
          <w:szCs w:val="20"/>
          <w:shd w:val="clear" w:color="auto" w:fill="FFFFFF"/>
        </w:rPr>
        <w:t>(10), 4942-4948.</w:t>
      </w:r>
      <w:hyperlink r:id="rId20" w:history="1">
        <w:r w:rsidRPr="007E37EC">
          <w:rPr>
            <w:rStyle w:val="Hyperlink"/>
            <w:rFonts w:ascii="Arial" w:hAnsi="Arial" w:cs="Arial"/>
            <w:sz w:val="20"/>
            <w:szCs w:val="20"/>
          </w:rPr>
          <w:t>https://doi.org/10.3168/jds.2009-2998</w:t>
        </w:r>
      </w:hyperlink>
    </w:p>
    <w:p w14:paraId="2D6088BA" w14:textId="5D8A0988" w:rsidR="005D554C" w:rsidRPr="007E37EC" w:rsidRDefault="005D7EB9" w:rsidP="00A40833">
      <w:pPr>
        <w:spacing w:line="360" w:lineRule="auto"/>
        <w:ind w:left="720" w:hanging="720"/>
        <w:jc w:val="both"/>
        <w:rPr>
          <w:rFonts w:ascii="Arial" w:hAnsi="Arial" w:cs="Arial"/>
          <w:sz w:val="20"/>
          <w:szCs w:val="20"/>
        </w:rPr>
      </w:pPr>
      <w:r w:rsidRPr="007E37EC">
        <w:rPr>
          <w:rFonts w:ascii="Arial" w:hAnsi="Arial" w:cs="Arial"/>
          <w:color w:val="222222"/>
          <w:sz w:val="20"/>
          <w:szCs w:val="20"/>
          <w:shd w:val="clear" w:color="auto" w:fill="FFFFFF"/>
        </w:rPr>
        <w:t>Yasmin, A., Huma, N., Butt, M. S., Zahoor, T., &amp; Yasin, M. (2012). Seasonal variation in milk vitamin contents available for processing in Punjab, Pakistan. </w:t>
      </w:r>
      <w:r w:rsidRPr="007E37EC">
        <w:rPr>
          <w:rFonts w:ascii="Arial" w:hAnsi="Arial" w:cs="Arial"/>
          <w:i/>
          <w:iCs/>
          <w:color w:val="222222"/>
          <w:sz w:val="20"/>
          <w:szCs w:val="20"/>
          <w:shd w:val="clear" w:color="auto" w:fill="FFFFFF"/>
        </w:rPr>
        <w:t>Journal of the Saudi Society of Agricultural Sciences</w:t>
      </w:r>
      <w:r w:rsidRPr="007E37EC">
        <w:rPr>
          <w:rFonts w:ascii="Arial" w:hAnsi="Arial" w:cs="Arial"/>
          <w:color w:val="222222"/>
          <w:sz w:val="20"/>
          <w:szCs w:val="20"/>
          <w:shd w:val="clear" w:color="auto" w:fill="FFFFFF"/>
        </w:rPr>
        <w:t>, </w:t>
      </w:r>
      <w:r w:rsidRPr="007E37EC">
        <w:rPr>
          <w:rFonts w:ascii="Arial" w:hAnsi="Arial" w:cs="Arial"/>
          <w:i/>
          <w:iCs/>
          <w:color w:val="222222"/>
          <w:sz w:val="20"/>
          <w:szCs w:val="20"/>
          <w:shd w:val="clear" w:color="auto" w:fill="FFFFFF"/>
        </w:rPr>
        <w:t>11</w:t>
      </w:r>
      <w:r w:rsidRPr="007E37EC">
        <w:rPr>
          <w:rFonts w:ascii="Arial" w:hAnsi="Arial" w:cs="Arial"/>
          <w:color w:val="222222"/>
          <w:sz w:val="20"/>
          <w:szCs w:val="20"/>
          <w:shd w:val="clear" w:color="auto" w:fill="FFFFFF"/>
        </w:rPr>
        <w:t>(2), 99-105.</w:t>
      </w:r>
      <w:hyperlink r:id="rId21" w:history="1">
        <w:r w:rsidR="003C3AA7" w:rsidRPr="007E37EC">
          <w:rPr>
            <w:rStyle w:val="Hyperlink"/>
            <w:rFonts w:ascii="Arial" w:eastAsia="Arial MT" w:hAnsi="Arial" w:cs="Arial"/>
            <w:kern w:val="0"/>
            <w:sz w:val="20"/>
            <w:szCs w:val="20"/>
            <w14:ligatures w14:val="none"/>
          </w:rPr>
          <w:t>https://doi.org/10.1016/j.jssas.2012.01.002</w:t>
        </w:r>
      </w:hyperlink>
    </w:p>
    <w:p w14:paraId="18D7A5E5" w14:textId="77777777" w:rsidR="003C3AA7" w:rsidRPr="007E37EC" w:rsidRDefault="003C3AA7" w:rsidP="00A40833">
      <w:pPr>
        <w:spacing w:line="360" w:lineRule="auto"/>
        <w:jc w:val="both"/>
        <w:rPr>
          <w:rFonts w:ascii="Arial" w:eastAsia="Arial MT" w:hAnsi="Arial" w:cs="Arial"/>
          <w:kern w:val="0"/>
          <w14:ligatures w14:val="none"/>
        </w:rPr>
      </w:pPr>
    </w:p>
    <w:p w14:paraId="75ABF103" w14:textId="77777777" w:rsidR="00A01EFD" w:rsidRPr="007E37EC" w:rsidRDefault="00A01EFD" w:rsidP="00A40833">
      <w:pPr>
        <w:spacing w:line="360" w:lineRule="auto"/>
        <w:jc w:val="both"/>
        <w:rPr>
          <w:rFonts w:ascii="Arial" w:hAnsi="Arial" w:cs="Arial"/>
        </w:rPr>
      </w:pPr>
    </w:p>
    <w:sectPr w:rsidR="00A01EFD" w:rsidRPr="007E37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34CC9" w14:textId="77777777" w:rsidR="00C2321C" w:rsidRDefault="00C2321C" w:rsidP="00726B0F">
      <w:pPr>
        <w:spacing w:after="0" w:line="240" w:lineRule="auto"/>
      </w:pPr>
      <w:r>
        <w:separator/>
      </w:r>
    </w:p>
  </w:endnote>
  <w:endnote w:type="continuationSeparator" w:id="0">
    <w:p w14:paraId="1ADD77B3" w14:textId="77777777" w:rsidR="00C2321C" w:rsidRDefault="00C2321C" w:rsidP="0072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114AF" w14:textId="77777777" w:rsidR="00C2321C" w:rsidRDefault="00C2321C" w:rsidP="00726B0F">
      <w:pPr>
        <w:spacing w:after="0" w:line="240" w:lineRule="auto"/>
      </w:pPr>
      <w:r>
        <w:separator/>
      </w:r>
    </w:p>
  </w:footnote>
  <w:footnote w:type="continuationSeparator" w:id="0">
    <w:p w14:paraId="24208613" w14:textId="77777777" w:rsidR="00C2321C" w:rsidRDefault="00C2321C" w:rsidP="00726B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2E"/>
    <w:rsid w:val="00000479"/>
    <w:rsid w:val="00001E8B"/>
    <w:rsid w:val="00013719"/>
    <w:rsid w:val="00033F7D"/>
    <w:rsid w:val="000363FC"/>
    <w:rsid w:val="00037504"/>
    <w:rsid w:val="00052152"/>
    <w:rsid w:val="000A2BB8"/>
    <w:rsid w:val="000A76CF"/>
    <w:rsid w:val="000C51C1"/>
    <w:rsid w:val="000D102C"/>
    <w:rsid w:val="001519F9"/>
    <w:rsid w:val="0016103A"/>
    <w:rsid w:val="00163627"/>
    <w:rsid w:val="00165562"/>
    <w:rsid w:val="0016759E"/>
    <w:rsid w:val="00171EC2"/>
    <w:rsid w:val="00172FB3"/>
    <w:rsid w:val="00174E12"/>
    <w:rsid w:val="001B6565"/>
    <w:rsid w:val="001B72F5"/>
    <w:rsid w:val="001C6F80"/>
    <w:rsid w:val="001D4149"/>
    <w:rsid w:val="001E7672"/>
    <w:rsid w:val="001E7AFD"/>
    <w:rsid w:val="001F0154"/>
    <w:rsid w:val="001F2A17"/>
    <w:rsid w:val="001F3EBE"/>
    <w:rsid w:val="001F55ED"/>
    <w:rsid w:val="001F5C42"/>
    <w:rsid w:val="001F68C0"/>
    <w:rsid w:val="002164DE"/>
    <w:rsid w:val="00221A30"/>
    <w:rsid w:val="002313A7"/>
    <w:rsid w:val="00236B7F"/>
    <w:rsid w:val="002431F8"/>
    <w:rsid w:val="002505FD"/>
    <w:rsid w:val="00251DEB"/>
    <w:rsid w:val="00273204"/>
    <w:rsid w:val="00273AAA"/>
    <w:rsid w:val="002A1624"/>
    <w:rsid w:val="002B0BFE"/>
    <w:rsid w:val="002B62C8"/>
    <w:rsid w:val="002C54CA"/>
    <w:rsid w:val="002F5B10"/>
    <w:rsid w:val="0030009C"/>
    <w:rsid w:val="0033236C"/>
    <w:rsid w:val="00346580"/>
    <w:rsid w:val="0034768D"/>
    <w:rsid w:val="00353B6A"/>
    <w:rsid w:val="00354925"/>
    <w:rsid w:val="003555DA"/>
    <w:rsid w:val="00372D42"/>
    <w:rsid w:val="003800DB"/>
    <w:rsid w:val="003A2F8C"/>
    <w:rsid w:val="003A3A63"/>
    <w:rsid w:val="003B5A7D"/>
    <w:rsid w:val="003B6210"/>
    <w:rsid w:val="003C3AA7"/>
    <w:rsid w:val="003D0175"/>
    <w:rsid w:val="003D1DC9"/>
    <w:rsid w:val="003E1E58"/>
    <w:rsid w:val="003E3F7A"/>
    <w:rsid w:val="004021B0"/>
    <w:rsid w:val="00407285"/>
    <w:rsid w:val="00454D3A"/>
    <w:rsid w:val="004566F6"/>
    <w:rsid w:val="00462676"/>
    <w:rsid w:val="00475872"/>
    <w:rsid w:val="00480638"/>
    <w:rsid w:val="00494C8C"/>
    <w:rsid w:val="0049610B"/>
    <w:rsid w:val="004D61DD"/>
    <w:rsid w:val="004F0235"/>
    <w:rsid w:val="00500E85"/>
    <w:rsid w:val="00512FFA"/>
    <w:rsid w:val="00525C7A"/>
    <w:rsid w:val="00531FD8"/>
    <w:rsid w:val="00535DCB"/>
    <w:rsid w:val="005516FF"/>
    <w:rsid w:val="005739D2"/>
    <w:rsid w:val="00573FF4"/>
    <w:rsid w:val="00574288"/>
    <w:rsid w:val="0057593B"/>
    <w:rsid w:val="00582E57"/>
    <w:rsid w:val="00595952"/>
    <w:rsid w:val="005A2E0D"/>
    <w:rsid w:val="005D25FA"/>
    <w:rsid w:val="005D2F72"/>
    <w:rsid w:val="005D554C"/>
    <w:rsid w:val="005D7EB9"/>
    <w:rsid w:val="005F0EB0"/>
    <w:rsid w:val="005F6765"/>
    <w:rsid w:val="005F7178"/>
    <w:rsid w:val="00637349"/>
    <w:rsid w:val="006566C1"/>
    <w:rsid w:val="006A7559"/>
    <w:rsid w:val="006B1E7D"/>
    <w:rsid w:val="006B225E"/>
    <w:rsid w:val="006B5A21"/>
    <w:rsid w:val="006B6EE8"/>
    <w:rsid w:val="006C234C"/>
    <w:rsid w:val="006D558D"/>
    <w:rsid w:val="006E1574"/>
    <w:rsid w:val="007003D8"/>
    <w:rsid w:val="00701783"/>
    <w:rsid w:val="0071329D"/>
    <w:rsid w:val="007150C9"/>
    <w:rsid w:val="007214CF"/>
    <w:rsid w:val="00726B0F"/>
    <w:rsid w:val="007446A2"/>
    <w:rsid w:val="00760689"/>
    <w:rsid w:val="00761385"/>
    <w:rsid w:val="00761464"/>
    <w:rsid w:val="00797D54"/>
    <w:rsid w:val="007A788B"/>
    <w:rsid w:val="007D0133"/>
    <w:rsid w:val="007D34F7"/>
    <w:rsid w:val="007D52FF"/>
    <w:rsid w:val="007E37EC"/>
    <w:rsid w:val="007E59E1"/>
    <w:rsid w:val="007E663C"/>
    <w:rsid w:val="00801426"/>
    <w:rsid w:val="00812341"/>
    <w:rsid w:val="00814B20"/>
    <w:rsid w:val="00822DB6"/>
    <w:rsid w:val="00842AFB"/>
    <w:rsid w:val="00844B2A"/>
    <w:rsid w:val="008516FB"/>
    <w:rsid w:val="00851816"/>
    <w:rsid w:val="00853620"/>
    <w:rsid w:val="00857E40"/>
    <w:rsid w:val="008601F7"/>
    <w:rsid w:val="00865301"/>
    <w:rsid w:val="008879C8"/>
    <w:rsid w:val="0089340B"/>
    <w:rsid w:val="00894DC7"/>
    <w:rsid w:val="008B2E36"/>
    <w:rsid w:val="008B726C"/>
    <w:rsid w:val="008D0D81"/>
    <w:rsid w:val="008D488B"/>
    <w:rsid w:val="008F54EB"/>
    <w:rsid w:val="008F635D"/>
    <w:rsid w:val="00902F8E"/>
    <w:rsid w:val="009217AB"/>
    <w:rsid w:val="00925B10"/>
    <w:rsid w:val="009539D6"/>
    <w:rsid w:val="0095726A"/>
    <w:rsid w:val="00967C45"/>
    <w:rsid w:val="00975BDE"/>
    <w:rsid w:val="0098779F"/>
    <w:rsid w:val="009908C4"/>
    <w:rsid w:val="009C55BE"/>
    <w:rsid w:val="009D2898"/>
    <w:rsid w:val="00A01EFD"/>
    <w:rsid w:val="00A36AD6"/>
    <w:rsid w:val="00A40833"/>
    <w:rsid w:val="00A4428E"/>
    <w:rsid w:val="00A46B83"/>
    <w:rsid w:val="00A5542E"/>
    <w:rsid w:val="00A55A9C"/>
    <w:rsid w:val="00A5721A"/>
    <w:rsid w:val="00A60683"/>
    <w:rsid w:val="00A81A41"/>
    <w:rsid w:val="00A9162F"/>
    <w:rsid w:val="00AA0C95"/>
    <w:rsid w:val="00AA6FCD"/>
    <w:rsid w:val="00AB2885"/>
    <w:rsid w:val="00AB524C"/>
    <w:rsid w:val="00AC2E7D"/>
    <w:rsid w:val="00AF12E0"/>
    <w:rsid w:val="00AF6039"/>
    <w:rsid w:val="00B04E73"/>
    <w:rsid w:val="00B06798"/>
    <w:rsid w:val="00B226C5"/>
    <w:rsid w:val="00B238DE"/>
    <w:rsid w:val="00B24B55"/>
    <w:rsid w:val="00B30C05"/>
    <w:rsid w:val="00B32BBA"/>
    <w:rsid w:val="00B35245"/>
    <w:rsid w:val="00B35729"/>
    <w:rsid w:val="00B37EEF"/>
    <w:rsid w:val="00B408F8"/>
    <w:rsid w:val="00B40B29"/>
    <w:rsid w:val="00B4123E"/>
    <w:rsid w:val="00B46AAA"/>
    <w:rsid w:val="00B616B9"/>
    <w:rsid w:val="00B65C4C"/>
    <w:rsid w:val="00B77155"/>
    <w:rsid w:val="00B9432F"/>
    <w:rsid w:val="00BA6663"/>
    <w:rsid w:val="00BC2929"/>
    <w:rsid w:val="00C05323"/>
    <w:rsid w:val="00C063BA"/>
    <w:rsid w:val="00C15156"/>
    <w:rsid w:val="00C2321C"/>
    <w:rsid w:val="00C34B00"/>
    <w:rsid w:val="00C36F6B"/>
    <w:rsid w:val="00C47E29"/>
    <w:rsid w:val="00C572D2"/>
    <w:rsid w:val="00C63C30"/>
    <w:rsid w:val="00C94FC6"/>
    <w:rsid w:val="00CA3BE6"/>
    <w:rsid w:val="00CA7E14"/>
    <w:rsid w:val="00CB0FCB"/>
    <w:rsid w:val="00CD236B"/>
    <w:rsid w:val="00CD4DD6"/>
    <w:rsid w:val="00CD7C8C"/>
    <w:rsid w:val="00CF3895"/>
    <w:rsid w:val="00D01956"/>
    <w:rsid w:val="00D2036D"/>
    <w:rsid w:val="00D236DB"/>
    <w:rsid w:val="00D25A90"/>
    <w:rsid w:val="00D30881"/>
    <w:rsid w:val="00D4518B"/>
    <w:rsid w:val="00D53168"/>
    <w:rsid w:val="00D55B78"/>
    <w:rsid w:val="00D82989"/>
    <w:rsid w:val="00D912EE"/>
    <w:rsid w:val="00D9174F"/>
    <w:rsid w:val="00D9358C"/>
    <w:rsid w:val="00D96769"/>
    <w:rsid w:val="00DB07CD"/>
    <w:rsid w:val="00DB2AFA"/>
    <w:rsid w:val="00DB517F"/>
    <w:rsid w:val="00DC09BF"/>
    <w:rsid w:val="00DF27A4"/>
    <w:rsid w:val="00DF3CC6"/>
    <w:rsid w:val="00DF500E"/>
    <w:rsid w:val="00DF5207"/>
    <w:rsid w:val="00E03D5B"/>
    <w:rsid w:val="00E123F6"/>
    <w:rsid w:val="00E165AD"/>
    <w:rsid w:val="00E2475E"/>
    <w:rsid w:val="00E25A59"/>
    <w:rsid w:val="00E44985"/>
    <w:rsid w:val="00E46597"/>
    <w:rsid w:val="00E465D8"/>
    <w:rsid w:val="00E52B18"/>
    <w:rsid w:val="00E57090"/>
    <w:rsid w:val="00E86EB9"/>
    <w:rsid w:val="00E90129"/>
    <w:rsid w:val="00E92F10"/>
    <w:rsid w:val="00EA7B50"/>
    <w:rsid w:val="00EC4530"/>
    <w:rsid w:val="00ED5A10"/>
    <w:rsid w:val="00ED6C63"/>
    <w:rsid w:val="00EE3B00"/>
    <w:rsid w:val="00EE6593"/>
    <w:rsid w:val="00F017EE"/>
    <w:rsid w:val="00F03AD2"/>
    <w:rsid w:val="00F07E07"/>
    <w:rsid w:val="00F113E3"/>
    <w:rsid w:val="00F2175E"/>
    <w:rsid w:val="00F241BA"/>
    <w:rsid w:val="00F25E7A"/>
    <w:rsid w:val="00F33AF4"/>
    <w:rsid w:val="00F361EB"/>
    <w:rsid w:val="00F4408C"/>
    <w:rsid w:val="00F66C5C"/>
    <w:rsid w:val="00F72B93"/>
    <w:rsid w:val="00F75CDA"/>
    <w:rsid w:val="00F82DAC"/>
    <w:rsid w:val="00F836D3"/>
    <w:rsid w:val="00F86BEC"/>
    <w:rsid w:val="00F87F66"/>
    <w:rsid w:val="00F966A6"/>
    <w:rsid w:val="00F9775F"/>
    <w:rsid w:val="00FA2247"/>
    <w:rsid w:val="00FB6F43"/>
    <w:rsid w:val="00FD524E"/>
    <w:rsid w:val="00FD593E"/>
    <w:rsid w:val="00FE2BF3"/>
    <w:rsid w:val="00FE2E0A"/>
    <w:rsid w:val="00FE6AE3"/>
    <w:rsid w:val="00FF33A9"/>
    <w:rsid w:val="00FF76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36A4"/>
  <w15:docId w15:val="{AF61A867-922D-4832-8F9A-B4679CED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C4C"/>
  </w:style>
  <w:style w:type="paragraph" w:styleId="Heading1">
    <w:name w:val="heading 1"/>
    <w:basedOn w:val="Normal"/>
    <w:next w:val="Normal"/>
    <w:link w:val="Heading1Char"/>
    <w:uiPriority w:val="9"/>
    <w:qFormat/>
    <w:rsid w:val="00A554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54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54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54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54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54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4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4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4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4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54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54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54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54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5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42E"/>
    <w:rPr>
      <w:rFonts w:eastAsiaTheme="majorEastAsia" w:cstheme="majorBidi"/>
      <w:color w:val="272727" w:themeColor="text1" w:themeTint="D8"/>
    </w:rPr>
  </w:style>
  <w:style w:type="paragraph" w:styleId="Title">
    <w:name w:val="Title"/>
    <w:basedOn w:val="Normal"/>
    <w:next w:val="Normal"/>
    <w:link w:val="TitleChar"/>
    <w:uiPriority w:val="10"/>
    <w:qFormat/>
    <w:rsid w:val="00A55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42E"/>
    <w:pPr>
      <w:spacing w:before="160"/>
      <w:jc w:val="center"/>
    </w:pPr>
    <w:rPr>
      <w:i/>
      <w:iCs/>
      <w:color w:val="404040" w:themeColor="text1" w:themeTint="BF"/>
    </w:rPr>
  </w:style>
  <w:style w:type="character" w:customStyle="1" w:styleId="QuoteChar">
    <w:name w:val="Quote Char"/>
    <w:basedOn w:val="DefaultParagraphFont"/>
    <w:link w:val="Quote"/>
    <w:uiPriority w:val="29"/>
    <w:rsid w:val="00A5542E"/>
    <w:rPr>
      <w:i/>
      <w:iCs/>
      <w:color w:val="404040" w:themeColor="text1" w:themeTint="BF"/>
    </w:rPr>
  </w:style>
  <w:style w:type="paragraph" w:styleId="ListParagraph">
    <w:name w:val="List Paragraph"/>
    <w:basedOn w:val="Normal"/>
    <w:uiPriority w:val="34"/>
    <w:qFormat/>
    <w:rsid w:val="00A5542E"/>
    <w:pPr>
      <w:ind w:left="720"/>
      <w:contextualSpacing/>
    </w:pPr>
  </w:style>
  <w:style w:type="character" w:styleId="IntenseEmphasis">
    <w:name w:val="Intense Emphasis"/>
    <w:basedOn w:val="DefaultParagraphFont"/>
    <w:uiPriority w:val="21"/>
    <w:qFormat/>
    <w:rsid w:val="00A5542E"/>
    <w:rPr>
      <w:i/>
      <w:iCs/>
      <w:color w:val="2F5496" w:themeColor="accent1" w:themeShade="BF"/>
    </w:rPr>
  </w:style>
  <w:style w:type="paragraph" w:styleId="IntenseQuote">
    <w:name w:val="Intense Quote"/>
    <w:basedOn w:val="Normal"/>
    <w:next w:val="Normal"/>
    <w:link w:val="IntenseQuoteChar"/>
    <w:uiPriority w:val="30"/>
    <w:qFormat/>
    <w:rsid w:val="00A55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542E"/>
    <w:rPr>
      <w:i/>
      <w:iCs/>
      <w:color w:val="2F5496" w:themeColor="accent1" w:themeShade="BF"/>
    </w:rPr>
  </w:style>
  <w:style w:type="character" w:styleId="IntenseReference">
    <w:name w:val="Intense Reference"/>
    <w:basedOn w:val="DefaultParagraphFont"/>
    <w:uiPriority w:val="32"/>
    <w:qFormat/>
    <w:rsid w:val="00A5542E"/>
    <w:rPr>
      <w:b/>
      <w:bCs/>
      <w:smallCaps/>
      <w:color w:val="2F5496" w:themeColor="accent1" w:themeShade="BF"/>
      <w:spacing w:val="5"/>
    </w:rPr>
  </w:style>
  <w:style w:type="character" w:styleId="Hyperlink">
    <w:name w:val="Hyperlink"/>
    <w:basedOn w:val="DefaultParagraphFont"/>
    <w:uiPriority w:val="99"/>
    <w:unhideWhenUsed/>
    <w:rsid w:val="00B65C4C"/>
    <w:rPr>
      <w:color w:val="0563C1" w:themeColor="hyperlink"/>
      <w:u w:val="single"/>
    </w:rPr>
  </w:style>
  <w:style w:type="paragraph" w:customStyle="1" w:styleId="TableParagraph">
    <w:name w:val="Table Paragraph"/>
    <w:basedOn w:val="Normal"/>
    <w:uiPriority w:val="1"/>
    <w:qFormat/>
    <w:rsid w:val="00DF500E"/>
    <w:pPr>
      <w:widowControl w:val="0"/>
      <w:autoSpaceDE w:val="0"/>
      <w:autoSpaceDN w:val="0"/>
      <w:spacing w:before="60" w:after="0" w:line="240" w:lineRule="auto"/>
      <w:ind w:left="20"/>
      <w:jc w:val="center"/>
    </w:pPr>
    <w:rPr>
      <w:rFonts w:ascii="Arial MT" w:eastAsia="Arial MT" w:hAnsi="Arial MT" w:cs="Arial MT"/>
      <w:kern w:val="0"/>
      <w:lang w:val="en-US"/>
      <w14:ligatures w14:val="none"/>
    </w:rPr>
  </w:style>
  <w:style w:type="table" w:styleId="TableGrid">
    <w:name w:val="Table Grid"/>
    <w:basedOn w:val="TableNormal"/>
    <w:uiPriority w:val="39"/>
    <w:rsid w:val="00DF5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63C30"/>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C63C30"/>
    <w:rPr>
      <w:rFonts w:ascii="Arial MT" w:eastAsia="Arial MT" w:hAnsi="Arial MT" w:cs="Arial MT"/>
      <w:kern w:val="0"/>
      <w:sz w:val="20"/>
      <w:szCs w:val="20"/>
      <w:lang w:val="en-US"/>
      <w14:ligatures w14:val="none"/>
    </w:rPr>
  </w:style>
  <w:style w:type="paragraph" w:styleId="BalloonText">
    <w:name w:val="Balloon Text"/>
    <w:basedOn w:val="Normal"/>
    <w:link w:val="BalloonTextChar"/>
    <w:uiPriority w:val="99"/>
    <w:semiHidden/>
    <w:unhideWhenUsed/>
    <w:rsid w:val="0025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DEB"/>
    <w:rPr>
      <w:rFonts w:ascii="Tahoma" w:hAnsi="Tahoma" w:cs="Tahoma"/>
      <w:sz w:val="16"/>
      <w:szCs w:val="16"/>
    </w:rPr>
  </w:style>
  <w:style w:type="paragraph" w:styleId="Header">
    <w:name w:val="header"/>
    <w:basedOn w:val="Normal"/>
    <w:link w:val="HeaderChar"/>
    <w:uiPriority w:val="99"/>
    <w:unhideWhenUsed/>
    <w:rsid w:val="00726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B0F"/>
  </w:style>
  <w:style w:type="paragraph" w:styleId="Footer">
    <w:name w:val="footer"/>
    <w:basedOn w:val="Normal"/>
    <w:link w:val="FooterChar"/>
    <w:uiPriority w:val="99"/>
    <w:unhideWhenUsed/>
    <w:rsid w:val="00726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B0F"/>
  </w:style>
  <w:style w:type="character" w:styleId="UnresolvedMention">
    <w:name w:val="Unresolved Mention"/>
    <w:basedOn w:val="DefaultParagraphFont"/>
    <w:uiPriority w:val="99"/>
    <w:semiHidden/>
    <w:unhideWhenUsed/>
    <w:rsid w:val="003B6210"/>
    <w:rPr>
      <w:color w:val="605E5C"/>
      <w:shd w:val="clear" w:color="auto" w:fill="E1DFDD"/>
    </w:rPr>
  </w:style>
  <w:style w:type="table" w:styleId="GridTable1Light">
    <w:name w:val="Grid Table 1 Light"/>
    <w:basedOn w:val="TableNormal"/>
    <w:uiPriority w:val="46"/>
    <w:rsid w:val="00A916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A916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55/JBAU.176957" TargetMode="External"/><Relationship Id="rId13" Type="http://schemas.openxmlformats.org/officeDocument/2006/relationships/hyperlink" Target="http://dx.doi.org/10.18805/ajdfr.DR-1937" TargetMode="External"/><Relationship Id="rId18" Type="http://schemas.openxmlformats.org/officeDocument/2006/relationships/hyperlink" Target="https://doi.org/10.1093/nutrit/nuaa013" TargetMode="External"/><Relationship Id="rId3" Type="http://schemas.openxmlformats.org/officeDocument/2006/relationships/settings" Target="settings.xml"/><Relationship Id="rId21" Type="http://schemas.openxmlformats.org/officeDocument/2006/relationships/hyperlink" Target="https://doi.org/10.1016/j.jssas.2012.01.002" TargetMode="External"/><Relationship Id="rId7" Type="http://schemas.openxmlformats.org/officeDocument/2006/relationships/hyperlink" Target="https://doi.org/10.20546/ijcmas.2020.908.424" TargetMode="External"/><Relationship Id="rId12" Type="http://schemas.openxmlformats.org/officeDocument/2006/relationships/hyperlink" Target="https://doi.org/10.3390/en15196901" TargetMode="External"/><Relationship Id="rId17" Type="http://schemas.openxmlformats.org/officeDocument/2006/relationships/hyperlink" Target="http://dx.doi.org/10.22207/JPAM.11.2.68" TargetMode="External"/><Relationship Id="rId2" Type="http://schemas.openxmlformats.org/officeDocument/2006/relationships/styles" Target="styles.xml"/><Relationship Id="rId16" Type="http://schemas.openxmlformats.org/officeDocument/2006/relationships/hyperlink" Target="https://doi.org/10.1016/j.lwt.2011.03.010" TargetMode="External"/><Relationship Id="rId20" Type="http://schemas.openxmlformats.org/officeDocument/2006/relationships/hyperlink" Target="https://doi.org/10.3168/jds.2009-299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jclepro.2024.144197" TargetMode="External"/><Relationship Id="rId5" Type="http://schemas.openxmlformats.org/officeDocument/2006/relationships/footnotes" Target="footnotes.xml"/><Relationship Id="rId15" Type="http://schemas.openxmlformats.org/officeDocument/2006/relationships/hyperlink" Target="https://doi.org/10.3390/foods9081004" TargetMode="External"/><Relationship Id="rId23" Type="http://schemas.openxmlformats.org/officeDocument/2006/relationships/theme" Target="theme/theme1.xml"/><Relationship Id="rId10" Type="http://schemas.openxmlformats.org/officeDocument/2006/relationships/hyperlink" Target="https://doi.org/10.1007/978-981-33-4268-2" TargetMode="External"/><Relationship Id="rId19" Type="http://schemas.openxmlformats.org/officeDocument/2006/relationships/hyperlink" Target="https://doi.org/10.2307/2325349" TargetMode="External"/><Relationship Id="rId4" Type="http://schemas.openxmlformats.org/officeDocument/2006/relationships/webSettings" Target="webSettings.xml"/><Relationship Id="rId9" Type="http://schemas.openxmlformats.org/officeDocument/2006/relationships/hyperlink" Target="https://doi.org/10.1016/B978-0-12-805134-4.00002-X" TargetMode="External"/><Relationship Id="rId14" Type="http://schemas.openxmlformats.org/officeDocument/2006/relationships/hyperlink" Target="http://dx.doi.org/10.12695/ajtm.2019.12.3.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2EC64-0AD6-439E-BD76-27D111F4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12</Pages>
  <Words>4467</Words>
  <Characters>25468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Biswas</dc:creator>
  <cp:keywords/>
  <dc:description/>
  <cp:lastModifiedBy>Editor-1183</cp:lastModifiedBy>
  <cp:revision>92</cp:revision>
  <dcterms:created xsi:type="dcterms:W3CDTF">2026-02-27T10:15:00Z</dcterms:created>
  <dcterms:modified xsi:type="dcterms:W3CDTF">2026-03-05T06:50:00Z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dad65b2c-24a2-4309-aea7-5fe9f36bbb91</vt:lpwstr>
  </property>
</Properties>
</file>