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9AD59" w14:textId="77777777" w:rsidR="00A256A1" w:rsidRPr="00507E86" w:rsidRDefault="00A256A1" w:rsidP="00A256A1">
      <w:pPr>
        <w:jc w:val="both"/>
        <w:rPr>
          <w:rFonts w:ascii="Times New Roman" w:eastAsia="Times New Roman" w:hAnsi="Times New Roman" w:cs="Times New Roman"/>
          <w:b/>
          <w:bCs/>
          <w:i/>
          <w:iCs/>
          <w:sz w:val="24"/>
          <w:szCs w:val="24"/>
          <w:u w:val="single"/>
          <w:lang w:val="en-US"/>
        </w:rPr>
      </w:pPr>
      <w:r w:rsidRPr="00507E86">
        <w:rPr>
          <w:rFonts w:ascii="Times New Roman" w:eastAsia="Times New Roman" w:hAnsi="Times New Roman" w:cs="Times New Roman"/>
          <w:b/>
          <w:bCs/>
          <w:i/>
          <w:iCs/>
          <w:sz w:val="24"/>
          <w:szCs w:val="24"/>
          <w:u w:val="single"/>
          <w:lang w:val="en-US"/>
        </w:rPr>
        <w:t>Review Article</w:t>
      </w:r>
    </w:p>
    <w:p w14:paraId="6A8042B7" w14:textId="77777777" w:rsidR="00294982" w:rsidRPr="00507E86" w:rsidRDefault="00294982">
      <w:pPr>
        <w:jc w:val="both"/>
        <w:rPr>
          <w:rFonts w:ascii="Times New Roman" w:eastAsia="Times New Roman" w:hAnsi="Times New Roman" w:cs="Times New Roman"/>
          <w:b/>
          <w:bCs/>
          <w:sz w:val="24"/>
          <w:szCs w:val="24"/>
        </w:rPr>
      </w:pPr>
    </w:p>
    <w:p w14:paraId="558C5B5E" w14:textId="78454962" w:rsidR="00294982" w:rsidRPr="00507E86" w:rsidRDefault="00BE6B9C">
      <w:pPr>
        <w:jc w:val="center"/>
        <w:rPr>
          <w:rFonts w:ascii="Times New Roman" w:eastAsia="Times New Roman" w:hAnsi="Times New Roman" w:cs="Times New Roman"/>
          <w:b/>
          <w:bCs/>
          <w:sz w:val="28"/>
          <w:szCs w:val="28"/>
        </w:rPr>
      </w:pPr>
      <w:r w:rsidRPr="00507E86">
        <w:rPr>
          <w:rFonts w:ascii="Times New Roman" w:eastAsia="Times New Roman" w:hAnsi="Times New Roman" w:cs="Times New Roman"/>
          <w:b/>
          <w:bCs/>
          <w:sz w:val="28"/>
          <w:szCs w:val="28"/>
        </w:rPr>
        <w:t xml:space="preserve">Harnessing the Hippocratic Fire: The Role and </w:t>
      </w:r>
      <w:r w:rsidR="005D21C5" w:rsidRPr="00F43156">
        <w:rPr>
          <w:rFonts w:ascii="Times New Roman" w:eastAsia="Times New Roman" w:hAnsi="Times New Roman" w:cs="Times New Roman"/>
          <w:b/>
          <w:bCs/>
          <w:sz w:val="28"/>
          <w:szCs w:val="28"/>
          <w:highlight w:val="yellow"/>
        </w:rPr>
        <w:t>Comprehensive</w:t>
      </w:r>
      <w:r w:rsidRPr="00507E86">
        <w:rPr>
          <w:rFonts w:ascii="Times New Roman" w:eastAsia="Times New Roman" w:hAnsi="Times New Roman" w:cs="Times New Roman"/>
          <w:b/>
          <w:bCs/>
          <w:sz w:val="28"/>
          <w:szCs w:val="28"/>
        </w:rPr>
        <w:t xml:space="preserve"> Consolidation of HITHOC in Pleural Malignancy Management</w:t>
      </w:r>
    </w:p>
    <w:p w14:paraId="049A0CC7" w14:textId="77777777" w:rsidR="00294982" w:rsidRPr="00507E86" w:rsidRDefault="00294982">
      <w:pPr>
        <w:jc w:val="both"/>
        <w:rPr>
          <w:rFonts w:ascii="Times New Roman" w:eastAsia="Times New Roman" w:hAnsi="Times New Roman" w:cs="Times New Roman"/>
          <w:b/>
          <w:bCs/>
          <w:sz w:val="24"/>
          <w:szCs w:val="24"/>
        </w:rPr>
      </w:pPr>
    </w:p>
    <w:p w14:paraId="4A659B5F" w14:textId="296BF052" w:rsidR="00294982" w:rsidRDefault="00294982">
      <w:pPr>
        <w:jc w:val="both"/>
        <w:rPr>
          <w:rFonts w:ascii="Times New Roman" w:eastAsia="Times New Roman" w:hAnsi="Times New Roman" w:cs="Times New Roman"/>
          <w:b/>
          <w:bCs/>
          <w:sz w:val="24"/>
          <w:szCs w:val="24"/>
        </w:rPr>
      </w:pPr>
    </w:p>
    <w:p w14:paraId="2CEF33EF" w14:textId="77777777" w:rsidR="000C14B3" w:rsidRPr="00507E86" w:rsidRDefault="000C14B3">
      <w:pPr>
        <w:jc w:val="both"/>
        <w:rPr>
          <w:rFonts w:ascii="Times New Roman" w:eastAsia="Times New Roman" w:hAnsi="Times New Roman" w:cs="Times New Roman"/>
          <w:b/>
          <w:bCs/>
          <w:sz w:val="24"/>
          <w:szCs w:val="24"/>
        </w:rPr>
      </w:pPr>
    </w:p>
    <w:p w14:paraId="37067503" w14:textId="77777777" w:rsidR="00294982" w:rsidRPr="00507E86" w:rsidRDefault="00BE6B9C">
      <w:p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Abstract</w:t>
      </w:r>
    </w:p>
    <w:p w14:paraId="0DC3C457" w14:textId="4A8DA765" w:rsidR="00294982" w:rsidRPr="00507E86" w:rsidRDefault="00BE6B9C" w:rsidP="005D65D1">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Hyperthermic intrathoracic chemotherapy (HITHOC) has emerged as a significant multimodal therapeutic adjunct for the management of aggressive pleural malignancies, primarily malignant pleural mesothelioma and stage IVA thymoma. By combining surgical cytoreduction with the local administration of heated chemotherapeutic agents, HITHOC aims to eliminate microscopic residual disease while minimizing systemic toxicity. </w:t>
      </w:r>
      <w:r w:rsidR="005D65D1" w:rsidRPr="00F43156">
        <w:rPr>
          <w:rFonts w:ascii="Times New Roman" w:eastAsia="Times New Roman" w:hAnsi="Times New Roman" w:cs="Times New Roman"/>
          <w:sz w:val="24"/>
          <w:szCs w:val="24"/>
          <w:highlight w:val="yellow"/>
        </w:rPr>
        <w:t>A comprehensive Boolean search was conducted using PubMed/Medline</w:t>
      </w:r>
      <w:r w:rsidR="005D65D1" w:rsidRPr="00F43156">
        <w:rPr>
          <w:rFonts w:ascii="Times New Roman" w:eastAsia="Times New Roman" w:hAnsi="Times New Roman" w:cs="Times New Roman"/>
          <w:sz w:val="24"/>
          <w:szCs w:val="24"/>
          <w:highlight w:val="yellow"/>
        </w:rPr>
        <w:t xml:space="preserve">, </w:t>
      </w:r>
      <w:r w:rsidR="005D65D1" w:rsidRPr="00F43156">
        <w:rPr>
          <w:rFonts w:ascii="Times New Roman" w:eastAsia="Times New Roman" w:hAnsi="Times New Roman" w:cs="Times New Roman"/>
          <w:sz w:val="24"/>
          <w:szCs w:val="24"/>
          <w:highlight w:val="yellow"/>
        </w:rPr>
        <w:t>Google Scholar</w:t>
      </w:r>
      <w:r w:rsidR="005D65D1" w:rsidRPr="00F43156">
        <w:rPr>
          <w:rFonts w:ascii="Times New Roman" w:eastAsia="Times New Roman" w:hAnsi="Times New Roman" w:cs="Times New Roman"/>
          <w:sz w:val="24"/>
          <w:szCs w:val="24"/>
          <w:highlight w:val="yellow"/>
        </w:rPr>
        <w:t>, Embase and Scopus</w:t>
      </w:r>
      <w:r w:rsidR="005D65D1" w:rsidRPr="00F43156">
        <w:rPr>
          <w:rFonts w:ascii="Times New Roman" w:eastAsia="Times New Roman" w:hAnsi="Times New Roman" w:cs="Times New Roman"/>
          <w:sz w:val="24"/>
          <w:szCs w:val="24"/>
          <w:highlight w:val="yellow"/>
        </w:rPr>
        <w:t xml:space="preserve"> to</w:t>
      </w:r>
      <w:r w:rsidR="005D65D1" w:rsidRPr="00F43156">
        <w:rPr>
          <w:rFonts w:ascii="Times New Roman" w:eastAsia="Times New Roman" w:hAnsi="Times New Roman" w:cs="Times New Roman"/>
          <w:sz w:val="24"/>
          <w:szCs w:val="24"/>
          <w:highlight w:val="yellow"/>
        </w:rPr>
        <w:t xml:space="preserve"> </w:t>
      </w:r>
      <w:r w:rsidR="005D65D1" w:rsidRPr="00F43156">
        <w:rPr>
          <w:rFonts w:ascii="Times New Roman" w:eastAsia="Times New Roman" w:hAnsi="Times New Roman" w:cs="Times New Roman"/>
          <w:sz w:val="24"/>
          <w:szCs w:val="24"/>
          <w:highlight w:val="yellow"/>
        </w:rPr>
        <w:t>identify relevant studies on the use of HITHOC for</w:t>
      </w:r>
      <w:r w:rsidR="005D65D1" w:rsidRPr="00F43156">
        <w:rPr>
          <w:rFonts w:ascii="Times New Roman" w:eastAsia="Times New Roman" w:hAnsi="Times New Roman" w:cs="Times New Roman"/>
          <w:sz w:val="24"/>
          <w:szCs w:val="24"/>
          <w:highlight w:val="yellow"/>
        </w:rPr>
        <w:t xml:space="preserve"> </w:t>
      </w:r>
      <w:r w:rsidR="005D65D1" w:rsidRPr="00F43156">
        <w:rPr>
          <w:rFonts w:ascii="Times New Roman" w:eastAsia="Times New Roman" w:hAnsi="Times New Roman" w:cs="Times New Roman"/>
          <w:sz w:val="24"/>
          <w:szCs w:val="24"/>
          <w:highlight w:val="yellow"/>
        </w:rPr>
        <w:t xml:space="preserve">pleural </w:t>
      </w:r>
      <w:r w:rsidR="005D65D1" w:rsidRPr="00F43156">
        <w:rPr>
          <w:rFonts w:ascii="Times New Roman" w:eastAsia="Times New Roman" w:hAnsi="Times New Roman" w:cs="Times New Roman"/>
          <w:sz w:val="24"/>
          <w:szCs w:val="24"/>
          <w:highlight w:val="yellow"/>
        </w:rPr>
        <w:t>malignancies</w:t>
      </w:r>
      <w:r w:rsidR="005D65D1" w:rsidRPr="00F43156">
        <w:rPr>
          <w:rFonts w:ascii="Times New Roman" w:eastAsia="Times New Roman" w:hAnsi="Times New Roman" w:cs="Times New Roman"/>
          <w:sz w:val="24"/>
          <w:szCs w:val="24"/>
          <w:highlight w:val="yellow"/>
        </w:rPr>
        <w:t>.</w:t>
      </w:r>
      <w:r w:rsidR="005D65D1" w:rsidRPr="00F43156">
        <w:rPr>
          <w:rFonts w:ascii="Times New Roman" w:eastAsia="Times New Roman" w:hAnsi="Times New Roman" w:cs="Times New Roman"/>
          <w:sz w:val="24"/>
          <w:szCs w:val="24"/>
          <w:highlight w:val="yellow"/>
        </w:rPr>
        <w:t xml:space="preserve"> </w:t>
      </w:r>
      <w:r w:rsidR="005D65D1" w:rsidRPr="00F43156">
        <w:rPr>
          <w:rFonts w:ascii="Times New Roman" w:eastAsia="Times New Roman" w:hAnsi="Times New Roman" w:cs="Times New Roman"/>
          <w:sz w:val="24"/>
          <w:szCs w:val="24"/>
          <w:highlight w:val="yellow"/>
        </w:rPr>
        <w:t xml:space="preserve">Findings were summarised regarding HITHOC’s </w:t>
      </w:r>
      <w:r w:rsidR="005D65D1" w:rsidRPr="00F43156">
        <w:rPr>
          <w:rFonts w:ascii="Times New Roman" w:eastAsia="Times New Roman" w:hAnsi="Times New Roman" w:cs="Times New Roman"/>
          <w:sz w:val="24"/>
          <w:szCs w:val="24"/>
          <w:highlight w:val="yellow"/>
        </w:rPr>
        <w:t>biological rationale, applications</w:t>
      </w:r>
      <w:r w:rsidR="005D65D1" w:rsidRPr="00F43156">
        <w:rPr>
          <w:rFonts w:ascii="Times New Roman" w:eastAsia="Times New Roman" w:hAnsi="Times New Roman" w:cs="Times New Roman"/>
          <w:sz w:val="24"/>
          <w:szCs w:val="24"/>
          <w:highlight w:val="yellow"/>
        </w:rPr>
        <w:t xml:space="preserve">, integration with </w:t>
      </w:r>
      <w:r w:rsidR="005D65D1" w:rsidRPr="00F43156">
        <w:rPr>
          <w:rFonts w:ascii="Times New Roman" w:eastAsia="Times New Roman" w:hAnsi="Times New Roman" w:cs="Times New Roman"/>
          <w:sz w:val="24"/>
          <w:szCs w:val="24"/>
          <w:highlight w:val="yellow"/>
        </w:rPr>
        <w:t>surgery</w:t>
      </w:r>
      <w:r w:rsidR="005D65D1" w:rsidRPr="00F43156">
        <w:rPr>
          <w:rFonts w:ascii="Times New Roman" w:eastAsia="Times New Roman" w:hAnsi="Times New Roman" w:cs="Times New Roman"/>
          <w:sz w:val="24"/>
          <w:szCs w:val="24"/>
          <w:highlight w:val="yellow"/>
        </w:rPr>
        <w:t xml:space="preserve"> and </w:t>
      </w:r>
      <w:r w:rsidR="005D65D1" w:rsidRPr="00F43156">
        <w:rPr>
          <w:rFonts w:ascii="Times New Roman" w:eastAsia="Times New Roman" w:hAnsi="Times New Roman" w:cs="Times New Roman"/>
          <w:sz w:val="24"/>
          <w:szCs w:val="24"/>
          <w:highlight w:val="yellow"/>
        </w:rPr>
        <w:t>methodological challenges</w:t>
      </w:r>
      <w:r w:rsidR="005D65D1" w:rsidRPr="00F43156">
        <w:rPr>
          <w:rFonts w:ascii="Times New Roman" w:eastAsia="Times New Roman" w:hAnsi="Times New Roman" w:cs="Times New Roman"/>
          <w:sz w:val="24"/>
          <w:szCs w:val="24"/>
          <w:highlight w:val="yellow"/>
        </w:rPr>
        <w:t>.</w:t>
      </w:r>
      <w:r w:rsidR="005D65D1">
        <w:rPr>
          <w:rFonts w:ascii="Times New Roman" w:eastAsia="Times New Roman" w:hAnsi="Times New Roman" w:cs="Times New Roman"/>
          <w:sz w:val="24"/>
          <w:szCs w:val="24"/>
        </w:rPr>
        <w:t xml:space="preserve"> </w:t>
      </w:r>
      <w:r w:rsidRPr="00507E86">
        <w:rPr>
          <w:rFonts w:ascii="Times New Roman" w:eastAsia="Times New Roman" w:hAnsi="Times New Roman" w:cs="Times New Roman"/>
          <w:sz w:val="24"/>
          <w:szCs w:val="24"/>
        </w:rPr>
        <w:t>While large retrospective analyses suggest meaningful improvements in overall survival and locoregional control, the technique is currently characterized by a high degree of protocol heterogeneity across global centers. This review synthesizes current evidence on the biological rationale, clinical outcomes across various histologies, safety profiles, and the methodological barriers that must be addressed for the formal consolidation of HITHOC into international treatment guidelines.</w:t>
      </w:r>
    </w:p>
    <w:p w14:paraId="2A5005B0" w14:textId="77777777" w:rsidR="00294982" w:rsidRPr="00507E86" w:rsidRDefault="00294982">
      <w:pPr>
        <w:jc w:val="both"/>
        <w:rPr>
          <w:rFonts w:ascii="Times New Roman" w:eastAsia="Times New Roman" w:hAnsi="Times New Roman" w:cs="Times New Roman"/>
          <w:sz w:val="24"/>
          <w:szCs w:val="24"/>
        </w:rPr>
      </w:pPr>
    </w:p>
    <w:p w14:paraId="5AF700BC" w14:textId="77777777" w:rsidR="00294982" w:rsidRPr="00507E86" w:rsidRDefault="00BE6B9C">
      <w:p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 xml:space="preserve">Keywords: </w:t>
      </w:r>
      <w:r w:rsidRPr="00507E86">
        <w:rPr>
          <w:rFonts w:ascii="Times New Roman" w:eastAsia="Times New Roman" w:hAnsi="Times New Roman" w:cs="Times New Roman"/>
          <w:b/>
          <w:bCs/>
          <w:color w:val="303030"/>
          <w:sz w:val="24"/>
          <w:szCs w:val="24"/>
        </w:rPr>
        <w:t>Hyperthermic intrathoracic chemotherapy (HITHOC); Malignant pleural mesothelioma (MPM); Cytoreductive surgery (CRS); Stage IVA thymoma; Malignant pleural effusion (MPE)</w:t>
      </w:r>
    </w:p>
    <w:p w14:paraId="50E4174B" w14:textId="77777777" w:rsidR="00294982" w:rsidRPr="00507E86" w:rsidRDefault="00294982">
      <w:pPr>
        <w:jc w:val="both"/>
        <w:rPr>
          <w:rFonts w:ascii="Times New Roman" w:eastAsia="Times New Roman" w:hAnsi="Times New Roman" w:cs="Times New Roman"/>
          <w:sz w:val="24"/>
          <w:szCs w:val="24"/>
        </w:rPr>
      </w:pPr>
    </w:p>
    <w:p w14:paraId="595E80C5"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Introduction: The Evolution of Intracavitary Therapy</w:t>
      </w:r>
    </w:p>
    <w:p w14:paraId="197EEE52"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Pleural malignancy can be of primary pleural origin, like mesothelioma or secondary to pleural metastasis [1]. Irrespective of the origin, the management of pleural malignancies represents a formidable challenge in thoracic oncology due to the aggressive nature of these diseases and their historically poor prognoses [2-4]. Often in these scenarios, surgery is not sought as a significant treatment modality, and reliance is more towards systemic therapies [5-7]. The concept of treating such malignancies through the local instillation of chemotherapy dates back to 1955, when Bateman et al. described the use of triethylene thiophosphoramide for managing recurrent neoplastic effusions in the pleural, peritoneal, and pericardial spaces. This early work established that intracavitary administration allows for drug concentrations substantially higher than those achievable systemically, leading to superior local tumor control without early clinical toxicity [8].</w:t>
      </w:r>
    </w:p>
    <w:p w14:paraId="358970B8"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A major breakthrough in this context has been the utilization of hyperthermic intraperitoneal chemotherapy (HIPEC) [9-11]. It was first described by Spratt in 1980 as a "thermal transfusion infiltration system" and was tested on canine models for metastatic abdominal cancers [12]. The successful integration of HIPEC into multimodal strategies for primary and secondary </w:t>
      </w:r>
      <w:r w:rsidRPr="00507E86">
        <w:rPr>
          <w:rFonts w:ascii="Times New Roman" w:eastAsia="Times New Roman" w:hAnsi="Times New Roman" w:cs="Times New Roman"/>
          <w:sz w:val="24"/>
          <w:szCs w:val="24"/>
        </w:rPr>
        <w:lastRenderedPageBreak/>
        <w:t>peritoneal tumors paved the way for its adaptation to the thoracic cavity starting in the late 1990s. The modern technical framework for HITHOC, is derived from HIPEC [13]. HITHOC is defined as an intraoperative and topical administration of chemotherapeutic drugs with simultaneous warming of the thoracic cavity, typically performed immediately following cytoreductive surgery (CRS) [14,15]. Its primary goal is to target residual tumor cells on the pleural surface, thereby enhancing the local efficacy of surgical treatment where a radical R0 resection is often unattainable due to the laminar growth patterns of pleural tumors [16-18].</w:t>
      </w:r>
      <w:r w:rsidRPr="00507E86">
        <w:rPr>
          <w:rFonts w:ascii="Times New Roman" w:eastAsia="Times New Roman" w:hAnsi="Times New Roman" w:cs="Times New Roman"/>
          <w:noProof/>
          <w:sz w:val="24"/>
          <w:szCs w:val="24"/>
        </w:rPr>
        <w:drawing>
          <wp:inline distT="114300" distB="114300" distL="114300" distR="114300" wp14:anchorId="378C6747" wp14:editId="628566FA">
            <wp:extent cx="5731200" cy="3200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31200" cy="3200400"/>
                    </a:xfrm>
                    <a:prstGeom prst="rect">
                      <a:avLst/>
                    </a:prstGeom>
                    <a:ln/>
                  </pic:spPr>
                </pic:pic>
              </a:graphicData>
            </a:graphic>
          </wp:inline>
        </w:drawing>
      </w:r>
    </w:p>
    <w:p w14:paraId="74B60DC5" w14:textId="77777777" w:rsidR="00294982" w:rsidRPr="00507E86" w:rsidRDefault="00BE6B9C">
      <w:pPr>
        <w:jc w:val="center"/>
        <w:rPr>
          <w:rFonts w:ascii="Times New Roman" w:eastAsia="Times New Roman" w:hAnsi="Times New Roman" w:cs="Times New Roman"/>
        </w:rPr>
      </w:pPr>
      <w:r w:rsidRPr="00507E86">
        <w:rPr>
          <w:rFonts w:ascii="Times New Roman" w:eastAsia="Times New Roman" w:hAnsi="Times New Roman" w:cs="Times New Roman"/>
        </w:rPr>
        <w:t>Figure 1. Workflow of HITHOC</w:t>
      </w:r>
    </w:p>
    <w:p w14:paraId="073B30FC" w14:textId="77777777" w:rsidR="00294982" w:rsidRPr="00507E86" w:rsidRDefault="00294982">
      <w:pPr>
        <w:jc w:val="both"/>
        <w:rPr>
          <w:rFonts w:ascii="Times New Roman" w:eastAsia="Times New Roman" w:hAnsi="Times New Roman" w:cs="Times New Roman"/>
          <w:sz w:val="24"/>
          <w:szCs w:val="24"/>
        </w:rPr>
      </w:pPr>
    </w:p>
    <w:p w14:paraId="714DC47F" w14:textId="77EC1EBA" w:rsidR="005D65D1" w:rsidRPr="00F43156" w:rsidRDefault="005D65D1">
      <w:pPr>
        <w:numPr>
          <w:ilvl w:val="0"/>
          <w:numId w:val="2"/>
        </w:numPr>
        <w:jc w:val="both"/>
        <w:rPr>
          <w:rFonts w:ascii="Times New Roman" w:eastAsia="Times New Roman" w:hAnsi="Times New Roman" w:cs="Times New Roman"/>
          <w:b/>
          <w:bCs/>
          <w:sz w:val="24"/>
          <w:szCs w:val="24"/>
          <w:highlight w:val="yellow"/>
        </w:rPr>
      </w:pPr>
      <w:r w:rsidRPr="00F43156">
        <w:rPr>
          <w:rFonts w:ascii="Times New Roman" w:eastAsia="Times New Roman" w:hAnsi="Times New Roman" w:cs="Times New Roman"/>
          <w:b/>
          <w:bCs/>
          <w:sz w:val="24"/>
          <w:szCs w:val="24"/>
          <w:highlight w:val="yellow"/>
        </w:rPr>
        <w:t>Methodology</w:t>
      </w:r>
    </w:p>
    <w:p w14:paraId="6BD73BDC" w14:textId="0F2FCE96" w:rsidR="00F43156" w:rsidRDefault="00F43156" w:rsidP="00F43156">
      <w:pPr>
        <w:jc w:val="both"/>
        <w:rPr>
          <w:rFonts w:ascii="Times New Roman" w:eastAsia="Times New Roman" w:hAnsi="Times New Roman" w:cs="Times New Roman"/>
          <w:sz w:val="24"/>
          <w:szCs w:val="24"/>
        </w:rPr>
      </w:pPr>
      <w:r w:rsidRPr="00F43156">
        <w:rPr>
          <w:rFonts w:ascii="Times New Roman" w:eastAsia="Times New Roman" w:hAnsi="Times New Roman" w:cs="Times New Roman"/>
          <w:sz w:val="24"/>
          <w:szCs w:val="24"/>
          <w:highlight w:val="yellow"/>
        </w:rPr>
        <w:t>A</w:t>
      </w:r>
      <w:r w:rsidRPr="00F43156">
        <w:rPr>
          <w:rFonts w:ascii="Times New Roman" w:eastAsia="Times New Roman" w:hAnsi="Times New Roman" w:cs="Times New Roman"/>
          <w:sz w:val="24"/>
          <w:szCs w:val="24"/>
          <w:highlight w:val="yellow"/>
        </w:rPr>
        <w:t xml:space="preserve"> Boolean</w:t>
      </w:r>
      <w:r w:rsidRPr="00F43156">
        <w:rPr>
          <w:rFonts w:ascii="Times New Roman" w:eastAsia="Times New Roman" w:hAnsi="Times New Roman" w:cs="Times New Roman"/>
          <w:sz w:val="24"/>
          <w:szCs w:val="24"/>
          <w:highlight w:val="yellow"/>
        </w:rPr>
        <w:t xml:space="preserve"> </w:t>
      </w:r>
      <w:r w:rsidRPr="00F43156">
        <w:rPr>
          <w:rFonts w:ascii="Times New Roman" w:eastAsia="Times New Roman" w:hAnsi="Times New Roman" w:cs="Times New Roman"/>
          <w:sz w:val="24"/>
          <w:szCs w:val="24"/>
          <w:highlight w:val="yellow"/>
        </w:rPr>
        <w:t xml:space="preserve">search </w:t>
      </w:r>
      <w:r w:rsidRPr="00F43156">
        <w:rPr>
          <w:rFonts w:ascii="Times New Roman" w:eastAsia="Times New Roman" w:hAnsi="Times New Roman" w:cs="Times New Roman"/>
          <w:sz w:val="24"/>
          <w:szCs w:val="24"/>
          <w:highlight w:val="yellow"/>
        </w:rPr>
        <w:t xml:space="preserve">was conducted in </w:t>
      </w:r>
      <w:r w:rsidRPr="00F43156">
        <w:rPr>
          <w:rFonts w:ascii="Times New Roman" w:eastAsia="Times New Roman" w:hAnsi="Times New Roman" w:cs="Times New Roman"/>
          <w:sz w:val="24"/>
          <w:szCs w:val="24"/>
          <w:highlight w:val="yellow"/>
        </w:rPr>
        <w:t>PubMed/Medline, Google Scholar, Embase and Scopus databases</w:t>
      </w:r>
      <w:r w:rsidRPr="00F43156">
        <w:rPr>
          <w:rFonts w:ascii="Times New Roman" w:eastAsia="Times New Roman" w:hAnsi="Times New Roman" w:cs="Times New Roman"/>
          <w:sz w:val="24"/>
          <w:szCs w:val="24"/>
          <w:highlight w:val="yellow"/>
        </w:rPr>
        <w:t xml:space="preserve"> </w:t>
      </w:r>
      <w:r w:rsidRPr="00F43156">
        <w:rPr>
          <w:rFonts w:ascii="Times New Roman" w:eastAsia="Times New Roman" w:hAnsi="Times New Roman" w:cs="Times New Roman"/>
          <w:sz w:val="24"/>
          <w:szCs w:val="24"/>
          <w:highlight w:val="yellow"/>
        </w:rPr>
        <w:t xml:space="preserve">using the keywords </w:t>
      </w:r>
      <w:r w:rsidRPr="00F43156">
        <w:rPr>
          <w:rFonts w:ascii="Times New Roman" w:eastAsia="Times New Roman" w:hAnsi="Times New Roman" w:cs="Times New Roman"/>
          <w:sz w:val="24"/>
          <w:szCs w:val="24"/>
          <w:highlight w:val="yellow"/>
        </w:rPr>
        <w:t>“</w:t>
      </w:r>
      <w:r w:rsidRPr="00F43156">
        <w:rPr>
          <w:rFonts w:ascii="Times New Roman" w:eastAsia="Times New Roman" w:hAnsi="Times New Roman" w:cs="Times New Roman"/>
          <w:color w:val="303030"/>
          <w:sz w:val="24"/>
          <w:szCs w:val="24"/>
          <w:highlight w:val="yellow"/>
        </w:rPr>
        <w:t>Hyperthermic intrathoracic chemotherapy (HITHOC)</w:t>
      </w:r>
      <w:r w:rsidRPr="00F43156">
        <w:rPr>
          <w:rFonts w:ascii="Times New Roman" w:eastAsia="Times New Roman" w:hAnsi="Times New Roman" w:cs="Times New Roman"/>
          <w:color w:val="303030"/>
          <w:sz w:val="24"/>
          <w:szCs w:val="24"/>
          <w:highlight w:val="yellow"/>
        </w:rPr>
        <w:t>”,</w:t>
      </w:r>
      <w:r w:rsidRPr="00F43156">
        <w:rPr>
          <w:rFonts w:ascii="Times New Roman" w:eastAsia="Times New Roman" w:hAnsi="Times New Roman" w:cs="Times New Roman"/>
          <w:color w:val="303030"/>
          <w:sz w:val="24"/>
          <w:szCs w:val="24"/>
          <w:highlight w:val="yellow"/>
        </w:rPr>
        <w:t xml:space="preserve"> </w:t>
      </w:r>
      <w:r w:rsidRPr="00F43156">
        <w:rPr>
          <w:rFonts w:ascii="Times New Roman" w:eastAsia="Times New Roman" w:hAnsi="Times New Roman" w:cs="Times New Roman"/>
          <w:color w:val="303030"/>
          <w:sz w:val="24"/>
          <w:szCs w:val="24"/>
          <w:highlight w:val="yellow"/>
        </w:rPr>
        <w:t>“</w:t>
      </w:r>
      <w:r w:rsidRPr="00F43156">
        <w:rPr>
          <w:rFonts w:ascii="Times New Roman" w:eastAsia="Times New Roman" w:hAnsi="Times New Roman" w:cs="Times New Roman"/>
          <w:color w:val="303030"/>
          <w:sz w:val="24"/>
          <w:szCs w:val="24"/>
          <w:highlight w:val="yellow"/>
        </w:rPr>
        <w:t>Malignant pleural mesothelioma (MPM)</w:t>
      </w:r>
      <w:r w:rsidRPr="00F43156">
        <w:rPr>
          <w:rFonts w:ascii="Times New Roman" w:eastAsia="Times New Roman" w:hAnsi="Times New Roman" w:cs="Times New Roman"/>
          <w:color w:val="303030"/>
          <w:sz w:val="24"/>
          <w:szCs w:val="24"/>
          <w:highlight w:val="yellow"/>
        </w:rPr>
        <w:t>”,</w:t>
      </w:r>
      <w:r w:rsidRPr="00F43156">
        <w:rPr>
          <w:rFonts w:ascii="Times New Roman" w:eastAsia="Times New Roman" w:hAnsi="Times New Roman" w:cs="Times New Roman"/>
          <w:color w:val="303030"/>
          <w:sz w:val="24"/>
          <w:szCs w:val="24"/>
          <w:highlight w:val="yellow"/>
        </w:rPr>
        <w:t xml:space="preserve"> </w:t>
      </w:r>
      <w:r w:rsidRPr="00F43156">
        <w:rPr>
          <w:rFonts w:ascii="Times New Roman" w:eastAsia="Times New Roman" w:hAnsi="Times New Roman" w:cs="Times New Roman"/>
          <w:color w:val="303030"/>
          <w:sz w:val="24"/>
          <w:szCs w:val="24"/>
          <w:highlight w:val="yellow"/>
        </w:rPr>
        <w:t>“</w:t>
      </w:r>
      <w:r w:rsidRPr="00F43156">
        <w:rPr>
          <w:rFonts w:ascii="Times New Roman" w:eastAsia="Times New Roman" w:hAnsi="Times New Roman" w:cs="Times New Roman"/>
          <w:color w:val="303030"/>
          <w:sz w:val="24"/>
          <w:szCs w:val="24"/>
          <w:highlight w:val="yellow"/>
        </w:rPr>
        <w:t>Cytoreductive surgery (CRS)</w:t>
      </w:r>
      <w:r w:rsidRPr="00F43156">
        <w:rPr>
          <w:rFonts w:ascii="Times New Roman" w:eastAsia="Times New Roman" w:hAnsi="Times New Roman" w:cs="Times New Roman"/>
          <w:color w:val="303030"/>
          <w:sz w:val="24"/>
          <w:szCs w:val="24"/>
          <w:highlight w:val="yellow"/>
        </w:rPr>
        <w:t>”,</w:t>
      </w:r>
      <w:r w:rsidRPr="00F43156">
        <w:rPr>
          <w:rFonts w:ascii="Times New Roman" w:eastAsia="Times New Roman" w:hAnsi="Times New Roman" w:cs="Times New Roman"/>
          <w:color w:val="303030"/>
          <w:sz w:val="24"/>
          <w:szCs w:val="24"/>
          <w:highlight w:val="yellow"/>
        </w:rPr>
        <w:t xml:space="preserve"> </w:t>
      </w:r>
      <w:r w:rsidRPr="00F43156">
        <w:rPr>
          <w:rFonts w:ascii="Times New Roman" w:eastAsia="Times New Roman" w:hAnsi="Times New Roman" w:cs="Times New Roman"/>
          <w:color w:val="303030"/>
          <w:sz w:val="24"/>
          <w:szCs w:val="24"/>
          <w:highlight w:val="yellow"/>
        </w:rPr>
        <w:t>“</w:t>
      </w:r>
      <w:r w:rsidRPr="00F43156">
        <w:rPr>
          <w:rFonts w:ascii="Times New Roman" w:eastAsia="Times New Roman" w:hAnsi="Times New Roman" w:cs="Times New Roman"/>
          <w:color w:val="303030"/>
          <w:sz w:val="24"/>
          <w:szCs w:val="24"/>
          <w:highlight w:val="yellow"/>
        </w:rPr>
        <w:t>Stage IVA thymoma</w:t>
      </w:r>
      <w:r w:rsidRPr="00F43156">
        <w:rPr>
          <w:rFonts w:ascii="Times New Roman" w:eastAsia="Times New Roman" w:hAnsi="Times New Roman" w:cs="Times New Roman"/>
          <w:color w:val="303030"/>
          <w:sz w:val="24"/>
          <w:szCs w:val="24"/>
          <w:highlight w:val="yellow"/>
        </w:rPr>
        <w:t>”,</w:t>
      </w:r>
      <w:r w:rsidRPr="00F43156">
        <w:rPr>
          <w:rFonts w:ascii="Times New Roman" w:eastAsia="Times New Roman" w:hAnsi="Times New Roman" w:cs="Times New Roman"/>
          <w:color w:val="303030"/>
          <w:sz w:val="24"/>
          <w:szCs w:val="24"/>
          <w:highlight w:val="yellow"/>
        </w:rPr>
        <w:t xml:space="preserve"> </w:t>
      </w:r>
      <w:r w:rsidRPr="00F43156">
        <w:rPr>
          <w:rFonts w:ascii="Times New Roman" w:eastAsia="Times New Roman" w:hAnsi="Times New Roman" w:cs="Times New Roman"/>
          <w:color w:val="303030"/>
          <w:sz w:val="24"/>
          <w:szCs w:val="24"/>
          <w:highlight w:val="yellow"/>
        </w:rPr>
        <w:t>and “</w:t>
      </w:r>
      <w:r w:rsidRPr="00F43156">
        <w:rPr>
          <w:rFonts w:ascii="Times New Roman" w:eastAsia="Times New Roman" w:hAnsi="Times New Roman" w:cs="Times New Roman"/>
          <w:color w:val="303030"/>
          <w:sz w:val="24"/>
          <w:szCs w:val="24"/>
          <w:highlight w:val="yellow"/>
        </w:rPr>
        <w:t>Malignant pleural effusion (MPE)</w:t>
      </w:r>
      <w:r w:rsidRPr="00F43156">
        <w:rPr>
          <w:rFonts w:ascii="Times New Roman" w:eastAsia="Times New Roman" w:hAnsi="Times New Roman" w:cs="Times New Roman"/>
          <w:color w:val="303030"/>
          <w:sz w:val="24"/>
          <w:szCs w:val="24"/>
          <w:highlight w:val="yellow"/>
        </w:rPr>
        <w:t>”</w:t>
      </w:r>
      <w:r w:rsidRPr="00F43156">
        <w:rPr>
          <w:rFonts w:ascii="Times New Roman" w:eastAsia="Times New Roman" w:hAnsi="Times New Roman" w:cs="Times New Roman"/>
          <w:sz w:val="24"/>
          <w:szCs w:val="24"/>
          <w:highlight w:val="yellow"/>
        </w:rPr>
        <w:t xml:space="preserve">. </w:t>
      </w:r>
      <w:r w:rsidRPr="00F43156">
        <w:rPr>
          <w:rFonts w:ascii="Times New Roman" w:eastAsia="Times New Roman" w:hAnsi="Times New Roman" w:cs="Times New Roman"/>
          <w:sz w:val="24"/>
          <w:szCs w:val="24"/>
          <w:highlight w:val="yellow"/>
        </w:rPr>
        <w:t>T</w:t>
      </w:r>
      <w:r w:rsidRPr="00F43156">
        <w:rPr>
          <w:rFonts w:ascii="Times New Roman" w:eastAsia="Times New Roman" w:hAnsi="Times New Roman" w:cs="Times New Roman"/>
          <w:sz w:val="24"/>
          <w:szCs w:val="24"/>
          <w:highlight w:val="yellow"/>
        </w:rPr>
        <w:t>wo</w:t>
      </w:r>
      <w:r w:rsidRPr="00F43156">
        <w:rPr>
          <w:rFonts w:ascii="Times New Roman" w:eastAsia="Times New Roman" w:hAnsi="Times New Roman" w:cs="Times New Roman"/>
          <w:sz w:val="24"/>
          <w:szCs w:val="24"/>
          <w:highlight w:val="yellow"/>
        </w:rPr>
        <w:t xml:space="preserve"> independent</w:t>
      </w:r>
      <w:r w:rsidRPr="00F43156">
        <w:rPr>
          <w:rFonts w:ascii="Times New Roman" w:eastAsia="Times New Roman" w:hAnsi="Times New Roman" w:cs="Times New Roman"/>
          <w:sz w:val="24"/>
          <w:szCs w:val="24"/>
          <w:highlight w:val="yellow"/>
        </w:rPr>
        <w:t xml:space="preserve"> authors</w:t>
      </w:r>
      <w:r w:rsidRPr="00F43156">
        <w:rPr>
          <w:rFonts w:ascii="Times New Roman" w:eastAsia="Times New Roman" w:hAnsi="Times New Roman" w:cs="Times New Roman"/>
          <w:sz w:val="24"/>
          <w:szCs w:val="24"/>
          <w:highlight w:val="yellow"/>
        </w:rPr>
        <w:t xml:space="preserve"> </w:t>
      </w:r>
      <w:r w:rsidRPr="00F43156">
        <w:rPr>
          <w:rFonts w:ascii="Times New Roman" w:eastAsia="Times New Roman" w:hAnsi="Times New Roman" w:cs="Times New Roman"/>
          <w:sz w:val="24"/>
          <w:szCs w:val="24"/>
          <w:highlight w:val="yellow"/>
        </w:rPr>
        <w:t xml:space="preserve">assessed </w:t>
      </w:r>
      <w:r w:rsidRPr="00F43156">
        <w:rPr>
          <w:rFonts w:ascii="Times New Roman" w:eastAsia="Times New Roman" w:hAnsi="Times New Roman" w:cs="Times New Roman"/>
          <w:sz w:val="24"/>
          <w:szCs w:val="24"/>
          <w:highlight w:val="yellow"/>
        </w:rPr>
        <w:t>and extracted the data</w:t>
      </w:r>
      <w:r w:rsidRPr="00F43156">
        <w:rPr>
          <w:rFonts w:ascii="Times New Roman" w:eastAsia="Times New Roman" w:hAnsi="Times New Roman" w:cs="Times New Roman"/>
          <w:sz w:val="24"/>
          <w:szCs w:val="24"/>
          <w:highlight w:val="yellow"/>
        </w:rPr>
        <w:t>.</w:t>
      </w:r>
      <w:r w:rsidRPr="00F43156">
        <w:rPr>
          <w:rFonts w:ascii="Times New Roman" w:eastAsia="Times New Roman" w:hAnsi="Times New Roman" w:cs="Times New Roman"/>
          <w:sz w:val="24"/>
          <w:szCs w:val="24"/>
          <w:highlight w:val="yellow"/>
        </w:rPr>
        <w:t xml:space="preserve"> </w:t>
      </w:r>
      <w:r w:rsidRPr="00F43156">
        <w:rPr>
          <w:rFonts w:ascii="Times New Roman" w:eastAsia="Times New Roman" w:hAnsi="Times New Roman" w:cs="Times New Roman"/>
          <w:sz w:val="24"/>
          <w:szCs w:val="24"/>
          <w:highlight w:val="yellow"/>
        </w:rPr>
        <w:t>All English language articles, including original full-length articles, meta-analyses, review articles and case reports</w:t>
      </w:r>
      <w:r w:rsidRPr="00F43156">
        <w:rPr>
          <w:rFonts w:ascii="Times New Roman" w:eastAsia="Times New Roman" w:hAnsi="Times New Roman" w:cs="Times New Roman"/>
          <w:sz w:val="24"/>
          <w:szCs w:val="24"/>
          <w:highlight w:val="yellow"/>
        </w:rPr>
        <w:t xml:space="preserve"> </w:t>
      </w:r>
      <w:r w:rsidRPr="00F43156">
        <w:rPr>
          <w:rFonts w:ascii="Times New Roman" w:eastAsia="Times New Roman" w:hAnsi="Times New Roman" w:cs="Times New Roman"/>
          <w:sz w:val="24"/>
          <w:szCs w:val="24"/>
          <w:highlight w:val="yellow"/>
        </w:rPr>
        <w:t>were included</w:t>
      </w:r>
      <w:r w:rsidRPr="00F43156">
        <w:rPr>
          <w:rFonts w:ascii="Times New Roman" w:eastAsia="Times New Roman" w:hAnsi="Times New Roman" w:cs="Times New Roman"/>
          <w:sz w:val="24"/>
          <w:szCs w:val="24"/>
          <w:highlight w:val="yellow"/>
        </w:rPr>
        <w:t xml:space="preserve">. </w:t>
      </w:r>
      <w:r w:rsidRPr="00F43156">
        <w:rPr>
          <w:rFonts w:ascii="Times New Roman" w:eastAsia="Times New Roman" w:hAnsi="Times New Roman" w:cs="Times New Roman"/>
          <w:sz w:val="24"/>
          <w:szCs w:val="24"/>
          <w:highlight w:val="yellow"/>
        </w:rPr>
        <w:t>Preprints and any articles without details on application of HITHOC in pleural cancers</w:t>
      </w:r>
      <w:r w:rsidRPr="00F43156">
        <w:rPr>
          <w:rFonts w:ascii="Times New Roman" w:eastAsia="Times New Roman" w:hAnsi="Times New Roman" w:cs="Times New Roman"/>
          <w:sz w:val="24"/>
          <w:szCs w:val="24"/>
          <w:highlight w:val="yellow"/>
        </w:rPr>
        <w:t xml:space="preserve"> </w:t>
      </w:r>
      <w:r w:rsidRPr="00F43156">
        <w:rPr>
          <w:rFonts w:ascii="Times New Roman" w:eastAsia="Times New Roman" w:hAnsi="Times New Roman" w:cs="Times New Roman"/>
          <w:sz w:val="24"/>
          <w:szCs w:val="24"/>
          <w:highlight w:val="yellow"/>
        </w:rPr>
        <w:t>were excluded</w:t>
      </w:r>
      <w:r w:rsidRPr="00F43156">
        <w:rPr>
          <w:rFonts w:ascii="Times New Roman" w:eastAsia="Times New Roman" w:hAnsi="Times New Roman" w:cs="Times New Roman"/>
          <w:sz w:val="24"/>
          <w:szCs w:val="24"/>
          <w:highlight w:val="yellow"/>
        </w:rPr>
        <w:t xml:space="preserve">. </w:t>
      </w:r>
      <w:r w:rsidRPr="00F43156">
        <w:rPr>
          <w:rFonts w:ascii="Times New Roman" w:eastAsia="Times New Roman" w:hAnsi="Times New Roman" w:cs="Times New Roman"/>
          <w:sz w:val="24"/>
          <w:szCs w:val="24"/>
          <w:highlight w:val="yellow"/>
        </w:rPr>
        <w:t xml:space="preserve">There was no restriction based on the year. </w:t>
      </w:r>
      <w:r w:rsidRPr="00F43156">
        <w:rPr>
          <w:rFonts w:ascii="Times New Roman" w:eastAsia="Times New Roman" w:hAnsi="Times New Roman" w:cs="Times New Roman"/>
          <w:sz w:val="24"/>
          <w:szCs w:val="24"/>
          <w:highlight w:val="yellow"/>
        </w:rPr>
        <w:t>S</w:t>
      </w:r>
      <w:r w:rsidRPr="00F43156">
        <w:rPr>
          <w:rFonts w:ascii="Times New Roman" w:eastAsia="Times New Roman" w:hAnsi="Times New Roman" w:cs="Times New Roman"/>
          <w:sz w:val="24"/>
          <w:szCs w:val="24"/>
          <w:highlight w:val="yellow"/>
        </w:rPr>
        <w:t>ome studies were excluded because the same group of authors used identical</w:t>
      </w:r>
      <w:r w:rsidRPr="00F43156">
        <w:rPr>
          <w:rFonts w:ascii="Times New Roman" w:eastAsia="Times New Roman" w:hAnsi="Times New Roman" w:cs="Times New Roman"/>
          <w:sz w:val="24"/>
          <w:szCs w:val="24"/>
          <w:highlight w:val="yellow"/>
        </w:rPr>
        <w:t xml:space="preserve"> </w:t>
      </w:r>
      <w:r w:rsidRPr="00F43156">
        <w:rPr>
          <w:rFonts w:ascii="Times New Roman" w:eastAsia="Times New Roman" w:hAnsi="Times New Roman" w:cs="Times New Roman"/>
          <w:sz w:val="24"/>
          <w:szCs w:val="24"/>
          <w:highlight w:val="yellow"/>
        </w:rPr>
        <w:t>patient datasets in newer studies.</w:t>
      </w:r>
      <w:r w:rsidRPr="00F43156">
        <w:rPr>
          <w:rFonts w:ascii="Times New Roman" w:eastAsia="Times New Roman" w:hAnsi="Times New Roman" w:cs="Times New Roman"/>
          <w:sz w:val="24"/>
          <w:szCs w:val="24"/>
          <w:highlight w:val="yellow"/>
        </w:rPr>
        <w:t xml:space="preserve"> </w:t>
      </w:r>
      <w:r w:rsidRPr="00F43156">
        <w:rPr>
          <w:rFonts w:ascii="Times New Roman" w:eastAsia="Times New Roman" w:hAnsi="Times New Roman" w:cs="Times New Roman"/>
          <w:sz w:val="24"/>
          <w:szCs w:val="24"/>
          <w:highlight w:val="yellow"/>
        </w:rPr>
        <w:t xml:space="preserve">All studies were </w:t>
      </w:r>
      <w:r w:rsidRPr="00F43156">
        <w:rPr>
          <w:rFonts w:ascii="Times New Roman" w:eastAsia="Times New Roman" w:hAnsi="Times New Roman" w:cs="Times New Roman"/>
          <w:sz w:val="24"/>
          <w:szCs w:val="24"/>
          <w:highlight w:val="yellow"/>
        </w:rPr>
        <w:t>reviewed,</w:t>
      </w:r>
      <w:r w:rsidRPr="00F43156">
        <w:rPr>
          <w:rFonts w:ascii="Times New Roman" w:eastAsia="Times New Roman" w:hAnsi="Times New Roman" w:cs="Times New Roman"/>
          <w:sz w:val="24"/>
          <w:szCs w:val="24"/>
          <w:highlight w:val="yellow"/>
        </w:rPr>
        <w:t xml:space="preserve"> and findings were summarise</w:t>
      </w:r>
      <w:r w:rsidR="0084576C">
        <w:rPr>
          <w:rFonts w:ascii="Times New Roman" w:eastAsia="Times New Roman" w:hAnsi="Times New Roman" w:cs="Times New Roman"/>
          <w:sz w:val="24"/>
          <w:szCs w:val="24"/>
          <w:highlight w:val="yellow"/>
        </w:rPr>
        <w:t>d</w:t>
      </w:r>
      <w:r w:rsidRPr="00F43156">
        <w:rPr>
          <w:rFonts w:ascii="Times New Roman" w:eastAsia="Times New Roman" w:hAnsi="Times New Roman" w:cs="Times New Roman"/>
          <w:sz w:val="24"/>
          <w:szCs w:val="24"/>
          <w:highlight w:val="yellow"/>
        </w:rPr>
        <w:t>.</w:t>
      </w:r>
    </w:p>
    <w:p w14:paraId="6B552A8C" w14:textId="77777777" w:rsidR="00F43156" w:rsidRPr="00F43156" w:rsidRDefault="00F43156" w:rsidP="00F43156">
      <w:pPr>
        <w:jc w:val="both"/>
        <w:rPr>
          <w:rFonts w:ascii="Times New Roman" w:eastAsia="Times New Roman" w:hAnsi="Times New Roman" w:cs="Times New Roman"/>
          <w:sz w:val="24"/>
          <w:szCs w:val="24"/>
        </w:rPr>
      </w:pPr>
    </w:p>
    <w:p w14:paraId="04D2F51D" w14:textId="40BE1D92"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Biological Rationale and Thermal Synergy</w:t>
      </w:r>
    </w:p>
    <w:p w14:paraId="2C120A8A"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The therapeutic efficacy of HITHOC is rooted in a clear biological synergy between heat and cytotoxic agents [19]. Preclinical evidence indicates that malignant cells are selectively thermosensitive, undergoing apoptosis at temperatures between 41°C and 43°C, whereas healthy cells remain largely unaffected within this range [20,21]. Hyperthermia induces protein denaturation, inhibits RNA and DNA synthesis, promotes mitosis arrest, and increases reactive oxygen species (ROS) production [22].</w:t>
      </w:r>
    </w:p>
    <w:p w14:paraId="4B2B2207"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lastRenderedPageBreak/>
        <w:t>Furthermore, heat increases cellular membrane permeability and modifies cell metabolism, which enhances the penetration and cytotoxicity of chemotherapeutic agents, most notably cisplatin [23]. Experimental studies have shown that combining cisplatin with hyperthermia at 42°C can result in a maximum penetration depth of 3.0 to 7.5 mm into pleural and lung tissues, particularly after decortication [24,25]. This depth is consistent with the goal of eradicating microscopic disease not amenable to further mechanical resection.</w:t>
      </w:r>
    </w:p>
    <w:p w14:paraId="50C554D6" w14:textId="0A179E3A"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A major advantage of HITHOC is its </w:t>
      </w:r>
      <w:r w:rsidR="00F60DD1" w:rsidRPr="00507E86">
        <w:rPr>
          <w:rFonts w:ascii="Times New Roman" w:eastAsia="Times New Roman" w:hAnsi="Times New Roman" w:cs="Times New Roman"/>
          <w:sz w:val="24"/>
          <w:szCs w:val="24"/>
        </w:rPr>
        <w:t>favorable</w:t>
      </w:r>
      <w:r w:rsidRPr="00507E86">
        <w:rPr>
          <w:rFonts w:ascii="Times New Roman" w:eastAsia="Times New Roman" w:hAnsi="Times New Roman" w:cs="Times New Roman"/>
          <w:sz w:val="24"/>
          <w:szCs w:val="24"/>
        </w:rPr>
        <w:t xml:space="preserve"> pharmacokinetic profile. The peritoneal-plasma barrier and, its thoracic equivalent, limits the systemic absorption of drugs administered into the cavity. Serum cisplatin levels typically remain below 2% of the administered dose, with peaks occurring roughly 60 minutes after the procedure. This allows for the local application of high drug concentrations, often 55 to 58 times greater than detected in serum, while significantly reducing the risks of systemic nephrotoxicity and myelosuppression [13,14].</w:t>
      </w:r>
    </w:p>
    <w:p w14:paraId="3D547DF8" w14:textId="77777777" w:rsidR="00294982" w:rsidRPr="00507E86" w:rsidRDefault="00294982">
      <w:pPr>
        <w:jc w:val="both"/>
        <w:rPr>
          <w:rFonts w:ascii="Times New Roman" w:eastAsia="Times New Roman" w:hAnsi="Times New Roman" w:cs="Times New Roman"/>
          <w:sz w:val="24"/>
          <w:szCs w:val="24"/>
        </w:rPr>
      </w:pPr>
    </w:p>
    <w:p w14:paraId="6D715FF8"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Surgical Integration and Patient Selection</w:t>
      </w:r>
    </w:p>
    <w:p w14:paraId="317B94DF"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HITHOC is rarely utilized as a standalone therapy, rather, it is part of a synergy-based single-stage multimodality treatment. The current surgical trend favors pleurectomy and decortication (P/D) or extended pleurectomy and decortication (EPD) over the more radical extrapleural pneumonectomy (EPP) [26,27]. EPP plus HITHOC has demonstrated poor early and long-term results and is associated with a high risk of acute kidney injury (AKI) [15,28]. Conversely, P/D allows for lung and diaphragm preservation, which improves post-operative quality of life and allows patients to tolerate subsequent adjuvant therapies.</w:t>
      </w:r>
    </w:p>
    <w:p w14:paraId="6D0AF884"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The primary targets for HITHOC include - malignant pleural mesothelioma (MPM), stage IVA thymic tumors and pleural recurrences, advanced non-small cell lung cancer (NSCLC) with malignant pleural effusion (MPE) and secondary pleural metastases from extrathoracic primaries such as breast, ovarian, and colorectal cancers [29].</w:t>
      </w:r>
    </w:p>
    <w:p w14:paraId="58ECC10F" w14:textId="77777777" w:rsidR="00294982" w:rsidRPr="00507E86" w:rsidRDefault="00294982">
      <w:pPr>
        <w:jc w:val="both"/>
        <w:rPr>
          <w:rFonts w:ascii="Times New Roman" w:eastAsia="Times New Roman" w:hAnsi="Times New Roman" w:cs="Times New Roman"/>
          <w:sz w:val="24"/>
          <w:szCs w:val="24"/>
        </w:rPr>
      </w:pPr>
    </w:p>
    <w:p w14:paraId="0DB745E0"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noProof/>
          <w:sz w:val="24"/>
          <w:szCs w:val="24"/>
        </w:rPr>
        <w:drawing>
          <wp:inline distT="114300" distB="114300" distL="114300" distR="114300" wp14:anchorId="0DFC1B18" wp14:editId="1BA82D7B">
            <wp:extent cx="5731200" cy="3467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3467100"/>
                    </a:xfrm>
                    <a:prstGeom prst="rect">
                      <a:avLst/>
                    </a:prstGeom>
                    <a:ln/>
                  </pic:spPr>
                </pic:pic>
              </a:graphicData>
            </a:graphic>
          </wp:inline>
        </w:drawing>
      </w:r>
    </w:p>
    <w:p w14:paraId="4B006BA8" w14:textId="77777777" w:rsidR="00294982" w:rsidRPr="00507E86" w:rsidRDefault="00BE6B9C">
      <w:pPr>
        <w:jc w:val="center"/>
        <w:rPr>
          <w:rFonts w:ascii="Times New Roman" w:eastAsia="Times New Roman" w:hAnsi="Times New Roman" w:cs="Times New Roman"/>
        </w:rPr>
      </w:pPr>
      <w:r w:rsidRPr="00507E86">
        <w:rPr>
          <w:rFonts w:ascii="Times New Roman" w:eastAsia="Times New Roman" w:hAnsi="Times New Roman" w:cs="Times New Roman"/>
        </w:rPr>
        <w:lastRenderedPageBreak/>
        <w:t>Figure 2. Primary targets of HITHOC</w:t>
      </w:r>
    </w:p>
    <w:p w14:paraId="6A2ED83B" w14:textId="77777777" w:rsidR="00294982" w:rsidRPr="00507E86" w:rsidRDefault="00294982">
      <w:pPr>
        <w:jc w:val="both"/>
        <w:rPr>
          <w:rFonts w:ascii="Times New Roman" w:eastAsia="Times New Roman" w:hAnsi="Times New Roman" w:cs="Times New Roman"/>
          <w:sz w:val="24"/>
          <w:szCs w:val="24"/>
        </w:rPr>
      </w:pPr>
    </w:p>
    <w:p w14:paraId="222A4539"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Patient selection is critical for procedural success. Recommended indicators include good functional and performance status, absence of significant renal comorbidities, and disease strictly confined to the ipsilateral hemithorax as confirmed by CT and PET scans [14,15].</w:t>
      </w:r>
    </w:p>
    <w:p w14:paraId="4AAE63DD" w14:textId="77777777" w:rsidR="00294982" w:rsidRPr="00507E86" w:rsidRDefault="00294982">
      <w:pPr>
        <w:jc w:val="both"/>
        <w:rPr>
          <w:rFonts w:ascii="Times New Roman" w:eastAsia="Times New Roman" w:hAnsi="Times New Roman" w:cs="Times New Roman"/>
          <w:sz w:val="24"/>
          <w:szCs w:val="24"/>
        </w:rPr>
      </w:pPr>
    </w:p>
    <w:p w14:paraId="1F39EC0E"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HITHOC in Malignant Pleural Mesothelioma</w:t>
      </w:r>
    </w:p>
    <w:p w14:paraId="0C21959A"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MPM remains the most common application for HITHOC. Despite its aggressive behavior and median survival typically under 12 months, multimodal approaches including HITHOC have shown promising incremental benefits.</w:t>
      </w:r>
    </w:p>
    <w:p w14:paraId="7F74F77A"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The largest retrospective analysis to date, involving over 3,200 MPM patients, demonstrated that the addition of HITHOC was associated with improved overall survival (OS) (HR = 0.80, p = 0.002). This advantage was even more pronounced after propensity-score matching (HR = 0.73, p = 0.001) [30]. Various institutional series report median OS ranging from 11 to 75 months, which is superior to surgical treatment alone. Furthermore, HITHOC significantly extends the recurrence-free interval in MPM patients.</w:t>
      </w:r>
    </w:p>
    <w:p w14:paraId="45470EE9" w14:textId="77777777" w:rsidR="00294982" w:rsidRPr="00507E86" w:rsidRDefault="00294982">
      <w:pPr>
        <w:jc w:val="both"/>
        <w:rPr>
          <w:rFonts w:ascii="Times New Roman" w:eastAsia="Times New Roman" w:hAnsi="Times New Roman" w:cs="Times New Roman"/>
          <w:b/>
          <w:bCs/>
          <w:color w:val="303030"/>
          <w:sz w:val="21"/>
          <w:szCs w:val="21"/>
        </w:rPr>
      </w:pPr>
    </w:p>
    <w:p w14:paraId="5213E9C5" w14:textId="77777777" w:rsidR="00294982" w:rsidRPr="00507E86" w:rsidRDefault="00BE6B9C">
      <w:pPr>
        <w:jc w:val="both"/>
        <w:rPr>
          <w:rFonts w:ascii="Times New Roman" w:eastAsia="Times New Roman" w:hAnsi="Times New Roman" w:cs="Times New Roman"/>
        </w:rPr>
      </w:pPr>
      <w:r w:rsidRPr="00507E86">
        <w:rPr>
          <w:rFonts w:ascii="Times New Roman" w:eastAsia="Times New Roman" w:hAnsi="Times New Roman" w:cs="Times New Roman"/>
        </w:rPr>
        <w:t>Table 1. Clinical Evidence for HITHOC in Malignant Pleural Mesothelioma</w:t>
      </w:r>
    </w:p>
    <w:tbl>
      <w:tblPr>
        <w:tblStyle w:val="a"/>
        <w:tblW w:w="9015" w:type="dxa"/>
        <w:tblInd w:w="0" w:type="dxa"/>
        <w:tblLayout w:type="fixed"/>
        <w:tblLook w:val="0600" w:firstRow="0" w:lastRow="0" w:firstColumn="0" w:lastColumn="0" w:noHBand="1" w:noVBand="1"/>
      </w:tblPr>
      <w:tblGrid>
        <w:gridCol w:w="1380"/>
        <w:gridCol w:w="1035"/>
        <w:gridCol w:w="1215"/>
        <w:gridCol w:w="2235"/>
        <w:gridCol w:w="1125"/>
        <w:gridCol w:w="2025"/>
      </w:tblGrid>
      <w:tr w:rsidR="00294982" w:rsidRPr="00507E86" w14:paraId="0EC193C9" w14:textId="77777777" w:rsidTr="00F60DD1">
        <w:trPr>
          <w:trHeight w:val="875"/>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FBFE56"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 xml:space="preserve">Study </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5905EE"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Patients (n)</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454962"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Surgical Procedure</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1D3136"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 xml:space="preserve">HITHOC Protocol </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F59ACB"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Median OS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401DBC"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Recurrence/Disease-Free Interval (RFI/DFI)</w:t>
            </w:r>
          </w:p>
        </w:tc>
      </w:tr>
      <w:tr w:rsidR="00294982" w:rsidRPr="00507E86" w14:paraId="0D5DE2C9" w14:textId="77777777">
        <w:trPr>
          <w:trHeight w:val="1005"/>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4F3B5F"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Rusch et al. (1994) [31]</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A56B9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28</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1CCBD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C5682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(100 mg/m²) + Mitomycin (8 mg/m²); Ambient temp</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396C1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17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F3C873"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Not specified</w:t>
            </w:r>
          </w:p>
        </w:tc>
      </w:tr>
      <w:tr w:rsidR="00294982" w:rsidRPr="00507E86" w14:paraId="669B2740" w14:textId="77777777">
        <w:trPr>
          <w:trHeight w:val="99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D1E7FF"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Yellin et al. (2001) [32]</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BE1D9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7</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812E2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 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D445E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(150–200 mg); 40.8°C;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8B013D"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26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BB7C4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Not specified</w:t>
            </w:r>
          </w:p>
        </w:tc>
      </w:tr>
      <w:tr w:rsidR="00294982" w:rsidRPr="00507E86" w14:paraId="7D5847E6" w14:textId="77777777">
        <w:trPr>
          <w:trHeight w:val="87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3DA753"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Monneuse et al. (2003) [33]</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491CA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17</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DC218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 P/D, Wedge</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FF3E8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 Mitomycin C</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0F0FC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18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DCD80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Not specified</w:t>
            </w:r>
          </w:p>
        </w:tc>
      </w:tr>
      <w:tr w:rsidR="00294982" w:rsidRPr="00507E86" w14:paraId="64BE0A53" w14:textId="77777777">
        <w:trPr>
          <w:trHeight w:val="975"/>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CB4E12"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Richards et al. (2006) [34]</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7EEAC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44</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01666D"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C33BC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(50–250 mg/m²); 42°C;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D9863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9 months (18 months for high dose)</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FE603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7.2 months</w:t>
            </w:r>
          </w:p>
        </w:tc>
      </w:tr>
      <w:tr w:rsidR="00294982" w:rsidRPr="00507E86" w14:paraId="36470ECF" w14:textId="77777777">
        <w:trPr>
          <w:trHeight w:val="69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9F0504"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van Sandick et al. (2008) [35]</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9055C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20</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3684C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 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90EB4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9F285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11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DA504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9 months</w:t>
            </w:r>
          </w:p>
        </w:tc>
      </w:tr>
      <w:tr w:rsidR="00294982" w:rsidRPr="00507E86" w14:paraId="12704D90" w14:textId="77777777">
        <w:trPr>
          <w:trHeight w:val="99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0FF290"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Tilleman et al. (2009) [36]</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D9769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92</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A6AD5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547E1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(225 mg/m²) + Amifostine; 42°C;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76B5B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12.8–13.1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24FFA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15.3 months</w:t>
            </w:r>
          </w:p>
        </w:tc>
      </w:tr>
      <w:tr w:rsidR="00294982" w:rsidRPr="00507E86" w14:paraId="134A93CF" w14:textId="77777777">
        <w:trPr>
          <w:trHeight w:val="84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5C4103"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lastRenderedPageBreak/>
              <w:t>Zellos et al. (2009) [37]</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36F6A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29</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A1CB3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FE200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 Amifostine; 42°C;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1F699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17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2360F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16 months</w:t>
            </w:r>
          </w:p>
        </w:tc>
      </w:tr>
      <w:tr w:rsidR="00294982" w:rsidRPr="00507E86" w14:paraId="44506BF8" w14:textId="77777777">
        <w:trPr>
          <w:trHeight w:val="855"/>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151DA7"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Sugarbaker et al. (2013) [38]</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1F6503"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72</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72F9A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 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E08C8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(175–225 mg/m²); 42°C;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7B0EF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35.3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FA45B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27.1 months</w:t>
            </w:r>
          </w:p>
        </w:tc>
      </w:tr>
      <w:tr w:rsidR="00294982" w:rsidRPr="00507E86" w14:paraId="6239F5AA" w14:textId="77777777">
        <w:trPr>
          <w:trHeight w:val="765"/>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4AECAC"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Ishibashi et al. (2015) [39]</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666BAF"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4</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3DF35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AC1CA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D31AC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17.2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B78A1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12.5 months</w:t>
            </w:r>
          </w:p>
        </w:tc>
      </w:tr>
      <w:tr w:rsidR="00294982" w:rsidRPr="00507E86" w14:paraId="5671AAA2" w14:textId="77777777">
        <w:trPr>
          <w:trHeight w:val="93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925C16"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Migliore et al. (2015) [40]</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E3B65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6</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D64B13"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P/D, Wedge, EPD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0ABEDD"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490F8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21.5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E4C54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Not specified</w:t>
            </w:r>
          </w:p>
        </w:tc>
      </w:tr>
      <w:tr w:rsidR="00294982" w:rsidRPr="00507E86" w14:paraId="0D36B899" w14:textId="77777777">
        <w:trPr>
          <w:trHeight w:val="108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ABE144"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Ambrogi et al. (2018) [41]</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EDD46F"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49</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FB5AE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P/D, Wedge</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DBFD3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(80 mg/m²) + Epirubicin (25 mg/m²); 42.5°C;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8D9C3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22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ADD7A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Not specified</w:t>
            </w:r>
          </w:p>
        </w:tc>
      </w:tr>
      <w:tr w:rsidR="00294982" w:rsidRPr="00507E86" w14:paraId="00EE8C86" w14:textId="77777777">
        <w:trPr>
          <w:trHeight w:val="825"/>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548F64"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Burt et al. (2018) [42]</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0D9F9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104</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AFF01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 P/D, Debulking</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99AD5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 Gemcitabine; 40–42°C;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9AE10E"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20.3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B8ADC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10.7 months</w:t>
            </w:r>
          </w:p>
        </w:tc>
      </w:tr>
      <w:tr w:rsidR="00294982" w:rsidRPr="00507E86" w14:paraId="73A10FCB" w14:textId="77777777">
        <w:trPr>
          <w:trHeight w:val="105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91A820"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Elliott et al. (2023) [30]</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EBBD5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365</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CBEFF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Resection</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C1175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Added HITHOC (Various)</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A94B2F"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Improved OS (HR = 0.80)</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B6171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Extended RFI</w:t>
            </w:r>
          </w:p>
        </w:tc>
      </w:tr>
      <w:tr w:rsidR="00294982" w:rsidRPr="00507E86" w14:paraId="66FDD0F8" w14:textId="77777777">
        <w:trPr>
          <w:trHeight w:val="105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E7C64D"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Klotz et al. (2024) [43]</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AF2CA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260</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50AA6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P/D, EPP, EPD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A52F6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(200 mg/m²) +/- Doxorubicin (100 mg/m²); 42°C; 60-90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18F01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27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BF827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13 months</w:t>
            </w:r>
          </w:p>
        </w:tc>
      </w:tr>
    </w:tbl>
    <w:p w14:paraId="3246B919" w14:textId="77777777" w:rsidR="00294982" w:rsidRPr="00507E86" w:rsidRDefault="00294982">
      <w:pPr>
        <w:jc w:val="both"/>
        <w:rPr>
          <w:rFonts w:ascii="Times New Roman" w:eastAsia="Times New Roman" w:hAnsi="Times New Roman" w:cs="Times New Roman"/>
          <w:sz w:val="24"/>
          <w:szCs w:val="24"/>
        </w:rPr>
      </w:pPr>
    </w:p>
    <w:p w14:paraId="5E37C959"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The benefit of HITHOC is particularly pronounced in patients with epithelioid histology. In these cases, microscopic residual disease is more responsive to locoregional cytotoxic exposure compared to sarcomatoid or biphasic subtypes. One study observed a median survival of 31 months for epithelioid MPM compared to just 14 months for the non-epithelioid subtype when treated with CRS and HITHOC [43].</w:t>
      </w:r>
    </w:p>
    <w:p w14:paraId="1D34504C" w14:textId="77777777" w:rsidR="00294982" w:rsidRPr="00507E86" w:rsidRDefault="00294982">
      <w:pPr>
        <w:jc w:val="both"/>
        <w:rPr>
          <w:rFonts w:ascii="Times New Roman" w:eastAsia="Times New Roman" w:hAnsi="Times New Roman" w:cs="Times New Roman"/>
          <w:sz w:val="24"/>
          <w:szCs w:val="24"/>
        </w:rPr>
      </w:pPr>
    </w:p>
    <w:p w14:paraId="7AF93BD6"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HITHOC in Thymic Malignancies</w:t>
      </w:r>
    </w:p>
    <w:p w14:paraId="467984D7"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Thymomas are uncommon, slow-growing tumors that often spread locally to the pleura. HITHOC has gained traction as an adjuvant to surgery for Stage IVA thymoma or pleural recurrences.</w:t>
      </w:r>
    </w:p>
    <w:p w14:paraId="3EEA0EF0" w14:textId="77777777" w:rsidR="00294982" w:rsidRPr="00507E86" w:rsidRDefault="00294982">
      <w:pPr>
        <w:jc w:val="both"/>
        <w:rPr>
          <w:rFonts w:ascii="Times New Roman" w:eastAsia="Times New Roman" w:hAnsi="Times New Roman" w:cs="Times New Roman"/>
          <w:b/>
          <w:bCs/>
          <w:color w:val="303030"/>
          <w:sz w:val="21"/>
          <w:szCs w:val="21"/>
        </w:rPr>
      </w:pPr>
    </w:p>
    <w:p w14:paraId="344BD711" w14:textId="77777777" w:rsidR="00294982" w:rsidRPr="00507E86" w:rsidRDefault="00BE6B9C">
      <w:pPr>
        <w:jc w:val="both"/>
        <w:rPr>
          <w:rFonts w:ascii="Times New Roman" w:eastAsia="Times New Roman" w:hAnsi="Times New Roman" w:cs="Times New Roman"/>
        </w:rPr>
      </w:pPr>
      <w:r w:rsidRPr="00507E86">
        <w:rPr>
          <w:rFonts w:ascii="Times New Roman" w:eastAsia="Times New Roman" w:hAnsi="Times New Roman" w:cs="Times New Roman"/>
        </w:rPr>
        <w:t>Table 2. Clinical Evidence for HITHOC in Thymic Malignancies</w:t>
      </w:r>
    </w:p>
    <w:tbl>
      <w:tblPr>
        <w:tblStyle w:val="a0"/>
        <w:tblW w:w="9025" w:type="dxa"/>
        <w:tblInd w:w="0" w:type="dxa"/>
        <w:tblLayout w:type="fixed"/>
        <w:tblLook w:val="0600" w:firstRow="0" w:lastRow="0" w:firstColumn="0" w:lastColumn="0" w:noHBand="1" w:noVBand="1"/>
      </w:tblPr>
      <w:tblGrid>
        <w:gridCol w:w="1223"/>
        <w:gridCol w:w="1468"/>
        <w:gridCol w:w="2468"/>
        <w:gridCol w:w="1878"/>
        <w:gridCol w:w="1988"/>
      </w:tblGrid>
      <w:tr w:rsidR="00294982" w:rsidRPr="00507E86" w14:paraId="25516708" w14:textId="77777777">
        <w:trPr>
          <w:trHeight w:val="1005"/>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8684C3"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lastRenderedPageBreak/>
              <w:t>Study</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A001A9"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Patients (n) / Disease Stage</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6C7B8D"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Surgical Procedure &amp; Chemotherapy Protocol</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CC8AD1"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Key Survival &amp; Oncological Outcomes</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F64F6B"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Morbidity &amp; Complications</w:t>
            </w:r>
          </w:p>
        </w:tc>
      </w:tr>
      <w:tr w:rsidR="00294982" w:rsidRPr="00507E86" w14:paraId="627CE6DE" w14:textId="77777777">
        <w:trPr>
          <w:trHeight w:val="1485"/>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EA695C"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Refaely et al. (2001) [44]</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D8C4E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15 (Stage IVA thymoma and thymic carcinoma)</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0629D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 or P/D; Cisplatin (100–200 mg/m², 60 min, 43°C)</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7FA36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3-year OS: 70% (90% for thymoma); 5-year OS: 55% (70% for thymoma).</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AC63C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 platinum-related toxicity described.</w:t>
            </w:r>
          </w:p>
        </w:tc>
      </w:tr>
      <w:tr w:rsidR="00294982" w:rsidRPr="00507E86" w14:paraId="7A0DDC49" w14:textId="77777777">
        <w:trPr>
          <w:trHeight w:val="1485"/>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B1AC1C"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Yu et al. (2013) [45]</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24A9B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4 (Stage IVA)</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9032A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Cytoreduction; Cisplatin (120 min)</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F390F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100% disease-free after 1.5-4 years; one death from unrelated heart failure.</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0D80A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Intraoperative sinus tachycardia (n=2); pneumonia (n=1).</w:t>
            </w:r>
          </w:p>
        </w:tc>
      </w:tr>
      <w:tr w:rsidR="00294982" w:rsidRPr="00507E86" w14:paraId="1F774106" w14:textId="77777777">
        <w:trPr>
          <w:trHeight w:val="1260"/>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C8D742"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Yellin et al. (2013) [46]</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F6A07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35 (Stage IVA &amp; recurrence)</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76FCD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Local resection, P/D, or chest wall resection; Cisplatin + Doxorubicin (60 min)</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CF13B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Stage IVA: 5-year OS 81%, 10-year OS 73%; Median OS: 184 months.</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33635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One hospital mortality.</w:t>
            </w:r>
          </w:p>
        </w:tc>
      </w:tr>
      <w:tr w:rsidR="00294982" w:rsidRPr="00507E86" w14:paraId="571C90D4" w14:textId="77777777">
        <w:trPr>
          <w:trHeight w:val="1050"/>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06480A"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Ambrogi et al. (2016) [47]</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067EB3"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13 (Pleural recurrence)</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37756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Surgical resection; Protocol not specified</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A03BE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Mean survival: 58 months; 5-year survival: 92%; DFI: 47.2 months.</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27B37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Feasible and safe.</w:t>
            </w:r>
          </w:p>
        </w:tc>
      </w:tr>
      <w:tr w:rsidR="00294982" w:rsidRPr="00507E86" w14:paraId="7DA622FA" w14:textId="77777777">
        <w:trPr>
          <w:trHeight w:val="1050"/>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ED027B"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Maury et al. (2017) [48]</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85375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19 (Pleural recurrence)</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A9252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Pleurectomy/Wedge resection; Cisplatin + Mitomycin (90 min)</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04130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5-year OS: 86%; Median DFS: 53 months.</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59D75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Acute Kidney Injury (n=2); bone marrow aplasia (n=1).</w:t>
            </w:r>
          </w:p>
        </w:tc>
      </w:tr>
      <w:tr w:rsidR="00294982" w:rsidRPr="00507E86" w14:paraId="774ED457" w14:textId="77777777">
        <w:trPr>
          <w:trHeight w:val="1290"/>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98C7E1"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Aprile et al. (2020) [49]</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38F4B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27 (Pleural recurrence)</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1081C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Partial pleurectomy &amp; resection; Cisplatin + Epirubicin (60 min)</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5031DF"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10-year OS: 77%; recurrence rate 44.5% (vs 76.9% for surgery alone).</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960BC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Pneumothorax (n=4); morbidity higher than surgery alone (33.3% vs 23%).</w:t>
            </w:r>
          </w:p>
        </w:tc>
      </w:tr>
      <w:tr w:rsidR="00294982" w:rsidRPr="00507E86" w14:paraId="2CCC3385" w14:textId="77777777">
        <w:trPr>
          <w:trHeight w:val="1770"/>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3501E5"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Ried et al. (2023) [50]</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96846F"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58 (Metastatic thymic tumours)</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6372C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P/D, EPD, EPP; Cisplatin +/- Doxorubicin (60 min)</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37686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5-year OS: 77% overall; 94% specifically for thymoma vs 41% for thymic carcinoma.</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AD1A0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Post-operative complications in 35%; one hospital mortality.</w:t>
            </w:r>
          </w:p>
        </w:tc>
      </w:tr>
      <w:tr w:rsidR="00294982" w:rsidRPr="00507E86" w14:paraId="0AA2DDB2" w14:textId="77777777">
        <w:trPr>
          <w:trHeight w:val="1290"/>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E138E7"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Wang et al. (2025) [51]</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50C99D"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45 (Pleural spread or recurrence)</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5361C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Prospective trial; Protocol not specified</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D9FB2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2-year OS: 100%; 2-year progression-free survival (PFS): 82.8%.</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8529D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Manageable complication profile.</w:t>
            </w:r>
          </w:p>
        </w:tc>
      </w:tr>
    </w:tbl>
    <w:p w14:paraId="251FBF2C" w14:textId="77777777" w:rsidR="00294982" w:rsidRPr="00507E86" w:rsidRDefault="00294982">
      <w:pPr>
        <w:jc w:val="both"/>
        <w:rPr>
          <w:rFonts w:ascii="Times New Roman" w:eastAsia="Times New Roman" w:hAnsi="Times New Roman" w:cs="Times New Roman"/>
          <w:sz w:val="24"/>
          <w:szCs w:val="24"/>
        </w:rPr>
      </w:pPr>
    </w:p>
    <w:p w14:paraId="4DF5B5BA"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lastRenderedPageBreak/>
        <w:t>Studies focused on thymoma have demonstrated remarkably stable outcomes, with 5-year survival rates ranging from 70% to 94%. The median disease-free survival (DFS) in some thymoma cohorts reached 53 months, reinforcing the approach’s clinical consistency [48]. A German multicenter study of 58 patients with metastatic thymic tumors found a 5-year OS rate of 77%, with thymoma patients faring significantly better than those with thymic carcinoma [50]. HITHOC is also effective for treating pleural relapses. Surgery plus HITHOC has been shown to result in a lower recurrence rate compared to surgery alone.</w:t>
      </w:r>
    </w:p>
    <w:p w14:paraId="664989FE" w14:textId="77777777" w:rsidR="00294982" w:rsidRPr="00507E86" w:rsidRDefault="00294982">
      <w:pPr>
        <w:jc w:val="both"/>
        <w:rPr>
          <w:rFonts w:ascii="Times New Roman" w:eastAsia="Times New Roman" w:hAnsi="Times New Roman" w:cs="Times New Roman"/>
          <w:sz w:val="24"/>
          <w:szCs w:val="24"/>
        </w:rPr>
      </w:pPr>
    </w:p>
    <w:p w14:paraId="2E3FC4EB"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Advanced Lung Cancer and Secondary Metastases</w:t>
      </w:r>
    </w:p>
    <w:p w14:paraId="5F723792"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Evidence for HITHOC outside MPM and thymoma is more limited but remains an area of active investigation. Between 15% and 24% of NSCLC cases are associated with MPE, which traditionally warrants only palliative care. However, small series suggest that combining CRS with HITHOC may improve local control and extend survival beyond that of systemic chemotherapy alone. Median survival times reported for NSCLC patients treated with HITHOC range from 15 to 33 months. Yi et al. reported a survival benefit in N2 lung adenocarcinoma patients, suggesting HITHOC might have potential systemic effects beyond local control [52].</w:t>
      </w:r>
    </w:p>
    <w:p w14:paraId="3BCAD1D4"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Secondary pleural metastases from breast, ovarian, and colorectal cancers, including pseudomyxoma peritonei (PMP), account for roughly 45% of pleural malignancies. Rare cases of PMP spreading to the thorax have been treated with HITHOC and CRS with success, showing 5-year survival rates of up to 80%. While literature remains sparse and outdated, pooled success rates for controlling MPE symptoms via intrathoracic chemotherapy reach 87.5% for ovarian and 59.1% for breast cancer [53]. In cases of peritoneal surface malignancies, where the diaphragmatic barrier is breached, combining HITHOC with HIPEC is recommended.</w:t>
      </w:r>
    </w:p>
    <w:p w14:paraId="6EE07A2B" w14:textId="77777777" w:rsidR="00294982" w:rsidRPr="00507E86" w:rsidRDefault="00294982">
      <w:pPr>
        <w:jc w:val="both"/>
        <w:rPr>
          <w:rFonts w:ascii="Times New Roman" w:eastAsia="Times New Roman" w:hAnsi="Times New Roman" w:cs="Times New Roman"/>
          <w:sz w:val="24"/>
          <w:szCs w:val="24"/>
        </w:rPr>
      </w:pPr>
    </w:p>
    <w:p w14:paraId="34BBC0C1" w14:textId="77777777" w:rsidR="00294982" w:rsidRPr="00507E86" w:rsidRDefault="00BE6B9C">
      <w:pPr>
        <w:jc w:val="both"/>
        <w:rPr>
          <w:rFonts w:ascii="Times New Roman" w:eastAsia="Times New Roman" w:hAnsi="Times New Roman" w:cs="Times New Roman"/>
        </w:rPr>
      </w:pPr>
      <w:r w:rsidRPr="00507E86">
        <w:rPr>
          <w:rFonts w:ascii="Times New Roman" w:eastAsia="Times New Roman" w:hAnsi="Times New Roman" w:cs="Times New Roman"/>
        </w:rPr>
        <w:t>Table 3. Clinical Evidence for HITHOC in Advanced Lung Cancer (NSCLC)</w:t>
      </w:r>
    </w:p>
    <w:tbl>
      <w:tblPr>
        <w:tblStyle w:val="a1"/>
        <w:tblW w:w="9025" w:type="dxa"/>
        <w:tblInd w:w="0" w:type="dxa"/>
        <w:tblLayout w:type="fixed"/>
        <w:tblLook w:val="0600" w:firstRow="0" w:lastRow="0" w:firstColumn="0" w:lastColumn="0" w:noHBand="1" w:noVBand="1"/>
      </w:tblPr>
      <w:tblGrid>
        <w:gridCol w:w="1633"/>
        <w:gridCol w:w="1071"/>
        <w:gridCol w:w="1961"/>
        <w:gridCol w:w="2084"/>
        <w:gridCol w:w="2276"/>
      </w:tblGrid>
      <w:tr w:rsidR="00294982" w:rsidRPr="00507E86" w14:paraId="0AA3C13A" w14:textId="77777777">
        <w:trPr>
          <w:trHeight w:val="780"/>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DE6CC7"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 xml:space="preserve">Study </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FFDEC3"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Patients (n)</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11E231"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Protocol / Chemotherapy</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1F354F"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Survival Outcomes</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4D0ACA"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Complications / Notes</w:t>
            </w:r>
          </w:p>
        </w:tc>
      </w:tr>
      <w:tr w:rsidR="00294982" w:rsidRPr="00507E86" w14:paraId="116C36D1" w14:textId="77777777">
        <w:trPr>
          <w:trHeight w:val="720"/>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387961"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Shigemura et al. (2003) [54]</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9557A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4F89B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(120 min)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62FD3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Mean OS: 19 months.</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99B2C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Arrhythmia; pulmonary embolism; 1 death.</w:t>
            </w:r>
          </w:p>
        </w:tc>
      </w:tr>
      <w:tr w:rsidR="00294982" w:rsidRPr="00507E86" w14:paraId="4877A135" w14:textId="77777777">
        <w:trPr>
          <w:trHeight w:val="720"/>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7F9E14"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Matsuzaki et al. (2004) [55]</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E0614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11</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00859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11861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20 months.</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51D57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 mortality reported.</w:t>
            </w:r>
          </w:p>
        </w:tc>
      </w:tr>
      <w:tr w:rsidR="00294982" w:rsidRPr="00507E86" w14:paraId="75DE252F" w14:textId="77777777">
        <w:trPr>
          <w:trHeight w:val="720"/>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7039B5"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Kimura et al. (2010) [56]</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62AB3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4F74B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(30 min)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3D3D2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41 months.</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5F4B7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 hospital mortality.</w:t>
            </w:r>
          </w:p>
        </w:tc>
      </w:tr>
      <w:tr w:rsidR="00294982" w:rsidRPr="00507E86" w14:paraId="61B16145" w14:textId="77777777">
        <w:trPr>
          <w:trHeight w:val="960"/>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4574EE"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Işik et al. (2013) [57]</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A3CE3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19</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2AE23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(60 min)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34D703"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15.4 months; 1-yr survival: 54.7%.</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2933B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Increased creatinine; chylothorax.</w:t>
            </w:r>
          </w:p>
        </w:tc>
      </w:tr>
      <w:tr w:rsidR="00294982" w:rsidRPr="00507E86" w14:paraId="574D109E" w14:textId="77777777">
        <w:trPr>
          <w:trHeight w:val="720"/>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ED8EF2"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lastRenderedPageBreak/>
              <w:t>Yi et al. (2016) [52]</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91D5E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23</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C889E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(90 min)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5EAA8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1-yr OS: 91.3%; 3-yr OS: 38.6%.</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BFAC9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AF; respiratory failure; persistent air leak.</w:t>
            </w:r>
          </w:p>
        </w:tc>
      </w:tr>
      <w:tr w:rsidR="00294982" w:rsidRPr="00507E86" w14:paraId="174D7513" w14:textId="77777777">
        <w:trPr>
          <w:trHeight w:val="915"/>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836F97"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Hu et al. (2017) [58]</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5CC6CD"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54</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43833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0E69B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21.7 months; 1-yr OS: 74.1%.</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F97D6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Lung oedema; cardiac malfunction.</w:t>
            </w:r>
          </w:p>
        </w:tc>
      </w:tr>
      <w:tr w:rsidR="00294982" w:rsidRPr="00507E86" w14:paraId="4A95E543" w14:textId="77777777">
        <w:trPr>
          <w:trHeight w:val="735"/>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910F7B"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Kleontas et al. (2019) [59]</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0B904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20</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AB3FF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Carboplatin (45 min)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C20C2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8 months.</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59D03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 significant difference with talc pleurodesis group.</w:t>
            </w:r>
          </w:p>
        </w:tc>
      </w:tr>
      <w:tr w:rsidR="00294982" w:rsidRPr="00507E86" w14:paraId="34881A74" w14:textId="77777777">
        <w:trPr>
          <w:trHeight w:val="885"/>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890AEA"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Li et al. (2023) [60]</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74A01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23</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2EF14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Ultrasound-guided (No surgery)</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EAA63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95.7% response rate at 1 month; 69.6% response rate at 3 months.</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F7E7E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Response rate at 3 months was significantly better than pleural catheter drainage only group.</w:t>
            </w:r>
          </w:p>
        </w:tc>
      </w:tr>
    </w:tbl>
    <w:p w14:paraId="646B9AF2" w14:textId="77777777" w:rsidR="00294982" w:rsidRPr="00507E86" w:rsidRDefault="00294982">
      <w:pPr>
        <w:jc w:val="both"/>
        <w:rPr>
          <w:rFonts w:ascii="Times New Roman" w:eastAsia="Times New Roman" w:hAnsi="Times New Roman" w:cs="Times New Roman"/>
          <w:sz w:val="24"/>
          <w:szCs w:val="24"/>
        </w:rPr>
      </w:pPr>
    </w:p>
    <w:p w14:paraId="0F2428B5" w14:textId="77777777" w:rsidR="00294982" w:rsidRPr="00507E86" w:rsidRDefault="00BE6B9C">
      <w:pPr>
        <w:jc w:val="both"/>
        <w:rPr>
          <w:rFonts w:ascii="Times New Roman" w:eastAsia="Times New Roman" w:hAnsi="Times New Roman" w:cs="Times New Roman"/>
          <w:color w:val="303030"/>
        </w:rPr>
      </w:pPr>
      <w:r w:rsidRPr="00507E86">
        <w:rPr>
          <w:rFonts w:ascii="Times New Roman" w:eastAsia="Times New Roman" w:hAnsi="Times New Roman" w:cs="Times New Roman"/>
          <w:color w:val="303030"/>
        </w:rPr>
        <w:t>Table 4. Clinical Evidence for HITHOC in Secondary Metastases (Extrathoracic Primaries)</w:t>
      </w:r>
    </w:p>
    <w:tbl>
      <w:tblPr>
        <w:tblStyle w:val="a2"/>
        <w:tblW w:w="9030" w:type="dxa"/>
        <w:tblInd w:w="0" w:type="dxa"/>
        <w:tblLayout w:type="fixed"/>
        <w:tblLook w:val="0600" w:firstRow="0" w:lastRow="0" w:firstColumn="0" w:lastColumn="0" w:noHBand="1" w:noVBand="1"/>
      </w:tblPr>
      <w:tblGrid>
        <w:gridCol w:w="2025"/>
        <w:gridCol w:w="1815"/>
        <w:gridCol w:w="2565"/>
        <w:gridCol w:w="2625"/>
      </w:tblGrid>
      <w:tr w:rsidR="00294982" w:rsidRPr="00507E86" w14:paraId="1D10224F" w14:textId="77777777">
        <w:trPr>
          <w:trHeight w:val="555"/>
        </w:trPr>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3A65B7"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Primary Cancer Site</w:t>
            </w:r>
          </w:p>
        </w:tc>
        <w:tc>
          <w:tcPr>
            <w:tcW w:w="18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5D2600"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Study</w:t>
            </w:r>
          </w:p>
        </w:tc>
        <w:tc>
          <w:tcPr>
            <w:tcW w:w="25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87A60B"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Protocol / Agent</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F9B7E2"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Reported Outcomes</w:t>
            </w:r>
          </w:p>
        </w:tc>
      </w:tr>
      <w:tr w:rsidR="00294982" w:rsidRPr="00507E86" w14:paraId="32E414F7" w14:textId="77777777">
        <w:trPr>
          <w:trHeight w:val="825"/>
        </w:trPr>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00F5F0"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Mixed (Extrathoracic)</w:t>
            </w:r>
          </w:p>
        </w:tc>
        <w:tc>
          <w:tcPr>
            <w:tcW w:w="18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E7A55F"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Hassan et al. (2023) [61]</w:t>
            </w:r>
          </w:p>
        </w:tc>
        <w:tc>
          <w:tcPr>
            <w:tcW w:w="25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BFF54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 Doxorubicin (60 min)</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32188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39 months; 5-yr survival: 41%.</w:t>
            </w:r>
          </w:p>
        </w:tc>
      </w:tr>
      <w:tr w:rsidR="00294982" w:rsidRPr="00507E86" w14:paraId="66E0701E" w14:textId="77777777">
        <w:trPr>
          <w:trHeight w:val="795"/>
        </w:trPr>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050F5C"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Peritoneal Surface</w:t>
            </w:r>
          </w:p>
        </w:tc>
        <w:tc>
          <w:tcPr>
            <w:tcW w:w="18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2B2F24"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Nikiforchin et al. (2021) [62]</w:t>
            </w:r>
          </w:p>
        </w:tc>
        <w:tc>
          <w:tcPr>
            <w:tcW w:w="25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BC2F2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Mitomycin-C, Carboplatin, or Melphalan (90 min)</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69B20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5-year OS: 67.9%.</w:t>
            </w:r>
          </w:p>
        </w:tc>
      </w:tr>
      <w:tr w:rsidR="00294982" w:rsidRPr="00507E86" w14:paraId="4C61D5BC" w14:textId="77777777">
        <w:trPr>
          <w:trHeight w:val="750"/>
        </w:trPr>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3A0F2E"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Pseudomyxoma Peritonei</w:t>
            </w:r>
          </w:p>
        </w:tc>
        <w:tc>
          <w:tcPr>
            <w:tcW w:w="18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654137"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Doyle et al. (2016) [63]</w:t>
            </w:r>
          </w:p>
        </w:tc>
        <w:tc>
          <w:tcPr>
            <w:tcW w:w="25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8384DF"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Mitomycin (90 min)</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8D00B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85 months; 5-yr OS: 80%.</w:t>
            </w:r>
          </w:p>
        </w:tc>
      </w:tr>
      <w:tr w:rsidR="00294982" w:rsidRPr="00507E86" w14:paraId="637B394D" w14:textId="77777777">
        <w:trPr>
          <w:trHeight w:val="780"/>
        </w:trPr>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515D65"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Breast Cancer</w:t>
            </w:r>
          </w:p>
        </w:tc>
        <w:tc>
          <w:tcPr>
            <w:tcW w:w="18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78CC33"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Karampinis et al. (2022) [53]</w:t>
            </w:r>
          </w:p>
        </w:tc>
        <w:tc>
          <w:tcPr>
            <w:tcW w:w="25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3E989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Systematic review (169 pts)</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6FDCED"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59.1% success rate for controlling MPE symptoms.</w:t>
            </w:r>
          </w:p>
        </w:tc>
      </w:tr>
      <w:tr w:rsidR="00294982" w:rsidRPr="00507E86" w14:paraId="693DA309" w14:textId="77777777">
        <w:trPr>
          <w:trHeight w:val="720"/>
        </w:trPr>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522A93"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Ovarian Cancer</w:t>
            </w:r>
          </w:p>
        </w:tc>
        <w:tc>
          <w:tcPr>
            <w:tcW w:w="18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37F696"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Karampinis et al. (2022) [53]</w:t>
            </w:r>
          </w:p>
        </w:tc>
        <w:tc>
          <w:tcPr>
            <w:tcW w:w="25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FBA04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Systematic review (8 pts)</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4077B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87.5% success rate for controlling MPE symptoms.</w:t>
            </w:r>
          </w:p>
        </w:tc>
      </w:tr>
    </w:tbl>
    <w:p w14:paraId="7CA47E43" w14:textId="77777777" w:rsidR="00294982" w:rsidRPr="00507E86" w:rsidRDefault="00294982">
      <w:pPr>
        <w:jc w:val="both"/>
        <w:rPr>
          <w:rFonts w:ascii="Times New Roman" w:eastAsia="Times New Roman" w:hAnsi="Times New Roman" w:cs="Times New Roman"/>
          <w:sz w:val="24"/>
          <w:szCs w:val="24"/>
        </w:rPr>
      </w:pPr>
    </w:p>
    <w:p w14:paraId="4D8CC30E"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Safety, Complications, and Perioperative Management</w:t>
      </w:r>
    </w:p>
    <w:p w14:paraId="2C23CD86"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While HITHOC introduces manageable morbidity, it requires a dedicated perfusion system and specialized multidisciplinary teams. AKI is the most frequently reported non-surgical adverse effect, particularly with cisplatin doses exceeding 175 mg/m². However, the incidence of severe renal failure has declined significantly with the implementation of renoprotective measures, including aggressive preoperative hydration and the administration of cytoprotective agents like amifostine and sodium thiosulfate [15,16].</w:t>
      </w:r>
    </w:p>
    <w:p w14:paraId="7490548F"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lastRenderedPageBreak/>
        <w:t>Common surgical complications include prolonged air leak (up to 85% in some thymoma series), bleeding, and empyema. Immediate intraoperative complications can include hemodynamic instability, such as sudden increases in central venous pressure and cardiac warming, which may rarely evolve into cardiac asystole during the perfusion phase [18,19]. This necessitates careful anesthetic monitoring and sometimes the use of vasopressors.</w:t>
      </w:r>
    </w:p>
    <w:p w14:paraId="6008EBB5"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Despite the increased technical complexity, patients receiving HITHOC often demonstrate lower 30-day and 90-day mortality compared to those undergoing surgery alone, indicating that the technique does not compromise, and may potentially improve, perioperative safety when performed in specialized centers [14,30].</w:t>
      </w:r>
    </w:p>
    <w:p w14:paraId="51475F09" w14:textId="77777777" w:rsidR="00294982" w:rsidRPr="00507E86" w:rsidRDefault="00294982">
      <w:pPr>
        <w:jc w:val="both"/>
        <w:rPr>
          <w:rFonts w:ascii="Times New Roman" w:eastAsia="Times New Roman" w:hAnsi="Times New Roman" w:cs="Times New Roman"/>
          <w:sz w:val="24"/>
          <w:szCs w:val="24"/>
        </w:rPr>
      </w:pPr>
    </w:p>
    <w:p w14:paraId="3A15C5C5"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Methodological Challenges and Protocol Heterogeneity</w:t>
      </w:r>
    </w:p>
    <w:p w14:paraId="7050E6D0"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The primary barrier to the widespread adoption of HITHOC is the lack of standardized protocols. There is marked variation across centers regarding the regimen, dosage and perfusion parameters [16-19].</w:t>
      </w:r>
    </w:p>
    <w:p w14:paraId="6AB3A801" w14:textId="77777777" w:rsidR="00294982" w:rsidRPr="00507E86" w:rsidRDefault="00294982">
      <w:pPr>
        <w:jc w:val="both"/>
        <w:rPr>
          <w:rFonts w:ascii="Times New Roman" w:eastAsia="Times New Roman" w:hAnsi="Times New Roman" w:cs="Times New Roman"/>
          <w:sz w:val="24"/>
          <w:szCs w:val="24"/>
        </w:rPr>
      </w:pPr>
    </w:p>
    <w:p w14:paraId="094124AE" w14:textId="77777777" w:rsidR="00294982" w:rsidRPr="00507E86" w:rsidRDefault="00BE6B9C">
      <w:pPr>
        <w:jc w:val="both"/>
        <w:rPr>
          <w:rFonts w:ascii="Times New Roman" w:eastAsia="Times New Roman" w:hAnsi="Times New Roman" w:cs="Times New Roman"/>
        </w:rPr>
      </w:pPr>
      <w:r w:rsidRPr="00507E86">
        <w:rPr>
          <w:rFonts w:ascii="Times New Roman" w:eastAsia="Times New Roman" w:hAnsi="Times New Roman" w:cs="Times New Roman"/>
        </w:rPr>
        <w:t>Table 5. Protocol Heterogeneity in HITHOC</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94982" w:rsidRPr="00507E86" w14:paraId="6AFE11AA" w14:textId="77777777">
        <w:trPr>
          <w:trHeight w:val="735"/>
        </w:trPr>
        <w:tc>
          <w:tcPr>
            <w:tcW w:w="4514" w:type="dxa"/>
            <w:tcMar>
              <w:top w:w="100" w:type="dxa"/>
              <w:left w:w="100" w:type="dxa"/>
              <w:bottom w:w="100" w:type="dxa"/>
              <w:right w:w="100" w:type="dxa"/>
            </w:tcMar>
          </w:tcPr>
          <w:p w14:paraId="2328D36C" w14:textId="77777777" w:rsidR="00294982" w:rsidRPr="00507E86" w:rsidRDefault="00BE6B9C">
            <w:pPr>
              <w:shd w:val="clear" w:color="auto" w:fill="FFFFFF"/>
              <w:jc w:val="both"/>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Drug Regimen</w:t>
            </w:r>
          </w:p>
        </w:tc>
        <w:tc>
          <w:tcPr>
            <w:tcW w:w="4514" w:type="dxa"/>
            <w:tcMar>
              <w:top w:w="100" w:type="dxa"/>
              <w:left w:w="100" w:type="dxa"/>
              <w:bottom w:w="100" w:type="dxa"/>
              <w:right w:w="100" w:type="dxa"/>
            </w:tcMar>
          </w:tcPr>
          <w:p w14:paraId="70439027" w14:textId="77777777" w:rsidR="00294982" w:rsidRPr="00507E86" w:rsidRDefault="00BE6B9C">
            <w:pPr>
              <w:shd w:val="clear" w:color="auto" w:fill="FFFFFF"/>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alone versus combinations with Doxorubicin, Gemcitabine, or Mitomycin C</w:t>
            </w:r>
          </w:p>
        </w:tc>
      </w:tr>
      <w:tr w:rsidR="00294982" w:rsidRPr="00507E86" w14:paraId="4FAB2FE3" w14:textId="77777777">
        <w:trPr>
          <w:trHeight w:val="675"/>
        </w:trPr>
        <w:tc>
          <w:tcPr>
            <w:tcW w:w="4514" w:type="dxa"/>
            <w:tcMar>
              <w:top w:w="100" w:type="dxa"/>
              <w:left w:w="100" w:type="dxa"/>
              <w:bottom w:w="100" w:type="dxa"/>
              <w:right w:w="100" w:type="dxa"/>
            </w:tcMar>
          </w:tcPr>
          <w:p w14:paraId="2FF89D5F" w14:textId="77777777" w:rsidR="00294982" w:rsidRPr="00507E86" w:rsidRDefault="00BE6B9C">
            <w:pPr>
              <w:shd w:val="clear" w:color="auto" w:fill="FFFFFF"/>
              <w:jc w:val="both"/>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Dosage</w:t>
            </w:r>
          </w:p>
        </w:tc>
        <w:tc>
          <w:tcPr>
            <w:tcW w:w="4514" w:type="dxa"/>
            <w:tcMar>
              <w:top w:w="100" w:type="dxa"/>
              <w:left w:w="100" w:type="dxa"/>
              <w:bottom w:w="100" w:type="dxa"/>
              <w:right w:w="100" w:type="dxa"/>
            </w:tcMar>
          </w:tcPr>
          <w:p w14:paraId="6FBA0DAA" w14:textId="77777777" w:rsidR="00294982" w:rsidRPr="00507E86" w:rsidRDefault="00BE6B9C">
            <w:pPr>
              <w:shd w:val="clear" w:color="auto" w:fill="FFFFFF"/>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Ranging from 50-225 mg/m²</w:t>
            </w:r>
          </w:p>
        </w:tc>
      </w:tr>
      <w:tr w:rsidR="00294982" w:rsidRPr="00507E86" w14:paraId="026B6607" w14:textId="77777777">
        <w:tc>
          <w:tcPr>
            <w:tcW w:w="4514" w:type="dxa"/>
            <w:tcMar>
              <w:top w:w="100" w:type="dxa"/>
              <w:left w:w="100" w:type="dxa"/>
              <w:bottom w:w="100" w:type="dxa"/>
              <w:right w:w="100" w:type="dxa"/>
            </w:tcMar>
          </w:tcPr>
          <w:p w14:paraId="7558FE7D" w14:textId="77777777" w:rsidR="00294982" w:rsidRPr="00507E86" w:rsidRDefault="00BE6B9C">
            <w:pPr>
              <w:shd w:val="clear" w:color="auto" w:fill="FFFFFF"/>
              <w:jc w:val="both"/>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Perfusion Parameters</w:t>
            </w:r>
          </w:p>
        </w:tc>
        <w:tc>
          <w:tcPr>
            <w:tcW w:w="4514" w:type="dxa"/>
            <w:tcMar>
              <w:top w:w="100" w:type="dxa"/>
              <w:left w:w="100" w:type="dxa"/>
              <w:bottom w:w="100" w:type="dxa"/>
              <w:right w:w="100" w:type="dxa"/>
            </w:tcMar>
          </w:tcPr>
          <w:p w14:paraId="7227F83E" w14:textId="77777777" w:rsidR="00294982" w:rsidRPr="00507E86" w:rsidRDefault="00BE6B9C">
            <w:pPr>
              <w:shd w:val="clear" w:color="auto" w:fill="FFFFFF"/>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Durations between 60-120 minutes and target temperatures between 38-45°C</w:t>
            </w:r>
          </w:p>
        </w:tc>
      </w:tr>
    </w:tbl>
    <w:p w14:paraId="6D35C5A0" w14:textId="77777777" w:rsidR="00294982" w:rsidRPr="00507E86" w:rsidRDefault="00294982">
      <w:pPr>
        <w:shd w:val="clear" w:color="auto" w:fill="FFFFFF"/>
        <w:jc w:val="both"/>
        <w:rPr>
          <w:rFonts w:ascii="Times New Roman" w:eastAsia="Times New Roman" w:hAnsi="Times New Roman" w:cs="Times New Roman"/>
          <w:sz w:val="24"/>
          <w:szCs w:val="24"/>
        </w:rPr>
      </w:pPr>
    </w:p>
    <w:p w14:paraId="42EB75FA"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This variability weakens the conclusions of meta-analyses and prevents the formation of specific procedural recommendations by international bodies like </w:t>
      </w:r>
      <w:r w:rsidRPr="00507E86">
        <w:rPr>
          <w:rFonts w:ascii="Times New Roman" w:eastAsia="Times New Roman" w:hAnsi="Times New Roman" w:cs="Times New Roman"/>
          <w:color w:val="1F1F1F"/>
          <w:sz w:val="24"/>
          <w:szCs w:val="24"/>
        </w:rPr>
        <w:t>European Association for Cardio-Thoracic Surgery</w:t>
      </w:r>
      <w:r w:rsidRPr="00507E86">
        <w:rPr>
          <w:rFonts w:ascii="Times New Roman" w:eastAsia="Times New Roman" w:hAnsi="Times New Roman" w:cs="Times New Roman"/>
          <w:sz w:val="24"/>
          <w:szCs w:val="24"/>
        </w:rPr>
        <w:t xml:space="preserve"> (EACTS) or </w:t>
      </w:r>
      <w:r w:rsidRPr="00507E86">
        <w:rPr>
          <w:rFonts w:ascii="Times New Roman" w:eastAsia="Times New Roman" w:hAnsi="Times New Roman" w:cs="Times New Roman"/>
          <w:color w:val="1F1F1F"/>
          <w:sz w:val="24"/>
          <w:szCs w:val="24"/>
        </w:rPr>
        <w:t>European Society of Thoracic Surgeons (</w:t>
      </w:r>
      <w:r w:rsidRPr="00507E86">
        <w:rPr>
          <w:rFonts w:ascii="Times New Roman" w:eastAsia="Times New Roman" w:hAnsi="Times New Roman" w:cs="Times New Roman"/>
          <w:sz w:val="24"/>
          <w:szCs w:val="24"/>
        </w:rPr>
        <w:t>ESTS). Efforts toward standardization, such as the German multicenter consensus, which proposes a target temperature of 42°C and 60-minute perfusion, represent vital progress [64].</w:t>
      </w:r>
    </w:p>
    <w:p w14:paraId="5E19C31F" w14:textId="77777777" w:rsidR="00294982" w:rsidRPr="00507E86" w:rsidRDefault="00294982">
      <w:pPr>
        <w:jc w:val="both"/>
        <w:rPr>
          <w:rFonts w:ascii="Times New Roman" w:eastAsia="Times New Roman" w:hAnsi="Times New Roman" w:cs="Times New Roman"/>
          <w:sz w:val="24"/>
          <w:szCs w:val="24"/>
        </w:rPr>
      </w:pPr>
    </w:p>
    <w:p w14:paraId="1D5F6B28"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Future Directions in Pleural Management</w:t>
      </w:r>
    </w:p>
    <w:p w14:paraId="709EB0C6"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The future of HITHOC lies in technological advancement and integration with systemic therapies. Transitioning from traditional thoracotomy to video-assisted thoracoscopic surgery (VATS) or robotic platforms for cytoreduction may reduce complication rates and improve perioperative recovery. Robotic-assisted surgery offers improved cavity visualization and precision during decortication, supporting standardized treatment workflows [65].</w:t>
      </w:r>
    </w:p>
    <w:p w14:paraId="12F09491"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The integration of HITHOC with targeted therapies (e.g., anti-VEGF, anti-EGFR) and immunotherapy is a promising new frontier. Pre-clinical studies in murine models suggest that HITHOC modulates the immune microenvironment and can synergize with dual immune checkpoint blockade (anti-PD-1 and anti-CTLA-4) to significantly improve survival [66,67].</w:t>
      </w:r>
    </w:p>
    <w:p w14:paraId="3280433C"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The proposed development of a “Pleural Cancer Burden Index”, analogous to the “Peritoneal Cancer Index”, could enhance prognostic stratification and allow for better comparability </w:t>
      </w:r>
      <w:r w:rsidRPr="00507E86">
        <w:rPr>
          <w:rFonts w:ascii="Times New Roman" w:eastAsia="Times New Roman" w:hAnsi="Times New Roman" w:cs="Times New Roman"/>
          <w:sz w:val="24"/>
          <w:szCs w:val="24"/>
        </w:rPr>
        <w:lastRenderedPageBreak/>
        <w:t>across clinical studies. Furthermore, nanotechnology may offer high-definition delivery of antitumor agents, exploiting magnetic-nanoparticle-mediated intracellular hyperthermia to kill tumor cells with minimal collateral damage [68].</w:t>
      </w:r>
    </w:p>
    <w:p w14:paraId="7DA0365A" w14:textId="77777777" w:rsidR="00294982" w:rsidRPr="00507E86" w:rsidRDefault="00294982">
      <w:pPr>
        <w:jc w:val="both"/>
        <w:rPr>
          <w:rFonts w:ascii="Times New Roman" w:eastAsia="Times New Roman" w:hAnsi="Times New Roman" w:cs="Times New Roman"/>
          <w:sz w:val="24"/>
          <w:szCs w:val="24"/>
        </w:rPr>
      </w:pPr>
    </w:p>
    <w:p w14:paraId="06520792"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Conclusion</w:t>
      </w:r>
    </w:p>
    <w:p w14:paraId="13F91CAC"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HITHOC currently occupies an intermediate position between a promising locoregional therapy and a formal guideline-mandated standard of care. The literature consistently demonstrates that the technique is feasible and safe, with a clear signal of benefit in overall survival and locoregional control for MPM and Stage IVA thymoma. However, systematic consolidation will depend on methodological rigor and the success of prospective multicenter studies. By harmonizing existing evidence and integrating emerging minimally invasive and immunotherapeutic strategies, HITHOC has the potential to become a cornerstone of multimodal treatment for the entire spectrum of pleural malignancies.</w:t>
      </w:r>
    </w:p>
    <w:p w14:paraId="56CDA18A" w14:textId="77777777" w:rsidR="00294982" w:rsidRPr="00507E86" w:rsidRDefault="00294982">
      <w:pPr>
        <w:jc w:val="both"/>
        <w:rPr>
          <w:rFonts w:ascii="Times New Roman" w:eastAsia="Times New Roman" w:hAnsi="Times New Roman" w:cs="Times New Roman"/>
          <w:sz w:val="24"/>
          <w:szCs w:val="24"/>
        </w:rPr>
      </w:pPr>
    </w:p>
    <w:p w14:paraId="29BB07AC" w14:textId="77777777" w:rsidR="00294982" w:rsidRPr="00507E86" w:rsidRDefault="00BE6B9C">
      <w:pPr>
        <w:rPr>
          <w:color w:val="222222"/>
        </w:rPr>
      </w:pPr>
      <w:r w:rsidRPr="00507E86">
        <w:rPr>
          <w:rFonts w:ascii="Times New Roman" w:eastAsia="Times New Roman" w:hAnsi="Times New Roman" w:cs="Times New Roman"/>
          <w:b/>
          <w:bCs/>
          <w:sz w:val="24"/>
          <w:szCs w:val="24"/>
        </w:rPr>
        <w:t>Declaration</w:t>
      </w:r>
    </w:p>
    <w:p w14:paraId="0722117A" w14:textId="77777777" w:rsidR="00294982" w:rsidRPr="00507E86" w:rsidRDefault="00BE6B9C">
      <w:pPr>
        <w:widowControl w:val="0"/>
        <w:spacing w:before="200" w:line="360" w:lineRule="auto"/>
        <w:jc w:val="both"/>
        <w:rPr>
          <w:rFonts w:ascii="Times New Roman" w:eastAsia="Times New Roman" w:hAnsi="Times New Roman" w:cs="Times New Roman"/>
          <w:sz w:val="24"/>
          <w:szCs w:val="24"/>
          <w:shd w:val="clear" w:color="auto" w:fill="FCFCFC"/>
        </w:rPr>
      </w:pPr>
      <w:r w:rsidRPr="00507E86">
        <w:rPr>
          <w:rFonts w:ascii="Times New Roman" w:eastAsia="Times New Roman" w:hAnsi="Times New Roman" w:cs="Times New Roman"/>
          <w:b/>
          <w:bCs/>
          <w:sz w:val="24"/>
          <w:szCs w:val="24"/>
          <w:shd w:val="clear" w:color="auto" w:fill="FCFCFC"/>
        </w:rPr>
        <w:t xml:space="preserve">Conflicts of interest: </w:t>
      </w:r>
      <w:r w:rsidRPr="00507E86">
        <w:rPr>
          <w:rFonts w:ascii="Times New Roman" w:eastAsia="Times New Roman" w:hAnsi="Times New Roman" w:cs="Times New Roman"/>
          <w:sz w:val="24"/>
          <w:szCs w:val="24"/>
          <w:shd w:val="clear" w:color="auto" w:fill="FCFCFC"/>
        </w:rPr>
        <w:t>There is no conflict of interest associated with this study.</w:t>
      </w:r>
    </w:p>
    <w:p w14:paraId="41052D71" w14:textId="77777777" w:rsidR="00294982" w:rsidRPr="00507E86" w:rsidRDefault="00BE6B9C">
      <w:pPr>
        <w:widowControl w:val="0"/>
        <w:spacing w:line="360" w:lineRule="auto"/>
        <w:jc w:val="both"/>
        <w:rPr>
          <w:rFonts w:ascii="Times New Roman" w:eastAsia="Times New Roman" w:hAnsi="Times New Roman" w:cs="Times New Roman"/>
          <w:sz w:val="24"/>
          <w:szCs w:val="24"/>
          <w:shd w:val="clear" w:color="auto" w:fill="FCFCFC"/>
        </w:rPr>
      </w:pPr>
      <w:r w:rsidRPr="00507E86">
        <w:rPr>
          <w:rFonts w:ascii="Times New Roman" w:eastAsia="Times New Roman" w:hAnsi="Times New Roman" w:cs="Times New Roman"/>
          <w:b/>
          <w:bCs/>
          <w:sz w:val="24"/>
          <w:szCs w:val="24"/>
          <w:shd w:val="clear" w:color="auto" w:fill="FCFCFC"/>
        </w:rPr>
        <w:t>Consent for publication:</w:t>
      </w:r>
      <w:r w:rsidRPr="00507E86">
        <w:rPr>
          <w:rFonts w:ascii="Times New Roman" w:eastAsia="Times New Roman" w:hAnsi="Times New Roman" w:cs="Times New Roman"/>
          <w:sz w:val="24"/>
          <w:szCs w:val="24"/>
          <w:shd w:val="clear" w:color="auto" w:fill="FCFCFC"/>
        </w:rPr>
        <w:t> There is consent for the publication of this paper.</w:t>
      </w:r>
    </w:p>
    <w:p w14:paraId="5341D644" w14:textId="77777777" w:rsidR="00294982" w:rsidRPr="00507E86" w:rsidRDefault="00BE6B9C">
      <w:pPr>
        <w:spacing w:after="160" w:line="259" w:lineRule="auto"/>
        <w:jc w:val="both"/>
        <w:rPr>
          <w:rFonts w:ascii="Times New Roman" w:eastAsia="Times New Roman" w:hAnsi="Times New Roman" w:cs="Times New Roman"/>
          <w:sz w:val="24"/>
          <w:szCs w:val="24"/>
        </w:rPr>
      </w:pPr>
      <w:bookmarkStart w:id="0" w:name="_nn9h7az1hmdg" w:colFirst="0" w:colLast="0"/>
      <w:bookmarkEnd w:id="0"/>
      <w:r w:rsidRPr="00507E86">
        <w:rPr>
          <w:rFonts w:ascii="Times New Roman" w:eastAsia="Times New Roman" w:hAnsi="Times New Roman" w:cs="Times New Roman"/>
          <w:b/>
          <w:bCs/>
          <w:sz w:val="24"/>
          <w:szCs w:val="24"/>
        </w:rPr>
        <w:t>Ethical approval:</w:t>
      </w:r>
      <w:r w:rsidRPr="00507E86">
        <w:rPr>
          <w:rFonts w:ascii="Times New Roman" w:eastAsia="Times New Roman" w:hAnsi="Times New Roman" w:cs="Times New Roman"/>
          <w:sz w:val="24"/>
          <w:szCs w:val="24"/>
        </w:rPr>
        <w:t xml:space="preserve"> Not required.</w:t>
      </w:r>
    </w:p>
    <w:p w14:paraId="1FC5D43C" w14:textId="592DC92C" w:rsidR="00294982" w:rsidRPr="00507E86" w:rsidRDefault="00BE6B9C">
      <w:pPr>
        <w:spacing w:line="259" w:lineRule="auto"/>
        <w:jc w:val="both"/>
        <w:rPr>
          <w:rFonts w:ascii="Times New Roman" w:eastAsia="Times New Roman" w:hAnsi="Times New Roman" w:cs="Times New Roman"/>
          <w:sz w:val="24"/>
          <w:szCs w:val="24"/>
        </w:rPr>
      </w:pPr>
      <w:bookmarkStart w:id="1" w:name="_4vm6xr96qwdf" w:colFirst="0" w:colLast="0"/>
      <w:bookmarkEnd w:id="1"/>
      <w:r w:rsidRPr="00507E86">
        <w:rPr>
          <w:rFonts w:ascii="Times New Roman" w:eastAsia="Times New Roman" w:hAnsi="Times New Roman" w:cs="Times New Roman"/>
          <w:b/>
          <w:bCs/>
          <w:sz w:val="24"/>
          <w:szCs w:val="24"/>
        </w:rPr>
        <w:t>Artificial Intelligence:</w:t>
      </w:r>
      <w:r w:rsidRPr="00507E86">
        <w:rPr>
          <w:rFonts w:ascii="Times New Roman" w:eastAsia="Times New Roman" w:hAnsi="Times New Roman" w:cs="Times New Roman"/>
          <w:sz w:val="24"/>
          <w:szCs w:val="24"/>
        </w:rPr>
        <w:t xml:space="preserve"> During the preparation of this work, the authors used </w:t>
      </w:r>
      <w:r w:rsidRPr="00507E86">
        <w:rPr>
          <w:rFonts w:ascii="Times New Roman" w:eastAsia="Times New Roman" w:hAnsi="Times New Roman" w:cs="Times New Roman"/>
          <w:i/>
          <w:iCs/>
          <w:sz w:val="24"/>
          <w:szCs w:val="24"/>
        </w:rPr>
        <w:t>Google NotebookLM</w:t>
      </w:r>
      <w:r w:rsidRPr="00507E86">
        <w:rPr>
          <w:rFonts w:ascii="Times New Roman" w:eastAsia="Times New Roman" w:hAnsi="Times New Roman" w:cs="Times New Roman"/>
          <w:sz w:val="24"/>
          <w:szCs w:val="24"/>
        </w:rPr>
        <w:t xml:space="preserve"> to summarize the available data and </w:t>
      </w:r>
      <w:r w:rsidRPr="00507E86">
        <w:rPr>
          <w:rFonts w:ascii="Times New Roman" w:eastAsia="Times New Roman" w:hAnsi="Times New Roman" w:cs="Times New Roman"/>
          <w:i/>
          <w:iCs/>
          <w:sz w:val="24"/>
          <w:szCs w:val="24"/>
        </w:rPr>
        <w:t>FigureLabs</w:t>
      </w:r>
      <w:r w:rsidRPr="00507E86">
        <w:rPr>
          <w:rFonts w:ascii="Times New Roman" w:eastAsia="Times New Roman" w:hAnsi="Times New Roman" w:cs="Times New Roman"/>
          <w:sz w:val="24"/>
          <w:szCs w:val="24"/>
        </w:rPr>
        <w:t xml:space="preserve"> to generate illustrations. After using these tools, the authors reviewed and edited the content as needed and take full responsibility for the content of the published article.</w:t>
      </w:r>
    </w:p>
    <w:p w14:paraId="036BB9FF" w14:textId="77777777" w:rsidR="00294982" w:rsidRPr="00507E86" w:rsidRDefault="00294982">
      <w:pPr>
        <w:spacing w:line="259" w:lineRule="auto"/>
        <w:jc w:val="both"/>
        <w:rPr>
          <w:rFonts w:ascii="Times New Roman" w:eastAsia="Times New Roman" w:hAnsi="Times New Roman" w:cs="Times New Roman"/>
          <w:sz w:val="24"/>
          <w:szCs w:val="24"/>
        </w:rPr>
      </w:pPr>
      <w:bookmarkStart w:id="2" w:name="_srxnc24ymou0" w:colFirst="0" w:colLast="0"/>
      <w:bookmarkEnd w:id="2"/>
    </w:p>
    <w:p w14:paraId="56CB27F4" w14:textId="77777777" w:rsidR="00294982" w:rsidRPr="00507E86" w:rsidRDefault="00BE6B9C">
      <w:pPr>
        <w:spacing w:after="160" w:line="259" w:lineRule="auto"/>
        <w:jc w:val="both"/>
        <w:rPr>
          <w:rFonts w:ascii="Times New Roman" w:eastAsia="Times New Roman" w:hAnsi="Times New Roman" w:cs="Times New Roman"/>
          <w:sz w:val="24"/>
          <w:szCs w:val="24"/>
        </w:rPr>
      </w:pPr>
      <w:bookmarkStart w:id="3" w:name="_ac87s2z7lrqc" w:colFirst="0" w:colLast="0"/>
      <w:bookmarkEnd w:id="3"/>
      <w:r w:rsidRPr="00507E86">
        <w:rPr>
          <w:rFonts w:ascii="Times New Roman" w:eastAsia="Times New Roman" w:hAnsi="Times New Roman" w:cs="Times New Roman"/>
          <w:b/>
          <w:bCs/>
          <w:sz w:val="24"/>
          <w:szCs w:val="24"/>
        </w:rPr>
        <w:t>References</w:t>
      </w:r>
    </w:p>
    <w:p w14:paraId="4AC89DF2"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Bakhshayesh Karam M, Karimi S, Mosadegh L, Chaibakhsh S. Malignant Mesothelioma Versus Metastatic Carcinoma of the Pleura: A CT Challenge. Iran J Radiol. 2016 Jan 14;13(1):e10949. doi: 10.5812/iranjradiol.10949. PMID: 27110327; PMCID: PMC4837229.</w:t>
      </w:r>
    </w:p>
    <w:p w14:paraId="0D6032BF"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Penz E, Watt KN, Hergott CA, Rahman NM, Psallidas I. Management of malignant pleural effusion: challenges and solutions. Cancer Manag Res. 2017 Jun 23;9:229-241. doi: 10.2147/CMAR.S95663. PMID: 28694705; PMCID: PMC5491570.</w:t>
      </w:r>
    </w:p>
    <w:p w14:paraId="3E877718"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Addala DN, Kanellakis NI, Bedawi EO, Dong T and Rahman NM (2022) Malignant pleural effusion: Updates in diagnosis, management and current challenges. Front. Oncol. 12:1053574. doi: 10.3389/fonc.2022.1053574</w:t>
      </w:r>
    </w:p>
    <w:p w14:paraId="6DF0A5EA"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Moro J, Sobrero S, Cartia CF, Ceraolo S, Rapanà R, Vaisitti F, Ganio S, Mellone F, Rudella S, Scopis F, et al. Diagnostic and Therapeutic Challenges of Malignant Pleural Mesothelioma. Diagnostics. 2022; 12(12):3009. </w:t>
      </w:r>
      <w:hyperlink r:id="rId9">
        <w:r w:rsidRPr="00507E86">
          <w:rPr>
            <w:rFonts w:ascii="Times New Roman" w:eastAsia="Times New Roman" w:hAnsi="Times New Roman" w:cs="Times New Roman"/>
            <w:sz w:val="24"/>
            <w:szCs w:val="24"/>
          </w:rPr>
          <w:t>https://doi.org/10.3390/diagnostics12123009</w:t>
        </w:r>
      </w:hyperlink>
    </w:p>
    <w:p w14:paraId="4419E5D0"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Semenova Y, Burkitbayev Z, Kalibekov N, Digay A, Zhaxybayev B, Shatkovskaya O, Khamzina S, Zharlyganova D, Kuanysh Z, Manatova A. The Evolving Role of Chemotherapy in the Management of Pleural Malignancies: Current Evidence and </w:t>
      </w:r>
      <w:r w:rsidRPr="00507E86">
        <w:rPr>
          <w:rFonts w:ascii="Times New Roman" w:eastAsia="Times New Roman" w:hAnsi="Times New Roman" w:cs="Times New Roman"/>
          <w:sz w:val="24"/>
          <w:szCs w:val="24"/>
        </w:rPr>
        <w:lastRenderedPageBreak/>
        <w:t>Future Directions. Cancers (Basel). 2025 Jun 25;17(13):2143. doi: 10.3390/cancers17132143. PMID: 40647443; PMCID: PMC12248614.</w:t>
      </w:r>
    </w:p>
    <w:p w14:paraId="3092344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Gayen S. Malignant Pleural Effusion: Presentation, Diagnosis, and Management. Am J Med. 2022 Oct;135(10):1188-1192. doi: 10.1016/j.amjmed.2022.04.017. Epub 2022 May 14. PMID: 35576996.</w:t>
      </w:r>
    </w:p>
    <w:p w14:paraId="73ED62B5"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Antunes G, Neville E, Duffy J, Ali N; Pleural Diseases Group, Standards of Care Committee, British Thoracic Society. BTS guidelines for the management of malignant pleural effusions. Thorax. 2003 May;58 Suppl 2(Suppl 2):ii29-38. doi: 10.1136/thorax.58.suppl_2.ii29. PMID: 12728148; PMCID: PMC1766015.</w:t>
      </w:r>
    </w:p>
    <w:p w14:paraId="74F0B9C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BATEMAN JC. Chemotherapy of solid tumors with triethylene thiophosphoramide. N Engl J Med. 1955 May 26;252(21):879-87. doi: 10.1056/NEJM195505262522101. PMID: 14370446.</w:t>
      </w:r>
    </w:p>
    <w:p w14:paraId="5214FE02"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Zhou H, Wang H, Yi S, Yu S. Effectiveness of hyperthermic intraperitoneal chemotherapy during primary curative resection for colorectal carcinoma. Int J Colorectal Dis. 2024 Dec 7;39(1):197. doi: 10.1007/s00384-024-04774-w. PMID: 39643725; PMCID: PMC11624244.</w:t>
      </w:r>
    </w:p>
    <w:p w14:paraId="0A617B68"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Margioula-Siarkou C, Almperis A, Papanikolaou A, Laganà A, Mavromatidis G, Guyon F, Dinas K and Petousis S: HIPEC for gynaecological malignancies: A last update (Review). Med Int 3: 25, 2023, </w:t>
      </w:r>
      <w:hyperlink r:id="rId10">
        <w:r w:rsidRPr="00507E86">
          <w:rPr>
            <w:rFonts w:ascii="Times New Roman" w:eastAsia="Times New Roman" w:hAnsi="Times New Roman" w:cs="Times New Roman"/>
            <w:sz w:val="24"/>
            <w:szCs w:val="24"/>
          </w:rPr>
          <w:t>https://doi.org/10.3892/mi.2023.85</w:t>
        </w:r>
      </w:hyperlink>
      <w:r w:rsidRPr="00507E86">
        <w:rPr>
          <w:rFonts w:ascii="Times New Roman" w:eastAsia="Times New Roman" w:hAnsi="Times New Roman" w:cs="Times New Roman"/>
          <w:sz w:val="24"/>
          <w:szCs w:val="24"/>
        </w:rPr>
        <w:t>.</w:t>
      </w:r>
    </w:p>
    <w:p w14:paraId="58C7EEBD"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Aguirre S, Haley JK, Broski JA, Baker J, Selby LV, Umar S, Al-Kasspooles MF. Hyperthermic Intraperitoneal Chemotherapy (HIPEC) and Cytoreductive Surgery (CRS): Age-Related Outcomes and a Look into the Future. Cancers (Basel). 2025 Feb 1;17(3):486. doi: 10.3390/cancers17030486. PMID: 39941851; PMCID: PMC11816354.</w:t>
      </w:r>
    </w:p>
    <w:p w14:paraId="091EBE14"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Spratt JS, Adcock RA, Sherrill W, Travathen S. Hyperthermic peritoneal perfusion system in canines. Cancer Res. 1980 Feb;40(2):253-5. PMID: 7356508.</w:t>
      </w:r>
    </w:p>
    <w:p w14:paraId="7B6EAA94"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Danuzzo F, Sibilia MC, Vaquer S, Cara A, Cassina EM, Libretti L, Pirondini E, Raveglia F, Tuoro A, Petrella F. The Role of Hyperthermic Intrathoracic Chemotherapy (HITHOC) in Thoracic Tumors. Cancers (Basel). 2024 Jul 11;16(14):2513. doi: 10.3390/cancers16142513. PMID: 39061153; PMCID: PMC11274823.</w:t>
      </w:r>
    </w:p>
    <w:p w14:paraId="5F92DB23"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Markowiak T, Larisch C, Hofmann HS, Ried M. Hyperthermic intrathoracic chemotherapy (HITHOC): narrative review of the current literature, recommendations and future studies. Ann Transl Med. 2021 Jun;9(11):955. doi: 10.21037/atm-20-5444. PMID: 34350270; PMCID: PMC8263861.</w:t>
      </w:r>
    </w:p>
    <w:p w14:paraId="1FEDB2CC"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Ried M, Kovács J, Markowiak T, Müller K, Huppertz G, Koller M, Winter H, Klotz LV, Hatz R, Zimmermann J, et al. Hyperthermic Intrathoracic Chemotherapy (HITOC) after Cytoreductive Surgery for Pleural Malignancies—A Retrospective, Multicentre Study. Cancers. 2021; 13(18):4580. </w:t>
      </w:r>
      <w:hyperlink r:id="rId11">
        <w:r w:rsidRPr="00507E86">
          <w:rPr>
            <w:rFonts w:ascii="Times New Roman" w:eastAsia="Times New Roman" w:hAnsi="Times New Roman" w:cs="Times New Roman"/>
            <w:sz w:val="24"/>
            <w:szCs w:val="24"/>
          </w:rPr>
          <w:t>https://doi.org/10.3390/cancers13184580</w:t>
        </w:r>
      </w:hyperlink>
    </w:p>
    <w:p w14:paraId="7CF0F0DB"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Araujo1 PHXN, 2 , Minamoto1 FEN, 2 , Pêgo-Fernandes1 PM, 3 , et al. Hyperthermic intrathoracic chemotherapy in the management of pleural malignancies: current evidence, limitations, and future directions . J Bras Pneumol. 2025;51(6):e20250504</w:t>
      </w:r>
    </w:p>
    <w:p w14:paraId="4254FCF7"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Mendogni, P., Orlandi, R., Ambrogi, M., Lucchi, M., Lococo, F., Ruffini, E., Margaritora, S., Van Raemdonck, D., Vandaele, T., Ceulemans, L., &amp; Rosso, L. (2025). </w:t>
      </w:r>
      <w:r w:rsidRPr="00507E86">
        <w:rPr>
          <w:rFonts w:ascii="Times New Roman" w:eastAsia="Times New Roman" w:hAnsi="Times New Roman" w:cs="Times New Roman"/>
          <w:sz w:val="24"/>
          <w:szCs w:val="24"/>
        </w:rPr>
        <w:lastRenderedPageBreak/>
        <w:t>Hyperthermic intrathoracic chemotherapy (HITHOC) in stage IVA thymomas: a narrative review. Mediastinum, 9. doi:10.21037/med-25-8</w:t>
      </w:r>
    </w:p>
    <w:p w14:paraId="51796FDD"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Aprile V, Bacchin D, Korasidis S, Ricciardi R, Petrini I, Ambrogi MC, Lucchi M. Hypertermic Intrathoracic Chemotherapy (HITHOC) for thymoma: a narrative review on indications and results. Ann Transl Med. 2021 Jun;9(11):957. doi: 10.21037/atm-20-6704. PMID: 34350272; PMCID: PMC8263885.</w:t>
      </w:r>
    </w:p>
    <w:p w14:paraId="3AC54CD9"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Molnar TF, Drozgyik A. Narrative review of theoretical considerations regarding HITHOC between past and future. Ann Transl Med. 2021 Jun;9(11):954. doi: 10.21037/atm-20-5855. PMID: 34350269; PMCID: PMC8263867.</w:t>
      </w:r>
    </w:p>
    <w:p w14:paraId="3E21F953"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Oršolić N, Kučan D, Jazvinšćak Jembrek M. Enhancing Cancer Therapy with Hyperthermia: Synergistic Effects with Natural Compounds and Conventional Treatments. Int J Mol Sci. 2026 Feb 8;27(4):1650. doi: 10.3390/ijms27041650. PMID: 41751791; PMCID: PMC12940534.</w:t>
      </w:r>
    </w:p>
    <w:p w14:paraId="3866AC7C"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Maduabuchi WO, Tansi FL, Heller R, Hilger I. Hyperthermia Influences the Secretion Signature of Tumor Cells and Affects Endothelial Cell Sprouting. Biomedicines. 2023 Aug 12;11(8):2256. doi: 10.3390/biomedicines11082256. PMID: 37626752; PMCID: PMC10452125.</w:t>
      </w:r>
    </w:p>
    <w:p w14:paraId="55F3E7E3"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Yi GY, Kim MJ, Kim HI, Park J, Baek SH. Hyperthermia Treatment as a Promising Anti-Cancer Strategy: Therapeutic Targets, Perspective Mechanisms and Synergistic Combinations in Experimental Approaches. Antioxidants (Basel). 2022 Mar 24;11(4):625. doi: 10.3390/antiox11040625. PMID: 35453310; PMCID: PMC9030926.</w:t>
      </w:r>
    </w:p>
    <w:p w14:paraId="0913DD50"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Oršolić N, Odeh D, Jembrek MJ, Knežević J, Kučan D. Interactions between Cisplatin and Quercetin at Physiological and Hyperthermic Conditions on Cancer Cells In Vitro and In Vivo. Molecules. 2020; 25(14):3271. </w:t>
      </w:r>
      <w:hyperlink r:id="rId12">
        <w:r w:rsidRPr="00507E86">
          <w:rPr>
            <w:rFonts w:ascii="Times New Roman" w:eastAsia="Times New Roman" w:hAnsi="Times New Roman" w:cs="Times New Roman"/>
            <w:sz w:val="24"/>
            <w:szCs w:val="24"/>
          </w:rPr>
          <w:t>https://doi.org/10.3390/molecules25143271</w:t>
        </w:r>
      </w:hyperlink>
    </w:p>
    <w:p w14:paraId="5A1E047A"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Larisch C, Markowiak T, Loch E, Großer C, Bednarski PJ, Mueller K, Hofmann HS, Ried M. Assessment of concentration and penetration depth of cisplatin in human lung tissue after decortication and hyperthermic exposure. Ann Transl Med. 2021 Jun;9(11):953. doi: 10.21037/atm-20-6307. PMID: 34350268; PMCID: PMC8263868.</w:t>
      </w:r>
    </w:p>
    <w:p w14:paraId="4C9EA1EC"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Ried M, Lehle K, Neu R, Diez C, Bednarski P, Sziklavari Z, Hofmann HS. Assessment of cisplatin concentration and depth of penetration in human lung tissue after hyperthermic exposure. Eur J Cardiothorac Surg. 2015 Mar;47(3):563-6. doi: 10.1093/ejcts/ezu217. Epub 2014 May 28. PMID: 24872472.</w:t>
      </w:r>
    </w:p>
    <w:p w14:paraId="7CB6C042"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Bedirhan MA, Cansever L, Demir A, Ceyhan S, Akın H, Urer HN, Olçmen A, Kocatürk C, Dinçer I. Which type of surgery should become the preferred procedure for malignant pleural mesothelioma: extrapleural pneumonectomy or extended pleurectomy? J Thorac Dis. 2013 Aug;5(4):446-54. doi: 10.3978/j.issn.2072-1439.2013.07.40. PMID: 23991301; PMCID: PMC3755681.</w:t>
      </w:r>
    </w:p>
    <w:p w14:paraId="09FAA8E7"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Bilancia R, Nardini M, Waller DA. Extended pleurectomy decortication: the current role. Transl Lung Cancer Res. 2018 Oct;7(5):556-561. doi: 10.21037/tlcr.2018.06.07. PMID: 30450294; PMCID: PMC6204414.</w:t>
      </w:r>
    </w:p>
    <w:p w14:paraId="702E6262"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Tammy Hod, Katherin J. Freedberg, Shveta S. Motwani, Margaret Chen, Gyorgy Frendl, David E. Leaf, Shruti Gupta, Suraj Sarvode Mothi, William G. Richards, </w:t>
      </w:r>
      <w:r w:rsidRPr="00507E86">
        <w:rPr>
          <w:rFonts w:ascii="Times New Roman" w:eastAsia="Times New Roman" w:hAnsi="Times New Roman" w:cs="Times New Roman"/>
          <w:sz w:val="24"/>
          <w:szCs w:val="24"/>
        </w:rPr>
        <w:lastRenderedPageBreak/>
        <w:t>Raphael Bueno, Sushrut S. Waikar, Acute kidney injury after cytoreductive surgery and hyperthermic intraoperative cisplatin chemotherapy for malignant pleural mesothelioma, The Journal of Thoracic and Cardiovascular Surgery, Volume 161, Issue 4, 2021, Pages 1510-1518, ISSN 0022-5223, https://doi.org/10.1016/j.jtcvs.2020.05.033.</w:t>
      </w:r>
    </w:p>
    <w:p w14:paraId="3E8139D8"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Hajja A, Atout M, Turko R, Syed H, Duarte D'Ambrosio P, Terra RM, Abdulhaq A, Nardini M, Ambrogi MC, Lucchi M, Robaidi H, Saleh W, AlKattan K, Migliore M. Present and future of cytoreductive surgery and hyperthermic intrathoracic chemotherapy for pleural metastases: a narrative review. Eur Respir Rev. 2026 Feb 18;35(179):250213. doi: 10.1183/16000617.0213-2025. PMID: 41708120; PMCID: PMC12914381.</w:t>
      </w:r>
    </w:p>
    <w:p w14:paraId="7E94F133"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Elliott IA, He H, Lui NS, Liou DZ, Guenthart BA, Shrager JB, Berry MF, Backhus LM. Impact of hyperthermic intrathoracic chemotherapy (HITHOC) during resection of pleural mesothelioma on patient survival. J Thorac Dis. 2023 Nov 30;15(11):6140-6150. doi: 10.21037/jtd-23-466. Epub 2023 Nov 3. PMID: 38090290; PMCID: PMC10713319.</w:t>
      </w:r>
    </w:p>
    <w:p w14:paraId="32F63AA6"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Rusch V, Saltz L, Venkatraman E, Ginsberg R, McCormack P, Burt M, Markman M, Kelsen D. A phase II trial of pleurectomy/decortication followed by intrapleural and systemic chemotherapy for malignant pleural mesothelioma. J Clin Oncol. 1994 Jun;12(6):1156-63. doi: 10.1200/JCO.1994.12.6.1156. PMID: 8201377.</w:t>
      </w:r>
    </w:p>
    <w:p w14:paraId="2B34B55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Yellin A, Simansky DA, Paley M, Refaely Y. Hyperthermic pleural perfusion with cisplatin: early clinical experience. Cancer. 2001 Oct 15;92(8):2197-203. doi: 10.1002/1097-0142(20011015)92:8&lt;2197::aid-cncr1563&gt;3.0.co;2-f. PMID: 11596038.</w:t>
      </w:r>
    </w:p>
    <w:p w14:paraId="201EA06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Monneuse O, Beaujard AC, Guibert B, Gilly FN, Mulsant P, Carry PY, Benoit M, Glehen O. Long-term results of intrathoracic chemohyperthermia (ITCH) for the treatment of pleural malignancies. Br J Cancer. 2003 Jun 16;88(12):1839-43. doi: 10.1038/sj.bjc.6601000. PMID: 12799624; PMCID: PMC2741113.</w:t>
      </w:r>
    </w:p>
    <w:p w14:paraId="51FD682A"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Richards WG, Zellos L, Bueno R, Jaklitsch MT, Jänne PA, Chirieac LR, Yeap BY, Dekkers RJ, Hartigan PM, Capalbo L, Sugarbaker DJ. Phase I to II study of pleurectomy/decortication and intraoperative intracavitary hyperthermic cisplatin lavage for mesothelioma. J Clin Oncol. 2006 Apr 1;24(10):1561-7. doi: 10.1200/JCO.2005.04.6813. PMID: 16575008.</w:t>
      </w:r>
    </w:p>
    <w:p w14:paraId="0191E2B0"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van Sandick JW, Kappers I, Baas P, Haas RL, Klomp HM. Surgical treatment in the management of malignant pleural mesothelioma: a single institution's experience. Ann Surg Oncol. 2008 Jun;15(6):1757-64. doi: 10.1245/s10434-008-9899-9. Epub 2008 Apr 9. PMID: 18398658.</w:t>
      </w:r>
    </w:p>
    <w:p w14:paraId="54B21BBB"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Tilleman TR, Richards WG, Zellos L, Johnson BE, Jaklitsch MT, Mueller J, Yeap BY, Mujoomdar AA, Ducko CT, Bueno R, Sugarbaker DJ. Extrapleural pneumonectomy followed by intracavitary intraoperative hyperthermic cisplatin with pharmacologic cytoprotection for treatment of malignant pleural mesothelioma: a phase II prospective study. J Thorac Cardiovasc Surg. 2009 Aug;138(2):405-11. doi: 10.1016/j.jtcvs.2009.02.046. PMID: 19619785.</w:t>
      </w:r>
    </w:p>
    <w:p w14:paraId="4FDEABB3"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lastRenderedPageBreak/>
        <w:t>Zellos L, Richards WG, Capalbo L, Jaklitsch MT, Chirieac LR, Johnson BE, Bueno R, Sugarbaker DJ. A phase I study of extrapleural pneumonectomy and intracavitary intraoperative hyperthermic cisplatin with amifostine cytoprotection for malignant pleural mesothelioma. J Thorac Cardiovasc Surg. 2009 Feb;137(2):453-8. doi: 10.1016/j.jtcvs.2008.07.055. PMID: 19185169.</w:t>
      </w:r>
    </w:p>
    <w:p w14:paraId="2C6DE45F"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Sugarbaker DJ, Gill RR, Yeap BY, Wolf AS, DaSilva MC, Baldini EH, Bueno R, Richards WG. Hyperthermic intraoperative pleural cisplatin chemotherapy extends interval to recurrence and survival among low-risk patients with malignant pleural mesothelioma undergoing surgical macroscopic complete resection. J Thorac Cardiovasc Surg. 2013 Apr;145(4):955-963. doi: 10.1016/j.jtcvs.2012.12.037. Epub 2013 Feb 21. PMID: 23434448.</w:t>
      </w:r>
    </w:p>
    <w:p w14:paraId="0EDECB09"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Ishibashi H, Kobayashi M, Takasaki C, Okubo K. Interim results of pleurectomy/decortication and intraoperative intrapleural hyperthermic cisplatin perfusion for patients with malignant pleural mesothelioma intolerable to extrapleural pneumonectomy. Gen Thorac Cardiovasc Surg. 2015 Jul;63(7):395-400. doi: 10.1007/s11748-015-0535-x. Epub 2015 Mar 7. PMID: 25750109.</w:t>
      </w:r>
    </w:p>
    <w:p w14:paraId="141FC66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Migliore M, Calvo D, Criscione A, Palmucci S, Fuccio Sanzà G, Caltabiano R, Spatola C, Privitera G, Aiello MM, Parra HS, Ciancio N, Di Maria G. Pleurectomy/decortication and hyperthermic intrapleural chemotherapy for malignant pleural mesothelioma: initial experience. Future Oncol. 2015;11(24 Suppl):19-22. doi: 10.2217/fon.15.286. PMID: 26638918.</w:t>
      </w:r>
    </w:p>
    <w:p w14:paraId="220C193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Ambrogi MC, Bertoglio P, Aprile V, Chella A, Korasidis S, Fontanini G, Fanucchi O, Lucchi M, Mussi A. Diaphragm and lung-preserving surgery with hyperthermic chemotherapy for malignant pleural mesothelioma: A 10-year experience. J Thorac Cardiovasc Surg. 2018 Apr;155(4):1857-1866.e2. doi: 10.1016/j.jtcvs.2017.10.070. Epub 2017 Nov 1. PMID: 29191688.</w:t>
      </w:r>
    </w:p>
    <w:p w14:paraId="45312A9A"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 Burt BM, Richards WG, Lee HS, Bartel S, Dasilva MC, Gill RR, Jaklitsch MT, Johnson BE, Swanson SJ, Bueno R, Sugarbaker DJ. A Phase I Trial of Surgical Resection and Intraoperative Hyperthermic Cisplatin and Gemcitabine for Pleural Mesothelioma. J Thorac Oncol. 2018 Sep;13(9):1400-1409. doi: 10.1016/j.jtho.2018.04.032. Epub 2018 May 9. PMID: 29753120.</w:t>
      </w:r>
    </w:p>
    <w:p w14:paraId="0A3C2FF0"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Klotz LV, Zimmermann J, Müller K, Kovács J, Hassan M, Koller M, Schmid S, Huppertz G, Markowiak T, Passlick B, Hofmann HS, Winter H, Hatz RA, Eichhorn ME, Ried M. Multimodal Treatment of Pleural Mesothelioma with Cytoreductive Surgery and Hyperthermic Intrathoracic Chemotherapy: Impact of Additive Chemotherapy. Cancers (Basel). 2024 Apr 20;16(8):1587. doi: 10.3390/cancers16081587. PMID: 38672669; PMCID: PMC11048892.</w:t>
      </w:r>
    </w:p>
    <w:p w14:paraId="4207C36F"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Refaely Y, Simansky DA, Paley M, Gottfried M, Yellin A. Resection and perfusion thermochemotherapy: a new approach for the treatment of thymic malignancies with pleural spread. Ann Thorac Surg. 2001 Aug;72(2):366-70. doi: 10.1016/s0003-4975(01)02786-2. PMID: 11515868.</w:t>
      </w:r>
    </w:p>
    <w:p w14:paraId="3EE14A79"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Yu L, Jing Y, Ma S, Li F, Zhang YF. Cytoreductive surgery combined with hyperthermic intrapleural chemotherapy to treat thymoma or thymic carcinoma with </w:t>
      </w:r>
      <w:r w:rsidRPr="00507E86">
        <w:rPr>
          <w:rFonts w:ascii="Times New Roman" w:eastAsia="Times New Roman" w:hAnsi="Times New Roman" w:cs="Times New Roman"/>
          <w:sz w:val="24"/>
          <w:szCs w:val="24"/>
        </w:rPr>
        <w:lastRenderedPageBreak/>
        <w:t>pleural dissemination. Onco Targets Ther. 2013 May 10;6:517-21. doi: 10.2147/OTT.S41347. PMID: 23690692; PMCID: PMC3656918.</w:t>
      </w:r>
    </w:p>
    <w:p w14:paraId="63F2D2E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Yellin A, Simansky DA, Ben-Avi R, Perelman M, Zeitlin N, Refaely Y, Ben-Nun A. Resection and heated pleural chemoperfusion in patients with thymic epithelial malignant disease and pleural spread: a single-institution experience. J Thorac Cardiovasc Surg. 2013 Jan;145(1):83-7; discussion 87-9. doi: 10.1016/j.jtcvs.2012.10.013. Epub 2012 Oct 27. PMID: 23111024.</w:t>
      </w:r>
    </w:p>
    <w:p w14:paraId="7592DF88"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Ambrogi MC, Korasidis S, Lucchi M, Fanucchi O, Giarratana S, Melfi F, Mussi A. Pleural recurrence of thymoma: surgical resection followed by hyperthermic intrathoracic perfusion chemotherapy†. Eur J Cardiothorac Surg. 2016 Jan;49(1):321-6. doi: 10.1093/ejcts/ezv039. Epub 2015 Feb 9. PMID: 25666471.</w:t>
      </w:r>
    </w:p>
    <w:p w14:paraId="1E9653E7"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Maury JM, Girard N, Tabutin M, Grima R, Chalabreysse L, Pavlakovic I, Sayag-Beaujard A, Leroux C, Souquet PJ, Glehen O, Tronc F. Intra-Thoracic Chemo-Hyperthermia for pleural recurrence of thymoma. Lung Cancer. 2017 Jun;108:1-6. doi: 10.1016/j.lungcan.2017.02.014. Epub 2017 Feb 24. PMID: 28625619.</w:t>
      </w:r>
    </w:p>
    <w:p w14:paraId="081D8330"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Aprile V, Bacchin D, Korasidis S, Nesti A, Marrama E, Ricciardi R, Petrini I, Ambrogi MC, Paladini P, Lucchi M. Surgical treatment of pleural recurrence of thymoma: is hyperthermic intrathoracic chemotherapy worthwhile? Interact Cardiovasc Thorac Surg. 2020 May 1;30(5):765-772. doi: 10.1093/icvts/ivaa019. PMID: 32170942.</w:t>
      </w:r>
    </w:p>
    <w:p w14:paraId="6F3E79BD"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Ried M, Hassan M, Passlick B, Schmid S, Markowiak T, Müller K, Huppertz G, Koller M, Winter H, Klotz LV, Hatz R, Kovács J, Zimmermann J, Hofmann HS, Eichhorn ME. Surgical cytoreduction and hyperthermic intrathoracic chemotherapy for thymic tumours with pleural spread is effective on survival: results from the multicentre German hyperthermic intrathoracic chemotherapy study. Interdiscip Cardiovasc Thorac Surg. 2023 Jun 1;36(6):ivad032. doi: 10.1093/icvts/ivad032. PMID: 37192006; PMCID: PMC10257580.</w:t>
      </w:r>
    </w:p>
    <w:p w14:paraId="4AD1356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Wang S, Yang X, Jiang J, Liang F, Zheng Y, Ao Y, Gao J, Wang H, Tan L, Ding J. Cytoreductive surgery and hyperthermic intrathoracic chemotherapy in thymic epithelial tumors with pleural spread or recurrence: a prospective, single-arm, phase II study. Nat Commun. 2025 Jun 4;16(1):5175. doi: 10.1038/s41467-025-60386-0. PMID: 40467556; PMCID: PMC12137697.</w:t>
      </w:r>
    </w:p>
    <w:p w14:paraId="56FB9AD8"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Yi E, Kim D, Cho S, Kim K, Jheon S. Clinical outcomes of cytoreductive surgery combined with intrapleural perfusion of hyperthermic chemotherapy in advanced lung adenocarcinoma with pleural dissemination. J Thorac Dis. 2016 Jul;8(7):1550-60. doi: 10.21037/jtd.2016.06.04. PMID: 27499943; PMCID: PMC4958849.</w:t>
      </w:r>
    </w:p>
    <w:p w14:paraId="0D70412A"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Karampinis I, Dionysopoulou A, Galata C, Almstedt K, Grilli M, Hasenburg A, Roessner ED. Hyperthermic intrathoracic chemotherapy for the treatment of malignant pleural effusion caused by breast and ovarian cancer: A systematic literature review and pooled analysis. Thorac Cancer. 2022 Apr;13(7):883-888. doi: 10.1111/1759-7714.14361. Epub 2022 Feb 22. PMID: 35194945; PMCID: PMC8977169.</w:t>
      </w:r>
    </w:p>
    <w:p w14:paraId="2680A2E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Shigemura N, Akashi A, Ohta M, Matsuda H. Combined surgery of intrapleural perfusion hyperthermic chemotherapy and panpleuropneumonectomy for lung cancer with advanced pleural spread: a pilot study. Interact Cardiovasc Thorac Surg. 2003 Dec;2(4):671-5. doi: 10.1016/S1569-9293(03)00197-X. PMID: 17670154.</w:t>
      </w:r>
    </w:p>
    <w:p w14:paraId="2FF7408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lastRenderedPageBreak/>
        <w:t>Matsuzaki Y, Edagawa M, Shimizu T, Hara M, Tomita M, Ayabe T, Onitsuka T. Intrapleural hyperthermic perfusion with chemotherapy increases apoptosis in malignant pleuritis. Ann Thorac Surg. 2004 Nov;78(5):1769-72. doi: 10.1016/j.athoracsur.2004.05.025. PMID: 15511471.</w:t>
      </w:r>
    </w:p>
    <w:p w14:paraId="3B7454FD"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Kimura M, Tojo T, Naito H, Nagata Y, Kawai N, Taniguchi S. Effects of a simple intraoperative intrathoracic hyperthermotherapy for lung cancer with malignant pleural effusion or dissemination. Interact Cardiovasc Thorac Surg. 2010 Apr;10(4):568-71. doi: 10.1510/icvts.2009.225110. Epub 2010 Jan 21. PMID: 20093263.</w:t>
      </w:r>
    </w:p>
    <w:p w14:paraId="78ED39BC"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Işık AF, Sanlı M, Yılmaz M, Meteroğlu F, Dikensoy O, Sevinç A, Camcı C, Tunçözgür B, Elbeyli L. Intrapleural hyperthermic perfusion chemotherapy in subjects with metastatic pleural malignancies. Respir Med. 2013 May;107(5):762-7. doi: 10.1016/j.rmed.2013.01.010. Epub 2013 Feb 23. PMID: 23462236.</w:t>
      </w:r>
    </w:p>
    <w:p w14:paraId="3FCCDA9B"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Hu R, Jiang H, Li H, Wei D, Wang G, Ma S. Intrapleural perfusion thermo-chemotherapy for pleural effusion caused by lung carcinoma under VATS. J Thorac Dis. 2017 May;9(5):1317-1321. doi: 10.21037/jtd.2017.04.65. PMID: 28616284; PMCID: PMC5465118.</w:t>
      </w:r>
    </w:p>
    <w:p w14:paraId="30EB4925"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Kleontas A, Sioga A, Pandria N, Barbetakis N, Lazopoulos A, Katsikas I, Asteriou C, Paliouras D, Kamperis E, Ikonomou D, Papamitsou T, Filippou D, Destouni C, Ikonomou L, Zarogoulidis K, Papagiannopoulos K. Clinical factors affecting the survival of patients diagnosed with non-small cell lung cancer and metastatic malignant pleural effusion, treated with hyperthermic intrathoracic chemotherapy or chemical talc pleurodesis: a monocentric, prospective, randomized trial. J Thorac Dis. 2019 May;11(5):1788-1798. doi: 10.21037/jtd.2019.05.25. PMID: 31285871; PMCID: PMC6588789.</w:t>
      </w:r>
    </w:p>
    <w:p w14:paraId="4D61EC4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Li Z, Deng J, Yan F, Liu L, Ma Y, Sun J. Efficacy of hyperthermic intrathoracic chemotherapy for initially diagnosed lung cancer with symptomatic malignant pleural effusion. Sci Rep. 2023 Jul 26;13(1):12071. doi: 10.1038/s41598-023-39211-5. PMID: 37495659; PMCID: PMC10371977.</w:t>
      </w:r>
    </w:p>
    <w:p w14:paraId="40B33A56"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Hassan M, Zimmermann J, Schmid S, Passlick B, Kovács J, Hatz R, Winter H, Klotz LV, Eichhorn ME, Markowiak T, Müller K, Huppertz G, Koller M, Hofmann HS, Ried M. Outcome after cytoreductive surgery combined with hyperthermic intrathoracic chemotherapy in patients with secondary pleural metastases. Front Oncol. 2023 Nov 28;13:1259779. doi: 10.3389/fonc.2023.1259779. PMID: 38090507; PMCID: PMC10715587.</w:t>
      </w:r>
    </w:p>
    <w:p w14:paraId="36D1D274"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Nikiforchin A, Gushchin V, King MC, Baron E, Lopez-Ramirez F, Sardi A. Cytoreductive Surgery with Hyperthermic Intrathoracic Chemotherapy for Patients with Intrapleural Dissemination of Peritoneal Surface Malignancies. Ann Surg Oncol. 2021 Dec;28(13):9126-9135. doi: 10.1245/s10434-021-10298-2. Epub 2021 Jul 15. PMID: 34263367.</w:t>
      </w:r>
    </w:p>
    <w:p w14:paraId="2A83847C" w14:textId="77777777" w:rsidR="00294982" w:rsidRPr="00507E86" w:rsidRDefault="00BE6B9C">
      <w:pPr>
        <w:numPr>
          <w:ilvl w:val="0"/>
          <w:numId w:val="1"/>
        </w:numPr>
        <w:jc w:val="both"/>
        <w:rPr>
          <w:rFonts w:ascii="Roboto" w:eastAsia="Roboto" w:hAnsi="Roboto" w:cs="Roboto"/>
          <w:sz w:val="24"/>
          <w:szCs w:val="24"/>
        </w:rPr>
      </w:pPr>
      <w:r w:rsidRPr="00507E86">
        <w:rPr>
          <w:rFonts w:ascii="Times New Roman" w:eastAsia="Times New Roman" w:hAnsi="Times New Roman" w:cs="Times New Roman"/>
          <w:sz w:val="24"/>
          <w:szCs w:val="24"/>
        </w:rPr>
        <w:t>Doyle MP, Villanueva CI, Davies S, et al. Cytoreductive surgery and heated intrathoracic chemotherapy for thoracic extension of pseudomyxoma peritonei. Integr Cancer Sci Therap 2016; 3: 504–508, DOI: 10.15761/ICST.1000198.</w:t>
      </w:r>
    </w:p>
    <w:p w14:paraId="127E4272"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Ried M, Eichhorn M, Winter H, Grützner U, Lindner M, Hatz RA, Haager B, Passlick B, Galetin T, Lopez-Pastorini A, Stoelben E, Hofmann HS. Expertenempfehlung zur </w:t>
      </w:r>
      <w:r w:rsidRPr="00507E86">
        <w:rPr>
          <w:rFonts w:ascii="Times New Roman" w:eastAsia="Times New Roman" w:hAnsi="Times New Roman" w:cs="Times New Roman"/>
          <w:sz w:val="24"/>
          <w:szCs w:val="24"/>
        </w:rPr>
        <w:lastRenderedPageBreak/>
        <w:t>Anwendung der hyperthermen intrathorakalen Chemotherapie (HITOC) in Deutschland [Expert Recommendation for the Implementation of Hyperthermic Intrathoracic Chemotherapy (HITOC) in Germany]. Zentralbl Chir. 2020 Feb;145(1):89-98. German. doi: 10.1055/a-0934-7806. Epub 2019 Jul 10. PMID: 31291667.</w:t>
      </w:r>
    </w:p>
    <w:p w14:paraId="10C7C823"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Rivero-Moreno Y, Echevarria S, Vidal-Valderrama C, Pianetti L, Cordova-Guilarte J, Navarro-Gonzalez J, Acevedo-Rodríguez J, Dorado-Avila G, Osorio-Romero L, Chavez-Campos C, Acero-Alvarracín K. Robotic Surgery: A Comprehensive Review of the Literature and Current Trends. Cureus. 2023 Jul 24;15(7):e42370. doi: 10.7759/cureus.42370. PMID: 37621804; PMCID: PMC10445506.</w:t>
      </w:r>
    </w:p>
    <w:p w14:paraId="5B55AD72"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Hao Y, Gkasti A, Managh AJ, Dagher J, Sifis A, Tiron L, Chriqui LE, Marie DN, De Souza Silva O, Christodoulou M, Peters S, Joyce JA, Krueger T, Gonzalez M, Abdelnour-Berchtold E, Sempoux C, Clerc D, Teixeira-Farinha H, Hübner M, Meylan E, Dyson PJ, Cavin S, Perentes JY. Hyperthermic Intrathoracic Chemotherapy Modulates the Immune Microenvironment of Pleural Mesothelioma and Improves the Impact of Dual Immune Checkpoint Inhibition. Cancer Immunol Res. 2025 Feb 3;13(2):185-199. doi: 10.1158/2326-6066.CIR-24-0245. PMID: 39585317.</w:t>
      </w:r>
    </w:p>
    <w:p w14:paraId="00EBDA3D"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Li, Zihui &amp; Deng, Jie &amp; Sun, Jianhai &amp; Ma, Yanling. (2020). Hyperthermia Targeting the Tumor Microenvironment Facilitates Immune Checkpoint Inhibitors. Frontiers in Immunology. 11. 10.3389/fimmu.2020.595207. </w:t>
      </w:r>
    </w:p>
    <w:p w14:paraId="7320183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Szwed M, Marczak A. Application of Nanoparticles for Magnetic Hyperthermia for Cancer Treatment-The Current State of Knowledge. Cancers (Basel). 2024 Mar 14;16(6):1156. doi: 10.3390/cancers16061156. PMID: 38539491; PMCID: PMC10969623.</w:t>
      </w:r>
    </w:p>
    <w:p w14:paraId="314F0AAC" w14:textId="77777777" w:rsidR="00294982" w:rsidRPr="00507E86" w:rsidRDefault="00294982">
      <w:pPr>
        <w:jc w:val="both"/>
        <w:rPr>
          <w:rFonts w:ascii="Times New Roman" w:eastAsia="Times New Roman" w:hAnsi="Times New Roman" w:cs="Times New Roman"/>
          <w:sz w:val="24"/>
          <w:szCs w:val="24"/>
        </w:rPr>
      </w:pPr>
    </w:p>
    <w:p w14:paraId="40592926" w14:textId="77777777" w:rsidR="00294982" w:rsidRDefault="00294982"/>
    <w:sectPr w:rsidR="00294982">
      <w:headerReference w:type="even" r:id="rId13"/>
      <w:headerReference w:type="default" r:id="rId14"/>
      <w:footerReference w:type="even" r:id="rId15"/>
      <w:footerReference w:type="default" r:id="rId16"/>
      <w:headerReference w:type="first" r:id="rId17"/>
      <w:footerReference w:type="firs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16980" w14:textId="77777777" w:rsidR="00590CC8" w:rsidRDefault="00590CC8" w:rsidP="000C14B3">
      <w:pPr>
        <w:spacing w:line="240" w:lineRule="auto"/>
      </w:pPr>
      <w:r>
        <w:separator/>
      </w:r>
    </w:p>
  </w:endnote>
  <w:endnote w:type="continuationSeparator" w:id="0">
    <w:p w14:paraId="17D2B1E2" w14:textId="77777777" w:rsidR="00590CC8" w:rsidRDefault="00590CC8" w:rsidP="000C14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2C76DCB-CD95-42A9-9E8A-9F0788C9E2D4}"/>
  </w:font>
  <w:font w:name="Calibri">
    <w:panose1 w:val="020F0502020204030204"/>
    <w:charset w:val="00"/>
    <w:family w:val="swiss"/>
    <w:pitch w:val="variable"/>
    <w:sig w:usb0="E4002EFF" w:usb1="C200247B" w:usb2="00000009" w:usb3="00000000" w:csb0="000001FF" w:csb1="00000000"/>
    <w:embedRegular r:id="rId2" w:fontKey="{7A66E55E-D125-49E9-9ECB-E1C3EBE9C78F}"/>
  </w:font>
  <w:font w:name="Cambria">
    <w:panose1 w:val="02040503050406030204"/>
    <w:charset w:val="00"/>
    <w:family w:val="roman"/>
    <w:pitch w:val="variable"/>
    <w:sig w:usb0="E00006FF" w:usb1="420024FF" w:usb2="02000000" w:usb3="00000000" w:csb0="0000019F" w:csb1="00000000"/>
    <w:embedRegular r:id="rId3" w:fontKey="{7E9C8ADE-535A-4EE5-94F1-58D712E4D8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FE96" w14:textId="77777777" w:rsidR="000C14B3" w:rsidRDefault="000C1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8085E" w14:textId="77777777" w:rsidR="000C14B3" w:rsidRDefault="000C14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2134" w14:textId="77777777" w:rsidR="000C14B3" w:rsidRDefault="000C1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360CC" w14:textId="77777777" w:rsidR="00590CC8" w:rsidRDefault="00590CC8" w:rsidP="000C14B3">
      <w:pPr>
        <w:spacing w:line="240" w:lineRule="auto"/>
      </w:pPr>
      <w:r>
        <w:separator/>
      </w:r>
    </w:p>
  </w:footnote>
  <w:footnote w:type="continuationSeparator" w:id="0">
    <w:p w14:paraId="5F80759B" w14:textId="77777777" w:rsidR="00590CC8" w:rsidRDefault="00590CC8" w:rsidP="000C14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A4AD" w14:textId="0D11962E" w:rsidR="000C14B3" w:rsidRDefault="0084576C">
    <w:pPr>
      <w:pStyle w:val="Header"/>
    </w:pPr>
    <w:r>
      <w:rPr>
        <w:noProof/>
      </w:rPr>
      <w:pict w14:anchorId="03F29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122392"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A11C" w14:textId="02C55ED0" w:rsidR="000C14B3" w:rsidRDefault="0084576C">
    <w:pPr>
      <w:pStyle w:val="Header"/>
    </w:pPr>
    <w:r>
      <w:rPr>
        <w:noProof/>
      </w:rPr>
      <w:pict w14:anchorId="2A39B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122393"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3D2E" w14:textId="59410EBC" w:rsidR="000C14B3" w:rsidRDefault="0084576C">
    <w:pPr>
      <w:pStyle w:val="Header"/>
    </w:pPr>
    <w:r>
      <w:rPr>
        <w:noProof/>
      </w:rPr>
      <w:pict w14:anchorId="352B4D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122391"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786BA2"/>
    <w:multiLevelType w:val="multilevel"/>
    <w:tmpl w:val="F3CEE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37A3DD1"/>
    <w:multiLevelType w:val="multilevel"/>
    <w:tmpl w:val="6B24C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8786977">
    <w:abstractNumId w:val="0"/>
  </w:num>
  <w:num w:numId="2" w16cid:durableId="1859077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982"/>
    <w:rsid w:val="000612A6"/>
    <w:rsid w:val="000C14B3"/>
    <w:rsid w:val="00294982"/>
    <w:rsid w:val="00507E86"/>
    <w:rsid w:val="005666A5"/>
    <w:rsid w:val="00590CC8"/>
    <w:rsid w:val="005D21C5"/>
    <w:rsid w:val="005D65D1"/>
    <w:rsid w:val="0064368B"/>
    <w:rsid w:val="00770F0F"/>
    <w:rsid w:val="007A453F"/>
    <w:rsid w:val="0084576C"/>
    <w:rsid w:val="00A256A1"/>
    <w:rsid w:val="00BE6B9C"/>
    <w:rsid w:val="00F43156"/>
    <w:rsid w:val="00F60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50BE75"/>
  <w15:docId w15:val="{4FA87AA6-4B3E-4FD9-9805-B1209950B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character" w:styleId="Hyperlink">
    <w:name w:val="Hyperlink"/>
    <w:basedOn w:val="DefaultParagraphFont"/>
    <w:uiPriority w:val="99"/>
    <w:unhideWhenUsed/>
    <w:rsid w:val="00A256A1"/>
    <w:rPr>
      <w:color w:val="0000FF" w:themeColor="hyperlink"/>
      <w:u w:val="single"/>
    </w:rPr>
  </w:style>
  <w:style w:type="character" w:styleId="UnresolvedMention">
    <w:name w:val="Unresolved Mention"/>
    <w:basedOn w:val="DefaultParagraphFont"/>
    <w:uiPriority w:val="99"/>
    <w:semiHidden/>
    <w:unhideWhenUsed/>
    <w:rsid w:val="00A256A1"/>
    <w:rPr>
      <w:color w:val="605E5C"/>
      <w:shd w:val="clear" w:color="auto" w:fill="E1DFDD"/>
    </w:rPr>
  </w:style>
  <w:style w:type="paragraph" w:styleId="Header">
    <w:name w:val="header"/>
    <w:basedOn w:val="Normal"/>
    <w:link w:val="HeaderChar"/>
    <w:uiPriority w:val="99"/>
    <w:unhideWhenUsed/>
    <w:rsid w:val="000C14B3"/>
    <w:pPr>
      <w:tabs>
        <w:tab w:val="center" w:pos="4680"/>
        <w:tab w:val="right" w:pos="9360"/>
      </w:tabs>
      <w:spacing w:line="240" w:lineRule="auto"/>
    </w:pPr>
  </w:style>
  <w:style w:type="character" w:customStyle="1" w:styleId="HeaderChar">
    <w:name w:val="Header Char"/>
    <w:basedOn w:val="DefaultParagraphFont"/>
    <w:link w:val="Header"/>
    <w:uiPriority w:val="99"/>
    <w:rsid w:val="000C14B3"/>
  </w:style>
  <w:style w:type="paragraph" w:styleId="Footer">
    <w:name w:val="footer"/>
    <w:basedOn w:val="Normal"/>
    <w:link w:val="FooterChar"/>
    <w:uiPriority w:val="99"/>
    <w:unhideWhenUsed/>
    <w:rsid w:val="000C14B3"/>
    <w:pPr>
      <w:tabs>
        <w:tab w:val="center" w:pos="4680"/>
        <w:tab w:val="right" w:pos="9360"/>
      </w:tabs>
      <w:spacing w:line="240" w:lineRule="auto"/>
    </w:pPr>
  </w:style>
  <w:style w:type="character" w:customStyle="1" w:styleId="FooterChar">
    <w:name w:val="Footer Char"/>
    <w:basedOn w:val="DefaultParagraphFont"/>
    <w:link w:val="Footer"/>
    <w:uiPriority w:val="99"/>
    <w:rsid w:val="000C1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doi.org/10.3390/molecules25143271"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cancers1318458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3892/mi.2023.8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390/diagnostics12123009"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17</Pages>
  <Words>6312</Words>
  <Characters>35983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10</cp:revision>
  <dcterms:created xsi:type="dcterms:W3CDTF">2026-03-07T06:03:00Z</dcterms:created>
  <dcterms:modified xsi:type="dcterms:W3CDTF">2026-03-19T07:03:00Z</dcterms:modified>
</cp:coreProperties>
</file>