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FCD68" w14:textId="671547A2" w:rsidR="008066A3" w:rsidRPr="00905804" w:rsidRDefault="008066A3" w:rsidP="008066A3">
      <w:pPr>
        <w:jc w:val="center"/>
        <w:rPr>
          <w:rFonts w:ascii="Arial" w:hAnsi="Arial" w:cs="Arial"/>
          <w:b/>
          <w:bCs/>
        </w:rPr>
      </w:pPr>
      <w:r w:rsidRPr="00905804">
        <w:rPr>
          <w:rFonts w:ascii="Arial" w:hAnsi="Arial" w:cs="Arial"/>
          <w:b/>
          <w:bCs/>
        </w:rPr>
        <w:t xml:space="preserve">Microbiological Quality and Phenotypic Quinolone Resistance of </w:t>
      </w:r>
      <w:r w:rsidRPr="00697461">
        <w:rPr>
          <w:rFonts w:ascii="Arial" w:hAnsi="Arial" w:cs="Arial"/>
          <w:b/>
          <w:bCs/>
          <w:i/>
          <w:iCs/>
        </w:rPr>
        <w:t>Salmonella enterica</w:t>
      </w:r>
      <w:r w:rsidRPr="00905804">
        <w:rPr>
          <w:rFonts w:ascii="Arial" w:hAnsi="Arial" w:cs="Arial"/>
          <w:b/>
          <w:bCs/>
        </w:rPr>
        <w:t xml:space="preserve"> in Retail Cow Intestines </w:t>
      </w:r>
      <w:r w:rsidR="00A34056">
        <w:rPr>
          <w:rFonts w:ascii="Arial" w:hAnsi="Arial" w:cs="Arial"/>
          <w:b/>
          <w:bCs/>
        </w:rPr>
        <w:t>in</w:t>
      </w:r>
      <w:r w:rsidRPr="00905804">
        <w:rPr>
          <w:rFonts w:ascii="Arial" w:hAnsi="Arial" w:cs="Arial"/>
          <w:b/>
          <w:bCs/>
        </w:rPr>
        <w:t xml:space="preserve"> Port Harcourt</w:t>
      </w:r>
      <w:r w:rsidR="00A34056">
        <w:rPr>
          <w:rFonts w:ascii="Arial" w:hAnsi="Arial" w:cs="Arial"/>
          <w:b/>
          <w:bCs/>
        </w:rPr>
        <w:t xml:space="preserve"> Markets</w:t>
      </w:r>
      <w:r w:rsidRPr="00905804">
        <w:rPr>
          <w:rFonts w:ascii="Arial" w:hAnsi="Arial" w:cs="Arial"/>
          <w:b/>
          <w:bCs/>
        </w:rPr>
        <w:t>, Nigeria</w:t>
      </w:r>
    </w:p>
    <w:p w14:paraId="55FDABDC" w14:textId="77777777" w:rsidR="00AB0E25" w:rsidRPr="00905804" w:rsidRDefault="00AB0E25" w:rsidP="00CA4637">
      <w:pPr>
        <w:spacing w:after="0" w:line="240" w:lineRule="auto"/>
        <w:jc w:val="both"/>
        <w:rPr>
          <w:rFonts w:ascii="Arial" w:hAnsi="Arial" w:cs="Arial"/>
        </w:rPr>
      </w:pPr>
    </w:p>
    <w:p w14:paraId="78DD3DA1" w14:textId="77777777" w:rsidR="007A1E27" w:rsidRPr="007A1E27" w:rsidRDefault="007A1E27" w:rsidP="007A1E27">
      <w:pPr>
        <w:jc w:val="center"/>
        <w:rPr>
          <w:rFonts w:ascii="Arial" w:hAnsi="Arial" w:cs="Arial"/>
          <w:b/>
          <w:bCs/>
        </w:rPr>
      </w:pPr>
      <w:r w:rsidRPr="007A1E27">
        <w:rPr>
          <w:rFonts w:ascii="Arial" w:hAnsi="Arial" w:cs="Arial"/>
          <w:b/>
          <w:bCs/>
        </w:rPr>
        <w:t>ABSTRACT</w:t>
      </w:r>
    </w:p>
    <w:p w14:paraId="5A922F2A" w14:textId="77777777" w:rsidR="007A1E27" w:rsidRPr="007A1E27" w:rsidRDefault="007A1E27" w:rsidP="007A1E27">
      <w:pPr>
        <w:jc w:val="both"/>
        <w:rPr>
          <w:rFonts w:ascii="Arial" w:hAnsi="Arial" w:cs="Arial"/>
        </w:rPr>
      </w:pPr>
      <w:r w:rsidRPr="007A1E27">
        <w:rPr>
          <w:rFonts w:ascii="Arial" w:hAnsi="Arial" w:cs="Arial"/>
        </w:rPr>
        <w:t xml:space="preserve">Background: The intestinal tract of food animals is a major reservoir of enteric bacterial pathogens, including </w:t>
      </w:r>
      <w:r w:rsidRPr="007A1E27">
        <w:rPr>
          <w:rFonts w:ascii="Arial" w:hAnsi="Arial" w:cs="Arial"/>
          <w:i/>
          <w:iCs/>
        </w:rPr>
        <w:t>Salmonella enterica</w:t>
      </w:r>
      <w:r w:rsidRPr="007A1E27">
        <w:rPr>
          <w:rFonts w:ascii="Arial" w:hAnsi="Arial" w:cs="Arial"/>
        </w:rPr>
        <w:t>, with implications for food safety and public health.</w:t>
      </w:r>
    </w:p>
    <w:p w14:paraId="35284AD4" w14:textId="77777777" w:rsidR="007A1E27" w:rsidRPr="007A1E27" w:rsidRDefault="007A1E27" w:rsidP="007A1E27">
      <w:pPr>
        <w:jc w:val="both"/>
        <w:rPr>
          <w:rFonts w:ascii="Arial" w:hAnsi="Arial" w:cs="Arial"/>
        </w:rPr>
      </w:pPr>
      <w:r w:rsidRPr="007A1E27">
        <w:rPr>
          <w:rFonts w:ascii="Arial" w:hAnsi="Arial" w:cs="Arial"/>
        </w:rPr>
        <w:t xml:space="preserve">Objectives: This study investigated the microbiological quality, prevalence, and phenotypic quinolone and fluoroquinolone resistance of </w:t>
      </w:r>
      <w:r w:rsidRPr="007A1E27">
        <w:rPr>
          <w:rFonts w:ascii="Arial" w:hAnsi="Arial" w:cs="Arial"/>
          <w:i/>
          <w:iCs/>
        </w:rPr>
        <w:t>S. enterica</w:t>
      </w:r>
      <w:r w:rsidRPr="007A1E27">
        <w:rPr>
          <w:rFonts w:ascii="Arial" w:hAnsi="Arial" w:cs="Arial"/>
        </w:rPr>
        <w:t xml:space="preserve"> isolated from cow intestines sold in selected markets in Port Harcourt, Nigeria.</w:t>
      </w:r>
    </w:p>
    <w:p w14:paraId="65CB886C" w14:textId="77777777" w:rsidR="007A1E27" w:rsidRPr="007A1E27" w:rsidRDefault="007A1E27" w:rsidP="007A1E27">
      <w:pPr>
        <w:jc w:val="both"/>
        <w:rPr>
          <w:rFonts w:ascii="Arial" w:hAnsi="Arial" w:cs="Arial"/>
        </w:rPr>
      </w:pPr>
      <w:r w:rsidRPr="007A1E27">
        <w:rPr>
          <w:rFonts w:ascii="Arial" w:hAnsi="Arial" w:cs="Arial"/>
        </w:rPr>
        <w:t xml:space="preserve">Methods: A total of 192 cow intestine samples were collected from twelve major markets and analyzed for total heterotrophic bacterial counts (THBC) using standard microbiological techniques. Isolation and identification of </w:t>
      </w:r>
      <w:r w:rsidRPr="007A1E27">
        <w:rPr>
          <w:rFonts w:ascii="Arial" w:hAnsi="Arial" w:cs="Arial"/>
          <w:i/>
          <w:iCs/>
        </w:rPr>
        <w:t>S. enterica</w:t>
      </w:r>
      <w:r w:rsidRPr="007A1E27">
        <w:rPr>
          <w:rFonts w:ascii="Arial" w:hAnsi="Arial" w:cs="Arial"/>
        </w:rPr>
        <w:t xml:space="preserve"> were performed using conventional cultural and biochemical methods. Antimicrobial susceptibility testing was conducted via the Kirby–Bauer disk diffusion method against Ciprofloxacin, Levofloxacin, Ofloxacin, and Nalidixic acid, following CLSI guidelines.</w:t>
      </w:r>
    </w:p>
    <w:p w14:paraId="4C3D762B" w14:textId="77777777" w:rsidR="007A1E27" w:rsidRPr="007A1E27" w:rsidRDefault="007A1E27" w:rsidP="007A1E27">
      <w:pPr>
        <w:jc w:val="both"/>
        <w:rPr>
          <w:rFonts w:ascii="Arial" w:hAnsi="Arial" w:cs="Arial"/>
        </w:rPr>
      </w:pPr>
      <w:r w:rsidRPr="007A1E27">
        <w:rPr>
          <w:rFonts w:ascii="Arial" w:hAnsi="Arial" w:cs="Arial"/>
        </w:rPr>
        <w:t xml:space="preserve">Results: THBC values varied significantly among markets (ANOVA, p &lt; 0.05), with several markets recording markedly high microbial loads. </w:t>
      </w:r>
      <w:r w:rsidRPr="007A1E27">
        <w:rPr>
          <w:rFonts w:ascii="Arial" w:hAnsi="Arial" w:cs="Arial"/>
          <w:i/>
          <w:iCs/>
        </w:rPr>
        <w:t>S. enterica</w:t>
      </w:r>
      <w:r w:rsidRPr="007A1E27">
        <w:rPr>
          <w:rFonts w:ascii="Arial" w:hAnsi="Arial" w:cs="Arial"/>
        </w:rPr>
        <w:t xml:space="preserve"> was detected in all markets, with prevalence ranging from 87.5% to 100%. Antimicrobial susceptibility testing revealed high resistance to Nalidixic acid (68.1%), whereas most isolates remained susceptible to fluoroquinolones, including Ciprofloxacin (92.6%), Levofloxacin (88.2%), and Ofloxacin (85.6%). This pattern suggests early phenotypic quinolone resistance, where Nalidixic acid resistance may precede clinically apparent fluoroquinolone resistance.</w:t>
      </w:r>
    </w:p>
    <w:p w14:paraId="6CEB2EC7" w14:textId="77777777" w:rsidR="007A1E27" w:rsidRPr="007A1E27" w:rsidRDefault="007A1E27" w:rsidP="007A1E27">
      <w:pPr>
        <w:jc w:val="both"/>
        <w:rPr>
          <w:rFonts w:ascii="Arial" w:hAnsi="Arial" w:cs="Arial"/>
        </w:rPr>
      </w:pPr>
      <w:r w:rsidRPr="007A1E27">
        <w:rPr>
          <w:rFonts w:ascii="Arial" w:hAnsi="Arial" w:cs="Arial"/>
        </w:rPr>
        <w:t xml:space="preserve">Conclusion: The findings highlight widespread contamination of cow intestines with </w:t>
      </w:r>
      <w:r w:rsidRPr="007A1E27">
        <w:rPr>
          <w:rFonts w:ascii="Arial" w:hAnsi="Arial" w:cs="Arial"/>
          <w:i/>
          <w:iCs/>
        </w:rPr>
        <w:t>S. enterica</w:t>
      </w:r>
      <w:r w:rsidRPr="007A1E27">
        <w:rPr>
          <w:rFonts w:ascii="Arial" w:hAnsi="Arial" w:cs="Arial"/>
        </w:rPr>
        <w:t xml:space="preserve"> and underscore the public health risk posed by antimicrobial-resistant foodborne pathogens.</w:t>
      </w:r>
    </w:p>
    <w:p w14:paraId="156E7C5C" w14:textId="75ACC9C3" w:rsidR="007A1E27" w:rsidRPr="007A1E27" w:rsidRDefault="007A1E27" w:rsidP="007A1E27">
      <w:pPr>
        <w:jc w:val="both"/>
        <w:rPr>
          <w:rFonts w:ascii="Arial" w:hAnsi="Arial" w:cs="Arial"/>
          <w:i/>
          <w:iCs/>
        </w:rPr>
      </w:pPr>
      <w:r w:rsidRPr="007A1E27">
        <w:rPr>
          <w:rFonts w:ascii="Arial" w:hAnsi="Arial" w:cs="Arial"/>
          <w:i/>
          <w:iCs/>
        </w:rPr>
        <w:t xml:space="preserve">Keywords: Salmonella enterica, cow intestines, </w:t>
      </w:r>
      <w:r w:rsidR="000B442B">
        <w:rPr>
          <w:rFonts w:ascii="Arial" w:hAnsi="Arial" w:cs="Arial"/>
          <w:i/>
          <w:iCs/>
        </w:rPr>
        <w:t>Q</w:t>
      </w:r>
      <w:r w:rsidRPr="007A1E27">
        <w:rPr>
          <w:rFonts w:ascii="Arial" w:hAnsi="Arial" w:cs="Arial"/>
          <w:i/>
          <w:iCs/>
        </w:rPr>
        <w:t xml:space="preserve">uinolone resistance, </w:t>
      </w:r>
      <w:r w:rsidR="000B442B">
        <w:rPr>
          <w:rFonts w:ascii="Arial" w:hAnsi="Arial" w:cs="Arial"/>
          <w:i/>
          <w:iCs/>
        </w:rPr>
        <w:t>N</w:t>
      </w:r>
      <w:r w:rsidRPr="007A1E27">
        <w:rPr>
          <w:rFonts w:ascii="Arial" w:hAnsi="Arial" w:cs="Arial"/>
          <w:i/>
          <w:iCs/>
        </w:rPr>
        <w:t xml:space="preserve">alidixic acid, </w:t>
      </w:r>
      <w:r w:rsidR="00C30489">
        <w:rPr>
          <w:rFonts w:ascii="Arial" w:hAnsi="Arial" w:cs="Arial"/>
          <w:i/>
          <w:iCs/>
        </w:rPr>
        <w:t>F</w:t>
      </w:r>
      <w:r w:rsidRPr="007A1E27">
        <w:rPr>
          <w:rFonts w:ascii="Arial" w:hAnsi="Arial" w:cs="Arial"/>
          <w:i/>
          <w:iCs/>
        </w:rPr>
        <w:t>luoroquinolones</w:t>
      </w:r>
    </w:p>
    <w:p w14:paraId="1FDD290C" w14:textId="1B253DE6" w:rsidR="00653DC6" w:rsidRPr="00905804" w:rsidRDefault="00653DC6" w:rsidP="00CA4637">
      <w:pPr>
        <w:jc w:val="both"/>
        <w:rPr>
          <w:rFonts w:ascii="Arial" w:hAnsi="Arial" w:cs="Arial"/>
          <w:b/>
          <w:bCs/>
        </w:rPr>
      </w:pPr>
      <w:r w:rsidRPr="00905804">
        <w:rPr>
          <w:rFonts w:ascii="Arial" w:hAnsi="Arial" w:cs="Arial"/>
          <w:b/>
          <w:bCs/>
        </w:rPr>
        <w:t xml:space="preserve">INTRODUCTION </w:t>
      </w:r>
    </w:p>
    <w:p w14:paraId="2C70A6DE" w14:textId="43AEE3F4" w:rsidR="00AD055B" w:rsidRPr="00905804" w:rsidRDefault="00AD055B" w:rsidP="00CA4637">
      <w:pPr>
        <w:jc w:val="both"/>
        <w:rPr>
          <w:rFonts w:ascii="Arial" w:hAnsi="Arial" w:cs="Arial"/>
        </w:rPr>
      </w:pPr>
      <w:r w:rsidRPr="00905804">
        <w:rPr>
          <w:rFonts w:ascii="Arial" w:hAnsi="Arial" w:cs="Arial"/>
        </w:rPr>
        <w:t>Foodborne diseases remain a critical global public health challenge, with bacterial pathogens accounting for a substantial proportion of illness</w:t>
      </w:r>
      <w:r w:rsidR="00A24ED3" w:rsidRPr="00905804">
        <w:rPr>
          <w:rFonts w:ascii="Arial" w:hAnsi="Arial" w:cs="Arial"/>
        </w:rPr>
        <w:t>es</w:t>
      </w:r>
      <w:r w:rsidRPr="00905804">
        <w:rPr>
          <w:rFonts w:ascii="Arial" w:hAnsi="Arial" w:cs="Arial"/>
        </w:rPr>
        <w:t>, hospitalization</w:t>
      </w:r>
      <w:r w:rsidR="00A24ED3" w:rsidRPr="00905804">
        <w:rPr>
          <w:rFonts w:ascii="Arial" w:hAnsi="Arial" w:cs="Arial"/>
        </w:rPr>
        <w:t>s</w:t>
      </w:r>
      <w:r w:rsidRPr="00905804">
        <w:rPr>
          <w:rFonts w:ascii="Arial" w:hAnsi="Arial" w:cs="Arial"/>
        </w:rPr>
        <w:t xml:space="preserve">, and </w:t>
      </w:r>
      <w:r w:rsidR="00A24ED3" w:rsidRPr="00905804">
        <w:rPr>
          <w:rFonts w:ascii="Arial" w:hAnsi="Arial" w:cs="Arial"/>
        </w:rPr>
        <w:t>deaths</w:t>
      </w:r>
      <w:r w:rsidRPr="00905804">
        <w:rPr>
          <w:rFonts w:ascii="Arial" w:hAnsi="Arial" w:cs="Arial"/>
        </w:rPr>
        <w:t xml:space="preserve"> associated with contaminated food. The World Health Organization estimates that foodborne pathogens cause approximately 600 million illnesses and 420,000 deaths annually, with the highest burden occurring in low- and middle-income countries (LMICs) where food safety systems are often weak or inconsistently enforced (WHO, 2018; </w:t>
      </w:r>
      <w:proofErr w:type="spellStart"/>
      <w:r w:rsidRPr="00905804">
        <w:rPr>
          <w:rFonts w:ascii="Arial" w:hAnsi="Arial" w:cs="Arial"/>
        </w:rPr>
        <w:t>Havelaar</w:t>
      </w:r>
      <w:proofErr w:type="spellEnd"/>
      <w:r w:rsidRPr="00905804">
        <w:rPr>
          <w:rFonts w:ascii="Arial" w:hAnsi="Arial" w:cs="Arial"/>
        </w:rPr>
        <w:t xml:space="preserve"> et al., 2015). Among bacterial foodborne pathogens, </w:t>
      </w:r>
      <w:r w:rsidRPr="00905804">
        <w:rPr>
          <w:rFonts w:ascii="Arial" w:hAnsi="Arial" w:cs="Arial"/>
          <w:i/>
          <w:iCs/>
        </w:rPr>
        <w:t>Salmonella enterica</w:t>
      </w:r>
      <w:r w:rsidRPr="00905804">
        <w:rPr>
          <w:rFonts w:ascii="Arial" w:hAnsi="Arial" w:cs="Arial"/>
        </w:rPr>
        <w:t xml:space="preserve"> is one </w:t>
      </w:r>
      <w:r w:rsidRPr="00905804">
        <w:rPr>
          <w:rFonts w:ascii="Arial" w:hAnsi="Arial" w:cs="Arial"/>
        </w:rPr>
        <w:lastRenderedPageBreak/>
        <w:t>of the most significant etiological agents of gastroenteritis worldwide, responsible for an estimated 93 million cases and more than 150,000 deaths each year (</w:t>
      </w:r>
      <w:proofErr w:type="spellStart"/>
      <w:r w:rsidRPr="00905804">
        <w:rPr>
          <w:rFonts w:ascii="Arial" w:hAnsi="Arial" w:cs="Arial"/>
        </w:rPr>
        <w:t>Majowicz</w:t>
      </w:r>
      <w:proofErr w:type="spellEnd"/>
      <w:r w:rsidRPr="00905804">
        <w:rPr>
          <w:rFonts w:ascii="Arial" w:hAnsi="Arial" w:cs="Arial"/>
        </w:rPr>
        <w:t xml:space="preserve"> et al., 2010; WHO, 2018).</w:t>
      </w:r>
    </w:p>
    <w:p w14:paraId="78BE6A3D" w14:textId="12C2195D" w:rsidR="00AD055B" w:rsidRPr="00905804" w:rsidRDefault="00AD055B" w:rsidP="00CA4637">
      <w:pPr>
        <w:jc w:val="both"/>
        <w:rPr>
          <w:rFonts w:ascii="Arial" w:hAnsi="Arial" w:cs="Arial"/>
        </w:rPr>
      </w:pPr>
      <w:r w:rsidRPr="00905804">
        <w:rPr>
          <w:rFonts w:ascii="Arial" w:hAnsi="Arial" w:cs="Arial"/>
        </w:rPr>
        <w:t xml:space="preserve">Nontyphoidal </w:t>
      </w:r>
      <w:r w:rsidRPr="00905804">
        <w:rPr>
          <w:rFonts w:ascii="Arial" w:hAnsi="Arial" w:cs="Arial"/>
          <w:i/>
          <w:iCs/>
        </w:rPr>
        <w:t>Salmonella</w:t>
      </w:r>
      <w:r w:rsidRPr="00905804">
        <w:rPr>
          <w:rFonts w:ascii="Arial" w:hAnsi="Arial" w:cs="Arial"/>
        </w:rPr>
        <w:t xml:space="preserve"> (NTS) serovars, particularly </w:t>
      </w:r>
      <w:r w:rsidR="002168DD" w:rsidRPr="00905804">
        <w:rPr>
          <w:rFonts w:ascii="Arial" w:hAnsi="Arial" w:cs="Arial"/>
          <w:i/>
          <w:iCs/>
        </w:rPr>
        <w:t>S. enterica</w:t>
      </w:r>
      <w:r w:rsidR="002168DD" w:rsidRPr="00905804">
        <w:rPr>
          <w:rFonts w:ascii="Arial" w:hAnsi="Arial" w:cs="Arial"/>
          <w:b/>
          <w:bCs/>
        </w:rPr>
        <w:t xml:space="preserve"> </w:t>
      </w:r>
      <w:r w:rsidR="00373E00" w:rsidRPr="00905804">
        <w:rPr>
          <w:rFonts w:ascii="Arial" w:hAnsi="Arial" w:cs="Arial"/>
        </w:rPr>
        <w:t>have been</w:t>
      </w:r>
      <w:r w:rsidRPr="00905804">
        <w:rPr>
          <w:rFonts w:ascii="Arial" w:hAnsi="Arial" w:cs="Arial"/>
        </w:rPr>
        <w:t xml:space="preserve"> implicated in infections associated with foods of animal origin, including meat, poultry, eggs, and dairy products (Teklemariam et al., 2023; </w:t>
      </w:r>
      <w:proofErr w:type="spellStart"/>
      <w:r w:rsidRPr="00905804">
        <w:rPr>
          <w:rFonts w:ascii="Arial" w:hAnsi="Arial" w:cs="Arial"/>
        </w:rPr>
        <w:t>Rincón</w:t>
      </w:r>
      <w:proofErr w:type="spellEnd"/>
      <w:r w:rsidRPr="00905804">
        <w:rPr>
          <w:rFonts w:ascii="Arial" w:hAnsi="Arial" w:cs="Arial"/>
        </w:rPr>
        <w:t xml:space="preserve"> </w:t>
      </w:r>
      <w:proofErr w:type="spellStart"/>
      <w:r w:rsidRPr="00905804">
        <w:rPr>
          <w:rFonts w:ascii="Arial" w:hAnsi="Arial" w:cs="Arial"/>
        </w:rPr>
        <w:t>Gamboa</w:t>
      </w:r>
      <w:proofErr w:type="spellEnd"/>
      <w:r w:rsidRPr="00905804">
        <w:rPr>
          <w:rFonts w:ascii="Arial" w:hAnsi="Arial" w:cs="Arial"/>
        </w:rPr>
        <w:t xml:space="preserve"> et al., 2021). These organisms persist in the gastrointestinal tracts of food animals and can contaminate carcasses during slaughter, evisceration, and processing, especially where hygienic controls are inadequate (Yang et al., 2020; Foley et al., 2011). Once introduced into the food chain, </w:t>
      </w:r>
      <w:r w:rsidR="002168DD" w:rsidRPr="00905804">
        <w:rPr>
          <w:rFonts w:ascii="Arial" w:hAnsi="Arial" w:cs="Arial"/>
          <w:i/>
          <w:iCs/>
        </w:rPr>
        <w:t>S. enterica</w:t>
      </w:r>
      <w:r w:rsidR="002168DD" w:rsidRPr="00905804">
        <w:rPr>
          <w:rFonts w:ascii="Arial" w:hAnsi="Arial" w:cs="Arial"/>
          <w:b/>
          <w:bCs/>
        </w:rPr>
        <w:t xml:space="preserve"> </w:t>
      </w:r>
      <w:r w:rsidRPr="00905804">
        <w:rPr>
          <w:rFonts w:ascii="Arial" w:hAnsi="Arial" w:cs="Arial"/>
        </w:rPr>
        <w:t>can survive under a wide range of environmental conditions, making its elimination particularly challenging in informal food systems.</w:t>
      </w:r>
    </w:p>
    <w:p w14:paraId="3BFE8CF6" w14:textId="066A9CC6" w:rsidR="00AD055B" w:rsidRPr="00905804" w:rsidRDefault="00AD055B" w:rsidP="00CA4637">
      <w:pPr>
        <w:jc w:val="both"/>
        <w:rPr>
          <w:rFonts w:ascii="Arial" w:hAnsi="Arial" w:cs="Arial"/>
        </w:rPr>
      </w:pPr>
      <w:r w:rsidRPr="00905804">
        <w:rPr>
          <w:rFonts w:ascii="Arial" w:hAnsi="Arial" w:cs="Arial"/>
        </w:rPr>
        <w:t xml:space="preserve">The epidemiology of salmonellosis is closely linked to food production practices, slaughter hygiene, retail handling, and consumer behavior. In Nigeria, meat is predominantly sold through informal open markets characterized by minimal regulation, poor infrastructure, inadequate cold-chain facilities, and limited enforcement of food safety standards (Grace, 2015; </w:t>
      </w:r>
      <w:proofErr w:type="spellStart"/>
      <w:r w:rsidRPr="00905804">
        <w:rPr>
          <w:rFonts w:ascii="Arial" w:hAnsi="Arial" w:cs="Arial"/>
        </w:rPr>
        <w:t>Fasanmi</w:t>
      </w:r>
      <w:proofErr w:type="spellEnd"/>
      <w:r w:rsidRPr="00905804">
        <w:rPr>
          <w:rFonts w:ascii="Arial" w:hAnsi="Arial" w:cs="Arial"/>
        </w:rPr>
        <w:t xml:space="preserve"> et al., 2017). These conditions create an environment conducive to microbial contamination and amplification. Intestinal meat products, such as cow intestines locally referred to as “round about,” are especially high-risk commodities due to their direct contact with fecal material and intestinal contents during slaughter and processing.</w:t>
      </w:r>
    </w:p>
    <w:p w14:paraId="2F729B4D" w14:textId="77777777" w:rsidR="00AD055B" w:rsidRPr="00905804" w:rsidRDefault="00AD055B" w:rsidP="00CA4637">
      <w:pPr>
        <w:jc w:val="both"/>
        <w:rPr>
          <w:rFonts w:ascii="Arial" w:hAnsi="Arial" w:cs="Arial"/>
        </w:rPr>
      </w:pPr>
      <w:r w:rsidRPr="00905804">
        <w:rPr>
          <w:rFonts w:ascii="Arial" w:hAnsi="Arial" w:cs="Arial"/>
        </w:rPr>
        <w:t xml:space="preserve">Despite their popularity and cultural significance, cow intestines pose considerable microbiological hazards if not thoroughly cleaned and properly handled. Studies have demonstrated that edible offal often harbors higher bacterial loads than muscle meat, including enteric pathogens such as </w:t>
      </w:r>
      <w:r w:rsidRPr="00905804">
        <w:rPr>
          <w:rFonts w:ascii="Arial" w:hAnsi="Arial" w:cs="Arial"/>
          <w:i/>
          <w:iCs/>
        </w:rPr>
        <w:t>Salmonella</w:t>
      </w:r>
      <w:r w:rsidRPr="00905804">
        <w:rPr>
          <w:rFonts w:ascii="Arial" w:hAnsi="Arial" w:cs="Arial"/>
        </w:rPr>
        <w:t xml:space="preserve">, </w:t>
      </w:r>
      <w:r w:rsidRPr="00905804">
        <w:rPr>
          <w:rFonts w:ascii="Arial" w:hAnsi="Arial" w:cs="Arial"/>
          <w:i/>
          <w:iCs/>
        </w:rPr>
        <w:t>Escherichia coli</w:t>
      </w:r>
      <w:r w:rsidRPr="00905804">
        <w:rPr>
          <w:rFonts w:ascii="Arial" w:hAnsi="Arial" w:cs="Arial"/>
        </w:rPr>
        <w:t xml:space="preserve">, and </w:t>
      </w:r>
      <w:r w:rsidRPr="00905804">
        <w:rPr>
          <w:rFonts w:ascii="Arial" w:hAnsi="Arial" w:cs="Arial"/>
          <w:i/>
          <w:iCs/>
        </w:rPr>
        <w:t>Campylobacter</w:t>
      </w:r>
      <w:r w:rsidRPr="00905804">
        <w:rPr>
          <w:rFonts w:ascii="Arial" w:hAnsi="Arial" w:cs="Arial"/>
        </w:rPr>
        <w:t xml:space="preserve"> species (</w:t>
      </w:r>
      <w:proofErr w:type="spellStart"/>
      <w:r w:rsidRPr="00905804">
        <w:rPr>
          <w:rFonts w:ascii="Arial" w:hAnsi="Arial" w:cs="Arial"/>
        </w:rPr>
        <w:t>Buncic</w:t>
      </w:r>
      <w:proofErr w:type="spellEnd"/>
      <w:r w:rsidRPr="00905804">
        <w:rPr>
          <w:rFonts w:ascii="Arial" w:hAnsi="Arial" w:cs="Arial"/>
        </w:rPr>
        <w:t xml:space="preserve"> &amp; </w:t>
      </w:r>
      <w:proofErr w:type="spellStart"/>
      <w:r w:rsidRPr="00905804">
        <w:rPr>
          <w:rFonts w:ascii="Arial" w:hAnsi="Arial" w:cs="Arial"/>
        </w:rPr>
        <w:t>Sofos</w:t>
      </w:r>
      <w:proofErr w:type="spellEnd"/>
      <w:r w:rsidRPr="00905804">
        <w:rPr>
          <w:rFonts w:ascii="Arial" w:hAnsi="Arial" w:cs="Arial"/>
        </w:rPr>
        <w:t xml:space="preserve">, 2012; </w:t>
      </w:r>
      <w:proofErr w:type="spellStart"/>
      <w:r w:rsidRPr="00905804">
        <w:rPr>
          <w:rFonts w:ascii="Arial" w:hAnsi="Arial" w:cs="Arial"/>
        </w:rPr>
        <w:t>Fasanmi</w:t>
      </w:r>
      <w:proofErr w:type="spellEnd"/>
      <w:r w:rsidRPr="00905804">
        <w:rPr>
          <w:rFonts w:ascii="Arial" w:hAnsi="Arial" w:cs="Arial"/>
        </w:rPr>
        <w:t xml:space="preserve"> et al., 2017). Regulatory microbiological standards, including those outlined by the U.S. Food and Drug Administration and the International Organization for Standardization, require raw meat intended for human consumption to be free from pathogenic microorganisms at levels that pose health risks (U.S. FDA, 2019; ISO, 2017). However, in informal markets, these standards are rarely monitored or enforced.</w:t>
      </w:r>
    </w:p>
    <w:p w14:paraId="4E57E41C" w14:textId="1F61BE0C" w:rsidR="00383B36" w:rsidRPr="00905804" w:rsidRDefault="00383B36" w:rsidP="00CA4637">
      <w:pPr>
        <w:jc w:val="both"/>
        <w:rPr>
          <w:rFonts w:ascii="Arial" w:hAnsi="Arial" w:cs="Arial"/>
        </w:rPr>
      </w:pPr>
      <w:r w:rsidRPr="00905804">
        <w:rPr>
          <w:rFonts w:ascii="Arial" w:hAnsi="Arial" w:cs="Arial"/>
        </w:rPr>
        <w:t xml:space="preserve">Beyond microbial contamination alone, the increasing prevalence of antimicrobial resistance (AMR) in foodborne pathogens has emerged as a major global public health threat. The misuse and overuse of antibiotics in human medicine and animal agriculture have accelerated the selection and dissemination of resistant bacteria along the food chain (Van </w:t>
      </w:r>
      <w:proofErr w:type="spellStart"/>
      <w:r w:rsidRPr="00905804">
        <w:rPr>
          <w:rFonts w:ascii="Arial" w:hAnsi="Arial" w:cs="Arial"/>
        </w:rPr>
        <w:t>Boeckel</w:t>
      </w:r>
      <w:proofErr w:type="spellEnd"/>
      <w:r w:rsidRPr="00905804">
        <w:rPr>
          <w:rFonts w:ascii="Arial" w:hAnsi="Arial" w:cs="Arial"/>
        </w:rPr>
        <w:t xml:space="preserve"> et al., 2015; O’Neill, 2016). Quinolones and fluoroquinolones, including </w:t>
      </w:r>
      <w:r w:rsidR="000A297B" w:rsidRPr="00905804">
        <w:rPr>
          <w:rFonts w:ascii="Arial" w:hAnsi="Arial" w:cs="Arial"/>
        </w:rPr>
        <w:t>C</w:t>
      </w:r>
      <w:r w:rsidRPr="00905804">
        <w:rPr>
          <w:rFonts w:ascii="Arial" w:hAnsi="Arial" w:cs="Arial"/>
        </w:rPr>
        <w:t xml:space="preserve">iprofloxacin, </w:t>
      </w:r>
      <w:r w:rsidR="000A297B" w:rsidRPr="00905804">
        <w:rPr>
          <w:rFonts w:ascii="Arial" w:hAnsi="Arial" w:cs="Arial"/>
        </w:rPr>
        <w:t>L</w:t>
      </w:r>
      <w:r w:rsidRPr="00905804">
        <w:rPr>
          <w:rFonts w:ascii="Arial" w:hAnsi="Arial" w:cs="Arial"/>
        </w:rPr>
        <w:t xml:space="preserve">evofloxacin, </w:t>
      </w:r>
      <w:r w:rsidR="008E4E5C" w:rsidRPr="00905804">
        <w:rPr>
          <w:rFonts w:ascii="Arial" w:hAnsi="Arial" w:cs="Arial"/>
        </w:rPr>
        <w:t>O</w:t>
      </w:r>
      <w:r w:rsidRPr="00905804">
        <w:rPr>
          <w:rFonts w:ascii="Arial" w:hAnsi="Arial" w:cs="Arial"/>
        </w:rPr>
        <w:t xml:space="preserve">floxacin and </w:t>
      </w:r>
      <w:r w:rsidR="000A297B" w:rsidRPr="00905804">
        <w:rPr>
          <w:rFonts w:ascii="Arial" w:hAnsi="Arial" w:cs="Arial"/>
        </w:rPr>
        <w:t>N</w:t>
      </w:r>
      <w:r w:rsidRPr="00905804">
        <w:rPr>
          <w:rFonts w:ascii="Arial" w:hAnsi="Arial" w:cs="Arial"/>
        </w:rPr>
        <w:t xml:space="preserve">alidixic acid are classified as critically important antimicrobials for human medicine and remain first-line agents for the treatment of severe and invasive salmonellosis (WHO, 2019; Yin et al., 2022). </w:t>
      </w:r>
      <w:r w:rsidRPr="00905804">
        <w:rPr>
          <w:rFonts w:ascii="Arial" w:hAnsi="Arial" w:cs="Arial"/>
        </w:rPr>
        <w:lastRenderedPageBreak/>
        <w:t>Consequently, resistance to these agents poses serious challenges to clinical management and public health control strategies.</w:t>
      </w:r>
    </w:p>
    <w:p w14:paraId="1CD6D4C6" w14:textId="198B0914" w:rsidR="00383B36" w:rsidRPr="00905804" w:rsidRDefault="00383B36" w:rsidP="00CA4637">
      <w:pPr>
        <w:jc w:val="both"/>
        <w:rPr>
          <w:rFonts w:ascii="Arial" w:hAnsi="Arial" w:cs="Arial"/>
        </w:rPr>
      </w:pPr>
      <w:r w:rsidRPr="00905804">
        <w:rPr>
          <w:rFonts w:ascii="Arial" w:hAnsi="Arial" w:cs="Arial"/>
        </w:rPr>
        <w:t xml:space="preserve">Quinolone resistance in </w:t>
      </w:r>
      <w:r w:rsidR="002168DD" w:rsidRPr="00905804">
        <w:rPr>
          <w:rFonts w:ascii="Arial" w:hAnsi="Arial" w:cs="Arial"/>
          <w:i/>
          <w:iCs/>
        </w:rPr>
        <w:t>S. enterica</w:t>
      </w:r>
      <w:r w:rsidR="002168DD" w:rsidRPr="00905804">
        <w:rPr>
          <w:rFonts w:ascii="Arial" w:hAnsi="Arial" w:cs="Arial"/>
          <w:b/>
          <w:bCs/>
        </w:rPr>
        <w:t xml:space="preserve"> </w:t>
      </w:r>
      <w:r w:rsidRPr="00905804">
        <w:rPr>
          <w:rFonts w:ascii="Arial" w:hAnsi="Arial" w:cs="Arial"/>
        </w:rPr>
        <w:t xml:space="preserve">arises predominantly through chromosomal mutations within the quinolone resistance-determining regions (QRDRs) of the </w:t>
      </w:r>
      <w:proofErr w:type="spellStart"/>
      <w:r w:rsidRPr="00905804">
        <w:rPr>
          <w:rFonts w:ascii="Arial" w:hAnsi="Arial" w:cs="Arial"/>
          <w:i/>
          <w:iCs/>
        </w:rPr>
        <w:t>gyrA</w:t>
      </w:r>
      <w:proofErr w:type="spellEnd"/>
      <w:r w:rsidRPr="00905804">
        <w:rPr>
          <w:rFonts w:ascii="Arial" w:hAnsi="Arial" w:cs="Arial"/>
        </w:rPr>
        <w:t xml:space="preserve">, </w:t>
      </w:r>
      <w:proofErr w:type="spellStart"/>
      <w:r w:rsidRPr="00905804">
        <w:rPr>
          <w:rFonts w:ascii="Arial" w:hAnsi="Arial" w:cs="Arial"/>
          <w:i/>
          <w:iCs/>
        </w:rPr>
        <w:t>gyrB</w:t>
      </w:r>
      <w:proofErr w:type="spellEnd"/>
      <w:r w:rsidRPr="00905804">
        <w:rPr>
          <w:rFonts w:ascii="Arial" w:hAnsi="Arial" w:cs="Arial"/>
        </w:rPr>
        <w:t xml:space="preserve">, </w:t>
      </w:r>
      <w:proofErr w:type="spellStart"/>
      <w:r w:rsidRPr="00905804">
        <w:rPr>
          <w:rFonts w:ascii="Arial" w:hAnsi="Arial" w:cs="Arial"/>
          <w:i/>
          <w:iCs/>
        </w:rPr>
        <w:t>parC</w:t>
      </w:r>
      <w:proofErr w:type="spellEnd"/>
      <w:r w:rsidRPr="00905804">
        <w:rPr>
          <w:rFonts w:ascii="Arial" w:hAnsi="Arial" w:cs="Arial"/>
        </w:rPr>
        <w:t xml:space="preserve">, and </w:t>
      </w:r>
      <w:proofErr w:type="spellStart"/>
      <w:r w:rsidRPr="00905804">
        <w:rPr>
          <w:rFonts w:ascii="Arial" w:hAnsi="Arial" w:cs="Arial"/>
          <w:i/>
          <w:iCs/>
        </w:rPr>
        <w:t>parE</w:t>
      </w:r>
      <w:proofErr w:type="spellEnd"/>
      <w:r w:rsidRPr="00905804">
        <w:rPr>
          <w:rFonts w:ascii="Arial" w:hAnsi="Arial" w:cs="Arial"/>
        </w:rPr>
        <w:t xml:space="preserve"> genes, as well as through plasmid-mediated quinolone resistance (PMQR) mechanisms involving </w:t>
      </w:r>
      <w:proofErr w:type="spellStart"/>
      <w:r w:rsidRPr="00905804">
        <w:rPr>
          <w:rFonts w:ascii="Arial" w:hAnsi="Arial" w:cs="Arial"/>
          <w:i/>
          <w:iCs/>
        </w:rPr>
        <w:t>qnr</w:t>
      </w:r>
      <w:proofErr w:type="spellEnd"/>
      <w:r w:rsidRPr="00905804">
        <w:rPr>
          <w:rFonts w:ascii="Arial" w:hAnsi="Arial" w:cs="Arial"/>
        </w:rPr>
        <w:t xml:space="preserve">, </w:t>
      </w:r>
      <w:proofErr w:type="spellStart"/>
      <w:proofErr w:type="gramStart"/>
      <w:r w:rsidRPr="00905804">
        <w:rPr>
          <w:rFonts w:ascii="Arial" w:hAnsi="Arial" w:cs="Arial"/>
          <w:i/>
          <w:iCs/>
        </w:rPr>
        <w:t>aac</w:t>
      </w:r>
      <w:proofErr w:type="spellEnd"/>
      <w:r w:rsidRPr="00905804">
        <w:rPr>
          <w:rFonts w:ascii="Arial" w:hAnsi="Arial" w:cs="Arial"/>
          <w:i/>
          <w:iCs/>
        </w:rPr>
        <w:t>(</w:t>
      </w:r>
      <w:proofErr w:type="gramEnd"/>
      <w:r w:rsidRPr="00905804">
        <w:rPr>
          <w:rFonts w:ascii="Arial" w:hAnsi="Arial" w:cs="Arial"/>
          <w:i/>
          <w:iCs/>
        </w:rPr>
        <w:t>6′)-</w:t>
      </w:r>
      <w:proofErr w:type="spellStart"/>
      <w:r w:rsidRPr="00905804">
        <w:rPr>
          <w:rFonts w:ascii="Arial" w:hAnsi="Arial" w:cs="Arial"/>
          <w:i/>
          <w:iCs/>
        </w:rPr>
        <w:t>Ib-cr</w:t>
      </w:r>
      <w:proofErr w:type="spellEnd"/>
      <w:r w:rsidRPr="00905804">
        <w:rPr>
          <w:rFonts w:ascii="Arial" w:hAnsi="Arial" w:cs="Arial"/>
        </w:rPr>
        <w:t xml:space="preserve">, and </w:t>
      </w:r>
      <w:proofErr w:type="spellStart"/>
      <w:r w:rsidRPr="00905804">
        <w:rPr>
          <w:rFonts w:ascii="Arial" w:hAnsi="Arial" w:cs="Arial"/>
          <w:i/>
          <w:iCs/>
        </w:rPr>
        <w:t>oqxAB</w:t>
      </w:r>
      <w:proofErr w:type="spellEnd"/>
      <w:r w:rsidRPr="00905804">
        <w:rPr>
          <w:rFonts w:ascii="Arial" w:hAnsi="Arial" w:cs="Arial"/>
        </w:rPr>
        <w:t xml:space="preserve"> genes (Redgrave et al., 2014; Yang et al., 2020). These resistance determinants reduce the binding affinity of quinolones </w:t>
      </w:r>
      <w:r w:rsidR="006F0679" w:rsidRPr="00905804">
        <w:rPr>
          <w:rFonts w:ascii="Arial" w:hAnsi="Arial" w:cs="Arial"/>
        </w:rPr>
        <w:t>for DNA gyrase and topoisomerase IV, thereby diminishing</w:t>
      </w:r>
      <w:r w:rsidRPr="00905804">
        <w:rPr>
          <w:rFonts w:ascii="Arial" w:hAnsi="Arial" w:cs="Arial"/>
        </w:rPr>
        <w:t xml:space="preserve"> antimicrobial activity. The circulation of such resistant </w:t>
      </w:r>
      <w:r w:rsidRPr="00905804">
        <w:rPr>
          <w:rFonts w:ascii="Arial" w:hAnsi="Arial" w:cs="Arial"/>
          <w:i/>
          <w:iCs/>
        </w:rPr>
        <w:t>Salmonella</w:t>
      </w:r>
      <w:r w:rsidRPr="00905804">
        <w:rPr>
          <w:rFonts w:ascii="Arial" w:hAnsi="Arial" w:cs="Arial"/>
        </w:rPr>
        <w:t xml:space="preserve"> strains in food sources substantially increases the risk of therapeutic failure, prolonged infection, and invasive disease, particularly among immunocompromised individuals, children, and the elderly.</w:t>
      </w:r>
    </w:p>
    <w:p w14:paraId="78AD7828" w14:textId="7D5CBCD6" w:rsidR="00383B36" w:rsidRPr="00905804" w:rsidRDefault="00383B36" w:rsidP="00CA4637">
      <w:pPr>
        <w:jc w:val="both"/>
        <w:rPr>
          <w:rFonts w:ascii="Arial" w:hAnsi="Arial" w:cs="Arial"/>
        </w:rPr>
      </w:pPr>
      <w:r w:rsidRPr="00905804">
        <w:rPr>
          <w:rFonts w:ascii="Arial" w:hAnsi="Arial" w:cs="Arial"/>
        </w:rPr>
        <w:t xml:space="preserve">From a phenotypic perspective, resistance to </w:t>
      </w:r>
      <w:r w:rsidR="006F0679" w:rsidRPr="00905804">
        <w:rPr>
          <w:rFonts w:ascii="Arial" w:hAnsi="Arial" w:cs="Arial"/>
        </w:rPr>
        <w:t>N</w:t>
      </w:r>
      <w:r w:rsidRPr="00905804">
        <w:rPr>
          <w:rFonts w:ascii="Arial" w:hAnsi="Arial" w:cs="Arial"/>
        </w:rPr>
        <w:t xml:space="preserve">alidixic acid </w:t>
      </w:r>
      <w:r w:rsidR="006F0679" w:rsidRPr="00905804">
        <w:rPr>
          <w:rFonts w:ascii="Arial" w:hAnsi="Arial" w:cs="Arial"/>
        </w:rPr>
        <w:t>is a critical and reliable marker for detecting</w:t>
      </w:r>
      <w:r w:rsidRPr="00905804">
        <w:rPr>
          <w:rFonts w:ascii="Arial" w:hAnsi="Arial" w:cs="Arial"/>
        </w:rPr>
        <w:t xml:space="preserve"> quinolone resistance in </w:t>
      </w:r>
      <w:r w:rsidR="002168DD" w:rsidRPr="00905804">
        <w:rPr>
          <w:rFonts w:ascii="Arial" w:hAnsi="Arial" w:cs="Arial"/>
          <w:i/>
          <w:iCs/>
        </w:rPr>
        <w:t>S. enterica</w:t>
      </w:r>
      <w:r w:rsidRPr="00905804">
        <w:rPr>
          <w:rFonts w:ascii="Arial" w:hAnsi="Arial" w:cs="Arial"/>
        </w:rPr>
        <w:t xml:space="preserve">. Nalidixic acid resistance is strongly associated with point mutations in the </w:t>
      </w:r>
      <w:proofErr w:type="spellStart"/>
      <w:r w:rsidRPr="00905804">
        <w:rPr>
          <w:rFonts w:ascii="Arial" w:hAnsi="Arial" w:cs="Arial"/>
          <w:i/>
          <w:iCs/>
        </w:rPr>
        <w:t>gyrA</w:t>
      </w:r>
      <w:proofErr w:type="spellEnd"/>
      <w:r w:rsidRPr="00905804">
        <w:rPr>
          <w:rFonts w:ascii="Arial" w:hAnsi="Arial" w:cs="Arial"/>
        </w:rPr>
        <w:t xml:space="preserve"> gene and is widely recognized as a sensitive screening indicator of early quinolone resistance. Importantly, </w:t>
      </w:r>
      <w:r w:rsidRPr="00905804">
        <w:rPr>
          <w:rFonts w:ascii="Arial" w:hAnsi="Arial" w:cs="Arial"/>
          <w:i/>
          <w:iCs/>
        </w:rPr>
        <w:t>Salmonella</w:t>
      </w:r>
      <w:r w:rsidRPr="00905804">
        <w:rPr>
          <w:rFonts w:ascii="Arial" w:hAnsi="Arial" w:cs="Arial"/>
        </w:rPr>
        <w:t xml:space="preserve"> isolates exhibiting </w:t>
      </w:r>
      <w:r w:rsidR="006F0679" w:rsidRPr="00905804">
        <w:rPr>
          <w:rFonts w:ascii="Arial" w:hAnsi="Arial" w:cs="Arial"/>
        </w:rPr>
        <w:t>N</w:t>
      </w:r>
      <w:r w:rsidRPr="00905804">
        <w:rPr>
          <w:rFonts w:ascii="Arial" w:hAnsi="Arial" w:cs="Arial"/>
        </w:rPr>
        <w:t xml:space="preserve">alidixic acid resistance may still appear susceptible to fluoroquinolones by routine disk diffusion testing, yet demonstrate reduced </w:t>
      </w:r>
      <w:r w:rsidR="006F0679" w:rsidRPr="00905804">
        <w:rPr>
          <w:rFonts w:ascii="Arial" w:hAnsi="Arial" w:cs="Arial"/>
        </w:rPr>
        <w:t>C</w:t>
      </w:r>
      <w:r w:rsidRPr="00905804">
        <w:rPr>
          <w:rFonts w:ascii="Arial" w:hAnsi="Arial" w:cs="Arial"/>
        </w:rPr>
        <w:t xml:space="preserve">iprofloxacin susceptibility that can compromise clinical outcomes. This has led to the recognition of </w:t>
      </w:r>
      <w:r w:rsidR="006F0679" w:rsidRPr="00905804">
        <w:rPr>
          <w:rFonts w:ascii="Arial" w:hAnsi="Arial" w:cs="Arial"/>
        </w:rPr>
        <w:t>N</w:t>
      </w:r>
      <w:r w:rsidRPr="00905804">
        <w:rPr>
          <w:rFonts w:ascii="Arial" w:hAnsi="Arial" w:cs="Arial"/>
        </w:rPr>
        <w:t>alidixic acid resistance as an essential phenotypic tool for identifying isolates with underlying QRDR mutations that may not be fully captured by fluoroquinolone breakpoints alone.</w:t>
      </w:r>
    </w:p>
    <w:p w14:paraId="31E79AA2" w14:textId="7D670A3F" w:rsidR="00383B36" w:rsidRPr="00905804" w:rsidRDefault="00383B36" w:rsidP="00CA4637">
      <w:pPr>
        <w:jc w:val="both"/>
        <w:rPr>
          <w:rFonts w:ascii="Arial" w:hAnsi="Arial" w:cs="Arial"/>
        </w:rPr>
      </w:pPr>
      <w:r w:rsidRPr="00905804">
        <w:rPr>
          <w:rFonts w:ascii="Arial" w:hAnsi="Arial" w:cs="Arial"/>
        </w:rPr>
        <w:t xml:space="preserve">In addition to </w:t>
      </w:r>
      <w:r w:rsidR="006F0679" w:rsidRPr="00905804">
        <w:rPr>
          <w:rFonts w:ascii="Arial" w:hAnsi="Arial" w:cs="Arial"/>
        </w:rPr>
        <w:t>N</w:t>
      </w:r>
      <w:r w:rsidRPr="00905804">
        <w:rPr>
          <w:rFonts w:ascii="Arial" w:hAnsi="Arial" w:cs="Arial"/>
        </w:rPr>
        <w:t xml:space="preserve">alidixic acid, the evaluation of susceptibility to fluoroquinolones such as </w:t>
      </w:r>
      <w:r w:rsidR="00372444" w:rsidRPr="00905804">
        <w:rPr>
          <w:rFonts w:ascii="Arial" w:hAnsi="Arial" w:cs="Arial"/>
        </w:rPr>
        <w:t>C</w:t>
      </w:r>
      <w:r w:rsidRPr="00905804">
        <w:rPr>
          <w:rFonts w:ascii="Arial" w:hAnsi="Arial" w:cs="Arial"/>
        </w:rPr>
        <w:t xml:space="preserve">iprofloxacin provides complementary phenotypic evidence of quinolone resistance. Reduced </w:t>
      </w:r>
      <w:r w:rsidR="00372444" w:rsidRPr="00905804">
        <w:rPr>
          <w:rFonts w:ascii="Arial" w:hAnsi="Arial" w:cs="Arial"/>
        </w:rPr>
        <w:t>C</w:t>
      </w:r>
      <w:r w:rsidRPr="00905804">
        <w:rPr>
          <w:rFonts w:ascii="Arial" w:hAnsi="Arial" w:cs="Arial"/>
        </w:rPr>
        <w:t xml:space="preserve">iprofloxacin susceptibility may reflect either chromosomal QRDR mutations or PMQR mechanisms, the latter of which often confer low-level resistance and may not be associated with </w:t>
      </w:r>
      <w:r w:rsidR="00372444" w:rsidRPr="00905804">
        <w:rPr>
          <w:rFonts w:ascii="Arial" w:hAnsi="Arial" w:cs="Arial"/>
        </w:rPr>
        <w:t>N</w:t>
      </w:r>
      <w:r w:rsidRPr="00905804">
        <w:rPr>
          <w:rFonts w:ascii="Arial" w:hAnsi="Arial" w:cs="Arial"/>
        </w:rPr>
        <w:t xml:space="preserve">alidixic acid resistance. Therefore, the combined phenotypic assessment of </w:t>
      </w:r>
      <w:r w:rsidR="00656FE6" w:rsidRPr="00905804">
        <w:rPr>
          <w:rFonts w:ascii="Arial" w:hAnsi="Arial" w:cs="Arial"/>
        </w:rPr>
        <w:t>N</w:t>
      </w:r>
      <w:r w:rsidRPr="00905804">
        <w:rPr>
          <w:rFonts w:ascii="Arial" w:hAnsi="Arial" w:cs="Arial"/>
        </w:rPr>
        <w:t xml:space="preserve">alidixic acid resistance alongside fluoroquinolone susceptibility patterns offers a more comprehensive approach for detecting both classical and emerging quinolone resistance mechanisms in </w:t>
      </w:r>
      <w:r w:rsidR="00B97F17" w:rsidRPr="00905804">
        <w:rPr>
          <w:rFonts w:ascii="Arial" w:hAnsi="Arial" w:cs="Arial"/>
          <w:i/>
          <w:iCs/>
        </w:rPr>
        <w:t>S. enterica</w:t>
      </w:r>
      <w:r w:rsidRPr="00905804">
        <w:rPr>
          <w:rFonts w:ascii="Arial" w:hAnsi="Arial" w:cs="Arial"/>
        </w:rPr>
        <w:t>. This integrated strategy enhances surveillance accuracy and improves the identification of isolates with clinically significant reduced susceptibility that may otherwise go undetected.</w:t>
      </w:r>
    </w:p>
    <w:p w14:paraId="7B4C5988" w14:textId="6793D7E0" w:rsidR="00AD055B" w:rsidRPr="00905804" w:rsidRDefault="00AD055B" w:rsidP="00CA4637">
      <w:pPr>
        <w:jc w:val="both"/>
        <w:rPr>
          <w:rFonts w:ascii="Arial" w:hAnsi="Arial" w:cs="Arial"/>
        </w:rPr>
      </w:pPr>
      <w:r w:rsidRPr="00905804">
        <w:rPr>
          <w:rFonts w:ascii="Arial" w:hAnsi="Arial" w:cs="Arial"/>
        </w:rPr>
        <w:t xml:space="preserve">Globally, surveillance studies have reported rising rates of quinolone-resistant </w:t>
      </w:r>
      <w:r w:rsidRPr="00905804">
        <w:rPr>
          <w:rFonts w:ascii="Arial" w:hAnsi="Arial" w:cs="Arial"/>
          <w:i/>
          <w:iCs/>
        </w:rPr>
        <w:t>Salmonella</w:t>
      </w:r>
      <w:r w:rsidRPr="00905804">
        <w:rPr>
          <w:rFonts w:ascii="Arial" w:hAnsi="Arial" w:cs="Arial"/>
        </w:rPr>
        <w:t xml:space="preserve"> in retail meats and food animals, especially in regions with high antimicrobial usage in livestock production (</w:t>
      </w:r>
      <w:proofErr w:type="spellStart"/>
      <w:r w:rsidRPr="00905804">
        <w:rPr>
          <w:rFonts w:ascii="Arial" w:hAnsi="Arial" w:cs="Arial"/>
        </w:rPr>
        <w:t>Rincón</w:t>
      </w:r>
      <w:proofErr w:type="spellEnd"/>
      <w:r w:rsidRPr="00905804">
        <w:rPr>
          <w:rFonts w:ascii="Arial" w:hAnsi="Arial" w:cs="Arial"/>
        </w:rPr>
        <w:t xml:space="preserve"> </w:t>
      </w:r>
      <w:proofErr w:type="spellStart"/>
      <w:r w:rsidRPr="00905804">
        <w:rPr>
          <w:rFonts w:ascii="Arial" w:hAnsi="Arial" w:cs="Arial"/>
        </w:rPr>
        <w:t>Gamboa</w:t>
      </w:r>
      <w:proofErr w:type="spellEnd"/>
      <w:r w:rsidRPr="00905804">
        <w:rPr>
          <w:rFonts w:ascii="Arial" w:hAnsi="Arial" w:cs="Arial"/>
        </w:rPr>
        <w:t xml:space="preserve"> et al., 2021; Yin et al., 2022). In Africa, including Nigeria, several studies have documented multidrug-resistant </w:t>
      </w:r>
      <w:r w:rsidRPr="00905804">
        <w:rPr>
          <w:rFonts w:ascii="Arial" w:hAnsi="Arial" w:cs="Arial"/>
          <w:i/>
          <w:iCs/>
        </w:rPr>
        <w:t>Salmonella</w:t>
      </w:r>
      <w:r w:rsidRPr="00905804">
        <w:rPr>
          <w:rFonts w:ascii="Arial" w:hAnsi="Arial" w:cs="Arial"/>
        </w:rPr>
        <w:t xml:space="preserve"> and other Enterobacteriaceae in meat, poultry, and dairy products (</w:t>
      </w:r>
      <w:proofErr w:type="spellStart"/>
      <w:r w:rsidRPr="00905804">
        <w:rPr>
          <w:rFonts w:ascii="Arial" w:hAnsi="Arial" w:cs="Arial"/>
        </w:rPr>
        <w:t>Adebesin</w:t>
      </w:r>
      <w:proofErr w:type="spellEnd"/>
      <w:r w:rsidRPr="00905804">
        <w:rPr>
          <w:rFonts w:ascii="Arial" w:hAnsi="Arial" w:cs="Arial"/>
        </w:rPr>
        <w:t xml:space="preserve"> et al., 2023; </w:t>
      </w:r>
      <w:proofErr w:type="spellStart"/>
      <w:r w:rsidRPr="00905804">
        <w:rPr>
          <w:rFonts w:ascii="Arial" w:hAnsi="Arial" w:cs="Arial"/>
        </w:rPr>
        <w:t>Ayichew</w:t>
      </w:r>
      <w:proofErr w:type="spellEnd"/>
      <w:r w:rsidRPr="00905804">
        <w:rPr>
          <w:rFonts w:ascii="Arial" w:hAnsi="Arial" w:cs="Arial"/>
        </w:rPr>
        <w:t xml:space="preserve"> et al., 2024; </w:t>
      </w:r>
      <w:proofErr w:type="spellStart"/>
      <w:r w:rsidRPr="00905804">
        <w:rPr>
          <w:rFonts w:ascii="Arial" w:hAnsi="Arial" w:cs="Arial"/>
        </w:rPr>
        <w:t>Fashae</w:t>
      </w:r>
      <w:proofErr w:type="spellEnd"/>
      <w:r w:rsidRPr="00905804">
        <w:rPr>
          <w:rFonts w:ascii="Arial" w:hAnsi="Arial" w:cs="Arial"/>
        </w:rPr>
        <w:t xml:space="preserve"> et al., 2018). However, data specifically addressing quinolone resistance in </w:t>
      </w:r>
      <w:r w:rsidRPr="00905804">
        <w:rPr>
          <w:rFonts w:ascii="Arial" w:hAnsi="Arial" w:cs="Arial"/>
          <w:i/>
          <w:iCs/>
        </w:rPr>
        <w:t>Salmonella</w:t>
      </w:r>
      <w:r w:rsidR="00114B0A" w:rsidRPr="00905804">
        <w:rPr>
          <w:rFonts w:ascii="Arial" w:hAnsi="Arial" w:cs="Arial"/>
          <w:i/>
          <w:iCs/>
        </w:rPr>
        <w:t xml:space="preserve"> enterica</w:t>
      </w:r>
      <w:r w:rsidRPr="00905804">
        <w:rPr>
          <w:rFonts w:ascii="Arial" w:hAnsi="Arial" w:cs="Arial"/>
        </w:rPr>
        <w:t xml:space="preserve"> isolated from cow intestines sold in Nigerian open markets remain limited.</w:t>
      </w:r>
    </w:p>
    <w:p w14:paraId="1FD6655D" w14:textId="34480D1E" w:rsidR="001766EF" w:rsidRPr="00905804" w:rsidRDefault="00AD055B" w:rsidP="00CA4637">
      <w:pPr>
        <w:jc w:val="both"/>
        <w:rPr>
          <w:rFonts w:ascii="Arial" w:hAnsi="Arial" w:cs="Arial"/>
        </w:rPr>
      </w:pPr>
      <w:r w:rsidRPr="00905804">
        <w:rPr>
          <w:rFonts w:ascii="Arial" w:hAnsi="Arial" w:cs="Arial"/>
        </w:rPr>
        <w:lastRenderedPageBreak/>
        <w:t xml:space="preserve">Given the public health importance of </w:t>
      </w:r>
      <w:r w:rsidR="00067760" w:rsidRPr="00905804">
        <w:rPr>
          <w:rFonts w:ascii="Arial" w:hAnsi="Arial" w:cs="Arial"/>
          <w:i/>
          <w:iCs/>
        </w:rPr>
        <w:t>S. enterica,</w:t>
      </w:r>
      <w:r w:rsidR="00067760" w:rsidRPr="00905804">
        <w:rPr>
          <w:rFonts w:ascii="Arial" w:hAnsi="Arial" w:cs="Arial"/>
          <w:b/>
          <w:bCs/>
        </w:rPr>
        <w:t xml:space="preserve"> </w:t>
      </w:r>
      <w:r w:rsidRPr="00905804">
        <w:rPr>
          <w:rFonts w:ascii="Arial" w:hAnsi="Arial" w:cs="Arial"/>
        </w:rPr>
        <w:t xml:space="preserve">the widespread consumption of cow intestines, and the critical role of quinolones in therapy, there is an urgent need for targeted surveillance studies. </w:t>
      </w:r>
      <w:r w:rsidR="001924B5" w:rsidRPr="00905804">
        <w:rPr>
          <w:rFonts w:ascii="Arial" w:hAnsi="Arial" w:cs="Arial"/>
        </w:rPr>
        <w:t xml:space="preserve">This study assessed the prevalence of </w:t>
      </w:r>
      <w:r w:rsidR="00393AA9" w:rsidRPr="00905804">
        <w:rPr>
          <w:rFonts w:ascii="Arial" w:hAnsi="Arial" w:cs="Arial"/>
          <w:i/>
          <w:iCs/>
        </w:rPr>
        <w:t>S. enterica</w:t>
      </w:r>
      <w:r w:rsidR="00393AA9" w:rsidRPr="00905804">
        <w:rPr>
          <w:rFonts w:ascii="Arial" w:hAnsi="Arial" w:cs="Arial"/>
          <w:b/>
          <w:bCs/>
        </w:rPr>
        <w:t xml:space="preserve"> </w:t>
      </w:r>
      <w:r w:rsidR="001924B5" w:rsidRPr="00905804">
        <w:rPr>
          <w:rFonts w:ascii="Arial" w:hAnsi="Arial" w:cs="Arial"/>
        </w:rPr>
        <w:t>in cow intestines and characterized their phenotypic susceptibility to quinolones, using Nalidixic acid as a primary marker of phenotypic quinolone resistance alongside selected fluoroquinolones. The findings contribute important evidence for food safety risk assessment and support ongoing surveillance of antimicrobial resistance within informal meat supply chains.</w:t>
      </w:r>
    </w:p>
    <w:p w14:paraId="58A725E3" w14:textId="0B441EAB" w:rsidR="00AA0EF4" w:rsidRPr="00905804" w:rsidRDefault="00AA0EF4" w:rsidP="00CA4637">
      <w:pPr>
        <w:jc w:val="both"/>
        <w:rPr>
          <w:rFonts w:ascii="Arial" w:hAnsi="Arial" w:cs="Arial"/>
          <w:b/>
          <w:bCs/>
        </w:rPr>
      </w:pPr>
      <w:r w:rsidRPr="00905804">
        <w:rPr>
          <w:rFonts w:ascii="Arial" w:hAnsi="Arial" w:cs="Arial"/>
          <w:b/>
          <w:bCs/>
        </w:rPr>
        <w:t xml:space="preserve">MATERIALS AND METHODS </w:t>
      </w:r>
    </w:p>
    <w:p w14:paraId="7F4573C9" w14:textId="77777777" w:rsidR="00076438" w:rsidRPr="00905804" w:rsidRDefault="00076438" w:rsidP="00CA4637">
      <w:pPr>
        <w:jc w:val="both"/>
        <w:rPr>
          <w:rFonts w:ascii="Arial" w:hAnsi="Arial" w:cs="Arial"/>
          <w:b/>
          <w:bCs/>
        </w:rPr>
      </w:pPr>
      <w:r w:rsidRPr="00905804">
        <w:rPr>
          <w:rFonts w:ascii="Arial" w:hAnsi="Arial" w:cs="Arial"/>
          <w:b/>
          <w:bCs/>
        </w:rPr>
        <w:t>Study Area</w:t>
      </w:r>
    </w:p>
    <w:p w14:paraId="2677DBE2" w14:textId="77777777" w:rsidR="00076438" w:rsidRPr="00905804" w:rsidRDefault="00076438" w:rsidP="00CA4637">
      <w:pPr>
        <w:jc w:val="both"/>
        <w:rPr>
          <w:rFonts w:ascii="Arial" w:hAnsi="Arial" w:cs="Arial"/>
        </w:rPr>
      </w:pPr>
      <w:r w:rsidRPr="00905804">
        <w:rPr>
          <w:rFonts w:ascii="Arial" w:hAnsi="Arial" w:cs="Arial"/>
        </w:rPr>
        <w:t>The study was conducted in Port Harcourt, the capital of Rivers State, located in the Niger Delta region of southern Nigeria. Port Harcourt lies between latitudes 4.75°–4.90° N and longitudes 6.95°–7.10° E, with a mean elevation of approximately 18 m above sea level. The city experiences a tropical monsoon climate, characterized by high annual rainfall (2,000–2,500 mm), elevated humidity, and average temperatures ranging from 25 °C to 32 °C, conditions that can favor bacterial survival and proliferation in food products.</w:t>
      </w:r>
    </w:p>
    <w:p w14:paraId="5F3B3C4D" w14:textId="77777777" w:rsidR="00076438" w:rsidRPr="00905804" w:rsidRDefault="00076438" w:rsidP="00CA4637">
      <w:pPr>
        <w:jc w:val="both"/>
        <w:rPr>
          <w:rFonts w:ascii="Arial" w:hAnsi="Arial" w:cs="Arial"/>
        </w:rPr>
      </w:pPr>
      <w:r w:rsidRPr="00905804">
        <w:rPr>
          <w:rFonts w:ascii="Arial" w:hAnsi="Arial" w:cs="Arial"/>
        </w:rPr>
        <w:t>Port Harcourt is a major commercial and industrial hub with a rapidly growing population and a high demand for fresh meat. A substantial proportion of meat consumed in the city is distributed through informal open markets, where slaughtering, processing, and retailing often occur under variable hygienic conditions. These markets are typically characterized by limited cold-chain infrastructure, high vendor turnover, and minimal regulatory oversight. Such conditions increase the risk of microbial contamination of meat products, including bovine intestines.</w:t>
      </w:r>
    </w:p>
    <w:p w14:paraId="7E852F95" w14:textId="1B8009A1" w:rsidR="00076438" w:rsidRPr="00905804" w:rsidRDefault="00076438" w:rsidP="00CA4637">
      <w:pPr>
        <w:jc w:val="both"/>
        <w:rPr>
          <w:rFonts w:ascii="Arial" w:hAnsi="Arial" w:cs="Arial"/>
        </w:rPr>
      </w:pPr>
      <w:r w:rsidRPr="00905804">
        <w:rPr>
          <w:rFonts w:ascii="Arial" w:hAnsi="Arial" w:cs="Arial"/>
        </w:rPr>
        <w:t xml:space="preserve">The selected study area is therefore epidemiologically relevant, as it represents a typical urban informal meat supply chain in southern Nigeria. Investigating </w:t>
      </w:r>
      <w:r w:rsidRPr="00905804">
        <w:rPr>
          <w:rFonts w:ascii="Arial" w:hAnsi="Arial" w:cs="Arial"/>
          <w:i/>
          <w:iCs/>
        </w:rPr>
        <w:t>S</w:t>
      </w:r>
      <w:r w:rsidR="008E4E5C" w:rsidRPr="00905804">
        <w:rPr>
          <w:rFonts w:ascii="Arial" w:hAnsi="Arial" w:cs="Arial"/>
          <w:i/>
          <w:iCs/>
        </w:rPr>
        <w:t>.</w:t>
      </w:r>
      <w:r w:rsidRPr="00905804">
        <w:rPr>
          <w:rFonts w:ascii="Arial" w:hAnsi="Arial" w:cs="Arial"/>
          <w:i/>
          <w:iCs/>
        </w:rPr>
        <w:t xml:space="preserve"> enterica</w:t>
      </w:r>
      <w:r w:rsidRPr="00905804">
        <w:rPr>
          <w:rFonts w:ascii="Arial" w:hAnsi="Arial" w:cs="Arial"/>
        </w:rPr>
        <w:t xml:space="preserve"> contamination within this context provides critical insights into food safety risks and antimicrobial resistance dynamics in settings where consumer exposure is likely to be high.</w:t>
      </w:r>
    </w:p>
    <w:p w14:paraId="20C65F8A" w14:textId="77777777" w:rsidR="00AC11B4" w:rsidRPr="00905804" w:rsidRDefault="00421434" w:rsidP="00CA4637">
      <w:pPr>
        <w:jc w:val="both"/>
        <w:rPr>
          <w:rFonts w:ascii="Arial" w:hAnsi="Arial" w:cs="Arial"/>
          <w:b/>
          <w:bCs/>
        </w:rPr>
      </w:pPr>
      <w:r w:rsidRPr="00905804">
        <w:rPr>
          <w:rFonts w:ascii="Arial" w:hAnsi="Arial" w:cs="Arial"/>
          <w:b/>
          <w:bCs/>
        </w:rPr>
        <w:t xml:space="preserve">Sample size </w:t>
      </w:r>
    </w:p>
    <w:p w14:paraId="6A81AE32" w14:textId="754BF683" w:rsidR="00AC11B4" w:rsidRPr="00905804" w:rsidRDefault="00AC11B4" w:rsidP="00CA4637">
      <w:pPr>
        <w:jc w:val="both"/>
        <w:rPr>
          <w:rFonts w:ascii="Arial" w:hAnsi="Arial" w:cs="Arial"/>
        </w:rPr>
      </w:pPr>
      <w:r w:rsidRPr="00905804">
        <w:rPr>
          <w:rFonts w:ascii="Arial" w:hAnsi="Arial" w:cs="Arial"/>
        </w:rPr>
        <w:t>The sample size was determined using the standard formula for estimating prevalence in cross-sectional studies:</w:t>
      </w:r>
    </w:p>
    <w:p w14:paraId="55E74CA7" w14:textId="77777777" w:rsidR="00421434" w:rsidRPr="00905804" w:rsidRDefault="00421434" w:rsidP="00CA4637">
      <w:pPr>
        <w:jc w:val="both"/>
        <w:rPr>
          <w:rFonts w:ascii="Arial" w:hAnsi="Arial" w:cs="Arial"/>
        </w:rPr>
      </w:pPr>
      <w:r w:rsidRPr="00905804">
        <w:rPr>
          <w:rFonts w:ascii="Arial" w:hAnsi="Arial" w:cs="Arial"/>
        </w:rPr>
        <w:t>n = (Z² × P × (1 − P)) / d²</w:t>
      </w:r>
    </w:p>
    <w:p w14:paraId="25748640" w14:textId="77777777" w:rsidR="00421434" w:rsidRPr="00905804" w:rsidRDefault="00421434" w:rsidP="00CA4637">
      <w:pPr>
        <w:jc w:val="both"/>
        <w:rPr>
          <w:rFonts w:ascii="Arial" w:hAnsi="Arial" w:cs="Arial"/>
        </w:rPr>
      </w:pPr>
      <w:r w:rsidRPr="00905804">
        <w:rPr>
          <w:rFonts w:ascii="Arial" w:hAnsi="Arial" w:cs="Arial"/>
        </w:rPr>
        <w:t>Where:</w:t>
      </w:r>
      <w:r w:rsidRPr="00905804">
        <w:rPr>
          <w:rFonts w:ascii="Arial" w:hAnsi="Arial" w:cs="Arial"/>
        </w:rPr>
        <w:br/>
        <w:t>n = minimum required sample size</w:t>
      </w:r>
      <w:r w:rsidRPr="00905804">
        <w:rPr>
          <w:rFonts w:ascii="Arial" w:hAnsi="Arial" w:cs="Arial"/>
        </w:rPr>
        <w:br/>
        <w:t>Z = standard normal deviate at 95% confidence level (1.96)</w:t>
      </w:r>
      <w:r w:rsidRPr="00905804">
        <w:rPr>
          <w:rFonts w:ascii="Arial" w:hAnsi="Arial" w:cs="Arial"/>
        </w:rPr>
        <w:br/>
      </w:r>
      <w:r w:rsidRPr="00905804">
        <w:rPr>
          <w:rFonts w:ascii="Arial" w:hAnsi="Arial" w:cs="Arial"/>
        </w:rPr>
        <w:lastRenderedPageBreak/>
        <w:t xml:space="preserve">P = estimated prevalence of </w:t>
      </w:r>
      <w:r w:rsidRPr="00905804">
        <w:rPr>
          <w:rFonts w:ascii="Arial" w:hAnsi="Arial" w:cs="Arial"/>
          <w:i/>
          <w:iCs/>
        </w:rPr>
        <w:t>Salmonella enterica</w:t>
      </w:r>
      <w:r w:rsidRPr="00905804">
        <w:rPr>
          <w:rFonts w:ascii="Arial" w:hAnsi="Arial" w:cs="Arial"/>
        </w:rPr>
        <w:t xml:space="preserve"> from a previous study</w:t>
      </w:r>
      <w:r w:rsidRPr="00905804">
        <w:rPr>
          <w:rFonts w:ascii="Arial" w:hAnsi="Arial" w:cs="Arial"/>
        </w:rPr>
        <w:br/>
        <w:t>d = margin of error (precision), set at 0.05</w:t>
      </w:r>
    </w:p>
    <w:p w14:paraId="024F0817" w14:textId="77777777" w:rsidR="00421434" w:rsidRPr="00905804" w:rsidRDefault="00421434" w:rsidP="00CA4637">
      <w:pPr>
        <w:jc w:val="both"/>
        <w:rPr>
          <w:rFonts w:ascii="Arial" w:hAnsi="Arial" w:cs="Arial"/>
        </w:rPr>
      </w:pPr>
      <w:r w:rsidRPr="00905804">
        <w:rPr>
          <w:rFonts w:ascii="Arial" w:hAnsi="Arial" w:cs="Arial"/>
        </w:rPr>
        <w:t>Substitution used in this study</w:t>
      </w:r>
    </w:p>
    <w:p w14:paraId="2CF60EBB" w14:textId="77777777" w:rsidR="00421434" w:rsidRPr="00905804" w:rsidRDefault="00421434" w:rsidP="00CA4637">
      <w:pPr>
        <w:jc w:val="both"/>
        <w:rPr>
          <w:rFonts w:ascii="Arial" w:hAnsi="Arial" w:cs="Arial"/>
        </w:rPr>
      </w:pPr>
      <w:r w:rsidRPr="00905804">
        <w:rPr>
          <w:rFonts w:ascii="Arial" w:hAnsi="Arial" w:cs="Arial"/>
        </w:rPr>
        <w:t>n = (1.96² × 0.13 × (1 − 0.13)) / 0.05²</w:t>
      </w:r>
    </w:p>
    <w:p w14:paraId="769FF480" w14:textId="77777777" w:rsidR="00421434" w:rsidRPr="00905804" w:rsidRDefault="00421434" w:rsidP="00CA4637">
      <w:pPr>
        <w:jc w:val="both"/>
        <w:rPr>
          <w:rFonts w:ascii="Arial" w:hAnsi="Arial" w:cs="Arial"/>
        </w:rPr>
      </w:pPr>
      <w:r w:rsidRPr="00905804">
        <w:rPr>
          <w:rFonts w:ascii="Arial" w:hAnsi="Arial" w:cs="Arial"/>
        </w:rPr>
        <w:t>n = (3.84 × 0.13 × 0.87) / 0.0025</w:t>
      </w:r>
    </w:p>
    <w:p w14:paraId="7173B7CD" w14:textId="77777777" w:rsidR="00421434" w:rsidRPr="00905804" w:rsidRDefault="00421434" w:rsidP="00CA4637">
      <w:pPr>
        <w:jc w:val="both"/>
        <w:rPr>
          <w:rFonts w:ascii="Arial" w:hAnsi="Arial" w:cs="Arial"/>
        </w:rPr>
      </w:pPr>
      <w:r w:rsidRPr="00905804">
        <w:rPr>
          <w:rFonts w:ascii="Arial" w:hAnsi="Arial" w:cs="Arial"/>
        </w:rPr>
        <w:t>n ≈ 174</w:t>
      </w:r>
    </w:p>
    <w:p w14:paraId="7F5F237D" w14:textId="59ADBECC" w:rsidR="00421434" w:rsidRPr="00905804" w:rsidRDefault="00076438" w:rsidP="00CA4637">
      <w:pPr>
        <w:jc w:val="both"/>
        <w:rPr>
          <w:rFonts w:ascii="Arial" w:hAnsi="Arial" w:cs="Arial"/>
        </w:rPr>
      </w:pPr>
      <w:r w:rsidRPr="00905804">
        <w:rPr>
          <w:rFonts w:ascii="Arial" w:hAnsi="Arial" w:cs="Arial"/>
        </w:rPr>
        <w:t>P</w:t>
      </w:r>
      <w:r w:rsidR="00421434" w:rsidRPr="00905804">
        <w:rPr>
          <w:rFonts w:ascii="Arial" w:hAnsi="Arial" w:cs="Arial"/>
        </w:rPr>
        <w:t>revalence (</w:t>
      </w:r>
      <w:r w:rsidR="00421434" w:rsidRPr="00905804">
        <w:rPr>
          <w:rFonts w:ascii="Arial" w:hAnsi="Arial" w:cs="Arial"/>
          <w:i/>
          <w:iCs/>
        </w:rPr>
        <w:t>P</w:t>
      </w:r>
      <w:r w:rsidR="00421434" w:rsidRPr="00905804">
        <w:rPr>
          <w:rFonts w:ascii="Arial" w:hAnsi="Arial" w:cs="Arial"/>
        </w:rPr>
        <w:t>), w</w:t>
      </w:r>
      <w:r w:rsidRPr="00905804">
        <w:rPr>
          <w:rFonts w:ascii="Arial" w:hAnsi="Arial" w:cs="Arial"/>
        </w:rPr>
        <w:t xml:space="preserve">as derived from </w:t>
      </w:r>
      <w:r w:rsidR="00421434" w:rsidRPr="00905804">
        <w:rPr>
          <w:rFonts w:ascii="Arial" w:hAnsi="Arial" w:cs="Arial"/>
        </w:rPr>
        <w:t xml:space="preserve">a recently published cross-sectional study in Nigeria that reported a 13% prevalence of </w:t>
      </w:r>
      <w:r w:rsidR="00421434" w:rsidRPr="00905804">
        <w:rPr>
          <w:rFonts w:ascii="Arial" w:hAnsi="Arial" w:cs="Arial"/>
          <w:i/>
          <w:iCs/>
        </w:rPr>
        <w:t>Salmonella enterica</w:t>
      </w:r>
      <w:r w:rsidR="00421434" w:rsidRPr="00905804">
        <w:rPr>
          <w:rFonts w:ascii="Arial" w:hAnsi="Arial" w:cs="Arial"/>
        </w:rPr>
        <w:t xml:space="preserve"> in ready-to-eat food samples (</w:t>
      </w:r>
      <w:proofErr w:type="spellStart"/>
      <w:r w:rsidR="00421434" w:rsidRPr="00905804">
        <w:rPr>
          <w:rFonts w:ascii="Arial" w:hAnsi="Arial" w:cs="Arial"/>
        </w:rPr>
        <w:t>Makun</w:t>
      </w:r>
      <w:proofErr w:type="spellEnd"/>
      <w:r w:rsidR="00421434" w:rsidRPr="00905804">
        <w:rPr>
          <w:rFonts w:ascii="Arial" w:hAnsi="Arial" w:cs="Arial"/>
        </w:rPr>
        <w:t xml:space="preserve"> et al., 2025).</w:t>
      </w:r>
    </w:p>
    <w:p w14:paraId="1FEB4D1B" w14:textId="209235EB" w:rsidR="008C66D3" w:rsidRPr="00905804" w:rsidRDefault="008C66D3" w:rsidP="00CA4637">
      <w:pPr>
        <w:jc w:val="both"/>
        <w:rPr>
          <w:rFonts w:ascii="Arial" w:hAnsi="Arial" w:cs="Arial"/>
        </w:rPr>
      </w:pPr>
      <w:r w:rsidRPr="00905804">
        <w:rPr>
          <w:rFonts w:ascii="Arial" w:hAnsi="Arial" w:cs="Arial"/>
        </w:rPr>
        <w:t>To enhance the statistical robustness, precision of prevalence estimates, and representativeness across study sites, the sample size was increased to 192 samples. This adjustment also accounted for potential sample loss, contamination, or exclusion during laboratory processing, while allowing for equal allocation of samples across markets, thereby minimizing sampling bias and improving inter-market comparability.</w:t>
      </w:r>
    </w:p>
    <w:p w14:paraId="00BFCD6B" w14:textId="77777777" w:rsidR="00170E5F" w:rsidRPr="00905804" w:rsidRDefault="00170E5F" w:rsidP="00CA4637">
      <w:pPr>
        <w:jc w:val="both"/>
        <w:rPr>
          <w:rFonts w:ascii="Arial" w:hAnsi="Arial" w:cs="Arial"/>
          <w:b/>
          <w:bCs/>
        </w:rPr>
      </w:pPr>
      <w:r w:rsidRPr="00905804">
        <w:rPr>
          <w:rFonts w:ascii="Arial" w:hAnsi="Arial" w:cs="Arial"/>
          <w:b/>
          <w:bCs/>
        </w:rPr>
        <w:t>Sample Collection</w:t>
      </w:r>
    </w:p>
    <w:p w14:paraId="5C5229C8" w14:textId="77777777" w:rsidR="00170E5F" w:rsidRPr="00905804" w:rsidRDefault="00170E5F" w:rsidP="00CA4637">
      <w:pPr>
        <w:jc w:val="both"/>
        <w:rPr>
          <w:rFonts w:ascii="Arial" w:hAnsi="Arial" w:cs="Arial"/>
        </w:rPr>
      </w:pPr>
      <w:r w:rsidRPr="00905804">
        <w:rPr>
          <w:rFonts w:ascii="Arial" w:hAnsi="Arial" w:cs="Arial"/>
        </w:rPr>
        <w:t xml:space="preserve">A total of 192 cow intestine samples were collected from twelve major open markets located in different districts of Port Harcourt, Rivers State, Nigeria, with sixteen (16) samples obtained per market. The markets were coded as Markets 1–12 and comprised Mile One Market (1), Mile 3 Market (2), Creek Road Market (3), </w:t>
      </w:r>
      <w:proofErr w:type="spellStart"/>
      <w:r w:rsidRPr="00905804">
        <w:rPr>
          <w:rFonts w:ascii="Arial" w:hAnsi="Arial" w:cs="Arial"/>
        </w:rPr>
        <w:t>Rumuokoro</w:t>
      </w:r>
      <w:proofErr w:type="spellEnd"/>
      <w:r w:rsidRPr="00905804">
        <w:rPr>
          <w:rFonts w:ascii="Arial" w:hAnsi="Arial" w:cs="Arial"/>
        </w:rPr>
        <w:t xml:space="preserve"> Market (4), </w:t>
      </w:r>
      <w:proofErr w:type="spellStart"/>
      <w:r w:rsidRPr="00905804">
        <w:rPr>
          <w:rFonts w:ascii="Arial" w:hAnsi="Arial" w:cs="Arial"/>
        </w:rPr>
        <w:t>Rumuodomaya</w:t>
      </w:r>
      <w:proofErr w:type="spellEnd"/>
      <w:r w:rsidRPr="00905804">
        <w:rPr>
          <w:rFonts w:ascii="Arial" w:hAnsi="Arial" w:cs="Arial"/>
        </w:rPr>
        <w:t xml:space="preserve"> Market (5), </w:t>
      </w:r>
      <w:proofErr w:type="spellStart"/>
      <w:r w:rsidRPr="00905804">
        <w:rPr>
          <w:rFonts w:ascii="Arial" w:hAnsi="Arial" w:cs="Arial"/>
        </w:rPr>
        <w:t>Garri</w:t>
      </w:r>
      <w:proofErr w:type="spellEnd"/>
      <w:r w:rsidRPr="00905804">
        <w:rPr>
          <w:rFonts w:ascii="Arial" w:hAnsi="Arial" w:cs="Arial"/>
        </w:rPr>
        <w:t xml:space="preserve"> Market (6), </w:t>
      </w:r>
      <w:proofErr w:type="spellStart"/>
      <w:r w:rsidRPr="00905804">
        <w:rPr>
          <w:rFonts w:ascii="Arial" w:hAnsi="Arial" w:cs="Arial"/>
        </w:rPr>
        <w:t>Sangana</w:t>
      </w:r>
      <w:proofErr w:type="spellEnd"/>
      <w:r w:rsidRPr="00905804">
        <w:rPr>
          <w:rFonts w:ascii="Arial" w:hAnsi="Arial" w:cs="Arial"/>
        </w:rPr>
        <w:t xml:space="preserve"> Market (7), </w:t>
      </w:r>
      <w:proofErr w:type="spellStart"/>
      <w:r w:rsidRPr="00905804">
        <w:rPr>
          <w:rFonts w:ascii="Arial" w:hAnsi="Arial" w:cs="Arial"/>
        </w:rPr>
        <w:t>Ogunabali</w:t>
      </w:r>
      <w:proofErr w:type="spellEnd"/>
      <w:r w:rsidRPr="00905804">
        <w:rPr>
          <w:rFonts w:ascii="Arial" w:hAnsi="Arial" w:cs="Arial"/>
        </w:rPr>
        <w:t xml:space="preserve"> Fruit Garden Market (8), Town Market (9), Airforce Market (10), </w:t>
      </w:r>
      <w:proofErr w:type="spellStart"/>
      <w:r w:rsidRPr="00905804">
        <w:rPr>
          <w:rFonts w:ascii="Arial" w:hAnsi="Arial" w:cs="Arial"/>
        </w:rPr>
        <w:t>Mgbuoba</w:t>
      </w:r>
      <w:proofErr w:type="spellEnd"/>
      <w:r w:rsidRPr="00905804">
        <w:rPr>
          <w:rFonts w:ascii="Arial" w:hAnsi="Arial" w:cs="Arial"/>
        </w:rPr>
        <w:t xml:space="preserve"> Market (11), and </w:t>
      </w:r>
      <w:proofErr w:type="spellStart"/>
      <w:r w:rsidRPr="00905804">
        <w:rPr>
          <w:rFonts w:ascii="Arial" w:hAnsi="Arial" w:cs="Arial"/>
        </w:rPr>
        <w:t>Igwuruta</w:t>
      </w:r>
      <w:proofErr w:type="spellEnd"/>
      <w:r w:rsidRPr="00905804">
        <w:rPr>
          <w:rFonts w:ascii="Arial" w:hAnsi="Arial" w:cs="Arial"/>
        </w:rPr>
        <w:t xml:space="preserve"> Main Market (12).</w:t>
      </w:r>
    </w:p>
    <w:p w14:paraId="5719B4DF" w14:textId="77777777" w:rsidR="00170E5F" w:rsidRPr="00905804" w:rsidRDefault="00170E5F" w:rsidP="00CA4637">
      <w:pPr>
        <w:jc w:val="both"/>
        <w:rPr>
          <w:rFonts w:ascii="Arial" w:hAnsi="Arial" w:cs="Arial"/>
        </w:rPr>
      </w:pPr>
      <w:r w:rsidRPr="00905804">
        <w:rPr>
          <w:rFonts w:ascii="Arial" w:hAnsi="Arial" w:cs="Arial"/>
        </w:rPr>
        <w:t>Market selection was based on predefined criteria, including market size, volume of commercial activity, consumer patronage, and accessibility, ensuring broad representation of the informal meat distribution network within the study area. Sample collection was conducted anonymously to prevent alterations in vendor handling practices.</w:t>
      </w:r>
    </w:p>
    <w:p w14:paraId="10C5A694" w14:textId="569CD1DC" w:rsidR="00D6386F" w:rsidRPr="00905804" w:rsidRDefault="00170E5F" w:rsidP="00CA4637">
      <w:pPr>
        <w:jc w:val="both"/>
        <w:rPr>
          <w:rFonts w:ascii="Arial" w:hAnsi="Arial" w:cs="Arial"/>
        </w:rPr>
      </w:pPr>
      <w:r w:rsidRPr="00905804">
        <w:rPr>
          <w:rFonts w:ascii="Arial" w:hAnsi="Arial" w:cs="Arial"/>
        </w:rPr>
        <w:t>Immediately after collection, each sample was aseptically placed into a sterile, labeled polyethylene bag, stored in an insulated cooler maintained at approximately 4 °C, and transported to the laboratory within 2–3 hours for microbiological analysis</w:t>
      </w:r>
      <w:r w:rsidR="00CA4637" w:rsidRPr="00905804">
        <w:rPr>
          <w:rFonts w:ascii="Arial" w:hAnsi="Arial" w:cs="Arial"/>
        </w:rPr>
        <w:t>.</w:t>
      </w:r>
    </w:p>
    <w:p w14:paraId="7FA3A09A" w14:textId="77777777" w:rsidR="00CA4637" w:rsidRPr="00905804" w:rsidRDefault="00CA4637" w:rsidP="00CA4637">
      <w:pPr>
        <w:jc w:val="both"/>
        <w:rPr>
          <w:rFonts w:ascii="Arial" w:hAnsi="Arial" w:cs="Arial"/>
        </w:rPr>
      </w:pPr>
    </w:p>
    <w:p w14:paraId="5FC2DB93" w14:textId="77777777" w:rsidR="00534283" w:rsidRPr="00534283" w:rsidRDefault="00534283" w:rsidP="00534283">
      <w:pPr>
        <w:jc w:val="both"/>
        <w:rPr>
          <w:rFonts w:ascii="Arial" w:hAnsi="Arial" w:cs="Arial"/>
          <w:b/>
          <w:bCs/>
        </w:rPr>
      </w:pPr>
      <w:r w:rsidRPr="00534283">
        <w:rPr>
          <w:rFonts w:ascii="Arial" w:hAnsi="Arial" w:cs="Arial"/>
          <w:b/>
          <w:bCs/>
        </w:rPr>
        <w:t xml:space="preserve">Sample Preparation and </w:t>
      </w:r>
      <w:r w:rsidRPr="00534283">
        <w:rPr>
          <w:rFonts w:ascii="Arial" w:hAnsi="Arial" w:cs="Arial"/>
          <w:b/>
          <w:bCs/>
          <w:i/>
          <w:iCs/>
        </w:rPr>
        <w:t>S. enterica</w:t>
      </w:r>
      <w:r w:rsidRPr="00534283">
        <w:rPr>
          <w:rFonts w:ascii="Arial" w:hAnsi="Arial" w:cs="Arial"/>
          <w:b/>
          <w:bCs/>
        </w:rPr>
        <w:t xml:space="preserve"> Isolation</w:t>
      </w:r>
    </w:p>
    <w:p w14:paraId="516E7509" w14:textId="3B3BE6DA" w:rsidR="00534283" w:rsidRPr="00534283" w:rsidRDefault="00534283" w:rsidP="00534283">
      <w:pPr>
        <w:jc w:val="both"/>
        <w:rPr>
          <w:rFonts w:ascii="Arial" w:hAnsi="Arial" w:cs="Arial"/>
        </w:rPr>
      </w:pPr>
      <w:r w:rsidRPr="00534283">
        <w:rPr>
          <w:rFonts w:ascii="Arial" w:hAnsi="Arial" w:cs="Arial"/>
        </w:rPr>
        <w:t>In the laboratory, approximately 25 g of each intestine sample was aseptically excised and homogenized in 225 mL of buffered peptone water (BPW) to achieve a 1:10 pre-</w:t>
      </w:r>
      <w:r w:rsidRPr="00534283">
        <w:rPr>
          <w:rFonts w:ascii="Arial" w:hAnsi="Arial" w:cs="Arial"/>
        </w:rPr>
        <w:lastRenderedPageBreak/>
        <w:t xml:space="preserve">enrichment suspension. Pre-enrichment was performed at 37 °C for 18 hours to facilitate recovery of </w:t>
      </w:r>
      <w:r w:rsidRPr="00905804">
        <w:rPr>
          <w:rFonts w:ascii="Arial" w:hAnsi="Arial" w:cs="Arial"/>
        </w:rPr>
        <w:t>sub lethally</w:t>
      </w:r>
      <w:r w:rsidRPr="00534283">
        <w:rPr>
          <w:rFonts w:ascii="Arial" w:hAnsi="Arial" w:cs="Arial"/>
        </w:rPr>
        <w:t xml:space="preserve"> injured bacteria.</w:t>
      </w:r>
    </w:p>
    <w:p w14:paraId="158CC3EC" w14:textId="3E23EAE6" w:rsidR="00534283" w:rsidRPr="00534283" w:rsidRDefault="00534283" w:rsidP="00534283">
      <w:pPr>
        <w:jc w:val="both"/>
        <w:rPr>
          <w:rFonts w:ascii="Arial" w:hAnsi="Arial" w:cs="Arial"/>
        </w:rPr>
      </w:pPr>
      <w:r w:rsidRPr="00534283">
        <w:rPr>
          <w:rFonts w:ascii="Arial" w:hAnsi="Arial" w:cs="Arial"/>
        </w:rPr>
        <w:t xml:space="preserve">Selective enrichment was then carried out by transferring 0.1 mL of the BPW suspension into 10 mL of Rappaport–Vassiliadis (RV) broth, followed by incubation at 42 °C for 24 hours. This step selectively favors the growth of </w:t>
      </w:r>
      <w:r w:rsidRPr="00534283">
        <w:rPr>
          <w:rFonts w:ascii="Arial" w:hAnsi="Arial" w:cs="Arial"/>
          <w:i/>
          <w:iCs/>
        </w:rPr>
        <w:t>Salmonella</w:t>
      </w:r>
      <w:r w:rsidRPr="00534283">
        <w:rPr>
          <w:rFonts w:ascii="Arial" w:hAnsi="Arial" w:cs="Arial"/>
        </w:rPr>
        <w:t xml:space="preserve"> species while suppressing competing flora. Following enrichment, loopfuls of culture were streaked onto Salmonella–Shigella (SS) agar and incubated aerobically at 37 °C for 24 hours. Distinct colonies exhibiting characteristic morphology and pigmentation on SS agar were </w:t>
      </w:r>
      <w:r w:rsidRPr="00905804">
        <w:rPr>
          <w:rFonts w:ascii="Arial" w:hAnsi="Arial" w:cs="Arial"/>
        </w:rPr>
        <w:t>sub cultured</w:t>
      </w:r>
      <w:r w:rsidRPr="00534283">
        <w:rPr>
          <w:rFonts w:ascii="Arial" w:hAnsi="Arial" w:cs="Arial"/>
        </w:rPr>
        <w:t xml:space="preserve"> onto fresh media to obtain pure isolates.</w:t>
      </w:r>
    </w:p>
    <w:p w14:paraId="5444EC8E" w14:textId="77777777" w:rsidR="00534283" w:rsidRPr="00534283" w:rsidRDefault="00534283" w:rsidP="00534283">
      <w:pPr>
        <w:jc w:val="both"/>
        <w:rPr>
          <w:rFonts w:ascii="Arial" w:hAnsi="Arial" w:cs="Arial"/>
        </w:rPr>
      </w:pPr>
      <w:r w:rsidRPr="00534283">
        <w:rPr>
          <w:rFonts w:ascii="Arial" w:hAnsi="Arial" w:cs="Arial"/>
        </w:rPr>
        <w:t>Serial tenfold dilutions from 10</w:t>
      </w:r>
      <w:r w:rsidRPr="00534283">
        <w:rPr>
          <w:rFonts w:ascii="Cambria Math" w:hAnsi="Cambria Math" w:cs="Cambria Math"/>
        </w:rPr>
        <w:t>⁻</w:t>
      </w:r>
      <w:r w:rsidRPr="00534283">
        <w:rPr>
          <w:rFonts w:ascii="Arial" w:hAnsi="Arial" w:cs="Arial"/>
        </w:rPr>
        <w:t>² to 10</w:t>
      </w:r>
      <w:r w:rsidRPr="00534283">
        <w:rPr>
          <w:rFonts w:ascii="Cambria Math" w:hAnsi="Cambria Math" w:cs="Cambria Math"/>
        </w:rPr>
        <w:t>⁻</w:t>
      </w:r>
      <w:r w:rsidRPr="00534283">
        <w:rPr>
          <w:rFonts w:ascii="Arial" w:hAnsi="Arial" w:cs="Arial"/>
        </w:rPr>
        <w:t>⁴ were also prepared in sterile phosphate-buffered saline for quantitative analyses. Plates from these dilutions were spread in duplicate on SS agar and non-selective Nutrient agar, and incubated at 37 °C for 24 hours. Representative colonies were examined for morphology, pigmentation, and hemolysis prior to further biochemical identification.</w:t>
      </w:r>
    </w:p>
    <w:p w14:paraId="17C600A7" w14:textId="25DCCD66" w:rsidR="00537B3E" w:rsidRPr="00905804" w:rsidRDefault="00537B3E" w:rsidP="00CA4637">
      <w:pPr>
        <w:jc w:val="both"/>
        <w:rPr>
          <w:rFonts w:ascii="Arial" w:hAnsi="Arial" w:cs="Arial"/>
        </w:rPr>
      </w:pPr>
      <w:r w:rsidRPr="00905804">
        <w:rPr>
          <w:rFonts w:ascii="Arial" w:hAnsi="Arial" w:cs="Arial"/>
        </w:rPr>
        <w:t>Isolates were subjected to standard phenotypic identification procedures, including Gram staining, motility testing using the hanging drop method, and biochemical assays such as catalase, oxidase, and citrate utilization following ISO 6579-1 (2017) and established microbiological protocols</w:t>
      </w:r>
      <w:r w:rsidR="004D34CD" w:rsidRPr="00905804">
        <w:rPr>
          <w:rFonts w:ascii="Arial" w:hAnsi="Arial" w:cs="Arial"/>
        </w:rPr>
        <w:t xml:space="preserve">. Further confirmatory tests consistent with the identification of </w:t>
      </w:r>
      <w:r w:rsidR="004D34CD" w:rsidRPr="00905804">
        <w:rPr>
          <w:rFonts w:ascii="Arial" w:hAnsi="Arial" w:cs="Arial"/>
          <w:i/>
          <w:iCs/>
        </w:rPr>
        <w:t>Salmonella enterica</w:t>
      </w:r>
      <w:r w:rsidR="004D34CD" w:rsidRPr="00905804">
        <w:rPr>
          <w:rFonts w:ascii="Arial" w:hAnsi="Arial" w:cs="Arial"/>
        </w:rPr>
        <w:t xml:space="preserve"> were performed, including indole production, urease activity, triple sugar iron (TSI) agar reaction, and hydrogen sulfide (H</w:t>
      </w:r>
      <w:r w:rsidR="004D34CD" w:rsidRPr="00905804">
        <w:rPr>
          <w:rFonts w:ascii="Cambria Math" w:hAnsi="Cambria Math" w:cs="Cambria Math"/>
        </w:rPr>
        <w:t>₂</w:t>
      </w:r>
      <w:r w:rsidR="004D34CD" w:rsidRPr="00905804">
        <w:rPr>
          <w:rFonts w:ascii="Arial" w:hAnsi="Arial" w:cs="Arial"/>
        </w:rPr>
        <w:t>S) production</w:t>
      </w:r>
      <w:r w:rsidRPr="00905804">
        <w:rPr>
          <w:rFonts w:ascii="Arial" w:hAnsi="Arial" w:cs="Arial"/>
        </w:rPr>
        <w:t xml:space="preserve"> (Madigan et al., 2021).</w:t>
      </w:r>
      <w:bookmarkStart w:id="0" w:name="_GoBack"/>
      <w:bookmarkEnd w:id="0"/>
    </w:p>
    <w:p w14:paraId="3B2EFF55" w14:textId="758266C1" w:rsidR="004A1A15" w:rsidRPr="00905804" w:rsidRDefault="004A1A15" w:rsidP="00CA4637">
      <w:pPr>
        <w:jc w:val="both"/>
        <w:rPr>
          <w:rFonts w:ascii="Arial" w:hAnsi="Arial" w:cs="Arial"/>
          <w:b/>
          <w:bCs/>
        </w:rPr>
      </w:pPr>
      <w:r w:rsidRPr="00905804">
        <w:rPr>
          <w:rFonts w:ascii="Arial" w:hAnsi="Arial" w:cs="Arial"/>
          <w:b/>
          <w:bCs/>
        </w:rPr>
        <w:t>Total Heterotrophic Bacterial Count</w:t>
      </w:r>
    </w:p>
    <w:p w14:paraId="15062AA9" w14:textId="3C448B48" w:rsidR="004A1A15" w:rsidRPr="00905804" w:rsidRDefault="004A1A15" w:rsidP="00CA4637">
      <w:pPr>
        <w:jc w:val="both"/>
        <w:rPr>
          <w:rFonts w:ascii="Arial" w:hAnsi="Arial" w:cs="Arial"/>
        </w:rPr>
      </w:pPr>
      <w:r w:rsidRPr="00905804">
        <w:rPr>
          <w:rFonts w:ascii="Arial" w:hAnsi="Arial" w:cs="Arial"/>
        </w:rPr>
        <w:t>Total heterotrophic bacterial loads were estimated using standard colony counting methods. Colonies on Nutrient agar from the 10</w:t>
      </w:r>
      <w:r w:rsidRPr="00905804">
        <w:rPr>
          <w:rFonts w:ascii="Cambria Math" w:hAnsi="Cambria Math" w:cs="Cambria Math"/>
        </w:rPr>
        <w:t>⁻</w:t>
      </w:r>
      <w:r w:rsidRPr="00905804">
        <w:rPr>
          <w:rFonts w:ascii="Arial" w:hAnsi="Arial" w:cs="Arial"/>
        </w:rPr>
        <w:t xml:space="preserve">⁴ dilution plates were enumerated and expressed as colony-forming units per </w:t>
      </w:r>
      <w:r w:rsidR="00D6386F" w:rsidRPr="00905804">
        <w:rPr>
          <w:rFonts w:ascii="Arial" w:hAnsi="Arial" w:cs="Arial"/>
        </w:rPr>
        <w:t>gram</w:t>
      </w:r>
      <w:r w:rsidRPr="00905804">
        <w:rPr>
          <w:rFonts w:ascii="Arial" w:hAnsi="Arial" w:cs="Arial"/>
        </w:rPr>
        <w:t xml:space="preserve"> (CFU/</w:t>
      </w:r>
      <w:r w:rsidR="00D6386F" w:rsidRPr="00905804">
        <w:rPr>
          <w:rFonts w:ascii="Arial" w:hAnsi="Arial" w:cs="Arial"/>
        </w:rPr>
        <w:t>g</w:t>
      </w:r>
      <w:r w:rsidRPr="00905804">
        <w:rPr>
          <w:rFonts w:ascii="Arial" w:hAnsi="Arial" w:cs="Arial"/>
        </w:rPr>
        <w:t>). The results were benchmarked against international food safety guidelines to assess microbial quality of the samples and identify potential health risks (Madigan et al., 2021; U.S. FDA, 2019).</w:t>
      </w:r>
    </w:p>
    <w:p w14:paraId="44FFEB6D" w14:textId="77777777" w:rsidR="00A13DCB" w:rsidRPr="00905804" w:rsidRDefault="00A13DCB" w:rsidP="00CA4637">
      <w:pPr>
        <w:jc w:val="both"/>
        <w:rPr>
          <w:rFonts w:ascii="Arial" w:hAnsi="Arial" w:cs="Arial"/>
          <w:b/>
          <w:bCs/>
        </w:rPr>
      </w:pPr>
      <w:r w:rsidRPr="00905804">
        <w:rPr>
          <w:rFonts w:ascii="Arial" w:hAnsi="Arial" w:cs="Arial"/>
          <w:b/>
          <w:bCs/>
        </w:rPr>
        <w:t>Antibiotic Susceptibility Testing</w:t>
      </w:r>
    </w:p>
    <w:p w14:paraId="28F781ED" w14:textId="7BCD3B43" w:rsidR="00A13DCB" w:rsidRPr="00905804" w:rsidRDefault="00A13DCB" w:rsidP="00CA4637">
      <w:pPr>
        <w:jc w:val="both"/>
        <w:rPr>
          <w:rFonts w:ascii="Arial" w:hAnsi="Arial" w:cs="Arial"/>
        </w:rPr>
      </w:pPr>
      <w:r w:rsidRPr="00905804">
        <w:rPr>
          <w:rFonts w:ascii="Arial" w:hAnsi="Arial" w:cs="Arial"/>
        </w:rPr>
        <w:t xml:space="preserve">Phenotypic antimicrobial susceptibility of </w:t>
      </w:r>
      <w:r w:rsidR="000D0C89" w:rsidRPr="00905804">
        <w:rPr>
          <w:rFonts w:ascii="Arial" w:hAnsi="Arial" w:cs="Arial"/>
          <w:i/>
          <w:iCs/>
        </w:rPr>
        <w:t>S. enterica</w:t>
      </w:r>
      <w:r w:rsidR="000D0C89" w:rsidRPr="00905804">
        <w:rPr>
          <w:rFonts w:ascii="Arial" w:hAnsi="Arial" w:cs="Arial"/>
          <w:b/>
          <w:bCs/>
        </w:rPr>
        <w:t xml:space="preserve"> </w:t>
      </w:r>
      <w:r w:rsidR="00FB495C" w:rsidRPr="00905804">
        <w:rPr>
          <w:rFonts w:ascii="Arial" w:hAnsi="Arial" w:cs="Arial"/>
        </w:rPr>
        <w:t>isolates was determined using the Kirby–Bauer disk diffusion method according to</w:t>
      </w:r>
      <w:r w:rsidRPr="00905804">
        <w:rPr>
          <w:rFonts w:ascii="Arial" w:hAnsi="Arial" w:cs="Arial"/>
        </w:rPr>
        <w:t xml:space="preserve"> Clinical and Laboratory Standards Institute (CLSI, 2023) guidelines. Bacterial suspensions were first standardized to 0.5 McFarland turbidity to ensure uniform inoculum density. A sterile swab was used to streak the bacterial suspension evenly across the surface of Mueller–Hinton agar plates to create a confluent lawn.</w:t>
      </w:r>
    </w:p>
    <w:p w14:paraId="3A4025F5" w14:textId="2939AB56" w:rsidR="00A13DCB" w:rsidRPr="00905804" w:rsidRDefault="00A13DCB" w:rsidP="00CA4637">
      <w:pPr>
        <w:jc w:val="both"/>
        <w:rPr>
          <w:rFonts w:ascii="Arial" w:hAnsi="Arial" w:cs="Arial"/>
        </w:rPr>
      </w:pPr>
      <w:r w:rsidRPr="00905804">
        <w:rPr>
          <w:rFonts w:ascii="Arial" w:hAnsi="Arial" w:cs="Arial"/>
        </w:rPr>
        <w:t xml:space="preserve">The following antibiotics, selected to detect quinolone and fluoroquinolone resistance, were used: </w:t>
      </w:r>
      <w:r w:rsidR="00AA3249" w:rsidRPr="00905804">
        <w:rPr>
          <w:rFonts w:ascii="Arial" w:hAnsi="Arial" w:cs="Arial"/>
        </w:rPr>
        <w:t>N</w:t>
      </w:r>
      <w:r w:rsidRPr="00905804">
        <w:rPr>
          <w:rFonts w:ascii="Arial" w:hAnsi="Arial" w:cs="Arial"/>
        </w:rPr>
        <w:t>alidixic acid (30 </w:t>
      </w:r>
      <w:proofErr w:type="spellStart"/>
      <w:r w:rsidRPr="00905804">
        <w:rPr>
          <w:rFonts w:ascii="Arial" w:hAnsi="Arial" w:cs="Arial"/>
        </w:rPr>
        <w:t>μg</w:t>
      </w:r>
      <w:proofErr w:type="spellEnd"/>
      <w:r w:rsidRPr="00905804">
        <w:rPr>
          <w:rFonts w:ascii="Arial" w:hAnsi="Arial" w:cs="Arial"/>
        </w:rPr>
        <w:t>)</w:t>
      </w:r>
      <w:r w:rsidR="00AA3249" w:rsidRPr="00905804">
        <w:rPr>
          <w:rFonts w:ascii="Arial" w:hAnsi="Arial" w:cs="Arial"/>
        </w:rPr>
        <w:t>, C</w:t>
      </w:r>
      <w:r w:rsidRPr="00905804">
        <w:rPr>
          <w:rFonts w:ascii="Arial" w:hAnsi="Arial" w:cs="Arial"/>
        </w:rPr>
        <w:t>iprofloxacin (5 </w:t>
      </w:r>
      <w:proofErr w:type="spellStart"/>
      <w:r w:rsidRPr="00905804">
        <w:rPr>
          <w:rFonts w:ascii="Arial" w:hAnsi="Arial" w:cs="Arial"/>
        </w:rPr>
        <w:t>μg</w:t>
      </w:r>
      <w:proofErr w:type="spellEnd"/>
      <w:r w:rsidRPr="00905804">
        <w:rPr>
          <w:rFonts w:ascii="Arial" w:hAnsi="Arial" w:cs="Arial"/>
        </w:rPr>
        <w:t xml:space="preserve">), </w:t>
      </w:r>
      <w:r w:rsidR="00AA3249" w:rsidRPr="00905804">
        <w:rPr>
          <w:rFonts w:ascii="Arial" w:hAnsi="Arial" w:cs="Arial"/>
        </w:rPr>
        <w:t>L</w:t>
      </w:r>
      <w:r w:rsidRPr="00905804">
        <w:rPr>
          <w:rFonts w:ascii="Arial" w:hAnsi="Arial" w:cs="Arial"/>
        </w:rPr>
        <w:t>evofloxacin (5 </w:t>
      </w:r>
      <w:proofErr w:type="spellStart"/>
      <w:r w:rsidRPr="00905804">
        <w:rPr>
          <w:rFonts w:ascii="Arial" w:hAnsi="Arial" w:cs="Arial"/>
        </w:rPr>
        <w:t>μg</w:t>
      </w:r>
      <w:proofErr w:type="spellEnd"/>
      <w:r w:rsidRPr="00905804">
        <w:rPr>
          <w:rFonts w:ascii="Arial" w:hAnsi="Arial" w:cs="Arial"/>
        </w:rPr>
        <w:t xml:space="preserve">), and </w:t>
      </w:r>
      <w:r w:rsidR="00AA3249" w:rsidRPr="00905804">
        <w:rPr>
          <w:rFonts w:ascii="Arial" w:hAnsi="Arial" w:cs="Arial"/>
        </w:rPr>
        <w:t>O</w:t>
      </w:r>
      <w:r w:rsidRPr="00905804">
        <w:rPr>
          <w:rFonts w:ascii="Arial" w:hAnsi="Arial" w:cs="Arial"/>
        </w:rPr>
        <w:t xml:space="preserve">floxacin </w:t>
      </w:r>
      <w:r w:rsidRPr="00905804">
        <w:rPr>
          <w:rFonts w:ascii="Arial" w:hAnsi="Arial" w:cs="Arial"/>
        </w:rPr>
        <w:lastRenderedPageBreak/>
        <w:t>(5 </w:t>
      </w:r>
      <w:proofErr w:type="spellStart"/>
      <w:r w:rsidRPr="00905804">
        <w:rPr>
          <w:rFonts w:ascii="Arial" w:hAnsi="Arial" w:cs="Arial"/>
        </w:rPr>
        <w:t>μg</w:t>
      </w:r>
      <w:proofErr w:type="spellEnd"/>
      <w:r w:rsidRPr="00905804">
        <w:rPr>
          <w:rFonts w:ascii="Arial" w:hAnsi="Arial" w:cs="Arial"/>
        </w:rPr>
        <w:t>). Disks were carefully placed on the inoculated agar at adequate spacing to prevent overlapping zones of inhibition. Plates were incubated at 37 °C for 18–24 hours under aerobic conditions.</w:t>
      </w:r>
    </w:p>
    <w:p w14:paraId="40A3F07B" w14:textId="77777777" w:rsidR="002C5F4A" w:rsidRPr="00905804" w:rsidRDefault="00A13DCB" w:rsidP="00CA4637">
      <w:pPr>
        <w:jc w:val="both"/>
        <w:rPr>
          <w:rFonts w:ascii="Arial" w:hAnsi="Arial" w:cs="Arial"/>
        </w:rPr>
      </w:pPr>
      <w:r w:rsidRPr="00905804">
        <w:rPr>
          <w:rFonts w:ascii="Arial" w:hAnsi="Arial" w:cs="Arial"/>
        </w:rPr>
        <w:t xml:space="preserve">After incubation, the diameter of the inhibition zones around each disk was measured in millimeters using a calibrated ruler. The results were interpreted as susceptible, intermediate, or resistant according to CLSI (2023) breakpoints.  </w:t>
      </w:r>
    </w:p>
    <w:p w14:paraId="0182DB35" w14:textId="464E3068" w:rsidR="00053FE1" w:rsidRPr="00905804" w:rsidRDefault="00053FE1" w:rsidP="00CA4637">
      <w:pPr>
        <w:jc w:val="both"/>
        <w:rPr>
          <w:rFonts w:ascii="Arial" w:hAnsi="Arial" w:cs="Arial"/>
          <w:b/>
          <w:bCs/>
        </w:rPr>
      </w:pPr>
      <w:r w:rsidRPr="00905804">
        <w:rPr>
          <w:rFonts w:ascii="Arial" w:hAnsi="Arial" w:cs="Arial"/>
          <w:b/>
          <w:bCs/>
        </w:rPr>
        <w:t>Statistical Analysis</w:t>
      </w:r>
    </w:p>
    <w:p w14:paraId="77AD7507" w14:textId="3F0EAB5E" w:rsidR="00053FE1" w:rsidRPr="00905804" w:rsidRDefault="00053FE1" w:rsidP="00CA4637">
      <w:pPr>
        <w:jc w:val="both"/>
        <w:rPr>
          <w:rFonts w:ascii="Arial" w:hAnsi="Arial" w:cs="Arial"/>
        </w:rPr>
      </w:pPr>
      <w:r w:rsidRPr="00905804">
        <w:rPr>
          <w:rFonts w:ascii="Arial" w:hAnsi="Arial" w:cs="Arial"/>
        </w:rPr>
        <w:t>Data</w:t>
      </w:r>
      <w:r w:rsidR="00B33174" w:rsidRPr="00905804">
        <w:rPr>
          <w:rFonts w:ascii="Arial" w:hAnsi="Arial" w:cs="Arial"/>
        </w:rPr>
        <w:t xml:space="preserve"> was</w:t>
      </w:r>
      <w:r w:rsidRPr="00905804">
        <w:rPr>
          <w:rFonts w:ascii="Arial" w:hAnsi="Arial" w:cs="Arial"/>
        </w:rPr>
        <w:t xml:space="preserve"> analyzed using Statistical Package for the Social Sciences (SPSS) version 26.0. Total heterotrophic bacterial counts (THBC) were expressed as mean ± standard deviation (SD) and log</w:t>
      </w:r>
      <w:r w:rsidRPr="00905804">
        <w:rPr>
          <w:rFonts w:ascii="Cambria Math" w:hAnsi="Cambria Math" w:cs="Cambria Math"/>
        </w:rPr>
        <w:t>₁₀</w:t>
      </w:r>
      <w:r w:rsidRPr="00905804">
        <w:rPr>
          <w:rFonts w:ascii="Arial" w:hAnsi="Arial" w:cs="Arial"/>
        </w:rPr>
        <w:t xml:space="preserve">-transformed </w:t>
      </w:r>
      <w:r w:rsidR="00B33174" w:rsidRPr="00905804">
        <w:rPr>
          <w:rFonts w:ascii="Arial" w:hAnsi="Arial" w:cs="Arial"/>
        </w:rPr>
        <w:t>before</w:t>
      </w:r>
      <w:r w:rsidRPr="00905804">
        <w:rPr>
          <w:rFonts w:ascii="Arial" w:hAnsi="Arial" w:cs="Arial"/>
        </w:rPr>
        <w:t xml:space="preserve"> analysis to achieve normality. Differences in mean THBC values among markets were assessed using one-way analysis of variance (ANOVA). Where significant differences were detected</w:t>
      </w:r>
      <w:r w:rsidR="008D33F2" w:rsidRPr="00905804">
        <w:rPr>
          <w:rFonts w:ascii="Arial" w:hAnsi="Arial" w:cs="Arial"/>
        </w:rPr>
        <w:t xml:space="preserve">, </w:t>
      </w:r>
      <w:r w:rsidR="00476778" w:rsidRPr="00905804">
        <w:rPr>
          <w:rFonts w:ascii="Arial" w:hAnsi="Arial" w:cs="Arial"/>
          <w:bCs/>
          <w:lang w:val="en-GB"/>
        </w:rPr>
        <w:t>post hoc comparisons were performed using Tukey’s test.</w:t>
      </w:r>
      <w:r w:rsidR="001A5C00" w:rsidRPr="00905804">
        <w:rPr>
          <w:rFonts w:ascii="Arial" w:hAnsi="Arial" w:cs="Arial"/>
        </w:rPr>
        <w:t xml:space="preserve"> </w:t>
      </w:r>
      <w:r w:rsidRPr="00905804">
        <w:rPr>
          <w:rFonts w:ascii="Arial" w:hAnsi="Arial" w:cs="Arial"/>
        </w:rPr>
        <w:t xml:space="preserve">The prevalence of </w:t>
      </w:r>
      <w:r w:rsidR="00AC729B" w:rsidRPr="00905804">
        <w:rPr>
          <w:rFonts w:ascii="Arial" w:hAnsi="Arial" w:cs="Arial"/>
          <w:i/>
          <w:iCs/>
        </w:rPr>
        <w:t>S. enterica</w:t>
      </w:r>
      <w:r w:rsidR="00AC729B" w:rsidRPr="00905804">
        <w:rPr>
          <w:rFonts w:ascii="Arial" w:hAnsi="Arial" w:cs="Arial"/>
          <w:b/>
          <w:bCs/>
        </w:rPr>
        <w:t xml:space="preserve"> </w:t>
      </w:r>
      <w:r w:rsidRPr="00905804">
        <w:rPr>
          <w:rFonts w:ascii="Arial" w:hAnsi="Arial" w:cs="Arial"/>
        </w:rPr>
        <w:t xml:space="preserve">and antimicrobial susceptibility categories (susceptible, intermediate, resistant) were analyzed using the chi-square (χ²) test to determine associations between categorical variables. Statistical significance was set at </w:t>
      </w:r>
      <w:r w:rsidRPr="00905804">
        <w:rPr>
          <w:rFonts w:ascii="Arial" w:hAnsi="Arial" w:cs="Arial"/>
          <w:i/>
          <w:iCs/>
        </w:rPr>
        <w:t>p</w:t>
      </w:r>
      <w:r w:rsidRPr="00905804">
        <w:rPr>
          <w:rFonts w:ascii="Arial" w:hAnsi="Arial" w:cs="Arial"/>
        </w:rPr>
        <w:t xml:space="preserve"> &lt; 0.05 for all analyses.</w:t>
      </w:r>
    </w:p>
    <w:p w14:paraId="3DBC20F7" w14:textId="77777777" w:rsidR="00B275A6" w:rsidRPr="00905804" w:rsidRDefault="00B275A6" w:rsidP="00CA4637">
      <w:pPr>
        <w:jc w:val="both"/>
        <w:rPr>
          <w:rFonts w:ascii="Arial" w:hAnsi="Arial" w:cs="Arial"/>
          <w:b/>
          <w:bCs/>
        </w:rPr>
      </w:pPr>
      <w:r w:rsidRPr="00905804">
        <w:rPr>
          <w:rFonts w:ascii="Arial" w:hAnsi="Arial" w:cs="Arial"/>
          <w:b/>
          <w:bCs/>
        </w:rPr>
        <w:t>RESULTS</w:t>
      </w:r>
    </w:p>
    <w:p w14:paraId="201233C7" w14:textId="6F66A801" w:rsidR="00E96384" w:rsidRPr="00905804" w:rsidRDefault="00E96384" w:rsidP="00CA4637">
      <w:pPr>
        <w:jc w:val="both"/>
        <w:rPr>
          <w:rFonts w:ascii="Arial" w:hAnsi="Arial" w:cs="Arial"/>
          <w:b/>
          <w:bCs/>
        </w:rPr>
      </w:pPr>
      <w:r w:rsidRPr="00905804">
        <w:rPr>
          <w:rFonts w:ascii="Arial" w:hAnsi="Arial" w:cs="Arial"/>
          <w:b/>
          <w:bCs/>
        </w:rPr>
        <w:t xml:space="preserve">Phenotypic and Biochemical Confirmation of Presumptive </w:t>
      </w:r>
      <w:r w:rsidRPr="00905804">
        <w:rPr>
          <w:rFonts w:ascii="Arial" w:hAnsi="Arial" w:cs="Arial"/>
          <w:b/>
          <w:bCs/>
          <w:i/>
          <w:iCs/>
        </w:rPr>
        <w:t>Salmonella enterica</w:t>
      </w:r>
      <w:r w:rsidRPr="00905804">
        <w:rPr>
          <w:rFonts w:ascii="Arial" w:hAnsi="Arial" w:cs="Arial"/>
          <w:b/>
          <w:bCs/>
        </w:rPr>
        <w:t xml:space="preserve"> Isolates</w:t>
      </w:r>
    </w:p>
    <w:p w14:paraId="0F1E9DC2" w14:textId="4C79FD89" w:rsidR="00F321BF" w:rsidRPr="00905804" w:rsidRDefault="00F321BF" w:rsidP="00CA4637">
      <w:pPr>
        <w:jc w:val="both"/>
        <w:rPr>
          <w:rFonts w:ascii="Arial" w:hAnsi="Arial" w:cs="Arial"/>
        </w:rPr>
      </w:pPr>
      <w:r w:rsidRPr="00905804">
        <w:rPr>
          <w:rFonts w:ascii="Arial" w:hAnsi="Arial" w:cs="Arial"/>
        </w:rPr>
        <w:t xml:space="preserve">All presumptive </w:t>
      </w:r>
      <w:r w:rsidRPr="00905804">
        <w:rPr>
          <w:rFonts w:ascii="Arial" w:hAnsi="Arial" w:cs="Arial"/>
          <w:i/>
          <w:iCs/>
        </w:rPr>
        <w:t>Salmonella enterica</w:t>
      </w:r>
      <w:r w:rsidRPr="00905804">
        <w:rPr>
          <w:rFonts w:ascii="Arial" w:hAnsi="Arial" w:cs="Arial"/>
        </w:rPr>
        <w:t xml:space="preserve"> isolates exhibited a biochemical profile consistent with the species, characterized by Gram-negative rods, motility, catalase positivity, oxidase negativity, indole negativity, urease negativity, citrate utilization, and a typical triple sugar iron (TSI) reaction showing an alkaline slant and acid butt (K/A)</w:t>
      </w:r>
      <w:r w:rsidR="00EA6436" w:rsidRPr="00905804">
        <w:rPr>
          <w:rFonts w:ascii="Arial" w:hAnsi="Arial" w:cs="Arial"/>
        </w:rPr>
        <w:t xml:space="preserve"> </w:t>
      </w:r>
      <w:r w:rsidRPr="00905804">
        <w:rPr>
          <w:rFonts w:ascii="Arial" w:hAnsi="Arial" w:cs="Arial"/>
        </w:rPr>
        <w:t>with hydrogen sulfide (H</w:t>
      </w:r>
      <w:r w:rsidRPr="00905804">
        <w:rPr>
          <w:rFonts w:ascii="Cambria Math" w:hAnsi="Cambria Math" w:cs="Cambria Math"/>
        </w:rPr>
        <w:t>₂</w:t>
      </w:r>
      <w:r w:rsidRPr="00905804">
        <w:rPr>
          <w:rFonts w:ascii="Arial" w:hAnsi="Arial" w:cs="Arial"/>
        </w:rPr>
        <w:t>S) production</w:t>
      </w:r>
      <w:r w:rsidR="00EA6436" w:rsidRPr="00905804">
        <w:rPr>
          <w:rFonts w:ascii="Arial" w:hAnsi="Arial" w:cs="Arial"/>
        </w:rPr>
        <w:t xml:space="preserve"> (blackening of the medium) </w:t>
      </w:r>
      <w:r w:rsidRPr="00905804">
        <w:rPr>
          <w:rFonts w:ascii="Arial" w:hAnsi="Arial" w:cs="Arial"/>
        </w:rPr>
        <w:t>and gas formation.</w:t>
      </w:r>
    </w:p>
    <w:p w14:paraId="150592F1" w14:textId="77777777" w:rsidR="00A24ED3" w:rsidRPr="00905804" w:rsidRDefault="00A24ED3" w:rsidP="00CA4637">
      <w:pPr>
        <w:jc w:val="both"/>
        <w:rPr>
          <w:rFonts w:ascii="Arial" w:hAnsi="Arial" w:cs="Arial"/>
        </w:rPr>
      </w:pPr>
    </w:p>
    <w:p w14:paraId="028909B2" w14:textId="77777777" w:rsidR="007A1E27" w:rsidRPr="00905804" w:rsidRDefault="007A1E27" w:rsidP="00CA4637">
      <w:pPr>
        <w:jc w:val="both"/>
        <w:rPr>
          <w:rFonts w:ascii="Arial" w:hAnsi="Arial" w:cs="Arial"/>
          <w:b/>
          <w:bCs/>
        </w:rPr>
      </w:pPr>
    </w:p>
    <w:p w14:paraId="75498642" w14:textId="6244C010" w:rsidR="00B275A6" w:rsidRPr="00905804" w:rsidRDefault="00B275A6" w:rsidP="00CA4637">
      <w:pPr>
        <w:jc w:val="both"/>
        <w:rPr>
          <w:rFonts w:ascii="Arial" w:hAnsi="Arial" w:cs="Arial"/>
          <w:b/>
          <w:bCs/>
        </w:rPr>
      </w:pPr>
      <w:r w:rsidRPr="00905804">
        <w:rPr>
          <w:rFonts w:ascii="Arial" w:hAnsi="Arial" w:cs="Arial"/>
          <w:b/>
          <w:bCs/>
        </w:rPr>
        <w:t>Total Heterotrophic Bacterial Counts (THBC) of Cow Intestines</w:t>
      </w:r>
      <w:r w:rsidR="00E93B86" w:rsidRPr="00905804">
        <w:rPr>
          <w:rFonts w:ascii="Arial" w:hAnsi="Arial" w:cs="Arial"/>
          <w:b/>
          <w:bCs/>
        </w:rPr>
        <w:t xml:space="preserve"> across Markets</w:t>
      </w:r>
    </w:p>
    <w:p w14:paraId="0904D98D" w14:textId="719B4BA0" w:rsidR="006D71FA" w:rsidRPr="00905804" w:rsidRDefault="00DB6817" w:rsidP="00CA4637">
      <w:pPr>
        <w:jc w:val="both"/>
        <w:rPr>
          <w:rFonts w:ascii="Arial" w:hAnsi="Arial" w:cs="Arial"/>
        </w:rPr>
      </w:pPr>
      <w:r w:rsidRPr="00905804">
        <w:rPr>
          <w:rFonts w:ascii="Arial" w:hAnsi="Arial" w:cs="Arial"/>
        </w:rPr>
        <w:t>THBC values ranged from 1.5 × 10⁷ to 6.1 × 10⁷ CFU/g. Six markets (Markets 1–6) recorded elevated bacterial loads exceeding 4.8 × 10⁷ CFU/g, with the highest mean count observed in Market 3 (Creek Road Market) at 6.1 × 10⁷ CFU/g. Four markets (Markets 7–10) exhibited moderately high counts, ranging from 2.8 × 10⁷ to 3.1 × 10⁷ CFU/g, while two markets (Markets 11 and 12) recorded moderate counts. Statistical analysis revealed significant variation in THBC among the twelve markets (p &lt; 0.001)</w:t>
      </w:r>
      <w:r w:rsidR="00B97AD2" w:rsidRPr="00905804">
        <w:rPr>
          <w:rFonts w:ascii="Arial" w:hAnsi="Arial" w:cs="Arial"/>
        </w:rPr>
        <w:t xml:space="preserve"> (Table 1; Figure 1)</w:t>
      </w:r>
    </w:p>
    <w:p w14:paraId="35DFD94D" w14:textId="2D6B543F" w:rsidR="00E54E07" w:rsidRPr="00905804" w:rsidRDefault="00E54E07" w:rsidP="00CA4637">
      <w:pPr>
        <w:jc w:val="both"/>
        <w:rPr>
          <w:rFonts w:ascii="Arial" w:hAnsi="Arial" w:cs="Arial"/>
          <w:b/>
          <w:bCs/>
        </w:rPr>
      </w:pPr>
      <w:r w:rsidRPr="00905804">
        <w:rPr>
          <w:rFonts w:ascii="Arial" w:hAnsi="Arial" w:cs="Arial"/>
          <w:b/>
          <w:bCs/>
        </w:rPr>
        <w:t>Table 1. Total Heterotrophic Bacterial Counts (CFU/</w:t>
      </w:r>
      <w:r w:rsidR="008B70B0" w:rsidRPr="00905804">
        <w:rPr>
          <w:rFonts w:ascii="Arial" w:hAnsi="Arial" w:cs="Arial"/>
          <w:b/>
          <w:bCs/>
        </w:rPr>
        <w:t>g</w:t>
      </w:r>
      <w:r w:rsidRPr="00905804">
        <w:rPr>
          <w:rFonts w:ascii="Arial" w:hAnsi="Arial" w:cs="Arial"/>
          <w:b/>
          <w:bCs/>
        </w:rPr>
        <w:t>) by Market</w:t>
      </w:r>
    </w:p>
    <w:tbl>
      <w:tblPr>
        <w:tblStyle w:val="TableGrid"/>
        <w:tblW w:w="0" w:type="auto"/>
        <w:tblLook w:val="04A0" w:firstRow="1" w:lastRow="0" w:firstColumn="1" w:lastColumn="0" w:noHBand="0" w:noVBand="1"/>
      </w:tblPr>
      <w:tblGrid>
        <w:gridCol w:w="4382"/>
        <w:gridCol w:w="2517"/>
        <w:gridCol w:w="2451"/>
      </w:tblGrid>
      <w:tr w:rsidR="00905804" w:rsidRPr="00905804" w14:paraId="1FC62B62" w14:textId="2EEC438F" w:rsidTr="00B10B64">
        <w:tc>
          <w:tcPr>
            <w:tcW w:w="4382" w:type="dxa"/>
          </w:tcPr>
          <w:p w14:paraId="69330939" w14:textId="52DDF523" w:rsidR="008B70B0" w:rsidRPr="00905804" w:rsidRDefault="008B70B0" w:rsidP="00CA4637">
            <w:pPr>
              <w:jc w:val="both"/>
              <w:rPr>
                <w:rFonts w:ascii="Arial" w:hAnsi="Arial" w:cs="Arial"/>
              </w:rPr>
            </w:pPr>
            <w:r w:rsidRPr="00905804">
              <w:rPr>
                <w:rFonts w:ascii="Arial" w:hAnsi="Arial" w:cs="Arial"/>
              </w:rPr>
              <w:lastRenderedPageBreak/>
              <w:t>Market</w:t>
            </w:r>
          </w:p>
        </w:tc>
        <w:tc>
          <w:tcPr>
            <w:tcW w:w="2517" w:type="dxa"/>
            <w:vAlign w:val="center"/>
          </w:tcPr>
          <w:p w14:paraId="65F5BFA6" w14:textId="35F189B1" w:rsidR="008B70B0" w:rsidRPr="00905804" w:rsidRDefault="008B70B0" w:rsidP="00CA4637">
            <w:pPr>
              <w:jc w:val="both"/>
              <w:rPr>
                <w:rFonts w:ascii="Arial" w:hAnsi="Arial" w:cs="Arial"/>
              </w:rPr>
            </w:pPr>
            <w:r w:rsidRPr="00905804">
              <w:rPr>
                <w:rFonts w:ascii="Arial" w:eastAsia="Times New Roman" w:hAnsi="Arial" w:cs="Arial"/>
                <w:b/>
                <w:bCs/>
                <w:kern w:val="0"/>
                <w14:ligatures w14:val="none"/>
              </w:rPr>
              <w:t>Mean THBC (×10⁷ CFU/g) ± SD</w:t>
            </w:r>
          </w:p>
        </w:tc>
        <w:tc>
          <w:tcPr>
            <w:tcW w:w="2451" w:type="dxa"/>
            <w:vAlign w:val="center"/>
          </w:tcPr>
          <w:p w14:paraId="38E8907A" w14:textId="2A2F915C" w:rsidR="008B70B0" w:rsidRPr="00905804" w:rsidRDefault="008B70B0" w:rsidP="00CA4637">
            <w:pPr>
              <w:jc w:val="both"/>
              <w:rPr>
                <w:rFonts w:ascii="Arial" w:hAnsi="Arial" w:cs="Arial"/>
              </w:rPr>
            </w:pPr>
            <w:r w:rsidRPr="00905804">
              <w:rPr>
                <w:rFonts w:ascii="Arial" w:eastAsia="Times New Roman" w:hAnsi="Arial" w:cs="Arial"/>
                <w:b/>
                <w:bCs/>
                <w:kern w:val="0"/>
                <w14:ligatures w14:val="none"/>
              </w:rPr>
              <w:t>Contamination Level</w:t>
            </w:r>
          </w:p>
        </w:tc>
      </w:tr>
      <w:tr w:rsidR="00905804" w:rsidRPr="00905804" w14:paraId="6FF33BD9" w14:textId="4CFB75C1" w:rsidTr="00B129D3">
        <w:tc>
          <w:tcPr>
            <w:tcW w:w="4382" w:type="dxa"/>
          </w:tcPr>
          <w:p w14:paraId="107B0D8B" w14:textId="6E2385F6" w:rsidR="008B70B0" w:rsidRPr="00905804" w:rsidRDefault="008B70B0" w:rsidP="00CA4637">
            <w:pPr>
              <w:jc w:val="both"/>
              <w:rPr>
                <w:rFonts w:ascii="Arial" w:hAnsi="Arial" w:cs="Arial"/>
              </w:rPr>
            </w:pPr>
            <w:r w:rsidRPr="00905804">
              <w:rPr>
                <w:rFonts w:ascii="Arial" w:hAnsi="Arial" w:cs="Arial"/>
              </w:rPr>
              <w:t>1 (Mile One)</w:t>
            </w:r>
          </w:p>
        </w:tc>
        <w:tc>
          <w:tcPr>
            <w:tcW w:w="2517" w:type="dxa"/>
          </w:tcPr>
          <w:p w14:paraId="5BC35726" w14:textId="6EFA1D15" w:rsidR="008B70B0" w:rsidRPr="00905804" w:rsidRDefault="008B70B0" w:rsidP="00CA4637">
            <w:pPr>
              <w:jc w:val="both"/>
              <w:rPr>
                <w:rFonts w:ascii="Arial" w:hAnsi="Arial" w:cs="Arial"/>
              </w:rPr>
            </w:pPr>
            <w:r w:rsidRPr="00905804">
              <w:rPr>
                <w:rFonts w:ascii="Arial" w:eastAsia="Times New Roman" w:hAnsi="Arial" w:cs="Arial"/>
                <w:kern w:val="0"/>
                <w14:ligatures w14:val="none"/>
              </w:rPr>
              <w:t>5.20 ± 0.41ᵃ</w:t>
            </w:r>
          </w:p>
        </w:tc>
        <w:tc>
          <w:tcPr>
            <w:tcW w:w="2451" w:type="dxa"/>
          </w:tcPr>
          <w:p w14:paraId="65E15A5B" w14:textId="3A7B9D8A" w:rsidR="008B70B0" w:rsidRPr="00905804" w:rsidRDefault="003D70FC" w:rsidP="00CA4637">
            <w:pPr>
              <w:jc w:val="both"/>
              <w:rPr>
                <w:rFonts w:ascii="Arial" w:hAnsi="Arial" w:cs="Arial"/>
              </w:rPr>
            </w:pPr>
            <w:r w:rsidRPr="00905804">
              <w:rPr>
                <w:rFonts w:ascii="Arial" w:eastAsia="Times New Roman" w:hAnsi="Arial" w:cs="Arial"/>
                <w:kern w:val="0"/>
                <w14:ligatures w14:val="none"/>
              </w:rPr>
              <w:t>High</w:t>
            </w:r>
          </w:p>
        </w:tc>
      </w:tr>
      <w:tr w:rsidR="00905804" w:rsidRPr="00905804" w14:paraId="377C6E14" w14:textId="11544ED2" w:rsidTr="00B129D3">
        <w:tc>
          <w:tcPr>
            <w:tcW w:w="4382" w:type="dxa"/>
          </w:tcPr>
          <w:p w14:paraId="614BD503" w14:textId="11D5DEC3" w:rsidR="008B70B0" w:rsidRPr="00905804" w:rsidRDefault="008B70B0" w:rsidP="00CA4637">
            <w:pPr>
              <w:jc w:val="both"/>
              <w:rPr>
                <w:rFonts w:ascii="Arial" w:hAnsi="Arial" w:cs="Arial"/>
              </w:rPr>
            </w:pPr>
            <w:r w:rsidRPr="00905804">
              <w:rPr>
                <w:rFonts w:ascii="Arial" w:hAnsi="Arial" w:cs="Arial"/>
              </w:rPr>
              <w:t xml:space="preserve">2 (Mile </w:t>
            </w:r>
            <w:r w:rsidR="002C6A2A" w:rsidRPr="00905804">
              <w:rPr>
                <w:rFonts w:ascii="Arial" w:hAnsi="Arial" w:cs="Arial"/>
              </w:rPr>
              <w:t>3)</w:t>
            </w:r>
          </w:p>
        </w:tc>
        <w:tc>
          <w:tcPr>
            <w:tcW w:w="2517" w:type="dxa"/>
            <w:vAlign w:val="center"/>
          </w:tcPr>
          <w:p w14:paraId="3537C48F" w14:textId="0B1FDEC4" w:rsidR="008B70B0" w:rsidRPr="00905804" w:rsidRDefault="003D70FC" w:rsidP="00CA4637">
            <w:pPr>
              <w:jc w:val="both"/>
              <w:rPr>
                <w:rFonts w:ascii="Arial" w:hAnsi="Arial" w:cs="Arial"/>
              </w:rPr>
            </w:pPr>
            <w:r w:rsidRPr="00905804">
              <w:rPr>
                <w:rFonts w:ascii="Arial" w:eastAsia="Times New Roman" w:hAnsi="Arial" w:cs="Arial"/>
                <w:kern w:val="0"/>
                <w14:ligatures w14:val="none"/>
              </w:rPr>
              <w:t>4.80 ± 0.36ᵃ</w:t>
            </w:r>
          </w:p>
        </w:tc>
        <w:tc>
          <w:tcPr>
            <w:tcW w:w="2451" w:type="dxa"/>
          </w:tcPr>
          <w:p w14:paraId="6A608822" w14:textId="33578B94" w:rsidR="008B70B0" w:rsidRPr="00905804" w:rsidRDefault="003D70FC" w:rsidP="00CA4637">
            <w:pPr>
              <w:jc w:val="both"/>
              <w:rPr>
                <w:rFonts w:ascii="Arial" w:hAnsi="Arial" w:cs="Arial"/>
              </w:rPr>
            </w:pPr>
            <w:r w:rsidRPr="00905804">
              <w:rPr>
                <w:rFonts w:ascii="Arial" w:eastAsia="Times New Roman" w:hAnsi="Arial" w:cs="Arial"/>
                <w:kern w:val="0"/>
                <w14:ligatures w14:val="none"/>
              </w:rPr>
              <w:t>High</w:t>
            </w:r>
          </w:p>
        </w:tc>
      </w:tr>
      <w:tr w:rsidR="00905804" w:rsidRPr="00905804" w14:paraId="50422170" w14:textId="145362E3" w:rsidTr="00B129D3">
        <w:tc>
          <w:tcPr>
            <w:tcW w:w="4382" w:type="dxa"/>
          </w:tcPr>
          <w:p w14:paraId="3B97BDB9" w14:textId="3AF3562D" w:rsidR="008B70B0" w:rsidRPr="00905804" w:rsidRDefault="008B70B0" w:rsidP="00CA4637">
            <w:pPr>
              <w:jc w:val="both"/>
              <w:rPr>
                <w:rFonts w:ascii="Arial" w:hAnsi="Arial" w:cs="Arial"/>
              </w:rPr>
            </w:pPr>
            <w:r w:rsidRPr="00905804">
              <w:rPr>
                <w:rFonts w:ascii="Arial" w:hAnsi="Arial" w:cs="Arial"/>
              </w:rPr>
              <w:t xml:space="preserve">3 (Creek </w:t>
            </w:r>
            <w:r w:rsidR="002C6A2A" w:rsidRPr="00905804">
              <w:rPr>
                <w:rFonts w:ascii="Arial" w:hAnsi="Arial" w:cs="Arial"/>
              </w:rPr>
              <w:t>Road)</w:t>
            </w:r>
          </w:p>
        </w:tc>
        <w:tc>
          <w:tcPr>
            <w:tcW w:w="2517" w:type="dxa"/>
            <w:vAlign w:val="center"/>
          </w:tcPr>
          <w:p w14:paraId="47562E7C" w14:textId="6A1EEEAF" w:rsidR="008B70B0" w:rsidRPr="00905804" w:rsidRDefault="003D70FC" w:rsidP="00CA4637">
            <w:pPr>
              <w:jc w:val="both"/>
              <w:rPr>
                <w:rFonts w:ascii="Arial" w:hAnsi="Arial" w:cs="Arial"/>
              </w:rPr>
            </w:pPr>
            <w:r w:rsidRPr="00905804">
              <w:rPr>
                <w:rFonts w:ascii="Arial" w:eastAsia="Times New Roman" w:hAnsi="Arial" w:cs="Arial"/>
                <w:kern w:val="0"/>
                <w14:ligatures w14:val="none"/>
              </w:rPr>
              <w:t>6.10 ± 0.52ᵃ</w:t>
            </w:r>
          </w:p>
        </w:tc>
        <w:tc>
          <w:tcPr>
            <w:tcW w:w="2451" w:type="dxa"/>
          </w:tcPr>
          <w:p w14:paraId="5E054C78" w14:textId="40927B71" w:rsidR="008B70B0" w:rsidRPr="00905804" w:rsidRDefault="003D70FC" w:rsidP="00CA4637">
            <w:pPr>
              <w:jc w:val="both"/>
              <w:rPr>
                <w:rFonts w:ascii="Arial" w:hAnsi="Arial" w:cs="Arial"/>
              </w:rPr>
            </w:pPr>
            <w:r w:rsidRPr="00905804">
              <w:rPr>
                <w:rFonts w:ascii="Arial" w:eastAsia="Times New Roman" w:hAnsi="Arial" w:cs="Arial"/>
                <w:kern w:val="0"/>
                <w14:ligatures w14:val="none"/>
              </w:rPr>
              <w:t>High</w:t>
            </w:r>
          </w:p>
        </w:tc>
      </w:tr>
      <w:tr w:rsidR="00905804" w:rsidRPr="00905804" w14:paraId="1F28ADE1" w14:textId="0C5385AB" w:rsidTr="00B129D3">
        <w:tc>
          <w:tcPr>
            <w:tcW w:w="4382" w:type="dxa"/>
          </w:tcPr>
          <w:p w14:paraId="20758DAA" w14:textId="70DEFD2C" w:rsidR="008B70B0" w:rsidRPr="00905804" w:rsidRDefault="008B70B0" w:rsidP="00CA4637">
            <w:pPr>
              <w:jc w:val="both"/>
              <w:rPr>
                <w:rFonts w:ascii="Arial" w:hAnsi="Arial" w:cs="Arial"/>
              </w:rPr>
            </w:pPr>
            <w:r w:rsidRPr="00905804">
              <w:rPr>
                <w:rFonts w:ascii="Arial" w:hAnsi="Arial" w:cs="Arial"/>
              </w:rPr>
              <w:t>4 (</w:t>
            </w:r>
            <w:proofErr w:type="spellStart"/>
            <w:r w:rsidR="002C6A2A" w:rsidRPr="00905804">
              <w:rPr>
                <w:rFonts w:ascii="Arial" w:hAnsi="Arial" w:cs="Arial"/>
              </w:rPr>
              <w:t>Rumuokoro</w:t>
            </w:r>
            <w:proofErr w:type="spellEnd"/>
            <w:r w:rsidR="002C6A2A" w:rsidRPr="00905804">
              <w:rPr>
                <w:rFonts w:ascii="Arial" w:hAnsi="Arial" w:cs="Arial"/>
              </w:rPr>
              <w:t>)</w:t>
            </w:r>
          </w:p>
        </w:tc>
        <w:tc>
          <w:tcPr>
            <w:tcW w:w="2517" w:type="dxa"/>
            <w:vAlign w:val="center"/>
          </w:tcPr>
          <w:p w14:paraId="58C881CE" w14:textId="534BA409" w:rsidR="008B70B0" w:rsidRPr="00905804" w:rsidRDefault="003D70FC" w:rsidP="00CA4637">
            <w:pPr>
              <w:jc w:val="both"/>
              <w:rPr>
                <w:rFonts w:ascii="Arial" w:hAnsi="Arial" w:cs="Arial"/>
              </w:rPr>
            </w:pPr>
            <w:r w:rsidRPr="00905804">
              <w:rPr>
                <w:rFonts w:ascii="Arial" w:eastAsia="Times New Roman" w:hAnsi="Arial" w:cs="Arial"/>
                <w:kern w:val="0"/>
                <w14:ligatures w14:val="none"/>
              </w:rPr>
              <w:t>5.50 ± 0.44ᵃ</w:t>
            </w:r>
          </w:p>
        </w:tc>
        <w:tc>
          <w:tcPr>
            <w:tcW w:w="2451" w:type="dxa"/>
          </w:tcPr>
          <w:p w14:paraId="7B3B9E13" w14:textId="4E966D40" w:rsidR="008B70B0" w:rsidRPr="00905804" w:rsidRDefault="003D70FC" w:rsidP="00CA4637">
            <w:pPr>
              <w:jc w:val="both"/>
              <w:rPr>
                <w:rFonts w:ascii="Arial" w:hAnsi="Arial" w:cs="Arial"/>
              </w:rPr>
            </w:pPr>
            <w:r w:rsidRPr="00905804">
              <w:rPr>
                <w:rFonts w:ascii="Arial" w:eastAsia="Times New Roman" w:hAnsi="Arial" w:cs="Arial"/>
                <w:kern w:val="0"/>
                <w14:ligatures w14:val="none"/>
              </w:rPr>
              <w:t>High</w:t>
            </w:r>
          </w:p>
        </w:tc>
      </w:tr>
      <w:tr w:rsidR="00905804" w:rsidRPr="00905804" w14:paraId="0578DCD2" w14:textId="392C3E82" w:rsidTr="00B129D3">
        <w:tc>
          <w:tcPr>
            <w:tcW w:w="4382" w:type="dxa"/>
          </w:tcPr>
          <w:p w14:paraId="49C78179" w14:textId="5897EE89" w:rsidR="003D70FC" w:rsidRPr="00905804" w:rsidRDefault="003D70FC" w:rsidP="00CA4637">
            <w:pPr>
              <w:jc w:val="both"/>
              <w:rPr>
                <w:rFonts w:ascii="Arial" w:hAnsi="Arial" w:cs="Arial"/>
              </w:rPr>
            </w:pPr>
            <w:r w:rsidRPr="00905804">
              <w:rPr>
                <w:rFonts w:ascii="Arial" w:hAnsi="Arial" w:cs="Arial"/>
              </w:rPr>
              <w:t>5 (</w:t>
            </w:r>
            <w:proofErr w:type="spellStart"/>
            <w:r w:rsidR="002C6A2A" w:rsidRPr="00905804">
              <w:rPr>
                <w:rFonts w:ascii="Arial" w:hAnsi="Arial" w:cs="Arial"/>
              </w:rPr>
              <w:t>Rumuodomaya</w:t>
            </w:r>
            <w:proofErr w:type="spellEnd"/>
            <w:r w:rsidR="002C6A2A" w:rsidRPr="00905804">
              <w:rPr>
                <w:rFonts w:ascii="Arial" w:hAnsi="Arial" w:cs="Arial"/>
              </w:rPr>
              <w:t>)</w:t>
            </w:r>
          </w:p>
        </w:tc>
        <w:tc>
          <w:tcPr>
            <w:tcW w:w="2517" w:type="dxa"/>
            <w:vAlign w:val="center"/>
          </w:tcPr>
          <w:p w14:paraId="05BED833" w14:textId="42AD1E19" w:rsidR="003D70FC" w:rsidRPr="00905804" w:rsidRDefault="003D70FC" w:rsidP="00CA4637">
            <w:pPr>
              <w:jc w:val="both"/>
              <w:rPr>
                <w:rFonts w:ascii="Arial" w:hAnsi="Arial" w:cs="Arial"/>
              </w:rPr>
            </w:pPr>
            <w:r w:rsidRPr="00905804">
              <w:rPr>
                <w:rFonts w:ascii="Arial" w:eastAsia="Times New Roman" w:hAnsi="Arial" w:cs="Arial"/>
                <w:kern w:val="0"/>
                <w14:ligatures w14:val="none"/>
              </w:rPr>
              <w:t>4.90 ± 0.38ᵃ</w:t>
            </w:r>
          </w:p>
        </w:tc>
        <w:tc>
          <w:tcPr>
            <w:tcW w:w="2451" w:type="dxa"/>
          </w:tcPr>
          <w:p w14:paraId="7166C196" w14:textId="7BEA09DC" w:rsidR="003D70FC" w:rsidRPr="00905804" w:rsidRDefault="003D70FC" w:rsidP="00CA4637">
            <w:pPr>
              <w:jc w:val="both"/>
              <w:rPr>
                <w:rFonts w:ascii="Arial" w:hAnsi="Arial" w:cs="Arial"/>
              </w:rPr>
            </w:pPr>
            <w:r w:rsidRPr="00905804">
              <w:rPr>
                <w:rFonts w:ascii="Arial" w:eastAsia="Times New Roman" w:hAnsi="Arial" w:cs="Arial"/>
                <w:kern w:val="0"/>
                <w14:ligatures w14:val="none"/>
              </w:rPr>
              <w:t>High</w:t>
            </w:r>
          </w:p>
        </w:tc>
      </w:tr>
      <w:tr w:rsidR="00905804" w:rsidRPr="00905804" w14:paraId="24F1F2EF" w14:textId="0E1D98D2" w:rsidTr="00B129D3">
        <w:tc>
          <w:tcPr>
            <w:tcW w:w="4382" w:type="dxa"/>
          </w:tcPr>
          <w:p w14:paraId="04D6A64C" w14:textId="12943E85" w:rsidR="003D70FC" w:rsidRPr="00905804" w:rsidRDefault="003D70FC" w:rsidP="00CA4637">
            <w:pPr>
              <w:jc w:val="both"/>
              <w:rPr>
                <w:rFonts w:ascii="Arial" w:hAnsi="Arial" w:cs="Arial"/>
              </w:rPr>
            </w:pPr>
            <w:r w:rsidRPr="00905804">
              <w:rPr>
                <w:rFonts w:ascii="Arial" w:hAnsi="Arial" w:cs="Arial"/>
              </w:rPr>
              <w:t>6 (</w:t>
            </w:r>
            <w:proofErr w:type="spellStart"/>
            <w:r w:rsidRPr="00905804">
              <w:rPr>
                <w:rFonts w:ascii="Arial" w:hAnsi="Arial" w:cs="Arial"/>
              </w:rPr>
              <w:t>Garri</w:t>
            </w:r>
            <w:proofErr w:type="spellEnd"/>
            <w:r w:rsidRPr="00905804">
              <w:rPr>
                <w:rFonts w:ascii="Arial" w:hAnsi="Arial" w:cs="Arial"/>
              </w:rPr>
              <w:t>)</w:t>
            </w:r>
          </w:p>
        </w:tc>
        <w:tc>
          <w:tcPr>
            <w:tcW w:w="2517" w:type="dxa"/>
            <w:vAlign w:val="center"/>
          </w:tcPr>
          <w:p w14:paraId="39B6629D" w14:textId="78CA4768" w:rsidR="003D70FC" w:rsidRPr="00905804" w:rsidRDefault="003D70FC" w:rsidP="00CA4637">
            <w:pPr>
              <w:jc w:val="both"/>
              <w:rPr>
                <w:rFonts w:ascii="Arial" w:hAnsi="Arial" w:cs="Arial"/>
              </w:rPr>
            </w:pPr>
            <w:r w:rsidRPr="00905804">
              <w:rPr>
                <w:rFonts w:ascii="Arial" w:eastAsia="Times New Roman" w:hAnsi="Arial" w:cs="Arial"/>
                <w:kern w:val="0"/>
                <w14:ligatures w14:val="none"/>
              </w:rPr>
              <w:t>5.70 ± 0.46ᵃ</w:t>
            </w:r>
          </w:p>
        </w:tc>
        <w:tc>
          <w:tcPr>
            <w:tcW w:w="2451" w:type="dxa"/>
          </w:tcPr>
          <w:p w14:paraId="207C778C" w14:textId="5C89466A" w:rsidR="003D70FC" w:rsidRPr="00905804" w:rsidRDefault="003D70FC" w:rsidP="00CA4637">
            <w:pPr>
              <w:jc w:val="both"/>
              <w:rPr>
                <w:rFonts w:ascii="Arial" w:hAnsi="Arial" w:cs="Arial"/>
              </w:rPr>
            </w:pPr>
            <w:r w:rsidRPr="00905804">
              <w:rPr>
                <w:rFonts w:ascii="Arial" w:eastAsia="Times New Roman" w:hAnsi="Arial" w:cs="Arial"/>
                <w:kern w:val="0"/>
                <w14:ligatures w14:val="none"/>
              </w:rPr>
              <w:t>High</w:t>
            </w:r>
          </w:p>
        </w:tc>
      </w:tr>
      <w:tr w:rsidR="00905804" w:rsidRPr="00905804" w14:paraId="1DCC6C31" w14:textId="620305BB" w:rsidTr="00B129D3">
        <w:tc>
          <w:tcPr>
            <w:tcW w:w="4382" w:type="dxa"/>
          </w:tcPr>
          <w:p w14:paraId="03ECEC90" w14:textId="3CFADBB8" w:rsidR="003D70FC" w:rsidRPr="00905804" w:rsidRDefault="003D70FC" w:rsidP="00CA4637">
            <w:pPr>
              <w:jc w:val="both"/>
              <w:rPr>
                <w:rFonts w:ascii="Arial" w:hAnsi="Arial" w:cs="Arial"/>
              </w:rPr>
            </w:pPr>
            <w:r w:rsidRPr="00905804">
              <w:rPr>
                <w:rFonts w:ascii="Arial" w:hAnsi="Arial" w:cs="Arial"/>
              </w:rPr>
              <w:t>7 (</w:t>
            </w:r>
            <w:proofErr w:type="spellStart"/>
            <w:r w:rsidRPr="00905804">
              <w:rPr>
                <w:rFonts w:ascii="Arial" w:hAnsi="Arial" w:cs="Arial"/>
              </w:rPr>
              <w:t>Sangana</w:t>
            </w:r>
            <w:proofErr w:type="spellEnd"/>
            <w:r w:rsidRPr="00905804">
              <w:rPr>
                <w:rFonts w:ascii="Arial" w:hAnsi="Arial" w:cs="Arial"/>
              </w:rPr>
              <w:t>)</w:t>
            </w:r>
          </w:p>
        </w:tc>
        <w:tc>
          <w:tcPr>
            <w:tcW w:w="2517" w:type="dxa"/>
            <w:vAlign w:val="center"/>
          </w:tcPr>
          <w:p w14:paraId="333BF255" w14:textId="79F8E1C2" w:rsidR="003D70FC" w:rsidRPr="00905804" w:rsidRDefault="003D70FC" w:rsidP="00CA4637">
            <w:pPr>
              <w:jc w:val="both"/>
              <w:rPr>
                <w:rFonts w:ascii="Arial" w:hAnsi="Arial" w:cs="Arial"/>
              </w:rPr>
            </w:pPr>
            <w:r w:rsidRPr="00905804">
              <w:rPr>
                <w:rFonts w:ascii="Arial" w:eastAsia="Times New Roman" w:hAnsi="Arial" w:cs="Arial"/>
                <w:kern w:val="0"/>
                <w14:ligatures w14:val="none"/>
              </w:rPr>
              <w:t>2.80 ± 0.29ᵇ</w:t>
            </w:r>
          </w:p>
        </w:tc>
        <w:tc>
          <w:tcPr>
            <w:tcW w:w="2451" w:type="dxa"/>
          </w:tcPr>
          <w:p w14:paraId="28FFC8E7" w14:textId="4539B042" w:rsidR="003D70FC" w:rsidRPr="00905804" w:rsidRDefault="003D70FC" w:rsidP="00CA4637">
            <w:pPr>
              <w:jc w:val="both"/>
              <w:rPr>
                <w:rFonts w:ascii="Arial" w:hAnsi="Arial" w:cs="Arial"/>
              </w:rPr>
            </w:pPr>
            <w:r w:rsidRPr="00905804">
              <w:rPr>
                <w:rFonts w:ascii="Arial" w:eastAsia="Times New Roman" w:hAnsi="Arial" w:cs="Arial"/>
                <w:kern w:val="0"/>
                <w14:ligatures w14:val="none"/>
              </w:rPr>
              <w:t>Moderately high</w:t>
            </w:r>
          </w:p>
        </w:tc>
      </w:tr>
      <w:tr w:rsidR="00905804" w:rsidRPr="00905804" w14:paraId="59D2A2FB" w14:textId="77CB03F5" w:rsidTr="00B129D3">
        <w:tc>
          <w:tcPr>
            <w:tcW w:w="4382" w:type="dxa"/>
          </w:tcPr>
          <w:p w14:paraId="5FB5A7A2" w14:textId="0D6B5FB0" w:rsidR="003D70FC" w:rsidRPr="00905804" w:rsidRDefault="003D70FC" w:rsidP="00CA4637">
            <w:pPr>
              <w:jc w:val="both"/>
              <w:rPr>
                <w:rFonts w:ascii="Arial" w:hAnsi="Arial" w:cs="Arial"/>
              </w:rPr>
            </w:pPr>
            <w:r w:rsidRPr="00905804">
              <w:rPr>
                <w:rFonts w:ascii="Arial" w:hAnsi="Arial" w:cs="Arial"/>
              </w:rPr>
              <w:t>8 (</w:t>
            </w:r>
            <w:proofErr w:type="spellStart"/>
            <w:r w:rsidRPr="00905804">
              <w:rPr>
                <w:rFonts w:ascii="Arial" w:hAnsi="Arial" w:cs="Arial"/>
              </w:rPr>
              <w:t>Ogunabali</w:t>
            </w:r>
            <w:proofErr w:type="spellEnd"/>
            <w:r w:rsidRPr="00905804">
              <w:rPr>
                <w:rFonts w:ascii="Arial" w:hAnsi="Arial" w:cs="Arial"/>
              </w:rPr>
              <w:t xml:space="preserve"> Fruit Garde</w:t>
            </w:r>
            <w:r w:rsidR="009107E8" w:rsidRPr="00905804">
              <w:rPr>
                <w:rFonts w:ascii="Arial" w:hAnsi="Arial" w:cs="Arial"/>
              </w:rPr>
              <w:t>n</w:t>
            </w:r>
            <w:r w:rsidRPr="00905804">
              <w:rPr>
                <w:rFonts w:ascii="Arial" w:hAnsi="Arial" w:cs="Arial"/>
              </w:rPr>
              <w:t>)</w:t>
            </w:r>
          </w:p>
        </w:tc>
        <w:tc>
          <w:tcPr>
            <w:tcW w:w="2517" w:type="dxa"/>
            <w:vAlign w:val="center"/>
          </w:tcPr>
          <w:p w14:paraId="56ECE9D0" w14:textId="09AB0C04" w:rsidR="003D70FC" w:rsidRPr="00905804" w:rsidRDefault="003D70FC" w:rsidP="00CA4637">
            <w:pPr>
              <w:jc w:val="both"/>
              <w:rPr>
                <w:rFonts w:ascii="Arial" w:hAnsi="Arial" w:cs="Arial"/>
              </w:rPr>
            </w:pPr>
            <w:r w:rsidRPr="00905804">
              <w:rPr>
                <w:rFonts w:ascii="Arial" w:eastAsia="Times New Roman" w:hAnsi="Arial" w:cs="Arial"/>
                <w:kern w:val="0"/>
                <w14:ligatures w14:val="none"/>
              </w:rPr>
              <w:t>3.10 ± 0.31ᵇ</w:t>
            </w:r>
          </w:p>
        </w:tc>
        <w:tc>
          <w:tcPr>
            <w:tcW w:w="2451" w:type="dxa"/>
          </w:tcPr>
          <w:p w14:paraId="4263B721" w14:textId="512BB7DB" w:rsidR="003D70FC" w:rsidRPr="00905804" w:rsidRDefault="003D70FC" w:rsidP="00CA4637">
            <w:pPr>
              <w:jc w:val="both"/>
              <w:rPr>
                <w:rFonts w:ascii="Arial" w:hAnsi="Arial" w:cs="Arial"/>
              </w:rPr>
            </w:pPr>
            <w:r w:rsidRPr="00905804">
              <w:rPr>
                <w:rFonts w:ascii="Arial" w:eastAsia="Times New Roman" w:hAnsi="Arial" w:cs="Arial"/>
                <w:kern w:val="0"/>
                <w14:ligatures w14:val="none"/>
              </w:rPr>
              <w:t>Moderately high</w:t>
            </w:r>
          </w:p>
        </w:tc>
      </w:tr>
      <w:tr w:rsidR="00905804" w:rsidRPr="00905804" w14:paraId="35B546D6" w14:textId="067540D6" w:rsidTr="00B129D3">
        <w:tc>
          <w:tcPr>
            <w:tcW w:w="4382" w:type="dxa"/>
          </w:tcPr>
          <w:p w14:paraId="2CCD038A" w14:textId="67C6C60E" w:rsidR="003D70FC" w:rsidRPr="00905804" w:rsidRDefault="003D70FC" w:rsidP="00CA4637">
            <w:pPr>
              <w:jc w:val="both"/>
              <w:rPr>
                <w:rFonts w:ascii="Arial" w:hAnsi="Arial" w:cs="Arial"/>
              </w:rPr>
            </w:pPr>
            <w:r w:rsidRPr="00905804">
              <w:rPr>
                <w:rFonts w:ascii="Arial" w:hAnsi="Arial" w:cs="Arial"/>
              </w:rPr>
              <w:t>9 (Town)</w:t>
            </w:r>
          </w:p>
        </w:tc>
        <w:tc>
          <w:tcPr>
            <w:tcW w:w="2517" w:type="dxa"/>
            <w:vAlign w:val="center"/>
          </w:tcPr>
          <w:p w14:paraId="500D9FB8" w14:textId="43B56B91" w:rsidR="003D70FC" w:rsidRPr="00905804" w:rsidRDefault="003D70FC" w:rsidP="00CA4637">
            <w:pPr>
              <w:jc w:val="both"/>
              <w:rPr>
                <w:rFonts w:ascii="Arial" w:hAnsi="Arial" w:cs="Arial"/>
              </w:rPr>
            </w:pPr>
            <w:r w:rsidRPr="00905804">
              <w:rPr>
                <w:rFonts w:ascii="Arial" w:eastAsia="Times New Roman" w:hAnsi="Arial" w:cs="Arial"/>
                <w:kern w:val="0"/>
                <w14:ligatures w14:val="none"/>
              </w:rPr>
              <w:t>2.90 ± 0.27ᵇ</w:t>
            </w:r>
          </w:p>
        </w:tc>
        <w:tc>
          <w:tcPr>
            <w:tcW w:w="2451" w:type="dxa"/>
          </w:tcPr>
          <w:p w14:paraId="5B450F08" w14:textId="15392B45" w:rsidR="003D70FC" w:rsidRPr="00905804" w:rsidRDefault="003D70FC" w:rsidP="00CA4637">
            <w:pPr>
              <w:jc w:val="both"/>
              <w:rPr>
                <w:rFonts w:ascii="Arial" w:hAnsi="Arial" w:cs="Arial"/>
              </w:rPr>
            </w:pPr>
            <w:r w:rsidRPr="00905804">
              <w:rPr>
                <w:rFonts w:ascii="Arial" w:eastAsia="Times New Roman" w:hAnsi="Arial" w:cs="Arial"/>
                <w:kern w:val="0"/>
                <w14:ligatures w14:val="none"/>
              </w:rPr>
              <w:t>Moderately high</w:t>
            </w:r>
          </w:p>
        </w:tc>
      </w:tr>
      <w:tr w:rsidR="00905804" w:rsidRPr="00905804" w14:paraId="607E601B" w14:textId="035E9614" w:rsidTr="00B129D3">
        <w:tc>
          <w:tcPr>
            <w:tcW w:w="4382" w:type="dxa"/>
          </w:tcPr>
          <w:p w14:paraId="6C51B0AC" w14:textId="06C363C3" w:rsidR="003D70FC" w:rsidRPr="00905804" w:rsidRDefault="003D70FC" w:rsidP="00CA4637">
            <w:pPr>
              <w:jc w:val="both"/>
              <w:rPr>
                <w:rFonts w:ascii="Arial" w:hAnsi="Arial" w:cs="Arial"/>
              </w:rPr>
            </w:pPr>
            <w:r w:rsidRPr="00905804">
              <w:rPr>
                <w:rFonts w:ascii="Arial" w:hAnsi="Arial" w:cs="Arial"/>
              </w:rPr>
              <w:t>10 (Airforce)</w:t>
            </w:r>
          </w:p>
        </w:tc>
        <w:tc>
          <w:tcPr>
            <w:tcW w:w="2517" w:type="dxa"/>
            <w:vAlign w:val="center"/>
          </w:tcPr>
          <w:p w14:paraId="14F39A97" w14:textId="2C92DEBF" w:rsidR="003D70FC" w:rsidRPr="00905804" w:rsidRDefault="003D70FC" w:rsidP="00CA4637">
            <w:pPr>
              <w:jc w:val="both"/>
              <w:rPr>
                <w:rFonts w:ascii="Arial" w:hAnsi="Arial" w:cs="Arial"/>
              </w:rPr>
            </w:pPr>
            <w:r w:rsidRPr="00905804">
              <w:rPr>
                <w:rFonts w:ascii="Arial" w:eastAsia="Times New Roman" w:hAnsi="Arial" w:cs="Arial"/>
                <w:kern w:val="0"/>
                <w14:ligatures w14:val="none"/>
              </w:rPr>
              <w:t>3.00 ± 0.28ᵇ</w:t>
            </w:r>
          </w:p>
        </w:tc>
        <w:tc>
          <w:tcPr>
            <w:tcW w:w="2451" w:type="dxa"/>
          </w:tcPr>
          <w:p w14:paraId="5EB02D85" w14:textId="4D3DC052" w:rsidR="003D70FC" w:rsidRPr="00905804" w:rsidRDefault="003D70FC" w:rsidP="00CA4637">
            <w:pPr>
              <w:jc w:val="both"/>
              <w:rPr>
                <w:rFonts w:ascii="Arial" w:hAnsi="Arial" w:cs="Arial"/>
              </w:rPr>
            </w:pPr>
            <w:r w:rsidRPr="00905804">
              <w:rPr>
                <w:rFonts w:ascii="Arial" w:eastAsia="Times New Roman" w:hAnsi="Arial" w:cs="Arial"/>
                <w:kern w:val="0"/>
                <w14:ligatures w14:val="none"/>
              </w:rPr>
              <w:t>Moderately high</w:t>
            </w:r>
          </w:p>
        </w:tc>
      </w:tr>
      <w:tr w:rsidR="00905804" w:rsidRPr="00905804" w14:paraId="085FCF68" w14:textId="27CF2042" w:rsidTr="00B129D3">
        <w:tc>
          <w:tcPr>
            <w:tcW w:w="4382" w:type="dxa"/>
          </w:tcPr>
          <w:p w14:paraId="4231C916" w14:textId="7C5095CF" w:rsidR="003D70FC" w:rsidRPr="00905804" w:rsidRDefault="003D70FC" w:rsidP="00CA4637">
            <w:pPr>
              <w:jc w:val="both"/>
              <w:rPr>
                <w:rFonts w:ascii="Arial" w:hAnsi="Arial" w:cs="Arial"/>
              </w:rPr>
            </w:pPr>
            <w:r w:rsidRPr="00905804">
              <w:rPr>
                <w:rFonts w:ascii="Arial" w:hAnsi="Arial" w:cs="Arial"/>
              </w:rPr>
              <w:t>11 (</w:t>
            </w:r>
            <w:proofErr w:type="spellStart"/>
            <w:r w:rsidRPr="00905804">
              <w:rPr>
                <w:rFonts w:ascii="Arial" w:hAnsi="Arial" w:cs="Arial"/>
              </w:rPr>
              <w:t>Mgbuoba</w:t>
            </w:r>
            <w:proofErr w:type="spellEnd"/>
            <w:r w:rsidRPr="00905804">
              <w:rPr>
                <w:rFonts w:ascii="Arial" w:hAnsi="Arial" w:cs="Arial"/>
              </w:rPr>
              <w:t>)</w:t>
            </w:r>
          </w:p>
        </w:tc>
        <w:tc>
          <w:tcPr>
            <w:tcW w:w="2517" w:type="dxa"/>
            <w:vAlign w:val="center"/>
          </w:tcPr>
          <w:p w14:paraId="0AFC33E7" w14:textId="5AF5B3D8" w:rsidR="003D70FC" w:rsidRPr="00905804" w:rsidRDefault="003D70FC" w:rsidP="00CA4637">
            <w:pPr>
              <w:jc w:val="both"/>
              <w:rPr>
                <w:rFonts w:ascii="Arial" w:hAnsi="Arial" w:cs="Arial"/>
              </w:rPr>
            </w:pPr>
            <w:r w:rsidRPr="00905804">
              <w:rPr>
                <w:rFonts w:ascii="Arial" w:eastAsia="Times New Roman" w:hAnsi="Arial" w:cs="Arial"/>
                <w:kern w:val="0"/>
                <w14:ligatures w14:val="none"/>
              </w:rPr>
              <w:t>1.50 ± 0.19ᶜ</w:t>
            </w:r>
          </w:p>
        </w:tc>
        <w:tc>
          <w:tcPr>
            <w:tcW w:w="2451" w:type="dxa"/>
          </w:tcPr>
          <w:p w14:paraId="50154EC1" w14:textId="310660F5" w:rsidR="003D70FC" w:rsidRPr="00905804" w:rsidRDefault="003D70FC" w:rsidP="00CA4637">
            <w:pPr>
              <w:jc w:val="both"/>
              <w:rPr>
                <w:rFonts w:ascii="Arial" w:hAnsi="Arial" w:cs="Arial"/>
              </w:rPr>
            </w:pPr>
            <w:r w:rsidRPr="00905804">
              <w:rPr>
                <w:rFonts w:ascii="Arial" w:eastAsia="Times New Roman" w:hAnsi="Arial" w:cs="Arial"/>
                <w:kern w:val="0"/>
                <w14:ligatures w14:val="none"/>
              </w:rPr>
              <w:t>Moderate</w:t>
            </w:r>
          </w:p>
        </w:tc>
      </w:tr>
      <w:tr w:rsidR="00CA4637" w:rsidRPr="00905804" w14:paraId="4AB819CF" w14:textId="5C7B2697" w:rsidTr="00B129D3">
        <w:tc>
          <w:tcPr>
            <w:tcW w:w="4382" w:type="dxa"/>
          </w:tcPr>
          <w:p w14:paraId="6C94C53D" w14:textId="0A625D3B" w:rsidR="003D70FC" w:rsidRPr="00905804" w:rsidRDefault="003D70FC" w:rsidP="00CA4637">
            <w:pPr>
              <w:jc w:val="both"/>
              <w:rPr>
                <w:rFonts w:ascii="Arial" w:hAnsi="Arial" w:cs="Arial"/>
              </w:rPr>
            </w:pPr>
            <w:r w:rsidRPr="00905804">
              <w:rPr>
                <w:rFonts w:ascii="Arial" w:hAnsi="Arial" w:cs="Arial"/>
              </w:rPr>
              <w:t>12 (</w:t>
            </w:r>
            <w:proofErr w:type="spellStart"/>
            <w:r w:rsidRPr="00905804">
              <w:rPr>
                <w:rFonts w:ascii="Arial" w:hAnsi="Arial" w:cs="Arial"/>
              </w:rPr>
              <w:t>Igwuruta</w:t>
            </w:r>
            <w:proofErr w:type="spellEnd"/>
            <w:r w:rsidRPr="00905804">
              <w:rPr>
                <w:rFonts w:ascii="Arial" w:hAnsi="Arial" w:cs="Arial"/>
              </w:rPr>
              <w:t xml:space="preserve"> Main)</w:t>
            </w:r>
          </w:p>
        </w:tc>
        <w:tc>
          <w:tcPr>
            <w:tcW w:w="2517" w:type="dxa"/>
            <w:vAlign w:val="center"/>
          </w:tcPr>
          <w:p w14:paraId="225FA7E1" w14:textId="039713C7" w:rsidR="003D70FC" w:rsidRPr="00905804" w:rsidRDefault="003D70FC" w:rsidP="00CA4637">
            <w:pPr>
              <w:jc w:val="both"/>
              <w:rPr>
                <w:rFonts w:ascii="Arial" w:hAnsi="Arial" w:cs="Arial"/>
              </w:rPr>
            </w:pPr>
            <w:r w:rsidRPr="00905804">
              <w:rPr>
                <w:rFonts w:ascii="Arial" w:eastAsia="Times New Roman" w:hAnsi="Arial" w:cs="Arial"/>
                <w:kern w:val="0"/>
                <w14:ligatures w14:val="none"/>
              </w:rPr>
              <w:t>1.70 ± 0.21ᶜ</w:t>
            </w:r>
          </w:p>
        </w:tc>
        <w:tc>
          <w:tcPr>
            <w:tcW w:w="2451" w:type="dxa"/>
          </w:tcPr>
          <w:p w14:paraId="7B845EF2" w14:textId="5CC2665A" w:rsidR="003D70FC" w:rsidRPr="00905804" w:rsidRDefault="003D70FC" w:rsidP="00CA4637">
            <w:pPr>
              <w:jc w:val="both"/>
              <w:rPr>
                <w:rFonts w:ascii="Arial" w:hAnsi="Arial" w:cs="Arial"/>
              </w:rPr>
            </w:pPr>
            <w:r w:rsidRPr="00905804">
              <w:rPr>
                <w:rFonts w:ascii="Arial" w:eastAsia="Times New Roman" w:hAnsi="Arial" w:cs="Arial"/>
                <w:kern w:val="0"/>
                <w14:ligatures w14:val="none"/>
              </w:rPr>
              <w:t>Moderate</w:t>
            </w:r>
          </w:p>
        </w:tc>
      </w:tr>
    </w:tbl>
    <w:p w14:paraId="61F93DA2" w14:textId="77777777" w:rsidR="00E80D55" w:rsidRPr="00905804" w:rsidRDefault="00E80D55" w:rsidP="00CA4637">
      <w:pPr>
        <w:spacing w:after="0"/>
        <w:jc w:val="both"/>
        <w:rPr>
          <w:rFonts w:ascii="Arial" w:hAnsi="Arial" w:cs="Arial"/>
        </w:rPr>
      </w:pPr>
    </w:p>
    <w:p w14:paraId="69F3E697" w14:textId="01638530" w:rsidR="00A262F9" w:rsidRPr="00905804" w:rsidRDefault="00A262F9" w:rsidP="00CA4637">
      <w:pPr>
        <w:spacing w:after="0"/>
        <w:jc w:val="both"/>
        <w:rPr>
          <w:rFonts w:ascii="Arial" w:hAnsi="Arial" w:cs="Arial"/>
        </w:rPr>
      </w:pPr>
      <w:r w:rsidRPr="00905804">
        <w:rPr>
          <w:rFonts w:ascii="Arial" w:hAnsi="Arial" w:cs="Arial"/>
        </w:rPr>
        <w:t>Key:</w:t>
      </w:r>
    </w:p>
    <w:p w14:paraId="4CE21AD4" w14:textId="77777777" w:rsidR="00A262F9" w:rsidRPr="00905804" w:rsidRDefault="00A262F9" w:rsidP="00CA4637">
      <w:pPr>
        <w:spacing w:after="0"/>
        <w:jc w:val="both"/>
        <w:rPr>
          <w:rFonts w:ascii="Arial" w:hAnsi="Arial" w:cs="Arial"/>
        </w:rPr>
      </w:pPr>
      <w:r w:rsidRPr="00905804">
        <w:rPr>
          <w:rFonts w:ascii="Arial" w:hAnsi="Arial" w:cs="Arial"/>
        </w:rPr>
        <w:t>High: ≥ 4.8 × 10⁷ CFU/g</w:t>
      </w:r>
    </w:p>
    <w:p w14:paraId="192C070B" w14:textId="77777777" w:rsidR="00A262F9" w:rsidRPr="00905804" w:rsidRDefault="00A262F9" w:rsidP="00CA4637">
      <w:pPr>
        <w:spacing w:after="0"/>
        <w:jc w:val="both"/>
        <w:rPr>
          <w:rFonts w:ascii="Arial" w:hAnsi="Arial" w:cs="Arial"/>
        </w:rPr>
      </w:pPr>
      <w:r w:rsidRPr="00905804">
        <w:rPr>
          <w:rFonts w:ascii="Arial" w:hAnsi="Arial" w:cs="Arial"/>
        </w:rPr>
        <w:t>Moderately High: 2.8–3.1 × 10⁷ CFU/g</w:t>
      </w:r>
    </w:p>
    <w:p w14:paraId="4916E42C" w14:textId="77777777" w:rsidR="00A262F9" w:rsidRPr="00905804" w:rsidRDefault="00A262F9" w:rsidP="00CA4637">
      <w:pPr>
        <w:spacing w:after="0"/>
        <w:jc w:val="both"/>
        <w:rPr>
          <w:rFonts w:ascii="Arial" w:hAnsi="Arial" w:cs="Arial"/>
        </w:rPr>
      </w:pPr>
      <w:r w:rsidRPr="00905804">
        <w:rPr>
          <w:rFonts w:ascii="Arial" w:hAnsi="Arial" w:cs="Arial"/>
        </w:rPr>
        <w:t>Moderate: 1.5–1.7 × 10⁷ CFU/g</w:t>
      </w:r>
    </w:p>
    <w:p w14:paraId="1561C92C" w14:textId="77777777" w:rsidR="006D71FA" w:rsidRPr="00905804" w:rsidRDefault="006D71FA" w:rsidP="00CA4637">
      <w:pPr>
        <w:spacing w:after="0"/>
        <w:jc w:val="both"/>
        <w:rPr>
          <w:rFonts w:ascii="Arial" w:hAnsi="Arial" w:cs="Arial"/>
        </w:rPr>
      </w:pPr>
    </w:p>
    <w:p w14:paraId="38C9FBBA" w14:textId="48E4D059" w:rsidR="00375CB9" w:rsidRPr="00905804" w:rsidRDefault="006D71FA" w:rsidP="00CA4637">
      <w:pPr>
        <w:spacing w:after="0"/>
        <w:jc w:val="both"/>
        <w:rPr>
          <w:rFonts w:ascii="Arial" w:hAnsi="Arial" w:cs="Arial"/>
          <w:i/>
          <w:iCs/>
        </w:rPr>
      </w:pPr>
      <w:r w:rsidRPr="00905804">
        <w:rPr>
          <w:rFonts w:ascii="Arial" w:hAnsi="Arial" w:cs="Arial"/>
          <w:noProof/>
        </w:rPr>
        <w:drawing>
          <wp:inline distT="0" distB="0" distL="0" distR="0" wp14:anchorId="0FA9E372" wp14:editId="3C95ECC9">
            <wp:extent cx="3956538" cy="2951703"/>
            <wp:effectExtent l="0" t="0" r="6350" b="1270"/>
            <wp:docPr id="20139846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6538" cy="2951703"/>
                    </a:xfrm>
                    <a:prstGeom prst="rect">
                      <a:avLst/>
                    </a:prstGeom>
                    <a:noFill/>
                    <a:ln>
                      <a:noFill/>
                    </a:ln>
                  </pic:spPr>
                </pic:pic>
              </a:graphicData>
            </a:graphic>
          </wp:inline>
        </w:drawing>
      </w:r>
    </w:p>
    <w:p w14:paraId="6C7AC4B6" w14:textId="61B8C97D" w:rsidR="002C1C37" w:rsidRPr="00905804" w:rsidRDefault="002C1C37" w:rsidP="00CA4637">
      <w:pPr>
        <w:jc w:val="both"/>
        <w:rPr>
          <w:rFonts w:ascii="Arial" w:hAnsi="Arial" w:cs="Arial"/>
          <w:b/>
          <w:bCs/>
        </w:rPr>
      </w:pPr>
      <w:r w:rsidRPr="00905804">
        <w:rPr>
          <w:rFonts w:ascii="Arial" w:hAnsi="Arial" w:cs="Arial"/>
          <w:b/>
          <w:bCs/>
        </w:rPr>
        <w:t xml:space="preserve">Prevalence of </w:t>
      </w:r>
      <w:r w:rsidR="00AB25A3" w:rsidRPr="00905804">
        <w:rPr>
          <w:rFonts w:ascii="Arial" w:hAnsi="Arial" w:cs="Arial"/>
          <w:b/>
          <w:bCs/>
          <w:i/>
          <w:iCs/>
        </w:rPr>
        <w:t>S. enterica</w:t>
      </w:r>
      <w:r w:rsidR="00AB25A3" w:rsidRPr="00905804">
        <w:rPr>
          <w:rFonts w:ascii="Arial" w:hAnsi="Arial" w:cs="Arial"/>
          <w:b/>
          <w:bCs/>
        </w:rPr>
        <w:t xml:space="preserve"> </w:t>
      </w:r>
      <w:r w:rsidRPr="00905804">
        <w:rPr>
          <w:rFonts w:ascii="Arial" w:hAnsi="Arial" w:cs="Arial"/>
          <w:b/>
          <w:bCs/>
        </w:rPr>
        <w:t>in Cow Intestines</w:t>
      </w:r>
    </w:p>
    <w:p w14:paraId="6BC3B324" w14:textId="74A33862" w:rsidR="00CD5A52" w:rsidRPr="00905804" w:rsidRDefault="00CD5A52" w:rsidP="00CA4637">
      <w:pPr>
        <w:jc w:val="both"/>
        <w:rPr>
          <w:rFonts w:ascii="Arial" w:hAnsi="Arial" w:cs="Arial"/>
        </w:rPr>
      </w:pPr>
      <w:r w:rsidRPr="00905804">
        <w:rPr>
          <w:rFonts w:ascii="Arial" w:hAnsi="Arial" w:cs="Arial"/>
          <w:i/>
          <w:iCs/>
        </w:rPr>
        <w:t>S</w:t>
      </w:r>
      <w:r w:rsidR="00E23C46" w:rsidRPr="00905804">
        <w:rPr>
          <w:rFonts w:ascii="Arial" w:hAnsi="Arial" w:cs="Arial"/>
          <w:i/>
          <w:iCs/>
        </w:rPr>
        <w:t xml:space="preserve">. </w:t>
      </w:r>
      <w:r w:rsidRPr="00905804">
        <w:rPr>
          <w:rFonts w:ascii="Arial" w:hAnsi="Arial" w:cs="Arial"/>
          <w:i/>
          <w:iCs/>
        </w:rPr>
        <w:t>enterica</w:t>
      </w:r>
      <w:r w:rsidRPr="00905804">
        <w:rPr>
          <w:rFonts w:ascii="Arial" w:hAnsi="Arial" w:cs="Arial"/>
        </w:rPr>
        <w:t xml:space="preserve"> was isolated from 95.5% of the total samples </w:t>
      </w:r>
      <w:proofErr w:type="spellStart"/>
      <w:r w:rsidRPr="00905804">
        <w:rPr>
          <w:rFonts w:ascii="Arial" w:hAnsi="Arial" w:cs="Arial"/>
        </w:rPr>
        <w:t>analysed</w:t>
      </w:r>
      <w:proofErr w:type="spellEnd"/>
      <w:r w:rsidRPr="00905804">
        <w:rPr>
          <w:rFonts w:ascii="Arial" w:hAnsi="Arial" w:cs="Arial"/>
        </w:rPr>
        <w:t xml:space="preserve">. The organism was recovered from all twelve markets, with prevalence rates ranging from 87.5% to 100% (Table 2; Figure 2). Complete prevalence (100%) was observed in Market 1 (Mile one), as well as several other markets, while the lowest prevalence (87.5%) occurred in </w:t>
      </w:r>
      <w:r w:rsidRPr="00905804">
        <w:rPr>
          <w:rFonts w:ascii="Arial" w:hAnsi="Arial" w:cs="Arial"/>
        </w:rPr>
        <w:lastRenderedPageBreak/>
        <w:t>Markets 11 (</w:t>
      </w:r>
      <w:proofErr w:type="spellStart"/>
      <w:r w:rsidRPr="00905804">
        <w:rPr>
          <w:rFonts w:ascii="Arial" w:hAnsi="Arial" w:cs="Arial"/>
        </w:rPr>
        <w:t>Mgbuoba</w:t>
      </w:r>
      <w:proofErr w:type="spellEnd"/>
      <w:r w:rsidRPr="00905804">
        <w:rPr>
          <w:rFonts w:ascii="Arial" w:hAnsi="Arial" w:cs="Arial"/>
        </w:rPr>
        <w:t>) and Market 12 (</w:t>
      </w:r>
      <w:proofErr w:type="spellStart"/>
      <w:r w:rsidRPr="00905804">
        <w:rPr>
          <w:rFonts w:ascii="Arial" w:hAnsi="Arial" w:cs="Arial"/>
        </w:rPr>
        <w:t>Igwuruta</w:t>
      </w:r>
      <w:proofErr w:type="spellEnd"/>
      <w:r w:rsidRPr="00905804">
        <w:rPr>
          <w:rFonts w:ascii="Arial" w:hAnsi="Arial" w:cs="Arial"/>
        </w:rPr>
        <w:t xml:space="preserve"> Main). Chi-square analysis revealed no statistically significant differences in prevalence among markets (p &gt; 0.05).</w:t>
      </w:r>
    </w:p>
    <w:p w14:paraId="457B3092" w14:textId="36A116B5" w:rsidR="00AC2329" w:rsidRPr="00905804" w:rsidRDefault="00AC2329" w:rsidP="00CA4637">
      <w:pPr>
        <w:jc w:val="both"/>
        <w:rPr>
          <w:rFonts w:ascii="Arial" w:hAnsi="Arial" w:cs="Arial"/>
          <w:b/>
          <w:bCs/>
        </w:rPr>
      </w:pPr>
      <w:r w:rsidRPr="00905804">
        <w:rPr>
          <w:rFonts w:ascii="Arial" w:hAnsi="Arial" w:cs="Arial"/>
          <w:b/>
          <w:bCs/>
        </w:rPr>
        <w:t xml:space="preserve">Table 2. </w:t>
      </w:r>
      <w:r w:rsidR="007D1B4B" w:rsidRPr="00905804">
        <w:rPr>
          <w:rFonts w:ascii="Arial" w:hAnsi="Arial" w:cs="Arial"/>
          <w:b/>
          <w:bCs/>
        </w:rPr>
        <w:t xml:space="preserve">Prevalence </w:t>
      </w:r>
      <w:r w:rsidRPr="00905804">
        <w:rPr>
          <w:rFonts w:ascii="Arial" w:hAnsi="Arial" w:cs="Arial"/>
          <w:b/>
          <w:bCs/>
        </w:rPr>
        <w:t xml:space="preserve">of </w:t>
      </w:r>
      <w:r w:rsidR="00AB25A3" w:rsidRPr="00905804">
        <w:rPr>
          <w:rFonts w:ascii="Arial" w:hAnsi="Arial" w:cs="Arial"/>
          <w:b/>
          <w:bCs/>
          <w:i/>
          <w:iCs/>
        </w:rPr>
        <w:t>S. enterica</w:t>
      </w:r>
      <w:r w:rsidR="00AB25A3" w:rsidRPr="00905804">
        <w:rPr>
          <w:rFonts w:ascii="Arial" w:hAnsi="Arial" w:cs="Arial"/>
          <w:b/>
          <w:bCs/>
        </w:rPr>
        <w:t xml:space="preserve"> </w:t>
      </w:r>
      <w:r w:rsidR="004262AE" w:rsidRPr="00905804">
        <w:rPr>
          <w:rFonts w:ascii="Arial" w:hAnsi="Arial" w:cs="Arial"/>
          <w:b/>
          <w:bCs/>
        </w:rPr>
        <w:t>across Markets</w:t>
      </w:r>
    </w:p>
    <w:tbl>
      <w:tblPr>
        <w:tblStyle w:val="TableGrid"/>
        <w:tblW w:w="0" w:type="auto"/>
        <w:tblLook w:val="04A0" w:firstRow="1" w:lastRow="0" w:firstColumn="1" w:lastColumn="0" w:noHBand="0" w:noVBand="1"/>
      </w:tblPr>
      <w:tblGrid>
        <w:gridCol w:w="2089"/>
        <w:gridCol w:w="2958"/>
        <w:gridCol w:w="2886"/>
        <w:gridCol w:w="1417"/>
      </w:tblGrid>
      <w:tr w:rsidR="00905804" w:rsidRPr="00905804" w14:paraId="26FD413A" w14:textId="6BC025FD" w:rsidTr="00382893">
        <w:tc>
          <w:tcPr>
            <w:tcW w:w="2257" w:type="dxa"/>
          </w:tcPr>
          <w:p w14:paraId="294F2AA0" w14:textId="39776D9E" w:rsidR="004211DB" w:rsidRPr="00905804" w:rsidRDefault="004211DB" w:rsidP="00CA4637">
            <w:pPr>
              <w:jc w:val="both"/>
              <w:rPr>
                <w:rFonts w:ascii="Arial" w:hAnsi="Arial" w:cs="Arial"/>
              </w:rPr>
            </w:pPr>
            <w:r w:rsidRPr="00905804">
              <w:rPr>
                <w:rFonts w:ascii="Arial" w:hAnsi="Arial" w:cs="Arial"/>
              </w:rPr>
              <w:t>Isolate</w:t>
            </w:r>
          </w:p>
        </w:tc>
        <w:tc>
          <w:tcPr>
            <w:tcW w:w="3115" w:type="dxa"/>
          </w:tcPr>
          <w:p w14:paraId="2DB332D7" w14:textId="20765CF7" w:rsidR="004211DB" w:rsidRPr="00905804" w:rsidRDefault="004211DB" w:rsidP="00CA4637">
            <w:pPr>
              <w:jc w:val="both"/>
              <w:rPr>
                <w:rFonts w:ascii="Arial" w:hAnsi="Arial" w:cs="Arial"/>
              </w:rPr>
            </w:pPr>
            <w:r w:rsidRPr="00905804">
              <w:rPr>
                <w:rFonts w:ascii="Arial" w:hAnsi="Arial" w:cs="Arial"/>
              </w:rPr>
              <w:t>Market</w:t>
            </w:r>
          </w:p>
        </w:tc>
        <w:tc>
          <w:tcPr>
            <w:tcW w:w="3173" w:type="dxa"/>
          </w:tcPr>
          <w:p w14:paraId="1A757404" w14:textId="0C212216" w:rsidR="004211DB" w:rsidRPr="00905804" w:rsidRDefault="00382893" w:rsidP="00CA4637">
            <w:pPr>
              <w:jc w:val="both"/>
              <w:rPr>
                <w:rFonts w:ascii="Arial" w:hAnsi="Arial" w:cs="Arial"/>
              </w:rPr>
            </w:pPr>
            <w:r w:rsidRPr="00905804">
              <w:rPr>
                <w:rFonts w:ascii="Arial" w:hAnsi="Arial" w:cs="Arial"/>
              </w:rPr>
              <w:t xml:space="preserve">Number of </w:t>
            </w:r>
            <w:r w:rsidR="004211DB" w:rsidRPr="00905804">
              <w:rPr>
                <w:rFonts w:ascii="Arial" w:hAnsi="Arial" w:cs="Arial"/>
              </w:rPr>
              <w:t>Positive Samples</w:t>
            </w:r>
          </w:p>
        </w:tc>
        <w:tc>
          <w:tcPr>
            <w:tcW w:w="269" w:type="dxa"/>
            <w:vAlign w:val="center"/>
          </w:tcPr>
          <w:p w14:paraId="4EB23DE4" w14:textId="08E96B53" w:rsidR="004211DB" w:rsidRPr="00905804" w:rsidRDefault="00D54AD4" w:rsidP="00CA4637">
            <w:pPr>
              <w:jc w:val="both"/>
              <w:rPr>
                <w:rFonts w:ascii="Arial" w:hAnsi="Arial" w:cs="Arial"/>
              </w:rPr>
            </w:pPr>
            <w:r w:rsidRPr="00905804">
              <w:rPr>
                <w:rFonts w:ascii="Arial" w:hAnsi="Arial" w:cs="Arial"/>
              </w:rPr>
              <w:t>Prevalence</w:t>
            </w:r>
            <w:r w:rsidR="004211DB" w:rsidRPr="00905804">
              <w:rPr>
                <w:rFonts w:ascii="Arial" w:hAnsi="Arial" w:cs="Arial"/>
              </w:rPr>
              <w:t xml:space="preserve"> (%)</w:t>
            </w:r>
          </w:p>
        </w:tc>
      </w:tr>
      <w:tr w:rsidR="00905804" w:rsidRPr="00905804" w14:paraId="698B7CDC" w14:textId="18CE1810" w:rsidTr="00382893">
        <w:tc>
          <w:tcPr>
            <w:tcW w:w="2257" w:type="dxa"/>
            <w:vMerge w:val="restart"/>
          </w:tcPr>
          <w:p w14:paraId="3DBDF3A5" w14:textId="77777777" w:rsidR="004211DB" w:rsidRPr="00905804" w:rsidRDefault="004211DB" w:rsidP="00CA4637">
            <w:pPr>
              <w:jc w:val="both"/>
              <w:rPr>
                <w:rFonts w:ascii="Arial" w:hAnsi="Arial" w:cs="Arial"/>
              </w:rPr>
            </w:pPr>
          </w:p>
          <w:p w14:paraId="0DF78A4C" w14:textId="77777777" w:rsidR="004211DB" w:rsidRPr="00905804" w:rsidRDefault="004211DB" w:rsidP="00CA4637">
            <w:pPr>
              <w:jc w:val="both"/>
              <w:rPr>
                <w:rFonts w:ascii="Arial" w:hAnsi="Arial" w:cs="Arial"/>
              </w:rPr>
            </w:pPr>
          </w:p>
          <w:p w14:paraId="37DBEB9C" w14:textId="77777777" w:rsidR="004211DB" w:rsidRPr="00905804" w:rsidRDefault="004211DB" w:rsidP="00CA4637">
            <w:pPr>
              <w:jc w:val="both"/>
              <w:rPr>
                <w:rFonts w:ascii="Arial" w:hAnsi="Arial" w:cs="Arial"/>
              </w:rPr>
            </w:pPr>
          </w:p>
          <w:p w14:paraId="62752643" w14:textId="77777777" w:rsidR="004211DB" w:rsidRPr="00905804" w:rsidRDefault="004211DB" w:rsidP="00CA4637">
            <w:pPr>
              <w:jc w:val="both"/>
              <w:rPr>
                <w:rFonts w:ascii="Arial" w:hAnsi="Arial" w:cs="Arial"/>
              </w:rPr>
            </w:pPr>
          </w:p>
          <w:p w14:paraId="0280E41F" w14:textId="77777777" w:rsidR="004211DB" w:rsidRPr="00905804" w:rsidRDefault="004211DB" w:rsidP="00CA4637">
            <w:pPr>
              <w:jc w:val="both"/>
              <w:rPr>
                <w:rFonts w:ascii="Arial" w:hAnsi="Arial" w:cs="Arial"/>
              </w:rPr>
            </w:pPr>
          </w:p>
          <w:p w14:paraId="3D66568A" w14:textId="4349D518" w:rsidR="004211DB" w:rsidRPr="00905804" w:rsidRDefault="004211DB" w:rsidP="00CA4637">
            <w:pPr>
              <w:jc w:val="both"/>
              <w:rPr>
                <w:rFonts w:ascii="Arial" w:hAnsi="Arial" w:cs="Arial"/>
                <w:i/>
                <w:iCs/>
              </w:rPr>
            </w:pPr>
            <w:r w:rsidRPr="00905804">
              <w:rPr>
                <w:rFonts w:ascii="Arial" w:hAnsi="Arial" w:cs="Arial"/>
                <w:i/>
                <w:iCs/>
              </w:rPr>
              <w:t>S. enterica</w:t>
            </w:r>
          </w:p>
        </w:tc>
        <w:tc>
          <w:tcPr>
            <w:tcW w:w="3115" w:type="dxa"/>
          </w:tcPr>
          <w:p w14:paraId="5CBC090A" w14:textId="227EDA8C" w:rsidR="004211DB" w:rsidRPr="00905804" w:rsidRDefault="004211DB" w:rsidP="00CA4637">
            <w:pPr>
              <w:jc w:val="both"/>
              <w:rPr>
                <w:rFonts w:ascii="Arial" w:hAnsi="Arial" w:cs="Arial"/>
              </w:rPr>
            </w:pPr>
            <w:r w:rsidRPr="00905804">
              <w:rPr>
                <w:rFonts w:ascii="Arial" w:hAnsi="Arial" w:cs="Arial"/>
              </w:rPr>
              <w:t>1 (Mile One)</w:t>
            </w:r>
          </w:p>
        </w:tc>
        <w:tc>
          <w:tcPr>
            <w:tcW w:w="3173" w:type="dxa"/>
          </w:tcPr>
          <w:p w14:paraId="74598767" w14:textId="76AC5037" w:rsidR="004211DB" w:rsidRPr="00905804" w:rsidRDefault="00DD79FA" w:rsidP="00CA4637">
            <w:pPr>
              <w:jc w:val="both"/>
              <w:rPr>
                <w:rFonts w:ascii="Arial" w:hAnsi="Arial" w:cs="Arial"/>
              </w:rPr>
            </w:pPr>
            <w:r w:rsidRPr="00905804">
              <w:rPr>
                <w:rFonts w:ascii="Arial" w:hAnsi="Arial" w:cs="Arial"/>
              </w:rPr>
              <w:t>16</w:t>
            </w:r>
          </w:p>
        </w:tc>
        <w:tc>
          <w:tcPr>
            <w:tcW w:w="269" w:type="dxa"/>
          </w:tcPr>
          <w:p w14:paraId="34B39C9A" w14:textId="36519E03"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29A65643" w14:textId="3B0E84CD" w:rsidTr="00382893">
        <w:tc>
          <w:tcPr>
            <w:tcW w:w="2257" w:type="dxa"/>
            <w:vMerge/>
          </w:tcPr>
          <w:p w14:paraId="544D6C00" w14:textId="77777777" w:rsidR="004211DB" w:rsidRPr="00905804" w:rsidRDefault="004211DB" w:rsidP="00CA4637">
            <w:pPr>
              <w:jc w:val="both"/>
              <w:rPr>
                <w:rFonts w:ascii="Arial" w:hAnsi="Arial" w:cs="Arial"/>
              </w:rPr>
            </w:pPr>
          </w:p>
        </w:tc>
        <w:tc>
          <w:tcPr>
            <w:tcW w:w="3115" w:type="dxa"/>
          </w:tcPr>
          <w:p w14:paraId="2741F79D" w14:textId="18CA86BE" w:rsidR="004211DB" w:rsidRPr="00905804" w:rsidRDefault="004211DB" w:rsidP="00CA4637">
            <w:pPr>
              <w:jc w:val="both"/>
              <w:rPr>
                <w:rFonts w:ascii="Arial" w:hAnsi="Arial" w:cs="Arial"/>
              </w:rPr>
            </w:pPr>
            <w:r w:rsidRPr="00905804">
              <w:rPr>
                <w:rFonts w:ascii="Arial" w:hAnsi="Arial" w:cs="Arial"/>
              </w:rPr>
              <w:t>2 (Mile 3)</w:t>
            </w:r>
          </w:p>
        </w:tc>
        <w:tc>
          <w:tcPr>
            <w:tcW w:w="3173" w:type="dxa"/>
          </w:tcPr>
          <w:p w14:paraId="55EC59E8" w14:textId="4B8E4A23" w:rsidR="004211DB" w:rsidRPr="00905804" w:rsidRDefault="00DD79FA" w:rsidP="00CA4637">
            <w:pPr>
              <w:jc w:val="both"/>
              <w:rPr>
                <w:rFonts w:ascii="Arial" w:hAnsi="Arial" w:cs="Arial"/>
              </w:rPr>
            </w:pPr>
            <w:r w:rsidRPr="00905804">
              <w:rPr>
                <w:rFonts w:ascii="Arial" w:hAnsi="Arial" w:cs="Arial"/>
              </w:rPr>
              <w:t>16</w:t>
            </w:r>
          </w:p>
        </w:tc>
        <w:tc>
          <w:tcPr>
            <w:tcW w:w="269" w:type="dxa"/>
            <w:vAlign w:val="center"/>
          </w:tcPr>
          <w:p w14:paraId="28C506E5" w14:textId="74279A20"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638BA141" w14:textId="00843E7E" w:rsidTr="00382893">
        <w:tc>
          <w:tcPr>
            <w:tcW w:w="2257" w:type="dxa"/>
            <w:vMerge/>
          </w:tcPr>
          <w:p w14:paraId="2F3718C2" w14:textId="77777777" w:rsidR="004211DB" w:rsidRPr="00905804" w:rsidRDefault="004211DB" w:rsidP="00CA4637">
            <w:pPr>
              <w:jc w:val="both"/>
              <w:rPr>
                <w:rFonts w:ascii="Arial" w:hAnsi="Arial" w:cs="Arial"/>
              </w:rPr>
            </w:pPr>
          </w:p>
        </w:tc>
        <w:tc>
          <w:tcPr>
            <w:tcW w:w="3115" w:type="dxa"/>
          </w:tcPr>
          <w:p w14:paraId="6D47FE5C" w14:textId="6E1811F3" w:rsidR="004211DB" w:rsidRPr="00905804" w:rsidRDefault="004211DB" w:rsidP="00CA4637">
            <w:pPr>
              <w:jc w:val="both"/>
              <w:rPr>
                <w:rFonts w:ascii="Arial" w:hAnsi="Arial" w:cs="Arial"/>
              </w:rPr>
            </w:pPr>
            <w:r w:rsidRPr="00905804">
              <w:rPr>
                <w:rFonts w:ascii="Arial" w:hAnsi="Arial" w:cs="Arial"/>
              </w:rPr>
              <w:t>3 (Creek Road)</w:t>
            </w:r>
          </w:p>
        </w:tc>
        <w:tc>
          <w:tcPr>
            <w:tcW w:w="3173" w:type="dxa"/>
          </w:tcPr>
          <w:p w14:paraId="6C5FECA8" w14:textId="2CBEF9CE" w:rsidR="004211DB" w:rsidRPr="00905804" w:rsidRDefault="00DD79FA" w:rsidP="00CA4637">
            <w:pPr>
              <w:jc w:val="both"/>
              <w:rPr>
                <w:rFonts w:ascii="Arial" w:hAnsi="Arial" w:cs="Arial"/>
              </w:rPr>
            </w:pPr>
            <w:r w:rsidRPr="00905804">
              <w:rPr>
                <w:rFonts w:ascii="Arial" w:hAnsi="Arial" w:cs="Arial"/>
              </w:rPr>
              <w:t>16</w:t>
            </w:r>
          </w:p>
        </w:tc>
        <w:tc>
          <w:tcPr>
            <w:tcW w:w="269" w:type="dxa"/>
            <w:vAlign w:val="center"/>
          </w:tcPr>
          <w:p w14:paraId="7DF60E32" w14:textId="2E50B0F1"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2AD6DE5B" w14:textId="716D963D" w:rsidTr="00382893">
        <w:tc>
          <w:tcPr>
            <w:tcW w:w="2257" w:type="dxa"/>
            <w:vMerge/>
          </w:tcPr>
          <w:p w14:paraId="45855FD0" w14:textId="77777777" w:rsidR="004211DB" w:rsidRPr="00905804" w:rsidRDefault="004211DB" w:rsidP="00CA4637">
            <w:pPr>
              <w:jc w:val="both"/>
              <w:rPr>
                <w:rFonts w:ascii="Arial" w:hAnsi="Arial" w:cs="Arial"/>
              </w:rPr>
            </w:pPr>
          </w:p>
        </w:tc>
        <w:tc>
          <w:tcPr>
            <w:tcW w:w="3115" w:type="dxa"/>
          </w:tcPr>
          <w:p w14:paraId="7EB615A6" w14:textId="443F6148" w:rsidR="004211DB" w:rsidRPr="00905804" w:rsidRDefault="004211DB" w:rsidP="00CA4637">
            <w:pPr>
              <w:jc w:val="both"/>
              <w:rPr>
                <w:rFonts w:ascii="Arial" w:hAnsi="Arial" w:cs="Arial"/>
              </w:rPr>
            </w:pPr>
            <w:r w:rsidRPr="00905804">
              <w:rPr>
                <w:rFonts w:ascii="Arial" w:hAnsi="Arial" w:cs="Arial"/>
              </w:rPr>
              <w:t>4 (</w:t>
            </w:r>
            <w:proofErr w:type="spellStart"/>
            <w:r w:rsidRPr="00905804">
              <w:rPr>
                <w:rFonts w:ascii="Arial" w:hAnsi="Arial" w:cs="Arial"/>
              </w:rPr>
              <w:t>Rumuokoro</w:t>
            </w:r>
            <w:proofErr w:type="spellEnd"/>
            <w:r w:rsidRPr="00905804">
              <w:rPr>
                <w:rFonts w:ascii="Arial" w:hAnsi="Arial" w:cs="Arial"/>
              </w:rPr>
              <w:t>)</w:t>
            </w:r>
          </w:p>
        </w:tc>
        <w:tc>
          <w:tcPr>
            <w:tcW w:w="3173" w:type="dxa"/>
          </w:tcPr>
          <w:p w14:paraId="1F87909D" w14:textId="10AF957B" w:rsidR="004211DB" w:rsidRPr="00905804" w:rsidRDefault="00DD79FA" w:rsidP="00CA4637">
            <w:pPr>
              <w:jc w:val="both"/>
              <w:rPr>
                <w:rFonts w:ascii="Arial" w:hAnsi="Arial" w:cs="Arial"/>
              </w:rPr>
            </w:pPr>
            <w:r w:rsidRPr="00905804">
              <w:rPr>
                <w:rFonts w:ascii="Arial" w:hAnsi="Arial" w:cs="Arial"/>
              </w:rPr>
              <w:t>15</w:t>
            </w:r>
          </w:p>
        </w:tc>
        <w:tc>
          <w:tcPr>
            <w:tcW w:w="269" w:type="dxa"/>
            <w:vAlign w:val="center"/>
          </w:tcPr>
          <w:p w14:paraId="2A6975BF" w14:textId="4BEA4BF1" w:rsidR="004211DB" w:rsidRPr="00905804" w:rsidRDefault="00BD7D91" w:rsidP="00CA4637">
            <w:pPr>
              <w:jc w:val="both"/>
              <w:rPr>
                <w:rFonts w:ascii="Arial" w:hAnsi="Arial" w:cs="Arial"/>
              </w:rPr>
            </w:pPr>
            <w:r w:rsidRPr="00905804">
              <w:rPr>
                <w:rFonts w:ascii="Arial" w:hAnsi="Arial" w:cs="Arial"/>
              </w:rPr>
              <w:t>93.8</w:t>
            </w:r>
          </w:p>
        </w:tc>
      </w:tr>
      <w:tr w:rsidR="00905804" w:rsidRPr="00905804" w14:paraId="4AC6E34E" w14:textId="1BAB6285" w:rsidTr="00382893">
        <w:tc>
          <w:tcPr>
            <w:tcW w:w="2257" w:type="dxa"/>
            <w:vMerge/>
          </w:tcPr>
          <w:p w14:paraId="6D7B676B" w14:textId="77777777" w:rsidR="004211DB" w:rsidRPr="00905804" w:rsidRDefault="004211DB" w:rsidP="00CA4637">
            <w:pPr>
              <w:jc w:val="both"/>
              <w:rPr>
                <w:rFonts w:ascii="Arial" w:hAnsi="Arial" w:cs="Arial"/>
              </w:rPr>
            </w:pPr>
          </w:p>
        </w:tc>
        <w:tc>
          <w:tcPr>
            <w:tcW w:w="3115" w:type="dxa"/>
          </w:tcPr>
          <w:p w14:paraId="101D04DB" w14:textId="2D0A3ED0" w:rsidR="004211DB" w:rsidRPr="00905804" w:rsidRDefault="004211DB" w:rsidP="00CA4637">
            <w:pPr>
              <w:jc w:val="both"/>
              <w:rPr>
                <w:rFonts w:ascii="Arial" w:hAnsi="Arial" w:cs="Arial"/>
              </w:rPr>
            </w:pPr>
            <w:r w:rsidRPr="00905804">
              <w:rPr>
                <w:rFonts w:ascii="Arial" w:hAnsi="Arial" w:cs="Arial"/>
              </w:rPr>
              <w:t>5 (</w:t>
            </w:r>
            <w:proofErr w:type="spellStart"/>
            <w:r w:rsidRPr="00905804">
              <w:rPr>
                <w:rFonts w:ascii="Arial" w:hAnsi="Arial" w:cs="Arial"/>
              </w:rPr>
              <w:t>Rumuodomaya</w:t>
            </w:r>
            <w:proofErr w:type="spellEnd"/>
            <w:r w:rsidRPr="00905804">
              <w:rPr>
                <w:rFonts w:ascii="Arial" w:hAnsi="Arial" w:cs="Arial"/>
              </w:rPr>
              <w:t>)</w:t>
            </w:r>
          </w:p>
        </w:tc>
        <w:tc>
          <w:tcPr>
            <w:tcW w:w="3173" w:type="dxa"/>
          </w:tcPr>
          <w:p w14:paraId="1EC533D7" w14:textId="3B063E71" w:rsidR="004211DB" w:rsidRPr="00905804" w:rsidRDefault="00DD79FA" w:rsidP="00CA4637">
            <w:pPr>
              <w:jc w:val="both"/>
              <w:rPr>
                <w:rFonts w:ascii="Arial" w:hAnsi="Arial" w:cs="Arial"/>
              </w:rPr>
            </w:pPr>
            <w:r w:rsidRPr="00905804">
              <w:rPr>
                <w:rFonts w:ascii="Arial" w:hAnsi="Arial" w:cs="Arial"/>
              </w:rPr>
              <w:t>16</w:t>
            </w:r>
          </w:p>
        </w:tc>
        <w:tc>
          <w:tcPr>
            <w:tcW w:w="269" w:type="dxa"/>
            <w:vAlign w:val="center"/>
          </w:tcPr>
          <w:p w14:paraId="444FF716" w14:textId="76703D48"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641B5E73" w14:textId="2CAA8E5C" w:rsidTr="00382893">
        <w:tc>
          <w:tcPr>
            <w:tcW w:w="2257" w:type="dxa"/>
            <w:vMerge/>
          </w:tcPr>
          <w:p w14:paraId="211342F7" w14:textId="77777777" w:rsidR="004211DB" w:rsidRPr="00905804" w:rsidRDefault="004211DB" w:rsidP="00CA4637">
            <w:pPr>
              <w:jc w:val="both"/>
              <w:rPr>
                <w:rFonts w:ascii="Arial" w:hAnsi="Arial" w:cs="Arial"/>
              </w:rPr>
            </w:pPr>
          </w:p>
        </w:tc>
        <w:tc>
          <w:tcPr>
            <w:tcW w:w="3115" w:type="dxa"/>
          </w:tcPr>
          <w:p w14:paraId="4B0AF8C8" w14:textId="65DD2BAD" w:rsidR="004211DB" w:rsidRPr="00905804" w:rsidRDefault="004211DB" w:rsidP="00CA4637">
            <w:pPr>
              <w:jc w:val="both"/>
              <w:rPr>
                <w:rFonts w:ascii="Arial" w:hAnsi="Arial" w:cs="Arial"/>
              </w:rPr>
            </w:pPr>
            <w:r w:rsidRPr="00905804">
              <w:rPr>
                <w:rFonts w:ascii="Arial" w:hAnsi="Arial" w:cs="Arial"/>
              </w:rPr>
              <w:t>6 (</w:t>
            </w:r>
            <w:proofErr w:type="spellStart"/>
            <w:r w:rsidRPr="00905804">
              <w:rPr>
                <w:rFonts w:ascii="Arial" w:hAnsi="Arial" w:cs="Arial"/>
              </w:rPr>
              <w:t>Garr</w:t>
            </w:r>
            <w:r w:rsidR="00CA0A68" w:rsidRPr="00905804">
              <w:rPr>
                <w:rFonts w:ascii="Arial" w:hAnsi="Arial" w:cs="Arial"/>
              </w:rPr>
              <w:t>i</w:t>
            </w:r>
            <w:proofErr w:type="spellEnd"/>
            <w:r w:rsidRPr="00905804">
              <w:rPr>
                <w:rFonts w:ascii="Arial" w:hAnsi="Arial" w:cs="Arial"/>
              </w:rPr>
              <w:t>)</w:t>
            </w:r>
          </w:p>
        </w:tc>
        <w:tc>
          <w:tcPr>
            <w:tcW w:w="3173" w:type="dxa"/>
          </w:tcPr>
          <w:p w14:paraId="7675BA63" w14:textId="799635B6" w:rsidR="004211DB" w:rsidRPr="00905804" w:rsidRDefault="00DD79FA" w:rsidP="00CA4637">
            <w:pPr>
              <w:jc w:val="both"/>
              <w:rPr>
                <w:rFonts w:ascii="Arial" w:hAnsi="Arial" w:cs="Arial"/>
              </w:rPr>
            </w:pPr>
            <w:r w:rsidRPr="00905804">
              <w:rPr>
                <w:rFonts w:ascii="Arial" w:hAnsi="Arial" w:cs="Arial"/>
              </w:rPr>
              <w:t>16</w:t>
            </w:r>
          </w:p>
        </w:tc>
        <w:tc>
          <w:tcPr>
            <w:tcW w:w="269" w:type="dxa"/>
            <w:vAlign w:val="center"/>
          </w:tcPr>
          <w:p w14:paraId="7EF6FB80" w14:textId="04BAFDF4"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66883C08" w14:textId="54684B86" w:rsidTr="00382893">
        <w:tc>
          <w:tcPr>
            <w:tcW w:w="2257" w:type="dxa"/>
            <w:vMerge/>
          </w:tcPr>
          <w:p w14:paraId="61907106" w14:textId="77777777" w:rsidR="004211DB" w:rsidRPr="00905804" w:rsidRDefault="004211DB" w:rsidP="00CA4637">
            <w:pPr>
              <w:jc w:val="both"/>
              <w:rPr>
                <w:rFonts w:ascii="Arial" w:hAnsi="Arial" w:cs="Arial"/>
              </w:rPr>
            </w:pPr>
          </w:p>
        </w:tc>
        <w:tc>
          <w:tcPr>
            <w:tcW w:w="3115" w:type="dxa"/>
          </w:tcPr>
          <w:p w14:paraId="090352D9" w14:textId="5FACB885" w:rsidR="004211DB" w:rsidRPr="00905804" w:rsidRDefault="004211DB" w:rsidP="00CA4637">
            <w:pPr>
              <w:jc w:val="both"/>
              <w:rPr>
                <w:rFonts w:ascii="Arial" w:hAnsi="Arial" w:cs="Arial"/>
              </w:rPr>
            </w:pPr>
            <w:r w:rsidRPr="00905804">
              <w:rPr>
                <w:rFonts w:ascii="Arial" w:hAnsi="Arial" w:cs="Arial"/>
              </w:rPr>
              <w:t>7 (</w:t>
            </w:r>
            <w:proofErr w:type="spellStart"/>
            <w:r w:rsidRPr="00905804">
              <w:rPr>
                <w:rFonts w:ascii="Arial" w:hAnsi="Arial" w:cs="Arial"/>
              </w:rPr>
              <w:t>Sangana</w:t>
            </w:r>
            <w:proofErr w:type="spellEnd"/>
            <w:r w:rsidRPr="00905804">
              <w:rPr>
                <w:rFonts w:ascii="Arial" w:hAnsi="Arial" w:cs="Arial"/>
              </w:rPr>
              <w:t xml:space="preserve"> Market)</w:t>
            </w:r>
          </w:p>
        </w:tc>
        <w:tc>
          <w:tcPr>
            <w:tcW w:w="3173" w:type="dxa"/>
          </w:tcPr>
          <w:p w14:paraId="468A4467" w14:textId="58C7D6C6" w:rsidR="004211DB" w:rsidRPr="00905804" w:rsidRDefault="00DD79FA" w:rsidP="00CA4637">
            <w:pPr>
              <w:jc w:val="both"/>
              <w:rPr>
                <w:rFonts w:ascii="Arial" w:hAnsi="Arial" w:cs="Arial"/>
              </w:rPr>
            </w:pPr>
            <w:r w:rsidRPr="00905804">
              <w:rPr>
                <w:rFonts w:ascii="Arial" w:hAnsi="Arial" w:cs="Arial"/>
              </w:rPr>
              <w:t>15</w:t>
            </w:r>
          </w:p>
        </w:tc>
        <w:tc>
          <w:tcPr>
            <w:tcW w:w="269" w:type="dxa"/>
            <w:vAlign w:val="center"/>
          </w:tcPr>
          <w:p w14:paraId="5F8E05FA" w14:textId="725C2A58" w:rsidR="004211DB" w:rsidRPr="00905804" w:rsidRDefault="00BD7D91" w:rsidP="00CA4637">
            <w:pPr>
              <w:jc w:val="both"/>
              <w:rPr>
                <w:rFonts w:ascii="Arial" w:hAnsi="Arial" w:cs="Arial"/>
              </w:rPr>
            </w:pPr>
            <w:r w:rsidRPr="00905804">
              <w:rPr>
                <w:rFonts w:ascii="Arial" w:hAnsi="Arial" w:cs="Arial"/>
              </w:rPr>
              <w:t>93.8</w:t>
            </w:r>
          </w:p>
        </w:tc>
      </w:tr>
      <w:tr w:rsidR="00905804" w:rsidRPr="00905804" w14:paraId="645B3346" w14:textId="13BB7858" w:rsidTr="00382893">
        <w:tc>
          <w:tcPr>
            <w:tcW w:w="2257" w:type="dxa"/>
            <w:vMerge/>
          </w:tcPr>
          <w:p w14:paraId="098F747F" w14:textId="77777777" w:rsidR="004211DB" w:rsidRPr="00905804" w:rsidRDefault="004211DB" w:rsidP="00CA4637">
            <w:pPr>
              <w:jc w:val="both"/>
              <w:rPr>
                <w:rFonts w:ascii="Arial" w:hAnsi="Arial" w:cs="Arial"/>
              </w:rPr>
            </w:pPr>
          </w:p>
        </w:tc>
        <w:tc>
          <w:tcPr>
            <w:tcW w:w="3115" w:type="dxa"/>
          </w:tcPr>
          <w:p w14:paraId="1373F48C" w14:textId="37F2FB49" w:rsidR="004211DB" w:rsidRPr="00905804" w:rsidRDefault="004211DB" w:rsidP="00CA4637">
            <w:pPr>
              <w:jc w:val="both"/>
              <w:rPr>
                <w:rFonts w:ascii="Arial" w:hAnsi="Arial" w:cs="Arial"/>
              </w:rPr>
            </w:pPr>
            <w:r w:rsidRPr="00905804">
              <w:rPr>
                <w:rFonts w:ascii="Arial" w:hAnsi="Arial" w:cs="Arial"/>
              </w:rPr>
              <w:t>8(</w:t>
            </w:r>
            <w:proofErr w:type="spellStart"/>
            <w:r w:rsidRPr="00905804">
              <w:rPr>
                <w:rFonts w:ascii="Arial" w:hAnsi="Arial" w:cs="Arial"/>
              </w:rPr>
              <w:t>Ogunabali</w:t>
            </w:r>
            <w:proofErr w:type="spellEnd"/>
            <w:r w:rsidRPr="00905804">
              <w:rPr>
                <w:rFonts w:ascii="Arial" w:hAnsi="Arial" w:cs="Arial"/>
              </w:rPr>
              <w:t xml:space="preserve"> Fruit Garden)</w:t>
            </w:r>
          </w:p>
        </w:tc>
        <w:tc>
          <w:tcPr>
            <w:tcW w:w="3173" w:type="dxa"/>
          </w:tcPr>
          <w:p w14:paraId="5A723916" w14:textId="058761AB" w:rsidR="004211DB" w:rsidRPr="00905804" w:rsidRDefault="00DD79FA" w:rsidP="00CA4637">
            <w:pPr>
              <w:jc w:val="both"/>
              <w:rPr>
                <w:rFonts w:ascii="Arial" w:hAnsi="Arial" w:cs="Arial"/>
              </w:rPr>
            </w:pPr>
            <w:r w:rsidRPr="00905804">
              <w:rPr>
                <w:rFonts w:ascii="Arial" w:hAnsi="Arial" w:cs="Arial"/>
              </w:rPr>
              <w:t>16</w:t>
            </w:r>
          </w:p>
        </w:tc>
        <w:tc>
          <w:tcPr>
            <w:tcW w:w="269" w:type="dxa"/>
            <w:vAlign w:val="center"/>
          </w:tcPr>
          <w:p w14:paraId="62795914" w14:textId="02DB2DE3"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2FCCD81F" w14:textId="3B989836" w:rsidTr="00382893">
        <w:tc>
          <w:tcPr>
            <w:tcW w:w="2257" w:type="dxa"/>
            <w:vMerge/>
          </w:tcPr>
          <w:p w14:paraId="76CC06F8" w14:textId="77777777" w:rsidR="004211DB" w:rsidRPr="00905804" w:rsidRDefault="004211DB" w:rsidP="00CA4637">
            <w:pPr>
              <w:jc w:val="both"/>
              <w:rPr>
                <w:rFonts w:ascii="Arial" w:hAnsi="Arial" w:cs="Arial"/>
              </w:rPr>
            </w:pPr>
          </w:p>
        </w:tc>
        <w:tc>
          <w:tcPr>
            <w:tcW w:w="3115" w:type="dxa"/>
          </w:tcPr>
          <w:p w14:paraId="19CAEA8F" w14:textId="06A7EA56" w:rsidR="004211DB" w:rsidRPr="00905804" w:rsidRDefault="004211DB" w:rsidP="00CA4637">
            <w:pPr>
              <w:jc w:val="both"/>
              <w:rPr>
                <w:rFonts w:ascii="Arial" w:hAnsi="Arial" w:cs="Arial"/>
              </w:rPr>
            </w:pPr>
            <w:r w:rsidRPr="00905804">
              <w:rPr>
                <w:rFonts w:ascii="Arial" w:hAnsi="Arial" w:cs="Arial"/>
              </w:rPr>
              <w:t>9 (Town)</w:t>
            </w:r>
          </w:p>
        </w:tc>
        <w:tc>
          <w:tcPr>
            <w:tcW w:w="3173" w:type="dxa"/>
          </w:tcPr>
          <w:p w14:paraId="366B369C" w14:textId="52CB3DEC" w:rsidR="004211DB" w:rsidRPr="00905804" w:rsidRDefault="00DD79FA" w:rsidP="00CA4637">
            <w:pPr>
              <w:jc w:val="both"/>
              <w:rPr>
                <w:rFonts w:ascii="Arial" w:hAnsi="Arial" w:cs="Arial"/>
              </w:rPr>
            </w:pPr>
            <w:r w:rsidRPr="00905804">
              <w:rPr>
                <w:rFonts w:ascii="Arial" w:hAnsi="Arial" w:cs="Arial"/>
              </w:rPr>
              <w:t>15</w:t>
            </w:r>
          </w:p>
        </w:tc>
        <w:tc>
          <w:tcPr>
            <w:tcW w:w="269" w:type="dxa"/>
            <w:vAlign w:val="center"/>
          </w:tcPr>
          <w:p w14:paraId="18953988" w14:textId="34ABB0E2" w:rsidR="004211DB" w:rsidRPr="00905804" w:rsidRDefault="00BD7D91" w:rsidP="00CA4637">
            <w:pPr>
              <w:jc w:val="both"/>
              <w:rPr>
                <w:rFonts w:ascii="Arial" w:hAnsi="Arial" w:cs="Arial"/>
              </w:rPr>
            </w:pPr>
            <w:r w:rsidRPr="00905804">
              <w:rPr>
                <w:rFonts w:ascii="Arial" w:hAnsi="Arial" w:cs="Arial"/>
              </w:rPr>
              <w:t>93.8</w:t>
            </w:r>
          </w:p>
        </w:tc>
      </w:tr>
      <w:tr w:rsidR="00905804" w:rsidRPr="00905804" w14:paraId="32CF438A" w14:textId="698713AA" w:rsidTr="00382893">
        <w:tc>
          <w:tcPr>
            <w:tcW w:w="2257" w:type="dxa"/>
            <w:vMerge/>
          </w:tcPr>
          <w:p w14:paraId="1E14B983" w14:textId="77777777" w:rsidR="004211DB" w:rsidRPr="00905804" w:rsidRDefault="004211DB" w:rsidP="00CA4637">
            <w:pPr>
              <w:jc w:val="both"/>
              <w:rPr>
                <w:rFonts w:ascii="Arial" w:hAnsi="Arial" w:cs="Arial"/>
              </w:rPr>
            </w:pPr>
          </w:p>
        </w:tc>
        <w:tc>
          <w:tcPr>
            <w:tcW w:w="3115" w:type="dxa"/>
          </w:tcPr>
          <w:p w14:paraId="608BDC33" w14:textId="0C34578D" w:rsidR="004211DB" w:rsidRPr="00905804" w:rsidRDefault="004211DB" w:rsidP="00CA4637">
            <w:pPr>
              <w:jc w:val="both"/>
              <w:rPr>
                <w:rFonts w:ascii="Arial" w:hAnsi="Arial" w:cs="Arial"/>
              </w:rPr>
            </w:pPr>
            <w:r w:rsidRPr="00905804">
              <w:rPr>
                <w:rFonts w:ascii="Arial" w:hAnsi="Arial" w:cs="Arial"/>
              </w:rPr>
              <w:t>10 (Airforce Market)</w:t>
            </w:r>
          </w:p>
        </w:tc>
        <w:tc>
          <w:tcPr>
            <w:tcW w:w="3173" w:type="dxa"/>
          </w:tcPr>
          <w:p w14:paraId="0124FFF5" w14:textId="5A13775A" w:rsidR="004211DB" w:rsidRPr="00905804" w:rsidRDefault="00DD79FA" w:rsidP="00CA4637">
            <w:pPr>
              <w:jc w:val="both"/>
              <w:rPr>
                <w:rFonts w:ascii="Arial" w:hAnsi="Arial" w:cs="Arial"/>
              </w:rPr>
            </w:pPr>
            <w:r w:rsidRPr="00905804">
              <w:rPr>
                <w:rFonts w:ascii="Arial" w:hAnsi="Arial" w:cs="Arial"/>
              </w:rPr>
              <w:t>16</w:t>
            </w:r>
          </w:p>
        </w:tc>
        <w:tc>
          <w:tcPr>
            <w:tcW w:w="269" w:type="dxa"/>
            <w:vAlign w:val="center"/>
          </w:tcPr>
          <w:p w14:paraId="708B808B" w14:textId="75CD65E2" w:rsidR="004211DB" w:rsidRPr="00905804" w:rsidRDefault="00BD7D91" w:rsidP="00CA4637">
            <w:pPr>
              <w:jc w:val="both"/>
              <w:rPr>
                <w:rFonts w:ascii="Arial" w:hAnsi="Arial" w:cs="Arial"/>
              </w:rPr>
            </w:pPr>
            <w:r w:rsidRPr="00905804">
              <w:rPr>
                <w:rFonts w:ascii="Arial" w:hAnsi="Arial" w:cs="Arial"/>
              </w:rPr>
              <w:t>100</w:t>
            </w:r>
          </w:p>
        </w:tc>
      </w:tr>
      <w:tr w:rsidR="00905804" w:rsidRPr="00905804" w14:paraId="6B37D071" w14:textId="6BEC54EE" w:rsidTr="00382893">
        <w:tc>
          <w:tcPr>
            <w:tcW w:w="2257" w:type="dxa"/>
            <w:vMerge/>
          </w:tcPr>
          <w:p w14:paraId="1CF3BDAC" w14:textId="77777777" w:rsidR="004211DB" w:rsidRPr="00905804" w:rsidRDefault="004211DB" w:rsidP="00CA4637">
            <w:pPr>
              <w:jc w:val="both"/>
              <w:rPr>
                <w:rFonts w:ascii="Arial" w:hAnsi="Arial" w:cs="Arial"/>
              </w:rPr>
            </w:pPr>
          </w:p>
        </w:tc>
        <w:tc>
          <w:tcPr>
            <w:tcW w:w="3115" w:type="dxa"/>
          </w:tcPr>
          <w:p w14:paraId="545EE677" w14:textId="4E3FA9E0" w:rsidR="004211DB" w:rsidRPr="00905804" w:rsidRDefault="004211DB" w:rsidP="00CA4637">
            <w:pPr>
              <w:jc w:val="both"/>
              <w:rPr>
                <w:rFonts w:ascii="Arial" w:hAnsi="Arial" w:cs="Arial"/>
              </w:rPr>
            </w:pPr>
            <w:r w:rsidRPr="00905804">
              <w:rPr>
                <w:rFonts w:ascii="Arial" w:hAnsi="Arial" w:cs="Arial"/>
              </w:rPr>
              <w:t>11 (</w:t>
            </w:r>
            <w:proofErr w:type="spellStart"/>
            <w:r w:rsidRPr="00905804">
              <w:rPr>
                <w:rFonts w:ascii="Arial" w:hAnsi="Arial" w:cs="Arial"/>
              </w:rPr>
              <w:t>Mgbuoba</w:t>
            </w:r>
            <w:proofErr w:type="spellEnd"/>
            <w:r w:rsidRPr="00905804">
              <w:rPr>
                <w:rFonts w:ascii="Arial" w:hAnsi="Arial" w:cs="Arial"/>
              </w:rPr>
              <w:t>)</w:t>
            </w:r>
          </w:p>
        </w:tc>
        <w:tc>
          <w:tcPr>
            <w:tcW w:w="3173" w:type="dxa"/>
          </w:tcPr>
          <w:p w14:paraId="4A20ADB8" w14:textId="3DA2A60E" w:rsidR="004211DB" w:rsidRPr="00905804" w:rsidRDefault="00DD79FA" w:rsidP="00CA4637">
            <w:pPr>
              <w:jc w:val="both"/>
              <w:rPr>
                <w:rFonts w:ascii="Arial" w:hAnsi="Arial" w:cs="Arial"/>
              </w:rPr>
            </w:pPr>
            <w:r w:rsidRPr="00905804">
              <w:rPr>
                <w:rFonts w:ascii="Arial" w:hAnsi="Arial" w:cs="Arial"/>
              </w:rPr>
              <w:t>14</w:t>
            </w:r>
          </w:p>
        </w:tc>
        <w:tc>
          <w:tcPr>
            <w:tcW w:w="269" w:type="dxa"/>
            <w:vAlign w:val="center"/>
          </w:tcPr>
          <w:p w14:paraId="57BC3B32" w14:textId="2FA159DE" w:rsidR="004211DB" w:rsidRPr="00905804" w:rsidRDefault="00BD7D91" w:rsidP="00CA4637">
            <w:pPr>
              <w:jc w:val="both"/>
              <w:rPr>
                <w:rFonts w:ascii="Arial" w:hAnsi="Arial" w:cs="Arial"/>
              </w:rPr>
            </w:pPr>
            <w:r w:rsidRPr="00905804">
              <w:rPr>
                <w:rFonts w:ascii="Arial" w:hAnsi="Arial" w:cs="Arial"/>
              </w:rPr>
              <w:t>87.5</w:t>
            </w:r>
          </w:p>
        </w:tc>
      </w:tr>
      <w:tr w:rsidR="00905804" w:rsidRPr="00905804" w14:paraId="331F602B" w14:textId="148E64F1" w:rsidTr="00382893">
        <w:tc>
          <w:tcPr>
            <w:tcW w:w="2257" w:type="dxa"/>
            <w:vMerge/>
          </w:tcPr>
          <w:p w14:paraId="03511F2C" w14:textId="77777777" w:rsidR="004211DB" w:rsidRPr="00905804" w:rsidRDefault="004211DB" w:rsidP="00CA4637">
            <w:pPr>
              <w:jc w:val="both"/>
              <w:rPr>
                <w:rFonts w:ascii="Arial" w:hAnsi="Arial" w:cs="Arial"/>
              </w:rPr>
            </w:pPr>
          </w:p>
        </w:tc>
        <w:tc>
          <w:tcPr>
            <w:tcW w:w="3115" w:type="dxa"/>
          </w:tcPr>
          <w:p w14:paraId="574472BD" w14:textId="26FED3A9" w:rsidR="004211DB" w:rsidRPr="00905804" w:rsidRDefault="004211DB" w:rsidP="00CA4637">
            <w:pPr>
              <w:jc w:val="both"/>
              <w:rPr>
                <w:rFonts w:ascii="Arial" w:hAnsi="Arial" w:cs="Arial"/>
              </w:rPr>
            </w:pPr>
            <w:r w:rsidRPr="00905804">
              <w:rPr>
                <w:rFonts w:ascii="Arial" w:hAnsi="Arial" w:cs="Arial"/>
              </w:rPr>
              <w:t>12 (</w:t>
            </w:r>
            <w:proofErr w:type="spellStart"/>
            <w:r w:rsidRPr="00905804">
              <w:rPr>
                <w:rFonts w:ascii="Arial" w:hAnsi="Arial" w:cs="Arial"/>
              </w:rPr>
              <w:t>Igwuruta</w:t>
            </w:r>
            <w:proofErr w:type="spellEnd"/>
            <w:r w:rsidRPr="00905804">
              <w:rPr>
                <w:rFonts w:ascii="Arial" w:hAnsi="Arial" w:cs="Arial"/>
              </w:rPr>
              <w:t xml:space="preserve"> Main)</w:t>
            </w:r>
          </w:p>
        </w:tc>
        <w:tc>
          <w:tcPr>
            <w:tcW w:w="3173" w:type="dxa"/>
          </w:tcPr>
          <w:p w14:paraId="5D0FD76E" w14:textId="78E10BE2" w:rsidR="004211DB" w:rsidRPr="00905804" w:rsidRDefault="00DD79FA" w:rsidP="00CA4637">
            <w:pPr>
              <w:jc w:val="both"/>
              <w:rPr>
                <w:rFonts w:ascii="Arial" w:hAnsi="Arial" w:cs="Arial"/>
              </w:rPr>
            </w:pPr>
            <w:r w:rsidRPr="00905804">
              <w:rPr>
                <w:rFonts w:ascii="Arial" w:hAnsi="Arial" w:cs="Arial"/>
              </w:rPr>
              <w:t>14</w:t>
            </w:r>
          </w:p>
        </w:tc>
        <w:tc>
          <w:tcPr>
            <w:tcW w:w="269" w:type="dxa"/>
            <w:vAlign w:val="center"/>
          </w:tcPr>
          <w:p w14:paraId="77F2A7E1" w14:textId="0A535D6F" w:rsidR="004211DB" w:rsidRPr="00905804" w:rsidRDefault="00BD7D91" w:rsidP="00CA4637">
            <w:pPr>
              <w:jc w:val="both"/>
              <w:rPr>
                <w:rFonts w:ascii="Arial" w:hAnsi="Arial" w:cs="Arial"/>
              </w:rPr>
            </w:pPr>
            <w:r w:rsidRPr="00905804">
              <w:rPr>
                <w:rFonts w:ascii="Arial" w:hAnsi="Arial" w:cs="Arial"/>
              </w:rPr>
              <w:t>87.5</w:t>
            </w:r>
          </w:p>
        </w:tc>
      </w:tr>
    </w:tbl>
    <w:p w14:paraId="3CE3AE3E" w14:textId="77777777" w:rsidR="00AF63C1" w:rsidRPr="00905804" w:rsidRDefault="00AF63C1" w:rsidP="00CA4637">
      <w:pPr>
        <w:jc w:val="both"/>
        <w:rPr>
          <w:rFonts w:ascii="Arial" w:hAnsi="Arial" w:cs="Arial"/>
        </w:rPr>
      </w:pPr>
      <w:r w:rsidRPr="00905804">
        <w:rPr>
          <w:rFonts w:ascii="Arial" w:hAnsi="Arial" w:cs="Arial"/>
        </w:rPr>
        <w:t xml:space="preserve">Chi-square (χ²) = 9.84, </w:t>
      </w:r>
      <w:r w:rsidRPr="00905804">
        <w:rPr>
          <w:rFonts w:ascii="Arial" w:hAnsi="Arial" w:cs="Arial"/>
          <w:i/>
          <w:iCs/>
        </w:rPr>
        <w:t>p</w:t>
      </w:r>
      <w:r w:rsidRPr="00905804">
        <w:rPr>
          <w:rFonts w:ascii="Arial" w:hAnsi="Arial" w:cs="Arial"/>
        </w:rPr>
        <w:t xml:space="preserve"> = 0.13 (not significant)</w:t>
      </w:r>
    </w:p>
    <w:p w14:paraId="6A228843" w14:textId="77777777" w:rsidR="001077EE" w:rsidRPr="00905804" w:rsidRDefault="001077EE" w:rsidP="00CA4637">
      <w:pPr>
        <w:jc w:val="both"/>
        <w:rPr>
          <w:rFonts w:ascii="Arial" w:hAnsi="Arial" w:cs="Arial"/>
        </w:rPr>
      </w:pPr>
    </w:p>
    <w:p w14:paraId="2636D610" w14:textId="30A1BA18" w:rsidR="001077EE" w:rsidRPr="00905804" w:rsidRDefault="00897548" w:rsidP="00CA4637">
      <w:pPr>
        <w:jc w:val="both"/>
        <w:rPr>
          <w:rFonts w:ascii="Arial" w:hAnsi="Arial" w:cs="Arial"/>
        </w:rPr>
      </w:pPr>
      <w:r w:rsidRPr="00905804">
        <w:rPr>
          <w:rFonts w:ascii="Arial" w:hAnsi="Arial" w:cs="Arial"/>
          <w:noProof/>
        </w:rPr>
        <w:drawing>
          <wp:inline distT="0" distB="0" distL="0" distR="0" wp14:anchorId="476CF56C" wp14:editId="3A100DBF">
            <wp:extent cx="4800600" cy="3581400"/>
            <wp:effectExtent l="0" t="0" r="0" b="0"/>
            <wp:docPr id="1797386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3581400"/>
                    </a:xfrm>
                    <a:prstGeom prst="rect">
                      <a:avLst/>
                    </a:prstGeom>
                    <a:noFill/>
                    <a:ln>
                      <a:noFill/>
                    </a:ln>
                  </pic:spPr>
                </pic:pic>
              </a:graphicData>
            </a:graphic>
          </wp:inline>
        </w:drawing>
      </w:r>
    </w:p>
    <w:p w14:paraId="05380F62" w14:textId="14715CB2" w:rsidR="00EA4BF9" w:rsidRPr="00905804" w:rsidRDefault="00EA4BF9" w:rsidP="00CA4637">
      <w:pPr>
        <w:jc w:val="both"/>
        <w:rPr>
          <w:rFonts w:ascii="Arial" w:hAnsi="Arial" w:cs="Arial"/>
        </w:rPr>
      </w:pPr>
    </w:p>
    <w:p w14:paraId="7869B784" w14:textId="77777777" w:rsidR="00F016B9" w:rsidRPr="00905804" w:rsidRDefault="00DB630B" w:rsidP="00CA4637">
      <w:pPr>
        <w:jc w:val="both"/>
        <w:rPr>
          <w:rFonts w:ascii="Arial" w:hAnsi="Arial" w:cs="Arial"/>
          <w:b/>
          <w:bCs/>
        </w:rPr>
      </w:pPr>
      <w:r w:rsidRPr="00905804">
        <w:rPr>
          <w:rFonts w:ascii="Arial" w:hAnsi="Arial" w:cs="Arial"/>
          <w:b/>
          <w:bCs/>
        </w:rPr>
        <w:lastRenderedPageBreak/>
        <w:t>Biochemical Characterization</w:t>
      </w:r>
    </w:p>
    <w:p w14:paraId="3219DB9B" w14:textId="4B91037F" w:rsidR="0009766D" w:rsidRPr="00905804" w:rsidRDefault="0009766D" w:rsidP="00CA4637">
      <w:pPr>
        <w:jc w:val="both"/>
        <w:rPr>
          <w:rFonts w:ascii="Arial" w:hAnsi="Arial" w:cs="Arial"/>
          <w:b/>
          <w:bCs/>
        </w:rPr>
      </w:pPr>
      <w:r w:rsidRPr="00905804">
        <w:rPr>
          <w:rFonts w:ascii="Arial" w:hAnsi="Arial" w:cs="Arial"/>
        </w:rPr>
        <w:t xml:space="preserve">Gram staining and biochemical tests confirmed the identity of </w:t>
      </w:r>
      <w:r w:rsidRPr="00905804">
        <w:rPr>
          <w:rFonts w:ascii="Arial" w:hAnsi="Arial" w:cs="Arial"/>
          <w:i/>
          <w:iCs/>
        </w:rPr>
        <w:t>S. enterica</w:t>
      </w:r>
      <w:r w:rsidR="001077EE" w:rsidRPr="00905804">
        <w:rPr>
          <w:rFonts w:ascii="Arial" w:hAnsi="Arial" w:cs="Arial"/>
        </w:rPr>
        <w:t xml:space="preserve"> to be </w:t>
      </w:r>
      <w:r w:rsidRPr="00905804">
        <w:rPr>
          <w:rFonts w:ascii="Arial" w:hAnsi="Arial" w:cs="Arial"/>
        </w:rPr>
        <w:t>Gram-negative, motile</w:t>
      </w:r>
      <w:r w:rsidR="00B366FF" w:rsidRPr="00905804">
        <w:rPr>
          <w:rFonts w:ascii="Arial" w:hAnsi="Arial" w:cs="Arial"/>
        </w:rPr>
        <w:t xml:space="preserve"> and </w:t>
      </w:r>
      <w:r w:rsidRPr="00905804">
        <w:rPr>
          <w:rFonts w:ascii="Arial" w:hAnsi="Arial" w:cs="Arial"/>
        </w:rPr>
        <w:t>catalase-positive</w:t>
      </w:r>
      <w:r w:rsidR="00CC2792" w:rsidRPr="00905804">
        <w:rPr>
          <w:rFonts w:ascii="Arial" w:hAnsi="Arial" w:cs="Arial"/>
        </w:rPr>
        <w:t>,</w:t>
      </w:r>
      <w:r w:rsidR="00B366FF" w:rsidRPr="00905804">
        <w:rPr>
          <w:rFonts w:ascii="Arial" w:hAnsi="Arial" w:cs="Arial"/>
        </w:rPr>
        <w:t xml:space="preserve"> consistent with standard microbiological identification protocols</w:t>
      </w:r>
      <w:r w:rsidR="00F016B9" w:rsidRPr="00905804">
        <w:rPr>
          <w:rFonts w:ascii="Arial" w:hAnsi="Arial" w:cs="Arial"/>
        </w:rPr>
        <w:t xml:space="preserve"> </w:t>
      </w:r>
      <w:r w:rsidRPr="00905804">
        <w:rPr>
          <w:rFonts w:ascii="Arial" w:hAnsi="Arial" w:cs="Arial"/>
        </w:rPr>
        <w:t>(Madigan et al., 2021; ISO, 2017).</w:t>
      </w:r>
    </w:p>
    <w:p w14:paraId="5990CEEE" w14:textId="56E5C5C8" w:rsidR="00C766B0" w:rsidRPr="00905804" w:rsidRDefault="00C766B0" w:rsidP="00CA4637">
      <w:pPr>
        <w:jc w:val="both"/>
        <w:rPr>
          <w:rFonts w:ascii="Arial" w:hAnsi="Arial" w:cs="Arial"/>
          <w:b/>
          <w:bCs/>
        </w:rPr>
      </w:pPr>
      <w:r w:rsidRPr="00905804">
        <w:rPr>
          <w:rFonts w:ascii="Arial" w:hAnsi="Arial" w:cs="Arial"/>
          <w:b/>
          <w:bCs/>
        </w:rPr>
        <w:t xml:space="preserve">Table 3. Key Biochemical Features of </w:t>
      </w:r>
      <w:r w:rsidR="00EE57FD" w:rsidRPr="00905804">
        <w:rPr>
          <w:rFonts w:ascii="Arial" w:hAnsi="Arial" w:cs="Arial"/>
          <w:b/>
          <w:bCs/>
          <w:i/>
          <w:iCs/>
        </w:rPr>
        <w:t>S. enterica</w:t>
      </w:r>
    </w:p>
    <w:tbl>
      <w:tblPr>
        <w:tblStyle w:val="TableGrid"/>
        <w:tblW w:w="0" w:type="auto"/>
        <w:tblLook w:val="04A0" w:firstRow="1" w:lastRow="0" w:firstColumn="1" w:lastColumn="0" w:noHBand="0" w:noVBand="1"/>
      </w:tblPr>
      <w:tblGrid>
        <w:gridCol w:w="2337"/>
        <w:gridCol w:w="2337"/>
      </w:tblGrid>
      <w:tr w:rsidR="00905804" w:rsidRPr="00905804" w14:paraId="3E68E2C3" w14:textId="77777777" w:rsidTr="00B1019E">
        <w:tc>
          <w:tcPr>
            <w:tcW w:w="2337" w:type="dxa"/>
          </w:tcPr>
          <w:p w14:paraId="22DB038D" w14:textId="59F1B288" w:rsidR="00967743" w:rsidRPr="00905804" w:rsidRDefault="00967743" w:rsidP="00CA4637">
            <w:pPr>
              <w:jc w:val="both"/>
              <w:rPr>
                <w:rFonts w:ascii="Arial" w:hAnsi="Arial" w:cs="Arial"/>
              </w:rPr>
            </w:pPr>
            <w:r w:rsidRPr="00905804">
              <w:rPr>
                <w:rFonts w:ascii="Arial" w:hAnsi="Arial" w:cs="Arial"/>
              </w:rPr>
              <w:t>Test</w:t>
            </w:r>
          </w:p>
        </w:tc>
        <w:tc>
          <w:tcPr>
            <w:tcW w:w="2337" w:type="dxa"/>
            <w:vAlign w:val="center"/>
          </w:tcPr>
          <w:p w14:paraId="4723ED6C" w14:textId="2A0619E7" w:rsidR="00967743" w:rsidRPr="00905804" w:rsidRDefault="00967743" w:rsidP="00CA4637">
            <w:pPr>
              <w:jc w:val="both"/>
              <w:rPr>
                <w:rFonts w:ascii="Arial" w:hAnsi="Arial" w:cs="Arial"/>
              </w:rPr>
            </w:pPr>
            <w:r w:rsidRPr="00905804">
              <w:rPr>
                <w:rFonts w:ascii="Arial" w:hAnsi="Arial" w:cs="Arial"/>
                <w:i/>
                <w:iCs/>
              </w:rPr>
              <w:t>S. enterica</w:t>
            </w:r>
          </w:p>
        </w:tc>
      </w:tr>
      <w:tr w:rsidR="00905804" w:rsidRPr="00905804" w14:paraId="4FB584B8" w14:textId="77777777" w:rsidTr="00C766B0">
        <w:tc>
          <w:tcPr>
            <w:tcW w:w="2337" w:type="dxa"/>
          </w:tcPr>
          <w:p w14:paraId="58D01A65" w14:textId="556E3605" w:rsidR="00967743" w:rsidRPr="00905804" w:rsidRDefault="00967743" w:rsidP="00CA4637">
            <w:pPr>
              <w:jc w:val="both"/>
              <w:rPr>
                <w:rFonts w:ascii="Arial" w:hAnsi="Arial" w:cs="Arial"/>
              </w:rPr>
            </w:pPr>
            <w:r w:rsidRPr="00905804">
              <w:rPr>
                <w:rFonts w:ascii="Arial" w:hAnsi="Arial" w:cs="Arial"/>
              </w:rPr>
              <w:t>Gram reaction</w:t>
            </w:r>
          </w:p>
        </w:tc>
        <w:tc>
          <w:tcPr>
            <w:tcW w:w="2337" w:type="dxa"/>
          </w:tcPr>
          <w:p w14:paraId="42918070" w14:textId="1D7EEDD5" w:rsidR="00967743" w:rsidRPr="00905804" w:rsidRDefault="00967743" w:rsidP="00CA4637">
            <w:pPr>
              <w:jc w:val="both"/>
              <w:rPr>
                <w:rFonts w:ascii="Arial" w:hAnsi="Arial" w:cs="Arial"/>
              </w:rPr>
            </w:pPr>
            <w:r w:rsidRPr="00905804">
              <w:rPr>
                <w:rFonts w:ascii="Arial" w:hAnsi="Arial" w:cs="Arial"/>
              </w:rPr>
              <w:t>-</w:t>
            </w:r>
          </w:p>
        </w:tc>
      </w:tr>
      <w:tr w:rsidR="00905804" w:rsidRPr="00905804" w14:paraId="2838ADF4" w14:textId="77777777" w:rsidTr="00C766B0">
        <w:tc>
          <w:tcPr>
            <w:tcW w:w="2337" w:type="dxa"/>
          </w:tcPr>
          <w:p w14:paraId="01B154EC" w14:textId="1C374B3E" w:rsidR="00967743" w:rsidRPr="00905804" w:rsidRDefault="00967743" w:rsidP="00CA4637">
            <w:pPr>
              <w:jc w:val="both"/>
              <w:rPr>
                <w:rFonts w:ascii="Arial" w:hAnsi="Arial" w:cs="Arial"/>
              </w:rPr>
            </w:pPr>
            <w:r w:rsidRPr="00905804">
              <w:rPr>
                <w:rFonts w:ascii="Arial" w:hAnsi="Arial" w:cs="Arial"/>
              </w:rPr>
              <w:t>Motility</w:t>
            </w:r>
          </w:p>
        </w:tc>
        <w:tc>
          <w:tcPr>
            <w:tcW w:w="2337" w:type="dxa"/>
          </w:tcPr>
          <w:p w14:paraId="0B139F8E" w14:textId="2976BE3A" w:rsidR="00967743" w:rsidRPr="00905804" w:rsidRDefault="00967743" w:rsidP="00CA4637">
            <w:pPr>
              <w:jc w:val="both"/>
              <w:rPr>
                <w:rFonts w:ascii="Arial" w:hAnsi="Arial" w:cs="Arial"/>
              </w:rPr>
            </w:pPr>
            <w:r w:rsidRPr="00905804">
              <w:rPr>
                <w:rFonts w:ascii="Arial" w:hAnsi="Arial" w:cs="Arial"/>
              </w:rPr>
              <w:t>+</w:t>
            </w:r>
          </w:p>
        </w:tc>
      </w:tr>
      <w:tr w:rsidR="00CA4637" w:rsidRPr="00905804" w14:paraId="226EFDCF" w14:textId="77777777" w:rsidTr="00C766B0">
        <w:tc>
          <w:tcPr>
            <w:tcW w:w="2337" w:type="dxa"/>
          </w:tcPr>
          <w:p w14:paraId="217621EA" w14:textId="418E091A" w:rsidR="00967743" w:rsidRPr="00905804" w:rsidRDefault="00967743" w:rsidP="00CA4637">
            <w:pPr>
              <w:jc w:val="both"/>
              <w:rPr>
                <w:rFonts w:ascii="Arial" w:hAnsi="Arial" w:cs="Arial"/>
              </w:rPr>
            </w:pPr>
            <w:r w:rsidRPr="00905804">
              <w:rPr>
                <w:rFonts w:ascii="Arial" w:hAnsi="Arial" w:cs="Arial"/>
              </w:rPr>
              <w:t>Catalase</w:t>
            </w:r>
          </w:p>
        </w:tc>
        <w:tc>
          <w:tcPr>
            <w:tcW w:w="2337" w:type="dxa"/>
          </w:tcPr>
          <w:p w14:paraId="4BFFD14B" w14:textId="4B6C733D" w:rsidR="00967743" w:rsidRPr="00905804" w:rsidRDefault="00967743" w:rsidP="00CA4637">
            <w:pPr>
              <w:jc w:val="both"/>
              <w:rPr>
                <w:rFonts w:ascii="Arial" w:hAnsi="Arial" w:cs="Arial"/>
              </w:rPr>
            </w:pPr>
            <w:r w:rsidRPr="00905804">
              <w:rPr>
                <w:rFonts w:ascii="Arial" w:hAnsi="Arial" w:cs="Arial"/>
              </w:rPr>
              <w:t>+</w:t>
            </w:r>
          </w:p>
        </w:tc>
      </w:tr>
    </w:tbl>
    <w:p w14:paraId="0FA272E6" w14:textId="77777777" w:rsidR="00DB630B" w:rsidRPr="00905804" w:rsidRDefault="00DB630B" w:rsidP="00CA4637">
      <w:pPr>
        <w:jc w:val="both"/>
        <w:rPr>
          <w:rFonts w:ascii="Arial" w:hAnsi="Arial" w:cs="Arial"/>
        </w:rPr>
      </w:pPr>
    </w:p>
    <w:p w14:paraId="2B92C172" w14:textId="32121BAD" w:rsidR="00B70651" w:rsidRPr="00905804" w:rsidRDefault="00B70651" w:rsidP="00CA4637">
      <w:pPr>
        <w:jc w:val="both"/>
        <w:rPr>
          <w:rFonts w:ascii="Arial" w:hAnsi="Arial" w:cs="Arial"/>
          <w:b/>
          <w:bCs/>
        </w:rPr>
      </w:pPr>
      <w:r w:rsidRPr="00905804">
        <w:rPr>
          <w:rFonts w:ascii="Arial" w:hAnsi="Arial" w:cs="Arial"/>
          <w:b/>
          <w:bCs/>
        </w:rPr>
        <w:t>Anti</w:t>
      </w:r>
      <w:r w:rsidR="003D1A8F" w:rsidRPr="00905804">
        <w:rPr>
          <w:rFonts w:ascii="Arial" w:hAnsi="Arial" w:cs="Arial"/>
          <w:b/>
          <w:bCs/>
        </w:rPr>
        <w:t>biotic</w:t>
      </w:r>
      <w:r w:rsidRPr="00905804">
        <w:rPr>
          <w:rFonts w:ascii="Arial" w:hAnsi="Arial" w:cs="Arial"/>
          <w:b/>
          <w:bCs/>
        </w:rPr>
        <w:t xml:space="preserve"> Susceptibility Pattern of </w:t>
      </w:r>
      <w:r w:rsidR="002753E2" w:rsidRPr="00905804">
        <w:rPr>
          <w:rFonts w:ascii="Arial" w:hAnsi="Arial" w:cs="Arial"/>
          <w:b/>
          <w:bCs/>
          <w:i/>
          <w:iCs/>
        </w:rPr>
        <w:t>S. enterica</w:t>
      </w:r>
      <w:r w:rsidR="002753E2" w:rsidRPr="00905804">
        <w:rPr>
          <w:rFonts w:ascii="Arial" w:hAnsi="Arial" w:cs="Arial"/>
          <w:b/>
          <w:bCs/>
        </w:rPr>
        <w:t xml:space="preserve"> </w:t>
      </w:r>
      <w:r w:rsidRPr="00905804">
        <w:rPr>
          <w:rFonts w:ascii="Arial" w:hAnsi="Arial" w:cs="Arial"/>
          <w:b/>
          <w:bCs/>
        </w:rPr>
        <w:t>Isolates</w:t>
      </w:r>
    </w:p>
    <w:p w14:paraId="2C4EC15F" w14:textId="763B9E55" w:rsidR="00916355" w:rsidRPr="00905804" w:rsidRDefault="00916355" w:rsidP="00CA4637">
      <w:pPr>
        <w:jc w:val="both"/>
        <w:rPr>
          <w:rFonts w:ascii="Arial" w:hAnsi="Arial" w:cs="Arial"/>
        </w:rPr>
      </w:pPr>
      <w:r w:rsidRPr="00905804">
        <w:rPr>
          <w:rFonts w:ascii="Arial" w:hAnsi="Arial" w:cs="Arial"/>
        </w:rPr>
        <w:t xml:space="preserve">Marked differences were observed in the susceptibility of </w:t>
      </w:r>
      <w:r w:rsidRPr="00905804">
        <w:rPr>
          <w:rFonts w:ascii="Arial" w:hAnsi="Arial" w:cs="Arial"/>
          <w:i/>
          <w:iCs/>
        </w:rPr>
        <w:t>S. enterica</w:t>
      </w:r>
      <w:r w:rsidRPr="00905804">
        <w:rPr>
          <w:rFonts w:ascii="Arial" w:hAnsi="Arial" w:cs="Arial"/>
        </w:rPr>
        <w:t xml:space="preserve"> isolates to quinolone and fluoroquinolone antibiotics. Resistance to Nalidixic acid was high, with 68.1% of isolates classified as resistant, indicating widespread phenotypic quinolone resistance.</w:t>
      </w:r>
    </w:p>
    <w:p w14:paraId="30D03EFC" w14:textId="41BA490F" w:rsidR="00916355" w:rsidRPr="00905804" w:rsidRDefault="00916355" w:rsidP="00CA4637">
      <w:pPr>
        <w:jc w:val="both"/>
        <w:rPr>
          <w:rFonts w:ascii="Arial" w:hAnsi="Arial" w:cs="Arial"/>
        </w:rPr>
      </w:pPr>
      <w:r w:rsidRPr="00905804">
        <w:rPr>
          <w:rFonts w:ascii="Arial" w:hAnsi="Arial" w:cs="Arial"/>
        </w:rPr>
        <w:t xml:space="preserve">In contrast, fluoroquinolones demonstrated substantial in vitro activity. Ciprofloxacin showed the highest susceptibility (92.6%), followed by Levofloxacin (88.2%) and Ofloxacin (85.6%). Statistical analysis revealed a highly significant difference in susceptibility patterns among the tested antibiotics (p &lt; </w:t>
      </w:r>
      <w:proofErr w:type="gramStart"/>
      <w:r w:rsidRPr="00905804">
        <w:rPr>
          <w:rFonts w:ascii="Arial" w:hAnsi="Arial" w:cs="Arial"/>
        </w:rPr>
        <w:t>0.001)(</w:t>
      </w:r>
      <w:proofErr w:type="gramEnd"/>
      <w:r w:rsidRPr="00905804">
        <w:rPr>
          <w:rFonts w:ascii="Arial" w:hAnsi="Arial" w:cs="Arial"/>
        </w:rPr>
        <w:t>Table 4; Figure 3).</w:t>
      </w:r>
    </w:p>
    <w:p w14:paraId="2E96F3DB" w14:textId="001902C7" w:rsidR="008772A8" w:rsidRPr="00905804" w:rsidRDefault="008772A8" w:rsidP="00CA4637">
      <w:pPr>
        <w:jc w:val="both"/>
        <w:rPr>
          <w:rFonts w:ascii="Arial" w:hAnsi="Arial" w:cs="Arial"/>
          <w:b/>
          <w:bCs/>
        </w:rPr>
      </w:pPr>
      <w:r w:rsidRPr="00905804">
        <w:rPr>
          <w:rFonts w:ascii="Arial" w:hAnsi="Arial" w:cs="Arial"/>
          <w:b/>
          <w:bCs/>
        </w:rPr>
        <w:t xml:space="preserve">Table 4. Antimicrobial susceptibility pattern of </w:t>
      </w:r>
      <w:r w:rsidR="00B73375" w:rsidRPr="00905804">
        <w:rPr>
          <w:rFonts w:ascii="Arial" w:hAnsi="Arial" w:cs="Arial"/>
          <w:b/>
          <w:bCs/>
          <w:i/>
          <w:iCs/>
        </w:rPr>
        <w:t xml:space="preserve">S. </w:t>
      </w:r>
      <w:r w:rsidRPr="00905804">
        <w:rPr>
          <w:rFonts w:ascii="Arial" w:hAnsi="Arial" w:cs="Arial"/>
          <w:b/>
          <w:bCs/>
          <w:i/>
          <w:iCs/>
        </w:rPr>
        <w:t>enterica</w:t>
      </w:r>
      <w:r w:rsidRPr="00905804">
        <w:rPr>
          <w:rFonts w:ascii="Arial" w:hAnsi="Arial" w:cs="Arial"/>
          <w:b/>
          <w:bCs/>
        </w:rPr>
        <w:t xml:space="preserve"> isolates </w:t>
      </w:r>
    </w:p>
    <w:tbl>
      <w:tblPr>
        <w:tblStyle w:val="TableGrid"/>
        <w:tblW w:w="0" w:type="auto"/>
        <w:tblLook w:val="04A0" w:firstRow="1" w:lastRow="0" w:firstColumn="1" w:lastColumn="0" w:noHBand="0" w:noVBand="1"/>
      </w:tblPr>
      <w:tblGrid>
        <w:gridCol w:w="2337"/>
        <w:gridCol w:w="2337"/>
        <w:gridCol w:w="2338"/>
        <w:gridCol w:w="2338"/>
      </w:tblGrid>
      <w:tr w:rsidR="00905804" w:rsidRPr="00905804" w14:paraId="16680C18" w14:textId="77777777" w:rsidTr="008772A8">
        <w:tc>
          <w:tcPr>
            <w:tcW w:w="2337" w:type="dxa"/>
          </w:tcPr>
          <w:p w14:paraId="2975727D" w14:textId="463144B3" w:rsidR="008772A8" w:rsidRPr="00905804" w:rsidRDefault="008772A8" w:rsidP="00CA4637">
            <w:pPr>
              <w:jc w:val="both"/>
              <w:rPr>
                <w:rFonts w:ascii="Arial" w:hAnsi="Arial" w:cs="Arial"/>
                <w:b/>
                <w:bCs/>
              </w:rPr>
            </w:pPr>
            <w:r w:rsidRPr="00905804">
              <w:rPr>
                <w:rFonts w:ascii="Arial" w:eastAsia="Times New Roman" w:hAnsi="Arial" w:cs="Arial"/>
                <w:b/>
                <w:bCs/>
                <w:kern w:val="0"/>
                <w14:ligatures w14:val="none"/>
              </w:rPr>
              <w:t>Antibiotic</w:t>
            </w:r>
          </w:p>
        </w:tc>
        <w:tc>
          <w:tcPr>
            <w:tcW w:w="2337" w:type="dxa"/>
          </w:tcPr>
          <w:p w14:paraId="19B5E33B" w14:textId="66AAAA11" w:rsidR="008772A8" w:rsidRPr="00905804" w:rsidRDefault="008772A8" w:rsidP="00CA4637">
            <w:pPr>
              <w:jc w:val="both"/>
              <w:rPr>
                <w:rFonts w:ascii="Arial" w:hAnsi="Arial" w:cs="Arial"/>
                <w:b/>
                <w:bCs/>
              </w:rPr>
            </w:pPr>
            <w:r w:rsidRPr="00905804">
              <w:rPr>
                <w:rFonts w:ascii="Arial" w:eastAsia="Times New Roman" w:hAnsi="Arial" w:cs="Arial"/>
                <w:b/>
                <w:bCs/>
                <w:kern w:val="0"/>
                <w14:ligatures w14:val="none"/>
              </w:rPr>
              <w:t>Susceptible n (%)</w:t>
            </w:r>
          </w:p>
        </w:tc>
        <w:tc>
          <w:tcPr>
            <w:tcW w:w="2338" w:type="dxa"/>
          </w:tcPr>
          <w:p w14:paraId="71DAFC49" w14:textId="13B9B9CC" w:rsidR="008772A8" w:rsidRPr="00905804" w:rsidRDefault="008772A8" w:rsidP="00CA4637">
            <w:pPr>
              <w:jc w:val="both"/>
              <w:rPr>
                <w:rFonts w:ascii="Arial" w:hAnsi="Arial" w:cs="Arial"/>
                <w:b/>
                <w:bCs/>
              </w:rPr>
            </w:pPr>
            <w:r w:rsidRPr="00905804">
              <w:rPr>
                <w:rFonts w:ascii="Arial" w:eastAsia="Times New Roman" w:hAnsi="Arial" w:cs="Arial"/>
                <w:b/>
                <w:bCs/>
                <w:kern w:val="0"/>
                <w14:ligatures w14:val="none"/>
              </w:rPr>
              <w:t>Intermediate n (%)</w:t>
            </w:r>
          </w:p>
        </w:tc>
        <w:tc>
          <w:tcPr>
            <w:tcW w:w="2338" w:type="dxa"/>
          </w:tcPr>
          <w:p w14:paraId="790D8303" w14:textId="6484356D" w:rsidR="008772A8" w:rsidRPr="00905804" w:rsidRDefault="00B73375" w:rsidP="00CA4637">
            <w:pPr>
              <w:jc w:val="both"/>
              <w:rPr>
                <w:rFonts w:ascii="Arial" w:hAnsi="Arial" w:cs="Arial"/>
                <w:b/>
                <w:bCs/>
              </w:rPr>
            </w:pPr>
            <w:r w:rsidRPr="00905804">
              <w:rPr>
                <w:rFonts w:ascii="Arial" w:eastAsia="Times New Roman" w:hAnsi="Arial" w:cs="Arial"/>
                <w:b/>
                <w:bCs/>
                <w:kern w:val="0"/>
                <w14:ligatures w14:val="none"/>
              </w:rPr>
              <w:t>Resistant n (%)</w:t>
            </w:r>
          </w:p>
        </w:tc>
      </w:tr>
      <w:tr w:rsidR="00905804" w:rsidRPr="00905804" w14:paraId="5D6DAD8F" w14:textId="77777777" w:rsidTr="008772A8">
        <w:tc>
          <w:tcPr>
            <w:tcW w:w="2337" w:type="dxa"/>
          </w:tcPr>
          <w:p w14:paraId="30A4ADE4" w14:textId="12D9734B" w:rsidR="008772A8" w:rsidRPr="00905804" w:rsidRDefault="008772A8" w:rsidP="00CA4637">
            <w:pPr>
              <w:jc w:val="both"/>
              <w:rPr>
                <w:rFonts w:ascii="Arial" w:hAnsi="Arial" w:cs="Arial"/>
              </w:rPr>
            </w:pPr>
            <w:r w:rsidRPr="00905804">
              <w:rPr>
                <w:rFonts w:ascii="Arial" w:eastAsia="Times New Roman" w:hAnsi="Arial" w:cs="Arial"/>
                <w:kern w:val="0"/>
                <w14:ligatures w14:val="none"/>
              </w:rPr>
              <w:t xml:space="preserve">Ciprofloxacin (5 </w:t>
            </w:r>
            <w:proofErr w:type="spellStart"/>
            <w:r w:rsidRPr="00905804">
              <w:rPr>
                <w:rFonts w:ascii="Arial" w:eastAsia="Times New Roman" w:hAnsi="Arial" w:cs="Arial"/>
                <w:kern w:val="0"/>
                <w14:ligatures w14:val="none"/>
              </w:rPr>
              <w:t>μg</w:t>
            </w:r>
            <w:proofErr w:type="spellEnd"/>
            <w:r w:rsidRPr="00905804">
              <w:rPr>
                <w:rFonts w:ascii="Arial" w:eastAsia="Times New Roman" w:hAnsi="Arial" w:cs="Arial"/>
                <w:kern w:val="0"/>
                <w14:ligatures w14:val="none"/>
              </w:rPr>
              <w:t>)</w:t>
            </w:r>
          </w:p>
        </w:tc>
        <w:tc>
          <w:tcPr>
            <w:tcW w:w="2337" w:type="dxa"/>
          </w:tcPr>
          <w:p w14:paraId="38AFCE02" w14:textId="67D9FAF6" w:rsidR="008772A8" w:rsidRPr="00905804" w:rsidRDefault="008772A8" w:rsidP="00CA4637">
            <w:pPr>
              <w:jc w:val="both"/>
              <w:rPr>
                <w:rFonts w:ascii="Arial" w:hAnsi="Arial" w:cs="Arial"/>
              </w:rPr>
            </w:pPr>
            <w:r w:rsidRPr="00905804">
              <w:rPr>
                <w:rFonts w:ascii="Arial" w:eastAsia="Times New Roman" w:hAnsi="Arial" w:cs="Arial"/>
                <w:kern w:val="0"/>
                <w14:ligatures w14:val="none"/>
              </w:rPr>
              <w:t>1</w:t>
            </w:r>
            <w:r w:rsidR="009E4A87" w:rsidRPr="00905804">
              <w:rPr>
                <w:rFonts w:ascii="Arial" w:eastAsia="Times New Roman" w:hAnsi="Arial" w:cs="Arial"/>
                <w:kern w:val="0"/>
                <w14:ligatures w14:val="none"/>
              </w:rPr>
              <w:t>70</w:t>
            </w:r>
            <w:r w:rsidRPr="00905804">
              <w:rPr>
                <w:rFonts w:ascii="Arial" w:eastAsia="Times New Roman" w:hAnsi="Arial" w:cs="Arial"/>
                <w:kern w:val="0"/>
                <w14:ligatures w14:val="none"/>
              </w:rPr>
              <w:t xml:space="preserve"> (</w:t>
            </w:r>
            <w:r w:rsidR="009E4A87" w:rsidRPr="00905804">
              <w:rPr>
                <w:rFonts w:ascii="Arial" w:eastAsia="Times New Roman" w:hAnsi="Arial" w:cs="Arial"/>
                <w:kern w:val="0"/>
                <w14:ligatures w14:val="none"/>
              </w:rPr>
              <w:t>92.6</w:t>
            </w:r>
            <w:r w:rsidRPr="00905804">
              <w:rPr>
                <w:rFonts w:ascii="Arial" w:eastAsia="Times New Roman" w:hAnsi="Arial" w:cs="Arial"/>
                <w:kern w:val="0"/>
                <w14:ligatures w14:val="none"/>
              </w:rPr>
              <w:t>)</w:t>
            </w:r>
          </w:p>
        </w:tc>
        <w:tc>
          <w:tcPr>
            <w:tcW w:w="2338" w:type="dxa"/>
          </w:tcPr>
          <w:p w14:paraId="4B7EF5D2" w14:textId="444E8B82" w:rsidR="008772A8" w:rsidRPr="00905804" w:rsidRDefault="009E4A87" w:rsidP="00CA4637">
            <w:pPr>
              <w:jc w:val="both"/>
              <w:rPr>
                <w:rFonts w:ascii="Arial" w:hAnsi="Arial" w:cs="Arial"/>
              </w:rPr>
            </w:pPr>
            <w:r w:rsidRPr="00905804">
              <w:rPr>
                <w:rFonts w:ascii="Arial" w:eastAsia="Times New Roman" w:hAnsi="Arial" w:cs="Arial"/>
                <w:kern w:val="0"/>
                <w14:ligatures w14:val="none"/>
              </w:rPr>
              <w:t>8</w:t>
            </w:r>
            <w:r w:rsidR="008772A8" w:rsidRPr="00905804">
              <w:rPr>
                <w:rFonts w:ascii="Arial" w:eastAsia="Times New Roman" w:hAnsi="Arial" w:cs="Arial"/>
                <w:kern w:val="0"/>
                <w14:ligatures w14:val="none"/>
              </w:rPr>
              <w:t xml:space="preserve"> (</w:t>
            </w:r>
            <w:r w:rsidRPr="00905804">
              <w:rPr>
                <w:rFonts w:ascii="Arial" w:eastAsia="Times New Roman" w:hAnsi="Arial" w:cs="Arial"/>
                <w:kern w:val="0"/>
                <w14:ligatures w14:val="none"/>
              </w:rPr>
              <w:t>4.3</w:t>
            </w:r>
            <w:r w:rsidR="008772A8" w:rsidRPr="00905804">
              <w:rPr>
                <w:rFonts w:ascii="Arial" w:eastAsia="Times New Roman" w:hAnsi="Arial" w:cs="Arial"/>
                <w:kern w:val="0"/>
                <w14:ligatures w14:val="none"/>
              </w:rPr>
              <w:t>)</w:t>
            </w:r>
          </w:p>
        </w:tc>
        <w:tc>
          <w:tcPr>
            <w:tcW w:w="2338" w:type="dxa"/>
          </w:tcPr>
          <w:p w14:paraId="60A963FC" w14:textId="113C845A" w:rsidR="008772A8" w:rsidRPr="00905804" w:rsidRDefault="00392498" w:rsidP="00CA4637">
            <w:pPr>
              <w:jc w:val="both"/>
              <w:rPr>
                <w:rFonts w:ascii="Arial" w:hAnsi="Arial" w:cs="Arial"/>
              </w:rPr>
            </w:pPr>
            <w:r w:rsidRPr="00905804">
              <w:rPr>
                <w:rFonts w:ascii="Arial" w:eastAsia="Times New Roman" w:hAnsi="Arial" w:cs="Arial"/>
                <w:kern w:val="0"/>
                <w14:ligatures w14:val="none"/>
              </w:rPr>
              <w:t>6</w:t>
            </w:r>
            <w:r w:rsidR="008772A8" w:rsidRPr="00905804">
              <w:rPr>
                <w:rFonts w:ascii="Arial" w:eastAsia="Times New Roman" w:hAnsi="Arial" w:cs="Arial"/>
                <w:kern w:val="0"/>
                <w14:ligatures w14:val="none"/>
              </w:rPr>
              <w:t xml:space="preserve"> (</w:t>
            </w:r>
            <w:r w:rsidRPr="00905804">
              <w:rPr>
                <w:rFonts w:ascii="Arial" w:eastAsia="Times New Roman" w:hAnsi="Arial" w:cs="Arial"/>
                <w:kern w:val="0"/>
                <w14:ligatures w14:val="none"/>
              </w:rPr>
              <w:t>3.1</w:t>
            </w:r>
            <w:r w:rsidR="008772A8" w:rsidRPr="00905804">
              <w:rPr>
                <w:rFonts w:ascii="Arial" w:eastAsia="Times New Roman" w:hAnsi="Arial" w:cs="Arial"/>
                <w:kern w:val="0"/>
                <w14:ligatures w14:val="none"/>
              </w:rPr>
              <w:t>)</w:t>
            </w:r>
          </w:p>
        </w:tc>
      </w:tr>
      <w:tr w:rsidR="00905804" w:rsidRPr="00905804" w14:paraId="5948D938" w14:textId="77777777" w:rsidTr="008772A8">
        <w:tc>
          <w:tcPr>
            <w:tcW w:w="2337" w:type="dxa"/>
          </w:tcPr>
          <w:p w14:paraId="53A8402F" w14:textId="2E1F9632" w:rsidR="008772A8" w:rsidRPr="00905804" w:rsidRDefault="008772A8" w:rsidP="00CA4637">
            <w:pPr>
              <w:jc w:val="both"/>
              <w:rPr>
                <w:rFonts w:ascii="Arial" w:hAnsi="Arial" w:cs="Arial"/>
              </w:rPr>
            </w:pPr>
            <w:r w:rsidRPr="00905804">
              <w:rPr>
                <w:rFonts w:ascii="Arial" w:eastAsia="Times New Roman" w:hAnsi="Arial" w:cs="Arial"/>
                <w:kern w:val="0"/>
                <w14:ligatures w14:val="none"/>
              </w:rPr>
              <w:t xml:space="preserve">Levofloxacin (5 </w:t>
            </w:r>
            <w:proofErr w:type="spellStart"/>
            <w:r w:rsidRPr="00905804">
              <w:rPr>
                <w:rFonts w:ascii="Arial" w:eastAsia="Times New Roman" w:hAnsi="Arial" w:cs="Arial"/>
                <w:kern w:val="0"/>
                <w14:ligatures w14:val="none"/>
              </w:rPr>
              <w:t>μg</w:t>
            </w:r>
            <w:proofErr w:type="spellEnd"/>
            <w:r w:rsidRPr="00905804">
              <w:rPr>
                <w:rFonts w:ascii="Arial" w:eastAsia="Times New Roman" w:hAnsi="Arial" w:cs="Arial"/>
                <w:kern w:val="0"/>
                <w14:ligatures w14:val="none"/>
              </w:rPr>
              <w:t>)</w:t>
            </w:r>
          </w:p>
        </w:tc>
        <w:tc>
          <w:tcPr>
            <w:tcW w:w="2337" w:type="dxa"/>
          </w:tcPr>
          <w:p w14:paraId="78B320DD" w14:textId="548293CC" w:rsidR="008772A8" w:rsidRPr="00905804" w:rsidRDefault="008772A8" w:rsidP="00CA4637">
            <w:pPr>
              <w:jc w:val="both"/>
              <w:rPr>
                <w:rFonts w:ascii="Arial" w:hAnsi="Arial" w:cs="Arial"/>
              </w:rPr>
            </w:pPr>
            <w:r w:rsidRPr="00905804">
              <w:rPr>
                <w:rFonts w:ascii="Arial" w:eastAsia="Times New Roman" w:hAnsi="Arial" w:cs="Arial"/>
                <w:kern w:val="0"/>
                <w14:ligatures w14:val="none"/>
              </w:rPr>
              <w:t>1</w:t>
            </w:r>
            <w:r w:rsidR="009E4A87" w:rsidRPr="00905804">
              <w:rPr>
                <w:rFonts w:ascii="Arial" w:eastAsia="Times New Roman" w:hAnsi="Arial" w:cs="Arial"/>
                <w:kern w:val="0"/>
                <w14:ligatures w14:val="none"/>
              </w:rPr>
              <w:t>62</w:t>
            </w:r>
            <w:r w:rsidRPr="00905804">
              <w:rPr>
                <w:rFonts w:ascii="Arial" w:eastAsia="Times New Roman" w:hAnsi="Arial" w:cs="Arial"/>
                <w:kern w:val="0"/>
                <w14:ligatures w14:val="none"/>
              </w:rPr>
              <w:t xml:space="preserve"> (</w:t>
            </w:r>
            <w:r w:rsidR="009E4A87" w:rsidRPr="00905804">
              <w:rPr>
                <w:rFonts w:ascii="Arial" w:eastAsia="Times New Roman" w:hAnsi="Arial" w:cs="Arial"/>
                <w:kern w:val="0"/>
                <w14:ligatures w14:val="none"/>
              </w:rPr>
              <w:t>88.2</w:t>
            </w:r>
            <w:r w:rsidRPr="00905804">
              <w:rPr>
                <w:rFonts w:ascii="Arial" w:eastAsia="Times New Roman" w:hAnsi="Arial" w:cs="Arial"/>
                <w:kern w:val="0"/>
                <w14:ligatures w14:val="none"/>
              </w:rPr>
              <w:t>)</w:t>
            </w:r>
          </w:p>
        </w:tc>
        <w:tc>
          <w:tcPr>
            <w:tcW w:w="2338" w:type="dxa"/>
          </w:tcPr>
          <w:p w14:paraId="0B00BDAB" w14:textId="69689609" w:rsidR="008772A8" w:rsidRPr="00905804" w:rsidRDefault="00E74C92" w:rsidP="00CA4637">
            <w:pPr>
              <w:jc w:val="both"/>
              <w:rPr>
                <w:rFonts w:ascii="Arial" w:hAnsi="Arial" w:cs="Arial"/>
              </w:rPr>
            </w:pPr>
            <w:r w:rsidRPr="00905804">
              <w:rPr>
                <w:rFonts w:ascii="Arial" w:eastAsia="Times New Roman" w:hAnsi="Arial" w:cs="Arial"/>
                <w:kern w:val="0"/>
                <w14:ligatures w14:val="none"/>
              </w:rPr>
              <w:t>12 (6.5)</w:t>
            </w:r>
          </w:p>
        </w:tc>
        <w:tc>
          <w:tcPr>
            <w:tcW w:w="2338" w:type="dxa"/>
          </w:tcPr>
          <w:p w14:paraId="3678F481" w14:textId="1FE8FDF5" w:rsidR="008772A8" w:rsidRPr="00905804" w:rsidRDefault="00392498" w:rsidP="00CA4637">
            <w:pPr>
              <w:jc w:val="both"/>
              <w:rPr>
                <w:rFonts w:ascii="Arial" w:hAnsi="Arial" w:cs="Arial"/>
              </w:rPr>
            </w:pPr>
            <w:r w:rsidRPr="00905804">
              <w:rPr>
                <w:rFonts w:ascii="Arial" w:eastAsia="Times New Roman" w:hAnsi="Arial" w:cs="Arial"/>
                <w:kern w:val="0"/>
                <w14:ligatures w14:val="none"/>
              </w:rPr>
              <w:t>10</w:t>
            </w:r>
            <w:r w:rsidR="008772A8" w:rsidRPr="00905804">
              <w:rPr>
                <w:rFonts w:ascii="Arial" w:eastAsia="Times New Roman" w:hAnsi="Arial" w:cs="Arial"/>
                <w:kern w:val="0"/>
                <w14:ligatures w14:val="none"/>
              </w:rPr>
              <w:t xml:space="preserve"> (</w:t>
            </w:r>
            <w:r w:rsidRPr="00905804">
              <w:rPr>
                <w:rFonts w:ascii="Arial" w:eastAsia="Times New Roman" w:hAnsi="Arial" w:cs="Arial"/>
                <w:kern w:val="0"/>
                <w14:ligatures w14:val="none"/>
              </w:rPr>
              <w:t>5.3</w:t>
            </w:r>
            <w:r w:rsidR="008772A8" w:rsidRPr="00905804">
              <w:rPr>
                <w:rFonts w:ascii="Arial" w:eastAsia="Times New Roman" w:hAnsi="Arial" w:cs="Arial"/>
                <w:kern w:val="0"/>
                <w14:ligatures w14:val="none"/>
              </w:rPr>
              <w:t>)</w:t>
            </w:r>
          </w:p>
        </w:tc>
      </w:tr>
      <w:tr w:rsidR="00905804" w:rsidRPr="00905804" w14:paraId="059BF282" w14:textId="77777777" w:rsidTr="008772A8">
        <w:tc>
          <w:tcPr>
            <w:tcW w:w="2337" w:type="dxa"/>
          </w:tcPr>
          <w:p w14:paraId="5AC229CF" w14:textId="1CECB269" w:rsidR="008772A8" w:rsidRPr="00905804" w:rsidRDefault="008772A8" w:rsidP="00CA4637">
            <w:pPr>
              <w:jc w:val="both"/>
              <w:rPr>
                <w:rFonts w:ascii="Arial" w:hAnsi="Arial" w:cs="Arial"/>
              </w:rPr>
            </w:pPr>
            <w:r w:rsidRPr="00905804">
              <w:rPr>
                <w:rFonts w:ascii="Arial" w:eastAsia="Times New Roman" w:hAnsi="Arial" w:cs="Arial"/>
                <w:kern w:val="0"/>
                <w14:ligatures w14:val="none"/>
              </w:rPr>
              <w:t xml:space="preserve">Ofloxacin (5 </w:t>
            </w:r>
            <w:proofErr w:type="spellStart"/>
            <w:r w:rsidRPr="00905804">
              <w:rPr>
                <w:rFonts w:ascii="Arial" w:eastAsia="Times New Roman" w:hAnsi="Arial" w:cs="Arial"/>
                <w:kern w:val="0"/>
                <w14:ligatures w14:val="none"/>
              </w:rPr>
              <w:t>μg</w:t>
            </w:r>
            <w:proofErr w:type="spellEnd"/>
            <w:r w:rsidRPr="00905804">
              <w:rPr>
                <w:rFonts w:ascii="Arial" w:eastAsia="Times New Roman" w:hAnsi="Arial" w:cs="Arial"/>
                <w:kern w:val="0"/>
                <w14:ligatures w14:val="none"/>
              </w:rPr>
              <w:t>)</w:t>
            </w:r>
          </w:p>
        </w:tc>
        <w:tc>
          <w:tcPr>
            <w:tcW w:w="2337" w:type="dxa"/>
          </w:tcPr>
          <w:p w14:paraId="65CADCB0" w14:textId="07AC8A65" w:rsidR="008772A8" w:rsidRPr="00905804" w:rsidRDefault="009E4A87" w:rsidP="00CA4637">
            <w:pPr>
              <w:jc w:val="both"/>
              <w:rPr>
                <w:rFonts w:ascii="Arial" w:hAnsi="Arial" w:cs="Arial"/>
              </w:rPr>
            </w:pPr>
            <w:r w:rsidRPr="00905804">
              <w:rPr>
                <w:rFonts w:ascii="Arial" w:eastAsia="Times New Roman" w:hAnsi="Arial" w:cs="Arial"/>
                <w:kern w:val="0"/>
                <w14:ligatures w14:val="none"/>
              </w:rPr>
              <w:t>158</w:t>
            </w:r>
            <w:r w:rsidR="008772A8" w:rsidRPr="00905804">
              <w:rPr>
                <w:rFonts w:ascii="Arial" w:eastAsia="Times New Roman" w:hAnsi="Arial" w:cs="Arial"/>
                <w:kern w:val="0"/>
                <w14:ligatures w14:val="none"/>
              </w:rPr>
              <w:t xml:space="preserve"> (</w:t>
            </w:r>
            <w:r w:rsidRPr="00905804">
              <w:rPr>
                <w:rFonts w:ascii="Arial" w:eastAsia="Times New Roman" w:hAnsi="Arial" w:cs="Arial"/>
                <w:kern w:val="0"/>
                <w14:ligatures w14:val="none"/>
              </w:rPr>
              <w:t>85.6</w:t>
            </w:r>
            <w:r w:rsidR="008772A8" w:rsidRPr="00905804">
              <w:rPr>
                <w:rFonts w:ascii="Arial" w:eastAsia="Times New Roman" w:hAnsi="Arial" w:cs="Arial"/>
                <w:kern w:val="0"/>
                <w14:ligatures w14:val="none"/>
              </w:rPr>
              <w:t>)</w:t>
            </w:r>
          </w:p>
        </w:tc>
        <w:tc>
          <w:tcPr>
            <w:tcW w:w="2338" w:type="dxa"/>
          </w:tcPr>
          <w:p w14:paraId="32813AC2" w14:textId="362E10CE" w:rsidR="008772A8" w:rsidRPr="00905804" w:rsidRDefault="009E4A87" w:rsidP="00CA4637">
            <w:pPr>
              <w:jc w:val="both"/>
              <w:rPr>
                <w:rFonts w:ascii="Arial" w:hAnsi="Arial" w:cs="Arial"/>
              </w:rPr>
            </w:pPr>
            <w:r w:rsidRPr="00905804">
              <w:rPr>
                <w:rFonts w:ascii="Arial" w:eastAsia="Times New Roman" w:hAnsi="Arial" w:cs="Arial"/>
                <w:kern w:val="0"/>
                <w14:ligatures w14:val="none"/>
              </w:rPr>
              <w:t>14</w:t>
            </w:r>
            <w:r w:rsidR="008772A8" w:rsidRPr="00905804">
              <w:rPr>
                <w:rFonts w:ascii="Arial" w:eastAsia="Times New Roman" w:hAnsi="Arial" w:cs="Arial"/>
                <w:kern w:val="0"/>
                <w14:ligatures w14:val="none"/>
              </w:rPr>
              <w:t xml:space="preserve"> (</w:t>
            </w:r>
            <w:r w:rsidRPr="00905804">
              <w:rPr>
                <w:rFonts w:ascii="Arial" w:eastAsia="Times New Roman" w:hAnsi="Arial" w:cs="Arial"/>
                <w:kern w:val="0"/>
                <w14:ligatures w14:val="none"/>
              </w:rPr>
              <w:t>7.6</w:t>
            </w:r>
            <w:r w:rsidR="008772A8" w:rsidRPr="00905804">
              <w:rPr>
                <w:rFonts w:ascii="Arial" w:eastAsia="Times New Roman" w:hAnsi="Arial" w:cs="Arial"/>
                <w:kern w:val="0"/>
                <w14:ligatures w14:val="none"/>
              </w:rPr>
              <w:t>)</w:t>
            </w:r>
          </w:p>
        </w:tc>
        <w:tc>
          <w:tcPr>
            <w:tcW w:w="2338" w:type="dxa"/>
          </w:tcPr>
          <w:p w14:paraId="22B7F0C1" w14:textId="46D43F12" w:rsidR="008772A8" w:rsidRPr="00905804" w:rsidRDefault="008772A8" w:rsidP="00CA4637">
            <w:pPr>
              <w:jc w:val="both"/>
              <w:rPr>
                <w:rFonts w:ascii="Arial" w:hAnsi="Arial" w:cs="Arial"/>
              </w:rPr>
            </w:pPr>
            <w:r w:rsidRPr="00905804">
              <w:rPr>
                <w:rFonts w:ascii="Arial" w:eastAsia="Times New Roman" w:hAnsi="Arial" w:cs="Arial"/>
                <w:kern w:val="0"/>
                <w14:ligatures w14:val="none"/>
              </w:rPr>
              <w:t>1</w:t>
            </w:r>
            <w:r w:rsidR="00392498" w:rsidRPr="00905804">
              <w:rPr>
                <w:rFonts w:ascii="Arial" w:eastAsia="Times New Roman" w:hAnsi="Arial" w:cs="Arial"/>
                <w:kern w:val="0"/>
                <w14:ligatures w14:val="none"/>
              </w:rPr>
              <w:t>2</w:t>
            </w:r>
            <w:r w:rsidRPr="00905804">
              <w:rPr>
                <w:rFonts w:ascii="Arial" w:eastAsia="Times New Roman" w:hAnsi="Arial" w:cs="Arial"/>
                <w:kern w:val="0"/>
                <w14:ligatures w14:val="none"/>
              </w:rPr>
              <w:t xml:space="preserve"> (</w:t>
            </w:r>
            <w:r w:rsidR="00392498" w:rsidRPr="00905804">
              <w:rPr>
                <w:rFonts w:ascii="Arial" w:eastAsia="Times New Roman" w:hAnsi="Arial" w:cs="Arial"/>
                <w:kern w:val="0"/>
                <w14:ligatures w14:val="none"/>
              </w:rPr>
              <w:t>6.8</w:t>
            </w:r>
            <w:r w:rsidRPr="00905804">
              <w:rPr>
                <w:rFonts w:ascii="Arial" w:eastAsia="Times New Roman" w:hAnsi="Arial" w:cs="Arial"/>
                <w:kern w:val="0"/>
                <w14:ligatures w14:val="none"/>
              </w:rPr>
              <w:t>)</w:t>
            </w:r>
          </w:p>
        </w:tc>
      </w:tr>
      <w:tr w:rsidR="00905804" w:rsidRPr="00905804" w14:paraId="34D5D233" w14:textId="77777777" w:rsidTr="008772A8">
        <w:tc>
          <w:tcPr>
            <w:tcW w:w="2337" w:type="dxa"/>
          </w:tcPr>
          <w:p w14:paraId="4AB32943" w14:textId="0411A16E" w:rsidR="008772A8" w:rsidRPr="00905804" w:rsidRDefault="008772A8" w:rsidP="00CA4637">
            <w:pPr>
              <w:jc w:val="both"/>
              <w:rPr>
                <w:rFonts w:ascii="Arial" w:hAnsi="Arial" w:cs="Arial"/>
              </w:rPr>
            </w:pPr>
            <w:r w:rsidRPr="00905804">
              <w:rPr>
                <w:rFonts w:ascii="Arial" w:eastAsia="Times New Roman" w:hAnsi="Arial" w:cs="Arial"/>
                <w:kern w:val="0"/>
                <w14:ligatures w14:val="none"/>
              </w:rPr>
              <w:t xml:space="preserve">Nalidixic acid (30 </w:t>
            </w:r>
            <w:proofErr w:type="spellStart"/>
            <w:r w:rsidRPr="00905804">
              <w:rPr>
                <w:rFonts w:ascii="Arial" w:eastAsia="Times New Roman" w:hAnsi="Arial" w:cs="Arial"/>
                <w:kern w:val="0"/>
                <w14:ligatures w14:val="none"/>
              </w:rPr>
              <w:t>μg</w:t>
            </w:r>
            <w:proofErr w:type="spellEnd"/>
            <w:r w:rsidRPr="00905804">
              <w:rPr>
                <w:rFonts w:ascii="Arial" w:eastAsia="Times New Roman" w:hAnsi="Arial" w:cs="Arial"/>
                <w:kern w:val="0"/>
                <w14:ligatures w14:val="none"/>
              </w:rPr>
              <w:t>)</w:t>
            </w:r>
          </w:p>
        </w:tc>
        <w:tc>
          <w:tcPr>
            <w:tcW w:w="2337" w:type="dxa"/>
          </w:tcPr>
          <w:p w14:paraId="5642C67B" w14:textId="71C4B885" w:rsidR="008772A8" w:rsidRPr="00905804" w:rsidRDefault="008772A8" w:rsidP="00CA4637">
            <w:pPr>
              <w:jc w:val="both"/>
              <w:rPr>
                <w:rFonts w:ascii="Arial" w:hAnsi="Arial" w:cs="Arial"/>
              </w:rPr>
            </w:pPr>
            <w:r w:rsidRPr="00905804">
              <w:rPr>
                <w:rFonts w:ascii="Arial" w:eastAsia="Times New Roman" w:hAnsi="Arial" w:cs="Arial"/>
                <w:kern w:val="0"/>
                <w14:ligatures w14:val="none"/>
              </w:rPr>
              <w:t>0 (0</w:t>
            </w:r>
            <w:r w:rsidR="009E4A87" w:rsidRPr="00905804">
              <w:rPr>
                <w:rFonts w:ascii="Arial" w:eastAsia="Times New Roman" w:hAnsi="Arial" w:cs="Arial"/>
                <w:kern w:val="0"/>
                <w14:ligatures w14:val="none"/>
              </w:rPr>
              <w:t>.0</w:t>
            </w:r>
            <w:r w:rsidRPr="00905804">
              <w:rPr>
                <w:rFonts w:ascii="Arial" w:eastAsia="Times New Roman" w:hAnsi="Arial" w:cs="Arial"/>
                <w:kern w:val="0"/>
                <w14:ligatures w14:val="none"/>
              </w:rPr>
              <w:t>)</w:t>
            </w:r>
          </w:p>
        </w:tc>
        <w:tc>
          <w:tcPr>
            <w:tcW w:w="2338" w:type="dxa"/>
          </w:tcPr>
          <w:p w14:paraId="5AC5400A" w14:textId="47F6DC7A" w:rsidR="008772A8" w:rsidRPr="00905804" w:rsidRDefault="009E4A87" w:rsidP="00CA4637">
            <w:pPr>
              <w:jc w:val="both"/>
              <w:rPr>
                <w:rFonts w:ascii="Arial" w:hAnsi="Arial" w:cs="Arial"/>
              </w:rPr>
            </w:pPr>
            <w:r w:rsidRPr="00905804">
              <w:rPr>
                <w:rFonts w:ascii="Arial" w:eastAsia="Times New Roman" w:hAnsi="Arial" w:cs="Arial"/>
                <w:kern w:val="0"/>
                <w14:ligatures w14:val="none"/>
              </w:rPr>
              <w:t>59</w:t>
            </w:r>
            <w:r w:rsidR="008772A8" w:rsidRPr="00905804">
              <w:rPr>
                <w:rFonts w:ascii="Arial" w:eastAsia="Times New Roman" w:hAnsi="Arial" w:cs="Arial"/>
                <w:kern w:val="0"/>
                <w14:ligatures w14:val="none"/>
              </w:rPr>
              <w:t>(</w:t>
            </w:r>
            <w:r w:rsidRPr="00905804">
              <w:rPr>
                <w:rFonts w:ascii="Arial" w:eastAsia="Times New Roman" w:hAnsi="Arial" w:cs="Arial"/>
                <w:kern w:val="0"/>
                <w14:ligatures w14:val="none"/>
              </w:rPr>
              <w:t>31.9</w:t>
            </w:r>
            <w:r w:rsidR="008772A8" w:rsidRPr="00905804">
              <w:rPr>
                <w:rFonts w:ascii="Arial" w:eastAsia="Times New Roman" w:hAnsi="Arial" w:cs="Arial"/>
                <w:kern w:val="0"/>
                <w14:ligatures w14:val="none"/>
              </w:rPr>
              <w:t>)</w:t>
            </w:r>
          </w:p>
        </w:tc>
        <w:tc>
          <w:tcPr>
            <w:tcW w:w="2338" w:type="dxa"/>
          </w:tcPr>
          <w:p w14:paraId="5C3693ED" w14:textId="01C1D163" w:rsidR="008772A8" w:rsidRPr="00905804" w:rsidRDefault="008772A8" w:rsidP="00CA4637">
            <w:pPr>
              <w:jc w:val="both"/>
              <w:rPr>
                <w:rFonts w:ascii="Arial" w:hAnsi="Arial" w:cs="Arial"/>
              </w:rPr>
            </w:pPr>
            <w:r w:rsidRPr="00905804">
              <w:rPr>
                <w:rFonts w:ascii="Arial" w:eastAsia="Times New Roman" w:hAnsi="Arial" w:cs="Arial"/>
                <w:kern w:val="0"/>
                <w14:ligatures w14:val="none"/>
              </w:rPr>
              <w:t>1</w:t>
            </w:r>
            <w:r w:rsidR="00392498" w:rsidRPr="00905804">
              <w:rPr>
                <w:rFonts w:ascii="Arial" w:eastAsia="Times New Roman" w:hAnsi="Arial" w:cs="Arial"/>
                <w:kern w:val="0"/>
                <w14:ligatures w14:val="none"/>
              </w:rPr>
              <w:t>25</w:t>
            </w:r>
            <w:r w:rsidRPr="00905804">
              <w:rPr>
                <w:rFonts w:ascii="Arial" w:eastAsia="Times New Roman" w:hAnsi="Arial" w:cs="Arial"/>
                <w:kern w:val="0"/>
                <w14:ligatures w14:val="none"/>
              </w:rPr>
              <w:t xml:space="preserve"> (</w:t>
            </w:r>
            <w:r w:rsidR="00392498" w:rsidRPr="00905804">
              <w:rPr>
                <w:rFonts w:ascii="Arial" w:eastAsia="Times New Roman" w:hAnsi="Arial" w:cs="Arial"/>
                <w:kern w:val="0"/>
                <w14:ligatures w14:val="none"/>
              </w:rPr>
              <w:t>68.1</w:t>
            </w:r>
            <w:r w:rsidRPr="00905804">
              <w:rPr>
                <w:rFonts w:ascii="Arial" w:eastAsia="Times New Roman" w:hAnsi="Arial" w:cs="Arial"/>
                <w:kern w:val="0"/>
                <w14:ligatures w14:val="none"/>
              </w:rPr>
              <w:t>)</w:t>
            </w:r>
          </w:p>
        </w:tc>
      </w:tr>
    </w:tbl>
    <w:p w14:paraId="6B60DB7F" w14:textId="38A7866A" w:rsidR="008772A8" w:rsidRPr="00905804" w:rsidRDefault="008772A8" w:rsidP="00CA4637">
      <w:pPr>
        <w:jc w:val="both"/>
        <w:rPr>
          <w:rFonts w:ascii="Arial" w:hAnsi="Arial" w:cs="Arial"/>
        </w:rPr>
      </w:pPr>
      <w:r w:rsidRPr="00905804">
        <w:rPr>
          <w:rFonts w:ascii="Arial" w:hAnsi="Arial" w:cs="Arial"/>
        </w:rPr>
        <w:t xml:space="preserve">Chi-square (χ²) = 512.7, </w:t>
      </w:r>
      <w:r w:rsidRPr="00905804">
        <w:rPr>
          <w:rFonts w:ascii="Arial" w:hAnsi="Arial" w:cs="Arial"/>
          <w:i/>
          <w:iCs/>
        </w:rPr>
        <w:t>p</w:t>
      </w:r>
      <w:r w:rsidRPr="00905804">
        <w:rPr>
          <w:rFonts w:ascii="Arial" w:hAnsi="Arial" w:cs="Arial"/>
        </w:rPr>
        <w:t xml:space="preserve"> &lt; 0.001</w:t>
      </w:r>
    </w:p>
    <w:tbl>
      <w:tblPr>
        <w:tblpPr w:leftFromText="180" w:rightFromText="180" w:vertAnchor="page" w:horzAnchor="margin" w:tblpY="4880"/>
        <w:tblW w:w="0" w:type="auto"/>
        <w:tblCellSpacing w:w="15" w:type="dxa"/>
        <w:tblCellMar>
          <w:top w:w="15" w:type="dxa"/>
          <w:left w:w="15" w:type="dxa"/>
          <w:bottom w:w="15" w:type="dxa"/>
          <w:right w:w="15" w:type="dxa"/>
        </w:tblCellMar>
        <w:tblLook w:val="04A0" w:firstRow="1" w:lastRow="0" w:firstColumn="1" w:lastColumn="0" w:noHBand="0" w:noVBand="1"/>
      </w:tblPr>
      <w:tblGrid>
        <w:gridCol w:w="5784"/>
        <w:gridCol w:w="66"/>
        <w:gridCol w:w="66"/>
        <w:gridCol w:w="81"/>
      </w:tblGrid>
      <w:tr w:rsidR="00905804" w:rsidRPr="00905804" w14:paraId="3DE1B648" w14:textId="77777777" w:rsidTr="00DC50D9">
        <w:trPr>
          <w:tblCellSpacing w:w="15" w:type="dxa"/>
        </w:trPr>
        <w:tc>
          <w:tcPr>
            <w:tcW w:w="0" w:type="auto"/>
            <w:vAlign w:val="center"/>
          </w:tcPr>
          <w:p w14:paraId="6B2A7735" w14:textId="5D8C1642" w:rsidR="00DC50D9" w:rsidRPr="00905804" w:rsidRDefault="00DC50D9" w:rsidP="00CA4637">
            <w:pPr>
              <w:jc w:val="both"/>
              <w:rPr>
                <w:rFonts w:ascii="Arial" w:hAnsi="Arial" w:cs="Arial"/>
              </w:rPr>
            </w:pPr>
            <w:r w:rsidRPr="00905804">
              <w:rPr>
                <w:rFonts w:ascii="Arial" w:hAnsi="Arial" w:cs="Arial"/>
              </w:rPr>
              <w:object w:dxaOrig="11868" w:dyaOrig="7080" w14:anchorId="442F7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231pt" o:ole="">
                  <v:imagedata r:id="rId9" o:title=""/>
                </v:shape>
                <o:OLEObject Type="Embed" ProgID="PBrush" ShapeID="_x0000_i1025" DrawAspect="Content" ObjectID="_1834409015" r:id="rId10"/>
              </w:object>
            </w:r>
          </w:p>
        </w:tc>
        <w:tc>
          <w:tcPr>
            <w:tcW w:w="0" w:type="auto"/>
            <w:vAlign w:val="center"/>
          </w:tcPr>
          <w:p w14:paraId="572C2483" w14:textId="77777777" w:rsidR="00DC50D9" w:rsidRPr="00905804" w:rsidRDefault="00DC50D9" w:rsidP="00CA4637">
            <w:pPr>
              <w:jc w:val="both"/>
              <w:rPr>
                <w:rFonts w:ascii="Arial" w:hAnsi="Arial" w:cs="Arial"/>
              </w:rPr>
            </w:pPr>
          </w:p>
        </w:tc>
        <w:tc>
          <w:tcPr>
            <w:tcW w:w="0" w:type="auto"/>
            <w:vAlign w:val="center"/>
          </w:tcPr>
          <w:p w14:paraId="5381A3F5" w14:textId="77777777" w:rsidR="00DC50D9" w:rsidRPr="00905804" w:rsidRDefault="00DC50D9" w:rsidP="00CA4637">
            <w:pPr>
              <w:jc w:val="both"/>
              <w:rPr>
                <w:rFonts w:ascii="Arial" w:hAnsi="Arial" w:cs="Arial"/>
              </w:rPr>
            </w:pPr>
          </w:p>
        </w:tc>
        <w:tc>
          <w:tcPr>
            <w:tcW w:w="0" w:type="auto"/>
            <w:vAlign w:val="center"/>
          </w:tcPr>
          <w:p w14:paraId="2F7BDD33" w14:textId="77777777" w:rsidR="00DC50D9" w:rsidRPr="00905804" w:rsidRDefault="00DC50D9" w:rsidP="00CA4637">
            <w:pPr>
              <w:jc w:val="both"/>
              <w:rPr>
                <w:rFonts w:ascii="Arial" w:hAnsi="Arial" w:cs="Arial"/>
              </w:rPr>
            </w:pPr>
          </w:p>
        </w:tc>
      </w:tr>
      <w:tr w:rsidR="00905804" w:rsidRPr="00905804" w14:paraId="5A9AF85C" w14:textId="77777777" w:rsidTr="00DC50D9">
        <w:trPr>
          <w:tblCellSpacing w:w="15" w:type="dxa"/>
        </w:trPr>
        <w:tc>
          <w:tcPr>
            <w:tcW w:w="0" w:type="auto"/>
            <w:vAlign w:val="center"/>
          </w:tcPr>
          <w:p w14:paraId="171AD04F" w14:textId="77777777" w:rsidR="00DC50D9" w:rsidRPr="00905804" w:rsidRDefault="00DC50D9" w:rsidP="00CA4637">
            <w:pPr>
              <w:jc w:val="both"/>
              <w:rPr>
                <w:rFonts w:ascii="Arial" w:hAnsi="Arial" w:cs="Arial"/>
              </w:rPr>
            </w:pPr>
          </w:p>
        </w:tc>
        <w:tc>
          <w:tcPr>
            <w:tcW w:w="0" w:type="auto"/>
            <w:vAlign w:val="center"/>
          </w:tcPr>
          <w:p w14:paraId="7AB62C9B" w14:textId="77777777" w:rsidR="00DC50D9" w:rsidRPr="00905804" w:rsidRDefault="00DC50D9" w:rsidP="00CA4637">
            <w:pPr>
              <w:jc w:val="both"/>
              <w:rPr>
                <w:rFonts w:ascii="Arial" w:hAnsi="Arial" w:cs="Arial"/>
              </w:rPr>
            </w:pPr>
          </w:p>
        </w:tc>
        <w:tc>
          <w:tcPr>
            <w:tcW w:w="0" w:type="auto"/>
            <w:vAlign w:val="center"/>
          </w:tcPr>
          <w:p w14:paraId="39DA2235" w14:textId="77777777" w:rsidR="00DC50D9" w:rsidRPr="00905804" w:rsidRDefault="00DC50D9" w:rsidP="00CA4637">
            <w:pPr>
              <w:jc w:val="both"/>
              <w:rPr>
                <w:rFonts w:ascii="Arial" w:hAnsi="Arial" w:cs="Arial"/>
              </w:rPr>
            </w:pPr>
          </w:p>
        </w:tc>
        <w:tc>
          <w:tcPr>
            <w:tcW w:w="0" w:type="auto"/>
            <w:vAlign w:val="center"/>
          </w:tcPr>
          <w:p w14:paraId="005F1450" w14:textId="77777777" w:rsidR="00DC50D9" w:rsidRPr="00905804" w:rsidRDefault="00DC50D9" w:rsidP="00CA4637">
            <w:pPr>
              <w:jc w:val="both"/>
              <w:rPr>
                <w:rFonts w:ascii="Arial" w:hAnsi="Arial" w:cs="Arial"/>
              </w:rPr>
            </w:pPr>
          </w:p>
        </w:tc>
      </w:tr>
    </w:tbl>
    <w:p w14:paraId="3EE4E0F6"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1F5888D4"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5A5087AE"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583CBA40"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2D9AF163"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0E532458"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487FDD2C"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09060889" w14:textId="77777777" w:rsidR="00DC50D9" w:rsidRPr="00905804" w:rsidRDefault="00DC50D9" w:rsidP="00CA4637">
      <w:pPr>
        <w:spacing w:before="100" w:beforeAutospacing="1" w:after="100" w:afterAutospacing="1" w:line="240" w:lineRule="auto"/>
        <w:jc w:val="both"/>
        <w:outlineLvl w:val="2"/>
        <w:rPr>
          <w:rFonts w:ascii="Arial" w:hAnsi="Arial" w:cs="Arial"/>
          <w:b/>
          <w:bCs/>
        </w:rPr>
      </w:pPr>
    </w:p>
    <w:p w14:paraId="3AB02C0E" w14:textId="77777777" w:rsidR="00CA4637" w:rsidRPr="00905804" w:rsidRDefault="00CA4637" w:rsidP="00CA4637">
      <w:pPr>
        <w:spacing w:before="100" w:beforeAutospacing="1" w:after="100" w:afterAutospacing="1" w:line="240" w:lineRule="auto"/>
        <w:jc w:val="both"/>
        <w:outlineLvl w:val="2"/>
        <w:rPr>
          <w:rFonts w:ascii="Arial" w:hAnsi="Arial" w:cs="Arial"/>
          <w:b/>
          <w:bCs/>
        </w:rPr>
      </w:pPr>
    </w:p>
    <w:p w14:paraId="1F087AE7" w14:textId="77777777" w:rsidR="00CA4637" w:rsidRPr="00905804" w:rsidRDefault="00CA4637" w:rsidP="00CA4637">
      <w:pPr>
        <w:spacing w:before="100" w:beforeAutospacing="1" w:after="100" w:afterAutospacing="1" w:line="240" w:lineRule="auto"/>
        <w:jc w:val="both"/>
        <w:outlineLvl w:val="2"/>
        <w:rPr>
          <w:rFonts w:ascii="Arial" w:hAnsi="Arial" w:cs="Arial"/>
          <w:b/>
          <w:bCs/>
        </w:rPr>
      </w:pPr>
    </w:p>
    <w:p w14:paraId="2A3F6682" w14:textId="77777777" w:rsidR="00CA4637" w:rsidRPr="00905804" w:rsidRDefault="00CA4637" w:rsidP="00CA4637">
      <w:pPr>
        <w:spacing w:before="100" w:beforeAutospacing="1" w:after="100" w:afterAutospacing="1" w:line="240" w:lineRule="auto"/>
        <w:jc w:val="both"/>
        <w:outlineLvl w:val="2"/>
        <w:rPr>
          <w:rFonts w:ascii="Arial" w:hAnsi="Arial" w:cs="Arial"/>
          <w:b/>
          <w:bCs/>
        </w:rPr>
      </w:pPr>
    </w:p>
    <w:p w14:paraId="52E69E5C" w14:textId="77777777" w:rsidR="00CA4637" w:rsidRPr="00905804" w:rsidRDefault="00CA4637" w:rsidP="00CA4637">
      <w:pPr>
        <w:spacing w:before="100" w:beforeAutospacing="1" w:after="100" w:afterAutospacing="1" w:line="240" w:lineRule="auto"/>
        <w:jc w:val="both"/>
        <w:outlineLvl w:val="2"/>
        <w:rPr>
          <w:rFonts w:ascii="Arial" w:hAnsi="Arial" w:cs="Arial"/>
          <w:b/>
          <w:bCs/>
        </w:rPr>
      </w:pPr>
    </w:p>
    <w:p w14:paraId="5E240314" w14:textId="5D4C4B03" w:rsidR="00FE2077" w:rsidRPr="00905804" w:rsidRDefault="00385DC8" w:rsidP="00CA4637">
      <w:pPr>
        <w:spacing w:before="100" w:beforeAutospacing="1" w:after="100" w:afterAutospacing="1" w:line="240" w:lineRule="auto"/>
        <w:jc w:val="both"/>
        <w:outlineLvl w:val="2"/>
        <w:rPr>
          <w:rFonts w:ascii="Arial" w:hAnsi="Arial" w:cs="Arial"/>
          <w:b/>
          <w:bCs/>
        </w:rPr>
      </w:pPr>
      <w:r w:rsidRPr="00905804">
        <w:rPr>
          <w:rFonts w:ascii="Arial" w:hAnsi="Arial" w:cs="Arial"/>
          <w:b/>
          <w:bCs/>
        </w:rPr>
        <w:t>Discussion</w:t>
      </w:r>
    </w:p>
    <w:p w14:paraId="1EC26EEB" w14:textId="77777777" w:rsidR="00FE2077" w:rsidRPr="00905804" w:rsidRDefault="00385DC8" w:rsidP="00CA4637">
      <w:pPr>
        <w:spacing w:before="100" w:beforeAutospacing="1" w:after="100" w:afterAutospacing="1" w:line="240" w:lineRule="auto"/>
        <w:jc w:val="both"/>
        <w:outlineLvl w:val="2"/>
        <w:rPr>
          <w:rFonts w:ascii="Arial" w:hAnsi="Arial" w:cs="Arial"/>
        </w:rPr>
      </w:pPr>
      <w:r w:rsidRPr="00905804">
        <w:rPr>
          <w:rFonts w:ascii="Arial" w:hAnsi="Arial" w:cs="Arial"/>
        </w:rPr>
        <w:t>The total heterotrophic bacterial counts (THBC) recorded in this study, ranging from 1.5 × 10⁷ to 6.1 × 10⁷ CFU/g, substantially exceed internationally recommended limits for raw edible offal, indicating poor microbiological quality. According to the European Food Safety Authority, high total viable counts in meat and offal products are reflective of inadequate hygiene during slaughtering, processing, and retail handling, and are strongly associated with increased risk of foodborne illness (EFSA, 2008). Similar findings have been reported in studies of edible offal and raw meat products in Nigeria and other low</w:t>
      </w:r>
      <w:r w:rsidR="00DC50D9" w:rsidRPr="00905804">
        <w:rPr>
          <w:rFonts w:ascii="Arial" w:hAnsi="Arial" w:cs="Arial"/>
        </w:rPr>
        <w:t xml:space="preserve"> </w:t>
      </w:r>
      <w:r w:rsidRPr="00905804">
        <w:rPr>
          <w:rFonts w:ascii="Arial" w:hAnsi="Arial" w:cs="Arial"/>
        </w:rPr>
        <w:t>and middle-income countries, where microbial loads above acceptable thresholds were linked to poor sanitation, lack of potable water, and extensive manual handling (Okorie-</w:t>
      </w:r>
      <w:proofErr w:type="spellStart"/>
      <w:r w:rsidRPr="00905804">
        <w:rPr>
          <w:rFonts w:ascii="Arial" w:hAnsi="Arial" w:cs="Arial"/>
        </w:rPr>
        <w:t>Kanu</w:t>
      </w:r>
      <w:proofErr w:type="spellEnd"/>
      <w:r w:rsidRPr="00905804">
        <w:rPr>
          <w:rFonts w:ascii="Arial" w:hAnsi="Arial" w:cs="Arial"/>
        </w:rPr>
        <w:t xml:space="preserve"> et al., 2016; </w:t>
      </w:r>
      <w:proofErr w:type="spellStart"/>
      <w:r w:rsidRPr="00905804">
        <w:rPr>
          <w:rFonts w:ascii="Arial" w:hAnsi="Arial" w:cs="Arial"/>
        </w:rPr>
        <w:t>Fasanmi</w:t>
      </w:r>
      <w:proofErr w:type="spellEnd"/>
      <w:r w:rsidRPr="00905804">
        <w:rPr>
          <w:rFonts w:ascii="Arial" w:hAnsi="Arial" w:cs="Arial"/>
        </w:rPr>
        <w:t xml:space="preserve"> et al., 2018).</w:t>
      </w:r>
      <w:r w:rsidR="00FE2077" w:rsidRPr="00905804">
        <w:rPr>
          <w:rFonts w:ascii="Arial" w:hAnsi="Arial" w:cs="Arial"/>
          <w:b/>
          <w:bCs/>
        </w:rPr>
        <w:t xml:space="preserve"> </w:t>
      </w:r>
      <w:r w:rsidRPr="00905804">
        <w:rPr>
          <w:rFonts w:ascii="Arial" w:hAnsi="Arial" w:cs="Arial"/>
        </w:rPr>
        <w:t xml:space="preserve">The variability in THBC observed across the twelve markets likely reflects differences in infrastructure, environmental sanitation, and adherence to hygienic practices. Prolonged exposure of intestines to ambient temperatures, repeated washing in contaminated water, and the use of unhygienic processing surfaces have been identified as critical contributors to microbial proliferation in similar market settings (Grace et al., 2012). Given that cow intestines are frequently subjected to minimal or inconsistent </w:t>
      </w:r>
      <w:r w:rsidRPr="00905804">
        <w:rPr>
          <w:rFonts w:ascii="Arial" w:hAnsi="Arial" w:cs="Arial"/>
        </w:rPr>
        <w:lastRenderedPageBreak/>
        <w:t>cooking prior to consumption, the high microbial loads observed in this study represent a significant public health concern.</w:t>
      </w:r>
    </w:p>
    <w:p w14:paraId="71094EC2" w14:textId="77777777" w:rsidR="005A1EFC" w:rsidRPr="005A1EFC" w:rsidRDefault="005A1EFC" w:rsidP="005A1EFC">
      <w:pPr>
        <w:spacing w:before="100" w:beforeAutospacing="1" w:after="100" w:afterAutospacing="1" w:line="240" w:lineRule="auto"/>
        <w:jc w:val="both"/>
        <w:outlineLvl w:val="2"/>
        <w:rPr>
          <w:rFonts w:ascii="Arial" w:hAnsi="Arial" w:cs="Arial"/>
        </w:rPr>
      </w:pPr>
      <w:r w:rsidRPr="005A1EFC">
        <w:rPr>
          <w:rFonts w:ascii="Arial" w:hAnsi="Arial" w:cs="Arial"/>
        </w:rPr>
        <w:t xml:space="preserve">The recovery of </w:t>
      </w:r>
      <w:r w:rsidRPr="005A1EFC">
        <w:rPr>
          <w:rFonts w:ascii="Arial" w:hAnsi="Arial" w:cs="Arial"/>
          <w:i/>
          <w:iCs/>
        </w:rPr>
        <w:t>S. enterica</w:t>
      </w:r>
      <w:r w:rsidRPr="005A1EFC">
        <w:rPr>
          <w:rFonts w:ascii="Arial" w:hAnsi="Arial" w:cs="Arial"/>
        </w:rPr>
        <w:t xml:space="preserve"> from 95.5% of cow intestine samples indicates extensive contamination and underscores the role of intestinal meat products as major reservoirs of enteric pathogens. This prevalence is considerably higher than values reported for other raw meat products in Nigeria, where </w:t>
      </w:r>
      <w:r w:rsidRPr="005A1EFC">
        <w:rPr>
          <w:rFonts w:ascii="Arial" w:hAnsi="Arial" w:cs="Arial"/>
          <w:i/>
          <w:iCs/>
        </w:rPr>
        <w:t>Salmonella</w:t>
      </w:r>
      <w:r w:rsidRPr="005A1EFC">
        <w:rPr>
          <w:rFonts w:ascii="Arial" w:hAnsi="Arial" w:cs="Arial"/>
        </w:rPr>
        <w:t xml:space="preserve"> prevalence typically ranges from 10% to 35% depending on the meat type and sampling location (Okorie-</w:t>
      </w:r>
      <w:proofErr w:type="spellStart"/>
      <w:r w:rsidRPr="005A1EFC">
        <w:rPr>
          <w:rFonts w:ascii="Arial" w:hAnsi="Arial" w:cs="Arial"/>
        </w:rPr>
        <w:t>Kanu</w:t>
      </w:r>
      <w:proofErr w:type="spellEnd"/>
      <w:r w:rsidRPr="005A1EFC">
        <w:rPr>
          <w:rFonts w:ascii="Arial" w:hAnsi="Arial" w:cs="Arial"/>
        </w:rPr>
        <w:t xml:space="preserve"> et al., 2016; Jibril et al., 2021). The markedly higher prevalence observed in the present study may be attributed to the anatomical nature of intestines, which are inherently exposed to fecal material during slaughter and evisceration, increasing the likelihood of contamination if hygienic controls are inadequate.</w:t>
      </w:r>
    </w:p>
    <w:p w14:paraId="0D1F6F47" w14:textId="4D8FCE34" w:rsidR="005A1EFC" w:rsidRPr="005A1EFC" w:rsidRDefault="005A1EFC" w:rsidP="005A1EFC">
      <w:pPr>
        <w:spacing w:before="100" w:beforeAutospacing="1" w:after="100" w:afterAutospacing="1" w:line="240" w:lineRule="auto"/>
        <w:jc w:val="both"/>
        <w:outlineLvl w:val="2"/>
        <w:rPr>
          <w:rFonts w:ascii="Arial" w:hAnsi="Arial" w:cs="Arial"/>
        </w:rPr>
      </w:pPr>
      <w:r w:rsidRPr="005A1EFC">
        <w:rPr>
          <w:rFonts w:ascii="Arial" w:hAnsi="Arial" w:cs="Arial"/>
        </w:rPr>
        <w:t xml:space="preserve">In addition, the exceptionally high prevalence (95.5%) may also reflect significant cross-contamination occurring along the processing and distribution chain. During slaughter, intestinal rupture or improper evisceration can lead to leakage of fecal contents, contaminating carcasses, processing tables, knives, water sources, and handlers’ hands. Once introduced into the processing environment, </w:t>
      </w:r>
      <w:r w:rsidRPr="005A1EFC">
        <w:rPr>
          <w:rFonts w:ascii="Arial" w:hAnsi="Arial" w:cs="Arial"/>
          <w:i/>
          <w:iCs/>
        </w:rPr>
        <w:t>Salmonella</w:t>
      </w:r>
      <w:r w:rsidRPr="005A1EFC">
        <w:rPr>
          <w:rFonts w:ascii="Arial" w:hAnsi="Arial" w:cs="Arial"/>
        </w:rPr>
        <w:t xml:space="preserve"> can persist on equipment surfaces and form biofilms, facilitating repeated transfer to subsequent batches of meat products. In open-market settings, the proximity of displayed products, the reuse of contaminated wash water, and inadequate sanitation of cutting implements further increase the risk of horizontal transfer between samples. Such cumulative cross-contamination events may substantially elevate apparent prevalence, particularly in the absence of strict hygienic segregation.</w:t>
      </w:r>
    </w:p>
    <w:p w14:paraId="09FCA195" w14:textId="77777777" w:rsidR="005A1EFC" w:rsidRPr="005A1EFC" w:rsidRDefault="005A1EFC" w:rsidP="005A1EFC">
      <w:pPr>
        <w:spacing w:before="100" w:beforeAutospacing="1" w:after="100" w:afterAutospacing="1" w:line="240" w:lineRule="auto"/>
        <w:jc w:val="both"/>
        <w:outlineLvl w:val="2"/>
        <w:rPr>
          <w:rFonts w:ascii="Arial" w:hAnsi="Arial" w:cs="Arial"/>
        </w:rPr>
      </w:pPr>
      <w:r w:rsidRPr="005A1EFC">
        <w:rPr>
          <w:rFonts w:ascii="Arial" w:hAnsi="Arial" w:cs="Arial"/>
        </w:rPr>
        <w:t xml:space="preserve">It is also important to consider methodological factors that may have contributed to the high detection rate. The use of standardized selective enrichment procedures, consistent with ISO protocols, enhances recovery of low-level or stressed </w:t>
      </w:r>
      <w:r w:rsidRPr="005A1EFC">
        <w:rPr>
          <w:rFonts w:ascii="Arial" w:hAnsi="Arial" w:cs="Arial"/>
          <w:i/>
          <w:iCs/>
        </w:rPr>
        <w:t>Salmonella</w:t>
      </w:r>
      <w:r w:rsidRPr="005A1EFC">
        <w:rPr>
          <w:rFonts w:ascii="Arial" w:hAnsi="Arial" w:cs="Arial"/>
        </w:rPr>
        <w:t xml:space="preserve"> cells that might otherwise remain undetected. Enrichment broths are designed to resuscitate sub-lethally injured organisms and suppress competing flora, thereby increasing analytical sensitivity. While this strengthens the reliability of detection, it may yield higher prevalence estimates compared to direct plating methods used in some previous studies. Therefore, the near-universal recovery observed in this study likely reflects a combination of true widespread contamination and the high sensitivity of the applied isolation protocol.</w:t>
      </w:r>
    </w:p>
    <w:p w14:paraId="3BCF79BE" w14:textId="77777777" w:rsidR="005A1EFC" w:rsidRPr="005A1EFC" w:rsidRDefault="005A1EFC" w:rsidP="005A1EFC">
      <w:pPr>
        <w:spacing w:before="100" w:beforeAutospacing="1" w:after="100" w:afterAutospacing="1" w:line="240" w:lineRule="auto"/>
        <w:jc w:val="both"/>
        <w:outlineLvl w:val="2"/>
        <w:rPr>
          <w:rFonts w:ascii="Arial" w:hAnsi="Arial" w:cs="Arial"/>
        </w:rPr>
      </w:pPr>
      <w:r w:rsidRPr="005A1EFC">
        <w:rPr>
          <w:rFonts w:ascii="Arial" w:hAnsi="Arial" w:cs="Arial"/>
        </w:rPr>
        <w:t xml:space="preserve">The detection of </w:t>
      </w:r>
      <w:r w:rsidRPr="005A1EFC">
        <w:rPr>
          <w:rFonts w:ascii="Arial" w:hAnsi="Arial" w:cs="Arial"/>
          <w:i/>
          <w:iCs/>
        </w:rPr>
        <w:t>S. enterica</w:t>
      </w:r>
      <w:r w:rsidRPr="005A1EFC">
        <w:rPr>
          <w:rFonts w:ascii="Arial" w:hAnsi="Arial" w:cs="Arial"/>
        </w:rPr>
        <w:t xml:space="preserve"> across all sampled markets suggests that contamination likely occurs early in the production chain, particularly at the abattoir level, and is subsequently amplified by unhygienic handling during transportation and retail. Similar conclusions have been drawn in studies from other developing countries, where poor slaughter hygiene and lack of Hazard Analysis and Critical Control Point (HACCP) implementation were identified as major drivers of </w:t>
      </w:r>
      <w:r w:rsidRPr="005A1EFC">
        <w:rPr>
          <w:rFonts w:ascii="Arial" w:hAnsi="Arial" w:cs="Arial"/>
          <w:i/>
          <w:iCs/>
        </w:rPr>
        <w:t>Salmonella</w:t>
      </w:r>
      <w:r w:rsidRPr="005A1EFC">
        <w:rPr>
          <w:rFonts w:ascii="Arial" w:hAnsi="Arial" w:cs="Arial"/>
        </w:rPr>
        <w:t xml:space="preserve"> contamination in edible offal (</w:t>
      </w:r>
      <w:proofErr w:type="spellStart"/>
      <w:r w:rsidRPr="005A1EFC">
        <w:rPr>
          <w:rFonts w:ascii="Arial" w:hAnsi="Arial" w:cs="Arial"/>
        </w:rPr>
        <w:t>Bintsis</w:t>
      </w:r>
      <w:proofErr w:type="spellEnd"/>
      <w:r w:rsidRPr="005A1EFC">
        <w:rPr>
          <w:rFonts w:ascii="Arial" w:hAnsi="Arial" w:cs="Arial"/>
        </w:rPr>
        <w:t xml:space="preserve">, 2017). The observed association between higher THBC and increased </w:t>
      </w:r>
      <w:r w:rsidRPr="005A1EFC">
        <w:rPr>
          <w:rFonts w:ascii="Arial" w:hAnsi="Arial" w:cs="Arial"/>
          <w:i/>
          <w:iCs/>
        </w:rPr>
        <w:t>Salmonella</w:t>
      </w:r>
      <w:r w:rsidRPr="005A1EFC">
        <w:rPr>
          <w:rFonts w:ascii="Arial" w:hAnsi="Arial" w:cs="Arial"/>
        </w:rPr>
        <w:t xml:space="preserve"> recovery further supports the role of poor general hygiene in facilitating pathogen persistence and cross-transfer within the retail environment.</w:t>
      </w:r>
    </w:p>
    <w:p w14:paraId="5C5AB93F" w14:textId="09AF0E7C" w:rsidR="00E24689" w:rsidRPr="00905804" w:rsidRDefault="00E24689" w:rsidP="00CA4637">
      <w:pPr>
        <w:spacing w:before="100" w:beforeAutospacing="1" w:after="100" w:afterAutospacing="1" w:line="240" w:lineRule="auto"/>
        <w:jc w:val="both"/>
        <w:outlineLvl w:val="2"/>
        <w:rPr>
          <w:rFonts w:ascii="Arial" w:hAnsi="Arial" w:cs="Arial"/>
        </w:rPr>
      </w:pPr>
      <w:r w:rsidRPr="00905804">
        <w:rPr>
          <w:rFonts w:ascii="Arial" w:hAnsi="Arial" w:cs="Arial"/>
        </w:rPr>
        <w:lastRenderedPageBreak/>
        <w:t xml:space="preserve">A key finding of this study is the high prevalence of Nalidixic acid resistance (68.1%) among </w:t>
      </w:r>
      <w:r w:rsidRPr="00905804">
        <w:rPr>
          <w:rFonts w:ascii="Arial" w:hAnsi="Arial" w:cs="Arial"/>
          <w:i/>
          <w:iCs/>
        </w:rPr>
        <w:t>S. enterica</w:t>
      </w:r>
      <w:r w:rsidRPr="00905804">
        <w:rPr>
          <w:rFonts w:ascii="Arial" w:hAnsi="Arial" w:cs="Arial"/>
        </w:rPr>
        <w:t xml:space="preserve"> isolates, occurring alongside relatively high susceptibility to fluoroquinolones, including </w:t>
      </w:r>
      <w:r w:rsidR="00D878E0" w:rsidRPr="00905804">
        <w:rPr>
          <w:rFonts w:ascii="Arial" w:hAnsi="Arial" w:cs="Arial"/>
        </w:rPr>
        <w:t>C</w:t>
      </w:r>
      <w:r w:rsidRPr="00905804">
        <w:rPr>
          <w:rFonts w:ascii="Arial" w:hAnsi="Arial" w:cs="Arial"/>
        </w:rPr>
        <w:t xml:space="preserve">iprofloxacin (92.6%), </w:t>
      </w:r>
      <w:r w:rsidR="00D878E0" w:rsidRPr="00905804">
        <w:rPr>
          <w:rFonts w:ascii="Arial" w:hAnsi="Arial" w:cs="Arial"/>
        </w:rPr>
        <w:t>L</w:t>
      </w:r>
      <w:r w:rsidRPr="00905804">
        <w:rPr>
          <w:rFonts w:ascii="Arial" w:hAnsi="Arial" w:cs="Arial"/>
        </w:rPr>
        <w:t xml:space="preserve">evofloxacin (88.2%), and </w:t>
      </w:r>
      <w:r w:rsidR="00D878E0" w:rsidRPr="00905804">
        <w:rPr>
          <w:rFonts w:ascii="Arial" w:hAnsi="Arial" w:cs="Arial"/>
        </w:rPr>
        <w:t>O</w:t>
      </w:r>
      <w:r w:rsidRPr="00905804">
        <w:rPr>
          <w:rFonts w:ascii="Arial" w:hAnsi="Arial" w:cs="Arial"/>
        </w:rPr>
        <w:t xml:space="preserve">floxacin (85.6%). Nalidixic acid resistance is widely </w:t>
      </w:r>
      <w:proofErr w:type="spellStart"/>
      <w:r w:rsidRPr="00905804">
        <w:rPr>
          <w:rFonts w:ascii="Arial" w:hAnsi="Arial" w:cs="Arial"/>
        </w:rPr>
        <w:t>recognised</w:t>
      </w:r>
      <w:proofErr w:type="spellEnd"/>
      <w:r w:rsidRPr="00905804">
        <w:rPr>
          <w:rFonts w:ascii="Arial" w:hAnsi="Arial" w:cs="Arial"/>
        </w:rPr>
        <w:t xml:space="preserve"> as a phenotypic marker of early quinolone resistance and is commonly associated with mutations in the quinolone resistance-determining regions of </w:t>
      </w:r>
      <w:proofErr w:type="spellStart"/>
      <w:r w:rsidRPr="00905804">
        <w:rPr>
          <w:rFonts w:ascii="Arial" w:hAnsi="Arial" w:cs="Arial"/>
        </w:rPr>
        <w:t>gyrA</w:t>
      </w:r>
      <w:proofErr w:type="spellEnd"/>
      <w:r w:rsidRPr="00905804">
        <w:rPr>
          <w:rFonts w:ascii="Arial" w:hAnsi="Arial" w:cs="Arial"/>
        </w:rPr>
        <w:t xml:space="preserve"> and </w:t>
      </w:r>
      <w:proofErr w:type="spellStart"/>
      <w:r w:rsidRPr="00905804">
        <w:rPr>
          <w:rFonts w:ascii="Arial" w:hAnsi="Arial" w:cs="Arial"/>
        </w:rPr>
        <w:t>parC</w:t>
      </w:r>
      <w:proofErr w:type="spellEnd"/>
      <w:r w:rsidRPr="00905804">
        <w:rPr>
          <w:rFonts w:ascii="Arial" w:hAnsi="Arial" w:cs="Arial"/>
        </w:rPr>
        <w:t xml:space="preserve"> genes or plasmid-mediated quinolone resistance mechanisms (Cavaco &amp; </w:t>
      </w:r>
      <w:proofErr w:type="spellStart"/>
      <w:r w:rsidRPr="00905804">
        <w:rPr>
          <w:rFonts w:ascii="Arial" w:hAnsi="Arial" w:cs="Arial"/>
        </w:rPr>
        <w:t>Aarestrup</w:t>
      </w:r>
      <w:proofErr w:type="spellEnd"/>
      <w:r w:rsidRPr="00905804">
        <w:rPr>
          <w:rFonts w:ascii="Arial" w:hAnsi="Arial" w:cs="Arial"/>
        </w:rPr>
        <w:t>, 2009; Kim et al., 2011; Redgrave et al., 2014).</w:t>
      </w:r>
      <w:r w:rsidR="00CA4637" w:rsidRPr="00905804">
        <w:rPr>
          <w:rFonts w:ascii="Arial" w:hAnsi="Arial" w:cs="Arial"/>
        </w:rPr>
        <w:t xml:space="preserve"> </w:t>
      </w:r>
      <w:r w:rsidRPr="00905804">
        <w:rPr>
          <w:rFonts w:ascii="Arial" w:hAnsi="Arial" w:cs="Arial"/>
        </w:rPr>
        <w:t xml:space="preserve">Similar resistance patterns have been reported in foodborne </w:t>
      </w:r>
      <w:r w:rsidRPr="00905804">
        <w:rPr>
          <w:rFonts w:ascii="Arial" w:hAnsi="Arial" w:cs="Arial"/>
          <w:i/>
          <w:iCs/>
        </w:rPr>
        <w:t>Salmonella</w:t>
      </w:r>
      <w:r w:rsidRPr="00905804">
        <w:rPr>
          <w:rFonts w:ascii="Arial" w:hAnsi="Arial" w:cs="Arial"/>
        </w:rPr>
        <w:t xml:space="preserve"> isolates from livestock and retail meats globally, where </w:t>
      </w:r>
      <w:r w:rsidR="00D878E0" w:rsidRPr="00905804">
        <w:rPr>
          <w:rFonts w:ascii="Arial" w:hAnsi="Arial" w:cs="Arial"/>
        </w:rPr>
        <w:t>N</w:t>
      </w:r>
      <w:r w:rsidRPr="00905804">
        <w:rPr>
          <w:rFonts w:ascii="Arial" w:hAnsi="Arial" w:cs="Arial"/>
        </w:rPr>
        <w:t xml:space="preserve">alidixic acid resistance precedes clinically apparent fluoroquinolone resistance (Jibril et al., 2021; </w:t>
      </w:r>
      <w:proofErr w:type="spellStart"/>
      <w:r w:rsidRPr="00905804">
        <w:rPr>
          <w:rFonts w:ascii="Arial" w:hAnsi="Arial" w:cs="Arial"/>
        </w:rPr>
        <w:t>Rincón</w:t>
      </w:r>
      <w:proofErr w:type="spellEnd"/>
      <w:r w:rsidRPr="00905804">
        <w:rPr>
          <w:rFonts w:ascii="Arial" w:hAnsi="Arial" w:cs="Arial"/>
        </w:rPr>
        <w:t xml:space="preserve"> </w:t>
      </w:r>
      <w:proofErr w:type="spellStart"/>
      <w:r w:rsidRPr="00905804">
        <w:rPr>
          <w:rFonts w:ascii="Arial" w:hAnsi="Arial" w:cs="Arial"/>
        </w:rPr>
        <w:t>Gamboa</w:t>
      </w:r>
      <w:proofErr w:type="spellEnd"/>
      <w:r w:rsidRPr="00905804">
        <w:rPr>
          <w:rFonts w:ascii="Arial" w:hAnsi="Arial" w:cs="Arial"/>
        </w:rPr>
        <w:t xml:space="preserve"> et al., 2021; Yin et al., 2022). The continued circulation of such strains within informal meat supply chains presents a silent but growing threat to public health.</w:t>
      </w:r>
    </w:p>
    <w:p w14:paraId="5B911DA6" w14:textId="7CAD415C" w:rsidR="00385DC8" w:rsidRPr="00905804" w:rsidRDefault="00385DC8" w:rsidP="00CA4637">
      <w:pPr>
        <w:spacing w:before="100" w:beforeAutospacing="1" w:after="100" w:afterAutospacing="1" w:line="240" w:lineRule="auto"/>
        <w:jc w:val="both"/>
        <w:outlineLvl w:val="2"/>
        <w:rPr>
          <w:rFonts w:ascii="Arial" w:hAnsi="Arial" w:cs="Arial"/>
        </w:rPr>
      </w:pPr>
      <w:r w:rsidRPr="00905804">
        <w:rPr>
          <w:rFonts w:ascii="Arial" w:hAnsi="Arial" w:cs="Arial"/>
        </w:rPr>
        <w:t xml:space="preserve">Nalidixic acid resistance remains a valuable and practical screening marker for detecting reduced fluoroquinolone susceptibility in </w:t>
      </w:r>
      <w:r w:rsidRPr="00905804">
        <w:rPr>
          <w:rFonts w:ascii="Arial" w:hAnsi="Arial" w:cs="Arial"/>
          <w:i/>
          <w:iCs/>
        </w:rPr>
        <w:t>S</w:t>
      </w:r>
      <w:r w:rsidR="00CA4637" w:rsidRPr="00905804">
        <w:rPr>
          <w:rFonts w:ascii="Arial" w:hAnsi="Arial" w:cs="Arial"/>
          <w:i/>
          <w:iCs/>
        </w:rPr>
        <w:t xml:space="preserve">. </w:t>
      </w:r>
      <w:r w:rsidRPr="00905804">
        <w:rPr>
          <w:rFonts w:ascii="Arial" w:hAnsi="Arial" w:cs="Arial"/>
          <w:i/>
          <w:iCs/>
        </w:rPr>
        <w:t>enterica</w:t>
      </w:r>
      <w:r w:rsidRPr="00905804">
        <w:rPr>
          <w:rFonts w:ascii="Arial" w:hAnsi="Arial" w:cs="Arial"/>
        </w:rPr>
        <w:t xml:space="preserve">, particularly in resource-limited settings. Several studies have demonstrated that isolates resistant to </w:t>
      </w:r>
      <w:r w:rsidR="00CA4637" w:rsidRPr="00905804">
        <w:rPr>
          <w:rFonts w:ascii="Arial" w:hAnsi="Arial" w:cs="Arial"/>
        </w:rPr>
        <w:t>N</w:t>
      </w:r>
      <w:r w:rsidRPr="00905804">
        <w:rPr>
          <w:rFonts w:ascii="Arial" w:hAnsi="Arial" w:cs="Arial"/>
        </w:rPr>
        <w:t xml:space="preserve">alidixic acid but classified as </w:t>
      </w:r>
      <w:r w:rsidR="00CA4637" w:rsidRPr="00905804">
        <w:rPr>
          <w:rFonts w:ascii="Arial" w:hAnsi="Arial" w:cs="Arial"/>
        </w:rPr>
        <w:t>C</w:t>
      </w:r>
      <w:r w:rsidRPr="00905804">
        <w:rPr>
          <w:rFonts w:ascii="Arial" w:hAnsi="Arial" w:cs="Arial"/>
        </w:rPr>
        <w:t xml:space="preserve">iprofloxacin-susceptible by conventional disk diffusion methods may still exhibit reduced clinical responsiveness to fluoroquinolone therapy (Crump et al., 2015; Kim et al., 2011). The use of </w:t>
      </w:r>
      <w:r w:rsidR="00CA4637" w:rsidRPr="00905804">
        <w:rPr>
          <w:rFonts w:ascii="Arial" w:hAnsi="Arial" w:cs="Arial"/>
        </w:rPr>
        <w:t>N</w:t>
      </w:r>
      <w:r w:rsidRPr="00905804">
        <w:rPr>
          <w:rFonts w:ascii="Arial" w:hAnsi="Arial" w:cs="Arial"/>
        </w:rPr>
        <w:t xml:space="preserve">alidixic acid in conjunction with </w:t>
      </w:r>
      <w:r w:rsidR="00CA4637" w:rsidRPr="00905804">
        <w:rPr>
          <w:rFonts w:ascii="Arial" w:hAnsi="Arial" w:cs="Arial"/>
        </w:rPr>
        <w:t>C</w:t>
      </w:r>
      <w:r w:rsidRPr="00905804">
        <w:rPr>
          <w:rFonts w:ascii="Arial" w:hAnsi="Arial" w:cs="Arial"/>
        </w:rPr>
        <w:t>iprofloxacin susceptibility testing therefore enhances the detection of early resistance phenotypes and supports more effective antimicrobial resistance surveillance.</w:t>
      </w:r>
    </w:p>
    <w:p w14:paraId="4E03C4DB" w14:textId="77777777" w:rsidR="00CA4637" w:rsidRPr="00905804" w:rsidRDefault="00385DC8" w:rsidP="00CA4637">
      <w:pPr>
        <w:spacing w:before="100" w:beforeAutospacing="1" w:after="100" w:afterAutospacing="1" w:line="240" w:lineRule="auto"/>
        <w:jc w:val="both"/>
        <w:outlineLvl w:val="2"/>
        <w:rPr>
          <w:rFonts w:ascii="Arial" w:hAnsi="Arial" w:cs="Arial"/>
        </w:rPr>
      </w:pPr>
      <w:r w:rsidRPr="00905804">
        <w:rPr>
          <w:rFonts w:ascii="Arial" w:hAnsi="Arial" w:cs="Arial"/>
        </w:rPr>
        <w:t>The reliance on phenotypic methods in this study reflects common diagnostic practices in many low-resource laboratories. While molecular characterization provides deeper insight into resistance mechanisms, phenotypic surveillance remains essential for routine monitoring and early warning of emerging resistance trends in foodborne pathogens.</w:t>
      </w:r>
    </w:p>
    <w:p w14:paraId="3516A00F" w14:textId="70786587" w:rsidR="00385DC8" w:rsidRPr="00905804" w:rsidRDefault="00385DC8" w:rsidP="00CA4637">
      <w:pPr>
        <w:spacing w:before="100" w:beforeAutospacing="1" w:after="100" w:afterAutospacing="1" w:line="240" w:lineRule="auto"/>
        <w:jc w:val="both"/>
        <w:outlineLvl w:val="2"/>
        <w:rPr>
          <w:rFonts w:ascii="Arial" w:hAnsi="Arial" w:cs="Arial"/>
        </w:rPr>
      </w:pPr>
      <w:r w:rsidRPr="00905804">
        <w:rPr>
          <w:rFonts w:ascii="Arial" w:hAnsi="Arial" w:cs="Arial"/>
        </w:rPr>
        <w:t xml:space="preserve">The combination of high microbial loads, widespread </w:t>
      </w:r>
      <w:r w:rsidRPr="00905804">
        <w:rPr>
          <w:rFonts w:ascii="Arial" w:hAnsi="Arial" w:cs="Arial"/>
          <w:i/>
          <w:iCs/>
        </w:rPr>
        <w:t>S. enterica</w:t>
      </w:r>
      <w:r w:rsidRPr="00905804">
        <w:rPr>
          <w:rFonts w:ascii="Arial" w:hAnsi="Arial" w:cs="Arial"/>
        </w:rPr>
        <w:t xml:space="preserve"> contamination, and early phenotypic quinolone resistance presents a substantial food safety challenge. Cow intestines sold in informal markets may serve as vehicles for both foodborne infection and the dissemination of antimicrobial-resistant bacteria along the food chain. These findings reinforce the need to view antimicrobial resistance as a One Health issue, linking human health, animal production, and environmental contamination (Robinson et al., 2016).</w:t>
      </w:r>
      <w:r w:rsidR="00CA4637" w:rsidRPr="00905804">
        <w:rPr>
          <w:rFonts w:ascii="Arial" w:hAnsi="Arial" w:cs="Arial"/>
        </w:rPr>
        <w:t xml:space="preserve"> </w:t>
      </w:r>
      <w:r w:rsidRPr="00905804">
        <w:rPr>
          <w:rFonts w:ascii="Arial" w:hAnsi="Arial" w:cs="Arial"/>
        </w:rPr>
        <w:t>Given the critical importance of fluoroquinolones in the treatment of invasive salmonellosis, particularly in vulnerable populations, the emergence of reduced susceptibility poses serious implications for public health. Without effective intervention, resistant strains originating from food animals may compromise treatment options and contribute to increased morbidity and mortality.</w:t>
      </w:r>
      <w:r w:rsidR="00CA4637" w:rsidRPr="00905804">
        <w:rPr>
          <w:rFonts w:ascii="Arial" w:hAnsi="Arial" w:cs="Arial"/>
        </w:rPr>
        <w:t xml:space="preserve">  </w:t>
      </w:r>
      <w:r w:rsidRPr="00905804">
        <w:rPr>
          <w:rFonts w:ascii="Arial" w:hAnsi="Arial" w:cs="Arial"/>
        </w:rPr>
        <w:t>Although this study provides valuable phenotypic data on microbial contamination and antimicrobial resistance, it did not include molecular characterization of resistance determinants. Future studies should incorporate molecular techniques to identify QRDR mutations and PMQR genes, as well as expanded sampling along the slaughter-to-market continuum to identify critical control points for contamination. Such approaches would strengthen understanding of resistance dissemination and support targeted interventions to improve food safety and antimicrobial stewardship.</w:t>
      </w:r>
    </w:p>
    <w:p w14:paraId="0AB52B8B" w14:textId="77777777" w:rsidR="008674F8" w:rsidRPr="00905804" w:rsidRDefault="008674F8" w:rsidP="00CA4637">
      <w:pPr>
        <w:spacing w:before="100" w:beforeAutospacing="1" w:after="100" w:afterAutospacing="1" w:line="240" w:lineRule="auto"/>
        <w:jc w:val="both"/>
        <w:outlineLvl w:val="2"/>
        <w:rPr>
          <w:rFonts w:ascii="Arial" w:eastAsia="Times New Roman" w:hAnsi="Arial" w:cs="Arial"/>
          <w:b/>
          <w:bCs/>
          <w:kern w:val="0"/>
          <w14:ligatures w14:val="none"/>
        </w:rPr>
      </w:pPr>
      <w:r w:rsidRPr="00905804">
        <w:rPr>
          <w:rFonts w:ascii="Arial" w:eastAsia="Times New Roman" w:hAnsi="Arial" w:cs="Arial"/>
          <w:b/>
          <w:bCs/>
          <w:kern w:val="0"/>
          <w14:ligatures w14:val="none"/>
        </w:rPr>
        <w:lastRenderedPageBreak/>
        <w:t>Conclusion</w:t>
      </w:r>
    </w:p>
    <w:p w14:paraId="3ECF078C" w14:textId="5FEE5769" w:rsidR="00427D98" w:rsidRPr="00905804" w:rsidRDefault="00A62374" w:rsidP="00CA4637">
      <w:pPr>
        <w:spacing w:before="100" w:beforeAutospacing="1" w:after="100" w:afterAutospacing="1" w:line="240" w:lineRule="auto"/>
        <w:jc w:val="both"/>
        <w:rPr>
          <w:rFonts w:ascii="Arial" w:eastAsia="Times New Roman" w:hAnsi="Arial" w:cs="Arial"/>
          <w:kern w:val="0"/>
          <w14:ligatures w14:val="none"/>
        </w:rPr>
      </w:pPr>
      <w:r w:rsidRPr="00905804">
        <w:rPr>
          <w:rFonts w:ascii="Arial" w:eastAsia="Times New Roman" w:hAnsi="Arial" w:cs="Arial"/>
          <w:kern w:val="0"/>
          <w14:ligatures w14:val="none"/>
        </w:rPr>
        <w:t xml:space="preserve">This study demonstrates that cow intestines sold in informal markets in Port Harcourt represent a significant food safety and public health concern due to poor microbiological quality and widespread contamination with </w:t>
      </w:r>
      <w:r w:rsidRPr="00905804">
        <w:rPr>
          <w:rFonts w:ascii="Arial" w:eastAsia="Times New Roman" w:hAnsi="Arial" w:cs="Arial"/>
          <w:i/>
          <w:iCs/>
          <w:kern w:val="0"/>
          <w14:ligatures w14:val="none"/>
        </w:rPr>
        <w:t>Salmonella enterica</w:t>
      </w:r>
      <w:r w:rsidRPr="00905804">
        <w:rPr>
          <w:rFonts w:ascii="Arial" w:eastAsia="Times New Roman" w:hAnsi="Arial" w:cs="Arial"/>
          <w:kern w:val="0"/>
          <w14:ligatures w14:val="none"/>
        </w:rPr>
        <w:t xml:space="preserve">. The high prevalence of </w:t>
      </w:r>
      <w:r w:rsidRPr="00905804">
        <w:rPr>
          <w:rFonts w:ascii="Arial" w:eastAsia="Times New Roman" w:hAnsi="Arial" w:cs="Arial"/>
          <w:i/>
          <w:iCs/>
          <w:kern w:val="0"/>
          <w14:ligatures w14:val="none"/>
        </w:rPr>
        <w:t>S. enterica</w:t>
      </w:r>
      <w:r w:rsidRPr="00905804">
        <w:rPr>
          <w:rFonts w:ascii="Arial" w:eastAsia="Times New Roman" w:hAnsi="Arial" w:cs="Arial"/>
          <w:kern w:val="0"/>
          <w14:ligatures w14:val="none"/>
        </w:rPr>
        <w:t xml:space="preserve"> (95.5%), combined with elevated total heterotrophic bacterial counts expressed</w:t>
      </w:r>
      <w:r w:rsidR="00CA4637" w:rsidRPr="00905804">
        <w:rPr>
          <w:rFonts w:ascii="Arial" w:eastAsia="Times New Roman" w:hAnsi="Arial" w:cs="Arial"/>
          <w:kern w:val="0"/>
          <w14:ligatures w14:val="none"/>
        </w:rPr>
        <w:t xml:space="preserve"> </w:t>
      </w:r>
      <w:r w:rsidRPr="00905804">
        <w:rPr>
          <w:rFonts w:ascii="Arial" w:eastAsia="Times New Roman" w:hAnsi="Arial" w:cs="Arial"/>
          <w:kern w:val="0"/>
          <w14:ligatures w14:val="none"/>
        </w:rPr>
        <w:t xml:space="preserve">reflects inadequate hygienic practices during slaughter, processing, and retail handling. Of particular concern is the high level of phenotypic resistance to </w:t>
      </w:r>
      <w:r w:rsidR="00CA4637" w:rsidRPr="00905804">
        <w:rPr>
          <w:rFonts w:ascii="Arial" w:eastAsia="Times New Roman" w:hAnsi="Arial" w:cs="Arial"/>
          <w:kern w:val="0"/>
          <w14:ligatures w14:val="none"/>
        </w:rPr>
        <w:t>N</w:t>
      </w:r>
      <w:r w:rsidRPr="00905804">
        <w:rPr>
          <w:rFonts w:ascii="Arial" w:eastAsia="Times New Roman" w:hAnsi="Arial" w:cs="Arial"/>
          <w:kern w:val="0"/>
          <w14:ligatures w14:val="none"/>
        </w:rPr>
        <w:t xml:space="preserve">alidixic acid (68.1%), alongside high but incomplete susceptibility to fluoroquinolones, including </w:t>
      </w:r>
      <w:r w:rsidR="00CA4637" w:rsidRPr="00905804">
        <w:rPr>
          <w:rFonts w:ascii="Arial" w:eastAsia="Times New Roman" w:hAnsi="Arial" w:cs="Arial"/>
          <w:kern w:val="0"/>
          <w14:ligatures w14:val="none"/>
        </w:rPr>
        <w:t>C</w:t>
      </w:r>
      <w:r w:rsidRPr="00905804">
        <w:rPr>
          <w:rFonts w:ascii="Arial" w:eastAsia="Times New Roman" w:hAnsi="Arial" w:cs="Arial"/>
          <w:kern w:val="0"/>
          <w14:ligatures w14:val="none"/>
        </w:rPr>
        <w:t xml:space="preserve">iprofloxacin (92.6%), </w:t>
      </w:r>
      <w:r w:rsidR="00CA4637" w:rsidRPr="00905804">
        <w:rPr>
          <w:rFonts w:ascii="Arial" w:eastAsia="Times New Roman" w:hAnsi="Arial" w:cs="Arial"/>
          <w:kern w:val="0"/>
          <w14:ligatures w14:val="none"/>
        </w:rPr>
        <w:t>L</w:t>
      </w:r>
      <w:r w:rsidRPr="00905804">
        <w:rPr>
          <w:rFonts w:ascii="Arial" w:eastAsia="Times New Roman" w:hAnsi="Arial" w:cs="Arial"/>
          <w:kern w:val="0"/>
          <w14:ligatures w14:val="none"/>
        </w:rPr>
        <w:t xml:space="preserve">evofloxacin (88.2%), and </w:t>
      </w:r>
      <w:r w:rsidR="00E53ADD">
        <w:rPr>
          <w:rFonts w:ascii="Arial" w:eastAsia="Times New Roman" w:hAnsi="Arial" w:cs="Arial"/>
          <w:kern w:val="0"/>
          <w14:ligatures w14:val="none"/>
        </w:rPr>
        <w:t>Ofloxacin</w:t>
      </w:r>
      <w:r w:rsidRPr="00905804">
        <w:rPr>
          <w:rFonts w:ascii="Arial" w:eastAsia="Times New Roman" w:hAnsi="Arial" w:cs="Arial"/>
          <w:kern w:val="0"/>
          <w14:ligatures w14:val="none"/>
        </w:rPr>
        <w:t xml:space="preserve"> (85.6%). This resistance profile suggests the emergence of early quinolone resistance and underscores the need for strengthened food safety controls and antimicrobial resistance surveillance.</w:t>
      </w:r>
    </w:p>
    <w:p w14:paraId="705DEDC4" w14:textId="77777777" w:rsidR="00427D98" w:rsidRPr="00EF1EFF" w:rsidRDefault="00427D98" w:rsidP="00427D98">
      <w:pPr>
        <w:spacing w:after="0" w:line="240" w:lineRule="auto"/>
        <w:rPr>
          <w:rFonts w:ascii="Times New Roman" w:eastAsia="Calibri" w:hAnsi="Times New Roman" w:cs="Times New Roman"/>
          <w:sz w:val="22"/>
          <w:szCs w:val="22"/>
          <w14:ligatures w14:val="none"/>
        </w:rPr>
      </w:pPr>
      <w:bookmarkStart w:id="1" w:name="_Hlk198031404"/>
      <w:r w:rsidRPr="00EF1EFF">
        <w:rPr>
          <w:rFonts w:ascii="Times New Roman" w:eastAsia="Calibri" w:hAnsi="Times New Roman" w:cs="Times New Roman"/>
          <w:sz w:val="22"/>
          <w:szCs w:val="22"/>
          <w14:ligatures w14:val="none"/>
        </w:rPr>
        <w:t>Disclaimer (Artificial intelligence)</w:t>
      </w:r>
    </w:p>
    <w:p w14:paraId="5E7758A2" w14:textId="77777777" w:rsidR="00427D98" w:rsidRPr="00EF1EFF" w:rsidRDefault="00427D98" w:rsidP="00427D98">
      <w:pPr>
        <w:spacing w:after="0" w:line="240" w:lineRule="auto"/>
        <w:rPr>
          <w:rFonts w:ascii="Times New Roman" w:eastAsia="Calibri" w:hAnsi="Times New Roman" w:cs="Times New Roman"/>
          <w:sz w:val="22"/>
          <w:szCs w:val="22"/>
          <w14:ligatures w14:val="none"/>
        </w:rPr>
      </w:pPr>
    </w:p>
    <w:p w14:paraId="1C50B1BD" w14:textId="11FEC9A4" w:rsidR="005F121F" w:rsidRPr="00EF1EFF" w:rsidRDefault="00427D98" w:rsidP="00EF1EFF">
      <w:pPr>
        <w:spacing w:after="0" w:line="240" w:lineRule="auto"/>
        <w:rPr>
          <w:rFonts w:ascii="Times New Roman" w:eastAsia="Calibri" w:hAnsi="Times New Roman" w:cs="Times New Roman"/>
          <w:sz w:val="22"/>
          <w:szCs w:val="22"/>
          <w14:ligatures w14:val="none"/>
        </w:rPr>
      </w:pPr>
      <w:r w:rsidRPr="00EF1EFF">
        <w:rPr>
          <w:rFonts w:ascii="Times New Roman" w:eastAsia="Calibri" w:hAnsi="Times New Roman" w:cs="Times New Roman"/>
          <w:sz w:val="22"/>
          <w:szCs w:val="22"/>
          <w14:ligatures w14:val="none"/>
        </w:rPr>
        <w:t>Author(s) hereby declare that NO generative AI technologies such as Large Language Models (</w:t>
      </w:r>
      <w:proofErr w:type="spellStart"/>
      <w:r w:rsidRPr="00EF1EFF">
        <w:rPr>
          <w:rFonts w:ascii="Times New Roman" w:eastAsia="Calibri" w:hAnsi="Times New Roman" w:cs="Times New Roman"/>
          <w:sz w:val="22"/>
          <w:szCs w:val="22"/>
          <w14:ligatures w14:val="none"/>
        </w:rPr>
        <w:t>ChatGPT</w:t>
      </w:r>
      <w:proofErr w:type="spellEnd"/>
      <w:r w:rsidRPr="00EF1EFF">
        <w:rPr>
          <w:rFonts w:ascii="Times New Roman" w:eastAsia="Calibri" w:hAnsi="Times New Roman" w:cs="Times New Roman"/>
          <w:sz w:val="22"/>
          <w:szCs w:val="22"/>
          <w14:ligatures w14:val="none"/>
        </w:rPr>
        <w:t xml:space="preserve">, COPILOT, etc.) and text-to-image generators have been used during the writing or editing of this manuscript. </w:t>
      </w:r>
      <w:bookmarkEnd w:id="1"/>
    </w:p>
    <w:p w14:paraId="5A3A1D23" w14:textId="77777777" w:rsidR="00197E94" w:rsidRPr="00905804" w:rsidRDefault="00197E94" w:rsidP="00CA4637">
      <w:pPr>
        <w:pStyle w:val="Heading2"/>
        <w:jc w:val="both"/>
        <w:rPr>
          <w:rFonts w:ascii="Arial" w:hAnsi="Arial" w:cs="Arial"/>
          <w:b/>
          <w:bCs/>
          <w:color w:val="auto"/>
          <w:sz w:val="24"/>
          <w:szCs w:val="24"/>
        </w:rPr>
      </w:pPr>
      <w:r w:rsidRPr="00905804">
        <w:rPr>
          <w:rFonts w:ascii="Arial" w:hAnsi="Arial" w:cs="Arial"/>
          <w:b/>
          <w:bCs/>
          <w:color w:val="auto"/>
          <w:sz w:val="24"/>
          <w:szCs w:val="24"/>
        </w:rPr>
        <w:t>REFERENCES</w:t>
      </w:r>
    </w:p>
    <w:p w14:paraId="2BA6A02C" w14:textId="77777777" w:rsidR="00385DC8" w:rsidRPr="00905804" w:rsidRDefault="00385DC8" w:rsidP="00CA4637">
      <w:pPr>
        <w:jc w:val="both"/>
        <w:rPr>
          <w:rFonts w:ascii="Arial" w:hAnsi="Arial" w:cs="Arial"/>
        </w:rPr>
      </w:pPr>
      <w:proofErr w:type="spellStart"/>
      <w:r w:rsidRPr="00905804">
        <w:rPr>
          <w:rFonts w:ascii="Arial" w:hAnsi="Arial" w:cs="Arial"/>
        </w:rPr>
        <w:t>Bintsis</w:t>
      </w:r>
      <w:proofErr w:type="spellEnd"/>
      <w:r w:rsidRPr="00905804">
        <w:rPr>
          <w:rFonts w:ascii="Arial" w:hAnsi="Arial" w:cs="Arial"/>
        </w:rPr>
        <w:t xml:space="preserve">, T. (2017). Foodborne pathogens. </w:t>
      </w:r>
      <w:r w:rsidRPr="00905804">
        <w:rPr>
          <w:rFonts w:ascii="Arial" w:hAnsi="Arial" w:cs="Arial"/>
          <w:i/>
          <w:iCs/>
        </w:rPr>
        <w:t>AIMS Microbiology, 3</w:t>
      </w:r>
      <w:r w:rsidRPr="00905804">
        <w:rPr>
          <w:rFonts w:ascii="Arial" w:hAnsi="Arial" w:cs="Arial"/>
        </w:rPr>
        <w:t>(3), 529–563.</w:t>
      </w:r>
      <w:r w:rsidRPr="00905804">
        <w:rPr>
          <w:rFonts w:ascii="Arial" w:hAnsi="Arial" w:cs="Arial"/>
        </w:rPr>
        <w:br/>
      </w:r>
      <w:hyperlink r:id="rId11" w:tgtFrame="_new" w:history="1">
        <w:r w:rsidRPr="00905804">
          <w:rPr>
            <w:rStyle w:val="Hyperlink"/>
            <w:rFonts w:ascii="Arial" w:hAnsi="Arial" w:cs="Arial"/>
            <w:color w:val="auto"/>
          </w:rPr>
          <w:t>https://doi.org/10.3934/microbiol.2017.3.529</w:t>
        </w:r>
      </w:hyperlink>
    </w:p>
    <w:p w14:paraId="325B7C06" w14:textId="77777777" w:rsidR="00385DC8" w:rsidRPr="00905804" w:rsidRDefault="00385DC8" w:rsidP="00CA4637">
      <w:pPr>
        <w:jc w:val="both"/>
        <w:rPr>
          <w:rFonts w:ascii="Arial" w:hAnsi="Arial" w:cs="Arial"/>
        </w:rPr>
      </w:pPr>
      <w:r w:rsidRPr="00905804">
        <w:rPr>
          <w:rFonts w:ascii="Arial" w:hAnsi="Arial" w:cs="Arial"/>
          <w:lang w:val="fr-FR"/>
        </w:rPr>
        <w:t xml:space="preserve">Cavaco, L. M., &amp; </w:t>
      </w:r>
      <w:proofErr w:type="spellStart"/>
      <w:r w:rsidRPr="00905804">
        <w:rPr>
          <w:rFonts w:ascii="Arial" w:hAnsi="Arial" w:cs="Arial"/>
          <w:lang w:val="fr-FR"/>
        </w:rPr>
        <w:t>Aarestrup</w:t>
      </w:r>
      <w:proofErr w:type="spellEnd"/>
      <w:r w:rsidRPr="00905804">
        <w:rPr>
          <w:rFonts w:ascii="Arial" w:hAnsi="Arial" w:cs="Arial"/>
          <w:lang w:val="fr-FR"/>
        </w:rPr>
        <w:t xml:space="preserve">, F. M. (2009). </w:t>
      </w:r>
      <w:r w:rsidRPr="00905804">
        <w:rPr>
          <w:rFonts w:ascii="Arial" w:hAnsi="Arial" w:cs="Arial"/>
        </w:rPr>
        <w:t xml:space="preserve">Evaluation of quinolone resistance in </w:t>
      </w:r>
      <w:r w:rsidRPr="00905804">
        <w:rPr>
          <w:rFonts w:ascii="Arial" w:hAnsi="Arial" w:cs="Arial"/>
          <w:i/>
          <w:iCs/>
        </w:rPr>
        <w:t>Salmonella enterica</w:t>
      </w:r>
      <w:r w:rsidRPr="00905804">
        <w:rPr>
          <w:rFonts w:ascii="Arial" w:hAnsi="Arial" w:cs="Arial"/>
        </w:rPr>
        <w:t xml:space="preserve">. </w:t>
      </w:r>
      <w:r w:rsidRPr="00905804">
        <w:rPr>
          <w:rFonts w:ascii="Arial" w:hAnsi="Arial" w:cs="Arial"/>
          <w:i/>
          <w:iCs/>
        </w:rPr>
        <w:t>Journal of Antimicrobial Chemotherapy, 64</w:t>
      </w:r>
      <w:r w:rsidRPr="00905804">
        <w:rPr>
          <w:rFonts w:ascii="Arial" w:hAnsi="Arial" w:cs="Arial"/>
        </w:rPr>
        <w:t>(2), 272–275.</w:t>
      </w:r>
      <w:r w:rsidRPr="00905804">
        <w:rPr>
          <w:rFonts w:ascii="Arial" w:hAnsi="Arial" w:cs="Arial"/>
        </w:rPr>
        <w:br/>
        <w:t>https://doi.org/10.1093/jac/dkp186</w:t>
      </w:r>
    </w:p>
    <w:p w14:paraId="7AB1B9F5" w14:textId="77777777" w:rsidR="00385DC8" w:rsidRPr="00905804" w:rsidRDefault="00385DC8" w:rsidP="00CA4637">
      <w:pPr>
        <w:jc w:val="both"/>
        <w:rPr>
          <w:rFonts w:ascii="Arial" w:hAnsi="Arial" w:cs="Arial"/>
        </w:rPr>
      </w:pPr>
      <w:r w:rsidRPr="00905804">
        <w:rPr>
          <w:rFonts w:ascii="Arial" w:hAnsi="Arial" w:cs="Arial"/>
        </w:rPr>
        <w:t xml:space="preserve">Crump, J. A., </w:t>
      </w:r>
      <w:proofErr w:type="spellStart"/>
      <w:r w:rsidRPr="00905804">
        <w:rPr>
          <w:rFonts w:ascii="Arial" w:hAnsi="Arial" w:cs="Arial"/>
        </w:rPr>
        <w:t>Sjölund</w:t>
      </w:r>
      <w:proofErr w:type="spellEnd"/>
      <w:r w:rsidRPr="00905804">
        <w:rPr>
          <w:rFonts w:ascii="Arial" w:hAnsi="Arial" w:cs="Arial"/>
        </w:rPr>
        <w:t xml:space="preserve">-Karlsson, M., Gordon, M. A., &amp; Parry, C. M. (2015). Epidemiology, clinical presentation, and laboratory diagnosis of invasive </w:t>
      </w:r>
      <w:r w:rsidRPr="00905804">
        <w:rPr>
          <w:rFonts w:ascii="Arial" w:hAnsi="Arial" w:cs="Arial"/>
          <w:i/>
          <w:iCs/>
        </w:rPr>
        <w:t>Salmonella</w:t>
      </w:r>
      <w:r w:rsidRPr="00905804">
        <w:rPr>
          <w:rFonts w:ascii="Arial" w:hAnsi="Arial" w:cs="Arial"/>
        </w:rPr>
        <w:t xml:space="preserve"> infections. </w:t>
      </w:r>
      <w:r w:rsidRPr="00905804">
        <w:rPr>
          <w:rFonts w:ascii="Arial" w:hAnsi="Arial" w:cs="Arial"/>
          <w:i/>
          <w:iCs/>
        </w:rPr>
        <w:t>Clinical Microbiology Reviews, 28</w:t>
      </w:r>
      <w:r w:rsidRPr="00905804">
        <w:rPr>
          <w:rFonts w:ascii="Arial" w:hAnsi="Arial" w:cs="Arial"/>
        </w:rPr>
        <w:t>(4), 901–937.</w:t>
      </w:r>
      <w:r w:rsidRPr="00905804">
        <w:rPr>
          <w:rFonts w:ascii="Arial" w:hAnsi="Arial" w:cs="Arial"/>
        </w:rPr>
        <w:br/>
        <w:t>https://doi.org/10.1128/CMR.00002-15</w:t>
      </w:r>
    </w:p>
    <w:p w14:paraId="0F37ECA9" w14:textId="77777777" w:rsidR="00385DC8" w:rsidRPr="00905804" w:rsidRDefault="00385DC8" w:rsidP="00CA4637">
      <w:pPr>
        <w:jc w:val="both"/>
        <w:rPr>
          <w:rFonts w:ascii="Arial" w:hAnsi="Arial" w:cs="Arial"/>
          <w:lang w:val="fr-FR"/>
        </w:rPr>
      </w:pPr>
      <w:r w:rsidRPr="00905804">
        <w:rPr>
          <w:rFonts w:ascii="Arial" w:hAnsi="Arial" w:cs="Arial"/>
        </w:rPr>
        <w:t xml:space="preserve">European Food Safety Authority. (2008). Foodborne antimicrobial resistance as a biological hazard. </w:t>
      </w:r>
      <w:r w:rsidRPr="00905804">
        <w:rPr>
          <w:rFonts w:ascii="Arial" w:hAnsi="Arial" w:cs="Arial"/>
          <w:i/>
          <w:iCs/>
          <w:lang w:val="fr-FR"/>
        </w:rPr>
        <w:t>EFSA Journal, 765</w:t>
      </w:r>
      <w:r w:rsidRPr="00905804">
        <w:rPr>
          <w:rFonts w:ascii="Arial" w:hAnsi="Arial" w:cs="Arial"/>
          <w:lang w:val="fr-FR"/>
        </w:rPr>
        <w:t>, 1–87.</w:t>
      </w:r>
      <w:r w:rsidRPr="00905804">
        <w:rPr>
          <w:rFonts w:ascii="Arial" w:hAnsi="Arial" w:cs="Arial"/>
          <w:lang w:val="fr-FR"/>
        </w:rPr>
        <w:br/>
        <w:t>https://doi.org/10.2903/j.efsa.2008.765</w:t>
      </w:r>
    </w:p>
    <w:p w14:paraId="6F7EBE39" w14:textId="77777777" w:rsidR="00385DC8" w:rsidRPr="00905804" w:rsidRDefault="00385DC8" w:rsidP="00CA4637">
      <w:pPr>
        <w:jc w:val="both"/>
        <w:rPr>
          <w:rFonts w:ascii="Arial" w:hAnsi="Arial" w:cs="Arial"/>
        </w:rPr>
      </w:pPr>
      <w:proofErr w:type="spellStart"/>
      <w:r w:rsidRPr="00905804">
        <w:rPr>
          <w:rFonts w:ascii="Arial" w:hAnsi="Arial" w:cs="Arial"/>
          <w:lang w:val="fr-FR"/>
        </w:rPr>
        <w:t>Fasanmi</w:t>
      </w:r>
      <w:proofErr w:type="spellEnd"/>
      <w:r w:rsidRPr="00905804">
        <w:rPr>
          <w:rFonts w:ascii="Arial" w:hAnsi="Arial" w:cs="Arial"/>
          <w:lang w:val="fr-FR"/>
        </w:rPr>
        <w:t xml:space="preserve">, O. G., </w:t>
      </w:r>
      <w:proofErr w:type="spellStart"/>
      <w:r w:rsidRPr="00905804">
        <w:rPr>
          <w:rFonts w:ascii="Arial" w:hAnsi="Arial" w:cs="Arial"/>
          <w:lang w:val="fr-FR"/>
        </w:rPr>
        <w:t>Makinde</w:t>
      </w:r>
      <w:proofErr w:type="spellEnd"/>
      <w:r w:rsidRPr="00905804">
        <w:rPr>
          <w:rFonts w:ascii="Arial" w:hAnsi="Arial" w:cs="Arial"/>
          <w:lang w:val="fr-FR"/>
        </w:rPr>
        <w:t xml:space="preserve">, A. A., </w:t>
      </w:r>
      <w:proofErr w:type="spellStart"/>
      <w:r w:rsidRPr="00905804">
        <w:rPr>
          <w:rFonts w:ascii="Arial" w:hAnsi="Arial" w:cs="Arial"/>
          <w:lang w:val="fr-FR"/>
        </w:rPr>
        <w:t>Popoola</w:t>
      </w:r>
      <w:proofErr w:type="spellEnd"/>
      <w:r w:rsidRPr="00905804">
        <w:rPr>
          <w:rFonts w:ascii="Arial" w:hAnsi="Arial" w:cs="Arial"/>
          <w:lang w:val="fr-FR"/>
        </w:rPr>
        <w:t xml:space="preserve">, M. A., et al. </w:t>
      </w:r>
      <w:r w:rsidRPr="00905804">
        <w:rPr>
          <w:rFonts w:ascii="Arial" w:hAnsi="Arial" w:cs="Arial"/>
        </w:rPr>
        <w:t xml:space="preserve">(2018). Microbial safety of meat in Nigerian slaughter facilities. </w:t>
      </w:r>
      <w:r w:rsidRPr="00905804">
        <w:rPr>
          <w:rFonts w:ascii="Arial" w:hAnsi="Arial" w:cs="Arial"/>
          <w:i/>
          <w:iCs/>
        </w:rPr>
        <w:t>Food Control, 90</w:t>
      </w:r>
      <w:r w:rsidRPr="00905804">
        <w:rPr>
          <w:rFonts w:ascii="Arial" w:hAnsi="Arial" w:cs="Arial"/>
        </w:rPr>
        <w:t>, 1–7.</w:t>
      </w:r>
      <w:r w:rsidRPr="00905804">
        <w:rPr>
          <w:rFonts w:ascii="Arial" w:hAnsi="Arial" w:cs="Arial"/>
        </w:rPr>
        <w:br/>
        <w:t>https://doi.org/10.1016/j.foodcont.2018.02.036</w:t>
      </w:r>
    </w:p>
    <w:p w14:paraId="6C547EB3" w14:textId="77777777" w:rsidR="00385DC8" w:rsidRPr="00905804" w:rsidRDefault="00385DC8" w:rsidP="00CA4637">
      <w:pPr>
        <w:jc w:val="both"/>
        <w:rPr>
          <w:rFonts w:ascii="Arial" w:hAnsi="Arial" w:cs="Arial"/>
        </w:rPr>
      </w:pPr>
      <w:r w:rsidRPr="00905804">
        <w:rPr>
          <w:rFonts w:ascii="Arial" w:hAnsi="Arial" w:cs="Arial"/>
        </w:rPr>
        <w:t xml:space="preserve">Grace, D., Mutua, F., </w:t>
      </w:r>
      <w:proofErr w:type="spellStart"/>
      <w:r w:rsidRPr="00905804">
        <w:rPr>
          <w:rFonts w:ascii="Arial" w:hAnsi="Arial" w:cs="Arial"/>
        </w:rPr>
        <w:t>Ochungo</w:t>
      </w:r>
      <w:proofErr w:type="spellEnd"/>
      <w:r w:rsidRPr="00905804">
        <w:rPr>
          <w:rFonts w:ascii="Arial" w:hAnsi="Arial" w:cs="Arial"/>
        </w:rPr>
        <w:t xml:space="preserve">, P., et al. (2012). Mapping of poverty and likely zoonoses hotspots. </w:t>
      </w:r>
      <w:r w:rsidRPr="00905804">
        <w:rPr>
          <w:rFonts w:ascii="Arial" w:hAnsi="Arial" w:cs="Arial"/>
          <w:i/>
          <w:iCs/>
        </w:rPr>
        <w:t>Zoonoses and Public Health, 59</w:t>
      </w:r>
      <w:r w:rsidRPr="00905804">
        <w:rPr>
          <w:rFonts w:ascii="Arial" w:hAnsi="Arial" w:cs="Arial"/>
        </w:rPr>
        <w:t>(suppl. 2), 1–23.</w:t>
      </w:r>
      <w:r w:rsidRPr="00905804">
        <w:rPr>
          <w:rFonts w:ascii="Arial" w:hAnsi="Arial" w:cs="Arial"/>
        </w:rPr>
        <w:br/>
        <w:t>https://doi.org/10.1111/j.1863-2378.2012.01497.x</w:t>
      </w:r>
    </w:p>
    <w:p w14:paraId="008D8BBF" w14:textId="77777777" w:rsidR="00385DC8" w:rsidRPr="00905804" w:rsidRDefault="00385DC8" w:rsidP="00CA4637">
      <w:pPr>
        <w:jc w:val="both"/>
        <w:rPr>
          <w:rFonts w:ascii="Arial" w:hAnsi="Arial" w:cs="Arial"/>
        </w:rPr>
      </w:pPr>
      <w:r w:rsidRPr="00905804">
        <w:rPr>
          <w:rFonts w:ascii="Arial" w:hAnsi="Arial" w:cs="Arial"/>
        </w:rPr>
        <w:t xml:space="preserve">Jibril, A. H., Okeke, I. N., Dalsgaard, A., et al. (2021). Association between antimicrobial usage and resistance in </w:t>
      </w:r>
      <w:r w:rsidRPr="00905804">
        <w:rPr>
          <w:rFonts w:ascii="Arial" w:hAnsi="Arial" w:cs="Arial"/>
          <w:i/>
          <w:iCs/>
        </w:rPr>
        <w:t>Salmonella</w:t>
      </w:r>
      <w:r w:rsidRPr="00905804">
        <w:rPr>
          <w:rFonts w:ascii="Arial" w:hAnsi="Arial" w:cs="Arial"/>
        </w:rPr>
        <w:t xml:space="preserve"> from poultry farms in Nigeria. </w:t>
      </w:r>
      <w:r w:rsidRPr="00905804">
        <w:rPr>
          <w:rFonts w:ascii="Arial" w:hAnsi="Arial" w:cs="Arial"/>
          <w:i/>
          <w:iCs/>
        </w:rPr>
        <w:t xml:space="preserve">BMC Veterinary </w:t>
      </w:r>
      <w:r w:rsidRPr="00905804">
        <w:rPr>
          <w:rFonts w:ascii="Arial" w:hAnsi="Arial" w:cs="Arial"/>
          <w:i/>
          <w:iCs/>
        </w:rPr>
        <w:lastRenderedPageBreak/>
        <w:t>Research, 17</w:t>
      </w:r>
      <w:r w:rsidRPr="00905804">
        <w:rPr>
          <w:rFonts w:ascii="Arial" w:hAnsi="Arial" w:cs="Arial"/>
        </w:rPr>
        <w:t>, 234.</w:t>
      </w:r>
      <w:r w:rsidRPr="00905804">
        <w:rPr>
          <w:rFonts w:ascii="Arial" w:hAnsi="Arial" w:cs="Arial"/>
        </w:rPr>
        <w:br/>
        <w:t>https://doi.org/10.1186/s12917-021-02938-2</w:t>
      </w:r>
    </w:p>
    <w:p w14:paraId="5136D575" w14:textId="77777777" w:rsidR="00385DC8" w:rsidRPr="00905804" w:rsidRDefault="00385DC8" w:rsidP="00CA4637">
      <w:pPr>
        <w:jc w:val="both"/>
        <w:rPr>
          <w:rFonts w:ascii="Arial" w:hAnsi="Arial" w:cs="Arial"/>
        </w:rPr>
      </w:pPr>
      <w:r w:rsidRPr="00905804">
        <w:rPr>
          <w:rFonts w:ascii="Arial" w:hAnsi="Arial" w:cs="Arial"/>
        </w:rPr>
        <w:t xml:space="preserve">Kim, K. Y., Park, J. H., &amp; Kwak, H. S. (2011). Characterization of quinolone resistance mechanisms in foodborne </w:t>
      </w:r>
      <w:r w:rsidRPr="00905804">
        <w:rPr>
          <w:rFonts w:ascii="Arial" w:hAnsi="Arial" w:cs="Arial"/>
          <w:i/>
          <w:iCs/>
        </w:rPr>
        <w:t>Salmonella</w:t>
      </w:r>
      <w:r w:rsidRPr="00905804">
        <w:rPr>
          <w:rFonts w:ascii="Arial" w:hAnsi="Arial" w:cs="Arial"/>
        </w:rPr>
        <w:t xml:space="preserve"> isolates. </w:t>
      </w:r>
      <w:r w:rsidRPr="00905804">
        <w:rPr>
          <w:rFonts w:ascii="Arial" w:hAnsi="Arial" w:cs="Arial"/>
          <w:i/>
          <w:iCs/>
        </w:rPr>
        <w:t>International Journal of Food Microbiology, 146</w:t>
      </w:r>
      <w:r w:rsidRPr="00905804">
        <w:rPr>
          <w:rFonts w:ascii="Arial" w:hAnsi="Arial" w:cs="Arial"/>
        </w:rPr>
        <w:t>(2), 161–167.</w:t>
      </w:r>
      <w:r w:rsidRPr="00905804">
        <w:rPr>
          <w:rFonts w:ascii="Arial" w:hAnsi="Arial" w:cs="Arial"/>
        </w:rPr>
        <w:br/>
        <w:t>https://doi.org/10.1016/j.ijfoodmicro.2011.01.037</w:t>
      </w:r>
    </w:p>
    <w:p w14:paraId="3FA7D6C0" w14:textId="77777777" w:rsidR="00385DC8" w:rsidRPr="00905804" w:rsidRDefault="00385DC8" w:rsidP="00CA4637">
      <w:pPr>
        <w:jc w:val="both"/>
        <w:rPr>
          <w:rFonts w:ascii="Arial" w:hAnsi="Arial" w:cs="Arial"/>
        </w:rPr>
      </w:pPr>
      <w:proofErr w:type="spellStart"/>
      <w:r w:rsidRPr="00905804">
        <w:rPr>
          <w:rFonts w:ascii="Arial" w:hAnsi="Arial" w:cs="Arial"/>
          <w:lang w:val="fr-FR"/>
        </w:rPr>
        <w:t>Okorie-Kanu</w:t>
      </w:r>
      <w:proofErr w:type="spellEnd"/>
      <w:r w:rsidRPr="00905804">
        <w:rPr>
          <w:rFonts w:ascii="Arial" w:hAnsi="Arial" w:cs="Arial"/>
          <w:lang w:val="fr-FR"/>
        </w:rPr>
        <w:t xml:space="preserve">, O. J., </w:t>
      </w:r>
      <w:proofErr w:type="spellStart"/>
      <w:r w:rsidRPr="00905804">
        <w:rPr>
          <w:rFonts w:ascii="Arial" w:hAnsi="Arial" w:cs="Arial"/>
          <w:lang w:val="fr-FR"/>
        </w:rPr>
        <w:t>Ezenduka</w:t>
      </w:r>
      <w:proofErr w:type="spellEnd"/>
      <w:r w:rsidRPr="00905804">
        <w:rPr>
          <w:rFonts w:ascii="Arial" w:hAnsi="Arial" w:cs="Arial"/>
          <w:lang w:val="fr-FR"/>
        </w:rPr>
        <w:t xml:space="preserve">, E. V., </w:t>
      </w:r>
      <w:proofErr w:type="spellStart"/>
      <w:r w:rsidRPr="00905804">
        <w:rPr>
          <w:rFonts w:ascii="Arial" w:hAnsi="Arial" w:cs="Arial"/>
          <w:lang w:val="fr-FR"/>
        </w:rPr>
        <w:t>Okorie-Kanu</w:t>
      </w:r>
      <w:proofErr w:type="spellEnd"/>
      <w:r w:rsidRPr="00905804">
        <w:rPr>
          <w:rFonts w:ascii="Arial" w:hAnsi="Arial" w:cs="Arial"/>
          <w:lang w:val="fr-FR"/>
        </w:rPr>
        <w:t xml:space="preserve">, C. O., et al. </w:t>
      </w:r>
      <w:r w:rsidRPr="00905804">
        <w:rPr>
          <w:rFonts w:ascii="Arial" w:hAnsi="Arial" w:cs="Arial"/>
        </w:rPr>
        <w:t xml:space="preserve">(2016). Occurrence and antimicrobial resistance of </w:t>
      </w:r>
      <w:r w:rsidRPr="00905804">
        <w:rPr>
          <w:rFonts w:ascii="Arial" w:hAnsi="Arial" w:cs="Arial"/>
          <w:i/>
          <w:iCs/>
        </w:rPr>
        <w:t>Salmonella</w:t>
      </w:r>
      <w:r w:rsidRPr="00905804">
        <w:rPr>
          <w:rFonts w:ascii="Arial" w:hAnsi="Arial" w:cs="Arial"/>
        </w:rPr>
        <w:t xml:space="preserve"> in retail meats in southeastern Nigeria. </w:t>
      </w:r>
      <w:r w:rsidRPr="00905804">
        <w:rPr>
          <w:rFonts w:ascii="Arial" w:hAnsi="Arial" w:cs="Arial"/>
          <w:i/>
          <w:iCs/>
        </w:rPr>
        <w:t>Veterinary World, 9</w:t>
      </w:r>
      <w:r w:rsidRPr="00905804">
        <w:rPr>
          <w:rFonts w:ascii="Arial" w:hAnsi="Arial" w:cs="Arial"/>
        </w:rPr>
        <w:t>(11), 1201–1206.</w:t>
      </w:r>
      <w:r w:rsidRPr="00905804">
        <w:rPr>
          <w:rFonts w:ascii="Arial" w:hAnsi="Arial" w:cs="Arial"/>
        </w:rPr>
        <w:br/>
        <w:t>https://doi.org/10.14202/vetworld.2016.1201-1206</w:t>
      </w:r>
    </w:p>
    <w:p w14:paraId="24E6629C" w14:textId="77777777" w:rsidR="00385DC8" w:rsidRPr="00905804" w:rsidRDefault="00385DC8" w:rsidP="00CA4637">
      <w:pPr>
        <w:jc w:val="both"/>
        <w:rPr>
          <w:rFonts w:ascii="Arial" w:hAnsi="Arial" w:cs="Arial"/>
        </w:rPr>
      </w:pPr>
      <w:r w:rsidRPr="00905804">
        <w:rPr>
          <w:rFonts w:ascii="Arial" w:hAnsi="Arial" w:cs="Arial"/>
        </w:rPr>
        <w:t xml:space="preserve">Redgrave, L. S., Sutton, S. B., Webber, M. A., &amp; Piddock, L. J. V. (2014). Fluoroquinolone resistance: mechanisms, impact on bacteria, and role in evolutionary success. </w:t>
      </w:r>
      <w:r w:rsidRPr="00905804">
        <w:rPr>
          <w:rFonts w:ascii="Arial" w:hAnsi="Arial" w:cs="Arial"/>
          <w:i/>
          <w:iCs/>
        </w:rPr>
        <w:t>Trends in Microbiology, 22</w:t>
      </w:r>
      <w:r w:rsidRPr="00905804">
        <w:rPr>
          <w:rFonts w:ascii="Arial" w:hAnsi="Arial" w:cs="Arial"/>
        </w:rPr>
        <w:t>(8), 438–445.</w:t>
      </w:r>
      <w:r w:rsidRPr="00905804">
        <w:rPr>
          <w:rFonts w:ascii="Arial" w:hAnsi="Arial" w:cs="Arial"/>
        </w:rPr>
        <w:br/>
        <w:t>https://doi.org/10.1016/j.tim.2014.04.007</w:t>
      </w:r>
    </w:p>
    <w:p w14:paraId="3561D2DD" w14:textId="77777777" w:rsidR="00385DC8" w:rsidRPr="00905804" w:rsidRDefault="00385DC8" w:rsidP="00CA4637">
      <w:pPr>
        <w:jc w:val="both"/>
        <w:rPr>
          <w:rFonts w:ascii="Arial" w:hAnsi="Arial" w:cs="Arial"/>
        </w:rPr>
      </w:pPr>
      <w:r w:rsidRPr="00905804">
        <w:rPr>
          <w:rFonts w:ascii="Arial" w:hAnsi="Arial" w:cs="Arial"/>
        </w:rPr>
        <w:t xml:space="preserve">Robinson, T. P., Bu, D. P., </w:t>
      </w:r>
      <w:proofErr w:type="spellStart"/>
      <w:r w:rsidRPr="00905804">
        <w:rPr>
          <w:rFonts w:ascii="Arial" w:hAnsi="Arial" w:cs="Arial"/>
        </w:rPr>
        <w:t>Carrique</w:t>
      </w:r>
      <w:proofErr w:type="spellEnd"/>
      <w:r w:rsidRPr="00905804">
        <w:rPr>
          <w:rFonts w:ascii="Arial" w:hAnsi="Arial" w:cs="Arial"/>
        </w:rPr>
        <w:t xml:space="preserve">-Mas, J., et al. (2016). Antibiotic resistance is the quintessential One Health issue. </w:t>
      </w:r>
      <w:r w:rsidRPr="00905804">
        <w:rPr>
          <w:rFonts w:ascii="Arial" w:hAnsi="Arial" w:cs="Arial"/>
          <w:i/>
          <w:iCs/>
        </w:rPr>
        <w:t>Transactions of the Royal Society of Tropical Medicine and Hygiene, 110</w:t>
      </w:r>
      <w:r w:rsidRPr="00905804">
        <w:rPr>
          <w:rFonts w:ascii="Arial" w:hAnsi="Arial" w:cs="Arial"/>
        </w:rPr>
        <w:t>(7), 377–380.</w:t>
      </w:r>
      <w:r w:rsidRPr="00905804">
        <w:rPr>
          <w:rFonts w:ascii="Arial" w:hAnsi="Arial" w:cs="Arial"/>
        </w:rPr>
        <w:br/>
        <w:t>https://doi.org/10.1093/trstmh/trw048</w:t>
      </w:r>
    </w:p>
    <w:p w14:paraId="32659325" w14:textId="77777777" w:rsidR="00385DC8" w:rsidRPr="00905804" w:rsidRDefault="00385DC8" w:rsidP="00CA4637">
      <w:pPr>
        <w:jc w:val="both"/>
        <w:rPr>
          <w:rFonts w:ascii="Arial" w:hAnsi="Arial" w:cs="Arial"/>
        </w:rPr>
      </w:pPr>
    </w:p>
    <w:p w14:paraId="027C9F03"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Adebesin</w:t>
      </w:r>
      <w:proofErr w:type="spellEnd"/>
      <w:r w:rsidRPr="00905804">
        <w:rPr>
          <w:rFonts w:ascii="Arial" w:hAnsi="Arial" w:cs="Arial"/>
        </w:rPr>
        <w:t xml:space="preserve">, I. O., </w:t>
      </w:r>
      <w:proofErr w:type="spellStart"/>
      <w:r w:rsidRPr="00905804">
        <w:rPr>
          <w:rFonts w:ascii="Arial" w:hAnsi="Arial" w:cs="Arial"/>
        </w:rPr>
        <w:t>Adekanmbi</w:t>
      </w:r>
      <w:proofErr w:type="spellEnd"/>
      <w:r w:rsidRPr="00905804">
        <w:rPr>
          <w:rFonts w:ascii="Arial" w:hAnsi="Arial" w:cs="Arial"/>
        </w:rPr>
        <w:t xml:space="preserve">, A. O., Ibrahim, Y. K. E., &amp; Shittu, A. O. (2023). Antimicrobial resistance profiles of bacteria isolated from raw meat sold in informal markets in Nigeria. </w:t>
      </w:r>
      <w:r w:rsidRPr="00905804">
        <w:rPr>
          <w:rStyle w:val="Emphasis"/>
          <w:rFonts w:ascii="Arial" w:hAnsi="Arial" w:cs="Arial"/>
        </w:rPr>
        <w:t>African Journal of Clinical and Experimental Microbiology, 24</w:t>
      </w:r>
      <w:r w:rsidRPr="00905804">
        <w:rPr>
          <w:rFonts w:ascii="Arial" w:hAnsi="Arial" w:cs="Arial"/>
        </w:rPr>
        <w:t xml:space="preserve">(2), 123–131. </w:t>
      </w:r>
      <w:hyperlink r:id="rId12" w:tgtFrame="_new" w:history="1">
        <w:r w:rsidRPr="00905804">
          <w:rPr>
            <w:rStyle w:val="Hyperlink"/>
            <w:rFonts w:ascii="Arial" w:hAnsi="Arial" w:cs="Arial"/>
            <w:color w:val="auto"/>
          </w:rPr>
          <w:t>https://doi.org/10.4314/ajcem.v24i2.5</w:t>
        </w:r>
      </w:hyperlink>
    </w:p>
    <w:p w14:paraId="01ECDAA9"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Adebesin</w:t>
      </w:r>
      <w:proofErr w:type="spellEnd"/>
      <w:r w:rsidRPr="00905804">
        <w:rPr>
          <w:rFonts w:ascii="Arial" w:hAnsi="Arial" w:cs="Arial"/>
        </w:rPr>
        <w:t xml:space="preserve">, I. O., Musa, J. J., Mohammed, A. S., &amp; Sadiq, M. A. (2025). Prevalence of antibiotic-resistant </w:t>
      </w:r>
      <w:r w:rsidRPr="00905804">
        <w:rPr>
          <w:rStyle w:val="Emphasis"/>
          <w:rFonts w:ascii="Arial" w:hAnsi="Arial" w:cs="Arial"/>
        </w:rPr>
        <w:t>Salmonella enterica</w:t>
      </w:r>
      <w:r w:rsidRPr="00905804">
        <w:rPr>
          <w:rFonts w:ascii="Arial" w:hAnsi="Arial" w:cs="Arial"/>
        </w:rPr>
        <w:t xml:space="preserve"> isolates from ready-to-eat meat (</w:t>
      </w:r>
      <w:proofErr w:type="spellStart"/>
      <w:r w:rsidRPr="00905804">
        <w:rPr>
          <w:rFonts w:ascii="Arial" w:hAnsi="Arial" w:cs="Arial"/>
        </w:rPr>
        <w:t>suya</w:t>
      </w:r>
      <w:proofErr w:type="spellEnd"/>
      <w:r w:rsidRPr="00905804">
        <w:rPr>
          <w:rFonts w:ascii="Arial" w:hAnsi="Arial" w:cs="Arial"/>
        </w:rPr>
        <w:t xml:space="preserve">) and its contact surfaces in Minna metropolis, Nigeria. </w:t>
      </w:r>
      <w:r w:rsidRPr="00905804">
        <w:rPr>
          <w:rStyle w:val="Emphasis"/>
          <w:rFonts w:ascii="Arial" w:hAnsi="Arial" w:cs="Arial"/>
        </w:rPr>
        <w:t>Food Safety and Risk, 12</w:t>
      </w:r>
      <w:r w:rsidRPr="00905804">
        <w:rPr>
          <w:rFonts w:ascii="Arial" w:hAnsi="Arial" w:cs="Arial"/>
        </w:rPr>
        <w:t xml:space="preserve">, 6. </w:t>
      </w:r>
      <w:hyperlink r:id="rId13" w:tgtFrame="_new" w:history="1">
        <w:r w:rsidRPr="00905804">
          <w:rPr>
            <w:rStyle w:val="Hyperlink"/>
            <w:rFonts w:ascii="Arial" w:hAnsi="Arial" w:cs="Arial"/>
            <w:color w:val="auto"/>
          </w:rPr>
          <w:t>https://doi.org/10.1186/s40550-025-00113-1</w:t>
        </w:r>
      </w:hyperlink>
    </w:p>
    <w:p w14:paraId="768D2B15" w14:textId="77777777" w:rsidR="00197E94" w:rsidRPr="00905804" w:rsidRDefault="00197E94" w:rsidP="00CA4637">
      <w:pPr>
        <w:pStyle w:val="NormalWeb"/>
        <w:jc w:val="both"/>
        <w:rPr>
          <w:rFonts w:ascii="Arial" w:hAnsi="Arial" w:cs="Arial"/>
        </w:rPr>
      </w:pPr>
      <w:r w:rsidRPr="00905804">
        <w:rPr>
          <w:rFonts w:ascii="Arial" w:hAnsi="Arial" w:cs="Arial"/>
        </w:rPr>
        <w:t xml:space="preserve">Agyei, D., Owusu-Kwarteng, J., </w:t>
      </w:r>
      <w:proofErr w:type="spellStart"/>
      <w:r w:rsidRPr="00905804">
        <w:rPr>
          <w:rFonts w:ascii="Arial" w:hAnsi="Arial" w:cs="Arial"/>
        </w:rPr>
        <w:t>Akabanda</w:t>
      </w:r>
      <w:proofErr w:type="spellEnd"/>
      <w:r w:rsidRPr="00905804">
        <w:rPr>
          <w:rFonts w:ascii="Arial" w:hAnsi="Arial" w:cs="Arial"/>
        </w:rPr>
        <w:t xml:space="preserve">, F., &amp; </w:t>
      </w:r>
      <w:proofErr w:type="spellStart"/>
      <w:r w:rsidRPr="00905804">
        <w:rPr>
          <w:rFonts w:ascii="Arial" w:hAnsi="Arial" w:cs="Arial"/>
        </w:rPr>
        <w:t>Akomeah</w:t>
      </w:r>
      <w:proofErr w:type="spellEnd"/>
      <w:r w:rsidRPr="00905804">
        <w:rPr>
          <w:rFonts w:ascii="Arial" w:hAnsi="Arial" w:cs="Arial"/>
        </w:rPr>
        <w:t xml:space="preserve">, R. (2019). Antibiotic resistance of </w:t>
      </w:r>
      <w:r w:rsidRPr="00905804">
        <w:rPr>
          <w:rStyle w:val="Emphasis"/>
          <w:rFonts w:ascii="Arial" w:hAnsi="Arial" w:cs="Arial"/>
        </w:rPr>
        <w:t>Salmonella</w:t>
      </w:r>
      <w:r w:rsidRPr="00905804">
        <w:rPr>
          <w:rFonts w:ascii="Arial" w:hAnsi="Arial" w:cs="Arial"/>
        </w:rPr>
        <w:t xml:space="preserve"> isolated from poultry meat in Ghana. </w:t>
      </w:r>
      <w:r w:rsidRPr="00905804">
        <w:rPr>
          <w:rStyle w:val="Emphasis"/>
          <w:rFonts w:ascii="Arial" w:hAnsi="Arial" w:cs="Arial"/>
        </w:rPr>
        <w:t>International Journal of Food Microbiology, 295</w:t>
      </w:r>
      <w:r w:rsidRPr="00905804">
        <w:rPr>
          <w:rFonts w:ascii="Arial" w:hAnsi="Arial" w:cs="Arial"/>
        </w:rPr>
        <w:t xml:space="preserve">, 10–16. </w:t>
      </w:r>
      <w:hyperlink r:id="rId14" w:tgtFrame="_new" w:history="1">
        <w:r w:rsidRPr="00905804">
          <w:rPr>
            <w:rStyle w:val="Hyperlink"/>
            <w:rFonts w:ascii="Arial" w:hAnsi="Arial" w:cs="Arial"/>
            <w:color w:val="auto"/>
          </w:rPr>
          <w:t>https://doi.org/10.1016/j.ijfoodmicro.2019.02.001</w:t>
        </w:r>
      </w:hyperlink>
    </w:p>
    <w:p w14:paraId="20BAC37B" w14:textId="77777777" w:rsidR="00197E94" w:rsidRPr="00905804" w:rsidRDefault="00197E94" w:rsidP="00CA4637">
      <w:pPr>
        <w:pStyle w:val="NormalWeb"/>
        <w:jc w:val="both"/>
        <w:rPr>
          <w:rFonts w:ascii="Arial" w:hAnsi="Arial" w:cs="Arial"/>
          <w:lang w:val="fr-FR"/>
        </w:rPr>
      </w:pPr>
      <w:proofErr w:type="spellStart"/>
      <w:r w:rsidRPr="00905804">
        <w:rPr>
          <w:rFonts w:ascii="Arial" w:hAnsi="Arial" w:cs="Arial"/>
        </w:rPr>
        <w:t>Argudín</w:t>
      </w:r>
      <w:proofErr w:type="spellEnd"/>
      <w:r w:rsidRPr="00905804">
        <w:rPr>
          <w:rFonts w:ascii="Arial" w:hAnsi="Arial" w:cs="Arial"/>
        </w:rPr>
        <w:t xml:space="preserve">, M. A., Mendoza, M. C., &amp; </w:t>
      </w:r>
      <w:proofErr w:type="spellStart"/>
      <w:r w:rsidRPr="00905804">
        <w:rPr>
          <w:rFonts w:ascii="Arial" w:hAnsi="Arial" w:cs="Arial"/>
        </w:rPr>
        <w:t>Rodicio</w:t>
      </w:r>
      <w:proofErr w:type="spellEnd"/>
      <w:r w:rsidRPr="00905804">
        <w:rPr>
          <w:rFonts w:ascii="Arial" w:hAnsi="Arial" w:cs="Arial"/>
        </w:rPr>
        <w:t xml:space="preserve">, M. R. (2017). Food poisoning and </w:t>
      </w:r>
      <w:r w:rsidRPr="00905804">
        <w:rPr>
          <w:rStyle w:val="Emphasis"/>
          <w:rFonts w:ascii="Arial" w:hAnsi="Arial" w:cs="Arial"/>
        </w:rPr>
        <w:t>Staphylococcus aureus</w:t>
      </w:r>
      <w:r w:rsidRPr="00905804">
        <w:rPr>
          <w:rFonts w:ascii="Arial" w:hAnsi="Arial" w:cs="Arial"/>
        </w:rPr>
        <w:t xml:space="preserve"> enterotoxins. </w:t>
      </w:r>
      <w:proofErr w:type="spellStart"/>
      <w:r w:rsidRPr="00905804">
        <w:rPr>
          <w:rStyle w:val="Emphasis"/>
          <w:rFonts w:ascii="Arial" w:hAnsi="Arial" w:cs="Arial"/>
          <w:lang w:val="fr-FR"/>
        </w:rPr>
        <w:t>Toxins</w:t>
      </w:r>
      <w:proofErr w:type="spellEnd"/>
      <w:r w:rsidRPr="00905804">
        <w:rPr>
          <w:rStyle w:val="Emphasis"/>
          <w:rFonts w:ascii="Arial" w:hAnsi="Arial" w:cs="Arial"/>
          <w:lang w:val="fr-FR"/>
        </w:rPr>
        <w:t>, 9</w:t>
      </w:r>
      <w:r w:rsidRPr="00905804">
        <w:rPr>
          <w:rFonts w:ascii="Arial" w:hAnsi="Arial" w:cs="Arial"/>
          <w:lang w:val="fr-FR"/>
        </w:rPr>
        <w:t xml:space="preserve">(3), 86. </w:t>
      </w:r>
      <w:hyperlink r:id="rId15" w:tgtFrame="_new" w:history="1">
        <w:r w:rsidRPr="00905804">
          <w:rPr>
            <w:rStyle w:val="Hyperlink"/>
            <w:rFonts w:ascii="Arial" w:hAnsi="Arial" w:cs="Arial"/>
            <w:color w:val="auto"/>
            <w:lang w:val="fr-FR"/>
          </w:rPr>
          <w:t>https://doi.org/10.3390/toxins9030086</w:t>
        </w:r>
      </w:hyperlink>
    </w:p>
    <w:p w14:paraId="37EA0573" w14:textId="77777777" w:rsidR="00197E94" w:rsidRPr="00905804" w:rsidRDefault="00197E94" w:rsidP="00CA4637">
      <w:pPr>
        <w:pStyle w:val="NormalWeb"/>
        <w:jc w:val="both"/>
        <w:rPr>
          <w:rFonts w:ascii="Arial" w:hAnsi="Arial" w:cs="Arial"/>
        </w:rPr>
      </w:pPr>
      <w:proofErr w:type="spellStart"/>
      <w:r w:rsidRPr="00905804">
        <w:rPr>
          <w:rFonts w:ascii="Arial" w:hAnsi="Arial" w:cs="Arial"/>
          <w:lang w:val="fr-FR"/>
        </w:rPr>
        <w:lastRenderedPageBreak/>
        <w:t>Ayichew</w:t>
      </w:r>
      <w:proofErr w:type="spellEnd"/>
      <w:r w:rsidRPr="00905804">
        <w:rPr>
          <w:rFonts w:ascii="Arial" w:hAnsi="Arial" w:cs="Arial"/>
          <w:lang w:val="fr-FR"/>
        </w:rPr>
        <w:t xml:space="preserve">, S., </w:t>
      </w:r>
      <w:proofErr w:type="spellStart"/>
      <w:r w:rsidRPr="00905804">
        <w:rPr>
          <w:rFonts w:ascii="Arial" w:hAnsi="Arial" w:cs="Arial"/>
          <w:lang w:val="fr-FR"/>
        </w:rPr>
        <w:t>Zewdu</w:t>
      </w:r>
      <w:proofErr w:type="spellEnd"/>
      <w:r w:rsidRPr="00905804">
        <w:rPr>
          <w:rFonts w:ascii="Arial" w:hAnsi="Arial" w:cs="Arial"/>
          <w:lang w:val="fr-FR"/>
        </w:rPr>
        <w:t xml:space="preserve">, A., </w:t>
      </w:r>
      <w:proofErr w:type="spellStart"/>
      <w:r w:rsidRPr="00905804">
        <w:rPr>
          <w:rFonts w:ascii="Arial" w:hAnsi="Arial" w:cs="Arial"/>
          <w:lang w:val="fr-FR"/>
        </w:rPr>
        <w:t>Megerssa</w:t>
      </w:r>
      <w:proofErr w:type="spellEnd"/>
      <w:r w:rsidRPr="00905804">
        <w:rPr>
          <w:rFonts w:ascii="Arial" w:hAnsi="Arial" w:cs="Arial"/>
          <w:lang w:val="fr-FR"/>
        </w:rPr>
        <w:t xml:space="preserve">, B., </w:t>
      </w:r>
      <w:proofErr w:type="spellStart"/>
      <w:r w:rsidRPr="00905804">
        <w:rPr>
          <w:rFonts w:ascii="Arial" w:hAnsi="Arial" w:cs="Arial"/>
          <w:lang w:val="fr-FR"/>
        </w:rPr>
        <w:t>Sori</w:t>
      </w:r>
      <w:proofErr w:type="spellEnd"/>
      <w:r w:rsidRPr="00905804">
        <w:rPr>
          <w:rFonts w:ascii="Arial" w:hAnsi="Arial" w:cs="Arial"/>
          <w:lang w:val="fr-FR"/>
        </w:rPr>
        <w:t xml:space="preserve">, T., &amp; </w:t>
      </w:r>
      <w:proofErr w:type="spellStart"/>
      <w:r w:rsidRPr="00905804">
        <w:rPr>
          <w:rFonts w:ascii="Arial" w:hAnsi="Arial" w:cs="Arial"/>
          <w:lang w:val="fr-FR"/>
        </w:rPr>
        <w:t>Gutema</w:t>
      </w:r>
      <w:proofErr w:type="spellEnd"/>
      <w:r w:rsidRPr="00905804">
        <w:rPr>
          <w:rFonts w:ascii="Arial" w:hAnsi="Arial" w:cs="Arial"/>
          <w:lang w:val="fr-FR"/>
        </w:rPr>
        <w:t xml:space="preserve">, F. D. (2024). </w:t>
      </w:r>
      <w:r w:rsidRPr="00905804">
        <w:rPr>
          <w:rFonts w:ascii="Arial" w:hAnsi="Arial" w:cs="Arial"/>
        </w:rPr>
        <w:t xml:space="preserve">Occurrence and antimicrobial susceptibility of </w:t>
      </w:r>
      <w:r w:rsidRPr="00905804">
        <w:rPr>
          <w:rStyle w:val="Emphasis"/>
          <w:rFonts w:ascii="Arial" w:hAnsi="Arial" w:cs="Arial"/>
        </w:rPr>
        <w:t>Salmonella enterica</w:t>
      </w:r>
      <w:r w:rsidRPr="00905804">
        <w:rPr>
          <w:rFonts w:ascii="Arial" w:hAnsi="Arial" w:cs="Arial"/>
        </w:rPr>
        <w:t xml:space="preserve"> in milk along the supply chain in Ethiopia. </w:t>
      </w:r>
      <w:r w:rsidRPr="00905804">
        <w:rPr>
          <w:rStyle w:val="Emphasis"/>
          <w:rFonts w:ascii="Arial" w:hAnsi="Arial" w:cs="Arial"/>
        </w:rPr>
        <w:t>BMC Microbiology, 24</w:t>
      </w:r>
      <w:r w:rsidRPr="00905804">
        <w:rPr>
          <w:rFonts w:ascii="Arial" w:hAnsi="Arial" w:cs="Arial"/>
        </w:rPr>
        <w:t xml:space="preserve">, 538. </w:t>
      </w:r>
      <w:hyperlink r:id="rId16" w:tgtFrame="_new" w:history="1">
        <w:r w:rsidRPr="00905804">
          <w:rPr>
            <w:rStyle w:val="Hyperlink"/>
            <w:rFonts w:ascii="Arial" w:hAnsi="Arial" w:cs="Arial"/>
            <w:color w:val="auto"/>
          </w:rPr>
          <w:t>https://doi.org/10.1186/s12866-024-03689-4</w:t>
        </w:r>
      </w:hyperlink>
    </w:p>
    <w:p w14:paraId="27DFD65C"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Buncic</w:t>
      </w:r>
      <w:proofErr w:type="spellEnd"/>
      <w:r w:rsidRPr="00905804">
        <w:rPr>
          <w:rFonts w:ascii="Arial" w:hAnsi="Arial" w:cs="Arial"/>
        </w:rPr>
        <w:t xml:space="preserve">, S., &amp; </w:t>
      </w:r>
      <w:proofErr w:type="spellStart"/>
      <w:r w:rsidRPr="00905804">
        <w:rPr>
          <w:rFonts w:ascii="Arial" w:hAnsi="Arial" w:cs="Arial"/>
        </w:rPr>
        <w:t>Sofos</w:t>
      </w:r>
      <w:proofErr w:type="spellEnd"/>
      <w:r w:rsidRPr="00905804">
        <w:rPr>
          <w:rFonts w:ascii="Arial" w:hAnsi="Arial" w:cs="Arial"/>
        </w:rPr>
        <w:t xml:space="preserve">, J. (2012). Interventions to control </w:t>
      </w:r>
      <w:r w:rsidRPr="00905804">
        <w:rPr>
          <w:rStyle w:val="Emphasis"/>
          <w:rFonts w:ascii="Arial" w:hAnsi="Arial" w:cs="Arial"/>
        </w:rPr>
        <w:t>Salmonella</w:t>
      </w:r>
      <w:r w:rsidRPr="00905804">
        <w:rPr>
          <w:rFonts w:ascii="Arial" w:hAnsi="Arial" w:cs="Arial"/>
        </w:rPr>
        <w:t xml:space="preserve"> contamination during poultry, cattle and pig slaughter. </w:t>
      </w:r>
      <w:r w:rsidRPr="00905804">
        <w:rPr>
          <w:rStyle w:val="Emphasis"/>
          <w:rFonts w:ascii="Arial" w:hAnsi="Arial" w:cs="Arial"/>
        </w:rPr>
        <w:t>Food Research International, 45</w:t>
      </w:r>
      <w:r w:rsidRPr="00905804">
        <w:rPr>
          <w:rFonts w:ascii="Arial" w:hAnsi="Arial" w:cs="Arial"/>
        </w:rPr>
        <w:t xml:space="preserve">(2), 641–655. </w:t>
      </w:r>
      <w:hyperlink r:id="rId17" w:tgtFrame="_new" w:history="1">
        <w:r w:rsidRPr="00905804">
          <w:rPr>
            <w:rStyle w:val="Hyperlink"/>
            <w:rFonts w:ascii="Arial" w:hAnsi="Arial" w:cs="Arial"/>
            <w:color w:val="auto"/>
          </w:rPr>
          <w:t>https://doi.org/10.1016/j.foodres.2011.10.018</w:t>
        </w:r>
      </w:hyperlink>
    </w:p>
    <w:p w14:paraId="512F4922" w14:textId="77777777" w:rsidR="00197E94" w:rsidRPr="00905804" w:rsidRDefault="00197E94" w:rsidP="00CA4637">
      <w:pPr>
        <w:pStyle w:val="NormalWeb"/>
        <w:jc w:val="both"/>
        <w:rPr>
          <w:rFonts w:ascii="Arial" w:hAnsi="Arial" w:cs="Arial"/>
          <w:lang w:val="fr-FR"/>
        </w:rPr>
      </w:pPr>
      <w:r w:rsidRPr="00905804">
        <w:rPr>
          <w:rFonts w:ascii="Arial" w:hAnsi="Arial" w:cs="Arial"/>
        </w:rPr>
        <w:t xml:space="preserve">Clinical and Laboratory Standards Institute. (2023). </w:t>
      </w:r>
      <w:r w:rsidRPr="00905804">
        <w:rPr>
          <w:rStyle w:val="Emphasis"/>
          <w:rFonts w:ascii="Arial" w:hAnsi="Arial" w:cs="Arial"/>
        </w:rPr>
        <w:t>Performance standards for antimicrobial susceptibility testing</w:t>
      </w:r>
      <w:r w:rsidRPr="00905804">
        <w:rPr>
          <w:rFonts w:ascii="Arial" w:hAnsi="Arial" w:cs="Arial"/>
        </w:rPr>
        <w:t xml:space="preserve"> (33rd ed.). </w:t>
      </w:r>
      <w:r w:rsidRPr="00905804">
        <w:rPr>
          <w:rFonts w:ascii="Arial" w:hAnsi="Arial" w:cs="Arial"/>
          <w:lang w:val="fr-FR"/>
        </w:rPr>
        <w:t xml:space="preserve">Wayne, </w:t>
      </w:r>
      <w:proofErr w:type="gramStart"/>
      <w:r w:rsidRPr="00905804">
        <w:rPr>
          <w:rFonts w:ascii="Arial" w:hAnsi="Arial" w:cs="Arial"/>
          <w:lang w:val="fr-FR"/>
        </w:rPr>
        <w:t>PA:</w:t>
      </w:r>
      <w:proofErr w:type="gramEnd"/>
      <w:r w:rsidRPr="00905804">
        <w:rPr>
          <w:rFonts w:ascii="Arial" w:hAnsi="Arial" w:cs="Arial"/>
          <w:lang w:val="fr-FR"/>
        </w:rPr>
        <w:t xml:space="preserve"> CLSI.</w:t>
      </w:r>
    </w:p>
    <w:p w14:paraId="1E1582A8" w14:textId="77777777" w:rsidR="00197E94" w:rsidRPr="00905804" w:rsidRDefault="00197E94" w:rsidP="00CA4637">
      <w:pPr>
        <w:pStyle w:val="NormalWeb"/>
        <w:jc w:val="both"/>
        <w:rPr>
          <w:rFonts w:ascii="Arial" w:hAnsi="Arial" w:cs="Arial"/>
        </w:rPr>
      </w:pPr>
      <w:r w:rsidRPr="00905804">
        <w:rPr>
          <w:rFonts w:ascii="Arial" w:hAnsi="Arial" w:cs="Arial"/>
          <w:lang w:val="fr-FR"/>
        </w:rPr>
        <w:t xml:space="preserve">Costard, S., </w:t>
      </w:r>
      <w:proofErr w:type="spellStart"/>
      <w:r w:rsidRPr="00905804">
        <w:rPr>
          <w:rFonts w:ascii="Arial" w:hAnsi="Arial" w:cs="Arial"/>
          <w:lang w:val="fr-FR"/>
        </w:rPr>
        <w:t>Espejo</w:t>
      </w:r>
      <w:proofErr w:type="spellEnd"/>
      <w:r w:rsidRPr="00905804">
        <w:rPr>
          <w:rFonts w:ascii="Arial" w:hAnsi="Arial" w:cs="Arial"/>
          <w:lang w:val="fr-FR"/>
        </w:rPr>
        <w:t xml:space="preserve">, L., </w:t>
      </w:r>
      <w:proofErr w:type="spellStart"/>
      <w:r w:rsidRPr="00905804">
        <w:rPr>
          <w:rFonts w:ascii="Arial" w:hAnsi="Arial" w:cs="Arial"/>
          <w:lang w:val="fr-FR"/>
        </w:rPr>
        <w:t>Groenendaal</w:t>
      </w:r>
      <w:proofErr w:type="spellEnd"/>
      <w:r w:rsidRPr="00905804">
        <w:rPr>
          <w:rFonts w:ascii="Arial" w:hAnsi="Arial" w:cs="Arial"/>
          <w:lang w:val="fr-FR"/>
        </w:rPr>
        <w:t xml:space="preserve">, H., &amp; </w:t>
      </w:r>
      <w:proofErr w:type="spellStart"/>
      <w:r w:rsidRPr="00905804">
        <w:rPr>
          <w:rFonts w:ascii="Arial" w:hAnsi="Arial" w:cs="Arial"/>
          <w:lang w:val="fr-FR"/>
        </w:rPr>
        <w:t>Zagmutt</w:t>
      </w:r>
      <w:proofErr w:type="spellEnd"/>
      <w:r w:rsidRPr="00905804">
        <w:rPr>
          <w:rFonts w:ascii="Arial" w:hAnsi="Arial" w:cs="Arial"/>
          <w:lang w:val="fr-FR"/>
        </w:rPr>
        <w:t xml:space="preserve">, F. J. (2020). </w:t>
      </w:r>
      <w:r w:rsidRPr="00905804">
        <w:rPr>
          <w:rFonts w:ascii="Arial" w:hAnsi="Arial" w:cs="Arial"/>
        </w:rPr>
        <w:t xml:space="preserve">No change in risk for antibiotic-resistant salmonellosis from beef, United States, 2002–2010. </w:t>
      </w:r>
      <w:r w:rsidRPr="00905804">
        <w:rPr>
          <w:rStyle w:val="Emphasis"/>
          <w:rFonts w:ascii="Arial" w:hAnsi="Arial" w:cs="Arial"/>
        </w:rPr>
        <w:t>Emerging Infectious Diseases, 26</w:t>
      </w:r>
      <w:r w:rsidRPr="00905804">
        <w:rPr>
          <w:rFonts w:ascii="Arial" w:hAnsi="Arial" w:cs="Arial"/>
        </w:rPr>
        <w:t xml:space="preserve">(9), 1969–1977. </w:t>
      </w:r>
      <w:hyperlink r:id="rId18" w:tgtFrame="_new" w:history="1">
        <w:r w:rsidRPr="00905804">
          <w:rPr>
            <w:rStyle w:val="Hyperlink"/>
            <w:rFonts w:ascii="Arial" w:hAnsi="Arial" w:cs="Arial"/>
            <w:color w:val="auto"/>
          </w:rPr>
          <w:t>https://doi.org/10.3201/eid2609.190922</w:t>
        </w:r>
      </w:hyperlink>
    </w:p>
    <w:p w14:paraId="3A4230B0" w14:textId="77777777" w:rsidR="00197E94" w:rsidRPr="00905804" w:rsidRDefault="00197E94" w:rsidP="00CA4637">
      <w:pPr>
        <w:pStyle w:val="NormalWeb"/>
        <w:jc w:val="both"/>
        <w:rPr>
          <w:rFonts w:ascii="Arial" w:hAnsi="Arial" w:cs="Arial"/>
        </w:rPr>
      </w:pPr>
      <w:r w:rsidRPr="00905804">
        <w:rPr>
          <w:rFonts w:ascii="Arial" w:hAnsi="Arial" w:cs="Arial"/>
        </w:rPr>
        <w:t xml:space="preserve">Crump, J. A., </w:t>
      </w:r>
      <w:proofErr w:type="spellStart"/>
      <w:r w:rsidRPr="00905804">
        <w:rPr>
          <w:rFonts w:ascii="Arial" w:hAnsi="Arial" w:cs="Arial"/>
        </w:rPr>
        <w:t>Sjölund</w:t>
      </w:r>
      <w:proofErr w:type="spellEnd"/>
      <w:r w:rsidRPr="00905804">
        <w:rPr>
          <w:rFonts w:ascii="Arial" w:hAnsi="Arial" w:cs="Arial"/>
        </w:rPr>
        <w:t xml:space="preserve">-Karlsson, M., Gordon, M. A., &amp; Parry, C. M. (2015). Epidemiology, clinical presentation, laboratory diagnosis, antimicrobial resistance, and antimicrobial management of invasive </w:t>
      </w:r>
      <w:r w:rsidRPr="00905804">
        <w:rPr>
          <w:rStyle w:val="Emphasis"/>
          <w:rFonts w:ascii="Arial" w:hAnsi="Arial" w:cs="Arial"/>
        </w:rPr>
        <w:t>Salmonella</w:t>
      </w:r>
      <w:r w:rsidRPr="00905804">
        <w:rPr>
          <w:rFonts w:ascii="Arial" w:hAnsi="Arial" w:cs="Arial"/>
        </w:rPr>
        <w:t xml:space="preserve"> infections. </w:t>
      </w:r>
      <w:r w:rsidRPr="00905804">
        <w:rPr>
          <w:rStyle w:val="Emphasis"/>
          <w:rFonts w:ascii="Arial" w:hAnsi="Arial" w:cs="Arial"/>
        </w:rPr>
        <w:t>Clinical Microbiology Reviews, 28</w:t>
      </w:r>
      <w:r w:rsidRPr="00905804">
        <w:rPr>
          <w:rFonts w:ascii="Arial" w:hAnsi="Arial" w:cs="Arial"/>
        </w:rPr>
        <w:t>(4), 901–937. https://doi.org/10.1128/CMR.00002-15</w:t>
      </w:r>
    </w:p>
    <w:p w14:paraId="1852989F"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Fasanmi</w:t>
      </w:r>
      <w:proofErr w:type="spellEnd"/>
      <w:r w:rsidRPr="00905804">
        <w:rPr>
          <w:rFonts w:ascii="Arial" w:hAnsi="Arial" w:cs="Arial"/>
        </w:rPr>
        <w:t xml:space="preserve">, O. G., </w:t>
      </w:r>
      <w:proofErr w:type="spellStart"/>
      <w:r w:rsidRPr="00905804">
        <w:rPr>
          <w:rFonts w:ascii="Arial" w:hAnsi="Arial" w:cs="Arial"/>
        </w:rPr>
        <w:t>Makinde</w:t>
      </w:r>
      <w:proofErr w:type="spellEnd"/>
      <w:r w:rsidRPr="00905804">
        <w:rPr>
          <w:rFonts w:ascii="Arial" w:hAnsi="Arial" w:cs="Arial"/>
        </w:rPr>
        <w:t xml:space="preserve">, A. A., Popoola, M. A., &amp; </w:t>
      </w:r>
      <w:proofErr w:type="spellStart"/>
      <w:r w:rsidRPr="00905804">
        <w:rPr>
          <w:rFonts w:ascii="Arial" w:hAnsi="Arial" w:cs="Arial"/>
        </w:rPr>
        <w:t>Fasina</w:t>
      </w:r>
      <w:proofErr w:type="spellEnd"/>
      <w:r w:rsidRPr="00905804">
        <w:rPr>
          <w:rFonts w:ascii="Arial" w:hAnsi="Arial" w:cs="Arial"/>
        </w:rPr>
        <w:t xml:space="preserve">, F. O. (2017). Potential risk factors associated with carcass contamination in slaughterhouses in Nigeria. </w:t>
      </w:r>
      <w:r w:rsidRPr="00905804">
        <w:rPr>
          <w:rStyle w:val="Emphasis"/>
          <w:rFonts w:ascii="Arial" w:hAnsi="Arial" w:cs="Arial"/>
        </w:rPr>
        <w:t>Journal of Food Protection, 80</w:t>
      </w:r>
      <w:r w:rsidRPr="00905804">
        <w:rPr>
          <w:rFonts w:ascii="Arial" w:hAnsi="Arial" w:cs="Arial"/>
        </w:rPr>
        <w:t xml:space="preserve">(3), 520–526. </w:t>
      </w:r>
      <w:hyperlink r:id="rId19" w:tgtFrame="_new" w:history="1">
        <w:r w:rsidRPr="00905804">
          <w:rPr>
            <w:rStyle w:val="Hyperlink"/>
            <w:rFonts w:ascii="Arial" w:hAnsi="Arial" w:cs="Arial"/>
            <w:color w:val="auto"/>
          </w:rPr>
          <w:t>https://doi.org/10.4315/0362-028X.JFP-16-311</w:t>
        </w:r>
      </w:hyperlink>
    </w:p>
    <w:p w14:paraId="33B5C695"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Fashae</w:t>
      </w:r>
      <w:proofErr w:type="spellEnd"/>
      <w:r w:rsidRPr="00905804">
        <w:rPr>
          <w:rFonts w:ascii="Arial" w:hAnsi="Arial" w:cs="Arial"/>
        </w:rPr>
        <w:t xml:space="preserve">, K., </w:t>
      </w:r>
      <w:proofErr w:type="spellStart"/>
      <w:r w:rsidRPr="00905804">
        <w:rPr>
          <w:rFonts w:ascii="Arial" w:hAnsi="Arial" w:cs="Arial"/>
        </w:rPr>
        <w:t>Leekitcharoenphon</w:t>
      </w:r>
      <w:proofErr w:type="spellEnd"/>
      <w:r w:rsidRPr="00905804">
        <w:rPr>
          <w:rFonts w:ascii="Arial" w:hAnsi="Arial" w:cs="Arial"/>
        </w:rPr>
        <w:t xml:space="preserve">, P., Hendriksen, R. S., &amp; </w:t>
      </w:r>
      <w:proofErr w:type="spellStart"/>
      <w:r w:rsidRPr="00905804">
        <w:rPr>
          <w:rFonts w:ascii="Arial" w:hAnsi="Arial" w:cs="Arial"/>
        </w:rPr>
        <w:t>Aarestrup</w:t>
      </w:r>
      <w:proofErr w:type="spellEnd"/>
      <w:r w:rsidRPr="00905804">
        <w:rPr>
          <w:rFonts w:ascii="Arial" w:hAnsi="Arial" w:cs="Arial"/>
        </w:rPr>
        <w:t xml:space="preserve">, F. M. (2018). Phenotypic and genotypic comparison of </w:t>
      </w:r>
      <w:r w:rsidRPr="00905804">
        <w:rPr>
          <w:rStyle w:val="Emphasis"/>
          <w:rFonts w:ascii="Arial" w:hAnsi="Arial" w:cs="Arial"/>
        </w:rPr>
        <w:t>Salmonella</w:t>
      </w:r>
      <w:r w:rsidRPr="00905804">
        <w:rPr>
          <w:rFonts w:ascii="Arial" w:hAnsi="Arial" w:cs="Arial"/>
        </w:rPr>
        <w:t xml:space="preserve"> isolates from humans and cattle in Nigeria. </w:t>
      </w:r>
      <w:r w:rsidRPr="00905804">
        <w:rPr>
          <w:rStyle w:val="Emphasis"/>
          <w:rFonts w:ascii="Arial" w:hAnsi="Arial" w:cs="Arial"/>
        </w:rPr>
        <w:t>Zoonoses and Public Health, 65</w:t>
      </w:r>
      <w:r w:rsidRPr="00905804">
        <w:rPr>
          <w:rFonts w:ascii="Arial" w:hAnsi="Arial" w:cs="Arial"/>
        </w:rPr>
        <w:t xml:space="preserve">(2), 185–193. </w:t>
      </w:r>
      <w:hyperlink r:id="rId20" w:tgtFrame="_new" w:history="1">
        <w:r w:rsidRPr="00905804">
          <w:rPr>
            <w:rStyle w:val="Hyperlink"/>
            <w:rFonts w:ascii="Arial" w:hAnsi="Arial" w:cs="Arial"/>
            <w:color w:val="auto"/>
          </w:rPr>
          <w:t>https://doi.org/10.1111/zph.12432</w:t>
        </w:r>
      </w:hyperlink>
    </w:p>
    <w:p w14:paraId="5F900C28" w14:textId="77777777" w:rsidR="00197E94" w:rsidRPr="00905804" w:rsidRDefault="00197E94" w:rsidP="00CA4637">
      <w:pPr>
        <w:pStyle w:val="NormalWeb"/>
        <w:jc w:val="both"/>
        <w:rPr>
          <w:rFonts w:ascii="Arial" w:hAnsi="Arial" w:cs="Arial"/>
        </w:rPr>
      </w:pPr>
      <w:r w:rsidRPr="00905804">
        <w:rPr>
          <w:rFonts w:ascii="Arial" w:hAnsi="Arial" w:cs="Arial"/>
        </w:rPr>
        <w:t xml:space="preserve">Foley, S. L., Nayak, R., </w:t>
      </w:r>
      <w:proofErr w:type="spellStart"/>
      <w:r w:rsidRPr="00905804">
        <w:rPr>
          <w:rFonts w:ascii="Arial" w:hAnsi="Arial" w:cs="Arial"/>
        </w:rPr>
        <w:t>Hanning</w:t>
      </w:r>
      <w:proofErr w:type="spellEnd"/>
      <w:r w:rsidRPr="00905804">
        <w:rPr>
          <w:rFonts w:ascii="Arial" w:hAnsi="Arial" w:cs="Arial"/>
        </w:rPr>
        <w:t xml:space="preserve">, I. B., Johnson, T. J., Han, J., &amp; </w:t>
      </w:r>
      <w:proofErr w:type="spellStart"/>
      <w:r w:rsidRPr="00905804">
        <w:rPr>
          <w:rFonts w:ascii="Arial" w:hAnsi="Arial" w:cs="Arial"/>
        </w:rPr>
        <w:t>Ricke</w:t>
      </w:r>
      <w:proofErr w:type="spellEnd"/>
      <w:r w:rsidRPr="00905804">
        <w:rPr>
          <w:rFonts w:ascii="Arial" w:hAnsi="Arial" w:cs="Arial"/>
        </w:rPr>
        <w:t xml:space="preserve">, S. C. (2011). Population dynamics of </w:t>
      </w:r>
      <w:r w:rsidRPr="00905804">
        <w:rPr>
          <w:rStyle w:val="Emphasis"/>
          <w:rFonts w:ascii="Arial" w:hAnsi="Arial" w:cs="Arial"/>
        </w:rPr>
        <w:t>Salmonella enterica</w:t>
      </w:r>
      <w:r w:rsidRPr="00905804">
        <w:rPr>
          <w:rFonts w:ascii="Arial" w:hAnsi="Arial" w:cs="Arial"/>
        </w:rPr>
        <w:t xml:space="preserve"> in animal and environmental habitats. </w:t>
      </w:r>
      <w:r w:rsidRPr="00905804">
        <w:rPr>
          <w:rStyle w:val="Emphasis"/>
          <w:rFonts w:ascii="Arial" w:hAnsi="Arial" w:cs="Arial"/>
        </w:rPr>
        <w:t>Microbiology and Molecular Biology Reviews, 75</w:t>
      </w:r>
      <w:r w:rsidRPr="00905804">
        <w:rPr>
          <w:rFonts w:ascii="Arial" w:hAnsi="Arial" w:cs="Arial"/>
        </w:rPr>
        <w:t xml:space="preserve">(4), 582–610. </w:t>
      </w:r>
      <w:hyperlink r:id="rId21" w:tgtFrame="_new" w:history="1">
        <w:r w:rsidRPr="00905804">
          <w:rPr>
            <w:rStyle w:val="Hyperlink"/>
            <w:rFonts w:ascii="Arial" w:hAnsi="Arial" w:cs="Arial"/>
            <w:color w:val="auto"/>
          </w:rPr>
          <w:t>https://doi.org/10.1128/MMBR.00022-11</w:t>
        </w:r>
      </w:hyperlink>
    </w:p>
    <w:p w14:paraId="342F460E" w14:textId="77777777" w:rsidR="00197E94" w:rsidRPr="00905804" w:rsidRDefault="00197E94" w:rsidP="00CA4637">
      <w:pPr>
        <w:pStyle w:val="NormalWeb"/>
        <w:jc w:val="both"/>
        <w:rPr>
          <w:rFonts w:ascii="Arial" w:hAnsi="Arial" w:cs="Arial"/>
        </w:rPr>
      </w:pPr>
      <w:r w:rsidRPr="00905804">
        <w:rPr>
          <w:rFonts w:ascii="Arial" w:hAnsi="Arial" w:cs="Arial"/>
        </w:rPr>
        <w:t xml:space="preserve">Grace, D. (2015). Food safety in </w:t>
      </w:r>
      <w:proofErr w:type="gramStart"/>
      <w:r w:rsidRPr="00905804">
        <w:rPr>
          <w:rFonts w:ascii="Arial" w:hAnsi="Arial" w:cs="Arial"/>
        </w:rPr>
        <w:t>low and middle income</w:t>
      </w:r>
      <w:proofErr w:type="gramEnd"/>
      <w:r w:rsidRPr="00905804">
        <w:rPr>
          <w:rFonts w:ascii="Arial" w:hAnsi="Arial" w:cs="Arial"/>
        </w:rPr>
        <w:t xml:space="preserve"> countries. </w:t>
      </w:r>
      <w:r w:rsidRPr="00905804">
        <w:rPr>
          <w:rStyle w:val="Emphasis"/>
          <w:rFonts w:ascii="Arial" w:hAnsi="Arial" w:cs="Arial"/>
        </w:rPr>
        <w:t>International Journal of Environmental Research and Public Health, 12</w:t>
      </w:r>
      <w:r w:rsidRPr="00905804">
        <w:rPr>
          <w:rFonts w:ascii="Arial" w:hAnsi="Arial" w:cs="Arial"/>
        </w:rPr>
        <w:t xml:space="preserve">(9), 10490–10507. </w:t>
      </w:r>
      <w:hyperlink r:id="rId22" w:tgtFrame="_new" w:history="1">
        <w:r w:rsidRPr="00905804">
          <w:rPr>
            <w:rStyle w:val="Hyperlink"/>
            <w:rFonts w:ascii="Arial" w:hAnsi="Arial" w:cs="Arial"/>
            <w:color w:val="auto"/>
          </w:rPr>
          <w:t>https://doi.org/10.3390/ijerph120910490</w:t>
        </w:r>
      </w:hyperlink>
    </w:p>
    <w:p w14:paraId="149F53AA"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Havelaar</w:t>
      </w:r>
      <w:proofErr w:type="spellEnd"/>
      <w:r w:rsidRPr="00905804">
        <w:rPr>
          <w:rFonts w:ascii="Arial" w:hAnsi="Arial" w:cs="Arial"/>
        </w:rPr>
        <w:t xml:space="preserve">, A. H., Kirk, M. D., Torgerson, P. R., et al. (2015). World Health Organization global estimates of foodborne disease burden. </w:t>
      </w:r>
      <w:proofErr w:type="spellStart"/>
      <w:r w:rsidRPr="00905804">
        <w:rPr>
          <w:rStyle w:val="Emphasis"/>
          <w:rFonts w:ascii="Arial" w:hAnsi="Arial" w:cs="Arial"/>
        </w:rPr>
        <w:t>PLoS</w:t>
      </w:r>
      <w:proofErr w:type="spellEnd"/>
      <w:r w:rsidRPr="00905804">
        <w:rPr>
          <w:rStyle w:val="Emphasis"/>
          <w:rFonts w:ascii="Arial" w:hAnsi="Arial" w:cs="Arial"/>
        </w:rPr>
        <w:t xml:space="preserve"> Medicine, 12</w:t>
      </w:r>
      <w:r w:rsidRPr="00905804">
        <w:rPr>
          <w:rFonts w:ascii="Arial" w:hAnsi="Arial" w:cs="Arial"/>
        </w:rPr>
        <w:t xml:space="preserve">(12), e1001923. </w:t>
      </w:r>
      <w:hyperlink r:id="rId23" w:tgtFrame="_new" w:history="1">
        <w:r w:rsidRPr="00905804">
          <w:rPr>
            <w:rStyle w:val="Hyperlink"/>
            <w:rFonts w:ascii="Arial" w:hAnsi="Arial" w:cs="Arial"/>
            <w:color w:val="auto"/>
          </w:rPr>
          <w:t>https://doi.org/10.1371/journal.pmed.1001923</w:t>
        </w:r>
      </w:hyperlink>
    </w:p>
    <w:p w14:paraId="3F596CA9" w14:textId="77777777" w:rsidR="00197E94" w:rsidRPr="00905804" w:rsidRDefault="00197E94" w:rsidP="00CA4637">
      <w:pPr>
        <w:pStyle w:val="NormalWeb"/>
        <w:jc w:val="both"/>
        <w:rPr>
          <w:rFonts w:ascii="Arial" w:hAnsi="Arial" w:cs="Arial"/>
        </w:rPr>
      </w:pPr>
      <w:r w:rsidRPr="00905804">
        <w:rPr>
          <w:rFonts w:ascii="Arial" w:hAnsi="Arial" w:cs="Arial"/>
        </w:rPr>
        <w:t xml:space="preserve">Humphrey, T. (2014). Public-health aspects of </w:t>
      </w:r>
      <w:r w:rsidRPr="00905804">
        <w:rPr>
          <w:rStyle w:val="Emphasis"/>
          <w:rFonts w:ascii="Arial" w:hAnsi="Arial" w:cs="Arial"/>
        </w:rPr>
        <w:t>Salmonella</w:t>
      </w:r>
      <w:r w:rsidRPr="00905804">
        <w:rPr>
          <w:rFonts w:ascii="Arial" w:hAnsi="Arial" w:cs="Arial"/>
        </w:rPr>
        <w:t xml:space="preserve"> infections. </w:t>
      </w:r>
      <w:r w:rsidRPr="00905804">
        <w:rPr>
          <w:rStyle w:val="Emphasis"/>
          <w:rFonts w:ascii="Arial" w:hAnsi="Arial" w:cs="Arial"/>
        </w:rPr>
        <w:t>Microbiology Spectrum, 2</w:t>
      </w:r>
      <w:r w:rsidRPr="00905804">
        <w:rPr>
          <w:rFonts w:ascii="Arial" w:hAnsi="Arial" w:cs="Arial"/>
        </w:rPr>
        <w:t>(3). https://doi.org/10.1128/microbiolspec.EHEC-0002-2013</w:t>
      </w:r>
    </w:p>
    <w:p w14:paraId="64AA694E" w14:textId="77777777" w:rsidR="00197E94" w:rsidRPr="00905804" w:rsidRDefault="00197E94" w:rsidP="00CA4637">
      <w:pPr>
        <w:pStyle w:val="NormalWeb"/>
        <w:jc w:val="both"/>
        <w:rPr>
          <w:rFonts w:ascii="Arial" w:hAnsi="Arial" w:cs="Arial"/>
        </w:rPr>
      </w:pPr>
      <w:r w:rsidRPr="00905804">
        <w:rPr>
          <w:rFonts w:ascii="Arial" w:hAnsi="Arial" w:cs="Arial"/>
        </w:rPr>
        <w:t xml:space="preserve">International Organization for Standardization. (2017). </w:t>
      </w:r>
      <w:r w:rsidRPr="00905804">
        <w:rPr>
          <w:rStyle w:val="Emphasis"/>
          <w:rFonts w:ascii="Arial" w:hAnsi="Arial" w:cs="Arial"/>
        </w:rPr>
        <w:t>ISO 6579-1: Microbiology of the food chain — Detection of Salmonella spp.</w:t>
      </w:r>
      <w:r w:rsidRPr="00905804">
        <w:rPr>
          <w:rFonts w:ascii="Arial" w:hAnsi="Arial" w:cs="Arial"/>
        </w:rPr>
        <w:t xml:space="preserve"> Geneva: ISO.</w:t>
      </w:r>
    </w:p>
    <w:p w14:paraId="7896D456" w14:textId="5D6CB6DF" w:rsidR="00197E94" w:rsidRPr="00905804" w:rsidRDefault="00197E94" w:rsidP="00CA4637">
      <w:pPr>
        <w:pStyle w:val="NormalWeb"/>
        <w:jc w:val="both"/>
        <w:rPr>
          <w:rFonts w:ascii="Arial" w:hAnsi="Arial" w:cs="Arial"/>
        </w:rPr>
      </w:pPr>
      <w:r w:rsidRPr="00905804">
        <w:rPr>
          <w:rFonts w:ascii="Arial" w:hAnsi="Arial" w:cs="Arial"/>
        </w:rPr>
        <w:lastRenderedPageBreak/>
        <w:t xml:space="preserve">Kariuki, S., &amp; Dougan, G. (2014). Antibacterial resistance in sub-Saharan Africa: an underestimated emergency. </w:t>
      </w:r>
      <w:r w:rsidRPr="00905804">
        <w:rPr>
          <w:rStyle w:val="Emphasis"/>
          <w:rFonts w:ascii="Arial" w:hAnsi="Arial" w:cs="Arial"/>
        </w:rPr>
        <w:t>Annals of the New York Academy of Sciences, 1323</w:t>
      </w:r>
      <w:r w:rsidRPr="00905804">
        <w:rPr>
          <w:rFonts w:ascii="Arial" w:hAnsi="Arial" w:cs="Arial"/>
        </w:rPr>
        <w:t xml:space="preserve">(1), 43–55. </w:t>
      </w:r>
      <w:hyperlink r:id="rId24" w:history="1">
        <w:r w:rsidR="00076438" w:rsidRPr="00905804">
          <w:rPr>
            <w:rStyle w:val="Hyperlink"/>
            <w:rFonts w:ascii="Arial" w:hAnsi="Arial" w:cs="Arial"/>
            <w:color w:val="auto"/>
          </w:rPr>
          <w:t>https://doi.org/10.1111/nyas.12380</w:t>
        </w:r>
      </w:hyperlink>
    </w:p>
    <w:p w14:paraId="314DCB13" w14:textId="4336EF8D" w:rsidR="00076438" w:rsidRPr="00905804" w:rsidRDefault="00076438" w:rsidP="00CA4637">
      <w:pPr>
        <w:jc w:val="both"/>
        <w:rPr>
          <w:rFonts w:ascii="Arial" w:hAnsi="Arial" w:cs="Arial"/>
        </w:rPr>
      </w:pPr>
      <w:proofErr w:type="spellStart"/>
      <w:r w:rsidRPr="00905804">
        <w:rPr>
          <w:rFonts w:ascii="Arial" w:hAnsi="Arial" w:cs="Arial"/>
        </w:rPr>
        <w:t>Makun</w:t>
      </w:r>
      <w:proofErr w:type="spellEnd"/>
      <w:r w:rsidRPr="00905804">
        <w:rPr>
          <w:rFonts w:ascii="Arial" w:hAnsi="Arial" w:cs="Arial"/>
        </w:rPr>
        <w:t xml:space="preserve">, H. A. (2025). </w:t>
      </w:r>
      <w:r w:rsidRPr="00905804">
        <w:rPr>
          <w:rFonts w:ascii="Arial" w:hAnsi="Arial" w:cs="Arial"/>
          <w:i/>
          <w:iCs/>
        </w:rPr>
        <w:t>Prevalence of antibiotic-resistant Salmonella enterica isolates from ready-to-eat meat (</w:t>
      </w:r>
      <w:proofErr w:type="spellStart"/>
      <w:r w:rsidRPr="00905804">
        <w:rPr>
          <w:rFonts w:ascii="Arial" w:hAnsi="Arial" w:cs="Arial"/>
          <w:i/>
          <w:iCs/>
        </w:rPr>
        <w:t>suya</w:t>
      </w:r>
      <w:proofErr w:type="spellEnd"/>
      <w:r w:rsidRPr="00905804">
        <w:rPr>
          <w:rFonts w:ascii="Arial" w:hAnsi="Arial" w:cs="Arial"/>
          <w:i/>
          <w:iCs/>
        </w:rPr>
        <w:t>) and its contact surfaces in Minna Metropolis, Nigeria</w:t>
      </w:r>
      <w:r w:rsidRPr="00905804">
        <w:rPr>
          <w:rFonts w:ascii="Arial" w:hAnsi="Arial" w:cs="Arial"/>
        </w:rPr>
        <w:t>. Food Safety and Risk, 12(1), 1–14. https://doi.org/10.1186/s40550-025-00113-1</w:t>
      </w:r>
    </w:p>
    <w:p w14:paraId="4D5CE2E0" w14:textId="77777777" w:rsidR="00197E94" w:rsidRPr="00905804" w:rsidRDefault="00197E94" w:rsidP="00CA4637">
      <w:pPr>
        <w:pStyle w:val="NormalWeb"/>
        <w:jc w:val="both"/>
        <w:rPr>
          <w:rFonts w:ascii="Arial" w:hAnsi="Arial" w:cs="Arial"/>
        </w:rPr>
      </w:pPr>
      <w:r w:rsidRPr="00905804">
        <w:rPr>
          <w:rFonts w:ascii="Arial" w:hAnsi="Arial" w:cs="Arial"/>
        </w:rPr>
        <w:t xml:space="preserve">Madigan, M. T., Bender, K. S., Buckley, D. H., </w:t>
      </w:r>
      <w:proofErr w:type="spellStart"/>
      <w:r w:rsidRPr="00905804">
        <w:rPr>
          <w:rFonts w:ascii="Arial" w:hAnsi="Arial" w:cs="Arial"/>
        </w:rPr>
        <w:t>Sattley</w:t>
      </w:r>
      <w:proofErr w:type="spellEnd"/>
      <w:r w:rsidRPr="00905804">
        <w:rPr>
          <w:rFonts w:ascii="Arial" w:hAnsi="Arial" w:cs="Arial"/>
        </w:rPr>
        <w:t xml:space="preserve">, W. M., &amp; Stahl, D. A. (2021). </w:t>
      </w:r>
      <w:r w:rsidRPr="00905804">
        <w:rPr>
          <w:rStyle w:val="Emphasis"/>
          <w:rFonts w:ascii="Arial" w:hAnsi="Arial" w:cs="Arial"/>
        </w:rPr>
        <w:t>Brock biology of microorganisms</w:t>
      </w:r>
      <w:r w:rsidRPr="00905804">
        <w:rPr>
          <w:rFonts w:ascii="Arial" w:hAnsi="Arial" w:cs="Arial"/>
        </w:rPr>
        <w:t xml:space="preserve"> (15th ed.). Pearson.</w:t>
      </w:r>
    </w:p>
    <w:p w14:paraId="7F787A1F"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Majowicz</w:t>
      </w:r>
      <w:proofErr w:type="spellEnd"/>
      <w:r w:rsidRPr="00905804">
        <w:rPr>
          <w:rFonts w:ascii="Arial" w:hAnsi="Arial" w:cs="Arial"/>
        </w:rPr>
        <w:t xml:space="preserve">, S. E., Musto, J., </w:t>
      </w:r>
      <w:proofErr w:type="spellStart"/>
      <w:r w:rsidRPr="00905804">
        <w:rPr>
          <w:rFonts w:ascii="Arial" w:hAnsi="Arial" w:cs="Arial"/>
        </w:rPr>
        <w:t>Scallan</w:t>
      </w:r>
      <w:proofErr w:type="spellEnd"/>
      <w:r w:rsidRPr="00905804">
        <w:rPr>
          <w:rFonts w:ascii="Arial" w:hAnsi="Arial" w:cs="Arial"/>
        </w:rPr>
        <w:t xml:space="preserve">, E., et al. (2010). The global burden of nontyphoidal </w:t>
      </w:r>
      <w:r w:rsidRPr="00905804">
        <w:rPr>
          <w:rStyle w:val="Emphasis"/>
          <w:rFonts w:ascii="Arial" w:hAnsi="Arial" w:cs="Arial"/>
        </w:rPr>
        <w:t>Salmonella</w:t>
      </w:r>
      <w:r w:rsidRPr="00905804">
        <w:rPr>
          <w:rFonts w:ascii="Arial" w:hAnsi="Arial" w:cs="Arial"/>
        </w:rPr>
        <w:t xml:space="preserve"> gastroenteritis. </w:t>
      </w:r>
      <w:r w:rsidRPr="00905804">
        <w:rPr>
          <w:rStyle w:val="Emphasis"/>
          <w:rFonts w:ascii="Arial" w:hAnsi="Arial" w:cs="Arial"/>
        </w:rPr>
        <w:t>Clinical Infectious Diseases, 50</w:t>
      </w:r>
      <w:r w:rsidRPr="00905804">
        <w:rPr>
          <w:rFonts w:ascii="Arial" w:hAnsi="Arial" w:cs="Arial"/>
        </w:rPr>
        <w:t xml:space="preserve">(6), 882–889. </w:t>
      </w:r>
      <w:hyperlink r:id="rId25" w:tgtFrame="_new" w:history="1">
        <w:r w:rsidRPr="00905804">
          <w:rPr>
            <w:rStyle w:val="Hyperlink"/>
            <w:rFonts w:ascii="Arial" w:hAnsi="Arial" w:cs="Arial"/>
            <w:color w:val="auto"/>
          </w:rPr>
          <w:t>https://doi.org/10.1086/650733</w:t>
        </w:r>
      </w:hyperlink>
    </w:p>
    <w:p w14:paraId="4BF1F3CB" w14:textId="77777777" w:rsidR="00197E94" w:rsidRPr="00905804" w:rsidRDefault="00197E94" w:rsidP="00CA4637">
      <w:pPr>
        <w:pStyle w:val="NormalWeb"/>
        <w:jc w:val="both"/>
        <w:rPr>
          <w:rFonts w:ascii="Arial" w:hAnsi="Arial" w:cs="Arial"/>
        </w:rPr>
      </w:pPr>
      <w:r w:rsidRPr="00905804">
        <w:rPr>
          <w:rFonts w:ascii="Arial" w:hAnsi="Arial" w:cs="Arial"/>
        </w:rPr>
        <w:t xml:space="preserve">O’Neill, J. (2016). </w:t>
      </w:r>
      <w:r w:rsidRPr="00905804">
        <w:rPr>
          <w:rStyle w:val="Emphasis"/>
          <w:rFonts w:ascii="Arial" w:hAnsi="Arial" w:cs="Arial"/>
        </w:rPr>
        <w:t>Tackling drug-resistant infections globally: Final report and recommendations</w:t>
      </w:r>
      <w:r w:rsidRPr="00905804">
        <w:rPr>
          <w:rFonts w:ascii="Arial" w:hAnsi="Arial" w:cs="Arial"/>
        </w:rPr>
        <w:t>. London: HM Government.</w:t>
      </w:r>
    </w:p>
    <w:p w14:paraId="1C228864" w14:textId="77777777" w:rsidR="00197E94" w:rsidRPr="00905804" w:rsidRDefault="00197E94" w:rsidP="00CA4637">
      <w:pPr>
        <w:pStyle w:val="NormalWeb"/>
        <w:jc w:val="both"/>
        <w:rPr>
          <w:rFonts w:ascii="Arial" w:hAnsi="Arial" w:cs="Arial"/>
        </w:rPr>
      </w:pPr>
      <w:r w:rsidRPr="00905804">
        <w:rPr>
          <w:rFonts w:ascii="Arial" w:hAnsi="Arial" w:cs="Arial"/>
        </w:rPr>
        <w:t xml:space="preserve">Parry, C. M., &amp; Threlfall, E. J. (2008). Antimicrobial resistance in typhoidal and nontyphoidal </w:t>
      </w:r>
      <w:r w:rsidRPr="00905804">
        <w:rPr>
          <w:rStyle w:val="Emphasis"/>
          <w:rFonts w:ascii="Arial" w:hAnsi="Arial" w:cs="Arial"/>
        </w:rPr>
        <w:t>Salmonellae</w:t>
      </w:r>
      <w:r w:rsidRPr="00905804">
        <w:rPr>
          <w:rFonts w:ascii="Arial" w:hAnsi="Arial" w:cs="Arial"/>
        </w:rPr>
        <w:t xml:space="preserve">. </w:t>
      </w:r>
      <w:r w:rsidRPr="00905804">
        <w:rPr>
          <w:rStyle w:val="Emphasis"/>
          <w:rFonts w:ascii="Arial" w:hAnsi="Arial" w:cs="Arial"/>
        </w:rPr>
        <w:t>Current Opinion in Infectious Diseases, 21</w:t>
      </w:r>
      <w:r w:rsidRPr="00905804">
        <w:rPr>
          <w:rFonts w:ascii="Arial" w:hAnsi="Arial" w:cs="Arial"/>
        </w:rPr>
        <w:t>(5), 531–538. https://doi.org/10.1097/QCO.0b013e32830f453a</w:t>
      </w:r>
    </w:p>
    <w:p w14:paraId="73D72F67" w14:textId="77777777" w:rsidR="00197E94" w:rsidRPr="00905804" w:rsidRDefault="00197E94" w:rsidP="00CA4637">
      <w:pPr>
        <w:pStyle w:val="NormalWeb"/>
        <w:jc w:val="both"/>
        <w:rPr>
          <w:rFonts w:ascii="Arial" w:hAnsi="Arial" w:cs="Arial"/>
        </w:rPr>
      </w:pPr>
      <w:r w:rsidRPr="00905804">
        <w:rPr>
          <w:rFonts w:ascii="Arial" w:hAnsi="Arial" w:cs="Arial"/>
        </w:rPr>
        <w:t xml:space="preserve">Redgrave, L. S., Sutton, S. B., Webber, M. A., &amp; Piddock, L. J. V. (2014). Fluoroquinolone resistance: mechanisms, impact on bacteria, and role in evolutionary success. </w:t>
      </w:r>
      <w:r w:rsidRPr="00905804">
        <w:rPr>
          <w:rStyle w:val="Emphasis"/>
          <w:rFonts w:ascii="Arial" w:hAnsi="Arial" w:cs="Arial"/>
        </w:rPr>
        <w:t>Trends in Microbiology, 22</w:t>
      </w:r>
      <w:r w:rsidRPr="00905804">
        <w:rPr>
          <w:rFonts w:ascii="Arial" w:hAnsi="Arial" w:cs="Arial"/>
        </w:rPr>
        <w:t xml:space="preserve">(8), 438–445. </w:t>
      </w:r>
      <w:hyperlink r:id="rId26" w:tgtFrame="_new" w:history="1">
        <w:r w:rsidRPr="00905804">
          <w:rPr>
            <w:rStyle w:val="Hyperlink"/>
            <w:rFonts w:ascii="Arial" w:hAnsi="Arial" w:cs="Arial"/>
            <w:color w:val="auto"/>
          </w:rPr>
          <w:t>https://doi.org/10.1016/j.tim.2014.04.007</w:t>
        </w:r>
      </w:hyperlink>
    </w:p>
    <w:p w14:paraId="214282C6" w14:textId="77777777" w:rsidR="00197E94" w:rsidRPr="00905804" w:rsidRDefault="00197E94" w:rsidP="00CA4637">
      <w:pPr>
        <w:pStyle w:val="NormalWeb"/>
        <w:jc w:val="both"/>
        <w:rPr>
          <w:rFonts w:ascii="Arial" w:hAnsi="Arial" w:cs="Arial"/>
        </w:rPr>
      </w:pPr>
      <w:proofErr w:type="spellStart"/>
      <w:r w:rsidRPr="00905804">
        <w:rPr>
          <w:rFonts w:ascii="Arial" w:hAnsi="Arial" w:cs="Arial"/>
        </w:rPr>
        <w:t>Rincón</w:t>
      </w:r>
      <w:proofErr w:type="spellEnd"/>
      <w:r w:rsidRPr="00905804">
        <w:rPr>
          <w:rFonts w:ascii="Arial" w:hAnsi="Arial" w:cs="Arial"/>
        </w:rPr>
        <w:t xml:space="preserve"> </w:t>
      </w:r>
      <w:proofErr w:type="spellStart"/>
      <w:r w:rsidRPr="00905804">
        <w:rPr>
          <w:rFonts w:ascii="Arial" w:hAnsi="Arial" w:cs="Arial"/>
        </w:rPr>
        <w:t>Gamboa</w:t>
      </w:r>
      <w:proofErr w:type="spellEnd"/>
      <w:r w:rsidRPr="00905804">
        <w:rPr>
          <w:rFonts w:ascii="Arial" w:hAnsi="Arial" w:cs="Arial"/>
        </w:rPr>
        <w:t xml:space="preserve">, S. M., </w:t>
      </w:r>
      <w:proofErr w:type="spellStart"/>
      <w:r w:rsidRPr="00905804">
        <w:rPr>
          <w:rFonts w:ascii="Arial" w:hAnsi="Arial" w:cs="Arial"/>
        </w:rPr>
        <w:t>Poutou</w:t>
      </w:r>
      <w:proofErr w:type="spellEnd"/>
      <w:r w:rsidRPr="00905804">
        <w:rPr>
          <w:rFonts w:ascii="Arial" w:hAnsi="Arial" w:cs="Arial"/>
        </w:rPr>
        <w:t xml:space="preserve"> </w:t>
      </w:r>
      <w:proofErr w:type="spellStart"/>
      <w:r w:rsidRPr="00905804">
        <w:rPr>
          <w:rFonts w:ascii="Arial" w:hAnsi="Arial" w:cs="Arial"/>
        </w:rPr>
        <w:t>Piñales</w:t>
      </w:r>
      <w:proofErr w:type="spellEnd"/>
      <w:r w:rsidRPr="00905804">
        <w:rPr>
          <w:rFonts w:ascii="Arial" w:hAnsi="Arial" w:cs="Arial"/>
        </w:rPr>
        <w:t xml:space="preserve">, R. A., &amp; </w:t>
      </w:r>
      <w:proofErr w:type="spellStart"/>
      <w:r w:rsidRPr="00905804">
        <w:rPr>
          <w:rFonts w:ascii="Arial" w:hAnsi="Arial" w:cs="Arial"/>
        </w:rPr>
        <w:t>Carrascal</w:t>
      </w:r>
      <w:proofErr w:type="spellEnd"/>
      <w:r w:rsidRPr="00905804">
        <w:rPr>
          <w:rFonts w:ascii="Arial" w:hAnsi="Arial" w:cs="Arial"/>
        </w:rPr>
        <w:t xml:space="preserve"> Camacho, A. K. (2021). Antimicrobial resistance of non-typhoidal </w:t>
      </w:r>
      <w:r w:rsidRPr="00905804">
        <w:rPr>
          <w:rStyle w:val="Emphasis"/>
          <w:rFonts w:ascii="Arial" w:hAnsi="Arial" w:cs="Arial"/>
        </w:rPr>
        <w:t>Salmonella</w:t>
      </w:r>
      <w:r w:rsidRPr="00905804">
        <w:rPr>
          <w:rFonts w:ascii="Arial" w:hAnsi="Arial" w:cs="Arial"/>
        </w:rPr>
        <w:t xml:space="preserve"> in meat and meat products. </w:t>
      </w:r>
      <w:r w:rsidRPr="00905804">
        <w:rPr>
          <w:rStyle w:val="Emphasis"/>
          <w:rFonts w:ascii="Arial" w:hAnsi="Arial" w:cs="Arial"/>
        </w:rPr>
        <w:t>Foods, 10</w:t>
      </w:r>
      <w:r w:rsidRPr="00905804">
        <w:rPr>
          <w:rFonts w:ascii="Arial" w:hAnsi="Arial" w:cs="Arial"/>
        </w:rPr>
        <w:t xml:space="preserve">(8), 1731. </w:t>
      </w:r>
      <w:hyperlink r:id="rId27" w:tgtFrame="_new" w:history="1">
        <w:r w:rsidRPr="00905804">
          <w:rPr>
            <w:rStyle w:val="Hyperlink"/>
            <w:rFonts w:ascii="Arial" w:hAnsi="Arial" w:cs="Arial"/>
            <w:color w:val="auto"/>
          </w:rPr>
          <w:t>https://doi.org/10.3390/foods10081731</w:t>
        </w:r>
      </w:hyperlink>
    </w:p>
    <w:p w14:paraId="0F9F9F41" w14:textId="77777777" w:rsidR="00197E94" w:rsidRPr="00905804" w:rsidRDefault="00197E94" w:rsidP="00CA4637">
      <w:pPr>
        <w:pStyle w:val="NormalWeb"/>
        <w:jc w:val="both"/>
        <w:rPr>
          <w:rFonts w:ascii="Arial" w:hAnsi="Arial" w:cs="Arial"/>
        </w:rPr>
      </w:pPr>
      <w:r w:rsidRPr="00905804">
        <w:rPr>
          <w:rFonts w:ascii="Arial" w:hAnsi="Arial" w:cs="Arial"/>
        </w:rPr>
        <w:t xml:space="preserve">Teklemariam, A. D., Al-Hindi, R. R., </w:t>
      </w:r>
      <w:proofErr w:type="spellStart"/>
      <w:r w:rsidRPr="00905804">
        <w:rPr>
          <w:rFonts w:ascii="Arial" w:hAnsi="Arial" w:cs="Arial"/>
        </w:rPr>
        <w:t>Albiheyri</w:t>
      </w:r>
      <w:proofErr w:type="spellEnd"/>
      <w:r w:rsidRPr="00905804">
        <w:rPr>
          <w:rFonts w:ascii="Arial" w:hAnsi="Arial" w:cs="Arial"/>
        </w:rPr>
        <w:t xml:space="preserve">, R. S., et al. (2023). Human salmonellosis: A continuous global threat in the farm-to-fork food safety continuum. </w:t>
      </w:r>
      <w:r w:rsidRPr="00905804">
        <w:rPr>
          <w:rStyle w:val="Emphasis"/>
          <w:rFonts w:ascii="Arial" w:hAnsi="Arial" w:cs="Arial"/>
        </w:rPr>
        <w:t>Foods, 12</w:t>
      </w:r>
      <w:r w:rsidRPr="00905804">
        <w:rPr>
          <w:rFonts w:ascii="Arial" w:hAnsi="Arial" w:cs="Arial"/>
        </w:rPr>
        <w:t xml:space="preserve">(9), 1756. </w:t>
      </w:r>
      <w:hyperlink r:id="rId28" w:tgtFrame="_new" w:history="1">
        <w:r w:rsidRPr="00905804">
          <w:rPr>
            <w:rStyle w:val="Hyperlink"/>
            <w:rFonts w:ascii="Arial" w:hAnsi="Arial" w:cs="Arial"/>
            <w:color w:val="auto"/>
          </w:rPr>
          <w:t>https://doi.org/10.3390/foods12091756</w:t>
        </w:r>
      </w:hyperlink>
    </w:p>
    <w:p w14:paraId="79AD325D" w14:textId="77777777" w:rsidR="00197E94" w:rsidRPr="00905804" w:rsidRDefault="00197E94" w:rsidP="00CA4637">
      <w:pPr>
        <w:pStyle w:val="NormalWeb"/>
        <w:jc w:val="both"/>
        <w:rPr>
          <w:rFonts w:ascii="Arial" w:hAnsi="Arial" w:cs="Arial"/>
        </w:rPr>
      </w:pPr>
      <w:r w:rsidRPr="00905804">
        <w:rPr>
          <w:rFonts w:ascii="Arial" w:hAnsi="Arial" w:cs="Arial"/>
        </w:rPr>
        <w:t xml:space="preserve">U.S. Food and Drug Administration. (2019). </w:t>
      </w:r>
      <w:r w:rsidRPr="00905804">
        <w:rPr>
          <w:rStyle w:val="Emphasis"/>
          <w:rFonts w:ascii="Arial" w:hAnsi="Arial" w:cs="Arial"/>
        </w:rPr>
        <w:t>Bacteriological analytical manual</w:t>
      </w:r>
      <w:r w:rsidRPr="00905804">
        <w:rPr>
          <w:rFonts w:ascii="Arial" w:hAnsi="Arial" w:cs="Arial"/>
        </w:rPr>
        <w:t xml:space="preserve"> (8th ed.). Silver Spring, MD: FDA.</w:t>
      </w:r>
    </w:p>
    <w:p w14:paraId="04720B01" w14:textId="77777777" w:rsidR="00197E94" w:rsidRPr="00905804" w:rsidRDefault="00197E94" w:rsidP="00CA4637">
      <w:pPr>
        <w:pStyle w:val="NormalWeb"/>
        <w:jc w:val="both"/>
        <w:rPr>
          <w:rFonts w:ascii="Arial" w:hAnsi="Arial" w:cs="Arial"/>
        </w:rPr>
      </w:pPr>
      <w:r w:rsidRPr="00905804">
        <w:rPr>
          <w:rFonts w:ascii="Arial" w:hAnsi="Arial" w:cs="Arial"/>
        </w:rPr>
        <w:t xml:space="preserve">Van </w:t>
      </w:r>
      <w:proofErr w:type="spellStart"/>
      <w:r w:rsidRPr="00905804">
        <w:rPr>
          <w:rFonts w:ascii="Arial" w:hAnsi="Arial" w:cs="Arial"/>
        </w:rPr>
        <w:t>Boeckel</w:t>
      </w:r>
      <w:proofErr w:type="spellEnd"/>
      <w:r w:rsidRPr="00905804">
        <w:rPr>
          <w:rFonts w:ascii="Arial" w:hAnsi="Arial" w:cs="Arial"/>
        </w:rPr>
        <w:t xml:space="preserve">, T. P., Brower, C., Gilbert, M., et al. (2015). Global trends in antimicrobial use in food animals. </w:t>
      </w:r>
      <w:r w:rsidRPr="00905804">
        <w:rPr>
          <w:rStyle w:val="Emphasis"/>
          <w:rFonts w:ascii="Arial" w:hAnsi="Arial" w:cs="Arial"/>
        </w:rPr>
        <w:t>Proceedings of the National Academy of Sciences, 112</w:t>
      </w:r>
      <w:r w:rsidRPr="00905804">
        <w:rPr>
          <w:rFonts w:ascii="Arial" w:hAnsi="Arial" w:cs="Arial"/>
        </w:rPr>
        <w:t xml:space="preserve">(18), 5649–5654. </w:t>
      </w:r>
      <w:hyperlink r:id="rId29" w:tgtFrame="_new" w:history="1">
        <w:r w:rsidRPr="00905804">
          <w:rPr>
            <w:rStyle w:val="Hyperlink"/>
            <w:rFonts w:ascii="Arial" w:hAnsi="Arial" w:cs="Arial"/>
            <w:color w:val="auto"/>
          </w:rPr>
          <w:t>https://doi.org/10.1073/pnas.1503141112</w:t>
        </w:r>
      </w:hyperlink>
    </w:p>
    <w:p w14:paraId="261CEA86" w14:textId="77777777" w:rsidR="00197E94" w:rsidRPr="00905804" w:rsidRDefault="00197E94" w:rsidP="00CA4637">
      <w:pPr>
        <w:pStyle w:val="NormalWeb"/>
        <w:jc w:val="both"/>
        <w:rPr>
          <w:rFonts w:ascii="Arial" w:hAnsi="Arial" w:cs="Arial"/>
        </w:rPr>
      </w:pPr>
      <w:r w:rsidRPr="00905804">
        <w:rPr>
          <w:rFonts w:ascii="Arial" w:hAnsi="Arial" w:cs="Arial"/>
        </w:rPr>
        <w:t xml:space="preserve">World Health Organization. (2018). </w:t>
      </w:r>
      <w:r w:rsidRPr="00905804">
        <w:rPr>
          <w:rStyle w:val="Emphasis"/>
          <w:rFonts w:ascii="Arial" w:hAnsi="Arial" w:cs="Arial"/>
        </w:rPr>
        <w:t>Salmonella (non-typhoidal)</w:t>
      </w:r>
      <w:r w:rsidRPr="00905804">
        <w:rPr>
          <w:rFonts w:ascii="Arial" w:hAnsi="Arial" w:cs="Arial"/>
        </w:rPr>
        <w:t>. Geneva: WHO.</w:t>
      </w:r>
    </w:p>
    <w:p w14:paraId="3E5DE342" w14:textId="77777777" w:rsidR="00197E94" w:rsidRPr="00905804" w:rsidRDefault="00197E94" w:rsidP="00CA4637">
      <w:pPr>
        <w:pStyle w:val="NormalWeb"/>
        <w:jc w:val="both"/>
        <w:rPr>
          <w:rFonts w:ascii="Arial" w:hAnsi="Arial" w:cs="Arial"/>
        </w:rPr>
      </w:pPr>
      <w:r w:rsidRPr="00905804">
        <w:rPr>
          <w:rFonts w:ascii="Arial" w:hAnsi="Arial" w:cs="Arial"/>
        </w:rPr>
        <w:t xml:space="preserve">World Health Organization. (2019). </w:t>
      </w:r>
      <w:r w:rsidRPr="00905804">
        <w:rPr>
          <w:rStyle w:val="Emphasis"/>
          <w:rFonts w:ascii="Arial" w:hAnsi="Arial" w:cs="Arial"/>
        </w:rPr>
        <w:t>Critically important antimicrobials for human medicine</w:t>
      </w:r>
      <w:r w:rsidRPr="00905804">
        <w:rPr>
          <w:rFonts w:ascii="Arial" w:hAnsi="Arial" w:cs="Arial"/>
        </w:rPr>
        <w:t xml:space="preserve"> (6th rev.). Geneva: WHO.</w:t>
      </w:r>
    </w:p>
    <w:p w14:paraId="32E426E1" w14:textId="77777777" w:rsidR="00197E94" w:rsidRPr="00905804" w:rsidRDefault="00197E94" w:rsidP="00CA4637">
      <w:pPr>
        <w:pStyle w:val="NormalWeb"/>
        <w:jc w:val="both"/>
        <w:rPr>
          <w:rFonts w:ascii="Arial" w:hAnsi="Arial" w:cs="Arial"/>
        </w:rPr>
      </w:pPr>
      <w:r w:rsidRPr="00905804">
        <w:rPr>
          <w:rFonts w:ascii="Arial" w:hAnsi="Arial" w:cs="Arial"/>
        </w:rPr>
        <w:lastRenderedPageBreak/>
        <w:t xml:space="preserve">Yang, J., Zhang, Z., Zhou, X., et al. (2020). Prevalence and characterization of antimicrobial resistance in </w:t>
      </w:r>
      <w:r w:rsidRPr="00905804">
        <w:rPr>
          <w:rStyle w:val="Emphasis"/>
          <w:rFonts w:ascii="Arial" w:hAnsi="Arial" w:cs="Arial"/>
        </w:rPr>
        <w:t>Salmonella enterica</w:t>
      </w:r>
      <w:r w:rsidRPr="00905804">
        <w:rPr>
          <w:rFonts w:ascii="Arial" w:hAnsi="Arial" w:cs="Arial"/>
        </w:rPr>
        <w:t xml:space="preserve"> isolates from retail foods. </w:t>
      </w:r>
      <w:r w:rsidRPr="00905804">
        <w:rPr>
          <w:rStyle w:val="Emphasis"/>
          <w:rFonts w:ascii="Arial" w:hAnsi="Arial" w:cs="Arial"/>
        </w:rPr>
        <w:t>Foodborne Pathogens and Disease, 17</w:t>
      </w:r>
      <w:r w:rsidRPr="00905804">
        <w:rPr>
          <w:rFonts w:ascii="Arial" w:hAnsi="Arial" w:cs="Arial"/>
        </w:rPr>
        <w:t xml:space="preserve">(1), 35–43. </w:t>
      </w:r>
      <w:hyperlink r:id="rId30" w:tgtFrame="_new" w:history="1">
        <w:r w:rsidRPr="00905804">
          <w:rPr>
            <w:rStyle w:val="Hyperlink"/>
            <w:rFonts w:ascii="Arial" w:hAnsi="Arial" w:cs="Arial"/>
            <w:color w:val="auto"/>
          </w:rPr>
          <w:t>https://doi.org/10.1089/fpd.2019.2671</w:t>
        </w:r>
      </w:hyperlink>
    </w:p>
    <w:p w14:paraId="75B45FA6" w14:textId="77777777" w:rsidR="00197E94" w:rsidRPr="00905804" w:rsidRDefault="00197E94" w:rsidP="00CA4637">
      <w:pPr>
        <w:pStyle w:val="NormalWeb"/>
        <w:jc w:val="both"/>
        <w:rPr>
          <w:rFonts w:ascii="Arial" w:hAnsi="Arial" w:cs="Arial"/>
        </w:rPr>
      </w:pPr>
      <w:r w:rsidRPr="00905804">
        <w:rPr>
          <w:rFonts w:ascii="Arial" w:hAnsi="Arial" w:cs="Arial"/>
        </w:rPr>
        <w:t xml:space="preserve">Yin, X., Dudley, E. G., Pinto, C. N., &amp; </w:t>
      </w:r>
      <w:proofErr w:type="spellStart"/>
      <w:r w:rsidRPr="00905804">
        <w:rPr>
          <w:rFonts w:ascii="Arial" w:hAnsi="Arial" w:cs="Arial"/>
        </w:rPr>
        <w:t>M’ikanatha</w:t>
      </w:r>
      <w:proofErr w:type="spellEnd"/>
      <w:r w:rsidRPr="00905804">
        <w:rPr>
          <w:rFonts w:ascii="Arial" w:hAnsi="Arial" w:cs="Arial"/>
        </w:rPr>
        <w:t xml:space="preserve">, N. M. (2022). Fluoroquinolone sales in food animals and quinolone resistance in non-typhoidal </w:t>
      </w:r>
      <w:r w:rsidRPr="00905804">
        <w:rPr>
          <w:rStyle w:val="Emphasis"/>
          <w:rFonts w:ascii="Arial" w:hAnsi="Arial" w:cs="Arial"/>
        </w:rPr>
        <w:t>Salmonella</w:t>
      </w:r>
      <w:r w:rsidRPr="00905804">
        <w:rPr>
          <w:rFonts w:ascii="Arial" w:hAnsi="Arial" w:cs="Arial"/>
        </w:rPr>
        <w:t xml:space="preserve"> from retail meats. </w:t>
      </w:r>
      <w:r w:rsidRPr="00905804">
        <w:rPr>
          <w:rStyle w:val="Emphasis"/>
          <w:rFonts w:ascii="Arial" w:hAnsi="Arial" w:cs="Arial"/>
        </w:rPr>
        <w:t>Journal of Global Antimicrobial Resistance, 29</w:t>
      </w:r>
      <w:r w:rsidRPr="00905804">
        <w:rPr>
          <w:rFonts w:ascii="Arial" w:hAnsi="Arial" w:cs="Arial"/>
        </w:rPr>
        <w:t xml:space="preserve">, 163–167. </w:t>
      </w:r>
      <w:hyperlink r:id="rId31" w:tgtFrame="_new" w:history="1">
        <w:r w:rsidRPr="00905804">
          <w:rPr>
            <w:rStyle w:val="Hyperlink"/>
            <w:rFonts w:ascii="Arial" w:hAnsi="Arial" w:cs="Arial"/>
            <w:color w:val="auto"/>
          </w:rPr>
          <w:t>https://doi.org/10.1016/j.jgar.2022.03.005</w:t>
        </w:r>
      </w:hyperlink>
    </w:p>
    <w:p w14:paraId="23C6624F" w14:textId="013BEC0F" w:rsidR="00197E94" w:rsidRPr="00905804" w:rsidRDefault="00197E94" w:rsidP="00CA4637">
      <w:pPr>
        <w:jc w:val="both"/>
        <w:rPr>
          <w:rFonts w:ascii="Arial" w:hAnsi="Arial" w:cs="Arial"/>
        </w:rPr>
      </w:pPr>
    </w:p>
    <w:sectPr w:rsidR="00197E94" w:rsidRPr="00905804">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468E" w14:textId="77777777" w:rsidR="00963C06" w:rsidRDefault="00963C06" w:rsidP="0075749F">
      <w:pPr>
        <w:spacing w:after="0" w:line="240" w:lineRule="auto"/>
      </w:pPr>
      <w:r>
        <w:separator/>
      </w:r>
    </w:p>
  </w:endnote>
  <w:endnote w:type="continuationSeparator" w:id="0">
    <w:p w14:paraId="51AFF600" w14:textId="77777777" w:rsidR="00963C06" w:rsidRDefault="00963C06" w:rsidP="0075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8F98" w14:textId="77777777" w:rsidR="0075749F" w:rsidRDefault="00757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D978" w14:textId="77777777" w:rsidR="0075749F" w:rsidRDefault="00757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3ACB" w14:textId="77777777" w:rsidR="0075749F" w:rsidRDefault="0075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E80B3" w14:textId="77777777" w:rsidR="00963C06" w:rsidRDefault="00963C06" w:rsidP="0075749F">
      <w:pPr>
        <w:spacing w:after="0" w:line="240" w:lineRule="auto"/>
      </w:pPr>
      <w:r>
        <w:separator/>
      </w:r>
    </w:p>
  </w:footnote>
  <w:footnote w:type="continuationSeparator" w:id="0">
    <w:p w14:paraId="54320E12" w14:textId="77777777" w:rsidR="00963C06" w:rsidRDefault="00963C06" w:rsidP="0075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7843" w14:textId="04A5E5BF" w:rsidR="0075749F" w:rsidRDefault="00963C06">
    <w:pPr>
      <w:pStyle w:val="Header"/>
    </w:pPr>
    <w:r>
      <w:rPr>
        <w:noProof/>
      </w:rPr>
      <w:pict w14:anchorId="3511B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99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5DDC" w14:textId="3912F050" w:rsidR="0075749F" w:rsidRDefault="00963C06">
    <w:pPr>
      <w:pStyle w:val="Header"/>
    </w:pPr>
    <w:r>
      <w:rPr>
        <w:noProof/>
      </w:rPr>
      <w:pict w14:anchorId="5454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99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E723" w14:textId="03C1E773" w:rsidR="0075749F" w:rsidRDefault="00963C06">
    <w:pPr>
      <w:pStyle w:val="Header"/>
    </w:pPr>
    <w:r>
      <w:rPr>
        <w:noProof/>
      </w:rPr>
      <w:pict w14:anchorId="40792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99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790"/>
    <w:multiLevelType w:val="multilevel"/>
    <w:tmpl w:val="A886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11011"/>
    <w:multiLevelType w:val="multilevel"/>
    <w:tmpl w:val="2C1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C32C8"/>
    <w:multiLevelType w:val="multilevel"/>
    <w:tmpl w:val="DCC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3966"/>
    <w:multiLevelType w:val="multilevel"/>
    <w:tmpl w:val="7FD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86419"/>
    <w:multiLevelType w:val="multilevel"/>
    <w:tmpl w:val="A21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3236"/>
    <w:multiLevelType w:val="multilevel"/>
    <w:tmpl w:val="0C3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24A2D"/>
    <w:multiLevelType w:val="multilevel"/>
    <w:tmpl w:val="CB96F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C1ED5"/>
    <w:multiLevelType w:val="multilevel"/>
    <w:tmpl w:val="F93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F1703"/>
    <w:multiLevelType w:val="multilevel"/>
    <w:tmpl w:val="21D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32D5E"/>
    <w:multiLevelType w:val="multilevel"/>
    <w:tmpl w:val="586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D2F1D"/>
    <w:multiLevelType w:val="multilevel"/>
    <w:tmpl w:val="2ECE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D4698"/>
    <w:multiLevelType w:val="multilevel"/>
    <w:tmpl w:val="F63A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D0F74"/>
    <w:multiLevelType w:val="multilevel"/>
    <w:tmpl w:val="1E1E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27E4E"/>
    <w:multiLevelType w:val="multilevel"/>
    <w:tmpl w:val="804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21A1E"/>
    <w:multiLevelType w:val="multilevel"/>
    <w:tmpl w:val="462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223FC"/>
    <w:multiLevelType w:val="hybridMultilevel"/>
    <w:tmpl w:val="6D500F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EDF18D5"/>
    <w:multiLevelType w:val="multilevel"/>
    <w:tmpl w:val="9D2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930B9"/>
    <w:multiLevelType w:val="multilevel"/>
    <w:tmpl w:val="A84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25BDD"/>
    <w:multiLevelType w:val="hybridMultilevel"/>
    <w:tmpl w:val="1CC0636C"/>
    <w:lvl w:ilvl="0" w:tplc="89B0CE5C">
      <w:start w:val="1"/>
      <w:numFmt w:val="decimal"/>
      <w:lvlText w:val="%1."/>
      <w:lvlJc w:val="left"/>
      <w:pPr>
        <w:ind w:left="720" w:hanging="360"/>
      </w:pPr>
      <w:rPr>
        <w:rFonts w:hint="default"/>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AA75E2E"/>
    <w:multiLevelType w:val="multilevel"/>
    <w:tmpl w:val="C33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E410C"/>
    <w:multiLevelType w:val="multilevel"/>
    <w:tmpl w:val="6F1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463E9"/>
    <w:multiLevelType w:val="multilevel"/>
    <w:tmpl w:val="695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23565"/>
    <w:multiLevelType w:val="multilevel"/>
    <w:tmpl w:val="297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8A73E9"/>
    <w:multiLevelType w:val="multilevel"/>
    <w:tmpl w:val="08F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1"/>
  </w:num>
  <w:num w:numId="4">
    <w:abstractNumId w:val="9"/>
  </w:num>
  <w:num w:numId="5">
    <w:abstractNumId w:val="10"/>
  </w:num>
  <w:num w:numId="6">
    <w:abstractNumId w:val="4"/>
  </w:num>
  <w:num w:numId="7">
    <w:abstractNumId w:val="8"/>
  </w:num>
  <w:num w:numId="8">
    <w:abstractNumId w:val="23"/>
  </w:num>
  <w:num w:numId="9">
    <w:abstractNumId w:val="2"/>
  </w:num>
  <w:num w:numId="10">
    <w:abstractNumId w:val="3"/>
  </w:num>
  <w:num w:numId="11">
    <w:abstractNumId w:val="7"/>
  </w:num>
  <w:num w:numId="12">
    <w:abstractNumId w:val="0"/>
  </w:num>
  <w:num w:numId="13">
    <w:abstractNumId w:val="21"/>
  </w:num>
  <w:num w:numId="14">
    <w:abstractNumId w:val="12"/>
  </w:num>
  <w:num w:numId="15">
    <w:abstractNumId w:val="16"/>
  </w:num>
  <w:num w:numId="16">
    <w:abstractNumId w:val="14"/>
  </w:num>
  <w:num w:numId="17">
    <w:abstractNumId w:val="20"/>
  </w:num>
  <w:num w:numId="18">
    <w:abstractNumId w:val="6"/>
  </w:num>
  <w:num w:numId="19">
    <w:abstractNumId w:val="5"/>
  </w:num>
  <w:num w:numId="20">
    <w:abstractNumId w:val="13"/>
  </w:num>
  <w:num w:numId="21">
    <w:abstractNumId w:val="19"/>
  </w:num>
  <w:num w:numId="22">
    <w:abstractNumId w:val="17"/>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24"/>
    <w:rsid w:val="00024F49"/>
    <w:rsid w:val="000424C2"/>
    <w:rsid w:val="00046754"/>
    <w:rsid w:val="000472A9"/>
    <w:rsid w:val="00053FE1"/>
    <w:rsid w:val="0005497E"/>
    <w:rsid w:val="00063F08"/>
    <w:rsid w:val="000642AD"/>
    <w:rsid w:val="00065F4D"/>
    <w:rsid w:val="00067760"/>
    <w:rsid w:val="00071B11"/>
    <w:rsid w:val="00076438"/>
    <w:rsid w:val="00081ECC"/>
    <w:rsid w:val="00091082"/>
    <w:rsid w:val="0009766D"/>
    <w:rsid w:val="000A297B"/>
    <w:rsid w:val="000A35B6"/>
    <w:rsid w:val="000B442B"/>
    <w:rsid w:val="000B7192"/>
    <w:rsid w:val="000C7A86"/>
    <w:rsid w:val="000D0C89"/>
    <w:rsid w:val="000D5909"/>
    <w:rsid w:val="000F14F6"/>
    <w:rsid w:val="001077EE"/>
    <w:rsid w:val="00114B0A"/>
    <w:rsid w:val="00122B22"/>
    <w:rsid w:val="001455F2"/>
    <w:rsid w:val="00160424"/>
    <w:rsid w:val="00170E5F"/>
    <w:rsid w:val="001766EF"/>
    <w:rsid w:val="00187B29"/>
    <w:rsid w:val="001924B5"/>
    <w:rsid w:val="00197E94"/>
    <w:rsid w:val="001A5C00"/>
    <w:rsid w:val="001B2E5B"/>
    <w:rsid w:val="001B58C8"/>
    <w:rsid w:val="001D1F9D"/>
    <w:rsid w:val="00202365"/>
    <w:rsid w:val="00207423"/>
    <w:rsid w:val="002168DD"/>
    <w:rsid w:val="00221C82"/>
    <w:rsid w:val="00244DDD"/>
    <w:rsid w:val="002562E9"/>
    <w:rsid w:val="00266B25"/>
    <w:rsid w:val="00271F7F"/>
    <w:rsid w:val="00272D9B"/>
    <w:rsid w:val="002753E2"/>
    <w:rsid w:val="00285A39"/>
    <w:rsid w:val="0029654F"/>
    <w:rsid w:val="00296B26"/>
    <w:rsid w:val="002A78FE"/>
    <w:rsid w:val="002C1055"/>
    <w:rsid w:val="002C1C37"/>
    <w:rsid w:val="002C3EFE"/>
    <w:rsid w:val="002C4A85"/>
    <w:rsid w:val="002C5F4A"/>
    <w:rsid w:val="002C6A2A"/>
    <w:rsid w:val="002D0889"/>
    <w:rsid w:val="002D43B1"/>
    <w:rsid w:val="00316D41"/>
    <w:rsid w:val="0031713F"/>
    <w:rsid w:val="00364A2D"/>
    <w:rsid w:val="00372444"/>
    <w:rsid w:val="00373E00"/>
    <w:rsid w:val="00375CB9"/>
    <w:rsid w:val="00377EF2"/>
    <w:rsid w:val="00382893"/>
    <w:rsid w:val="00383B36"/>
    <w:rsid w:val="00385DC8"/>
    <w:rsid w:val="003900C0"/>
    <w:rsid w:val="00392498"/>
    <w:rsid w:val="00393AA9"/>
    <w:rsid w:val="003B1FFF"/>
    <w:rsid w:val="003B503C"/>
    <w:rsid w:val="003C67F3"/>
    <w:rsid w:val="003D1A8F"/>
    <w:rsid w:val="003D70FC"/>
    <w:rsid w:val="003E031E"/>
    <w:rsid w:val="004029CE"/>
    <w:rsid w:val="004211DB"/>
    <w:rsid w:val="00421434"/>
    <w:rsid w:val="004262AE"/>
    <w:rsid w:val="00427D98"/>
    <w:rsid w:val="00441013"/>
    <w:rsid w:val="004455C8"/>
    <w:rsid w:val="00446450"/>
    <w:rsid w:val="0047252D"/>
    <w:rsid w:val="00476778"/>
    <w:rsid w:val="004A1A15"/>
    <w:rsid w:val="004A1DD1"/>
    <w:rsid w:val="004B50B0"/>
    <w:rsid w:val="004B60CC"/>
    <w:rsid w:val="004D1779"/>
    <w:rsid w:val="004D34CD"/>
    <w:rsid w:val="004E1152"/>
    <w:rsid w:val="004F48B8"/>
    <w:rsid w:val="00511D1D"/>
    <w:rsid w:val="00534283"/>
    <w:rsid w:val="00537B3E"/>
    <w:rsid w:val="0054334B"/>
    <w:rsid w:val="00545A91"/>
    <w:rsid w:val="00553D11"/>
    <w:rsid w:val="00567C2F"/>
    <w:rsid w:val="00581D77"/>
    <w:rsid w:val="0059158E"/>
    <w:rsid w:val="00596F60"/>
    <w:rsid w:val="005A1EFC"/>
    <w:rsid w:val="005A4167"/>
    <w:rsid w:val="005F121F"/>
    <w:rsid w:val="005F2253"/>
    <w:rsid w:val="006064F6"/>
    <w:rsid w:val="00610929"/>
    <w:rsid w:val="00617DAF"/>
    <w:rsid w:val="00623C6F"/>
    <w:rsid w:val="006369FD"/>
    <w:rsid w:val="00653A9E"/>
    <w:rsid w:val="00653DC6"/>
    <w:rsid w:val="00656FE6"/>
    <w:rsid w:val="00665156"/>
    <w:rsid w:val="006657DB"/>
    <w:rsid w:val="00693FB5"/>
    <w:rsid w:val="00696F9A"/>
    <w:rsid w:val="00697461"/>
    <w:rsid w:val="006A1188"/>
    <w:rsid w:val="006A3CE0"/>
    <w:rsid w:val="006C6E19"/>
    <w:rsid w:val="006D71FA"/>
    <w:rsid w:val="006E0A47"/>
    <w:rsid w:val="006E0E8C"/>
    <w:rsid w:val="006E45F9"/>
    <w:rsid w:val="006F0679"/>
    <w:rsid w:val="006F3297"/>
    <w:rsid w:val="00703A44"/>
    <w:rsid w:val="007060E7"/>
    <w:rsid w:val="00711689"/>
    <w:rsid w:val="00717B89"/>
    <w:rsid w:val="00722359"/>
    <w:rsid w:val="00724500"/>
    <w:rsid w:val="0072690E"/>
    <w:rsid w:val="0075668F"/>
    <w:rsid w:val="0075749F"/>
    <w:rsid w:val="007A1E27"/>
    <w:rsid w:val="007A3094"/>
    <w:rsid w:val="007C5153"/>
    <w:rsid w:val="007C7FEF"/>
    <w:rsid w:val="007D1B4B"/>
    <w:rsid w:val="007E67B7"/>
    <w:rsid w:val="007F1087"/>
    <w:rsid w:val="007F1CE9"/>
    <w:rsid w:val="008066A3"/>
    <w:rsid w:val="00806D40"/>
    <w:rsid w:val="008111B8"/>
    <w:rsid w:val="00814EE0"/>
    <w:rsid w:val="00820AFE"/>
    <w:rsid w:val="008307BC"/>
    <w:rsid w:val="00834A8F"/>
    <w:rsid w:val="008373A1"/>
    <w:rsid w:val="008512A7"/>
    <w:rsid w:val="008674F8"/>
    <w:rsid w:val="008772A8"/>
    <w:rsid w:val="00897252"/>
    <w:rsid w:val="00897548"/>
    <w:rsid w:val="008B0FFA"/>
    <w:rsid w:val="008B5A53"/>
    <w:rsid w:val="008B70B0"/>
    <w:rsid w:val="008C4F74"/>
    <w:rsid w:val="008C66D3"/>
    <w:rsid w:val="008D33F2"/>
    <w:rsid w:val="008E01B8"/>
    <w:rsid w:val="008E4E5C"/>
    <w:rsid w:val="008F16FE"/>
    <w:rsid w:val="008F2592"/>
    <w:rsid w:val="00905804"/>
    <w:rsid w:val="00906EE3"/>
    <w:rsid w:val="009107E8"/>
    <w:rsid w:val="00916355"/>
    <w:rsid w:val="0092523B"/>
    <w:rsid w:val="009304B1"/>
    <w:rsid w:val="009354CE"/>
    <w:rsid w:val="00936042"/>
    <w:rsid w:val="0093720E"/>
    <w:rsid w:val="00940B7D"/>
    <w:rsid w:val="0095086D"/>
    <w:rsid w:val="00951C92"/>
    <w:rsid w:val="00954BAC"/>
    <w:rsid w:val="00957C27"/>
    <w:rsid w:val="00963C06"/>
    <w:rsid w:val="00967743"/>
    <w:rsid w:val="00975A03"/>
    <w:rsid w:val="009A04DF"/>
    <w:rsid w:val="009A7108"/>
    <w:rsid w:val="009A7F4F"/>
    <w:rsid w:val="009B1C40"/>
    <w:rsid w:val="009B2639"/>
    <w:rsid w:val="009B70E2"/>
    <w:rsid w:val="009C2691"/>
    <w:rsid w:val="009D7E7B"/>
    <w:rsid w:val="009E00EA"/>
    <w:rsid w:val="009E4A87"/>
    <w:rsid w:val="009F03FE"/>
    <w:rsid w:val="009F477A"/>
    <w:rsid w:val="00A00861"/>
    <w:rsid w:val="00A13DCB"/>
    <w:rsid w:val="00A16C24"/>
    <w:rsid w:val="00A24ED3"/>
    <w:rsid w:val="00A262F9"/>
    <w:rsid w:val="00A30DF4"/>
    <w:rsid w:val="00A34056"/>
    <w:rsid w:val="00A3564C"/>
    <w:rsid w:val="00A3670F"/>
    <w:rsid w:val="00A45A09"/>
    <w:rsid w:val="00A56978"/>
    <w:rsid w:val="00A62374"/>
    <w:rsid w:val="00A640DC"/>
    <w:rsid w:val="00A734E4"/>
    <w:rsid w:val="00A75174"/>
    <w:rsid w:val="00A8004F"/>
    <w:rsid w:val="00A864BF"/>
    <w:rsid w:val="00AA0EF4"/>
    <w:rsid w:val="00AA3249"/>
    <w:rsid w:val="00AB0E25"/>
    <w:rsid w:val="00AB25A3"/>
    <w:rsid w:val="00AB4793"/>
    <w:rsid w:val="00AC1183"/>
    <w:rsid w:val="00AC11B4"/>
    <w:rsid w:val="00AC2329"/>
    <w:rsid w:val="00AC729B"/>
    <w:rsid w:val="00AD055B"/>
    <w:rsid w:val="00AF63C1"/>
    <w:rsid w:val="00AF6496"/>
    <w:rsid w:val="00B0056F"/>
    <w:rsid w:val="00B009B6"/>
    <w:rsid w:val="00B04D15"/>
    <w:rsid w:val="00B129D3"/>
    <w:rsid w:val="00B20D9A"/>
    <w:rsid w:val="00B2739F"/>
    <w:rsid w:val="00B275A6"/>
    <w:rsid w:val="00B33174"/>
    <w:rsid w:val="00B366FF"/>
    <w:rsid w:val="00B633A5"/>
    <w:rsid w:val="00B70651"/>
    <w:rsid w:val="00B73375"/>
    <w:rsid w:val="00B82673"/>
    <w:rsid w:val="00B97AD2"/>
    <w:rsid w:val="00B97F17"/>
    <w:rsid w:val="00BA078A"/>
    <w:rsid w:val="00BB58DC"/>
    <w:rsid w:val="00BC66ED"/>
    <w:rsid w:val="00BC7073"/>
    <w:rsid w:val="00BD7D91"/>
    <w:rsid w:val="00BE291A"/>
    <w:rsid w:val="00BF0E86"/>
    <w:rsid w:val="00C30489"/>
    <w:rsid w:val="00C3316F"/>
    <w:rsid w:val="00C43799"/>
    <w:rsid w:val="00C538EF"/>
    <w:rsid w:val="00C56633"/>
    <w:rsid w:val="00C56DCD"/>
    <w:rsid w:val="00C62BE3"/>
    <w:rsid w:val="00C766B0"/>
    <w:rsid w:val="00C777DF"/>
    <w:rsid w:val="00C83FBB"/>
    <w:rsid w:val="00C86BF3"/>
    <w:rsid w:val="00CA0A68"/>
    <w:rsid w:val="00CA4637"/>
    <w:rsid w:val="00CC2792"/>
    <w:rsid w:val="00CD5A52"/>
    <w:rsid w:val="00CD70C7"/>
    <w:rsid w:val="00CE45BC"/>
    <w:rsid w:val="00CE685B"/>
    <w:rsid w:val="00CE6C24"/>
    <w:rsid w:val="00CE7A51"/>
    <w:rsid w:val="00D172CA"/>
    <w:rsid w:val="00D300E6"/>
    <w:rsid w:val="00D36393"/>
    <w:rsid w:val="00D5151A"/>
    <w:rsid w:val="00D5349B"/>
    <w:rsid w:val="00D54AD4"/>
    <w:rsid w:val="00D625FE"/>
    <w:rsid w:val="00D6386F"/>
    <w:rsid w:val="00D878E0"/>
    <w:rsid w:val="00D9181D"/>
    <w:rsid w:val="00D96FAC"/>
    <w:rsid w:val="00D9766E"/>
    <w:rsid w:val="00D97D13"/>
    <w:rsid w:val="00DB630B"/>
    <w:rsid w:val="00DB6817"/>
    <w:rsid w:val="00DC50D9"/>
    <w:rsid w:val="00DD040E"/>
    <w:rsid w:val="00DD0FE8"/>
    <w:rsid w:val="00DD79FA"/>
    <w:rsid w:val="00DE0AAA"/>
    <w:rsid w:val="00DE6C92"/>
    <w:rsid w:val="00DF30B4"/>
    <w:rsid w:val="00E2329E"/>
    <w:rsid w:val="00E23C46"/>
    <w:rsid w:val="00E24689"/>
    <w:rsid w:val="00E41CA3"/>
    <w:rsid w:val="00E51AD0"/>
    <w:rsid w:val="00E53ADD"/>
    <w:rsid w:val="00E54E07"/>
    <w:rsid w:val="00E633A5"/>
    <w:rsid w:val="00E63B62"/>
    <w:rsid w:val="00E74C92"/>
    <w:rsid w:val="00E80D55"/>
    <w:rsid w:val="00E93B86"/>
    <w:rsid w:val="00E96384"/>
    <w:rsid w:val="00EA4BF9"/>
    <w:rsid w:val="00EA6436"/>
    <w:rsid w:val="00EB557A"/>
    <w:rsid w:val="00EC5AEE"/>
    <w:rsid w:val="00EC7DF3"/>
    <w:rsid w:val="00ED0867"/>
    <w:rsid w:val="00ED2E56"/>
    <w:rsid w:val="00ED32A0"/>
    <w:rsid w:val="00ED55A0"/>
    <w:rsid w:val="00EE57FD"/>
    <w:rsid w:val="00EF1EFF"/>
    <w:rsid w:val="00F009B0"/>
    <w:rsid w:val="00F016B9"/>
    <w:rsid w:val="00F03706"/>
    <w:rsid w:val="00F1748B"/>
    <w:rsid w:val="00F321BF"/>
    <w:rsid w:val="00F37852"/>
    <w:rsid w:val="00F404F8"/>
    <w:rsid w:val="00F5781B"/>
    <w:rsid w:val="00F733FF"/>
    <w:rsid w:val="00F936E3"/>
    <w:rsid w:val="00FA69D4"/>
    <w:rsid w:val="00FB495C"/>
    <w:rsid w:val="00FB67CC"/>
    <w:rsid w:val="00FB7170"/>
    <w:rsid w:val="00FC4D60"/>
    <w:rsid w:val="00FD4EBB"/>
    <w:rsid w:val="00FE2077"/>
    <w:rsid w:val="00FF0345"/>
    <w:rsid w:val="00FF1338"/>
    <w:rsid w:val="00FF1ABC"/>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349B1"/>
  <w15:chartTrackingRefBased/>
  <w15:docId w15:val="{B7E7DF63-F4FE-424A-A118-6743086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6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6C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C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C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C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6C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6C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C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C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C24"/>
    <w:rPr>
      <w:rFonts w:eastAsiaTheme="majorEastAsia" w:cstheme="majorBidi"/>
      <w:color w:val="272727" w:themeColor="text1" w:themeTint="D8"/>
    </w:rPr>
  </w:style>
  <w:style w:type="paragraph" w:styleId="Title">
    <w:name w:val="Title"/>
    <w:basedOn w:val="Normal"/>
    <w:next w:val="Normal"/>
    <w:link w:val="TitleChar"/>
    <w:uiPriority w:val="10"/>
    <w:qFormat/>
    <w:rsid w:val="00A16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C24"/>
    <w:pPr>
      <w:spacing w:before="160"/>
      <w:jc w:val="center"/>
    </w:pPr>
    <w:rPr>
      <w:i/>
      <w:iCs/>
      <w:color w:val="404040" w:themeColor="text1" w:themeTint="BF"/>
    </w:rPr>
  </w:style>
  <w:style w:type="character" w:customStyle="1" w:styleId="QuoteChar">
    <w:name w:val="Quote Char"/>
    <w:basedOn w:val="DefaultParagraphFont"/>
    <w:link w:val="Quote"/>
    <w:uiPriority w:val="29"/>
    <w:rsid w:val="00A16C24"/>
    <w:rPr>
      <w:i/>
      <w:iCs/>
      <w:color w:val="404040" w:themeColor="text1" w:themeTint="BF"/>
    </w:rPr>
  </w:style>
  <w:style w:type="paragraph" w:styleId="ListParagraph">
    <w:name w:val="List Paragraph"/>
    <w:basedOn w:val="Normal"/>
    <w:uiPriority w:val="34"/>
    <w:qFormat/>
    <w:rsid w:val="00A16C24"/>
    <w:pPr>
      <w:ind w:left="720"/>
      <w:contextualSpacing/>
    </w:pPr>
  </w:style>
  <w:style w:type="character" w:styleId="IntenseEmphasis">
    <w:name w:val="Intense Emphasis"/>
    <w:basedOn w:val="DefaultParagraphFont"/>
    <w:uiPriority w:val="21"/>
    <w:qFormat/>
    <w:rsid w:val="00A16C24"/>
    <w:rPr>
      <w:i/>
      <w:iCs/>
      <w:color w:val="2F5496" w:themeColor="accent1" w:themeShade="BF"/>
    </w:rPr>
  </w:style>
  <w:style w:type="paragraph" w:styleId="IntenseQuote">
    <w:name w:val="Intense Quote"/>
    <w:basedOn w:val="Normal"/>
    <w:next w:val="Normal"/>
    <w:link w:val="IntenseQuoteChar"/>
    <w:uiPriority w:val="30"/>
    <w:qFormat/>
    <w:rsid w:val="00A16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C24"/>
    <w:rPr>
      <w:i/>
      <w:iCs/>
      <w:color w:val="2F5496" w:themeColor="accent1" w:themeShade="BF"/>
    </w:rPr>
  </w:style>
  <w:style w:type="character" w:styleId="IntenseReference">
    <w:name w:val="Intense Reference"/>
    <w:basedOn w:val="DefaultParagraphFont"/>
    <w:uiPriority w:val="32"/>
    <w:qFormat/>
    <w:rsid w:val="00A16C24"/>
    <w:rPr>
      <w:b/>
      <w:bCs/>
      <w:smallCaps/>
      <w:color w:val="2F5496" w:themeColor="accent1" w:themeShade="BF"/>
      <w:spacing w:val="5"/>
    </w:rPr>
  </w:style>
  <w:style w:type="character" w:styleId="Hyperlink">
    <w:name w:val="Hyperlink"/>
    <w:basedOn w:val="DefaultParagraphFont"/>
    <w:uiPriority w:val="99"/>
    <w:unhideWhenUsed/>
    <w:rsid w:val="00FF1338"/>
    <w:rPr>
      <w:color w:val="0563C1" w:themeColor="hyperlink"/>
      <w:u w:val="single"/>
    </w:rPr>
  </w:style>
  <w:style w:type="character" w:styleId="UnresolvedMention">
    <w:name w:val="Unresolved Mention"/>
    <w:basedOn w:val="DefaultParagraphFont"/>
    <w:uiPriority w:val="99"/>
    <w:semiHidden/>
    <w:unhideWhenUsed/>
    <w:rsid w:val="00FF1338"/>
    <w:rPr>
      <w:color w:val="605E5C"/>
      <w:shd w:val="clear" w:color="auto" w:fill="E1DFDD"/>
    </w:rPr>
  </w:style>
  <w:style w:type="table" w:styleId="TableGrid">
    <w:name w:val="Table Grid"/>
    <w:basedOn w:val="TableNormal"/>
    <w:uiPriority w:val="39"/>
    <w:rsid w:val="0070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21434"/>
    <w:rPr>
      <w:rFonts w:ascii="Times New Roman" w:hAnsi="Times New Roman" w:cs="Times New Roman"/>
    </w:rPr>
  </w:style>
  <w:style w:type="character" w:styleId="Emphasis">
    <w:name w:val="Emphasis"/>
    <w:basedOn w:val="DefaultParagraphFont"/>
    <w:uiPriority w:val="20"/>
    <w:qFormat/>
    <w:rsid w:val="00197E94"/>
    <w:rPr>
      <w:i/>
      <w:iCs/>
    </w:rPr>
  </w:style>
  <w:style w:type="character" w:styleId="Strong">
    <w:name w:val="Strong"/>
    <w:basedOn w:val="DefaultParagraphFont"/>
    <w:uiPriority w:val="22"/>
    <w:qFormat/>
    <w:rsid w:val="00197E94"/>
    <w:rPr>
      <w:b/>
      <w:bCs/>
    </w:rPr>
  </w:style>
  <w:style w:type="paragraph" w:styleId="Header">
    <w:name w:val="header"/>
    <w:basedOn w:val="Normal"/>
    <w:link w:val="HeaderChar"/>
    <w:uiPriority w:val="99"/>
    <w:unhideWhenUsed/>
    <w:rsid w:val="00757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9F"/>
  </w:style>
  <w:style w:type="paragraph" w:styleId="Footer">
    <w:name w:val="footer"/>
    <w:basedOn w:val="Normal"/>
    <w:link w:val="FooterChar"/>
    <w:uiPriority w:val="99"/>
    <w:unhideWhenUsed/>
    <w:rsid w:val="00757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550-025-00113-1" TargetMode="External"/><Relationship Id="rId18" Type="http://schemas.openxmlformats.org/officeDocument/2006/relationships/hyperlink" Target="https://doi.org/10.3201/eid2609.190922" TargetMode="External"/><Relationship Id="rId26" Type="http://schemas.openxmlformats.org/officeDocument/2006/relationships/hyperlink" Target="https://doi.org/10.1016/j.tim.2014.04.007" TargetMode="External"/><Relationship Id="rId39" Type="http://schemas.openxmlformats.org/officeDocument/2006/relationships/theme" Target="theme/theme1.xml"/><Relationship Id="rId21" Type="http://schemas.openxmlformats.org/officeDocument/2006/relationships/hyperlink" Target="https://doi.org/10.1128/MMBR.00022-11"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4314/ajcem.v24i2.5" TargetMode="External"/><Relationship Id="rId17" Type="http://schemas.openxmlformats.org/officeDocument/2006/relationships/hyperlink" Target="https://doi.org/10.1016/j.foodres.2011.10.018" TargetMode="External"/><Relationship Id="rId25" Type="http://schemas.openxmlformats.org/officeDocument/2006/relationships/hyperlink" Target="https://doi.org/10.1086/65073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2866-024-03689-4" TargetMode="External"/><Relationship Id="rId20" Type="http://schemas.openxmlformats.org/officeDocument/2006/relationships/hyperlink" Target="https://doi.org/10.1111/zph.12432" TargetMode="External"/><Relationship Id="rId29" Type="http://schemas.openxmlformats.org/officeDocument/2006/relationships/hyperlink" Target="https://doi.org/10.1073/pnas.1503141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34/microbiol.2017.3.529" TargetMode="External"/><Relationship Id="rId24" Type="http://schemas.openxmlformats.org/officeDocument/2006/relationships/hyperlink" Target="https://doi.org/10.1111/nyas.1238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toxins9030086" TargetMode="External"/><Relationship Id="rId23" Type="http://schemas.openxmlformats.org/officeDocument/2006/relationships/hyperlink" Target="https://doi.org/10.1371/journal.pmed.1001923" TargetMode="External"/><Relationship Id="rId28" Type="http://schemas.openxmlformats.org/officeDocument/2006/relationships/hyperlink" Target="https://doi.org/10.3390/foods12091756" TargetMode="External"/><Relationship Id="rId36"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https://doi.org/10.4315/0362-028X.JFP-16-311" TargetMode="External"/><Relationship Id="rId31" Type="http://schemas.openxmlformats.org/officeDocument/2006/relationships/hyperlink" Target="https://doi.org/10.1016/j.jgar.2022.03.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ijfoodmicro.2019.02.001" TargetMode="External"/><Relationship Id="rId22" Type="http://schemas.openxmlformats.org/officeDocument/2006/relationships/hyperlink" Target="https://doi.org/10.3390/ijerph120910490" TargetMode="External"/><Relationship Id="rId27" Type="http://schemas.openxmlformats.org/officeDocument/2006/relationships/hyperlink" Target="https://doi.org/10.3390/foods10081731" TargetMode="External"/><Relationship Id="rId30" Type="http://schemas.openxmlformats.org/officeDocument/2006/relationships/hyperlink" Target="https://doi.org/10.1089/fpd.2019.2671"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1433</TotalTime>
  <Pages>18</Pages>
  <Words>6111</Words>
  <Characters>34838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312</cp:revision>
  <dcterms:created xsi:type="dcterms:W3CDTF">2026-02-10T10:10:00Z</dcterms:created>
  <dcterms:modified xsi:type="dcterms:W3CDTF">2026-03-07T11:45:00Z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246f79d3-9e39-4b69-80b1-ad83d26966c3</vt:lpwstr>
  </property>
</Properties>
</file>