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98DA4" w14:textId="64800C44" w:rsidR="00B21E9D" w:rsidRPr="00263AA7" w:rsidRDefault="00263AA7" w:rsidP="00B21E9D">
      <w:pPr>
        <w:jc w:val="both"/>
        <w:rPr>
          <w:rFonts w:ascii="Times New Roman" w:hAnsi="Times New Roman" w:cs="Times New Roman"/>
          <w:sz w:val="28"/>
          <w:szCs w:val="28"/>
        </w:rPr>
      </w:pPr>
      <w:r w:rsidRPr="00BE6E2D">
        <w:rPr>
          <w:rFonts w:ascii="Times New Roman" w:hAnsi="Times New Roman" w:cs="Times New Roman"/>
          <w:b/>
          <w:bCs/>
          <w:sz w:val="28"/>
          <w:szCs w:val="28"/>
          <w:highlight w:val="yellow"/>
        </w:rPr>
        <w:t>Tooth Germ</w:t>
      </w:r>
      <w:r w:rsidR="00FA7307">
        <w:rPr>
          <w:rFonts w:ascii="Times New Roman" w:hAnsi="Times New Roman" w:cs="Times New Roman"/>
          <w:b/>
          <w:bCs/>
          <w:sz w:val="28"/>
          <w:szCs w:val="28"/>
          <w:highlight w:val="yellow"/>
        </w:rPr>
        <w:t xml:space="preserve"> </w:t>
      </w:r>
      <w:r w:rsidRPr="00BE6E2D">
        <w:rPr>
          <w:rFonts w:ascii="Times New Roman" w:hAnsi="Times New Roman" w:cs="Times New Roman"/>
          <w:b/>
          <w:bCs/>
          <w:sz w:val="28"/>
          <w:szCs w:val="28"/>
          <w:highlight w:val="yellow"/>
        </w:rPr>
        <w:t xml:space="preserve">Osteomyelitis </w:t>
      </w:r>
      <w:r w:rsidR="00EA698C" w:rsidRPr="00BE6E2D">
        <w:rPr>
          <w:rFonts w:ascii="Times New Roman" w:hAnsi="Times New Roman" w:cs="Times New Roman"/>
          <w:b/>
          <w:bCs/>
          <w:sz w:val="28"/>
          <w:szCs w:val="28"/>
          <w:highlight w:val="yellow"/>
        </w:rPr>
        <w:t xml:space="preserve">in </w:t>
      </w:r>
      <w:r w:rsidR="0041209E" w:rsidRPr="00BE6E2D">
        <w:rPr>
          <w:rFonts w:ascii="Times New Roman" w:hAnsi="Times New Roman" w:cs="Times New Roman"/>
          <w:b/>
          <w:bCs/>
          <w:sz w:val="28"/>
          <w:szCs w:val="28"/>
          <w:highlight w:val="yellow"/>
        </w:rPr>
        <w:t xml:space="preserve">a </w:t>
      </w:r>
      <w:r w:rsidRPr="00BE6E2D">
        <w:rPr>
          <w:rFonts w:ascii="Times New Roman" w:hAnsi="Times New Roman" w:cs="Times New Roman"/>
          <w:b/>
          <w:bCs/>
          <w:sz w:val="28"/>
          <w:szCs w:val="28"/>
          <w:highlight w:val="yellow"/>
        </w:rPr>
        <w:t xml:space="preserve">Child Involving </w:t>
      </w:r>
      <w:r w:rsidR="0041209E" w:rsidRPr="00BE6E2D">
        <w:rPr>
          <w:rFonts w:ascii="Times New Roman" w:hAnsi="Times New Roman" w:cs="Times New Roman"/>
          <w:b/>
          <w:bCs/>
          <w:sz w:val="28"/>
          <w:szCs w:val="28"/>
          <w:highlight w:val="yellow"/>
        </w:rPr>
        <w:t xml:space="preserve">the </w:t>
      </w:r>
      <w:r w:rsidRPr="00BE6E2D">
        <w:rPr>
          <w:rFonts w:ascii="Times New Roman" w:hAnsi="Times New Roman" w:cs="Times New Roman"/>
          <w:b/>
          <w:bCs/>
          <w:sz w:val="28"/>
          <w:szCs w:val="28"/>
          <w:highlight w:val="yellow"/>
        </w:rPr>
        <w:t>Left Mandibular Premolar Region: A Rare Case Report</w:t>
      </w:r>
    </w:p>
    <w:p w14:paraId="13A2499B" w14:textId="77777777" w:rsidR="000D2F7A" w:rsidRDefault="000D2F7A" w:rsidP="00B21E9D">
      <w:pPr>
        <w:jc w:val="both"/>
        <w:rPr>
          <w:rFonts w:ascii="Times New Roman" w:hAnsi="Times New Roman" w:cs="Times New Roman"/>
          <w:sz w:val="32"/>
          <w:szCs w:val="32"/>
        </w:rPr>
      </w:pPr>
    </w:p>
    <w:p w14:paraId="174BBAE0" w14:textId="6CA2F312" w:rsidR="00B21E9D" w:rsidRPr="000D2F7A" w:rsidRDefault="00B21E9D" w:rsidP="00D518CF">
      <w:pPr>
        <w:jc w:val="both"/>
        <w:rPr>
          <w:rFonts w:cstheme="minorHAnsi"/>
          <w:b/>
          <w:bCs/>
          <w:sz w:val="24"/>
          <w:szCs w:val="24"/>
          <w:u w:val="single"/>
        </w:rPr>
      </w:pPr>
      <w:r w:rsidRPr="000D2F7A">
        <w:rPr>
          <w:rFonts w:cstheme="minorHAnsi"/>
          <w:b/>
          <w:bCs/>
          <w:sz w:val="24"/>
          <w:szCs w:val="24"/>
          <w:u w:val="single"/>
        </w:rPr>
        <w:t xml:space="preserve">ABSTRACT </w:t>
      </w:r>
    </w:p>
    <w:p w14:paraId="2D09757A" w14:textId="77777777" w:rsidR="002437A3" w:rsidRPr="002437A3" w:rsidRDefault="002437A3" w:rsidP="00A86466">
      <w:pPr>
        <w:spacing w:before="100" w:beforeAutospacing="1" w:after="100" w:afterAutospacing="1" w:line="240" w:lineRule="auto"/>
        <w:jc w:val="both"/>
        <w:outlineLvl w:val="1"/>
        <w:rPr>
          <w:rFonts w:eastAsiaTheme="minorEastAsia" w:cstheme="minorHAnsi"/>
          <w:kern w:val="0"/>
          <w:sz w:val="24"/>
          <w:szCs w:val="24"/>
          <w:lang w:eastAsia="en-GB"/>
          <w14:ligatures w14:val="none"/>
        </w:rPr>
      </w:pPr>
      <w:r w:rsidRPr="002437A3">
        <w:rPr>
          <w:rFonts w:eastAsiaTheme="minorEastAsia" w:cstheme="minorHAnsi"/>
          <w:b/>
          <w:bCs/>
          <w:kern w:val="0"/>
          <w:sz w:val="24"/>
          <w:szCs w:val="24"/>
          <w:lang w:eastAsia="en-GB"/>
          <w14:ligatures w14:val="none"/>
        </w:rPr>
        <w:t>Background:</w:t>
      </w:r>
      <w:r w:rsidRPr="002437A3">
        <w:rPr>
          <w:rFonts w:eastAsiaTheme="minorEastAsia" w:cstheme="minorHAnsi"/>
          <w:kern w:val="0"/>
          <w:sz w:val="24"/>
          <w:szCs w:val="24"/>
          <w:lang w:eastAsia="en-GB"/>
          <w14:ligatures w14:val="none"/>
        </w:rPr>
        <w:br/>
        <w:t>Tooth germ osteomyelitis is a rare inflammatory condition involving the developing tooth follicle and surrounding alveolar bone in paediatric patients. Due to its uncommon occurrence and nonspecific clinical presentation, the condition is often overlooked, leading to delayed diagnosis and management. If not identified early, the infection may compromise the developing permanent dentition and result in disturbances in mandibular growth.</w:t>
      </w:r>
    </w:p>
    <w:p w14:paraId="5EEC9033" w14:textId="77777777" w:rsidR="002437A3" w:rsidRPr="002437A3" w:rsidRDefault="002437A3" w:rsidP="00A86466">
      <w:pPr>
        <w:spacing w:before="100" w:beforeAutospacing="1" w:after="100" w:afterAutospacing="1" w:line="240" w:lineRule="auto"/>
        <w:jc w:val="both"/>
        <w:outlineLvl w:val="1"/>
        <w:rPr>
          <w:rFonts w:eastAsiaTheme="minorEastAsia" w:cstheme="minorHAnsi"/>
          <w:kern w:val="0"/>
          <w:sz w:val="24"/>
          <w:szCs w:val="24"/>
          <w:lang w:eastAsia="en-GB"/>
          <w14:ligatures w14:val="none"/>
        </w:rPr>
      </w:pPr>
      <w:r w:rsidRPr="002437A3">
        <w:rPr>
          <w:rFonts w:eastAsiaTheme="minorEastAsia" w:cstheme="minorHAnsi"/>
          <w:b/>
          <w:bCs/>
          <w:kern w:val="0"/>
          <w:sz w:val="24"/>
          <w:szCs w:val="24"/>
          <w:lang w:eastAsia="en-GB"/>
          <w14:ligatures w14:val="none"/>
        </w:rPr>
        <w:t>Case Presentation:</w:t>
      </w:r>
      <w:r w:rsidRPr="002437A3">
        <w:rPr>
          <w:rFonts w:eastAsiaTheme="minorEastAsia" w:cstheme="minorHAnsi"/>
          <w:kern w:val="0"/>
          <w:sz w:val="24"/>
          <w:szCs w:val="24"/>
          <w:lang w:eastAsia="en-GB"/>
          <w14:ligatures w14:val="none"/>
        </w:rPr>
        <w:br/>
        <w:t xml:space="preserve">A 7-year-old child presented with swelling and discomfort in the left mandibular posterior region. Clinical examination revealed localised intraoral swelling and tenderness in the mandibular left premolar region, associated with mild facial asymmetry. Radiographic evaluation using </w:t>
      </w:r>
      <w:r w:rsidRPr="002437A3">
        <w:rPr>
          <w:rFonts w:eastAsiaTheme="minorEastAsia" w:cstheme="minorHAnsi"/>
          <w:b/>
          <w:bCs/>
          <w:kern w:val="0"/>
          <w:sz w:val="24"/>
          <w:szCs w:val="24"/>
          <w:lang w:eastAsia="en-GB"/>
          <w14:ligatures w14:val="none"/>
        </w:rPr>
        <w:t>Cone Beam Computed Tomography (CBCT)</w:t>
      </w:r>
      <w:r w:rsidRPr="002437A3">
        <w:rPr>
          <w:rFonts w:eastAsiaTheme="minorEastAsia" w:cstheme="minorHAnsi"/>
          <w:kern w:val="0"/>
          <w:sz w:val="24"/>
          <w:szCs w:val="24"/>
          <w:lang w:eastAsia="en-GB"/>
          <w14:ligatures w14:val="none"/>
        </w:rPr>
        <w:t xml:space="preserve"> revealed an ill-defined radiolucent lesion associated with the developing premolar tooth germ, suggestive of inflammatory bone destruction. Based on the clinical and radiographic findings, a provisional diagnosis of tooth germ osteomyelitis was established.</w:t>
      </w:r>
    </w:p>
    <w:p w14:paraId="3464EE49" w14:textId="77777777" w:rsidR="002437A3" w:rsidRPr="002437A3" w:rsidRDefault="002437A3" w:rsidP="00A86466">
      <w:pPr>
        <w:spacing w:before="100" w:beforeAutospacing="1" w:after="100" w:afterAutospacing="1" w:line="240" w:lineRule="auto"/>
        <w:jc w:val="both"/>
        <w:outlineLvl w:val="1"/>
        <w:rPr>
          <w:rFonts w:eastAsiaTheme="minorEastAsia" w:cstheme="minorHAnsi"/>
          <w:kern w:val="0"/>
          <w:sz w:val="24"/>
          <w:szCs w:val="24"/>
          <w:lang w:eastAsia="en-GB"/>
          <w14:ligatures w14:val="none"/>
        </w:rPr>
      </w:pPr>
      <w:r w:rsidRPr="002437A3">
        <w:rPr>
          <w:rFonts w:eastAsiaTheme="minorEastAsia" w:cstheme="minorHAnsi"/>
          <w:b/>
          <w:bCs/>
          <w:kern w:val="0"/>
          <w:sz w:val="24"/>
          <w:szCs w:val="24"/>
          <w:lang w:eastAsia="en-GB"/>
          <w14:ligatures w14:val="none"/>
        </w:rPr>
        <w:t>Management and Intervention:</w:t>
      </w:r>
      <w:r w:rsidRPr="002437A3">
        <w:rPr>
          <w:rFonts w:eastAsiaTheme="minorEastAsia" w:cstheme="minorHAnsi"/>
          <w:kern w:val="0"/>
          <w:sz w:val="24"/>
          <w:szCs w:val="24"/>
          <w:lang w:eastAsia="en-GB"/>
          <w14:ligatures w14:val="none"/>
        </w:rPr>
        <w:br/>
        <w:t>The patient underwent surgical exploration and debridement of the infected bone along with removal of necrotic tissue under appropriate antibiotic coverage. Care was taken to preserve surrounding anatomical structures and minimise damage to the developing dentition. Postoperative management included systemic antibiotics, analgesics, and regular clinical and radiographic follow-up.</w:t>
      </w:r>
    </w:p>
    <w:p w14:paraId="1F1646BB" w14:textId="77777777" w:rsidR="002437A3" w:rsidRPr="002437A3" w:rsidRDefault="002437A3" w:rsidP="00A86466">
      <w:pPr>
        <w:spacing w:before="100" w:beforeAutospacing="1" w:after="100" w:afterAutospacing="1" w:line="240" w:lineRule="auto"/>
        <w:jc w:val="both"/>
        <w:outlineLvl w:val="1"/>
        <w:rPr>
          <w:rFonts w:eastAsiaTheme="minorEastAsia" w:cstheme="minorHAnsi"/>
          <w:kern w:val="0"/>
          <w:sz w:val="24"/>
          <w:szCs w:val="24"/>
          <w:lang w:eastAsia="en-GB"/>
          <w14:ligatures w14:val="none"/>
        </w:rPr>
      </w:pPr>
      <w:r w:rsidRPr="002437A3">
        <w:rPr>
          <w:rFonts w:eastAsiaTheme="minorEastAsia" w:cstheme="minorHAnsi"/>
          <w:b/>
          <w:bCs/>
          <w:kern w:val="0"/>
          <w:sz w:val="24"/>
          <w:szCs w:val="24"/>
          <w:lang w:eastAsia="en-GB"/>
          <w14:ligatures w14:val="none"/>
        </w:rPr>
        <w:t>Outcome:</w:t>
      </w:r>
      <w:r w:rsidRPr="002437A3">
        <w:rPr>
          <w:rFonts w:eastAsiaTheme="minorEastAsia" w:cstheme="minorHAnsi"/>
          <w:kern w:val="0"/>
          <w:sz w:val="24"/>
          <w:szCs w:val="24"/>
          <w:lang w:eastAsia="en-GB"/>
          <w14:ligatures w14:val="none"/>
        </w:rPr>
        <w:br/>
        <w:t>The postoperative course was uneventful, with gradual resolution of swelling and pain. Follow-up radiographic evaluation demonstrated progressive bone healing without evidence of recurrence or persistent infection. Mandibular growth and development of adjacent teeth were preserved.</w:t>
      </w:r>
    </w:p>
    <w:p w14:paraId="34A4301A" w14:textId="77777777" w:rsidR="002437A3" w:rsidRPr="002437A3" w:rsidRDefault="002437A3" w:rsidP="00A86466">
      <w:pPr>
        <w:spacing w:before="100" w:beforeAutospacing="1" w:after="100" w:afterAutospacing="1" w:line="240" w:lineRule="auto"/>
        <w:jc w:val="both"/>
        <w:outlineLvl w:val="1"/>
        <w:rPr>
          <w:rFonts w:eastAsiaTheme="minorEastAsia" w:cstheme="minorHAnsi"/>
          <w:kern w:val="0"/>
          <w:sz w:val="24"/>
          <w:szCs w:val="24"/>
          <w:lang w:eastAsia="en-GB"/>
          <w14:ligatures w14:val="none"/>
        </w:rPr>
      </w:pPr>
      <w:r w:rsidRPr="002437A3">
        <w:rPr>
          <w:rFonts w:eastAsiaTheme="minorEastAsia" w:cstheme="minorHAnsi"/>
          <w:b/>
          <w:bCs/>
          <w:kern w:val="0"/>
          <w:sz w:val="24"/>
          <w:szCs w:val="24"/>
          <w:lang w:eastAsia="en-GB"/>
          <w14:ligatures w14:val="none"/>
        </w:rPr>
        <w:t>Conclusion:</w:t>
      </w:r>
      <w:r w:rsidRPr="002437A3">
        <w:rPr>
          <w:rFonts w:eastAsiaTheme="minorEastAsia" w:cstheme="minorHAnsi"/>
          <w:kern w:val="0"/>
          <w:sz w:val="24"/>
          <w:szCs w:val="24"/>
          <w:lang w:eastAsia="en-GB"/>
          <w14:ligatures w14:val="none"/>
        </w:rPr>
        <w:br/>
        <w:t>Tooth germ osteomyelitis is a rare but potentially serious paediatric condition. Early diagnosis with the aid of advanced imaging such as CBCT, appropriate surgical intervention, and close follow-up are essential to prevent damage to developing tooth germs and ensure normal mandibular growth. Increased clinical awareness is crucial for timely management of this uncommon entity.</w:t>
      </w:r>
    </w:p>
    <w:p w14:paraId="642522DC" w14:textId="633760F6" w:rsidR="00B21E9D" w:rsidRPr="00B72B0C" w:rsidRDefault="00F84D48" w:rsidP="00A86466">
      <w:pPr>
        <w:spacing w:before="100" w:beforeAutospacing="1" w:after="100" w:afterAutospacing="1" w:line="240" w:lineRule="auto"/>
        <w:jc w:val="both"/>
        <w:outlineLvl w:val="1"/>
        <w:rPr>
          <w:rFonts w:eastAsiaTheme="minorEastAsia" w:cstheme="minorHAnsi"/>
          <w:kern w:val="0"/>
          <w:sz w:val="24"/>
          <w:szCs w:val="24"/>
          <w:lang w:eastAsia="en-GB"/>
          <w14:ligatures w14:val="none"/>
        </w:rPr>
      </w:pPr>
      <w:r w:rsidRPr="000D2F7A">
        <w:rPr>
          <w:rFonts w:eastAsia="Times New Roman" w:cstheme="minorHAnsi"/>
          <w:b/>
          <w:bCs/>
          <w:kern w:val="0"/>
          <w:sz w:val="24"/>
          <w:szCs w:val="24"/>
          <w:u w:val="single"/>
          <w:lang w:eastAsia="en-GB"/>
          <w14:ligatures w14:val="none"/>
        </w:rPr>
        <w:t>Keywords</w:t>
      </w:r>
      <w:r w:rsidR="00B21E9D" w:rsidRPr="000D2F7A">
        <w:rPr>
          <w:rFonts w:eastAsia="Times New Roman" w:cstheme="minorHAnsi"/>
          <w:b/>
          <w:bCs/>
          <w:kern w:val="0"/>
          <w:sz w:val="24"/>
          <w:szCs w:val="24"/>
          <w:u w:val="single"/>
          <w:lang w:eastAsia="en-GB"/>
          <w14:ligatures w14:val="none"/>
        </w:rPr>
        <w:t>:</w:t>
      </w:r>
      <w:r w:rsidR="00B21E9D" w:rsidRPr="00B72B0C">
        <w:rPr>
          <w:rFonts w:eastAsia="Times New Roman" w:cstheme="minorHAnsi"/>
          <w:kern w:val="0"/>
          <w:sz w:val="24"/>
          <w:szCs w:val="24"/>
          <w:lang w:eastAsia="en-GB"/>
          <w14:ligatures w14:val="none"/>
        </w:rPr>
        <w:t xml:space="preserve"> </w:t>
      </w:r>
      <w:r w:rsidR="00B21E9D" w:rsidRPr="00B72B0C">
        <w:rPr>
          <w:rFonts w:eastAsiaTheme="minorEastAsia" w:cstheme="minorHAnsi"/>
          <w:kern w:val="0"/>
          <w:sz w:val="24"/>
          <w:szCs w:val="24"/>
          <w:lang w:eastAsia="en-GB"/>
          <w14:ligatures w14:val="none"/>
        </w:rPr>
        <w:t xml:space="preserve">Tooth germ osteomyelitis; </w:t>
      </w:r>
      <w:r w:rsidRPr="00B72B0C">
        <w:rPr>
          <w:rFonts w:eastAsiaTheme="minorEastAsia" w:cstheme="minorHAnsi"/>
          <w:kern w:val="0"/>
          <w:sz w:val="24"/>
          <w:szCs w:val="24"/>
          <w:lang w:eastAsia="en-GB"/>
          <w14:ligatures w14:val="none"/>
        </w:rPr>
        <w:t>Paediatric</w:t>
      </w:r>
      <w:r w:rsidR="00B21E9D" w:rsidRPr="00B72B0C">
        <w:rPr>
          <w:rFonts w:eastAsiaTheme="minorEastAsia" w:cstheme="minorHAnsi"/>
          <w:kern w:val="0"/>
          <w:sz w:val="24"/>
          <w:szCs w:val="24"/>
          <w:lang w:eastAsia="en-GB"/>
          <w14:ligatures w14:val="none"/>
        </w:rPr>
        <w:t xml:space="preserve"> mandibular osteomyelitis; </w:t>
      </w:r>
      <w:r w:rsidRPr="00B72B0C">
        <w:rPr>
          <w:rFonts w:eastAsiaTheme="minorEastAsia" w:cstheme="minorHAnsi"/>
          <w:kern w:val="0"/>
          <w:sz w:val="24"/>
          <w:szCs w:val="24"/>
          <w:lang w:eastAsia="en-GB"/>
          <w14:ligatures w14:val="none"/>
        </w:rPr>
        <w:t>Paediatric</w:t>
      </w:r>
      <w:r w:rsidR="00B21E9D" w:rsidRPr="00B72B0C">
        <w:rPr>
          <w:rFonts w:eastAsiaTheme="minorEastAsia" w:cstheme="minorHAnsi"/>
          <w:kern w:val="0"/>
          <w:sz w:val="24"/>
          <w:szCs w:val="24"/>
          <w:lang w:eastAsia="en-GB"/>
          <w14:ligatures w14:val="none"/>
        </w:rPr>
        <w:t xml:space="preserve"> jaw infection; Mandibular premolar region; Odontogenic infection; </w:t>
      </w:r>
      <w:r w:rsidRPr="00B72B0C">
        <w:rPr>
          <w:rFonts w:eastAsiaTheme="minorEastAsia" w:cstheme="minorHAnsi"/>
          <w:kern w:val="0"/>
          <w:sz w:val="24"/>
          <w:szCs w:val="24"/>
          <w:lang w:eastAsia="en-GB"/>
          <w14:ligatures w14:val="none"/>
        </w:rPr>
        <w:t>Paediatric</w:t>
      </w:r>
      <w:r w:rsidR="00B21E9D" w:rsidRPr="00B72B0C">
        <w:rPr>
          <w:rFonts w:eastAsiaTheme="minorEastAsia" w:cstheme="minorHAnsi"/>
          <w:kern w:val="0"/>
          <w:sz w:val="24"/>
          <w:szCs w:val="24"/>
          <w:lang w:eastAsia="en-GB"/>
          <w14:ligatures w14:val="none"/>
        </w:rPr>
        <w:t xml:space="preserve"> oral pathology; Surgical debridement</w:t>
      </w:r>
    </w:p>
    <w:p w14:paraId="7FB74156" w14:textId="77777777" w:rsidR="00B21E9D" w:rsidRPr="000D2F7A" w:rsidRDefault="00B21E9D" w:rsidP="00B21E9D">
      <w:pPr>
        <w:rPr>
          <w:rFonts w:cstheme="minorHAnsi"/>
          <w:b/>
          <w:bCs/>
          <w:sz w:val="24"/>
          <w:szCs w:val="24"/>
          <w:u w:val="single"/>
        </w:rPr>
      </w:pPr>
      <w:r w:rsidRPr="000D2F7A">
        <w:rPr>
          <w:rFonts w:cstheme="minorHAnsi"/>
          <w:b/>
          <w:bCs/>
          <w:sz w:val="24"/>
          <w:szCs w:val="24"/>
          <w:u w:val="single"/>
        </w:rPr>
        <w:t>INTRODUCTION</w:t>
      </w:r>
    </w:p>
    <w:p w14:paraId="34528444" w14:textId="77777777" w:rsidR="00B21E9D" w:rsidRPr="00B72B0C" w:rsidRDefault="00B21E9D" w:rsidP="004F4CB4">
      <w:pPr>
        <w:spacing w:before="100" w:beforeAutospacing="1" w:after="100" w:afterAutospacing="1" w:line="240" w:lineRule="auto"/>
        <w:jc w:val="both"/>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lastRenderedPageBreak/>
        <w:t>Osteomyelitis of the jaws is an inflammatory condition of bone characterised by infection and progressive destruction of the cortical and cancellous bone structures. Although osteomyelitis can affect individuals of all age groups, its occurrence in children is uncommon due to the rich vascular supply of the maxilla and mandible, which helps rapid immune response and healing of infected tissues [1]. The vascularity of paediatric jaw bones and the presence of active bone remodelling often limit the spread of infection; however, when infection occurs, it may progress rapidly and affect adjacent developing structures [2].</w:t>
      </w:r>
    </w:p>
    <w:p w14:paraId="5CA900A4" w14:textId="77777777" w:rsidR="00B21E9D" w:rsidRPr="00B72B0C" w:rsidRDefault="00B21E9D" w:rsidP="004F4CB4">
      <w:pPr>
        <w:spacing w:before="100" w:beforeAutospacing="1" w:after="100" w:afterAutospacing="1" w:line="240" w:lineRule="auto"/>
        <w:jc w:val="both"/>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Osteomyelitis of the jaws may be classified as acute, subacute, or chronic depending on the duration and severity of the infection. The condition commonly arises from odontogenic infections, trauma, postoperative complications, or hematogenous spread of microorganisms [3]. In paediatric patients, odontogenic sources remain the most common etiological factor, particularly infections originating from untreated dental caries, pulpal necrosis, or periodontal infections associated with deciduous teeth [4]. These infections may spread to the surrounding bone through the periodontal ligament space or medullary spaces, resulting in inflammatory bone destruction and sequestration.</w:t>
      </w:r>
    </w:p>
    <w:p w14:paraId="5A8A688C" w14:textId="4C43929B" w:rsidR="00B21E9D" w:rsidRPr="00B72B0C" w:rsidRDefault="00B21E9D" w:rsidP="004F4CB4">
      <w:pPr>
        <w:spacing w:before="100" w:beforeAutospacing="1" w:after="100" w:afterAutospacing="1" w:line="240" w:lineRule="auto"/>
        <w:jc w:val="both"/>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Tooth germ osteomyelitis stands for a rare and distinctive form of jaw osteomyelitis that involves the developing tooth follicle and surrounding alveolar bone. The infection typically affects children during the mixed dentition period when permanent tooth germs are actively developing within the alveolar process [5]. In most cases, the infection originates from an infected deciduous tooth or from odontogenic sources in proximity to the developing permanent tooth germ. Trauma, poor oral hygiene, and delayed treatment of dental infections may further contribute to the development of this condition [6].</w:t>
      </w:r>
    </w:p>
    <w:p w14:paraId="0AD99BF4" w14:textId="77777777" w:rsidR="00B21E9D" w:rsidRPr="00B72B0C" w:rsidRDefault="00B21E9D" w:rsidP="004F4CB4">
      <w:pPr>
        <w:spacing w:before="100" w:beforeAutospacing="1" w:after="100" w:afterAutospacing="1" w:line="240" w:lineRule="auto"/>
        <w:jc w:val="both"/>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The clinical presentation of tooth germ osteomyelitis can vary and is often nonspecific, which makes early diagnosis challenging. Patients commonly present with symptoms such as localised pain, swelling, tenderness, and sometimes purulent discharge from the affected region. In some cases, systemic manifestations including fever, malaise, and regional lymphadenopathy may also be present [7]. Extra-oral swelling and facial asymmetry may occur when the infection extends into adjacent soft tissues. Intraoral examination may reveal gingival swelling, mucosal erythema, or fluctuant swelling in the affected region [8].</w:t>
      </w:r>
    </w:p>
    <w:p w14:paraId="594091FE" w14:textId="1FDBA0C6" w:rsidR="00B21E9D" w:rsidRPr="00B72B0C" w:rsidRDefault="00B21E9D" w:rsidP="004F4CB4">
      <w:pPr>
        <w:spacing w:before="100" w:beforeAutospacing="1" w:after="100" w:afterAutospacing="1" w:line="240" w:lineRule="auto"/>
        <w:jc w:val="both"/>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 xml:space="preserve">Radiographic examination plays a crucial role in the diagnosis of osteomyelitis of the jaws. Early radiographic changes may include ill-defined radiolucent areas around the developing tooth germ, widening of the follicular space, and destruction of surrounding trabecular bone. As the disease progresses, more pronounced radiographic features such as cortical bone destruction, sequestration, and periosteal reaction may become clear [9]. However, these radiographic findings may mimic other odontogenic and non-odontogenic lesions such as odontogenic cysts, </w:t>
      </w:r>
      <w:r w:rsidR="00F84D48" w:rsidRPr="00B72B0C">
        <w:rPr>
          <w:rFonts w:eastAsiaTheme="minorEastAsia" w:cstheme="minorHAnsi"/>
          <w:kern w:val="0"/>
          <w:sz w:val="24"/>
          <w:szCs w:val="24"/>
          <w:lang w:eastAsia="en-GB"/>
          <w14:ligatures w14:val="none"/>
        </w:rPr>
        <w:t>tumours</w:t>
      </w:r>
      <w:r w:rsidRPr="00B72B0C">
        <w:rPr>
          <w:rFonts w:eastAsiaTheme="minorEastAsia" w:cstheme="minorHAnsi"/>
          <w:kern w:val="0"/>
          <w:sz w:val="24"/>
          <w:szCs w:val="24"/>
          <w:lang w:eastAsia="en-GB"/>
          <w14:ligatures w14:val="none"/>
        </w:rPr>
        <w:t>, or chronic inflammatory conditions, further complicating the diagnostic process [10].</w:t>
      </w:r>
    </w:p>
    <w:p w14:paraId="1D2D9983" w14:textId="724DFEFE" w:rsidR="00B21E9D" w:rsidRDefault="00B21E9D" w:rsidP="004F4CB4">
      <w:pPr>
        <w:spacing w:before="100" w:beforeAutospacing="1" w:after="100" w:afterAutospacing="1" w:line="240" w:lineRule="auto"/>
        <w:jc w:val="both"/>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 xml:space="preserve">The developing permanent tooth germ is particularly vulnerable to infection because of its proximity to infected deciduous teeth and the thin cortical bone in children. Infection involving the tooth germ may interfere with normal odontogenesis and result in several long-term complications. These complications may include arrested tooth development, hypoplasia of the permanent tooth, delayed or failed eruption, displacement of the tooth </w:t>
      </w:r>
      <w:r w:rsidRPr="00B72B0C">
        <w:rPr>
          <w:rFonts w:eastAsiaTheme="minorEastAsia" w:cstheme="minorHAnsi"/>
          <w:kern w:val="0"/>
          <w:sz w:val="24"/>
          <w:szCs w:val="24"/>
          <w:lang w:eastAsia="en-GB"/>
          <w14:ligatures w14:val="none"/>
        </w:rPr>
        <w:lastRenderedPageBreak/>
        <w:t>germ, and disturbances in mandibular growth [11]. In severe cases, untreated infection may lead to facial asymmetry, pathologic fractures, or chronic osteomyelitis with persistent bone destruction [12].</w:t>
      </w:r>
    </w:p>
    <w:p w14:paraId="353C544E" w14:textId="667AFBE4" w:rsidR="002305AB" w:rsidRDefault="002305AB" w:rsidP="004F4CB4">
      <w:pPr>
        <w:spacing w:before="100" w:beforeAutospacing="1" w:after="100" w:afterAutospacing="1" w:line="240" w:lineRule="auto"/>
        <w:jc w:val="both"/>
        <w:rPr>
          <w:rFonts w:eastAsiaTheme="minorEastAsia" w:cstheme="minorHAnsi"/>
          <w:kern w:val="0"/>
          <w:sz w:val="24"/>
          <w:szCs w:val="24"/>
          <w:lang w:eastAsia="en-GB"/>
          <w14:ligatures w14:val="none"/>
        </w:rPr>
      </w:pPr>
    </w:p>
    <w:p w14:paraId="171E4594" w14:textId="77777777" w:rsidR="002305AB" w:rsidRPr="00B72B0C" w:rsidRDefault="002305AB" w:rsidP="004F4CB4">
      <w:pPr>
        <w:spacing w:before="100" w:beforeAutospacing="1" w:after="100" w:afterAutospacing="1" w:line="240" w:lineRule="auto"/>
        <w:jc w:val="both"/>
        <w:rPr>
          <w:rFonts w:eastAsiaTheme="minorEastAsia" w:cstheme="minorHAnsi"/>
          <w:kern w:val="0"/>
          <w:sz w:val="24"/>
          <w:szCs w:val="24"/>
          <w:lang w:eastAsia="en-GB"/>
          <w14:ligatures w14:val="none"/>
        </w:rPr>
      </w:pPr>
    </w:p>
    <w:p w14:paraId="79670111" w14:textId="4D539968" w:rsidR="00B21E9D" w:rsidRPr="00B72B0C" w:rsidRDefault="00B21E9D" w:rsidP="00B21E9D">
      <w:pPr>
        <w:spacing w:before="100" w:beforeAutospacing="1" w:after="100" w:afterAutospacing="1" w:line="240" w:lineRule="auto"/>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Management of tooth germ osteomyelitis requires early diagnosis and prompt treatment to prevent these complications. Treatment strategies typically involve a combination of systemic antimicrobial therapy and surgical intervention. Antibiotic therapy is used to control the bacterial infection, while surgical procedures such as incision and drainage, removal of the infected tooth germ, and debridement of necrotic bone are performed to eliminate the source of infection and promote healing [13]. Adequate removal of infected tissue combined with proper postoperative care and follow-up is essential to prevent recurrence and ensure favourable outcomes [14].</w:t>
      </w:r>
    </w:p>
    <w:p w14:paraId="7FA0D824" w14:textId="7C9B5CE9" w:rsidR="00B21E9D" w:rsidRPr="00B72B0C" w:rsidRDefault="00B21E9D" w:rsidP="00B21E9D">
      <w:pPr>
        <w:spacing w:before="100" w:beforeAutospacing="1" w:after="100" w:afterAutospacing="1" w:line="240" w:lineRule="auto"/>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 xml:space="preserve">Despite advances in diagnostic imaging and antimicrobial therapy, tooth germ osteomyelitis </w:t>
      </w:r>
      <w:r w:rsidR="00F84D48">
        <w:rPr>
          <w:rFonts w:eastAsiaTheme="minorEastAsia" w:cstheme="minorHAnsi"/>
          <w:kern w:val="0"/>
          <w:sz w:val="24"/>
          <w:szCs w:val="24"/>
          <w:lang w:eastAsia="en-GB"/>
          <w14:ligatures w14:val="none"/>
        </w:rPr>
        <w:t>remains</w:t>
      </w:r>
      <w:r w:rsidRPr="00B72B0C">
        <w:rPr>
          <w:rFonts w:eastAsiaTheme="minorEastAsia" w:cstheme="minorHAnsi"/>
          <w:kern w:val="0"/>
          <w:sz w:val="24"/>
          <w:szCs w:val="24"/>
          <w:lang w:eastAsia="en-GB"/>
          <w14:ligatures w14:val="none"/>
        </w:rPr>
        <w:t xml:space="preserve"> a rarely reported condition in paediatric oral and maxillofacial practice. The rarity of this condition and its resemblance to other odontogenic pathologies often result in delayed diagnosis and treatment. Therefore, increased awareness among clinicians is essential to ensure early recognition and proper management of this condition [15].</w:t>
      </w:r>
    </w:p>
    <w:p w14:paraId="5890DDBB" w14:textId="17EB1817" w:rsidR="00B21E9D" w:rsidRDefault="00B21E9D" w:rsidP="00B21E9D">
      <w:pPr>
        <w:spacing w:before="100" w:beforeAutospacing="1" w:after="100" w:afterAutospacing="1" w:line="240" w:lineRule="auto"/>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 xml:space="preserve">The present report describes a rare case of tooth germ osteomyelitis involving the </w:t>
      </w:r>
      <w:r w:rsidR="00F84D48">
        <w:rPr>
          <w:rFonts w:eastAsiaTheme="minorEastAsia" w:cstheme="minorHAnsi"/>
          <w:kern w:val="0"/>
          <w:sz w:val="24"/>
          <w:szCs w:val="24"/>
          <w:lang w:eastAsia="en-GB"/>
          <w14:ligatures w14:val="none"/>
        </w:rPr>
        <w:t>left mandibular</w:t>
      </w:r>
      <w:r w:rsidRPr="00B72B0C">
        <w:rPr>
          <w:rFonts w:eastAsiaTheme="minorEastAsia" w:cstheme="minorHAnsi"/>
          <w:kern w:val="0"/>
          <w:sz w:val="24"/>
          <w:szCs w:val="24"/>
          <w:lang w:eastAsia="en-GB"/>
          <w14:ligatures w14:val="none"/>
        </w:rPr>
        <w:t xml:space="preserve"> premolar region in a 7-year-old child. The case highlights the clinical presentation, radiographic findings, surgical management, and follow-up outcome, emphasising the importance of early diagnosis and prompt intervention in preventing complications affecting mandibular growth and permanent tooth development.</w:t>
      </w:r>
    </w:p>
    <w:p w14:paraId="3107E1F4" w14:textId="77777777" w:rsidR="002305AB" w:rsidRPr="00B72B0C" w:rsidRDefault="002305AB" w:rsidP="00B21E9D">
      <w:pPr>
        <w:spacing w:before="100" w:beforeAutospacing="1" w:after="100" w:afterAutospacing="1" w:line="240" w:lineRule="auto"/>
        <w:rPr>
          <w:rFonts w:eastAsiaTheme="minorEastAsia" w:cstheme="minorHAnsi"/>
          <w:kern w:val="0"/>
          <w:sz w:val="24"/>
          <w:szCs w:val="24"/>
          <w:lang w:eastAsia="en-GB"/>
          <w14:ligatures w14:val="none"/>
        </w:rPr>
      </w:pPr>
    </w:p>
    <w:p w14:paraId="2E157BF3" w14:textId="77777777" w:rsidR="00F84D48" w:rsidRPr="00F84D48" w:rsidRDefault="00F84D48" w:rsidP="00F84D48">
      <w:pPr>
        <w:rPr>
          <w:b/>
          <w:bCs/>
          <w:sz w:val="24"/>
          <w:szCs w:val="24"/>
          <w:u w:val="single"/>
        </w:rPr>
      </w:pPr>
      <w:r w:rsidRPr="00F84D48">
        <w:rPr>
          <w:b/>
          <w:bCs/>
          <w:sz w:val="24"/>
          <w:szCs w:val="24"/>
          <w:u w:val="single"/>
        </w:rPr>
        <w:t>Case Report</w:t>
      </w:r>
    </w:p>
    <w:p w14:paraId="1AECA0E2" w14:textId="470F3617" w:rsidR="00F84D48" w:rsidRPr="00F84D48" w:rsidRDefault="00F84D48" w:rsidP="00F84D48">
      <w:pPr>
        <w:rPr>
          <w:rFonts w:cstheme="minorHAnsi"/>
          <w:sz w:val="24"/>
          <w:szCs w:val="24"/>
        </w:rPr>
      </w:pPr>
      <w:r w:rsidRPr="00F84D48">
        <w:rPr>
          <w:rFonts w:cstheme="minorHAnsi"/>
          <w:sz w:val="24"/>
          <w:szCs w:val="24"/>
        </w:rPr>
        <w:t>A 7-year-old male child presented to the Department of Oral and Maxillofacial Surgery with the chief complaint of pain and swelling over the left lower jaw region for the past 15 days. The swelling was associated with mild fever and difficulty in mastication on the affected side.</w:t>
      </w:r>
    </w:p>
    <w:p w14:paraId="02E4CD4E" w14:textId="00000633" w:rsidR="00F84D48" w:rsidRDefault="00F84D48" w:rsidP="00F84D48">
      <w:pPr>
        <w:rPr>
          <w:rFonts w:cstheme="minorHAnsi"/>
          <w:sz w:val="24"/>
          <w:szCs w:val="24"/>
        </w:rPr>
      </w:pPr>
      <w:r w:rsidRPr="00F84D48">
        <w:rPr>
          <w:rFonts w:cstheme="minorHAnsi"/>
          <w:sz w:val="24"/>
          <w:szCs w:val="24"/>
        </w:rPr>
        <w:t xml:space="preserve">The patient’s dental history revealed </w:t>
      </w:r>
      <w:r>
        <w:rPr>
          <w:rFonts w:cstheme="minorHAnsi"/>
          <w:sz w:val="24"/>
          <w:szCs w:val="24"/>
        </w:rPr>
        <w:t xml:space="preserve">the </w:t>
      </w:r>
      <w:r w:rsidRPr="00F84D48">
        <w:rPr>
          <w:rFonts w:cstheme="minorHAnsi"/>
          <w:sz w:val="24"/>
          <w:szCs w:val="24"/>
        </w:rPr>
        <w:t xml:space="preserve">extraction of grossly carious left mandibular deciduous canine and first molar approximately two weeks </w:t>
      </w:r>
      <w:r>
        <w:rPr>
          <w:rFonts w:cstheme="minorHAnsi"/>
          <w:sz w:val="24"/>
          <w:szCs w:val="24"/>
        </w:rPr>
        <w:t>before</w:t>
      </w:r>
      <w:r w:rsidRPr="00F84D48">
        <w:rPr>
          <w:rFonts w:cstheme="minorHAnsi"/>
          <w:sz w:val="24"/>
          <w:szCs w:val="24"/>
        </w:rPr>
        <w:t xml:space="preserve"> presentation at a local dental clinic. The postoperative period was reportedly uneventful initially; however, progressive swelling and intermittent purulent discharge developed thereafter. There was no history of facial trauma, systemic illness, or previous hospitalization. The patient’s medical history was otherwise non-contributory.</w:t>
      </w:r>
    </w:p>
    <w:p w14:paraId="35AF49A0" w14:textId="4E7F3987" w:rsidR="00F84D48" w:rsidRPr="00F84D48" w:rsidRDefault="00F84D48" w:rsidP="00F84D48">
      <w:pPr>
        <w:rPr>
          <w:rFonts w:cstheme="minorHAnsi"/>
          <w:b/>
          <w:bCs/>
          <w:sz w:val="24"/>
          <w:szCs w:val="24"/>
        </w:rPr>
      </w:pPr>
      <w:r w:rsidRPr="00F84D48">
        <w:rPr>
          <w:rFonts w:cstheme="minorHAnsi"/>
          <w:b/>
          <w:bCs/>
          <w:sz w:val="24"/>
          <w:szCs w:val="24"/>
        </w:rPr>
        <w:t>Clinical Examination</w:t>
      </w:r>
    </w:p>
    <w:p w14:paraId="74E59359" w14:textId="423548F9" w:rsidR="00F84D48" w:rsidRPr="00F84D48" w:rsidRDefault="00F84D48" w:rsidP="00F84D48">
      <w:pPr>
        <w:rPr>
          <w:rFonts w:cstheme="minorHAnsi"/>
          <w:sz w:val="24"/>
          <w:szCs w:val="24"/>
        </w:rPr>
      </w:pPr>
      <w:r w:rsidRPr="00F84D48">
        <w:rPr>
          <w:rFonts w:cstheme="minorHAnsi"/>
          <w:sz w:val="24"/>
          <w:szCs w:val="24"/>
        </w:rPr>
        <w:t xml:space="preserve">Extraoral examination revealed a diffuse swelling over the left body of the mandible extending from the </w:t>
      </w:r>
      <w:r>
        <w:rPr>
          <w:rFonts w:cstheme="minorHAnsi"/>
          <w:sz w:val="24"/>
          <w:szCs w:val="24"/>
        </w:rPr>
        <w:t>para-symphysis</w:t>
      </w:r>
      <w:r w:rsidRPr="00F84D48">
        <w:rPr>
          <w:rFonts w:cstheme="minorHAnsi"/>
          <w:sz w:val="24"/>
          <w:szCs w:val="24"/>
        </w:rPr>
        <w:t xml:space="preserve"> to the mandibular angle region. The swelling measured </w:t>
      </w:r>
      <w:r w:rsidRPr="00F84D48">
        <w:rPr>
          <w:rFonts w:cstheme="minorHAnsi"/>
          <w:sz w:val="24"/>
          <w:szCs w:val="24"/>
        </w:rPr>
        <w:lastRenderedPageBreak/>
        <w:t>approximately 3 × 2 cm, was ill-defined, tender on palpation, and associated with mild local warmth.</w:t>
      </w:r>
    </w:p>
    <w:p w14:paraId="42C95DFC" w14:textId="7858790C" w:rsidR="00F84D48" w:rsidRDefault="00F84D48" w:rsidP="00F84D48">
      <w:pPr>
        <w:rPr>
          <w:rFonts w:cstheme="minorHAnsi"/>
          <w:sz w:val="24"/>
          <w:szCs w:val="24"/>
        </w:rPr>
      </w:pPr>
      <w:r w:rsidRPr="00F84D48">
        <w:rPr>
          <w:rFonts w:cstheme="minorHAnsi"/>
          <w:sz w:val="24"/>
          <w:szCs w:val="24"/>
        </w:rPr>
        <w:t xml:space="preserve">Palpation revealed mild left submandibular lymphadenopathy, suggestive of an ongoing inflammatory process. An extraoral sinus tract was present in the left mandibular body region with intermittent purulent discharge (Fig. </w:t>
      </w:r>
      <w:r w:rsidR="00BF6BC8">
        <w:rPr>
          <w:rFonts w:cstheme="minorHAnsi"/>
          <w:sz w:val="24"/>
          <w:szCs w:val="24"/>
        </w:rPr>
        <w:t>1</w:t>
      </w:r>
      <w:r w:rsidRPr="00F84D48">
        <w:rPr>
          <w:rFonts w:cstheme="minorHAnsi"/>
          <w:sz w:val="24"/>
          <w:szCs w:val="24"/>
        </w:rPr>
        <w:t xml:space="preserve">). </w:t>
      </w:r>
    </w:p>
    <w:p w14:paraId="2652BAD7" w14:textId="29768497" w:rsidR="00F84D48" w:rsidRPr="00F84D48" w:rsidRDefault="00F84D48" w:rsidP="00F84D48">
      <w:pPr>
        <w:rPr>
          <w:rFonts w:cstheme="minorHAnsi"/>
          <w:sz w:val="24"/>
          <w:szCs w:val="24"/>
        </w:rPr>
      </w:pPr>
      <w:r w:rsidRPr="00F84D48">
        <w:rPr>
          <w:rFonts w:cstheme="minorHAnsi"/>
          <w:sz w:val="24"/>
          <w:szCs w:val="24"/>
        </w:rPr>
        <w:t>The overlying skin appeared erythematous and slightly indurated.</w:t>
      </w:r>
    </w:p>
    <w:p w14:paraId="170C7E40" w14:textId="2ED7245E" w:rsidR="00F84D48" w:rsidRPr="00F84D48" w:rsidRDefault="00F84D48" w:rsidP="00F84D48">
      <w:pPr>
        <w:rPr>
          <w:rFonts w:cstheme="minorHAnsi"/>
          <w:sz w:val="24"/>
          <w:szCs w:val="24"/>
        </w:rPr>
      </w:pPr>
      <w:r w:rsidRPr="00F84D48">
        <w:rPr>
          <w:rFonts w:cstheme="minorHAnsi"/>
          <w:sz w:val="24"/>
          <w:szCs w:val="24"/>
        </w:rPr>
        <w:t xml:space="preserve">Intraoral examination demonstrated obliteration of the buccal vestibule in the left mandibular premolar region. Digital pressure over the extraction socket region elicited purulent discharge, indicating persistent infection (Fig. </w:t>
      </w:r>
      <w:r w:rsidR="00BF6BC8">
        <w:rPr>
          <w:rFonts w:cstheme="minorHAnsi"/>
          <w:sz w:val="24"/>
          <w:szCs w:val="24"/>
        </w:rPr>
        <w:t>2</w:t>
      </w:r>
      <w:r w:rsidRPr="00F84D48">
        <w:rPr>
          <w:rFonts w:cstheme="minorHAnsi"/>
          <w:sz w:val="24"/>
          <w:szCs w:val="24"/>
        </w:rPr>
        <w:t>). The surrounding mucosa appeared erythematous, inflamed, and tender on palpation.</w:t>
      </w:r>
    </w:p>
    <w:p w14:paraId="555419DE" w14:textId="2314CEBE" w:rsidR="00F84D48" w:rsidRPr="00F84D48" w:rsidRDefault="00F84D48" w:rsidP="00F84D48">
      <w:pPr>
        <w:rPr>
          <w:rFonts w:cstheme="minorHAnsi"/>
          <w:sz w:val="24"/>
          <w:szCs w:val="24"/>
        </w:rPr>
      </w:pPr>
      <w:r w:rsidRPr="00F84D48">
        <w:rPr>
          <w:rFonts w:cstheme="minorHAnsi"/>
          <w:sz w:val="24"/>
          <w:szCs w:val="24"/>
        </w:rPr>
        <w:t>No significant mobility of adjacent teeth was observed. The remaining deciduous dentition was within normal limits for the patient’s age.</w:t>
      </w:r>
    </w:p>
    <w:p w14:paraId="0E31AE89" w14:textId="060E17DD" w:rsidR="00B760FC" w:rsidRDefault="00B760FC" w:rsidP="00F84D48">
      <w:pPr>
        <w:rPr>
          <w:rFonts w:cstheme="minorHAnsi"/>
          <w:sz w:val="24"/>
          <w:szCs w:val="24"/>
        </w:rPr>
      </w:pPr>
    </w:p>
    <w:p w14:paraId="418F17F8" w14:textId="79B98D4E" w:rsidR="00F84D48" w:rsidRPr="00F84D48" w:rsidRDefault="00F84D48" w:rsidP="00F84D48">
      <w:pPr>
        <w:rPr>
          <w:rFonts w:cstheme="minorHAnsi"/>
          <w:sz w:val="24"/>
          <w:szCs w:val="24"/>
        </w:rPr>
      </w:pPr>
      <w:r w:rsidRPr="00F84D48">
        <w:rPr>
          <w:rFonts w:cstheme="minorHAnsi"/>
          <w:sz w:val="24"/>
          <w:szCs w:val="24"/>
        </w:rPr>
        <w:t>Radiographic investigation included orthopantomogram (OPG) and cone beam computed tomography (CBCT) to evaluate the extent of the lesion.</w:t>
      </w:r>
    </w:p>
    <w:p w14:paraId="29976F92" w14:textId="2956DE34" w:rsidR="00F84D48" w:rsidRDefault="00F84D48" w:rsidP="00F84D48">
      <w:pPr>
        <w:rPr>
          <w:rFonts w:cstheme="minorHAnsi"/>
          <w:sz w:val="24"/>
          <w:szCs w:val="24"/>
        </w:rPr>
      </w:pPr>
      <w:r w:rsidRPr="00F84D48">
        <w:rPr>
          <w:rFonts w:cstheme="minorHAnsi"/>
          <w:sz w:val="24"/>
          <w:szCs w:val="24"/>
        </w:rPr>
        <w:t xml:space="preserve">The OPG revealed an ill-defined radiolucent area involving the left mandibular canine and first premolar region, surrounding the developing tooth germs of teeth 33 and 34. The lesion exhibited irregular borders with evidence of surrounding bone rarefaction and disruption of normal trabecular architecture, suggestive of inflammatory osteolytic changes (Fig. </w:t>
      </w:r>
      <w:r w:rsidR="00BF6BC8">
        <w:rPr>
          <w:rFonts w:cstheme="minorHAnsi"/>
          <w:sz w:val="24"/>
          <w:szCs w:val="24"/>
        </w:rPr>
        <w:t>3</w:t>
      </w:r>
      <w:r w:rsidRPr="00F84D48">
        <w:rPr>
          <w:rFonts w:cstheme="minorHAnsi"/>
          <w:sz w:val="24"/>
          <w:szCs w:val="24"/>
        </w:rPr>
        <w:t>).</w:t>
      </w:r>
    </w:p>
    <w:p w14:paraId="6DDFE51D" w14:textId="5EBAAC80" w:rsidR="004262B5" w:rsidRPr="00F84D48" w:rsidRDefault="004262B5" w:rsidP="00F84D48">
      <w:pPr>
        <w:rPr>
          <w:rFonts w:cstheme="minorHAnsi"/>
          <w:sz w:val="24"/>
          <w:szCs w:val="24"/>
        </w:rPr>
      </w:pPr>
    </w:p>
    <w:p w14:paraId="2131CCAF" w14:textId="51CF0507" w:rsidR="004262B5" w:rsidRDefault="004262B5" w:rsidP="00F84D48">
      <w:pPr>
        <w:rPr>
          <w:rFonts w:cstheme="minorHAnsi"/>
          <w:sz w:val="24"/>
          <w:szCs w:val="24"/>
        </w:rPr>
      </w:pPr>
    </w:p>
    <w:p w14:paraId="319FEBC9" w14:textId="55FCF9D4" w:rsidR="00F84D48" w:rsidRPr="00F84D48" w:rsidRDefault="00F84D48" w:rsidP="00F84D48">
      <w:pPr>
        <w:rPr>
          <w:rFonts w:cstheme="minorHAnsi"/>
          <w:sz w:val="24"/>
          <w:szCs w:val="24"/>
        </w:rPr>
      </w:pPr>
      <w:r w:rsidRPr="00F84D48">
        <w:rPr>
          <w:rFonts w:cstheme="minorHAnsi"/>
          <w:sz w:val="24"/>
          <w:szCs w:val="24"/>
        </w:rPr>
        <w:t xml:space="preserve">CBCT imaging provided further confirmation of the lesion, demonstrating irregular bone destruction with poorly defined margins and areas of sequestration in the affected mandibular segment. The imaging also revealed radiographic evidence of periapical infection associated with the previously extracted deciduous mandibular canine (73) and first molar (74), indicating possible spread of infection from the deciduous teeth to the underlying permanent tooth germs (Fig. </w:t>
      </w:r>
      <w:r w:rsidR="00BF6BC8">
        <w:rPr>
          <w:rFonts w:cstheme="minorHAnsi"/>
          <w:sz w:val="24"/>
          <w:szCs w:val="24"/>
        </w:rPr>
        <w:t>4</w:t>
      </w:r>
      <w:r w:rsidRPr="00F84D48">
        <w:rPr>
          <w:rFonts w:cstheme="minorHAnsi"/>
          <w:sz w:val="24"/>
          <w:szCs w:val="24"/>
        </w:rPr>
        <w:t>).</w:t>
      </w:r>
    </w:p>
    <w:p w14:paraId="37775B48" w14:textId="009E62A9" w:rsidR="00F84D48" w:rsidRPr="00F84D48" w:rsidRDefault="00F84D48" w:rsidP="00F84D48">
      <w:pPr>
        <w:rPr>
          <w:rFonts w:cstheme="minorHAnsi"/>
          <w:sz w:val="24"/>
          <w:szCs w:val="24"/>
        </w:rPr>
      </w:pPr>
      <w:r w:rsidRPr="00F84D48">
        <w:rPr>
          <w:rFonts w:cstheme="minorHAnsi"/>
          <w:sz w:val="24"/>
          <w:szCs w:val="24"/>
        </w:rPr>
        <w:t>These radiographic findings were highly suggestive of osteomyelitis involvement of the developing tooth germs.</w:t>
      </w:r>
    </w:p>
    <w:p w14:paraId="78F5BCBC" w14:textId="77777777" w:rsidR="00F84D48" w:rsidRPr="00F84D48" w:rsidRDefault="00F84D48" w:rsidP="00F84D48">
      <w:pPr>
        <w:rPr>
          <w:rFonts w:cstheme="minorHAnsi"/>
          <w:b/>
          <w:bCs/>
          <w:sz w:val="24"/>
          <w:szCs w:val="24"/>
        </w:rPr>
      </w:pPr>
      <w:r w:rsidRPr="00F84D48">
        <w:rPr>
          <w:rFonts w:cstheme="minorHAnsi"/>
          <w:b/>
          <w:bCs/>
          <w:sz w:val="24"/>
          <w:szCs w:val="24"/>
        </w:rPr>
        <w:t>Diagnosis</w:t>
      </w:r>
    </w:p>
    <w:p w14:paraId="06566180" w14:textId="77777777" w:rsidR="00F84D48" w:rsidRPr="00F84D48" w:rsidRDefault="00F84D48" w:rsidP="00F84D48">
      <w:pPr>
        <w:rPr>
          <w:rFonts w:cstheme="minorHAnsi"/>
          <w:sz w:val="24"/>
          <w:szCs w:val="24"/>
        </w:rPr>
      </w:pPr>
      <w:r w:rsidRPr="00F84D48">
        <w:rPr>
          <w:rFonts w:cstheme="minorHAnsi"/>
          <w:sz w:val="24"/>
          <w:szCs w:val="24"/>
        </w:rPr>
        <w:t>Based on the clinical presentation, persistent purulent discharge, extraoral sinus formation, and radiographic evidence of osteolytic bone destruction surrounding the developing tooth germs, a provisional diagnosis of tooth germ osteomyelitis involving the developing mandibular canine (33) and first premolar (34) was established.</w:t>
      </w:r>
    </w:p>
    <w:p w14:paraId="3AE71FE0" w14:textId="77777777" w:rsidR="00F84D48" w:rsidRPr="00F84D48" w:rsidRDefault="00F84D48" w:rsidP="00F84D48">
      <w:pPr>
        <w:rPr>
          <w:rFonts w:cstheme="minorHAnsi"/>
          <w:sz w:val="24"/>
          <w:szCs w:val="24"/>
        </w:rPr>
      </w:pPr>
      <w:r w:rsidRPr="00F84D48">
        <w:rPr>
          <w:rFonts w:cstheme="minorHAnsi"/>
          <w:sz w:val="24"/>
          <w:szCs w:val="24"/>
        </w:rPr>
        <w:t>The condition was considered secondary to infection originating from the previously extracted deciduous teeth (73 and 74).</w:t>
      </w:r>
    </w:p>
    <w:p w14:paraId="4FBEACF1" w14:textId="77777777" w:rsidR="00F84D48" w:rsidRPr="00F84D48" w:rsidRDefault="00F84D48" w:rsidP="00F84D48">
      <w:pPr>
        <w:rPr>
          <w:rFonts w:cstheme="minorHAnsi"/>
          <w:sz w:val="24"/>
          <w:szCs w:val="24"/>
        </w:rPr>
      </w:pPr>
      <w:r w:rsidRPr="00F84D48">
        <w:rPr>
          <w:rFonts w:cstheme="minorHAnsi"/>
          <w:sz w:val="24"/>
          <w:szCs w:val="24"/>
        </w:rPr>
        <w:lastRenderedPageBreak/>
        <w:t>Following further clinical evaluation and persistence of infection despite conservative therapy, the final diagnosis of secondary chronic suppurative osteomyelitis involving the developing tooth germs of the left mandibular canine and first premolar was confirmed.</w:t>
      </w:r>
    </w:p>
    <w:p w14:paraId="7485E8EA" w14:textId="77777777" w:rsidR="00F84D48" w:rsidRPr="00F84D48" w:rsidRDefault="00F84D48" w:rsidP="00F84D48">
      <w:pPr>
        <w:rPr>
          <w:rFonts w:cstheme="minorHAnsi"/>
          <w:b/>
          <w:bCs/>
          <w:sz w:val="24"/>
          <w:szCs w:val="24"/>
        </w:rPr>
      </w:pPr>
      <w:r w:rsidRPr="00F84D48">
        <w:rPr>
          <w:rFonts w:cstheme="minorHAnsi"/>
          <w:b/>
          <w:bCs/>
          <w:sz w:val="24"/>
          <w:szCs w:val="24"/>
        </w:rPr>
        <w:t>Initial Medical Management</w:t>
      </w:r>
    </w:p>
    <w:p w14:paraId="5045473A" w14:textId="00CA662E" w:rsidR="00F84D48" w:rsidRPr="00F84D48" w:rsidRDefault="00F84D48" w:rsidP="00F84D48">
      <w:pPr>
        <w:rPr>
          <w:rFonts w:cstheme="minorHAnsi"/>
          <w:sz w:val="24"/>
          <w:szCs w:val="24"/>
        </w:rPr>
      </w:pPr>
      <w:r w:rsidRPr="00F84D48">
        <w:rPr>
          <w:rFonts w:cstheme="minorHAnsi"/>
          <w:sz w:val="24"/>
          <w:szCs w:val="24"/>
        </w:rPr>
        <w:t>The patient initially underwent incision and drainage of the affected region to reduce local infection and relieve pressure. Empirical broad-spectrum antibiotic therapy was initiated</w:t>
      </w:r>
      <w:r>
        <w:rPr>
          <w:rFonts w:cstheme="minorHAnsi"/>
          <w:sz w:val="24"/>
          <w:szCs w:val="24"/>
        </w:rPr>
        <w:t>,</w:t>
      </w:r>
      <w:r w:rsidRPr="00F84D48">
        <w:rPr>
          <w:rFonts w:cstheme="minorHAnsi"/>
          <w:sz w:val="24"/>
          <w:szCs w:val="24"/>
        </w:rPr>
        <w:t xml:space="preserve"> consisting of:</w:t>
      </w:r>
    </w:p>
    <w:p w14:paraId="0CCA5D68" w14:textId="55B92BCD" w:rsidR="00F84D48" w:rsidRPr="00F84D48" w:rsidRDefault="00F84D48" w:rsidP="00F84D48">
      <w:pPr>
        <w:numPr>
          <w:ilvl w:val="0"/>
          <w:numId w:val="1"/>
        </w:numPr>
        <w:rPr>
          <w:rFonts w:cstheme="minorHAnsi"/>
          <w:sz w:val="24"/>
          <w:szCs w:val="24"/>
        </w:rPr>
      </w:pPr>
      <w:r w:rsidRPr="00F84D48">
        <w:rPr>
          <w:rFonts w:cstheme="minorHAnsi"/>
          <w:sz w:val="24"/>
          <w:szCs w:val="24"/>
        </w:rPr>
        <w:t>Amoxicillin–clavulanate</w:t>
      </w:r>
    </w:p>
    <w:p w14:paraId="4A6E1062" w14:textId="37E04575" w:rsidR="00F84D48" w:rsidRPr="00F84D48" w:rsidRDefault="00F84D48" w:rsidP="00F84D48">
      <w:pPr>
        <w:numPr>
          <w:ilvl w:val="0"/>
          <w:numId w:val="1"/>
        </w:numPr>
        <w:rPr>
          <w:rFonts w:cstheme="minorHAnsi"/>
          <w:sz w:val="24"/>
          <w:szCs w:val="24"/>
        </w:rPr>
      </w:pPr>
      <w:r w:rsidRPr="00F84D48">
        <w:rPr>
          <w:rFonts w:cstheme="minorHAnsi"/>
          <w:sz w:val="24"/>
          <w:szCs w:val="24"/>
        </w:rPr>
        <w:t>Metronidazole</w:t>
      </w:r>
    </w:p>
    <w:p w14:paraId="7B7762E1" w14:textId="6117887E" w:rsidR="00F84D48" w:rsidRPr="00F84D48" w:rsidRDefault="00F84D48" w:rsidP="00F84D48">
      <w:pPr>
        <w:rPr>
          <w:rFonts w:cstheme="minorHAnsi"/>
          <w:sz w:val="24"/>
          <w:szCs w:val="24"/>
        </w:rPr>
      </w:pPr>
      <w:r w:rsidRPr="00F84D48">
        <w:rPr>
          <w:rFonts w:cstheme="minorHAnsi"/>
          <w:sz w:val="24"/>
          <w:szCs w:val="24"/>
        </w:rPr>
        <w:t>This regimen was prescribed to cover both aerobic and anaerobic bacterial flora commonly associated with odontogenic infections.</w:t>
      </w:r>
    </w:p>
    <w:p w14:paraId="2E19456E" w14:textId="51467027" w:rsidR="00F84D48" w:rsidRPr="00F84D48" w:rsidRDefault="00F84D48" w:rsidP="00F84D48">
      <w:pPr>
        <w:rPr>
          <w:rFonts w:cstheme="minorHAnsi"/>
          <w:sz w:val="24"/>
          <w:szCs w:val="24"/>
        </w:rPr>
      </w:pPr>
      <w:r w:rsidRPr="00F84D48">
        <w:rPr>
          <w:rFonts w:cstheme="minorHAnsi"/>
          <w:sz w:val="24"/>
          <w:szCs w:val="24"/>
        </w:rPr>
        <w:t>Additionally, the patient was prescribed:</w:t>
      </w:r>
    </w:p>
    <w:p w14:paraId="1A8951D3" w14:textId="34D2AC21" w:rsidR="00F84D48" w:rsidRPr="00F84D48" w:rsidRDefault="00F84D48" w:rsidP="00F84D48">
      <w:pPr>
        <w:numPr>
          <w:ilvl w:val="0"/>
          <w:numId w:val="2"/>
        </w:numPr>
        <w:rPr>
          <w:rFonts w:cstheme="minorHAnsi"/>
          <w:sz w:val="24"/>
          <w:szCs w:val="24"/>
        </w:rPr>
      </w:pPr>
      <w:r w:rsidRPr="00F84D48">
        <w:rPr>
          <w:rFonts w:cstheme="minorHAnsi"/>
          <w:sz w:val="24"/>
          <w:szCs w:val="24"/>
        </w:rPr>
        <w:t>Analgesics and anti-inflammatory medications for pain management</w:t>
      </w:r>
    </w:p>
    <w:p w14:paraId="2114BC5C" w14:textId="798DD1BD" w:rsidR="00F84D48" w:rsidRPr="00F84D48" w:rsidRDefault="00F84D48" w:rsidP="00F84D48">
      <w:pPr>
        <w:numPr>
          <w:ilvl w:val="0"/>
          <w:numId w:val="2"/>
        </w:numPr>
        <w:rPr>
          <w:rFonts w:cstheme="minorHAnsi"/>
          <w:sz w:val="24"/>
          <w:szCs w:val="24"/>
        </w:rPr>
      </w:pPr>
      <w:r w:rsidRPr="00F84D48">
        <w:rPr>
          <w:rFonts w:cstheme="minorHAnsi"/>
          <w:sz w:val="24"/>
          <w:szCs w:val="24"/>
        </w:rPr>
        <w:t>0.12% chlorhexidine mouthwash twice daily to maintain oral hygiene and reduce microbial load</w:t>
      </w:r>
    </w:p>
    <w:p w14:paraId="338ACB72" w14:textId="067DFFED" w:rsidR="00F84D48" w:rsidRPr="00F84D48" w:rsidRDefault="00F84D48" w:rsidP="00F84D48">
      <w:pPr>
        <w:rPr>
          <w:rFonts w:cstheme="minorHAnsi"/>
          <w:sz w:val="24"/>
          <w:szCs w:val="24"/>
        </w:rPr>
      </w:pPr>
      <w:r w:rsidRPr="00F84D48">
        <w:rPr>
          <w:rFonts w:cstheme="minorHAnsi"/>
          <w:sz w:val="24"/>
          <w:szCs w:val="24"/>
        </w:rPr>
        <w:t>Despite adequate antibiotic therapy and drainage, the patient continued to exhibit persistent purulent discharge from the sinus tract, along with radiographic evidence of ongoing infection during the three-week follow-up period.</w:t>
      </w:r>
    </w:p>
    <w:p w14:paraId="6EABACD4" w14:textId="36341ACD" w:rsidR="00F84D48" w:rsidRPr="00F84D48" w:rsidRDefault="00F84D48" w:rsidP="00F84D48">
      <w:pPr>
        <w:rPr>
          <w:rFonts w:cstheme="minorHAnsi"/>
          <w:sz w:val="24"/>
          <w:szCs w:val="24"/>
        </w:rPr>
      </w:pPr>
      <w:r w:rsidRPr="00F84D48">
        <w:rPr>
          <w:rFonts w:cstheme="minorHAnsi"/>
          <w:sz w:val="24"/>
          <w:szCs w:val="24"/>
        </w:rPr>
        <w:t>To improve tissue oxygenation and enhance the host immune response, hyperbaric oxygen therapy (HBO) was initiated. The patient underwent four treatment dives over one week. However, no significant clinical improvement or radiographic resolution was observed following HBO therapy.</w:t>
      </w:r>
    </w:p>
    <w:p w14:paraId="128B7F10" w14:textId="64D5E0B4" w:rsidR="00F84D48" w:rsidRPr="00F84D48" w:rsidRDefault="00F84D48" w:rsidP="00F84D48">
      <w:pPr>
        <w:rPr>
          <w:rFonts w:cstheme="minorHAnsi"/>
          <w:sz w:val="24"/>
          <w:szCs w:val="24"/>
        </w:rPr>
      </w:pPr>
      <w:r w:rsidRPr="00F84D48">
        <w:rPr>
          <w:rFonts w:cstheme="minorHAnsi"/>
          <w:sz w:val="24"/>
          <w:szCs w:val="24"/>
        </w:rPr>
        <w:t>Due to persistent infection and lack of response to conservative measures, surgical intervention was planned.</w:t>
      </w:r>
    </w:p>
    <w:p w14:paraId="0C9656E4" w14:textId="77777777" w:rsidR="00F84D48" w:rsidRPr="00F84D48" w:rsidRDefault="00F84D48" w:rsidP="00F84D48">
      <w:pPr>
        <w:rPr>
          <w:rFonts w:cstheme="minorHAnsi"/>
          <w:b/>
          <w:bCs/>
          <w:sz w:val="24"/>
          <w:szCs w:val="24"/>
        </w:rPr>
      </w:pPr>
      <w:r w:rsidRPr="00F84D48">
        <w:rPr>
          <w:rFonts w:cstheme="minorHAnsi"/>
          <w:b/>
          <w:bCs/>
          <w:sz w:val="24"/>
          <w:szCs w:val="24"/>
        </w:rPr>
        <w:t>Surgical Management</w:t>
      </w:r>
    </w:p>
    <w:p w14:paraId="7E9026A4" w14:textId="732BC4B5" w:rsidR="00F84D48" w:rsidRPr="00F84D48" w:rsidRDefault="00F84D48" w:rsidP="00F84D48">
      <w:pPr>
        <w:rPr>
          <w:rFonts w:cstheme="minorHAnsi"/>
          <w:sz w:val="24"/>
          <w:szCs w:val="24"/>
        </w:rPr>
      </w:pPr>
      <w:r w:rsidRPr="00F84D48">
        <w:rPr>
          <w:rFonts w:cstheme="minorHAnsi"/>
          <w:sz w:val="24"/>
          <w:szCs w:val="24"/>
        </w:rPr>
        <w:t xml:space="preserve">Definitive surgical management was performed under general </w:t>
      </w:r>
      <w:r w:rsidR="000D2F7A" w:rsidRPr="00F84D48">
        <w:rPr>
          <w:rFonts w:cstheme="minorHAnsi"/>
          <w:sz w:val="24"/>
          <w:szCs w:val="24"/>
        </w:rPr>
        <w:t>anaesthesia</w:t>
      </w:r>
      <w:r w:rsidRPr="00F84D48">
        <w:rPr>
          <w:rFonts w:cstheme="minorHAnsi"/>
          <w:sz w:val="24"/>
          <w:szCs w:val="24"/>
        </w:rPr>
        <w:t xml:space="preserve"> with nasotracheal intubation to provide optimal surgical access and airway protection.</w:t>
      </w:r>
    </w:p>
    <w:p w14:paraId="7B275C28" w14:textId="532C8EF8" w:rsidR="00F84D48" w:rsidRPr="00F84D48" w:rsidRDefault="00F84D48" w:rsidP="00F84D48">
      <w:pPr>
        <w:rPr>
          <w:rFonts w:cstheme="minorHAnsi"/>
          <w:sz w:val="24"/>
          <w:szCs w:val="24"/>
        </w:rPr>
      </w:pPr>
      <w:r w:rsidRPr="00F84D48">
        <w:rPr>
          <w:rFonts w:cstheme="minorHAnsi"/>
          <w:sz w:val="24"/>
          <w:szCs w:val="24"/>
        </w:rPr>
        <w:t>A surgical incision was made in the left mandibular premolar region, followed by careful reflection of the mucoperiosteal flap to expose the infected bone.</w:t>
      </w:r>
    </w:p>
    <w:p w14:paraId="30077107" w14:textId="2D1F0D3E" w:rsidR="00F84D48" w:rsidRPr="00F84D48" w:rsidRDefault="00F84D48" w:rsidP="00F84D48">
      <w:pPr>
        <w:rPr>
          <w:rFonts w:cstheme="minorHAnsi"/>
          <w:sz w:val="24"/>
          <w:szCs w:val="24"/>
        </w:rPr>
      </w:pPr>
      <w:r w:rsidRPr="00F84D48">
        <w:rPr>
          <w:rFonts w:cstheme="minorHAnsi"/>
          <w:sz w:val="24"/>
          <w:szCs w:val="24"/>
        </w:rPr>
        <w:t xml:space="preserve">Intraoperative findings revealed the presence of necrotic bone (sequestrum) and non-viable developing tooth germs corresponding to teeth 33 and 34. These structures were removed completely to eliminate the source of infection (Fig. </w:t>
      </w:r>
      <w:r w:rsidR="006874C2">
        <w:rPr>
          <w:rFonts w:cstheme="minorHAnsi"/>
          <w:sz w:val="24"/>
          <w:szCs w:val="24"/>
        </w:rPr>
        <w:t>5</w:t>
      </w:r>
      <w:r w:rsidRPr="00F84D48">
        <w:rPr>
          <w:rFonts w:cstheme="minorHAnsi"/>
          <w:sz w:val="24"/>
          <w:szCs w:val="24"/>
        </w:rPr>
        <w:t xml:space="preserve">, </w:t>
      </w:r>
      <w:r w:rsidR="006874C2">
        <w:rPr>
          <w:rFonts w:cstheme="minorHAnsi"/>
          <w:sz w:val="24"/>
          <w:szCs w:val="24"/>
        </w:rPr>
        <w:t>6</w:t>
      </w:r>
      <w:r w:rsidRPr="00F84D48">
        <w:rPr>
          <w:rFonts w:cstheme="minorHAnsi"/>
          <w:sz w:val="24"/>
          <w:szCs w:val="24"/>
        </w:rPr>
        <w:t>).</w:t>
      </w:r>
    </w:p>
    <w:p w14:paraId="2887F52F" w14:textId="2DB9475F" w:rsidR="00F84D48" w:rsidRPr="00F84D48" w:rsidRDefault="00F84D48" w:rsidP="00F84D48">
      <w:pPr>
        <w:rPr>
          <w:rFonts w:cstheme="minorHAnsi"/>
          <w:sz w:val="24"/>
          <w:szCs w:val="24"/>
        </w:rPr>
      </w:pPr>
      <w:r w:rsidRPr="00F84D48">
        <w:rPr>
          <w:rFonts w:cstheme="minorHAnsi"/>
          <w:sz w:val="24"/>
          <w:szCs w:val="24"/>
        </w:rPr>
        <w:t>Thorough curettage of the surrounding granulation tissue was performed to remove all infected and necrotic tissue. The extraoral sinus tract was completely excised, followed by extensive debridement of the affected bone to ensure complete removal of the infected focus.</w:t>
      </w:r>
    </w:p>
    <w:p w14:paraId="02D5C52C" w14:textId="4E5F1393" w:rsidR="00F84D48" w:rsidRPr="00F84D48" w:rsidRDefault="00F84D48" w:rsidP="00F84D48">
      <w:pPr>
        <w:rPr>
          <w:rFonts w:cstheme="minorHAnsi"/>
          <w:sz w:val="24"/>
          <w:szCs w:val="24"/>
        </w:rPr>
      </w:pPr>
      <w:r w:rsidRPr="00F84D48">
        <w:rPr>
          <w:rFonts w:cstheme="minorHAnsi"/>
          <w:sz w:val="24"/>
          <w:szCs w:val="24"/>
        </w:rPr>
        <w:lastRenderedPageBreak/>
        <w:t>The surgical site was irrigated copiously using povidone–iodine solution and sterile normal saline to achieve adequate decontamination. After confirming complete removal of necrotic tissue and achieving satisfactory haemostasis, primary closure of the surgical wound was performed.</w:t>
      </w:r>
    </w:p>
    <w:p w14:paraId="57E71162" w14:textId="30B24057" w:rsidR="00F84D48" w:rsidRPr="00F84D48" w:rsidRDefault="00F84D48" w:rsidP="00F84D48">
      <w:pPr>
        <w:rPr>
          <w:rFonts w:cstheme="minorHAnsi"/>
          <w:sz w:val="24"/>
          <w:szCs w:val="24"/>
        </w:rPr>
      </w:pPr>
      <w:r w:rsidRPr="00F84D48">
        <w:rPr>
          <w:rFonts w:cstheme="minorHAnsi"/>
          <w:sz w:val="24"/>
          <w:szCs w:val="24"/>
        </w:rPr>
        <w:t xml:space="preserve">The extraoral sinus tract incision was closed using </w:t>
      </w:r>
      <w:proofErr w:type="spellStart"/>
      <w:r w:rsidRPr="00F84D48">
        <w:rPr>
          <w:rFonts w:cstheme="minorHAnsi"/>
          <w:sz w:val="24"/>
          <w:szCs w:val="24"/>
        </w:rPr>
        <w:t>Prolene</w:t>
      </w:r>
      <w:proofErr w:type="spellEnd"/>
      <w:r w:rsidRPr="00F84D48">
        <w:rPr>
          <w:rFonts w:cstheme="minorHAnsi"/>
          <w:sz w:val="24"/>
          <w:szCs w:val="24"/>
        </w:rPr>
        <w:t xml:space="preserve"> sutures to ensure proper soft tissue healing.</w:t>
      </w:r>
    </w:p>
    <w:p w14:paraId="5692B790" w14:textId="54148361" w:rsidR="00F84D48" w:rsidRPr="00F84D48" w:rsidRDefault="00F84D48" w:rsidP="00F84D48">
      <w:pPr>
        <w:rPr>
          <w:rFonts w:cstheme="minorHAnsi"/>
          <w:b/>
          <w:bCs/>
          <w:sz w:val="24"/>
          <w:szCs w:val="24"/>
        </w:rPr>
      </w:pPr>
      <w:r w:rsidRPr="00F84D48">
        <w:rPr>
          <w:rFonts w:cstheme="minorHAnsi"/>
          <w:b/>
          <w:bCs/>
          <w:sz w:val="24"/>
          <w:szCs w:val="24"/>
        </w:rPr>
        <w:t>Histopathological Findings</w:t>
      </w:r>
    </w:p>
    <w:p w14:paraId="5598FCC8" w14:textId="5E4FDE18" w:rsidR="00F84D48" w:rsidRPr="00F84D48" w:rsidRDefault="00F84D48" w:rsidP="00344037">
      <w:pPr>
        <w:jc w:val="both"/>
        <w:rPr>
          <w:rFonts w:cstheme="minorHAnsi"/>
          <w:sz w:val="24"/>
          <w:szCs w:val="24"/>
        </w:rPr>
      </w:pPr>
      <w:r w:rsidRPr="00F84D48">
        <w:rPr>
          <w:rFonts w:cstheme="minorHAnsi"/>
          <w:sz w:val="24"/>
          <w:szCs w:val="24"/>
        </w:rPr>
        <w:t>The excised tissue specimens were submitted for histopathological examination.</w:t>
      </w:r>
    </w:p>
    <w:p w14:paraId="69266CF4" w14:textId="28B1FDFF" w:rsidR="00F84D48" w:rsidRPr="00F84D48" w:rsidRDefault="00F84D48" w:rsidP="00344037">
      <w:pPr>
        <w:jc w:val="both"/>
        <w:rPr>
          <w:rFonts w:cstheme="minorHAnsi"/>
          <w:sz w:val="24"/>
          <w:szCs w:val="24"/>
        </w:rPr>
      </w:pPr>
      <w:r w:rsidRPr="00F84D48">
        <w:rPr>
          <w:rFonts w:cstheme="minorHAnsi"/>
          <w:sz w:val="24"/>
          <w:szCs w:val="24"/>
        </w:rPr>
        <w:t>Microscopic examination of the soft tissue sections revealed keratinized stratified squamous epithelium overlying a connective tissue stroma. The underlying connective tissue showed dense chronic inflammatory cell infiltrate, predominantly composed of lymphocytes, neutrophils, and occasional plasma cells.</w:t>
      </w:r>
    </w:p>
    <w:p w14:paraId="022EC6DA" w14:textId="14C0F734" w:rsidR="00F84D48" w:rsidRPr="00F84D48" w:rsidRDefault="00F84D48" w:rsidP="00344037">
      <w:pPr>
        <w:jc w:val="both"/>
        <w:rPr>
          <w:rFonts w:cstheme="minorHAnsi"/>
          <w:sz w:val="24"/>
          <w:szCs w:val="24"/>
        </w:rPr>
      </w:pPr>
      <w:r w:rsidRPr="00F84D48">
        <w:rPr>
          <w:rFonts w:cstheme="minorHAnsi"/>
          <w:sz w:val="24"/>
          <w:szCs w:val="24"/>
        </w:rPr>
        <w:t>Numerous endothelial-lined blood vessels with extravasated red blood cells were observed, indicating active inflammatory changes and vascular response.</w:t>
      </w:r>
    </w:p>
    <w:p w14:paraId="578F567C" w14:textId="1C499D46" w:rsidR="00F84D48" w:rsidRPr="00F84D48" w:rsidRDefault="00F84D48" w:rsidP="00344037">
      <w:pPr>
        <w:jc w:val="both"/>
        <w:rPr>
          <w:rFonts w:cstheme="minorHAnsi"/>
          <w:sz w:val="24"/>
          <w:szCs w:val="24"/>
        </w:rPr>
      </w:pPr>
      <w:r w:rsidRPr="00F84D48">
        <w:rPr>
          <w:rFonts w:cstheme="minorHAnsi"/>
          <w:sz w:val="24"/>
          <w:szCs w:val="24"/>
        </w:rPr>
        <w:t>The decalcified haematoxylin and eosin (H&amp;E) stained bone sections demonstrated areas of necrotic bone characterized by empty osteolytic lacunae, confirming sequestrum formation. Peripheral bone exhibited acute inflammatory infiltrate dominated by neutrophils, consistent with chronic suppurative osteomyelitis.</w:t>
      </w:r>
    </w:p>
    <w:p w14:paraId="5F4F0299" w14:textId="582F18F2" w:rsidR="00F84D48" w:rsidRPr="00F84D48" w:rsidRDefault="00F84D48" w:rsidP="00344037">
      <w:pPr>
        <w:jc w:val="both"/>
        <w:rPr>
          <w:rFonts w:cstheme="minorHAnsi"/>
          <w:sz w:val="24"/>
          <w:szCs w:val="24"/>
        </w:rPr>
      </w:pPr>
      <w:r w:rsidRPr="00F84D48">
        <w:rPr>
          <w:rFonts w:cstheme="minorHAnsi"/>
          <w:sz w:val="24"/>
          <w:szCs w:val="24"/>
        </w:rPr>
        <w:t>These findings confirmed the clinical and radiographic diagnosis.</w:t>
      </w:r>
    </w:p>
    <w:p w14:paraId="75239DD1" w14:textId="0A0B4E0D" w:rsidR="00F84D48" w:rsidRPr="00F84D48" w:rsidRDefault="00F84D48" w:rsidP="00F84D48">
      <w:pPr>
        <w:rPr>
          <w:rFonts w:cstheme="minorHAnsi"/>
          <w:b/>
          <w:bCs/>
          <w:sz w:val="24"/>
          <w:szCs w:val="24"/>
        </w:rPr>
      </w:pPr>
      <w:r w:rsidRPr="00F84D48">
        <w:rPr>
          <w:rFonts w:cstheme="minorHAnsi"/>
          <w:b/>
          <w:bCs/>
          <w:sz w:val="24"/>
          <w:szCs w:val="24"/>
        </w:rPr>
        <w:t>Outcome and Follow-Up</w:t>
      </w:r>
    </w:p>
    <w:p w14:paraId="49776C7D" w14:textId="52BB6B86" w:rsidR="004262B5" w:rsidRDefault="00F84D48" w:rsidP="00F84D48">
      <w:pPr>
        <w:rPr>
          <w:rFonts w:cstheme="minorHAnsi"/>
          <w:sz w:val="24"/>
          <w:szCs w:val="24"/>
        </w:rPr>
      </w:pPr>
      <w:r w:rsidRPr="00F84D48">
        <w:rPr>
          <w:rFonts w:cstheme="minorHAnsi"/>
          <w:sz w:val="24"/>
          <w:szCs w:val="24"/>
        </w:rPr>
        <w:t xml:space="preserve">Postoperative healing was uneventful. The patient was followed up </w:t>
      </w:r>
      <w:r>
        <w:rPr>
          <w:rFonts w:cstheme="minorHAnsi"/>
          <w:sz w:val="24"/>
          <w:szCs w:val="24"/>
        </w:rPr>
        <w:t xml:space="preserve">on </w:t>
      </w:r>
      <w:r w:rsidRPr="00F84D48">
        <w:rPr>
          <w:rFonts w:cstheme="minorHAnsi"/>
          <w:sz w:val="24"/>
          <w:szCs w:val="24"/>
        </w:rPr>
        <w:t xml:space="preserve">periodically over </w:t>
      </w:r>
      <w:r>
        <w:rPr>
          <w:rFonts w:cstheme="minorHAnsi"/>
          <w:sz w:val="24"/>
          <w:szCs w:val="24"/>
        </w:rPr>
        <w:t>three months</w:t>
      </w:r>
      <w:r w:rsidRPr="00F84D48">
        <w:rPr>
          <w:rFonts w:cstheme="minorHAnsi"/>
          <w:sz w:val="24"/>
          <w:szCs w:val="24"/>
        </w:rPr>
        <w:t>.</w:t>
      </w:r>
    </w:p>
    <w:p w14:paraId="7314AB4E" w14:textId="2F002FFC" w:rsidR="00F84D48" w:rsidRPr="00F84D48" w:rsidRDefault="00F84D48" w:rsidP="00F84D48">
      <w:pPr>
        <w:rPr>
          <w:rFonts w:cstheme="minorHAnsi"/>
          <w:sz w:val="24"/>
          <w:szCs w:val="24"/>
        </w:rPr>
      </w:pPr>
      <w:r w:rsidRPr="00F84D48">
        <w:rPr>
          <w:rFonts w:cstheme="minorHAnsi"/>
          <w:sz w:val="24"/>
          <w:szCs w:val="24"/>
        </w:rPr>
        <w:t>Clinical evaluation demonstrated complete resolution of pain, swelling, and purulent discharge. Both intraoral and extraoral surgical sites exhibited satisfactory healing with no evidence of recurrent sinus tract formation or infection.</w:t>
      </w:r>
    </w:p>
    <w:p w14:paraId="7AFCBF80" w14:textId="5FEC4866" w:rsidR="00F84D48" w:rsidRPr="00F84D48" w:rsidRDefault="00F84D48" w:rsidP="00F84D48">
      <w:pPr>
        <w:rPr>
          <w:rFonts w:cstheme="minorHAnsi"/>
          <w:sz w:val="24"/>
          <w:szCs w:val="24"/>
        </w:rPr>
      </w:pPr>
      <w:r w:rsidRPr="00F84D48">
        <w:rPr>
          <w:rFonts w:cstheme="minorHAnsi"/>
          <w:sz w:val="24"/>
          <w:szCs w:val="24"/>
        </w:rPr>
        <w:t>Radiographic evaluation at the three-month follow-up using OPG and CBCT demonstrated progressive new bone formation in the affected mandibular region, indicating favourable healing of the surgical site.</w:t>
      </w:r>
    </w:p>
    <w:p w14:paraId="4D4B8E8E" w14:textId="0B519DAA" w:rsidR="00F84D48" w:rsidRPr="00F84D48" w:rsidRDefault="00F84D48" w:rsidP="00F84D48">
      <w:pPr>
        <w:rPr>
          <w:rFonts w:cstheme="minorHAnsi"/>
          <w:sz w:val="24"/>
          <w:szCs w:val="24"/>
        </w:rPr>
      </w:pPr>
      <w:r w:rsidRPr="00F84D48">
        <w:rPr>
          <w:rFonts w:cstheme="minorHAnsi"/>
          <w:sz w:val="24"/>
          <w:szCs w:val="24"/>
        </w:rPr>
        <w:t xml:space="preserve">No complications or recurrence were observed during the follow-up period. The patient was advised </w:t>
      </w:r>
      <w:r>
        <w:rPr>
          <w:rFonts w:cstheme="minorHAnsi"/>
          <w:sz w:val="24"/>
          <w:szCs w:val="24"/>
        </w:rPr>
        <w:t xml:space="preserve">to undergo </w:t>
      </w:r>
      <w:r w:rsidRPr="00F84D48">
        <w:rPr>
          <w:rFonts w:cstheme="minorHAnsi"/>
          <w:sz w:val="24"/>
          <w:szCs w:val="24"/>
        </w:rPr>
        <w:t>periodic monitoring to evaluate mandibular growth and development of adjacent permanent teeth, considering the removal of the developing tooth germs.</w:t>
      </w:r>
    </w:p>
    <w:p w14:paraId="27D3D8E3" w14:textId="1AD9D716" w:rsidR="00B334D2" w:rsidRDefault="00B334D2">
      <w:pPr>
        <w:rPr>
          <w:rFonts w:cstheme="minorHAnsi"/>
          <w:sz w:val="24"/>
          <w:szCs w:val="24"/>
        </w:rPr>
      </w:pPr>
    </w:p>
    <w:p w14:paraId="418CBAC7" w14:textId="4EB1D7C6" w:rsidR="00B334D2" w:rsidRDefault="00B334D2">
      <w:pPr>
        <w:rPr>
          <w:rFonts w:cstheme="minorHAnsi"/>
          <w:sz w:val="24"/>
          <w:szCs w:val="24"/>
        </w:rPr>
      </w:pPr>
    </w:p>
    <w:p w14:paraId="73350126" w14:textId="6EC1DAA0" w:rsidR="00B334D2" w:rsidRDefault="00B334D2">
      <w:pPr>
        <w:rPr>
          <w:rFonts w:cstheme="minorHAnsi"/>
          <w:sz w:val="24"/>
          <w:szCs w:val="24"/>
        </w:rPr>
      </w:pPr>
    </w:p>
    <w:p w14:paraId="0A850996" w14:textId="433C26A2" w:rsidR="00B334D2" w:rsidRDefault="00B334D2">
      <w:pPr>
        <w:rPr>
          <w:rFonts w:cstheme="minorHAnsi"/>
          <w:sz w:val="24"/>
          <w:szCs w:val="24"/>
        </w:rPr>
      </w:pPr>
    </w:p>
    <w:p w14:paraId="27E4B1E4" w14:textId="767908B0" w:rsidR="00983CA8" w:rsidRDefault="00983CA8" w:rsidP="00DC3E09">
      <w:pPr>
        <w:spacing w:before="100" w:beforeAutospacing="1" w:after="100" w:afterAutospacing="1" w:line="240" w:lineRule="auto"/>
        <w:outlineLvl w:val="0"/>
        <w:rPr>
          <w:rFonts w:eastAsia="Times New Roman" w:cstheme="minorHAnsi"/>
          <w:kern w:val="36"/>
          <w:sz w:val="24"/>
          <w:szCs w:val="24"/>
          <w:lang w:eastAsia="en-GB"/>
          <w14:ligatures w14:val="none"/>
        </w:rPr>
      </w:pPr>
    </w:p>
    <w:p w14:paraId="0C896D50" w14:textId="1DED15C7" w:rsidR="009D0643" w:rsidRDefault="009D0643" w:rsidP="00DC3E09">
      <w:pPr>
        <w:spacing w:before="100" w:beforeAutospacing="1" w:after="100" w:afterAutospacing="1" w:line="240" w:lineRule="auto"/>
        <w:outlineLvl w:val="0"/>
        <w:rPr>
          <w:rFonts w:eastAsia="Times New Roman" w:cstheme="minorHAnsi"/>
          <w:b/>
          <w:bCs/>
          <w:kern w:val="36"/>
          <w:sz w:val="24"/>
          <w:szCs w:val="24"/>
          <w:u w:val="single"/>
          <w:lang w:eastAsia="en-GB"/>
          <w14:ligatures w14:val="none"/>
        </w:rPr>
      </w:pPr>
    </w:p>
    <w:p w14:paraId="3A5F38D4" w14:textId="4BFEE44E" w:rsidR="00DC3E09" w:rsidRPr="00983CA8" w:rsidRDefault="00DC3E09" w:rsidP="00DC3E09">
      <w:pPr>
        <w:spacing w:before="100" w:beforeAutospacing="1" w:after="100" w:afterAutospacing="1" w:line="240" w:lineRule="auto"/>
        <w:outlineLvl w:val="0"/>
        <w:rPr>
          <w:rFonts w:eastAsiaTheme="minorEastAsia" w:cstheme="minorHAnsi"/>
          <w:b/>
          <w:bCs/>
          <w:kern w:val="36"/>
          <w:sz w:val="24"/>
          <w:szCs w:val="24"/>
          <w:u w:val="single"/>
          <w:lang w:eastAsia="en-GB"/>
          <w14:ligatures w14:val="none"/>
        </w:rPr>
      </w:pPr>
      <w:r w:rsidRPr="00983CA8">
        <w:rPr>
          <w:rFonts w:eastAsia="Times New Roman" w:cstheme="minorHAnsi"/>
          <w:b/>
          <w:bCs/>
          <w:kern w:val="36"/>
          <w:sz w:val="24"/>
          <w:szCs w:val="24"/>
          <w:u w:val="single"/>
          <w:lang w:eastAsia="en-GB"/>
          <w14:ligatures w14:val="none"/>
        </w:rPr>
        <w:t>Discussion</w:t>
      </w:r>
    </w:p>
    <w:p w14:paraId="38111B68" w14:textId="77777777" w:rsidR="000C389E" w:rsidRPr="000C389E" w:rsidRDefault="000C389E" w:rsidP="00BF39C7">
      <w:pPr>
        <w:spacing w:before="100" w:beforeAutospacing="1" w:after="100" w:afterAutospacing="1" w:line="240" w:lineRule="auto"/>
        <w:jc w:val="both"/>
        <w:outlineLvl w:val="1"/>
        <w:rPr>
          <w:rFonts w:eastAsiaTheme="minorEastAsia" w:cstheme="minorHAnsi"/>
          <w:kern w:val="0"/>
          <w:sz w:val="24"/>
          <w:szCs w:val="24"/>
          <w:lang w:eastAsia="en-GB"/>
          <w14:ligatures w14:val="none"/>
        </w:rPr>
      </w:pPr>
      <w:r w:rsidRPr="000C389E">
        <w:rPr>
          <w:rFonts w:eastAsiaTheme="minorEastAsia" w:cstheme="minorHAnsi"/>
          <w:kern w:val="0"/>
          <w:sz w:val="24"/>
          <w:szCs w:val="24"/>
          <w:lang w:eastAsia="en-GB"/>
          <w14:ligatures w14:val="none"/>
        </w:rPr>
        <w:t>Tooth germ osteomyelitis is a rare but clinically significant condition affecting the paediatric population. The most common etiological factors include untreated dental caries of deciduous teeth, trauma to primary dentition, and less frequently, hematogenous spread of infection [3,4]. The mandibular premolar region is particularly susceptible due to its close anatomical relationship to the roots of deciduous molars, which may serve as a source of infection spreading to the developing permanent tooth germ [5]. Although osteomyelitis of the jaws is less common in children because of increased vascularity and a robust immune response [1], involvement of the developing tooth germ can significantly impact normal odontogenesis and mandibular growth.</w:t>
      </w:r>
    </w:p>
    <w:p w14:paraId="035528AC" w14:textId="77777777" w:rsidR="000C389E" w:rsidRPr="000C389E" w:rsidRDefault="000C389E" w:rsidP="00BF39C7">
      <w:pPr>
        <w:spacing w:before="100" w:beforeAutospacing="1" w:after="100" w:afterAutospacing="1" w:line="240" w:lineRule="auto"/>
        <w:jc w:val="both"/>
        <w:outlineLvl w:val="1"/>
        <w:rPr>
          <w:rFonts w:eastAsiaTheme="minorEastAsia" w:cstheme="minorHAnsi"/>
          <w:kern w:val="0"/>
          <w:sz w:val="24"/>
          <w:szCs w:val="24"/>
          <w:lang w:eastAsia="en-GB"/>
          <w14:ligatures w14:val="none"/>
        </w:rPr>
      </w:pPr>
      <w:r w:rsidRPr="000C389E">
        <w:rPr>
          <w:rFonts w:eastAsiaTheme="minorEastAsia" w:cstheme="minorHAnsi"/>
          <w:kern w:val="0"/>
          <w:sz w:val="24"/>
          <w:szCs w:val="24"/>
          <w:lang w:eastAsia="en-GB"/>
          <w14:ligatures w14:val="none"/>
        </w:rPr>
        <w:t>The condition remains extremely rare, with only limited case reports documented in the literature [2,6]. The developing tooth follicle may act as a nidus for infection, especially in the presence of untreated odontogenic infections [5]. Spread of infection through cancellous bone can lead to inflammatory destruction and disruption of the developing tooth germ.</w:t>
      </w:r>
    </w:p>
    <w:p w14:paraId="7505F153" w14:textId="77777777" w:rsidR="000C389E" w:rsidRPr="000C389E" w:rsidRDefault="000C389E" w:rsidP="00BF39C7">
      <w:pPr>
        <w:spacing w:before="100" w:beforeAutospacing="1" w:after="100" w:afterAutospacing="1" w:line="240" w:lineRule="auto"/>
        <w:jc w:val="both"/>
        <w:outlineLvl w:val="1"/>
        <w:rPr>
          <w:rFonts w:eastAsiaTheme="minorEastAsia" w:cstheme="minorHAnsi"/>
          <w:kern w:val="0"/>
          <w:sz w:val="24"/>
          <w:szCs w:val="24"/>
          <w:lang w:eastAsia="en-GB"/>
          <w14:ligatures w14:val="none"/>
        </w:rPr>
      </w:pPr>
      <w:r w:rsidRPr="000C389E">
        <w:rPr>
          <w:rFonts w:eastAsiaTheme="minorEastAsia" w:cstheme="minorHAnsi"/>
          <w:kern w:val="0"/>
          <w:sz w:val="24"/>
          <w:szCs w:val="24"/>
          <w:lang w:eastAsia="en-GB"/>
          <w14:ligatures w14:val="none"/>
        </w:rPr>
        <w:t xml:space="preserve">Radiographic evaluation plays a crucial role in diagnosis; however, early lesions may mimic other odontogenic and inflammatory conditions such as dentigerous cysts, periapical abscesses, or </w:t>
      </w:r>
      <w:proofErr w:type="spellStart"/>
      <w:r w:rsidRPr="000C389E">
        <w:rPr>
          <w:rFonts w:eastAsiaTheme="minorEastAsia" w:cstheme="minorHAnsi"/>
          <w:kern w:val="0"/>
          <w:sz w:val="24"/>
          <w:szCs w:val="24"/>
          <w:lang w:eastAsia="en-GB"/>
          <w14:ligatures w14:val="none"/>
        </w:rPr>
        <w:t>unicystic</w:t>
      </w:r>
      <w:proofErr w:type="spellEnd"/>
      <w:r w:rsidRPr="000C389E">
        <w:rPr>
          <w:rFonts w:eastAsiaTheme="minorEastAsia" w:cstheme="minorHAnsi"/>
          <w:kern w:val="0"/>
          <w:sz w:val="24"/>
          <w:szCs w:val="24"/>
          <w:lang w:eastAsia="en-GB"/>
          <w14:ligatures w14:val="none"/>
        </w:rPr>
        <w:t xml:space="preserve"> ameloblastoma, making diagnosis challenging [10]. Conventional radiographs may show subtle findings such as ill-defined radiolucency or widening of the follicular space. In this context, advanced imaging modalities such as cone beam computed tomography (CBCT) provide superior diagnostic accuracy by offering three-dimensional visualisation, enabling precise assessment of lesion extent, cortical involvement, and its relationship with the developing tooth germ [7].</w:t>
      </w:r>
    </w:p>
    <w:p w14:paraId="0007E8C2" w14:textId="77777777" w:rsidR="000C389E" w:rsidRPr="000C389E" w:rsidRDefault="000C389E" w:rsidP="00BF39C7">
      <w:pPr>
        <w:spacing w:before="100" w:beforeAutospacing="1" w:after="100" w:afterAutospacing="1" w:line="240" w:lineRule="auto"/>
        <w:jc w:val="both"/>
        <w:outlineLvl w:val="1"/>
        <w:rPr>
          <w:rFonts w:eastAsiaTheme="minorEastAsia" w:cstheme="minorHAnsi"/>
          <w:kern w:val="0"/>
          <w:sz w:val="24"/>
          <w:szCs w:val="24"/>
          <w:lang w:eastAsia="en-GB"/>
          <w14:ligatures w14:val="none"/>
        </w:rPr>
      </w:pPr>
      <w:r w:rsidRPr="000C389E">
        <w:rPr>
          <w:rFonts w:eastAsiaTheme="minorEastAsia" w:cstheme="minorHAnsi"/>
          <w:kern w:val="0"/>
          <w:sz w:val="24"/>
          <w:szCs w:val="24"/>
          <w:lang w:eastAsia="en-GB"/>
          <w14:ligatures w14:val="none"/>
        </w:rPr>
        <w:t>Clinically, paediatric osteomyelitis typically presents with localised pain, swelling, tenderness, and occasionally purulent discharge [4]. Systemic symptoms are often mild or absent, which may contribute to delayed diagnosis. In advanced cases, extraoral swelling and facial asymmetry may be evident.</w:t>
      </w:r>
    </w:p>
    <w:p w14:paraId="4A78F85F" w14:textId="77777777" w:rsidR="000C389E" w:rsidRPr="000C389E" w:rsidRDefault="000C389E" w:rsidP="00BF39C7">
      <w:pPr>
        <w:spacing w:before="100" w:beforeAutospacing="1" w:after="100" w:afterAutospacing="1" w:line="240" w:lineRule="auto"/>
        <w:jc w:val="both"/>
        <w:outlineLvl w:val="1"/>
        <w:rPr>
          <w:rFonts w:eastAsiaTheme="minorEastAsia" w:cstheme="minorHAnsi"/>
          <w:kern w:val="0"/>
          <w:sz w:val="24"/>
          <w:szCs w:val="24"/>
          <w:lang w:eastAsia="en-GB"/>
          <w14:ligatures w14:val="none"/>
        </w:rPr>
      </w:pPr>
      <w:r w:rsidRPr="000C389E">
        <w:rPr>
          <w:rFonts w:eastAsiaTheme="minorEastAsia" w:cstheme="minorHAnsi"/>
          <w:kern w:val="0"/>
          <w:sz w:val="24"/>
          <w:szCs w:val="24"/>
          <w:lang w:eastAsia="en-GB"/>
          <w14:ligatures w14:val="none"/>
        </w:rPr>
        <w:t>Management depends on the stage of infection, extent of bone involvement, and viability of the developing tooth germ. While early lesions may be managed conservatively with antibiotics and drainage, cases involving necrotic bone or direct infection of the tooth germ require definitive surgical intervention [6]. Surgical management includes removal of the infected tooth germ along with thorough debridement of necrotic bone to eliminate the source of infection.</w:t>
      </w:r>
    </w:p>
    <w:p w14:paraId="1DDD4090" w14:textId="77777777" w:rsidR="000C389E" w:rsidRPr="000C389E" w:rsidRDefault="000C389E" w:rsidP="00BF39C7">
      <w:pPr>
        <w:spacing w:before="100" w:beforeAutospacing="1" w:after="100" w:afterAutospacing="1" w:line="240" w:lineRule="auto"/>
        <w:jc w:val="both"/>
        <w:outlineLvl w:val="1"/>
        <w:rPr>
          <w:rFonts w:eastAsiaTheme="minorEastAsia" w:cstheme="minorHAnsi"/>
          <w:kern w:val="0"/>
          <w:sz w:val="24"/>
          <w:szCs w:val="24"/>
          <w:lang w:eastAsia="en-GB"/>
          <w14:ligatures w14:val="none"/>
        </w:rPr>
      </w:pPr>
      <w:r w:rsidRPr="000C389E">
        <w:rPr>
          <w:rFonts w:eastAsiaTheme="minorEastAsia" w:cstheme="minorHAnsi"/>
          <w:kern w:val="0"/>
          <w:sz w:val="24"/>
          <w:szCs w:val="24"/>
          <w:lang w:eastAsia="en-GB"/>
          <w14:ligatures w14:val="none"/>
        </w:rPr>
        <w:t xml:space="preserve">Failure of conservative treatment may result in persistent infection and complications such as sinus tract formation or </w:t>
      </w:r>
      <w:proofErr w:type="spellStart"/>
      <w:r w:rsidRPr="000C389E">
        <w:rPr>
          <w:rFonts w:eastAsiaTheme="minorEastAsia" w:cstheme="minorHAnsi"/>
          <w:kern w:val="0"/>
          <w:sz w:val="24"/>
          <w:szCs w:val="24"/>
          <w:lang w:eastAsia="en-GB"/>
          <w14:ligatures w14:val="none"/>
        </w:rPr>
        <w:t>orocutaneous</w:t>
      </w:r>
      <w:proofErr w:type="spellEnd"/>
      <w:r w:rsidRPr="000C389E">
        <w:rPr>
          <w:rFonts w:eastAsiaTheme="minorEastAsia" w:cstheme="minorHAnsi"/>
          <w:kern w:val="0"/>
          <w:sz w:val="24"/>
          <w:szCs w:val="24"/>
          <w:lang w:eastAsia="en-GB"/>
          <w14:ligatures w14:val="none"/>
        </w:rPr>
        <w:t xml:space="preserve"> fistula, as observed in the present case [8]. Persistent infection may further compromise mandibular development and predispose to chronic osteomyelitis. Therefore, early and appropriate surgical management combined with </w:t>
      </w:r>
      <w:r w:rsidRPr="000C389E">
        <w:rPr>
          <w:rFonts w:eastAsiaTheme="minorEastAsia" w:cstheme="minorHAnsi"/>
          <w:kern w:val="0"/>
          <w:sz w:val="24"/>
          <w:szCs w:val="24"/>
          <w:lang w:eastAsia="en-GB"/>
          <w14:ligatures w14:val="none"/>
        </w:rPr>
        <w:lastRenderedPageBreak/>
        <w:t>antibiotic therapy is essential to achieve favourable outcomes and prevent long-term complications [9,15].</w:t>
      </w:r>
    </w:p>
    <w:p w14:paraId="4C029294" w14:textId="77777777" w:rsidR="000C389E" w:rsidRPr="000C389E" w:rsidRDefault="00422507" w:rsidP="00BF39C7">
      <w:pPr>
        <w:spacing w:before="100" w:beforeAutospacing="1" w:after="100" w:afterAutospacing="1" w:line="240" w:lineRule="auto"/>
        <w:jc w:val="both"/>
        <w:outlineLvl w:val="1"/>
        <w:rPr>
          <w:rFonts w:eastAsiaTheme="minorEastAsia" w:cstheme="minorHAnsi"/>
          <w:kern w:val="0"/>
          <w:sz w:val="24"/>
          <w:szCs w:val="24"/>
          <w:lang w:eastAsia="en-GB"/>
          <w14:ligatures w14:val="none"/>
        </w:rPr>
      </w:pPr>
      <w:r>
        <w:rPr>
          <w:rFonts w:eastAsiaTheme="minorEastAsia" w:cstheme="minorHAnsi"/>
          <w:kern w:val="0"/>
          <w:sz w:val="24"/>
          <w:szCs w:val="24"/>
          <w:lang w:eastAsia="en-GB"/>
          <w14:ligatures w14:val="none"/>
        </w:rPr>
        <w:pict w14:anchorId="4EF8C101">
          <v:rect id="_x0000_i1025" style="width:0;height:1.5pt" o:hralign="center" o:hrstd="t" o:hr="t" fillcolor="#a0a0a0" stroked="f"/>
        </w:pict>
      </w:r>
    </w:p>
    <w:p w14:paraId="19BE0F6F" w14:textId="77777777" w:rsidR="000C389E" w:rsidRPr="000C389E" w:rsidRDefault="000C389E" w:rsidP="00BF39C7">
      <w:pPr>
        <w:spacing w:before="100" w:beforeAutospacing="1" w:after="100" w:afterAutospacing="1" w:line="240" w:lineRule="auto"/>
        <w:jc w:val="both"/>
        <w:outlineLvl w:val="1"/>
        <w:rPr>
          <w:rFonts w:eastAsiaTheme="minorEastAsia" w:cstheme="minorHAnsi"/>
          <w:b/>
          <w:bCs/>
          <w:kern w:val="0"/>
          <w:sz w:val="24"/>
          <w:szCs w:val="24"/>
          <w:lang w:eastAsia="en-GB"/>
          <w14:ligatures w14:val="none"/>
        </w:rPr>
      </w:pPr>
      <w:r w:rsidRPr="000C389E">
        <w:rPr>
          <w:rFonts w:eastAsiaTheme="minorEastAsia" w:cstheme="minorHAnsi"/>
          <w:b/>
          <w:bCs/>
          <w:kern w:val="0"/>
          <w:sz w:val="24"/>
          <w:szCs w:val="24"/>
          <w:lang w:eastAsia="en-GB"/>
          <w14:ligatures w14:val="none"/>
        </w:rPr>
        <w:t>Comparative Analysis with Previously Reported Cases</w:t>
      </w:r>
    </w:p>
    <w:p w14:paraId="2B62DCBC" w14:textId="77777777" w:rsidR="000C389E" w:rsidRPr="000C389E" w:rsidRDefault="000C389E" w:rsidP="00BF39C7">
      <w:pPr>
        <w:spacing w:before="100" w:beforeAutospacing="1" w:after="100" w:afterAutospacing="1" w:line="240" w:lineRule="auto"/>
        <w:jc w:val="both"/>
        <w:outlineLvl w:val="1"/>
        <w:rPr>
          <w:rFonts w:eastAsiaTheme="minorEastAsia" w:cstheme="minorHAnsi"/>
          <w:kern w:val="0"/>
          <w:sz w:val="24"/>
          <w:szCs w:val="24"/>
          <w:lang w:eastAsia="en-GB"/>
          <w14:ligatures w14:val="none"/>
        </w:rPr>
      </w:pPr>
      <w:r w:rsidRPr="000C389E">
        <w:rPr>
          <w:rFonts w:eastAsiaTheme="minorEastAsia" w:cstheme="minorHAnsi"/>
          <w:kern w:val="0"/>
          <w:sz w:val="24"/>
          <w:szCs w:val="24"/>
          <w:lang w:eastAsia="en-GB"/>
          <w14:ligatures w14:val="none"/>
        </w:rPr>
        <w:t>Previously reported cases of paediatric mandibular osteomyelitis involving developing tooth germs remain scarce [11,13,20]. Most cases occur during the mixed dentition period, typically between 7 and 14 years of age, when permanent tooth germs are actively developing [11,13,20]. Similar to the present case, odontogenic infection originating from untreated deciduous molars is the most frequently reported etiological factor [5,9].</w:t>
      </w:r>
    </w:p>
    <w:p w14:paraId="0ABACFBF" w14:textId="77777777" w:rsidR="000C389E" w:rsidRPr="000C389E" w:rsidRDefault="000C389E" w:rsidP="00BF39C7">
      <w:pPr>
        <w:spacing w:before="100" w:beforeAutospacing="1" w:after="100" w:afterAutospacing="1" w:line="240" w:lineRule="auto"/>
        <w:jc w:val="both"/>
        <w:outlineLvl w:val="1"/>
        <w:rPr>
          <w:rFonts w:eastAsiaTheme="minorEastAsia" w:cstheme="minorHAnsi"/>
          <w:kern w:val="0"/>
          <w:sz w:val="24"/>
          <w:szCs w:val="24"/>
          <w:lang w:eastAsia="en-GB"/>
          <w14:ligatures w14:val="none"/>
        </w:rPr>
      </w:pPr>
      <w:r w:rsidRPr="000C389E">
        <w:rPr>
          <w:rFonts w:eastAsiaTheme="minorEastAsia" w:cstheme="minorHAnsi"/>
          <w:kern w:val="0"/>
          <w:sz w:val="24"/>
          <w:szCs w:val="24"/>
          <w:lang w:eastAsia="en-GB"/>
          <w14:ligatures w14:val="none"/>
        </w:rPr>
        <w:t>The mandibular molar and premolar regions are most commonly affected due to their proximity to infected primary teeth [12,14]. Radiographic findings in reported cases commonly include ill-defined radiolucencies surrounding the developing tooth germ, often resembling cystic or inflammatory lesions [10]. This overlap further emphasises the importance of advanced imaging techniques such as CBCT for accurate diagnosis and treatment planning [7].</w:t>
      </w:r>
    </w:p>
    <w:p w14:paraId="3BC095BF" w14:textId="77777777" w:rsidR="000C389E" w:rsidRPr="000C389E" w:rsidRDefault="000C389E" w:rsidP="00BF39C7">
      <w:pPr>
        <w:spacing w:before="100" w:beforeAutospacing="1" w:after="100" w:afterAutospacing="1" w:line="240" w:lineRule="auto"/>
        <w:jc w:val="both"/>
        <w:outlineLvl w:val="1"/>
        <w:rPr>
          <w:rFonts w:eastAsiaTheme="minorEastAsia" w:cstheme="minorHAnsi"/>
          <w:kern w:val="0"/>
          <w:sz w:val="24"/>
          <w:szCs w:val="24"/>
          <w:lang w:eastAsia="en-GB"/>
          <w14:ligatures w14:val="none"/>
        </w:rPr>
      </w:pPr>
      <w:r w:rsidRPr="000C389E">
        <w:rPr>
          <w:rFonts w:eastAsiaTheme="minorEastAsia" w:cstheme="minorHAnsi"/>
          <w:kern w:val="0"/>
          <w:sz w:val="24"/>
          <w:szCs w:val="24"/>
          <w:lang w:eastAsia="en-GB"/>
          <w14:ligatures w14:val="none"/>
        </w:rPr>
        <w:t>Management approaches vary depending on disease severity. Although conservative treatment may be effective in early stages, most literature supports surgical removal of the infected tooth germ with debridement of necrotic bone as the most definitive and reliable treatment modality [6,15,20]. Similar findings were observed in the present case, where definitive surgical intervention resulted in complete resolution of infection.</w:t>
      </w:r>
    </w:p>
    <w:p w14:paraId="663DA58A" w14:textId="77777777" w:rsidR="000C389E" w:rsidRPr="000C389E" w:rsidRDefault="000C389E" w:rsidP="00BF39C7">
      <w:pPr>
        <w:spacing w:before="100" w:beforeAutospacing="1" w:after="100" w:afterAutospacing="1" w:line="240" w:lineRule="auto"/>
        <w:jc w:val="both"/>
        <w:outlineLvl w:val="1"/>
        <w:rPr>
          <w:rFonts w:eastAsiaTheme="minorEastAsia" w:cstheme="minorHAnsi"/>
          <w:kern w:val="0"/>
          <w:sz w:val="24"/>
          <w:szCs w:val="24"/>
          <w:lang w:eastAsia="en-GB"/>
          <w14:ligatures w14:val="none"/>
        </w:rPr>
      </w:pPr>
      <w:r w:rsidRPr="000C389E">
        <w:rPr>
          <w:rFonts w:eastAsiaTheme="minorEastAsia" w:cstheme="minorHAnsi"/>
          <w:kern w:val="0"/>
          <w:sz w:val="24"/>
          <w:szCs w:val="24"/>
          <w:lang w:eastAsia="en-GB"/>
          <w14:ligatures w14:val="none"/>
        </w:rPr>
        <w:t>Most reported cases demonstrate favourable outcomes following timely surgical management, with satisfactory bone healing and minimal long-term complications [9,20,23]. Early diagnosis and intervention remain critical to prevent adverse sequelae such as delayed tooth eruption, mandibular growth disturbances, and facial asymmetry</w:t>
      </w:r>
    </w:p>
    <w:p w14:paraId="7838F402" w14:textId="77777777" w:rsidR="00DC3E09" w:rsidRPr="0091397D" w:rsidRDefault="00DC3E09" w:rsidP="00BF39C7">
      <w:pPr>
        <w:spacing w:before="100" w:beforeAutospacing="1" w:after="100" w:afterAutospacing="1" w:line="240" w:lineRule="auto"/>
        <w:jc w:val="both"/>
        <w:outlineLvl w:val="1"/>
        <w:rPr>
          <w:rFonts w:eastAsiaTheme="minorEastAsia" w:cstheme="minorHAnsi"/>
          <w:b/>
          <w:bCs/>
          <w:kern w:val="0"/>
          <w:sz w:val="24"/>
          <w:szCs w:val="24"/>
          <w:u w:val="single"/>
          <w:lang w:eastAsia="en-GB"/>
          <w14:ligatures w14:val="none"/>
        </w:rPr>
      </w:pPr>
      <w:r w:rsidRPr="0091397D">
        <w:rPr>
          <w:rFonts w:eastAsia="Times New Roman" w:cstheme="minorHAnsi"/>
          <w:b/>
          <w:bCs/>
          <w:kern w:val="0"/>
          <w:sz w:val="24"/>
          <w:szCs w:val="24"/>
          <w:u w:val="single"/>
          <w:lang w:eastAsia="en-GB"/>
          <w14:ligatures w14:val="none"/>
        </w:rPr>
        <w:t>Limitations and Future Directions</w:t>
      </w:r>
    </w:p>
    <w:p w14:paraId="3BF5D954" w14:textId="77777777" w:rsidR="00DC3E09" w:rsidRPr="00B72B0C" w:rsidRDefault="00DC3E09" w:rsidP="00BF39C7">
      <w:pPr>
        <w:spacing w:before="100" w:beforeAutospacing="1" w:after="100" w:afterAutospacing="1" w:line="240" w:lineRule="auto"/>
        <w:jc w:val="both"/>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As this report describes a single clinical case, the findings cannot be generalized to all paediatric osteomyelitis cases involving tooth germs. Additionally, long-term follow-up is necessary to evaluate the effects of surgical removal of the tooth germ on mandibular growth and eruption of adjacent teeth. Future studies involving larger case series and long-term observational data would help improve understanding of the pathogenesis, optimal treatment strategies, and long-term outcomes of tooth germ osteomyelitis in paediatric patients.</w:t>
      </w:r>
    </w:p>
    <w:p w14:paraId="619F34DE" w14:textId="77777777" w:rsidR="00DC3E09" w:rsidRPr="00B72B0C" w:rsidRDefault="00DC3E09" w:rsidP="00DC3E09">
      <w:pPr>
        <w:spacing w:after="0" w:line="240" w:lineRule="auto"/>
        <w:rPr>
          <w:rFonts w:eastAsia="Times New Roman" w:cstheme="minorHAnsi"/>
          <w:kern w:val="0"/>
          <w:sz w:val="24"/>
          <w:szCs w:val="24"/>
          <w:lang w:eastAsia="en-GB"/>
          <w14:ligatures w14:val="none"/>
        </w:rPr>
      </w:pPr>
    </w:p>
    <w:p w14:paraId="33BC222F" w14:textId="7CC9C1EC" w:rsidR="00DC3E09" w:rsidRPr="0091397D" w:rsidRDefault="0051401F" w:rsidP="00DC3E09">
      <w:pPr>
        <w:spacing w:before="100" w:beforeAutospacing="1" w:after="100" w:afterAutospacing="1" w:line="240" w:lineRule="auto"/>
        <w:outlineLvl w:val="0"/>
        <w:rPr>
          <w:rFonts w:eastAsiaTheme="minorEastAsia" w:cstheme="minorHAnsi"/>
          <w:b/>
          <w:bCs/>
          <w:kern w:val="36"/>
          <w:sz w:val="24"/>
          <w:szCs w:val="24"/>
          <w:u w:val="single"/>
          <w:lang w:eastAsia="en-GB"/>
          <w14:ligatures w14:val="none"/>
        </w:rPr>
      </w:pPr>
      <w:r>
        <w:rPr>
          <w:rFonts w:eastAsia="Times New Roman" w:cstheme="minorHAnsi"/>
          <w:b/>
          <w:bCs/>
          <w:kern w:val="36"/>
          <w:sz w:val="24"/>
          <w:szCs w:val="24"/>
          <w:u w:val="single"/>
          <w:lang w:eastAsia="en-GB"/>
          <w14:ligatures w14:val="none"/>
        </w:rPr>
        <w:t xml:space="preserve">Table </w:t>
      </w:r>
      <w:proofErr w:type="gramStart"/>
      <w:r>
        <w:rPr>
          <w:rFonts w:eastAsia="Times New Roman" w:cstheme="minorHAnsi"/>
          <w:b/>
          <w:bCs/>
          <w:kern w:val="36"/>
          <w:sz w:val="24"/>
          <w:szCs w:val="24"/>
          <w:u w:val="single"/>
          <w:lang w:eastAsia="en-GB"/>
          <w14:ligatures w14:val="none"/>
        </w:rPr>
        <w:t>1 :</w:t>
      </w:r>
      <w:proofErr w:type="gramEnd"/>
      <w:r>
        <w:rPr>
          <w:rFonts w:eastAsia="Times New Roman" w:cstheme="minorHAnsi"/>
          <w:b/>
          <w:bCs/>
          <w:kern w:val="36"/>
          <w:sz w:val="24"/>
          <w:szCs w:val="24"/>
          <w:u w:val="single"/>
          <w:lang w:eastAsia="en-GB"/>
          <w14:ligatures w14:val="none"/>
        </w:rPr>
        <w:t xml:space="preserve"> </w:t>
      </w:r>
      <w:r w:rsidR="00DC3E09" w:rsidRPr="0091397D">
        <w:rPr>
          <w:rFonts w:eastAsia="Times New Roman" w:cstheme="minorHAnsi"/>
          <w:b/>
          <w:bCs/>
          <w:kern w:val="36"/>
          <w:sz w:val="24"/>
          <w:szCs w:val="24"/>
          <w:u w:val="single"/>
          <w:lang w:eastAsia="en-GB"/>
          <w14:ligatures w14:val="none"/>
        </w:rPr>
        <w:t xml:space="preserve">Literature Review of </w:t>
      </w:r>
      <w:r w:rsidR="0091397D" w:rsidRPr="0091397D">
        <w:rPr>
          <w:rFonts w:eastAsia="Times New Roman" w:cstheme="minorHAnsi"/>
          <w:b/>
          <w:bCs/>
          <w:kern w:val="36"/>
          <w:sz w:val="24"/>
          <w:szCs w:val="24"/>
          <w:u w:val="single"/>
          <w:lang w:eastAsia="en-GB"/>
          <w14:ligatures w14:val="none"/>
        </w:rPr>
        <w:t>Paediatric</w:t>
      </w:r>
      <w:r w:rsidR="00DC3E09" w:rsidRPr="0091397D">
        <w:rPr>
          <w:rFonts w:eastAsia="Times New Roman" w:cstheme="minorHAnsi"/>
          <w:b/>
          <w:bCs/>
          <w:kern w:val="36"/>
          <w:sz w:val="24"/>
          <w:szCs w:val="24"/>
          <w:u w:val="single"/>
          <w:lang w:eastAsia="en-GB"/>
          <w14:ligatures w14:val="none"/>
        </w:rPr>
        <w:t xml:space="preserve"> Mandibular Osteomyelitis Cases (2020–2026)</w:t>
      </w:r>
    </w:p>
    <w:p w14:paraId="2EFC6F3E" w14:textId="0B015429" w:rsidR="00DC3E09" w:rsidRDefault="00DC3E09" w:rsidP="00DC3E09">
      <w:pPr>
        <w:spacing w:after="0" w:line="240" w:lineRule="auto"/>
        <w:rPr>
          <w:rFonts w:eastAsiaTheme="minorEastAsia" w:cstheme="minorHAnsi"/>
          <w:kern w:val="0"/>
          <w:sz w:val="24"/>
          <w:szCs w:val="24"/>
          <w:lang w:eastAsia="en-GB"/>
          <w14:ligatures w14:val="none"/>
        </w:rPr>
      </w:pPr>
    </w:p>
    <w:tbl>
      <w:tblPr>
        <w:tblStyle w:val="TableGrid"/>
        <w:tblW w:w="11199" w:type="dxa"/>
        <w:tblInd w:w="-998" w:type="dxa"/>
        <w:tblLayout w:type="fixed"/>
        <w:tblLook w:val="04A0" w:firstRow="1" w:lastRow="0" w:firstColumn="1" w:lastColumn="0" w:noHBand="0" w:noVBand="1"/>
      </w:tblPr>
      <w:tblGrid>
        <w:gridCol w:w="2352"/>
        <w:gridCol w:w="829"/>
        <w:gridCol w:w="1073"/>
        <w:gridCol w:w="1417"/>
        <w:gridCol w:w="1701"/>
        <w:gridCol w:w="1701"/>
        <w:gridCol w:w="2126"/>
      </w:tblGrid>
      <w:tr w:rsidR="0091397D" w14:paraId="537AA9BE" w14:textId="77777777" w:rsidTr="0091397D">
        <w:tc>
          <w:tcPr>
            <w:tcW w:w="2352" w:type="dxa"/>
            <w:vAlign w:val="center"/>
          </w:tcPr>
          <w:p w14:paraId="0EA83035" w14:textId="4A63EE33"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Author</w:t>
            </w:r>
          </w:p>
        </w:tc>
        <w:tc>
          <w:tcPr>
            <w:tcW w:w="829" w:type="dxa"/>
            <w:vAlign w:val="center"/>
          </w:tcPr>
          <w:p w14:paraId="654E1A0C" w14:textId="76B5F8EF"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Year</w:t>
            </w:r>
          </w:p>
        </w:tc>
        <w:tc>
          <w:tcPr>
            <w:tcW w:w="1073" w:type="dxa"/>
            <w:vAlign w:val="center"/>
          </w:tcPr>
          <w:p w14:paraId="004A326D" w14:textId="3E1BE3EF"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Age</w:t>
            </w:r>
          </w:p>
        </w:tc>
        <w:tc>
          <w:tcPr>
            <w:tcW w:w="1417" w:type="dxa"/>
            <w:vAlign w:val="center"/>
          </w:tcPr>
          <w:p w14:paraId="397D40F0" w14:textId="4F040C15"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Site</w:t>
            </w:r>
          </w:p>
        </w:tc>
        <w:tc>
          <w:tcPr>
            <w:tcW w:w="1701" w:type="dxa"/>
            <w:vAlign w:val="center"/>
          </w:tcPr>
          <w:p w14:paraId="1530F9A7" w14:textId="448E855D"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Aetiology</w:t>
            </w:r>
          </w:p>
        </w:tc>
        <w:tc>
          <w:tcPr>
            <w:tcW w:w="1701" w:type="dxa"/>
            <w:vAlign w:val="center"/>
          </w:tcPr>
          <w:p w14:paraId="12E641F4" w14:textId="4D8C5CD7"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Management</w:t>
            </w:r>
          </w:p>
        </w:tc>
        <w:tc>
          <w:tcPr>
            <w:tcW w:w="2126" w:type="dxa"/>
            <w:vAlign w:val="center"/>
          </w:tcPr>
          <w:p w14:paraId="267CEFA8" w14:textId="1CD27987"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Outcome</w:t>
            </w:r>
          </w:p>
        </w:tc>
      </w:tr>
      <w:tr w:rsidR="0091397D" w14:paraId="4CB853CB" w14:textId="77777777" w:rsidTr="0091397D">
        <w:tc>
          <w:tcPr>
            <w:tcW w:w="2352" w:type="dxa"/>
            <w:vAlign w:val="center"/>
          </w:tcPr>
          <w:p w14:paraId="537E5FC6" w14:textId="518CE637"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lastRenderedPageBreak/>
              <w:t>Lee KH [6]</w:t>
            </w:r>
          </w:p>
        </w:tc>
        <w:tc>
          <w:tcPr>
            <w:tcW w:w="829" w:type="dxa"/>
            <w:vAlign w:val="center"/>
          </w:tcPr>
          <w:p w14:paraId="322D19A1" w14:textId="2568B256"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2020</w:t>
            </w:r>
          </w:p>
        </w:tc>
        <w:tc>
          <w:tcPr>
            <w:tcW w:w="1073" w:type="dxa"/>
            <w:vAlign w:val="center"/>
          </w:tcPr>
          <w:p w14:paraId="073D0225" w14:textId="3C8E455D"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10 yrs</w:t>
            </w:r>
          </w:p>
        </w:tc>
        <w:tc>
          <w:tcPr>
            <w:tcW w:w="1417" w:type="dxa"/>
            <w:vAlign w:val="center"/>
          </w:tcPr>
          <w:p w14:paraId="4A87F1F3" w14:textId="3907DC80"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Mandible</w:t>
            </w:r>
          </w:p>
        </w:tc>
        <w:tc>
          <w:tcPr>
            <w:tcW w:w="1701" w:type="dxa"/>
            <w:vAlign w:val="center"/>
          </w:tcPr>
          <w:p w14:paraId="5C59CD12" w14:textId="7DA2DA8F"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Non-bacterial osteomyelitis</w:t>
            </w:r>
          </w:p>
        </w:tc>
        <w:tc>
          <w:tcPr>
            <w:tcW w:w="1701" w:type="dxa"/>
            <w:vAlign w:val="center"/>
          </w:tcPr>
          <w:p w14:paraId="7C1D048D" w14:textId="6BA7ABC3"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Antibiotics</w:t>
            </w:r>
          </w:p>
        </w:tc>
        <w:tc>
          <w:tcPr>
            <w:tcW w:w="2126" w:type="dxa"/>
            <w:vAlign w:val="center"/>
          </w:tcPr>
          <w:p w14:paraId="00448D56" w14:textId="1A7555F2"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Healing</w:t>
            </w:r>
          </w:p>
        </w:tc>
      </w:tr>
      <w:tr w:rsidR="0091397D" w14:paraId="32A70E51" w14:textId="77777777" w:rsidTr="0091397D">
        <w:tc>
          <w:tcPr>
            <w:tcW w:w="2352" w:type="dxa"/>
            <w:vAlign w:val="center"/>
          </w:tcPr>
          <w:p w14:paraId="462A8335" w14:textId="226EF35E"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Lo DS et al. [7]</w:t>
            </w:r>
          </w:p>
        </w:tc>
        <w:tc>
          <w:tcPr>
            <w:tcW w:w="829" w:type="dxa"/>
            <w:vAlign w:val="center"/>
          </w:tcPr>
          <w:p w14:paraId="67F85F65" w14:textId="157B1772"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2020</w:t>
            </w:r>
          </w:p>
        </w:tc>
        <w:tc>
          <w:tcPr>
            <w:tcW w:w="1073" w:type="dxa"/>
            <w:vAlign w:val="center"/>
          </w:tcPr>
          <w:p w14:paraId="3E70890C" w14:textId="2E3F3008"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13 yrs</w:t>
            </w:r>
          </w:p>
        </w:tc>
        <w:tc>
          <w:tcPr>
            <w:tcW w:w="1417" w:type="dxa"/>
            <w:vAlign w:val="center"/>
          </w:tcPr>
          <w:p w14:paraId="7E4665A6" w14:textId="49225E8D"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Mandible</w:t>
            </w:r>
          </w:p>
        </w:tc>
        <w:tc>
          <w:tcPr>
            <w:tcW w:w="1701" w:type="dxa"/>
            <w:vAlign w:val="center"/>
          </w:tcPr>
          <w:p w14:paraId="6DB69EC4" w14:textId="4692112D"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Odontogenic infection</w:t>
            </w:r>
          </w:p>
        </w:tc>
        <w:tc>
          <w:tcPr>
            <w:tcW w:w="1701" w:type="dxa"/>
            <w:vAlign w:val="center"/>
          </w:tcPr>
          <w:p w14:paraId="11F5C303" w14:textId="6CA9CFE6"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Curettage</w:t>
            </w:r>
          </w:p>
        </w:tc>
        <w:tc>
          <w:tcPr>
            <w:tcW w:w="2126" w:type="dxa"/>
            <w:vAlign w:val="center"/>
          </w:tcPr>
          <w:p w14:paraId="1C46FCAB" w14:textId="4999A19E"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Recovery</w:t>
            </w:r>
          </w:p>
        </w:tc>
      </w:tr>
      <w:tr w:rsidR="0091397D" w14:paraId="0398F3F7" w14:textId="77777777" w:rsidTr="0091397D">
        <w:tc>
          <w:tcPr>
            <w:tcW w:w="2352" w:type="dxa"/>
            <w:vAlign w:val="center"/>
          </w:tcPr>
          <w:p w14:paraId="096490A7" w14:textId="25D9F601"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Ibrahim N et al. [8]</w:t>
            </w:r>
          </w:p>
        </w:tc>
        <w:tc>
          <w:tcPr>
            <w:tcW w:w="829" w:type="dxa"/>
            <w:vAlign w:val="center"/>
          </w:tcPr>
          <w:p w14:paraId="720E0D70" w14:textId="35BF4268"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2020</w:t>
            </w:r>
          </w:p>
        </w:tc>
        <w:tc>
          <w:tcPr>
            <w:tcW w:w="1073" w:type="dxa"/>
            <w:vAlign w:val="center"/>
          </w:tcPr>
          <w:p w14:paraId="2026796D" w14:textId="0563528C"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11 yrs</w:t>
            </w:r>
          </w:p>
        </w:tc>
        <w:tc>
          <w:tcPr>
            <w:tcW w:w="1417" w:type="dxa"/>
            <w:vAlign w:val="center"/>
          </w:tcPr>
          <w:p w14:paraId="7F0D0843" w14:textId="4E627244"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Mandible</w:t>
            </w:r>
          </w:p>
        </w:tc>
        <w:tc>
          <w:tcPr>
            <w:tcW w:w="1701" w:type="dxa"/>
            <w:vAlign w:val="center"/>
          </w:tcPr>
          <w:p w14:paraId="3202DEFD" w14:textId="31C67764"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Chronic osteomyelitis</w:t>
            </w:r>
          </w:p>
        </w:tc>
        <w:tc>
          <w:tcPr>
            <w:tcW w:w="1701" w:type="dxa"/>
            <w:vAlign w:val="center"/>
          </w:tcPr>
          <w:p w14:paraId="33315213" w14:textId="25DF0541"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Surgery</w:t>
            </w:r>
          </w:p>
        </w:tc>
        <w:tc>
          <w:tcPr>
            <w:tcW w:w="2126" w:type="dxa"/>
            <w:vAlign w:val="center"/>
          </w:tcPr>
          <w:p w14:paraId="0626654B" w14:textId="77D964DA"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Good outcome</w:t>
            </w:r>
          </w:p>
        </w:tc>
      </w:tr>
      <w:tr w:rsidR="0091397D" w14:paraId="07B97041" w14:textId="77777777" w:rsidTr="0091397D">
        <w:tc>
          <w:tcPr>
            <w:tcW w:w="2352" w:type="dxa"/>
            <w:vAlign w:val="center"/>
          </w:tcPr>
          <w:p w14:paraId="4E094552" w14:textId="69FF0205"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Chacko R et al. [9]</w:t>
            </w:r>
          </w:p>
        </w:tc>
        <w:tc>
          <w:tcPr>
            <w:tcW w:w="829" w:type="dxa"/>
            <w:vAlign w:val="center"/>
          </w:tcPr>
          <w:p w14:paraId="54B52B30" w14:textId="76FD5959"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2021</w:t>
            </w:r>
          </w:p>
        </w:tc>
        <w:tc>
          <w:tcPr>
            <w:tcW w:w="1073" w:type="dxa"/>
            <w:vAlign w:val="center"/>
          </w:tcPr>
          <w:p w14:paraId="4546A675" w14:textId="70599BDF"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9 yrs</w:t>
            </w:r>
          </w:p>
        </w:tc>
        <w:tc>
          <w:tcPr>
            <w:tcW w:w="1417" w:type="dxa"/>
            <w:vAlign w:val="center"/>
          </w:tcPr>
          <w:p w14:paraId="426C9E10" w14:textId="38BDB39F"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Mandible</w:t>
            </w:r>
          </w:p>
        </w:tc>
        <w:tc>
          <w:tcPr>
            <w:tcW w:w="1701" w:type="dxa"/>
            <w:vAlign w:val="center"/>
          </w:tcPr>
          <w:p w14:paraId="5BF89132" w14:textId="60A0AD1B"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MRSA infection</w:t>
            </w:r>
          </w:p>
        </w:tc>
        <w:tc>
          <w:tcPr>
            <w:tcW w:w="1701" w:type="dxa"/>
            <w:vAlign w:val="center"/>
          </w:tcPr>
          <w:p w14:paraId="69E70CA5" w14:textId="0F1DD68E"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Debridement</w:t>
            </w:r>
          </w:p>
        </w:tc>
        <w:tc>
          <w:tcPr>
            <w:tcW w:w="2126" w:type="dxa"/>
            <w:vAlign w:val="center"/>
          </w:tcPr>
          <w:p w14:paraId="5FDCFBD8" w14:textId="06BCAEBA"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Resolution</w:t>
            </w:r>
          </w:p>
        </w:tc>
      </w:tr>
      <w:tr w:rsidR="0091397D" w14:paraId="69A1DB35" w14:textId="77777777" w:rsidTr="0091397D">
        <w:tc>
          <w:tcPr>
            <w:tcW w:w="2352" w:type="dxa"/>
            <w:vAlign w:val="center"/>
          </w:tcPr>
          <w:p w14:paraId="1054FB64" w14:textId="0F87BE56"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Philip LMN et al. [10]</w:t>
            </w:r>
          </w:p>
        </w:tc>
        <w:tc>
          <w:tcPr>
            <w:tcW w:w="829" w:type="dxa"/>
            <w:vAlign w:val="center"/>
          </w:tcPr>
          <w:p w14:paraId="273CE51A" w14:textId="659D9586"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2021</w:t>
            </w:r>
          </w:p>
        </w:tc>
        <w:tc>
          <w:tcPr>
            <w:tcW w:w="1073" w:type="dxa"/>
            <w:vAlign w:val="center"/>
          </w:tcPr>
          <w:p w14:paraId="662DCBA4" w14:textId="697E1CEE"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12 yrs</w:t>
            </w:r>
          </w:p>
        </w:tc>
        <w:tc>
          <w:tcPr>
            <w:tcW w:w="1417" w:type="dxa"/>
            <w:vAlign w:val="center"/>
          </w:tcPr>
          <w:p w14:paraId="05EA5170" w14:textId="2628BBD7"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Mandible</w:t>
            </w:r>
          </w:p>
        </w:tc>
        <w:tc>
          <w:tcPr>
            <w:tcW w:w="1701" w:type="dxa"/>
            <w:vAlign w:val="center"/>
          </w:tcPr>
          <w:p w14:paraId="0942D6A9" w14:textId="03BAF7BB"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Garré’s osteomyelitis</w:t>
            </w:r>
          </w:p>
        </w:tc>
        <w:tc>
          <w:tcPr>
            <w:tcW w:w="1701" w:type="dxa"/>
            <w:vAlign w:val="center"/>
          </w:tcPr>
          <w:p w14:paraId="6431C1DF" w14:textId="36BE857E"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Surgery</w:t>
            </w:r>
          </w:p>
        </w:tc>
        <w:tc>
          <w:tcPr>
            <w:tcW w:w="2126" w:type="dxa"/>
            <w:vAlign w:val="center"/>
          </w:tcPr>
          <w:p w14:paraId="63E775DB" w14:textId="00EF64EA"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Favourable</w:t>
            </w:r>
          </w:p>
        </w:tc>
      </w:tr>
      <w:tr w:rsidR="0091397D" w14:paraId="2DCB3262" w14:textId="77777777" w:rsidTr="0091397D">
        <w:tc>
          <w:tcPr>
            <w:tcW w:w="2352" w:type="dxa"/>
            <w:vAlign w:val="center"/>
          </w:tcPr>
          <w:p w14:paraId="4A9A8732" w14:textId="0B5CC764"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Patel V et al. [11]</w:t>
            </w:r>
          </w:p>
        </w:tc>
        <w:tc>
          <w:tcPr>
            <w:tcW w:w="829" w:type="dxa"/>
            <w:vAlign w:val="center"/>
          </w:tcPr>
          <w:p w14:paraId="25416BD9" w14:textId="0159F7E3"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2021</w:t>
            </w:r>
          </w:p>
        </w:tc>
        <w:tc>
          <w:tcPr>
            <w:tcW w:w="1073" w:type="dxa"/>
            <w:vAlign w:val="center"/>
          </w:tcPr>
          <w:p w14:paraId="59D31FC6" w14:textId="7387678C"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8 yrs</w:t>
            </w:r>
          </w:p>
        </w:tc>
        <w:tc>
          <w:tcPr>
            <w:tcW w:w="1417" w:type="dxa"/>
            <w:vAlign w:val="center"/>
          </w:tcPr>
          <w:p w14:paraId="1376D4C3" w14:textId="2C9C6CE2"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Mandible</w:t>
            </w:r>
          </w:p>
        </w:tc>
        <w:tc>
          <w:tcPr>
            <w:tcW w:w="1701" w:type="dxa"/>
            <w:vAlign w:val="center"/>
          </w:tcPr>
          <w:p w14:paraId="50CCEA8C" w14:textId="0809E542"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Dental infection</w:t>
            </w:r>
          </w:p>
        </w:tc>
        <w:tc>
          <w:tcPr>
            <w:tcW w:w="1701" w:type="dxa"/>
            <w:vAlign w:val="center"/>
          </w:tcPr>
          <w:p w14:paraId="604ECF0E" w14:textId="7EACCF91"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Extraction</w:t>
            </w:r>
          </w:p>
        </w:tc>
        <w:tc>
          <w:tcPr>
            <w:tcW w:w="2126" w:type="dxa"/>
            <w:vAlign w:val="center"/>
          </w:tcPr>
          <w:p w14:paraId="4A6A2FE4" w14:textId="46A3EF87"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Healing</w:t>
            </w:r>
          </w:p>
        </w:tc>
      </w:tr>
      <w:tr w:rsidR="0091397D" w14:paraId="11EC2EEA" w14:textId="77777777" w:rsidTr="0091397D">
        <w:tc>
          <w:tcPr>
            <w:tcW w:w="2352" w:type="dxa"/>
            <w:vAlign w:val="center"/>
          </w:tcPr>
          <w:p w14:paraId="73EF8442" w14:textId="1A28DFA4"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Singh R et al. [12]</w:t>
            </w:r>
          </w:p>
        </w:tc>
        <w:tc>
          <w:tcPr>
            <w:tcW w:w="829" w:type="dxa"/>
            <w:vAlign w:val="center"/>
          </w:tcPr>
          <w:p w14:paraId="46B1DFF9" w14:textId="2D186900"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2021</w:t>
            </w:r>
          </w:p>
        </w:tc>
        <w:tc>
          <w:tcPr>
            <w:tcW w:w="1073" w:type="dxa"/>
            <w:vAlign w:val="center"/>
          </w:tcPr>
          <w:p w14:paraId="30EA2102" w14:textId="1C80F759"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7 yrs</w:t>
            </w:r>
          </w:p>
        </w:tc>
        <w:tc>
          <w:tcPr>
            <w:tcW w:w="1417" w:type="dxa"/>
            <w:vAlign w:val="center"/>
          </w:tcPr>
          <w:p w14:paraId="2101237E" w14:textId="1A9DDCB6"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Mandible</w:t>
            </w:r>
          </w:p>
        </w:tc>
        <w:tc>
          <w:tcPr>
            <w:tcW w:w="1701" w:type="dxa"/>
            <w:vAlign w:val="center"/>
          </w:tcPr>
          <w:p w14:paraId="43BB637A" w14:textId="3529019E"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Odontogenic</w:t>
            </w:r>
          </w:p>
        </w:tc>
        <w:tc>
          <w:tcPr>
            <w:tcW w:w="1701" w:type="dxa"/>
            <w:vAlign w:val="center"/>
          </w:tcPr>
          <w:p w14:paraId="06E41CD6" w14:textId="012FD987"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Curettage</w:t>
            </w:r>
          </w:p>
        </w:tc>
        <w:tc>
          <w:tcPr>
            <w:tcW w:w="2126" w:type="dxa"/>
            <w:vAlign w:val="center"/>
          </w:tcPr>
          <w:p w14:paraId="7832E53A" w14:textId="23B8BC54"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Healing</w:t>
            </w:r>
          </w:p>
        </w:tc>
      </w:tr>
      <w:tr w:rsidR="0091397D" w14:paraId="350A4FDF" w14:textId="77777777" w:rsidTr="0091397D">
        <w:tc>
          <w:tcPr>
            <w:tcW w:w="2352" w:type="dxa"/>
            <w:vAlign w:val="center"/>
          </w:tcPr>
          <w:p w14:paraId="7BFEFE4E" w14:textId="011DA369"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Mandrekar PN et al. [13]</w:t>
            </w:r>
          </w:p>
        </w:tc>
        <w:tc>
          <w:tcPr>
            <w:tcW w:w="829" w:type="dxa"/>
            <w:vAlign w:val="center"/>
          </w:tcPr>
          <w:p w14:paraId="006EF4F8" w14:textId="6912974C"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2022</w:t>
            </w:r>
          </w:p>
        </w:tc>
        <w:tc>
          <w:tcPr>
            <w:tcW w:w="1073" w:type="dxa"/>
            <w:vAlign w:val="center"/>
          </w:tcPr>
          <w:p w14:paraId="3BB880AC" w14:textId="09431DE3"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11 yrs</w:t>
            </w:r>
          </w:p>
        </w:tc>
        <w:tc>
          <w:tcPr>
            <w:tcW w:w="1417" w:type="dxa"/>
            <w:vAlign w:val="center"/>
          </w:tcPr>
          <w:p w14:paraId="302D1144" w14:textId="6EDE3792"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Mandible</w:t>
            </w:r>
          </w:p>
        </w:tc>
        <w:tc>
          <w:tcPr>
            <w:tcW w:w="1701" w:type="dxa"/>
            <w:vAlign w:val="center"/>
          </w:tcPr>
          <w:p w14:paraId="4BFC2748" w14:textId="5E06DF63"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Odontogenic infection</w:t>
            </w:r>
          </w:p>
        </w:tc>
        <w:tc>
          <w:tcPr>
            <w:tcW w:w="1701" w:type="dxa"/>
            <w:vAlign w:val="center"/>
          </w:tcPr>
          <w:p w14:paraId="237BDD3C" w14:textId="48B4C2D7"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Debridement</w:t>
            </w:r>
          </w:p>
        </w:tc>
        <w:tc>
          <w:tcPr>
            <w:tcW w:w="2126" w:type="dxa"/>
            <w:vAlign w:val="center"/>
          </w:tcPr>
          <w:p w14:paraId="61E305BC" w14:textId="59A37ED5"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Recovery</w:t>
            </w:r>
          </w:p>
        </w:tc>
      </w:tr>
      <w:tr w:rsidR="0091397D" w14:paraId="20C93BD8" w14:textId="77777777" w:rsidTr="0091397D">
        <w:tc>
          <w:tcPr>
            <w:tcW w:w="2352" w:type="dxa"/>
            <w:vAlign w:val="center"/>
          </w:tcPr>
          <w:p w14:paraId="4F35834D" w14:textId="70458B37"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Blanco GO et al. [14]</w:t>
            </w:r>
          </w:p>
        </w:tc>
        <w:tc>
          <w:tcPr>
            <w:tcW w:w="829" w:type="dxa"/>
            <w:vAlign w:val="center"/>
          </w:tcPr>
          <w:p w14:paraId="52FB0C7E" w14:textId="36FAB504"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2022</w:t>
            </w:r>
          </w:p>
        </w:tc>
        <w:tc>
          <w:tcPr>
            <w:tcW w:w="1073" w:type="dxa"/>
            <w:vAlign w:val="center"/>
          </w:tcPr>
          <w:p w14:paraId="041B30B8" w14:textId="4AFF33FE"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10 yrs</w:t>
            </w:r>
          </w:p>
        </w:tc>
        <w:tc>
          <w:tcPr>
            <w:tcW w:w="1417" w:type="dxa"/>
            <w:vAlign w:val="center"/>
          </w:tcPr>
          <w:p w14:paraId="2228A863" w14:textId="3B7A7370"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Mandible</w:t>
            </w:r>
          </w:p>
        </w:tc>
        <w:tc>
          <w:tcPr>
            <w:tcW w:w="1701" w:type="dxa"/>
            <w:vAlign w:val="center"/>
          </w:tcPr>
          <w:p w14:paraId="0CD09185" w14:textId="63AB5332"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Chronic infection</w:t>
            </w:r>
          </w:p>
        </w:tc>
        <w:tc>
          <w:tcPr>
            <w:tcW w:w="1701" w:type="dxa"/>
            <w:vAlign w:val="center"/>
          </w:tcPr>
          <w:p w14:paraId="386B4D98" w14:textId="3EA39841"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Surgery</w:t>
            </w:r>
          </w:p>
        </w:tc>
        <w:tc>
          <w:tcPr>
            <w:tcW w:w="2126" w:type="dxa"/>
            <w:vAlign w:val="center"/>
          </w:tcPr>
          <w:p w14:paraId="078C957E" w14:textId="2514CF74"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Bone regeneration</w:t>
            </w:r>
          </w:p>
        </w:tc>
      </w:tr>
      <w:tr w:rsidR="0091397D" w14:paraId="0716DC0A" w14:textId="77777777" w:rsidTr="0091397D">
        <w:tc>
          <w:tcPr>
            <w:tcW w:w="2352" w:type="dxa"/>
            <w:vAlign w:val="center"/>
          </w:tcPr>
          <w:p w14:paraId="7926CC6F" w14:textId="2A6766D0"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Prashant D et al. [15]</w:t>
            </w:r>
          </w:p>
        </w:tc>
        <w:tc>
          <w:tcPr>
            <w:tcW w:w="829" w:type="dxa"/>
            <w:vAlign w:val="center"/>
          </w:tcPr>
          <w:p w14:paraId="607DA799" w14:textId="5BE012F3"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2022</w:t>
            </w:r>
          </w:p>
        </w:tc>
        <w:tc>
          <w:tcPr>
            <w:tcW w:w="1073" w:type="dxa"/>
            <w:vAlign w:val="center"/>
          </w:tcPr>
          <w:p w14:paraId="4F937A5D" w14:textId="3E43E8DE"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9 yrs</w:t>
            </w:r>
          </w:p>
        </w:tc>
        <w:tc>
          <w:tcPr>
            <w:tcW w:w="1417" w:type="dxa"/>
            <w:vAlign w:val="center"/>
          </w:tcPr>
          <w:p w14:paraId="67CA1D32" w14:textId="4E495867"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Mandible</w:t>
            </w:r>
          </w:p>
        </w:tc>
        <w:tc>
          <w:tcPr>
            <w:tcW w:w="1701" w:type="dxa"/>
            <w:vAlign w:val="center"/>
          </w:tcPr>
          <w:p w14:paraId="4FCEF815" w14:textId="6ED13365"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Dental infection</w:t>
            </w:r>
          </w:p>
        </w:tc>
        <w:tc>
          <w:tcPr>
            <w:tcW w:w="1701" w:type="dxa"/>
            <w:vAlign w:val="center"/>
          </w:tcPr>
          <w:p w14:paraId="52100D34" w14:textId="6AAD8A92"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Extraction</w:t>
            </w:r>
          </w:p>
        </w:tc>
        <w:tc>
          <w:tcPr>
            <w:tcW w:w="2126" w:type="dxa"/>
            <w:vAlign w:val="center"/>
          </w:tcPr>
          <w:p w14:paraId="4CD759FC" w14:textId="1EA9FE00"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Healing</w:t>
            </w:r>
          </w:p>
        </w:tc>
      </w:tr>
      <w:tr w:rsidR="0091397D" w14:paraId="1C8A447F" w14:textId="77777777" w:rsidTr="0091397D">
        <w:tc>
          <w:tcPr>
            <w:tcW w:w="2352" w:type="dxa"/>
            <w:vAlign w:val="center"/>
          </w:tcPr>
          <w:p w14:paraId="5456E0C9" w14:textId="7A81FC3F"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Arslan SY et al. [16]</w:t>
            </w:r>
          </w:p>
        </w:tc>
        <w:tc>
          <w:tcPr>
            <w:tcW w:w="829" w:type="dxa"/>
            <w:vAlign w:val="center"/>
          </w:tcPr>
          <w:p w14:paraId="23FA67D9" w14:textId="67B6EA34"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2023</w:t>
            </w:r>
          </w:p>
        </w:tc>
        <w:tc>
          <w:tcPr>
            <w:tcW w:w="1073" w:type="dxa"/>
            <w:vAlign w:val="center"/>
          </w:tcPr>
          <w:p w14:paraId="586EA7BA" w14:textId="6F43CDB1"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11 yrs</w:t>
            </w:r>
          </w:p>
        </w:tc>
        <w:tc>
          <w:tcPr>
            <w:tcW w:w="1417" w:type="dxa"/>
            <w:vAlign w:val="center"/>
          </w:tcPr>
          <w:p w14:paraId="282577BE" w14:textId="1736E25C"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Mandible</w:t>
            </w:r>
          </w:p>
        </w:tc>
        <w:tc>
          <w:tcPr>
            <w:tcW w:w="1701" w:type="dxa"/>
            <w:vAlign w:val="center"/>
          </w:tcPr>
          <w:p w14:paraId="406F8073" w14:textId="2F969BFE"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Garré’s osteomyelitis</w:t>
            </w:r>
          </w:p>
        </w:tc>
        <w:tc>
          <w:tcPr>
            <w:tcW w:w="1701" w:type="dxa"/>
            <w:vAlign w:val="center"/>
          </w:tcPr>
          <w:p w14:paraId="109FA01C" w14:textId="3FEB3E6F"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Conservative</w:t>
            </w:r>
          </w:p>
        </w:tc>
        <w:tc>
          <w:tcPr>
            <w:tcW w:w="2126" w:type="dxa"/>
            <w:vAlign w:val="center"/>
          </w:tcPr>
          <w:p w14:paraId="56CE0DF7" w14:textId="3EC6F606"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Good outcome</w:t>
            </w:r>
          </w:p>
        </w:tc>
      </w:tr>
      <w:tr w:rsidR="0091397D" w14:paraId="077BAF12" w14:textId="77777777" w:rsidTr="0091397D">
        <w:tc>
          <w:tcPr>
            <w:tcW w:w="2352" w:type="dxa"/>
            <w:vAlign w:val="center"/>
          </w:tcPr>
          <w:p w14:paraId="5A4A172E" w14:textId="71D92BE1"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Karadayi B et al. [17]</w:t>
            </w:r>
          </w:p>
        </w:tc>
        <w:tc>
          <w:tcPr>
            <w:tcW w:w="829" w:type="dxa"/>
            <w:vAlign w:val="center"/>
          </w:tcPr>
          <w:p w14:paraId="67681A4C" w14:textId="33753F90"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2023</w:t>
            </w:r>
          </w:p>
        </w:tc>
        <w:tc>
          <w:tcPr>
            <w:tcW w:w="1073" w:type="dxa"/>
            <w:vAlign w:val="center"/>
          </w:tcPr>
          <w:p w14:paraId="1FC5C69B" w14:textId="341455A6"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8 yrs</w:t>
            </w:r>
          </w:p>
        </w:tc>
        <w:tc>
          <w:tcPr>
            <w:tcW w:w="1417" w:type="dxa"/>
            <w:vAlign w:val="center"/>
          </w:tcPr>
          <w:p w14:paraId="0160D87E" w14:textId="0B268F15"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Mandible</w:t>
            </w:r>
          </w:p>
        </w:tc>
        <w:tc>
          <w:tcPr>
            <w:tcW w:w="1701" w:type="dxa"/>
            <w:vAlign w:val="center"/>
          </w:tcPr>
          <w:p w14:paraId="7B5E0561" w14:textId="614BE0EF"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Chronic osteomyelitis</w:t>
            </w:r>
          </w:p>
        </w:tc>
        <w:tc>
          <w:tcPr>
            <w:tcW w:w="1701" w:type="dxa"/>
            <w:vAlign w:val="center"/>
          </w:tcPr>
          <w:p w14:paraId="61014F80" w14:textId="37011587"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Surgery</w:t>
            </w:r>
          </w:p>
        </w:tc>
        <w:tc>
          <w:tcPr>
            <w:tcW w:w="2126" w:type="dxa"/>
            <w:vAlign w:val="center"/>
          </w:tcPr>
          <w:p w14:paraId="0A53D139" w14:textId="3FA3BAAE"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Favorable</w:t>
            </w:r>
          </w:p>
        </w:tc>
      </w:tr>
      <w:tr w:rsidR="0091397D" w14:paraId="5A69FBA9" w14:textId="77777777" w:rsidTr="0091397D">
        <w:tc>
          <w:tcPr>
            <w:tcW w:w="2352" w:type="dxa"/>
            <w:vAlign w:val="center"/>
          </w:tcPr>
          <w:p w14:paraId="0CE5E97A" w14:textId="073D6880"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Makino S et al. [18]</w:t>
            </w:r>
          </w:p>
        </w:tc>
        <w:tc>
          <w:tcPr>
            <w:tcW w:w="829" w:type="dxa"/>
            <w:vAlign w:val="center"/>
          </w:tcPr>
          <w:p w14:paraId="6B3A993A" w14:textId="59DEAE52"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2023</w:t>
            </w:r>
          </w:p>
        </w:tc>
        <w:tc>
          <w:tcPr>
            <w:tcW w:w="1073" w:type="dxa"/>
            <w:vAlign w:val="center"/>
          </w:tcPr>
          <w:p w14:paraId="421530D8" w14:textId="4ED265FE"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3 yrs</w:t>
            </w:r>
          </w:p>
        </w:tc>
        <w:tc>
          <w:tcPr>
            <w:tcW w:w="1417" w:type="dxa"/>
            <w:vAlign w:val="center"/>
          </w:tcPr>
          <w:p w14:paraId="41FFA22A" w14:textId="789F91D1"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Mandible</w:t>
            </w:r>
          </w:p>
        </w:tc>
        <w:tc>
          <w:tcPr>
            <w:tcW w:w="1701" w:type="dxa"/>
            <w:vAlign w:val="center"/>
          </w:tcPr>
          <w:p w14:paraId="06FCFAFB" w14:textId="1CAA093F"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Non-bacterial osteomyelitis</w:t>
            </w:r>
          </w:p>
        </w:tc>
        <w:tc>
          <w:tcPr>
            <w:tcW w:w="1701" w:type="dxa"/>
            <w:vAlign w:val="center"/>
          </w:tcPr>
          <w:p w14:paraId="32351ADE" w14:textId="4231755A"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Antibiotics</w:t>
            </w:r>
          </w:p>
        </w:tc>
        <w:tc>
          <w:tcPr>
            <w:tcW w:w="2126" w:type="dxa"/>
            <w:vAlign w:val="center"/>
          </w:tcPr>
          <w:p w14:paraId="3A548C84" w14:textId="7E6FD1C3"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Stable</w:t>
            </w:r>
          </w:p>
        </w:tc>
      </w:tr>
      <w:tr w:rsidR="0091397D" w14:paraId="1F97C3BF" w14:textId="77777777" w:rsidTr="0091397D">
        <w:tc>
          <w:tcPr>
            <w:tcW w:w="2352" w:type="dxa"/>
            <w:vAlign w:val="center"/>
          </w:tcPr>
          <w:p w14:paraId="6C53F944" w14:textId="22CF1E67"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Kim H et al. [19]</w:t>
            </w:r>
          </w:p>
        </w:tc>
        <w:tc>
          <w:tcPr>
            <w:tcW w:w="829" w:type="dxa"/>
            <w:vAlign w:val="center"/>
          </w:tcPr>
          <w:p w14:paraId="6C8E8A8E" w14:textId="7ECE12EE"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2024</w:t>
            </w:r>
          </w:p>
        </w:tc>
        <w:tc>
          <w:tcPr>
            <w:tcW w:w="1073" w:type="dxa"/>
            <w:vAlign w:val="center"/>
          </w:tcPr>
          <w:p w14:paraId="3366564F" w14:textId="42B93989"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9 yrs</w:t>
            </w:r>
          </w:p>
        </w:tc>
        <w:tc>
          <w:tcPr>
            <w:tcW w:w="1417" w:type="dxa"/>
            <w:vAlign w:val="center"/>
          </w:tcPr>
          <w:p w14:paraId="7809DDC0" w14:textId="56E10706"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Mandible</w:t>
            </w:r>
          </w:p>
        </w:tc>
        <w:tc>
          <w:tcPr>
            <w:tcW w:w="1701" w:type="dxa"/>
            <w:vAlign w:val="center"/>
          </w:tcPr>
          <w:p w14:paraId="2D8D12C6" w14:textId="11D74B3F"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Garré’s osteomyelitis</w:t>
            </w:r>
          </w:p>
        </w:tc>
        <w:tc>
          <w:tcPr>
            <w:tcW w:w="1701" w:type="dxa"/>
            <w:vAlign w:val="center"/>
          </w:tcPr>
          <w:p w14:paraId="181611DF" w14:textId="0B6E701B"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Conservative</w:t>
            </w:r>
          </w:p>
        </w:tc>
        <w:tc>
          <w:tcPr>
            <w:tcW w:w="2126" w:type="dxa"/>
            <w:vAlign w:val="center"/>
          </w:tcPr>
          <w:p w14:paraId="21B8469F" w14:textId="26CF6279"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Resolution</w:t>
            </w:r>
          </w:p>
        </w:tc>
      </w:tr>
      <w:tr w:rsidR="0091397D" w14:paraId="56A75D98" w14:textId="77777777" w:rsidTr="0091397D">
        <w:tc>
          <w:tcPr>
            <w:tcW w:w="2352" w:type="dxa"/>
            <w:vAlign w:val="center"/>
          </w:tcPr>
          <w:p w14:paraId="05728BC5" w14:textId="7D018B4D"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Wicaksono SD et al. [20]</w:t>
            </w:r>
          </w:p>
        </w:tc>
        <w:tc>
          <w:tcPr>
            <w:tcW w:w="829" w:type="dxa"/>
            <w:vAlign w:val="center"/>
          </w:tcPr>
          <w:p w14:paraId="1668A6D0" w14:textId="3F4A16E3"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2024</w:t>
            </w:r>
          </w:p>
        </w:tc>
        <w:tc>
          <w:tcPr>
            <w:tcW w:w="1073" w:type="dxa"/>
            <w:vAlign w:val="center"/>
          </w:tcPr>
          <w:p w14:paraId="47D42D6A" w14:textId="185CDD81"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7 yrs</w:t>
            </w:r>
          </w:p>
        </w:tc>
        <w:tc>
          <w:tcPr>
            <w:tcW w:w="1417" w:type="dxa"/>
            <w:vAlign w:val="center"/>
          </w:tcPr>
          <w:p w14:paraId="31DF09A9" w14:textId="3DAA6BF0"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Mandible</w:t>
            </w:r>
          </w:p>
        </w:tc>
        <w:tc>
          <w:tcPr>
            <w:tcW w:w="1701" w:type="dxa"/>
            <w:vAlign w:val="center"/>
          </w:tcPr>
          <w:p w14:paraId="54825D2E" w14:textId="4DFBBA5E"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Odontogenic infection</w:t>
            </w:r>
          </w:p>
        </w:tc>
        <w:tc>
          <w:tcPr>
            <w:tcW w:w="1701" w:type="dxa"/>
            <w:vAlign w:val="center"/>
          </w:tcPr>
          <w:p w14:paraId="283D7DD0" w14:textId="4D297C5E"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Debridement</w:t>
            </w:r>
          </w:p>
        </w:tc>
        <w:tc>
          <w:tcPr>
            <w:tcW w:w="2126" w:type="dxa"/>
            <w:vAlign w:val="center"/>
          </w:tcPr>
          <w:p w14:paraId="5A104EB5" w14:textId="4B950248"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Healing</w:t>
            </w:r>
          </w:p>
        </w:tc>
      </w:tr>
      <w:tr w:rsidR="0091397D" w14:paraId="5755E0E3" w14:textId="77777777" w:rsidTr="0091397D">
        <w:tc>
          <w:tcPr>
            <w:tcW w:w="2352" w:type="dxa"/>
            <w:vAlign w:val="center"/>
          </w:tcPr>
          <w:p w14:paraId="78C604B3" w14:textId="2E855FB8"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Khan MA et al. [21]</w:t>
            </w:r>
          </w:p>
        </w:tc>
        <w:tc>
          <w:tcPr>
            <w:tcW w:w="829" w:type="dxa"/>
            <w:vAlign w:val="center"/>
          </w:tcPr>
          <w:p w14:paraId="5FAF40EF" w14:textId="4DB5EE55"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2024</w:t>
            </w:r>
          </w:p>
        </w:tc>
        <w:tc>
          <w:tcPr>
            <w:tcW w:w="1073" w:type="dxa"/>
            <w:vAlign w:val="center"/>
          </w:tcPr>
          <w:p w14:paraId="615AFF0B" w14:textId="57852093"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12 yrs</w:t>
            </w:r>
          </w:p>
        </w:tc>
        <w:tc>
          <w:tcPr>
            <w:tcW w:w="1417" w:type="dxa"/>
            <w:vAlign w:val="center"/>
          </w:tcPr>
          <w:p w14:paraId="7AF72A40" w14:textId="293F7E3F"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Mandible</w:t>
            </w:r>
          </w:p>
        </w:tc>
        <w:tc>
          <w:tcPr>
            <w:tcW w:w="1701" w:type="dxa"/>
            <w:vAlign w:val="center"/>
          </w:tcPr>
          <w:p w14:paraId="771CD09C" w14:textId="03DAFE5F"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Tubercular infection</w:t>
            </w:r>
          </w:p>
        </w:tc>
        <w:tc>
          <w:tcPr>
            <w:tcW w:w="1701" w:type="dxa"/>
            <w:vAlign w:val="center"/>
          </w:tcPr>
          <w:p w14:paraId="277BD826" w14:textId="035D40EE"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Anti-TB therapy</w:t>
            </w:r>
          </w:p>
        </w:tc>
        <w:tc>
          <w:tcPr>
            <w:tcW w:w="2126" w:type="dxa"/>
            <w:vAlign w:val="center"/>
          </w:tcPr>
          <w:p w14:paraId="551FFDCC" w14:textId="2B90A9B4"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Recovery</w:t>
            </w:r>
          </w:p>
        </w:tc>
      </w:tr>
      <w:tr w:rsidR="0091397D" w14:paraId="1BCC25A8" w14:textId="77777777" w:rsidTr="0091397D">
        <w:tc>
          <w:tcPr>
            <w:tcW w:w="2352" w:type="dxa"/>
            <w:vAlign w:val="center"/>
          </w:tcPr>
          <w:p w14:paraId="3B0D0CA0" w14:textId="67CB1D8E"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Choi S et al. [22]</w:t>
            </w:r>
          </w:p>
        </w:tc>
        <w:tc>
          <w:tcPr>
            <w:tcW w:w="829" w:type="dxa"/>
            <w:vAlign w:val="center"/>
          </w:tcPr>
          <w:p w14:paraId="7EAA1E0D" w14:textId="7639AF24"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2024</w:t>
            </w:r>
          </w:p>
        </w:tc>
        <w:tc>
          <w:tcPr>
            <w:tcW w:w="1073" w:type="dxa"/>
            <w:vAlign w:val="center"/>
          </w:tcPr>
          <w:p w14:paraId="5F4FE74F" w14:textId="1E010120"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10 yrs</w:t>
            </w:r>
          </w:p>
        </w:tc>
        <w:tc>
          <w:tcPr>
            <w:tcW w:w="1417" w:type="dxa"/>
            <w:vAlign w:val="center"/>
          </w:tcPr>
          <w:p w14:paraId="1769B504" w14:textId="2794E4A5"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Mandible</w:t>
            </w:r>
          </w:p>
        </w:tc>
        <w:tc>
          <w:tcPr>
            <w:tcW w:w="1701" w:type="dxa"/>
            <w:vAlign w:val="center"/>
          </w:tcPr>
          <w:p w14:paraId="4D5222D5" w14:textId="16145460"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Chronic osteomyelitis</w:t>
            </w:r>
          </w:p>
        </w:tc>
        <w:tc>
          <w:tcPr>
            <w:tcW w:w="1701" w:type="dxa"/>
            <w:vAlign w:val="center"/>
          </w:tcPr>
          <w:p w14:paraId="630F310D" w14:textId="24F5B6D3"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Antibiotics</w:t>
            </w:r>
          </w:p>
        </w:tc>
        <w:tc>
          <w:tcPr>
            <w:tcW w:w="2126" w:type="dxa"/>
            <w:vAlign w:val="center"/>
          </w:tcPr>
          <w:p w14:paraId="58D99A3C" w14:textId="01738F3A"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No recurrence</w:t>
            </w:r>
          </w:p>
        </w:tc>
      </w:tr>
      <w:tr w:rsidR="0091397D" w14:paraId="251D12CC" w14:textId="77777777" w:rsidTr="0091397D">
        <w:tc>
          <w:tcPr>
            <w:tcW w:w="2352" w:type="dxa"/>
            <w:vAlign w:val="center"/>
          </w:tcPr>
          <w:p w14:paraId="6C6B2F95" w14:textId="494A5DFD"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Feki W et al. [23]</w:t>
            </w:r>
          </w:p>
        </w:tc>
        <w:tc>
          <w:tcPr>
            <w:tcW w:w="829" w:type="dxa"/>
            <w:vAlign w:val="center"/>
          </w:tcPr>
          <w:p w14:paraId="670D5079" w14:textId="45049C69"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2025</w:t>
            </w:r>
          </w:p>
        </w:tc>
        <w:tc>
          <w:tcPr>
            <w:tcW w:w="1073" w:type="dxa"/>
            <w:vAlign w:val="center"/>
          </w:tcPr>
          <w:p w14:paraId="04D51325" w14:textId="5CF143DB"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14 yrs</w:t>
            </w:r>
          </w:p>
        </w:tc>
        <w:tc>
          <w:tcPr>
            <w:tcW w:w="1417" w:type="dxa"/>
            <w:vAlign w:val="center"/>
          </w:tcPr>
          <w:p w14:paraId="7D4C161B" w14:textId="2EC50EFD"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Mandible</w:t>
            </w:r>
          </w:p>
        </w:tc>
        <w:tc>
          <w:tcPr>
            <w:tcW w:w="1701" w:type="dxa"/>
            <w:vAlign w:val="center"/>
          </w:tcPr>
          <w:p w14:paraId="6AF8F554" w14:textId="58DCBF00"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Garré’s osteomyelitis</w:t>
            </w:r>
          </w:p>
        </w:tc>
        <w:tc>
          <w:tcPr>
            <w:tcW w:w="1701" w:type="dxa"/>
            <w:vAlign w:val="center"/>
          </w:tcPr>
          <w:p w14:paraId="6BE88A87" w14:textId="27983A98"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Surgery</w:t>
            </w:r>
          </w:p>
        </w:tc>
        <w:tc>
          <w:tcPr>
            <w:tcW w:w="2126" w:type="dxa"/>
            <w:vAlign w:val="center"/>
          </w:tcPr>
          <w:p w14:paraId="5317565A" w14:textId="160C99A9"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Healing</w:t>
            </w:r>
          </w:p>
        </w:tc>
      </w:tr>
      <w:tr w:rsidR="0091397D" w14:paraId="48F3491D" w14:textId="77777777" w:rsidTr="0091397D">
        <w:tc>
          <w:tcPr>
            <w:tcW w:w="2352" w:type="dxa"/>
            <w:vAlign w:val="center"/>
          </w:tcPr>
          <w:p w14:paraId="3A127B8E" w14:textId="3848AB50" w:rsidR="0091397D" w:rsidRPr="00B72B0C"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Yamamoto-Silva FP et al. [24]</w:t>
            </w:r>
          </w:p>
        </w:tc>
        <w:tc>
          <w:tcPr>
            <w:tcW w:w="829" w:type="dxa"/>
            <w:vAlign w:val="center"/>
          </w:tcPr>
          <w:p w14:paraId="721ABD2A" w14:textId="56E0E45E" w:rsidR="0091397D" w:rsidRPr="00B72B0C"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2025</w:t>
            </w:r>
          </w:p>
        </w:tc>
        <w:tc>
          <w:tcPr>
            <w:tcW w:w="1073" w:type="dxa"/>
            <w:vAlign w:val="center"/>
          </w:tcPr>
          <w:p w14:paraId="06D7F883" w14:textId="0CA5CEDB" w:rsidR="0091397D" w:rsidRPr="00B72B0C"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12 yrs</w:t>
            </w:r>
          </w:p>
        </w:tc>
        <w:tc>
          <w:tcPr>
            <w:tcW w:w="1417" w:type="dxa"/>
            <w:vAlign w:val="center"/>
          </w:tcPr>
          <w:p w14:paraId="26655DA2" w14:textId="4FFD5FD4" w:rsidR="0091397D" w:rsidRPr="00B72B0C"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Mandible</w:t>
            </w:r>
          </w:p>
        </w:tc>
        <w:tc>
          <w:tcPr>
            <w:tcW w:w="1701" w:type="dxa"/>
            <w:vAlign w:val="center"/>
          </w:tcPr>
          <w:p w14:paraId="19C5D17E" w14:textId="465231AA" w:rsidR="0091397D" w:rsidRPr="00B72B0C"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Chronic osteomyelitis</w:t>
            </w:r>
          </w:p>
        </w:tc>
        <w:tc>
          <w:tcPr>
            <w:tcW w:w="1701" w:type="dxa"/>
            <w:vAlign w:val="center"/>
          </w:tcPr>
          <w:p w14:paraId="550286BE" w14:textId="5A4824F1" w:rsidR="0091397D" w:rsidRPr="00B72B0C"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Curettage</w:t>
            </w:r>
          </w:p>
        </w:tc>
        <w:tc>
          <w:tcPr>
            <w:tcW w:w="2126" w:type="dxa"/>
            <w:vAlign w:val="center"/>
          </w:tcPr>
          <w:p w14:paraId="5CF81B29" w14:textId="1CBE17C1" w:rsidR="0091397D" w:rsidRPr="00B72B0C"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Favorable</w:t>
            </w:r>
          </w:p>
        </w:tc>
      </w:tr>
      <w:tr w:rsidR="0091397D" w14:paraId="5D7673CA" w14:textId="77777777" w:rsidTr="0091397D">
        <w:tc>
          <w:tcPr>
            <w:tcW w:w="2352" w:type="dxa"/>
            <w:vAlign w:val="center"/>
          </w:tcPr>
          <w:p w14:paraId="6EFA1F14" w14:textId="2444F536" w:rsidR="0091397D" w:rsidRPr="00B72B0C"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Arslan SY et al. [25]</w:t>
            </w:r>
          </w:p>
        </w:tc>
        <w:tc>
          <w:tcPr>
            <w:tcW w:w="829" w:type="dxa"/>
            <w:vAlign w:val="center"/>
          </w:tcPr>
          <w:p w14:paraId="0C874505" w14:textId="047FD085" w:rsidR="0091397D" w:rsidRPr="00B72B0C"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2026</w:t>
            </w:r>
          </w:p>
        </w:tc>
        <w:tc>
          <w:tcPr>
            <w:tcW w:w="1073" w:type="dxa"/>
            <w:vAlign w:val="center"/>
          </w:tcPr>
          <w:p w14:paraId="3C6F82F2" w14:textId="366F1EC3" w:rsidR="0091397D" w:rsidRPr="00B72B0C"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13 yrs</w:t>
            </w:r>
          </w:p>
        </w:tc>
        <w:tc>
          <w:tcPr>
            <w:tcW w:w="1417" w:type="dxa"/>
            <w:vAlign w:val="center"/>
          </w:tcPr>
          <w:p w14:paraId="1CFF4540" w14:textId="5FFBEB44" w:rsidR="0091397D" w:rsidRPr="00B72B0C"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Mandible</w:t>
            </w:r>
          </w:p>
        </w:tc>
        <w:tc>
          <w:tcPr>
            <w:tcW w:w="1701" w:type="dxa"/>
            <w:vAlign w:val="center"/>
          </w:tcPr>
          <w:p w14:paraId="081058BB" w14:textId="5E7D7408" w:rsidR="0091397D" w:rsidRPr="00B72B0C"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Actinomycotic infection</w:t>
            </w:r>
          </w:p>
        </w:tc>
        <w:tc>
          <w:tcPr>
            <w:tcW w:w="1701" w:type="dxa"/>
            <w:vAlign w:val="center"/>
          </w:tcPr>
          <w:p w14:paraId="7628C56A" w14:textId="0DD93911" w:rsidR="0091397D" w:rsidRPr="00B72B0C"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Surgery + antibiotics</w:t>
            </w:r>
          </w:p>
        </w:tc>
        <w:tc>
          <w:tcPr>
            <w:tcW w:w="2126" w:type="dxa"/>
            <w:vAlign w:val="center"/>
          </w:tcPr>
          <w:p w14:paraId="152A584A" w14:textId="616EF2B4" w:rsidR="0091397D" w:rsidRPr="00B72B0C"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Resolution</w:t>
            </w:r>
          </w:p>
        </w:tc>
      </w:tr>
    </w:tbl>
    <w:p w14:paraId="079C9F7D" w14:textId="77777777" w:rsidR="0091397D" w:rsidRPr="00B72B0C" w:rsidRDefault="0091397D" w:rsidP="00DC3E09">
      <w:pPr>
        <w:spacing w:after="0" w:line="240" w:lineRule="auto"/>
        <w:rPr>
          <w:rFonts w:eastAsiaTheme="minorEastAsia" w:cstheme="minorHAnsi"/>
          <w:kern w:val="0"/>
          <w:sz w:val="24"/>
          <w:szCs w:val="24"/>
          <w:lang w:eastAsia="en-GB"/>
          <w14:ligatures w14:val="none"/>
        </w:rPr>
      </w:pPr>
    </w:p>
    <w:p w14:paraId="2544792A" w14:textId="77777777" w:rsidR="00DC3E09" w:rsidRPr="0091397D" w:rsidRDefault="00DC3E09" w:rsidP="00DC3E09">
      <w:pPr>
        <w:spacing w:before="100" w:beforeAutospacing="1" w:after="100" w:afterAutospacing="1" w:line="240" w:lineRule="auto"/>
        <w:outlineLvl w:val="0"/>
        <w:rPr>
          <w:rFonts w:eastAsiaTheme="minorEastAsia" w:cstheme="minorHAnsi"/>
          <w:b/>
          <w:bCs/>
          <w:kern w:val="36"/>
          <w:sz w:val="24"/>
          <w:szCs w:val="24"/>
          <w:u w:val="single"/>
          <w:lang w:eastAsia="en-GB"/>
          <w14:ligatures w14:val="none"/>
        </w:rPr>
      </w:pPr>
      <w:r w:rsidRPr="0091397D">
        <w:rPr>
          <w:rFonts w:eastAsia="Times New Roman" w:cstheme="minorHAnsi"/>
          <w:b/>
          <w:bCs/>
          <w:kern w:val="36"/>
          <w:sz w:val="24"/>
          <w:szCs w:val="24"/>
          <w:u w:val="single"/>
          <w:lang w:eastAsia="en-GB"/>
          <w14:ligatures w14:val="none"/>
        </w:rPr>
        <w:t>Conclusion</w:t>
      </w:r>
    </w:p>
    <w:p w14:paraId="4EE8F95A" w14:textId="77777777" w:rsidR="00DC3E09" w:rsidRPr="00B72B0C" w:rsidRDefault="00DC3E09" w:rsidP="0036107D">
      <w:pPr>
        <w:spacing w:before="100" w:beforeAutospacing="1" w:after="100" w:afterAutospacing="1" w:line="240" w:lineRule="auto"/>
        <w:jc w:val="both"/>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 xml:space="preserve">Tooth germ osteomyelitis of the mandible is an extremely rare but clinically significant entity in the paediatric population. Because of its nonspecific clinical and radiographic presentation, early diagnosis may be difficult, and the condition may be misinterpreted as other odontogenic or inflammatory lesions. Clinicians should therefore maintain a high index of </w:t>
      </w:r>
      <w:r w:rsidRPr="00B72B0C">
        <w:rPr>
          <w:rFonts w:eastAsiaTheme="minorEastAsia" w:cstheme="minorHAnsi"/>
          <w:kern w:val="0"/>
          <w:sz w:val="24"/>
          <w:szCs w:val="24"/>
          <w:lang w:eastAsia="en-GB"/>
          <w14:ligatures w14:val="none"/>
        </w:rPr>
        <w:lastRenderedPageBreak/>
        <w:t>suspicion when evaluating children presenting with persistent mandibular swelling or recurrent odontogenic infections.</w:t>
      </w:r>
    </w:p>
    <w:p w14:paraId="5AB2DB45" w14:textId="3A789C3E" w:rsidR="00DC3E09" w:rsidRDefault="00DC3E09" w:rsidP="0036107D">
      <w:pPr>
        <w:spacing w:before="100" w:beforeAutospacing="1" w:after="100" w:afterAutospacing="1" w:line="240" w:lineRule="auto"/>
        <w:jc w:val="both"/>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Prompt surgical removal of the infected tooth germ</w:t>
      </w:r>
      <w:r w:rsidR="0091397D">
        <w:rPr>
          <w:rFonts w:eastAsiaTheme="minorEastAsia" w:cstheme="minorHAnsi"/>
          <w:kern w:val="0"/>
          <w:sz w:val="24"/>
          <w:szCs w:val="24"/>
          <w:lang w:eastAsia="en-GB"/>
          <w14:ligatures w14:val="none"/>
        </w:rPr>
        <w:t>,</w:t>
      </w:r>
      <w:r w:rsidRPr="00B72B0C">
        <w:rPr>
          <w:rFonts w:eastAsiaTheme="minorEastAsia" w:cstheme="minorHAnsi"/>
          <w:kern w:val="0"/>
          <w:sz w:val="24"/>
          <w:szCs w:val="24"/>
          <w:lang w:eastAsia="en-GB"/>
          <w14:ligatures w14:val="none"/>
        </w:rPr>
        <w:t xml:space="preserve"> along with thorough debridement of necrotic bone, combined with proper antibiotic therapy, is essential to achieve complete resolution of infection and prevent recurrence. Early recognition and definitive management are crucial to avoid long-term complications such as mandibular growth disturbances, facial asymmetry, and developmental abnormalities of the permanent dentition. Timely intervention therefore</w:t>
      </w:r>
      <w:r w:rsidR="0091397D">
        <w:rPr>
          <w:rFonts w:eastAsiaTheme="minorEastAsia" w:cstheme="minorHAnsi"/>
          <w:kern w:val="0"/>
          <w:sz w:val="24"/>
          <w:szCs w:val="24"/>
          <w:lang w:eastAsia="en-GB"/>
          <w14:ligatures w14:val="none"/>
        </w:rPr>
        <w:t>,</w:t>
      </w:r>
      <w:r w:rsidRPr="00B72B0C">
        <w:rPr>
          <w:rFonts w:eastAsiaTheme="minorEastAsia" w:cstheme="minorHAnsi"/>
          <w:kern w:val="0"/>
          <w:sz w:val="24"/>
          <w:szCs w:val="24"/>
          <w:lang w:eastAsia="en-GB"/>
          <w14:ligatures w14:val="none"/>
        </w:rPr>
        <w:t xml:space="preserve"> plays a key role in ensuring favourable outcomes and preservation of normal craniofacial development in paediatric patients.</w:t>
      </w:r>
    </w:p>
    <w:p w14:paraId="216F6603" w14:textId="77777777" w:rsidR="00422507" w:rsidRPr="00422507" w:rsidRDefault="00422507" w:rsidP="00422507">
      <w:pPr>
        <w:spacing w:before="100" w:beforeAutospacing="1" w:after="100" w:afterAutospacing="1" w:line="240" w:lineRule="auto"/>
        <w:jc w:val="both"/>
        <w:rPr>
          <w:rFonts w:eastAsiaTheme="minorEastAsia" w:cstheme="minorHAnsi"/>
          <w:kern w:val="0"/>
          <w:sz w:val="24"/>
          <w:szCs w:val="24"/>
          <w:lang w:eastAsia="en-GB"/>
          <w14:ligatures w14:val="none"/>
        </w:rPr>
      </w:pPr>
      <w:r w:rsidRPr="00422507">
        <w:rPr>
          <w:rFonts w:eastAsiaTheme="minorEastAsia" w:cstheme="minorHAnsi"/>
          <w:kern w:val="0"/>
          <w:sz w:val="24"/>
          <w:szCs w:val="24"/>
          <w:lang w:eastAsia="en-GB"/>
          <w14:ligatures w14:val="none"/>
        </w:rPr>
        <w:t>Ethical Approval:</w:t>
      </w:r>
    </w:p>
    <w:p w14:paraId="49A94D5E" w14:textId="77777777" w:rsidR="00422507" w:rsidRPr="00422507" w:rsidRDefault="00422507" w:rsidP="00422507">
      <w:pPr>
        <w:spacing w:before="100" w:beforeAutospacing="1" w:after="100" w:afterAutospacing="1" w:line="240" w:lineRule="auto"/>
        <w:jc w:val="both"/>
        <w:rPr>
          <w:rFonts w:eastAsiaTheme="minorEastAsia" w:cstheme="minorHAnsi"/>
          <w:kern w:val="0"/>
          <w:sz w:val="24"/>
          <w:szCs w:val="24"/>
          <w:lang w:eastAsia="en-GB"/>
          <w14:ligatures w14:val="none"/>
        </w:rPr>
      </w:pPr>
    </w:p>
    <w:p w14:paraId="400EC606" w14:textId="7F09E58A" w:rsidR="0018421A" w:rsidRDefault="00422507" w:rsidP="00422507">
      <w:pPr>
        <w:spacing w:before="100" w:beforeAutospacing="1" w:after="100" w:afterAutospacing="1" w:line="240" w:lineRule="auto"/>
        <w:jc w:val="both"/>
        <w:rPr>
          <w:rFonts w:eastAsiaTheme="minorEastAsia" w:cstheme="minorHAnsi"/>
          <w:kern w:val="0"/>
          <w:sz w:val="24"/>
          <w:szCs w:val="24"/>
          <w:lang w:eastAsia="en-GB"/>
          <w14:ligatures w14:val="none"/>
        </w:rPr>
      </w:pPr>
      <w:r w:rsidRPr="00422507">
        <w:rPr>
          <w:rFonts w:eastAsiaTheme="minorEastAsia" w:cstheme="minorHAnsi"/>
          <w:kern w:val="0"/>
          <w:sz w:val="24"/>
          <w:szCs w:val="24"/>
          <w:lang w:eastAsia="en-GB"/>
          <w14:ligatures w14:val="none"/>
        </w:rPr>
        <w:t>As per international standards or university standards written ethical approval has been collected and preserved by the author(s).</w:t>
      </w:r>
      <w:bookmarkStart w:id="0" w:name="_GoBack"/>
      <w:bookmarkEnd w:id="0"/>
    </w:p>
    <w:p w14:paraId="0A50FD78" w14:textId="77777777" w:rsidR="0018421A" w:rsidRPr="0018421A" w:rsidRDefault="0018421A" w:rsidP="0018421A">
      <w:pPr>
        <w:spacing w:before="100" w:beforeAutospacing="1" w:after="100" w:afterAutospacing="1" w:line="240" w:lineRule="auto"/>
        <w:jc w:val="both"/>
        <w:rPr>
          <w:rFonts w:eastAsiaTheme="minorEastAsia" w:cstheme="minorHAnsi"/>
          <w:kern w:val="0"/>
          <w:sz w:val="24"/>
          <w:szCs w:val="24"/>
          <w:lang w:eastAsia="en-GB"/>
          <w14:ligatures w14:val="none"/>
        </w:rPr>
      </w:pPr>
      <w:r w:rsidRPr="0018421A">
        <w:rPr>
          <w:rFonts w:eastAsiaTheme="minorEastAsia" w:cstheme="minorHAnsi"/>
          <w:kern w:val="0"/>
          <w:sz w:val="24"/>
          <w:szCs w:val="24"/>
          <w:lang w:eastAsia="en-GB"/>
          <w14:ligatures w14:val="none"/>
        </w:rPr>
        <w:t xml:space="preserve">Consent </w:t>
      </w:r>
    </w:p>
    <w:p w14:paraId="41ADBCB4" w14:textId="2A5DDE69" w:rsidR="0018421A" w:rsidRDefault="0018421A" w:rsidP="0018421A">
      <w:pPr>
        <w:spacing w:before="100" w:beforeAutospacing="1" w:after="100" w:afterAutospacing="1" w:line="240" w:lineRule="auto"/>
        <w:jc w:val="both"/>
        <w:rPr>
          <w:rFonts w:eastAsiaTheme="minorEastAsia" w:cstheme="minorHAnsi"/>
          <w:kern w:val="0"/>
          <w:sz w:val="24"/>
          <w:szCs w:val="24"/>
          <w:lang w:eastAsia="en-GB"/>
          <w14:ligatures w14:val="none"/>
        </w:rPr>
      </w:pPr>
      <w:r w:rsidRPr="0018421A">
        <w:rPr>
          <w:rFonts w:eastAsiaTheme="minorEastAsia" w:cstheme="minorHAnsi"/>
          <w:kern w:val="0"/>
          <w:sz w:val="24"/>
          <w:szCs w:val="24"/>
          <w:lang w:eastAsia="en-GB"/>
          <w14:ligatures w14:val="none"/>
        </w:rPr>
        <w:t>As per international standards, parental written consent has been collected and preserved by the author(s).</w:t>
      </w:r>
    </w:p>
    <w:p w14:paraId="6E2A34DD" w14:textId="77777777" w:rsidR="0018421A" w:rsidRPr="00B72B0C" w:rsidRDefault="0018421A" w:rsidP="0018421A">
      <w:pPr>
        <w:spacing w:before="100" w:beforeAutospacing="1" w:after="100" w:afterAutospacing="1" w:line="240" w:lineRule="auto"/>
        <w:jc w:val="both"/>
        <w:rPr>
          <w:rFonts w:eastAsiaTheme="minorEastAsia" w:cstheme="minorHAnsi"/>
          <w:kern w:val="0"/>
          <w:sz w:val="24"/>
          <w:szCs w:val="24"/>
          <w:lang w:eastAsia="en-GB"/>
          <w14:ligatures w14:val="none"/>
        </w:rPr>
      </w:pPr>
    </w:p>
    <w:p w14:paraId="16E1CA90" w14:textId="77777777" w:rsidR="00B13CB2" w:rsidRDefault="00B13CB2" w:rsidP="00B13CB2">
      <w:pPr>
        <w:rPr>
          <w:highlight w:val="yellow"/>
        </w:rPr>
      </w:pPr>
      <w:r>
        <w:rPr>
          <w:highlight w:val="yellow"/>
        </w:rPr>
        <w:t>Disclaimer (Artificial intelligence)</w:t>
      </w:r>
    </w:p>
    <w:p w14:paraId="6F24AE95" w14:textId="77777777" w:rsidR="00B13CB2" w:rsidRDefault="00B13CB2" w:rsidP="00B13CB2">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1A92BD49" w14:textId="77777777" w:rsidR="00DC3E09" w:rsidRPr="00B72B0C" w:rsidRDefault="00DC3E09" w:rsidP="00DC3E09">
      <w:pPr>
        <w:spacing w:after="0" w:line="240" w:lineRule="auto"/>
        <w:rPr>
          <w:rFonts w:eastAsia="Times New Roman" w:cstheme="minorHAnsi"/>
          <w:kern w:val="0"/>
          <w:sz w:val="24"/>
          <w:szCs w:val="24"/>
          <w:lang w:eastAsia="en-GB"/>
          <w14:ligatures w14:val="none"/>
        </w:rPr>
      </w:pPr>
    </w:p>
    <w:p w14:paraId="0A745D7C" w14:textId="77777777" w:rsidR="00DC3E09" w:rsidRPr="0091397D" w:rsidRDefault="00DC3E09" w:rsidP="00DC3E09">
      <w:pPr>
        <w:rPr>
          <w:rFonts w:cstheme="minorHAnsi"/>
          <w:b/>
          <w:bCs/>
          <w:sz w:val="24"/>
          <w:szCs w:val="24"/>
        </w:rPr>
      </w:pPr>
      <w:r w:rsidRPr="0091397D">
        <w:rPr>
          <w:rFonts w:cstheme="minorHAnsi"/>
          <w:b/>
          <w:bCs/>
          <w:sz w:val="24"/>
          <w:szCs w:val="24"/>
          <w:u w:val="single"/>
        </w:rPr>
        <w:t>REFERENCES</w:t>
      </w:r>
    </w:p>
    <w:p w14:paraId="298AEDFA" w14:textId="77777777" w:rsidR="0018548D" w:rsidRPr="0018548D" w:rsidRDefault="0018548D" w:rsidP="0018548D">
      <w:pPr>
        <w:numPr>
          <w:ilvl w:val="0"/>
          <w:numId w:val="5"/>
        </w:numPr>
        <w:rPr>
          <w:rFonts w:eastAsiaTheme="minorEastAsia" w:cstheme="minorHAnsi"/>
          <w:kern w:val="0"/>
          <w:sz w:val="24"/>
          <w:szCs w:val="24"/>
          <w:lang w:eastAsia="en-GB"/>
          <w14:ligatures w14:val="none"/>
        </w:rPr>
      </w:pPr>
      <w:r w:rsidRPr="0018548D">
        <w:rPr>
          <w:rFonts w:eastAsiaTheme="minorEastAsia" w:cstheme="minorHAnsi"/>
          <w:kern w:val="0"/>
          <w:sz w:val="24"/>
          <w:szCs w:val="24"/>
          <w:lang w:eastAsia="en-GB"/>
          <w14:ligatures w14:val="none"/>
        </w:rPr>
        <w:t xml:space="preserve">Lew DP, Waldvogel FA. Osteomyelitis. </w:t>
      </w:r>
      <w:r w:rsidRPr="0018548D">
        <w:rPr>
          <w:rFonts w:eastAsiaTheme="minorEastAsia" w:cstheme="minorHAnsi"/>
          <w:i/>
          <w:iCs/>
          <w:kern w:val="0"/>
          <w:sz w:val="24"/>
          <w:szCs w:val="24"/>
          <w:lang w:eastAsia="en-GB"/>
          <w14:ligatures w14:val="none"/>
        </w:rPr>
        <w:t>Lancet</w:t>
      </w:r>
      <w:r w:rsidRPr="0018548D">
        <w:rPr>
          <w:rFonts w:eastAsiaTheme="minorEastAsia" w:cstheme="minorHAnsi"/>
          <w:kern w:val="0"/>
          <w:sz w:val="24"/>
          <w:szCs w:val="24"/>
          <w:lang w:eastAsia="en-GB"/>
          <w14:ligatures w14:val="none"/>
        </w:rPr>
        <w:t>. 2004;364(9431):369–379. doi:10.1016/S0140-6736(04)16727-5</w:t>
      </w:r>
    </w:p>
    <w:p w14:paraId="51D85F18" w14:textId="77777777" w:rsidR="0018548D" w:rsidRPr="0018548D" w:rsidRDefault="0018548D" w:rsidP="0018548D">
      <w:pPr>
        <w:numPr>
          <w:ilvl w:val="0"/>
          <w:numId w:val="5"/>
        </w:numPr>
        <w:rPr>
          <w:rFonts w:eastAsiaTheme="minorEastAsia" w:cstheme="minorHAnsi"/>
          <w:kern w:val="0"/>
          <w:sz w:val="24"/>
          <w:szCs w:val="24"/>
          <w:lang w:eastAsia="en-GB"/>
          <w14:ligatures w14:val="none"/>
        </w:rPr>
      </w:pPr>
      <w:r w:rsidRPr="0018548D">
        <w:rPr>
          <w:rFonts w:eastAsiaTheme="minorEastAsia" w:cstheme="minorHAnsi"/>
          <w:kern w:val="0"/>
          <w:sz w:val="24"/>
          <w:szCs w:val="24"/>
          <w:lang w:eastAsia="en-GB"/>
          <w14:ligatures w14:val="none"/>
        </w:rPr>
        <w:t xml:space="preserve">Koorbusch GF, Fotos P, Goll KT. Retrospective assessment of osteomyelitis. </w:t>
      </w:r>
      <w:r w:rsidRPr="0018548D">
        <w:rPr>
          <w:rFonts w:eastAsiaTheme="minorEastAsia" w:cstheme="minorHAnsi"/>
          <w:i/>
          <w:iCs/>
          <w:kern w:val="0"/>
          <w:sz w:val="24"/>
          <w:szCs w:val="24"/>
          <w:lang w:eastAsia="en-GB"/>
          <w14:ligatures w14:val="none"/>
        </w:rPr>
        <w:t>Oral Surg Oral Med Oral Pathol</w:t>
      </w:r>
      <w:r w:rsidRPr="0018548D">
        <w:rPr>
          <w:rFonts w:eastAsiaTheme="minorEastAsia" w:cstheme="minorHAnsi"/>
          <w:kern w:val="0"/>
          <w:sz w:val="24"/>
          <w:szCs w:val="24"/>
          <w:lang w:eastAsia="en-GB"/>
          <w14:ligatures w14:val="none"/>
        </w:rPr>
        <w:t>. 1992;74(2):149–154. doi:10.1016/0030-4220(92)90373-X</w:t>
      </w:r>
    </w:p>
    <w:p w14:paraId="74C4FC4C" w14:textId="77777777" w:rsidR="0018548D" w:rsidRPr="0018548D" w:rsidRDefault="0018548D" w:rsidP="0018548D">
      <w:pPr>
        <w:numPr>
          <w:ilvl w:val="0"/>
          <w:numId w:val="5"/>
        </w:numPr>
        <w:rPr>
          <w:rFonts w:eastAsiaTheme="minorEastAsia" w:cstheme="minorHAnsi"/>
          <w:kern w:val="0"/>
          <w:sz w:val="24"/>
          <w:szCs w:val="24"/>
          <w:lang w:eastAsia="en-GB"/>
          <w14:ligatures w14:val="none"/>
        </w:rPr>
      </w:pPr>
      <w:r w:rsidRPr="0018548D">
        <w:rPr>
          <w:rFonts w:eastAsiaTheme="minorEastAsia" w:cstheme="minorHAnsi"/>
          <w:kern w:val="0"/>
          <w:sz w:val="24"/>
          <w:szCs w:val="24"/>
          <w:lang w:eastAsia="en-GB"/>
          <w14:ligatures w14:val="none"/>
        </w:rPr>
        <w:t xml:space="preserve">Marx RE. Chronic osteomyelitis of the jaws. </w:t>
      </w:r>
      <w:r w:rsidRPr="0018548D">
        <w:rPr>
          <w:rFonts w:eastAsiaTheme="minorEastAsia" w:cstheme="minorHAnsi"/>
          <w:i/>
          <w:iCs/>
          <w:kern w:val="0"/>
          <w:sz w:val="24"/>
          <w:szCs w:val="24"/>
          <w:lang w:eastAsia="en-GB"/>
          <w14:ligatures w14:val="none"/>
        </w:rPr>
        <w:t>Oral Maxillofac Surg Clin North Am</w:t>
      </w:r>
      <w:r w:rsidRPr="0018548D">
        <w:rPr>
          <w:rFonts w:eastAsiaTheme="minorEastAsia" w:cstheme="minorHAnsi"/>
          <w:kern w:val="0"/>
          <w:sz w:val="24"/>
          <w:szCs w:val="24"/>
          <w:lang w:eastAsia="en-GB"/>
          <w14:ligatures w14:val="none"/>
        </w:rPr>
        <w:t>. 1991;3:367–381. doi:10.1016/S1042-3699(20)30505-7</w:t>
      </w:r>
    </w:p>
    <w:p w14:paraId="440FF4FB" w14:textId="77777777" w:rsidR="0018548D" w:rsidRPr="0018548D" w:rsidRDefault="0018548D" w:rsidP="0018548D">
      <w:pPr>
        <w:numPr>
          <w:ilvl w:val="0"/>
          <w:numId w:val="5"/>
        </w:numPr>
        <w:rPr>
          <w:rFonts w:eastAsiaTheme="minorEastAsia" w:cstheme="minorHAnsi"/>
          <w:kern w:val="0"/>
          <w:sz w:val="24"/>
          <w:szCs w:val="24"/>
          <w:lang w:eastAsia="en-GB"/>
          <w14:ligatures w14:val="none"/>
        </w:rPr>
      </w:pPr>
      <w:r w:rsidRPr="0018548D">
        <w:rPr>
          <w:rFonts w:eastAsiaTheme="minorEastAsia" w:cstheme="minorHAnsi"/>
          <w:kern w:val="0"/>
          <w:sz w:val="24"/>
          <w:szCs w:val="24"/>
          <w:lang w:eastAsia="en-GB"/>
          <w14:ligatures w14:val="none"/>
        </w:rPr>
        <w:t xml:space="preserve">Lee KH, Moon SY, You JS, Kim GM, Lee NY, Oh JS. Pediatric non-infectious osteomyelitis of the mandible: a case report. </w:t>
      </w:r>
      <w:r w:rsidRPr="0018548D">
        <w:rPr>
          <w:rFonts w:eastAsiaTheme="minorEastAsia" w:cstheme="minorHAnsi"/>
          <w:i/>
          <w:iCs/>
          <w:kern w:val="0"/>
          <w:sz w:val="24"/>
          <w:szCs w:val="24"/>
          <w:lang w:eastAsia="en-GB"/>
          <w14:ligatures w14:val="none"/>
        </w:rPr>
        <w:t>J Oral Med Pain</w:t>
      </w:r>
      <w:r w:rsidRPr="0018548D">
        <w:rPr>
          <w:rFonts w:eastAsiaTheme="minorEastAsia" w:cstheme="minorHAnsi"/>
          <w:kern w:val="0"/>
          <w:sz w:val="24"/>
          <w:szCs w:val="24"/>
          <w:lang w:eastAsia="en-GB"/>
          <w14:ligatures w14:val="none"/>
        </w:rPr>
        <w:t>. 2020;45(2):39–43. doi:10.14476/jomp.2020.45.2.39</w:t>
      </w:r>
    </w:p>
    <w:p w14:paraId="33362750" w14:textId="77777777" w:rsidR="0018548D" w:rsidRPr="0018548D" w:rsidRDefault="0018548D" w:rsidP="0018548D">
      <w:pPr>
        <w:numPr>
          <w:ilvl w:val="0"/>
          <w:numId w:val="5"/>
        </w:numPr>
        <w:rPr>
          <w:rFonts w:eastAsiaTheme="minorEastAsia" w:cstheme="minorHAnsi"/>
          <w:kern w:val="0"/>
          <w:sz w:val="24"/>
          <w:szCs w:val="24"/>
          <w:lang w:eastAsia="en-GB"/>
          <w14:ligatures w14:val="none"/>
        </w:rPr>
      </w:pPr>
      <w:r w:rsidRPr="0018548D">
        <w:rPr>
          <w:rFonts w:eastAsiaTheme="minorEastAsia" w:cstheme="minorHAnsi"/>
          <w:kern w:val="0"/>
          <w:sz w:val="24"/>
          <w:szCs w:val="24"/>
          <w:lang w:eastAsia="en-GB"/>
          <w14:ligatures w14:val="none"/>
        </w:rPr>
        <w:t xml:space="preserve">Blanco GO, Pelissaro GS, Oliveira JGP. Chronic osteomyelitis with mandibular fracture in a pediatric patient: case report. </w:t>
      </w:r>
      <w:r w:rsidRPr="0018548D">
        <w:rPr>
          <w:rFonts w:eastAsiaTheme="minorEastAsia" w:cstheme="minorHAnsi"/>
          <w:i/>
          <w:iCs/>
          <w:kern w:val="0"/>
          <w:sz w:val="24"/>
          <w:szCs w:val="24"/>
          <w:lang w:eastAsia="en-GB"/>
          <w14:ligatures w14:val="none"/>
        </w:rPr>
        <w:t>Res Soc Dev</w:t>
      </w:r>
      <w:r w:rsidRPr="0018548D">
        <w:rPr>
          <w:rFonts w:eastAsiaTheme="minorEastAsia" w:cstheme="minorHAnsi"/>
          <w:kern w:val="0"/>
          <w:sz w:val="24"/>
          <w:szCs w:val="24"/>
          <w:lang w:eastAsia="en-GB"/>
          <w14:ligatures w14:val="none"/>
        </w:rPr>
        <w:t>. 2022;11:e27004. doi:10.33448/rsd-v11i3.27004</w:t>
      </w:r>
    </w:p>
    <w:p w14:paraId="3F8EF1A4" w14:textId="77777777" w:rsidR="0018548D" w:rsidRPr="0018548D" w:rsidRDefault="0018548D" w:rsidP="0018548D">
      <w:pPr>
        <w:numPr>
          <w:ilvl w:val="0"/>
          <w:numId w:val="5"/>
        </w:numPr>
        <w:rPr>
          <w:rFonts w:eastAsiaTheme="minorEastAsia" w:cstheme="minorHAnsi"/>
          <w:kern w:val="0"/>
          <w:sz w:val="24"/>
          <w:szCs w:val="24"/>
          <w:lang w:eastAsia="en-GB"/>
          <w14:ligatures w14:val="none"/>
        </w:rPr>
      </w:pPr>
      <w:r w:rsidRPr="0018548D">
        <w:rPr>
          <w:rFonts w:eastAsiaTheme="minorEastAsia" w:cstheme="minorHAnsi"/>
          <w:kern w:val="0"/>
          <w:sz w:val="24"/>
          <w:szCs w:val="24"/>
          <w:lang w:eastAsia="en-GB"/>
          <w14:ligatures w14:val="none"/>
        </w:rPr>
        <w:lastRenderedPageBreak/>
        <w:t xml:space="preserve">Mandrekar PN, Gavhane S, Fernandes TB, Dhupar V, Dhupar A. A diagnostic dilemma in pediatric osteomyelitis: a case report. </w:t>
      </w:r>
      <w:r w:rsidRPr="0018548D">
        <w:rPr>
          <w:rFonts w:eastAsiaTheme="minorEastAsia" w:cstheme="minorHAnsi"/>
          <w:i/>
          <w:iCs/>
          <w:kern w:val="0"/>
          <w:sz w:val="24"/>
          <w:szCs w:val="24"/>
          <w:lang w:eastAsia="en-GB"/>
          <w14:ligatures w14:val="none"/>
        </w:rPr>
        <w:t>J Korean Assoc Oral Maxillofac Surg</w:t>
      </w:r>
      <w:r w:rsidRPr="0018548D">
        <w:rPr>
          <w:rFonts w:eastAsiaTheme="minorEastAsia" w:cstheme="minorHAnsi"/>
          <w:kern w:val="0"/>
          <w:sz w:val="24"/>
          <w:szCs w:val="24"/>
          <w:lang w:eastAsia="en-GB"/>
          <w14:ligatures w14:val="none"/>
        </w:rPr>
        <w:t>. 2022;48(2):117–121. doi:10.5125/jkaoms.2022.48.2.117</w:t>
      </w:r>
    </w:p>
    <w:p w14:paraId="69D908A7" w14:textId="77777777" w:rsidR="0018548D" w:rsidRPr="0018548D" w:rsidRDefault="0018548D" w:rsidP="0018548D">
      <w:pPr>
        <w:numPr>
          <w:ilvl w:val="0"/>
          <w:numId w:val="5"/>
        </w:numPr>
        <w:rPr>
          <w:rFonts w:eastAsiaTheme="minorEastAsia" w:cstheme="minorHAnsi"/>
          <w:kern w:val="0"/>
          <w:sz w:val="24"/>
          <w:szCs w:val="24"/>
          <w:lang w:eastAsia="en-GB"/>
          <w14:ligatures w14:val="none"/>
        </w:rPr>
      </w:pPr>
      <w:r w:rsidRPr="0018548D">
        <w:rPr>
          <w:rFonts w:eastAsiaTheme="minorEastAsia" w:cstheme="minorHAnsi"/>
          <w:kern w:val="0"/>
          <w:sz w:val="24"/>
          <w:szCs w:val="24"/>
          <w:lang w:eastAsia="en-GB"/>
          <w14:ligatures w14:val="none"/>
        </w:rPr>
        <w:t xml:space="preserve">Makino S, Oshige H, Shinozuka J, Imashuku S. Chronic nonbacterial osteomyelitis of the jaw in a 3-year-old girl. </w:t>
      </w:r>
      <w:r w:rsidRPr="0018548D">
        <w:rPr>
          <w:rFonts w:eastAsiaTheme="minorEastAsia" w:cstheme="minorHAnsi"/>
          <w:i/>
          <w:iCs/>
          <w:kern w:val="0"/>
          <w:sz w:val="24"/>
          <w:szCs w:val="24"/>
          <w:lang w:eastAsia="en-GB"/>
          <w14:ligatures w14:val="none"/>
        </w:rPr>
        <w:t>Pediatr Rep</w:t>
      </w:r>
      <w:r w:rsidRPr="0018548D">
        <w:rPr>
          <w:rFonts w:eastAsiaTheme="minorEastAsia" w:cstheme="minorHAnsi"/>
          <w:kern w:val="0"/>
          <w:sz w:val="24"/>
          <w:szCs w:val="24"/>
          <w:lang w:eastAsia="en-GB"/>
          <w14:ligatures w14:val="none"/>
        </w:rPr>
        <w:t>. 2023;15(1):16. doi:10.3390/pediatric15010016</w:t>
      </w:r>
    </w:p>
    <w:p w14:paraId="462DD3F9" w14:textId="77777777" w:rsidR="0018548D" w:rsidRPr="0018548D" w:rsidRDefault="0018548D" w:rsidP="0018548D">
      <w:pPr>
        <w:numPr>
          <w:ilvl w:val="0"/>
          <w:numId w:val="5"/>
        </w:numPr>
        <w:rPr>
          <w:rFonts w:eastAsiaTheme="minorEastAsia" w:cstheme="minorHAnsi"/>
          <w:kern w:val="0"/>
          <w:sz w:val="24"/>
          <w:szCs w:val="24"/>
          <w:lang w:eastAsia="en-GB"/>
          <w14:ligatures w14:val="none"/>
        </w:rPr>
      </w:pPr>
      <w:r w:rsidRPr="0018548D">
        <w:rPr>
          <w:rFonts w:eastAsiaTheme="minorEastAsia" w:cstheme="minorHAnsi"/>
          <w:kern w:val="0"/>
          <w:sz w:val="24"/>
          <w:szCs w:val="24"/>
          <w:lang w:eastAsia="en-GB"/>
          <w14:ligatures w14:val="none"/>
        </w:rPr>
        <w:t xml:space="preserve">Feki W, Kamoun K, Ben Ali N. Garré’s osteomyelitis of the mandible in an adolescent: a case report. </w:t>
      </w:r>
      <w:r w:rsidRPr="0018548D">
        <w:rPr>
          <w:rFonts w:eastAsiaTheme="minorEastAsia" w:cstheme="minorHAnsi"/>
          <w:i/>
          <w:iCs/>
          <w:kern w:val="0"/>
          <w:sz w:val="24"/>
          <w:szCs w:val="24"/>
          <w:lang w:eastAsia="en-GB"/>
          <w14:ligatures w14:val="none"/>
        </w:rPr>
        <w:t>J Med Case Rep</w:t>
      </w:r>
      <w:r w:rsidRPr="0018548D">
        <w:rPr>
          <w:rFonts w:eastAsiaTheme="minorEastAsia" w:cstheme="minorHAnsi"/>
          <w:kern w:val="0"/>
          <w:sz w:val="24"/>
          <w:szCs w:val="24"/>
          <w:lang w:eastAsia="en-GB"/>
          <w14:ligatures w14:val="none"/>
        </w:rPr>
        <w:t>. 2025;19:647. doi:10.1186/s13256-025-05692-3</w:t>
      </w:r>
    </w:p>
    <w:p w14:paraId="6729C11C" w14:textId="77777777" w:rsidR="0018548D" w:rsidRPr="0018548D" w:rsidRDefault="0018548D" w:rsidP="0018548D">
      <w:pPr>
        <w:numPr>
          <w:ilvl w:val="0"/>
          <w:numId w:val="5"/>
        </w:numPr>
        <w:rPr>
          <w:rFonts w:eastAsiaTheme="minorEastAsia" w:cstheme="minorHAnsi"/>
          <w:kern w:val="0"/>
          <w:sz w:val="24"/>
          <w:szCs w:val="24"/>
          <w:lang w:eastAsia="en-GB"/>
          <w14:ligatures w14:val="none"/>
        </w:rPr>
      </w:pPr>
      <w:r w:rsidRPr="0018548D">
        <w:rPr>
          <w:rFonts w:eastAsiaTheme="minorEastAsia" w:cstheme="minorHAnsi"/>
          <w:kern w:val="0"/>
          <w:sz w:val="24"/>
          <w:szCs w:val="24"/>
          <w:lang w:eastAsia="en-GB"/>
          <w14:ligatures w14:val="none"/>
        </w:rPr>
        <w:t xml:space="preserve">Chacko R, Kumar S, Verghese VP, Charllu AP. Methicillin-resistant </w:t>
      </w:r>
      <w:r w:rsidRPr="0018548D">
        <w:rPr>
          <w:rFonts w:eastAsiaTheme="minorEastAsia" w:cstheme="minorHAnsi"/>
          <w:i/>
          <w:iCs/>
          <w:kern w:val="0"/>
          <w:sz w:val="24"/>
          <w:szCs w:val="24"/>
          <w:lang w:eastAsia="en-GB"/>
          <w14:ligatures w14:val="none"/>
        </w:rPr>
        <w:t>Staphylococcus aureus</w:t>
      </w:r>
      <w:r w:rsidRPr="0018548D">
        <w:rPr>
          <w:rFonts w:eastAsiaTheme="minorEastAsia" w:cstheme="minorHAnsi"/>
          <w:kern w:val="0"/>
          <w:sz w:val="24"/>
          <w:szCs w:val="24"/>
          <w:lang w:eastAsia="en-GB"/>
          <w14:ligatures w14:val="none"/>
        </w:rPr>
        <w:t xml:space="preserve"> (MRSA)-associated juvenile osteomyelitis of mandible: a rare variant. </w:t>
      </w:r>
      <w:r w:rsidRPr="0018548D">
        <w:rPr>
          <w:rFonts w:eastAsiaTheme="minorEastAsia" w:cstheme="minorHAnsi"/>
          <w:i/>
          <w:iCs/>
          <w:kern w:val="0"/>
          <w:sz w:val="24"/>
          <w:szCs w:val="24"/>
          <w:lang w:eastAsia="en-GB"/>
          <w14:ligatures w14:val="none"/>
        </w:rPr>
        <w:t>BMJ Case Rep</w:t>
      </w:r>
      <w:r w:rsidRPr="0018548D">
        <w:rPr>
          <w:rFonts w:eastAsiaTheme="minorEastAsia" w:cstheme="minorHAnsi"/>
          <w:kern w:val="0"/>
          <w:sz w:val="24"/>
          <w:szCs w:val="24"/>
          <w:lang w:eastAsia="en-GB"/>
          <w14:ligatures w14:val="none"/>
        </w:rPr>
        <w:t>. 2021;14:e244141. doi:10.1136/bcr-2021-244141</w:t>
      </w:r>
    </w:p>
    <w:p w14:paraId="47E23E37" w14:textId="77777777" w:rsidR="0018548D" w:rsidRPr="0018548D" w:rsidRDefault="0018548D" w:rsidP="0018548D">
      <w:pPr>
        <w:numPr>
          <w:ilvl w:val="0"/>
          <w:numId w:val="5"/>
        </w:numPr>
        <w:rPr>
          <w:rFonts w:eastAsiaTheme="minorEastAsia" w:cstheme="minorHAnsi"/>
          <w:kern w:val="0"/>
          <w:sz w:val="24"/>
          <w:szCs w:val="24"/>
          <w:lang w:eastAsia="en-GB"/>
          <w14:ligatures w14:val="none"/>
        </w:rPr>
      </w:pPr>
      <w:r w:rsidRPr="0018548D">
        <w:rPr>
          <w:rFonts w:eastAsiaTheme="minorEastAsia" w:cstheme="minorHAnsi"/>
          <w:kern w:val="0"/>
          <w:sz w:val="24"/>
          <w:szCs w:val="24"/>
          <w:lang w:eastAsia="en-GB"/>
          <w14:ligatures w14:val="none"/>
        </w:rPr>
        <w:t xml:space="preserve">Philip LMN, Akkara F, Khwaja T, Narayan T, Kamath AG, Jose NP. Surgical management of Garre’s osteomyelitis in an 8-year-old child. </w:t>
      </w:r>
      <w:r w:rsidRPr="0018548D">
        <w:rPr>
          <w:rFonts w:eastAsiaTheme="minorEastAsia" w:cstheme="minorHAnsi"/>
          <w:i/>
          <w:iCs/>
          <w:kern w:val="0"/>
          <w:sz w:val="24"/>
          <w:szCs w:val="24"/>
          <w:lang w:eastAsia="en-GB"/>
          <w14:ligatures w14:val="none"/>
        </w:rPr>
        <w:t>Afr J Paediatr Surg</w:t>
      </w:r>
      <w:r w:rsidRPr="0018548D">
        <w:rPr>
          <w:rFonts w:eastAsiaTheme="minorEastAsia" w:cstheme="minorHAnsi"/>
          <w:kern w:val="0"/>
          <w:sz w:val="24"/>
          <w:szCs w:val="24"/>
          <w:lang w:eastAsia="en-GB"/>
          <w14:ligatures w14:val="none"/>
        </w:rPr>
        <w:t>. 2021;18(3):174–178. doi:10.4103/ajps.AJPS_66_20</w:t>
      </w:r>
    </w:p>
    <w:p w14:paraId="4D79A529" w14:textId="77777777" w:rsidR="0018548D" w:rsidRPr="0018548D" w:rsidRDefault="0018548D" w:rsidP="0018548D">
      <w:pPr>
        <w:numPr>
          <w:ilvl w:val="0"/>
          <w:numId w:val="5"/>
        </w:numPr>
        <w:rPr>
          <w:rFonts w:eastAsiaTheme="minorEastAsia" w:cstheme="minorHAnsi"/>
          <w:kern w:val="0"/>
          <w:sz w:val="24"/>
          <w:szCs w:val="24"/>
          <w:lang w:eastAsia="en-GB"/>
          <w14:ligatures w14:val="none"/>
        </w:rPr>
      </w:pPr>
      <w:r w:rsidRPr="0018548D">
        <w:rPr>
          <w:rFonts w:eastAsiaTheme="minorEastAsia" w:cstheme="minorHAnsi"/>
          <w:kern w:val="0"/>
          <w:sz w:val="24"/>
          <w:szCs w:val="24"/>
          <w:lang w:eastAsia="en-GB"/>
          <w14:ligatures w14:val="none"/>
        </w:rPr>
        <w:t xml:space="preserve">Wicaksono SD, Arumsari A, Putri FA, Hak MS. Mandibular osteomyelitis in pediatric patient: a case report. </w:t>
      </w:r>
      <w:r w:rsidRPr="0018548D">
        <w:rPr>
          <w:rFonts w:eastAsiaTheme="minorEastAsia" w:cstheme="minorHAnsi"/>
          <w:i/>
          <w:iCs/>
          <w:kern w:val="0"/>
          <w:sz w:val="24"/>
          <w:szCs w:val="24"/>
          <w:lang w:eastAsia="en-GB"/>
          <w14:ligatures w14:val="none"/>
        </w:rPr>
        <w:t>Int J Med Biomed Stud</w:t>
      </w:r>
      <w:r w:rsidRPr="0018548D">
        <w:rPr>
          <w:rFonts w:eastAsiaTheme="minorEastAsia" w:cstheme="minorHAnsi"/>
          <w:kern w:val="0"/>
          <w:sz w:val="24"/>
          <w:szCs w:val="24"/>
          <w:lang w:eastAsia="en-GB"/>
          <w14:ligatures w14:val="none"/>
        </w:rPr>
        <w:t>. 2024;8(5). doi:10.32553/ijmbs.v8i5.2845</w:t>
      </w:r>
    </w:p>
    <w:p w14:paraId="4EC20649" w14:textId="77777777" w:rsidR="0018548D" w:rsidRPr="0018548D" w:rsidRDefault="0018548D" w:rsidP="0018548D">
      <w:pPr>
        <w:numPr>
          <w:ilvl w:val="0"/>
          <w:numId w:val="5"/>
        </w:numPr>
        <w:rPr>
          <w:rFonts w:eastAsiaTheme="minorEastAsia" w:cstheme="minorHAnsi"/>
          <w:kern w:val="0"/>
          <w:sz w:val="24"/>
          <w:szCs w:val="24"/>
          <w:lang w:eastAsia="en-GB"/>
          <w14:ligatures w14:val="none"/>
        </w:rPr>
      </w:pPr>
      <w:r w:rsidRPr="0018548D">
        <w:rPr>
          <w:rFonts w:eastAsiaTheme="minorEastAsia" w:cstheme="minorHAnsi"/>
          <w:kern w:val="0"/>
          <w:sz w:val="24"/>
          <w:szCs w:val="24"/>
          <w:lang w:eastAsia="en-GB"/>
          <w14:ligatures w14:val="none"/>
        </w:rPr>
        <w:t xml:space="preserve">Peltola H, Pääkkönen M. Acute osteomyelitis in children. </w:t>
      </w:r>
      <w:r w:rsidRPr="0018548D">
        <w:rPr>
          <w:rFonts w:eastAsiaTheme="minorEastAsia" w:cstheme="minorHAnsi"/>
          <w:i/>
          <w:iCs/>
          <w:kern w:val="0"/>
          <w:sz w:val="24"/>
          <w:szCs w:val="24"/>
          <w:lang w:eastAsia="en-GB"/>
          <w14:ligatures w14:val="none"/>
        </w:rPr>
        <w:t>N Engl J Med</w:t>
      </w:r>
      <w:r w:rsidRPr="0018548D">
        <w:rPr>
          <w:rFonts w:eastAsiaTheme="minorEastAsia" w:cstheme="minorHAnsi"/>
          <w:kern w:val="0"/>
          <w:sz w:val="24"/>
          <w:szCs w:val="24"/>
          <w:lang w:eastAsia="en-GB"/>
          <w14:ligatures w14:val="none"/>
        </w:rPr>
        <w:t>. 2014;370(4):352–360. doi:10.1056/NEJMra1213956</w:t>
      </w:r>
    </w:p>
    <w:p w14:paraId="04780A0C" w14:textId="77777777" w:rsidR="0018548D" w:rsidRPr="0018548D" w:rsidRDefault="0018548D" w:rsidP="0018548D">
      <w:pPr>
        <w:numPr>
          <w:ilvl w:val="0"/>
          <w:numId w:val="5"/>
        </w:numPr>
        <w:rPr>
          <w:rFonts w:eastAsiaTheme="minorEastAsia" w:cstheme="minorHAnsi"/>
          <w:kern w:val="0"/>
          <w:sz w:val="24"/>
          <w:szCs w:val="24"/>
          <w:lang w:eastAsia="en-GB"/>
          <w14:ligatures w14:val="none"/>
        </w:rPr>
      </w:pPr>
      <w:r w:rsidRPr="0018548D">
        <w:rPr>
          <w:rFonts w:eastAsiaTheme="minorEastAsia" w:cstheme="minorHAnsi"/>
          <w:kern w:val="0"/>
          <w:sz w:val="24"/>
          <w:szCs w:val="24"/>
          <w:lang w:eastAsia="en-GB"/>
          <w14:ligatures w14:val="none"/>
        </w:rPr>
        <w:t xml:space="preserve">Dartnell J, Ramachandran M, Katchburian M. Haematogenous acute osteomyelitis in children. </w:t>
      </w:r>
      <w:r w:rsidRPr="0018548D">
        <w:rPr>
          <w:rFonts w:eastAsiaTheme="minorEastAsia" w:cstheme="minorHAnsi"/>
          <w:i/>
          <w:iCs/>
          <w:kern w:val="0"/>
          <w:sz w:val="24"/>
          <w:szCs w:val="24"/>
          <w:lang w:eastAsia="en-GB"/>
          <w14:ligatures w14:val="none"/>
        </w:rPr>
        <w:t>J Bone Joint Surg Br</w:t>
      </w:r>
      <w:r w:rsidRPr="0018548D">
        <w:rPr>
          <w:rFonts w:eastAsiaTheme="minorEastAsia" w:cstheme="minorHAnsi"/>
          <w:kern w:val="0"/>
          <w:sz w:val="24"/>
          <w:szCs w:val="24"/>
          <w:lang w:eastAsia="en-GB"/>
          <w14:ligatures w14:val="none"/>
        </w:rPr>
        <w:t>. 2012;94(5):584–595. doi:10.1302/0301-620X.94B5.28523</w:t>
      </w:r>
    </w:p>
    <w:p w14:paraId="0C261494" w14:textId="77777777" w:rsidR="0018548D" w:rsidRPr="0018548D" w:rsidRDefault="0018548D" w:rsidP="0018548D">
      <w:pPr>
        <w:numPr>
          <w:ilvl w:val="0"/>
          <w:numId w:val="5"/>
        </w:numPr>
        <w:rPr>
          <w:rFonts w:eastAsiaTheme="minorEastAsia" w:cstheme="minorHAnsi"/>
          <w:kern w:val="0"/>
          <w:sz w:val="24"/>
          <w:szCs w:val="24"/>
          <w:lang w:eastAsia="en-GB"/>
          <w14:ligatures w14:val="none"/>
        </w:rPr>
      </w:pPr>
      <w:r w:rsidRPr="0018548D">
        <w:rPr>
          <w:rFonts w:eastAsiaTheme="minorEastAsia" w:cstheme="minorHAnsi"/>
          <w:kern w:val="0"/>
          <w:sz w:val="24"/>
          <w:szCs w:val="24"/>
          <w:lang w:eastAsia="en-GB"/>
          <w14:ligatures w14:val="none"/>
        </w:rPr>
        <w:t xml:space="preserve">Brook I. The microbiology of osteomyelitis. </w:t>
      </w:r>
      <w:r w:rsidRPr="0018548D">
        <w:rPr>
          <w:rFonts w:eastAsiaTheme="minorEastAsia" w:cstheme="minorHAnsi"/>
          <w:i/>
          <w:iCs/>
          <w:kern w:val="0"/>
          <w:sz w:val="24"/>
          <w:szCs w:val="24"/>
          <w:lang w:eastAsia="en-GB"/>
          <w14:ligatures w14:val="none"/>
        </w:rPr>
        <w:t>J Med Microbiol</w:t>
      </w:r>
      <w:r w:rsidRPr="0018548D">
        <w:rPr>
          <w:rFonts w:eastAsiaTheme="minorEastAsia" w:cstheme="minorHAnsi"/>
          <w:kern w:val="0"/>
          <w:sz w:val="24"/>
          <w:szCs w:val="24"/>
          <w:lang w:eastAsia="en-GB"/>
          <w14:ligatures w14:val="none"/>
        </w:rPr>
        <w:t>. 2010;59(Pt 1):1–7. doi:10.1099/jmm.0.013094-0</w:t>
      </w:r>
    </w:p>
    <w:p w14:paraId="2BF0174E" w14:textId="77777777" w:rsidR="0018548D" w:rsidRPr="0018548D" w:rsidRDefault="0018548D" w:rsidP="0018548D">
      <w:pPr>
        <w:numPr>
          <w:ilvl w:val="0"/>
          <w:numId w:val="5"/>
        </w:numPr>
        <w:rPr>
          <w:rFonts w:eastAsiaTheme="minorEastAsia" w:cstheme="minorHAnsi"/>
          <w:kern w:val="0"/>
          <w:sz w:val="24"/>
          <w:szCs w:val="24"/>
          <w:lang w:eastAsia="en-GB"/>
          <w14:ligatures w14:val="none"/>
        </w:rPr>
      </w:pPr>
      <w:r w:rsidRPr="0018548D">
        <w:rPr>
          <w:rFonts w:eastAsiaTheme="minorEastAsia" w:cstheme="minorHAnsi"/>
          <w:kern w:val="0"/>
          <w:sz w:val="24"/>
          <w:szCs w:val="24"/>
          <w:lang w:eastAsia="en-GB"/>
          <w14:ligatures w14:val="none"/>
        </w:rPr>
        <w:t xml:space="preserve">Baltensperger MM, Eyrich GK. Osteomyelitis of the jaws: clinical, radiologic, and therapeutic aspects. </w:t>
      </w:r>
      <w:r w:rsidRPr="0018548D">
        <w:rPr>
          <w:rFonts w:eastAsiaTheme="minorEastAsia" w:cstheme="minorHAnsi"/>
          <w:i/>
          <w:iCs/>
          <w:kern w:val="0"/>
          <w:sz w:val="24"/>
          <w:szCs w:val="24"/>
          <w:lang w:eastAsia="en-GB"/>
          <w14:ligatures w14:val="none"/>
        </w:rPr>
        <w:t>Springer</w:t>
      </w:r>
      <w:r w:rsidRPr="0018548D">
        <w:rPr>
          <w:rFonts w:eastAsiaTheme="minorEastAsia" w:cstheme="minorHAnsi"/>
          <w:kern w:val="0"/>
          <w:sz w:val="24"/>
          <w:szCs w:val="24"/>
          <w:lang w:eastAsia="en-GB"/>
          <w14:ligatures w14:val="none"/>
        </w:rPr>
        <w:t>. 2009. doi:10.1007/978-3-540-28766-7</w:t>
      </w:r>
    </w:p>
    <w:p w14:paraId="34BAE540" w14:textId="77777777" w:rsidR="0018548D" w:rsidRPr="0018548D" w:rsidRDefault="0018548D" w:rsidP="0018548D">
      <w:pPr>
        <w:numPr>
          <w:ilvl w:val="0"/>
          <w:numId w:val="5"/>
        </w:numPr>
        <w:rPr>
          <w:rFonts w:eastAsiaTheme="minorEastAsia" w:cstheme="minorHAnsi"/>
          <w:kern w:val="0"/>
          <w:sz w:val="24"/>
          <w:szCs w:val="24"/>
          <w:lang w:eastAsia="en-GB"/>
          <w14:ligatures w14:val="none"/>
        </w:rPr>
      </w:pPr>
      <w:r w:rsidRPr="0018548D">
        <w:rPr>
          <w:rFonts w:eastAsiaTheme="minorEastAsia" w:cstheme="minorHAnsi"/>
          <w:kern w:val="0"/>
          <w:sz w:val="24"/>
          <w:szCs w:val="24"/>
          <w:lang w:eastAsia="en-GB"/>
          <w14:ligatures w14:val="none"/>
        </w:rPr>
        <w:t xml:space="preserve">Baur DA, Altay MA, Flores-Hidalgo A, Ort Y, Quereshy FA. Osteomyelitis of the mandible. </w:t>
      </w:r>
      <w:r w:rsidRPr="0018548D">
        <w:rPr>
          <w:rFonts w:eastAsiaTheme="minorEastAsia" w:cstheme="minorHAnsi"/>
          <w:i/>
          <w:iCs/>
          <w:kern w:val="0"/>
          <w:sz w:val="24"/>
          <w:szCs w:val="24"/>
          <w:lang w:eastAsia="en-GB"/>
          <w14:ligatures w14:val="none"/>
        </w:rPr>
        <w:t>Oral Maxillofac Surg Clin North Am</w:t>
      </w:r>
      <w:r w:rsidRPr="0018548D">
        <w:rPr>
          <w:rFonts w:eastAsiaTheme="minorEastAsia" w:cstheme="minorHAnsi"/>
          <w:kern w:val="0"/>
          <w:sz w:val="24"/>
          <w:szCs w:val="24"/>
          <w:lang w:eastAsia="en-GB"/>
          <w14:ligatures w14:val="none"/>
        </w:rPr>
        <w:t>. 2011;23(3):369–381. doi:10.1016/j.coms.2011.04.002</w:t>
      </w:r>
    </w:p>
    <w:p w14:paraId="00F9A0E5" w14:textId="77777777" w:rsidR="0018548D" w:rsidRPr="0018548D" w:rsidRDefault="0018548D" w:rsidP="0018548D">
      <w:pPr>
        <w:numPr>
          <w:ilvl w:val="0"/>
          <w:numId w:val="5"/>
        </w:numPr>
        <w:rPr>
          <w:rFonts w:eastAsiaTheme="minorEastAsia" w:cstheme="minorHAnsi"/>
          <w:kern w:val="0"/>
          <w:sz w:val="24"/>
          <w:szCs w:val="24"/>
          <w:lang w:eastAsia="en-GB"/>
          <w14:ligatures w14:val="none"/>
        </w:rPr>
      </w:pPr>
      <w:r w:rsidRPr="0018548D">
        <w:rPr>
          <w:rFonts w:eastAsiaTheme="minorEastAsia" w:cstheme="minorHAnsi"/>
          <w:kern w:val="0"/>
          <w:sz w:val="24"/>
          <w:szCs w:val="24"/>
          <w:lang w:eastAsia="en-GB"/>
          <w14:ligatures w14:val="none"/>
        </w:rPr>
        <w:t xml:space="preserve">Kim SG, Jang HS. Treatment of chronic osteomyelitis of the mandible. </w:t>
      </w:r>
      <w:r w:rsidRPr="0018548D">
        <w:rPr>
          <w:rFonts w:eastAsiaTheme="minorEastAsia" w:cstheme="minorHAnsi"/>
          <w:i/>
          <w:iCs/>
          <w:kern w:val="0"/>
          <w:sz w:val="24"/>
          <w:szCs w:val="24"/>
          <w:lang w:eastAsia="en-GB"/>
          <w14:ligatures w14:val="none"/>
        </w:rPr>
        <w:t>J Oral Maxillofac Surg</w:t>
      </w:r>
      <w:r w:rsidRPr="0018548D">
        <w:rPr>
          <w:rFonts w:eastAsiaTheme="minorEastAsia" w:cstheme="minorHAnsi"/>
          <w:kern w:val="0"/>
          <w:sz w:val="24"/>
          <w:szCs w:val="24"/>
          <w:lang w:eastAsia="en-GB"/>
          <w14:ligatures w14:val="none"/>
        </w:rPr>
        <w:t>. 2001;59(4):394–397. doi:10.1053/joms.2001.21879</w:t>
      </w:r>
    </w:p>
    <w:p w14:paraId="039E201A" w14:textId="77777777" w:rsidR="0018548D" w:rsidRPr="0018548D" w:rsidRDefault="0018548D" w:rsidP="0018548D">
      <w:pPr>
        <w:numPr>
          <w:ilvl w:val="0"/>
          <w:numId w:val="5"/>
        </w:numPr>
        <w:rPr>
          <w:rFonts w:eastAsiaTheme="minorEastAsia" w:cstheme="minorHAnsi"/>
          <w:kern w:val="0"/>
          <w:sz w:val="24"/>
          <w:szCs w:val="24"/>
          <w:lang w:eastAsia="en-GB"/>
          <w14:ligatures w14:val="none"/>
        </w:rPr>
      </w:pPr>
      <w:r w:rsidRPr="0018548D">
        <w:rPr>
          <w:rFonts w:eastAsiaTheme="minorEastAsia" w:cstheme="minorHAnsi"/>
          <w:kern w:val="0"/>
          <w:sz w:val="24"/>
          <w:szCs w:val="24"/>
          <w:lang w:eastAsia="en-GB"/>
          <w14:ligatures w14:val="none"/>
        </w:rPr>
        <w:t xml:space="preserve">Eyrich GK, Baltensperger MM, Bruder E, Graetz KW. Microbiology of osteomyelitis of the jaws. </w:t>
      </w:r>
      <w:r w:rsidRPr="0018548D">
        <w:rPr>
          <w:rFonts w:eastAsiaTheme="minorEastAsia" w:cstheme="minorHAnsi"/>
          <w:i/>
          <w:iCs/>
          <w:kern w:val="0"/>
          <w:sz w:val="24"/>
          <w:szCs w:val="24"/>
          <w:lang w:eastAsia="en-GB"/>
          <w14:ligatures w14:val="none"/>
        </w:rPr>
        <w:t>Clin Oral Investig</w:t>
      </w:r>
      <w:r w:rsidRPr="0018548D">
        <w:rPr>
          <w:rFonts w:eastAsiaTheme="minorEastAsia" w:cstheme="minorHAnsi"/>
          <w:kern w:val="0"/>
          <w:sz w:val="24"/>
          <w:szCs w:val="24"/>
          <w:lang w:eastAsia="en-GB"/>
          <w14:ligatures w14:val="none"/>
        </w:rPr>
        <w:t>. 1999;3(3):161–167. doi:10.1007/s007840050095</w:t>
      </w:r>
    </w:p>
    <w:p w14:paraId="64422DAE" w14:textId="77777777" w:rsidR="0018548D" w:rsidRPr="0018548D" w:rsidRDefault="0018548D" w:rsidP="0018548D">
      <w:pPr>
        <w:numPr>
          <w:ilvl w:val="0"/>
          <w:numId w:val="5"/>
        </w:numPr>
        <w:rPr>
          <w:rFonts w:eastAsiaTheme="minorEastAsia" w:cstheme="minorHAnsi"/>
          <w:kern w:val="0"/>
          <w:sz w:val="24"/>
          <w:szCs w:val="24"/>
          <w:lang w:eastAsia="en-GB"/>
          <w14:ligatures w14:val="none"/>
        </w:rPr>
      </w:pPr>
      <w:r w:rsidRPr="0018548D">
        <w:rPr>
          <w:rFonts w:eastAsiaTheme="minorEastAsia" w:cstheme="minorHAnsi"/>
          <w:kern w:val="0"/>
          <w:sz w:val="24"/>
          <w:szCs w:val="24"/>
          <w:lang w:eastAsia="en-GB"/>
          <w14:ligatures w14:val="none"/>
        </w:rPr>
        <w:t xml:space="preserve">Girschick HJ, Raab P, Surbaum S, Trusen A, Kirschner S, Schneider P, et al. Chronic non-bacterial osteomyelitis in children. </w:t>
      </w:r>
      <w:r w:rsidRPr="0018548D">
        <w:rPr>
          <w:rFonts w:eastAsiaTheme="minorEastAsia" w:cstheme="minorHAnsi"/>
          <w:i/>
          <w:iCs/>
          <w:kern w:val="0"/>
          <w:sz w:val="24"/>
          <w:szCs w:val="24"/>
          <w:lang w:eastAsia="en-GB"/>
          <w14:ligatures w14:val="none"/>
        </w:rPr>
        <w:t>Ann Rheum Dis</w:t>
      </w:r>
      <w:r w:rsidRPr="0018548D">
        <w:rPr>
          <w:rFonts w:eastAsiaTheme="minorEastAsia" w:cstheme="minorHAnsi"/>
          <w:kern w:val="0"/>
          <w:sz w:val="24"/>
          <w:szCs w:val="24"/>
          <w:lang w:eastAsia="en-GB"/>
          <w14:ligatures w14:val="none"/>
        </w:rPr>
        <w:t>. 2005;64(2):279–285. doi:10.1136/ard.2004.022913</w:t>
      </w:r>
    </w:p>
    <w:p w14:paraId="59DF664D" w14:textId="77777777" w:rsidR="0018548D" w:rsidRPr="0018548D" w:rsidRDefault="0018548D" w:rsidP="0018548D">
      <w:pPr>
        <w:numPr>
          <w:ilvl w:val="0"/>
          <w:numId w:val="5"/>
        </w:numPr>
        <w:rPr>
          <w:rFonts w:eastAsiaTheme="minorEastAsia" w:cstheme="minorHAnsi"/>
          <w:kern w:val="0"/>
          <w:sz w:val="24"/>
          <w:szCs w:val="24"/>
          <w:lang w:eastAsia="en-GB"/>
          <w14:ligatures w14:val="none"/>
        </w:rPr>
      </w:pPr>
      <w:r w:rsidRPr="0018548D">
        <w:rPr>
          <w:rFonts w:eastAsiaTheme="minorEastAsia" w:cstheme="minorHAnsi"/>
          <w:kern w:val="0"/>
          <w:sz w:val="24"/>
          <w:szCs w:val="24"/>
          <w:lang w:eastAsia="en-GB"/>
          <w14:ligatures w14:val="none"/>
        </w:rPr>
        <w:lastRenderedPageBreak/>
        <w:t xml:space="preserve">Chen CY, Wu CW, Hsu CH, Chen YK. Osteomyelitis of the mandible in children: clinical analysis. </w:t>
      </w:r>
      <w:r w:rsidRPr="0018548D">
        <w:rPr>
          <w:rFonts w:eastAsiaTheme="minorEastAsia" w:cstheme="minorHAnsi"/>
          <w:i/>
          <w:iCs/>
          <w:kern w:val="0"/>
          <w:sz w:val="24"/>
          <w:szCs w:val="24"/>
          <w:lang w:eastAsia="en-GB"/>
          <w14:ligatures w14:val="none"/>
        </w:rPr>
        <w:t>J Formos Med Assoc</w:t>
      </w:r>
      <w:r w:rsidRPr="0018548D">
        <w:rPr>
          <w:rFonts w:eastAsiaTheme="minorEastAsia" w:cstheme="minorHAnsi"/>
          <w:kern w:val="0"/>
          <w:sz w:val="24"/>
          <w:szCs w:val="24"/>
          <w:lang w:eastAsia="en-GB"/>
          <w14:ligatures w14:val="none"/>
        </w:rPr>
        <w:t>. 2014;113(11):861–866. doi:10.1016/j.jfma.2012.10.006</w:t>
      </w:r>
    </w:p>
    <w:p w14:paraId="6A647CC0" w14:textId="77777777" w:rsidR="0018548D" w:rsidRPr="0018548D" w:rsidRDefault="0018548D" w:rsidP="0018548D">
      <w:pPr>
        <w:numPr>
          <w:ilvl w:val="0"/>
          <w:numId w:val="5"/>
        </w:numPr>
        <w:rPr>
          <w:rFonts w:eastAsiaTheme="minorEastAsia" w:cstheme="minorHAnsi"/>
          <w:kern w:val="0"/>
          <w:sz w:val="24"/>
          <w:szCs w:val="24"/>
          <w:lang w:eastAsia="en-GB"/>
          <w14:ligatures w14:val="none"/>
        </w:rPr>
      </w:pPr>
      <w:r w:rsidRPr="0018548D">
        <w:rPr>
          <w:rFonts w:eastAsiaTheme="minorEastAsia" w:cstheme="minorHAnsi"/>
          <w:kern w:val="0"/>
          <w:sz w:val="24"/>
          <w:szCs w:val="24"/>
          <w:lang w:eastAsia="en-GB"/>
          <w14:ligatures w14:val="none"/>
        </w:rPr>
        <w:t xml:space="preserve">Dhooria A, Agarwal R, Gupta D. Tubercular osteomyelitis of mandible. </w:t>
      </w:r>
      <w:r w:rsidRPr="0018548D">
        <w:rPr>
          <w:rFonts w:eastAsiaTheme="minorEastAsia" w:cstheme="minorHAnsi"/>
          <w:i/>
          <w:iCs/>
          <w:kern w:val="0"/>
          <w:sz w:val="24"/>
          <w:szCs w:val="24"/>
          <w:lang w:eastAsia="en-GB"/>
          <w14:ligatures w14:val="none"/>
        </w:rPr>
        <w:t>Int J Infect Dis</w:t>
      </w:r>
      <w:r w:rsidRPr="0018548D">
        <w:rPr>
          <w:rFonts w:eastAsiaTheme="minorEastAsia" w:cstheme="minorHAnsi"/>
          <w:kern w:val="0"/>
          <w:sz w:val="24"/>
          <w:szCs w:val="24"/>
          <w:lang w:eastAsia="en-GB"/>
          <w14:ligatures w14:val="none"/>
        </w:rPr>
        <w:t>. 2015;32:103–104. doi:10.1016/j.ijid.2014.12.024</w:t>
      </w:r>
    </w:p>
    <w:p w14:paraId="2C12B75B" w14:textId="77777777" w:rsidR="0018548D" w:rsidRPr="0018548D" w:rsidRDefault="0018548D" w:rsidP="0018548D">
      <w:pPr>
        <w:numPr>
          <w:ilvl w:val="0"/>
          <w:numId w:val="5"/>
        </w:numPr>
        <w:rPr>
          <w:rFonts w:eastAsiaTheme="minorEastAsia" w:cstheme="minorHAnsi"/>
          <w:kern w:val="0"/>
          <w:sz w:val="24"/>
          <w:szCs w:val="24"/>
          <w:lang w:eastAsia="en-GB"/>
          <w14:ligatures w14:val="none"/>
        </w:rPr>
      </w:pPr>
      <w:r w:rsidRPr="0018548D">
        <w:rPr>
          <w:rFonts w:eastAsiaTheme="minorEastAsia" w:cstheme="minorHAnsi"/>
          <w:kern w:val="0"/>
          <w:sz w:val="24"/>
          <w:szCs w:val="24"/>
          <w:lang w:eastAsia="en-GB"/>
          <w14:ligatures w14:val="none"/>
        </w:rPr>
        <w:t xml:space="preserve">Sezer B, Akdeniz BG, Günbay S, Hilmioğlu S, Başdemir G. Chronic osteomyelitis of the mandible in children. </w:t>
      </w:r>
      <w:r w:rsidRPr="0018548D">
        <w:rPr>
          <w:rFonts w:eastAsiaTheme="minorEastAsia" w:cstheme="minorHAnsi"/>
          <w:i/>
          <w:iCs/>
          <w:kern w:val="0"/>
          <w:sz w:val="24"/>
          <w:szCs w:val="24"/>
          <w:lang w:eastAsia="en-GB"/>
          <w14:ligatures w14:val="none"/>
        </w:rPr>
        <w:t>J Craniofac Surg</w:t>
      </w:r>
      <w:r w:rsidRPr="0018548D">
        <w:rPr>
          <w:rFonts w:eastAsiaTheme="minorEastAsia" w:cstheme="minorHAnsi"/>
          <w:kern w:val="0"/>
          <w:sz w:val="24"/>
          <w:szCs w:val="24"/>
          <w:lang w:eastAsia="en-GB"/>
          <w14:ligatures w14:val="none"/>
        </w:rPr>
        <w:t>. 2009;20(1):196–199. doi:10.1097/SCS.0b013e318190dd3f</w:t>
      </w:r>
    </w:p>
    <w:p w14:paraId="6510DD39" w14:textId="77777777" w:rsidR="0018548D" w:rsidRPr="0018548D" w:rsidRDefault="0018548D" w:rsidP="0018548D">
      <w:pPr>
        <w:numPr>
          <w:ilvl w:val="0"/>
          <w:numId w:val="5"/>
        </w:numPr>
        <w:rPr>
          <w:rFonts w:eastAsiaTheme="minorEastAsia" w:cstheme="minorHAnsi"/>
          <w:kern w:val="0"/>
          <w:sz w:val="24"/>
          <w:szCs w:val="24"/>
          <w:lang w:eastAsia="en-GB"/>
          <w14:ligatures w14:val="none"/>
        </w:rPr>
      </w:pPr>
      <w:r w:rsidRPr="0018548D">
        <w:rPr>
          <w:rFonts w:eastAsiaTheme="minorEastAsia" w:cstheme="minorHAnsi"/>
          <w:kern w:val="0"/>
          <w:sz w:val="24"/>
          <w:szCs w:val="24"/>
          <w:lang w:eastAsia="en-GB"/>
          <w14:ligatures w14:val="none"/>
        </w:rPr>
        <w:t xml:space="preserve">Vered M, Buchner A, Dayan D. Chronic osteomyelitis of the jaw: clinicopathologic study. </w:t>
      </w:r>
      <w:r w:rsidRPr="0018548D">
        <w:rPr>
          <w:rFonts w:eastAsiaTheme="minorEastAsia" w:cstheme="minorHAnsi"/>
          <w:i/>
          <w:iCs/>
          <w:kern w:val="0"/>
          <w:sz w:val="24"/>
          <w:szCs w:val="24"/>
          <w:lang w:eastAsia="en-GB"/>
          <w14:ligatures w14:val="none"/>
        </w:rPr>
        <w:t>Oral Surg Oral Med Oral Pathol Oral Radiol Endod</w:t>
      </w:r>
      <w:r w:rsidRPr="0018548D">
        <w:rPr>
          <w:rFonts w:eastAsiaTheme="minorEastAsia" w:cstheme="minorHAnsi"/>
          <w:kern w:val="0"/>
          <w:sz w:val="24"/>
          <w:szCs w:val="24"/>
          <w:lang w:eastAsia="en-GB"/>
          <w14:ligatures w14:val="none"/>
        </w:rPr>
        <w:t>. 2005;100(3):334–342. doi:10.1016/j.tripleo.2004.12.012</w:t>
      </w:r>
    </w:p>
    <w:p w14:paraId="5303B244" w14:textId="77777777" w:rsidR="0018548D" w:rsidRPr="0018548D" w:rsidRDefault="0018548D" w:rsidP="0018548D">
      <w:pPr>
        <w:numPr>
          <w:ilvl w:val="0"/>
          <w:numId w:val="5"/>
        </w:numPr>
        <w:rPr>
          <w:rFonts w:eastAsiaTheme="minorEastAsia" w:cstheme="minorHAnsi"/>
          <w:kern w:val="0"/>
          <w:sz w:val="24"/>
          <w:szCs w:val="24"/>
          <w:lang w:eastAsia="en-GB"/>
          <w14:ligatures w14:val="none"/>
        </w:rPr>
      </w:pPr>
      <w:r w:rsidRPr="0018548D">
        <w:rPr>
          <w:rFonts w:eastAsiaTheme="minorEastAsia" w:cstheme="minorHAnsi"/>
          <w:kern w:val="0"/>
          <w:sz w:val="24"/>
          <w:szCs w:val="24"/>
          <w:lang w:eastAsia="en-GB"/>
          <w14:ligatures w14:val="none"/>
        </w:rPr>
        <w:t xml:space="preserve">Flynn TR. Principles and surgical management of odontogenic infections. </w:t>
      </w:r>
      <w:r w:rsidRPr="0018548D">
        <w:rPr>
          <w:rFonts w:eastAsiaTheme="minorEastAsia" w:cstheme="minorHAnsi"/>
          <w:i/>
          <w:iCs/>
          <w:kern w:val="0"/>
          <w:sz w:val="24"/>
          <w:szCs w:val="24"/>
          <w:lang w:eastAsia="en-GB"/>
          <w14:ligatures w14:val="none"/>
        </w:rPr>
        <w:t>Oral Maxillofac Surg Clin North Am</w:t>
      </w:r>
      <w:r w:rsidRPr="0018548D">
        <w:rPr>
          <w:rFonts w:eastAsiaTheme="minorEastAsia" w:cstheme="minorHAnsi"/>
          <w:kern w:val="0"/>
          <w:sz w:val="24"/>
          <w:szCs w:val="24"/>
          <w:lang w:eastAsia="en-GB"/>
          <w14:ligatures w14:val="none"/>
        </w:rPr>
        <w:t>. 2011;23(3):355–368. doi:10.1016/j.coms.2011.04.001</w:t>
      </w:r>
    </w:p>
    <w:p w14:paraId="4FDABD62" w14:textId="77777777" w:rsidR="0018548D" w:rsidRPr="0018548D" w:rsidRDefault="0018548D" w:rsidP="0018548D">
      <w:pPr>
        <w:numPr>
          <w:ilvl w:val="0"/>
          <w:numId w:val="5"/>
        </w:numPr>
        <w:rPr>
          <w:rFonts w:eastAsiaTheme="minorEastAsia" w:cstheme="minorHAnsi"/>
          <w:kern w:val="0"/>
          <w:sz w:val="24"/>
          <w:szCs w:val="24"/>
          <w:lang w:eastAsia="en-GB"/>
          <w14:ligatures w14:val="none"/>
        </w:rPr>
      </w:pPr>
      <w:r w:rsidRPr="0018548D">
        <w:rPr>
          <w:rFonts w:eastAsiaTheme="minorEastAsia" w:cstheme="minorHAnsi"/>
          <w:kern w:val="0"/>
          <w:sz w:val="24"/>
          <w:szCs w:val="24"/>
          <w:lang w:eastAsia="en-GB"/>
          <w14:ligatures w14:val="none"/>
        </w:rPr>
        <w:t xml:space="preserve">Schilling F, Wagner AD, Langer T. Chronic recurrent multifocal osteomyelitis. </w:t>
      </w:r>
      <w:r w:rsidRPr="0018548D">
        <w:rPr>
          <w:rFonts w:eastAsiaTheme="minorEastAsia" w:cstheme="minorHAnsi"/>
          <w:i/>
          <w:iCs/>
          <w:kern w:val="0"/>
          <w:sz w:val="24"/>
          <w:szCs w:val="24"/>
          <w:lang w:eastAsia="en-GB"/>
          <w14:ligatures w14:val="none"/>
        </w:rPr>
        <w:t>Pediatr Radiol</w:t>
      </w:r>
      <w:r w:rsidRPr="0018548D">
        <w:rPr>
          <w:rFonts w:eastAsiaTheme="minorEastAsia" w:cstheme="minorHAnsi"/>
          <w:kern w:val="0"/>
          <w:sz w:val="24"/>
          <w:szCs w:val="24"/>
          <w:lang w:eastAsia="en-GB"/>
          <w14:ligatures w14:val="none"/>
        </w:rPr>
        <w:t>. 1998;28(3):152–159. doi:10.1007/s002470050318</w:t>
      </w:r>
    </w:p>
    <w:p w14:paraId="79CA054C" w14:textId="77777777" w:rsidR="00DC3E09" w:rsidRPr="00B72B0C" w:rsidRDefault="00DC3E09" w:rsidP="00DC3E09">
      <w:pPr>
        <w:rPr>
          <w:rFonts w:cstheme="minorHAnsi"/>
          <w:sz w:val="24"/>
          <w:szCs w:val="24"/>
        </w:rPr>
      </w:pPr>
    </w:p>
    <w:p w14:paraId="563A1CE9" w14:textId="77777777" w:rsidR="00DC3E09" w:rsidRPr="00B72B0C" w:rsidRDefault="00DC3E09" w:rsidP="00DC3E09">
      <w:pPr>
        <w:rPr>
          <w:rFonts w:cstheme="minorHAnsi"/>
          <w:sz w:val="24"/>
          <w:szCs w:val="24"/>
        </w:rPr>
      </w:pPr>
    </w:p>
    <w:p w14:paraId="0E73EA7E" w14:textId="77777777" w:rsidR="00DC3E09" w:rsidRPr="00B72B0C" w:rsidRDefault="00DC3E09" w:rsidP="00DC3E09">
      <w:pPr>
        <w:rPr>
          <w:rFonts w:cstheme="minorHAnsi"/>
          <w:sz w:val="24"/>
          <w:szCs w:val="24"/>
        </w:rPr>
      </w:pPr>
    </w:p>
    <w:p w14:paraId="22C51DED" w14:textId="40EE8AF9" w:rsidR="00A23B02" w:rsidRPr="00F84D48" w:rsidRDefault="00A23B02">
      <w:pPr>
        <w:rPr>
          <w:rFonts w:cstheme="minorHAnsi"/>
          <w:sz w:val="24"/>
          <w:szCs w:val="24"/>
        </w:rPr>
      </w:pPr>
    </w:p>
    <w:sectPr w:rsidR="00A23B02" w:rsidRPr="00F84D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F1526"/>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3044BE"/>
    <w:multiLevelType w:val="multilevel"/>
    <w:tmpl w:val="E490F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86A1B"/>
    <w:multiLevelType w:val="multilevel"/>
    <w:tmpl w:val="A5B8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566814"/>
    <w:multiLevelType w:val="hybridMultilevel"/>
    <w:tmpl w:val="4710B66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15:restartNumberingAfterBreak="0">
    <w:nsid w:val="356230FF"/>
    <w:multiLevelType w:val="multilevel"/>
    <w:tmpl w:val="DC8C9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AwMjQ0NzQ0sTAzNDFX0lEKTi0uzszPAykwqgUA8VY4biwAAAA="/>
  </w:docVars>
  <w:rsids>
    <w:rsidRoot w:val="00181DA0"/>
    <w:rsid w:val="000973AC"/>
    <w:rsid w:val="000A3587"/>
    <w:rsid w:val="000A491D"/>
    <w:rsid w:val="000C389E"/>
    <w:rsid w:val="000D2F7A"/>
    <w:rsid w:val="00143D8D"/>
    <w:rsid w:val="00181DA0"/>
    <w:rsid w:val="0018421A"/>
    <w:rsid w:val="0018548D"/>
    <w:rsid w:val="0019115F"/>
    <w:rsid w:val="00192807"/>
    <w:rsid w:val="001C2C89"/>
    <w:rsid w:val="001D196C"/>
    <w:rsid w:val="001F01C0"/>
    <w:rsid w:val="0020106A"/>
    <w:rsid w:val="002305AB"/>
    <w:rsid w:val="002334F3"/>
    <w:rsid w:val="002336D6"/>
    <w:rsid w:val="002437A3"/>
    <w:rsid w:val="00263AA7"/>
    <w:rsid w:val="002C46F4"/>
    <w:rsid w:val="00344037"/>
    <w:rsid w:val="0036107D"/>
    <w:rsid w:val="0038182F"/>
    <w:rsid w:val="003C4D01"/>
    <w:rsid w:val="0041209E"/>
    <w:rsid w:val="00416A47"/>
    <w:rsid w:val="00422507"/>
    <w:rsid w:val="004262B5"/>
    <w:rsid w:val="004F4CB4"/>
    <w:rsid w:val="0051401F"/>
    <w:rsid w:val="00514FB5"/>
    <w:rsid w:val="005C478E"/>
    <w:rsid w:val="005C646D"/>
    <w:rsid w:val="00682142"/>
    <w:rsid w:val="006874C2"/>
    <w:rsid w:val="007C1617"/>
    <w:rsid w:val="00801FEA"/>
    <w:rsid w:val="00866BDE"/>
    <w:rsid w:val="008C4AB3"/>
    <w:rsid w:val="0091397D"/>
    <w:rsid w:val="00976377"/>
    <w:rsid w:val="00983CA8"/>
    <w:rsid w:val="009C7CD5"/>
    <w:rsid w:val="009D0643"/>
    <w:rsid w:val="00A23B02"/>
    <w:rsid w:val="00A86466"/>
    <w:rsid w:val="00AD4766"/>
    <w:rsid w:val="00B022D6"/>
    <w:rsid w:val="00B06111"/>
    <w:rsid w:val="00B13CB2"/>
    <w:rsid w:val="00B21E9D"/>
    <w:rsid w:val="00B334D2"/>
    <w:rsid w:val="00B760FC"/>
    <w:rsid w:val="00BE6E2D"/>
    <w:rsid w:val="00BF39C7"/>
    <w:rsid w:val="00BF6BC8"/>
    <w:rsid w:val="00C3231B"/>
    <w:rsid w:val="00C50617"/>
    <w:rsid w:val="00C53915"/>
    <w:rsid w:val="00C60C88"/>
    <w:rsid w:val="00CF6C4E"/>
    <w:rsid w:val="00D518CF"/>
    <w:rsid w:val="00DC3E09"/>
    <w:rsid w:val="00DD3785"/>
    <w:rsid w:val="00DF5A50"/>
    <w:rsid w:val="00EA698C"/>
    <w:rsid w:val="00EB13C5"/>
    <w:rsid w:val="00ED7F3D"/>
    <w:rsid w:val="00F0173C"/>
    <w:rsid w:val="00F84D48"/>
    <w:rsid w:val="00FA7307"/>
    <w:rsid w:val="00FB2B5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03FAE"/>
  <w15:chartTrackingRefBased/>
  <w15:docId w15:val="{AD98DC04-175A-4122-BFDF-F516DBD18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1E9D"/>
  </w:style>
  <w:style w:type="paragraph" w:styleId="Heading1">
    <w:name w:val="heading 1"/>
    <w:basedOn w:val="Normal"/>
    <w:next w:val="Normal"/>
    <w:link w:val="Heading1Char"/>
    <w:uiPriority w:val="9"/>
    <w:qFormat/>
    <w:rsid w:val="00181D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1D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1D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1D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1D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1D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D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D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D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D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1D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1D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1D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1D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1D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D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D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DA0"/>
    <w:rPr>
      <w:rFonts w:eastAsiaTheme="majorEastAsia" w:cstheme="majorBidi"/>
      <w:color w:val="272727" w:themeColor="text1" w:themeTint="D8"/>
    </w:rPr>
  </w:style>
  <w:style w:type="paragraph" w:styleId="Title">
    <w:name w:val="Title"/>
    <w:basedOn w:val="Normal"/>
    <w:next w:val="Normal"/>
    <w:link w:val="TitleChar"/>
    <w:uiPriority w:val="10"/>
    <w:qFormat/>
    <w:rsid w:val="00181D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D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D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D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DA0"/>
    <w:pPr>
      <w:spacing w:before="160"/>
      <w:jc w:val="center"/>
    </w:pPr>
    <w:rPr>
      <w:i/>
      <w:iCs/>
      <w:color w:val="404040" w:themeColor="text1" w:themeTint="BF"/>
    </w:rPr>
  </w:style>
  <w:style w:type="character" w:customStyle="1" w:styleId="QuoteChar">
    <w:name w:val="Quote Char"/>
    <w:basedOn w:val="DefaultParagraphFont"/>
    <w:link w:val="Quote"/>
    <w:uiPriority w:val="29"/>
    <w:rsid w:val="00181DA0"/>
    <w:rPr>
      <w:i/>
      <w:iCs/>
      <w:color w:val="404040" w:themeColor="text1" w:themeTint="BF"/>
    </w:rPr>
  </w:style>
  <w:style w:type="paragraph" w:styleId="ListParagraph">
    <w:name w:val="List Paragraph"/>
    <w:basedOn w:val="Normal"/>
    <w:uiPriority w:val="34"/>
    <w:qFormat/>
    <w:rsid w:val="00181DA0"/>
    <w:pPr>
      <w:ind w:left="720"/>
      <w:contextualSpacing/>
    </w:pPr>
  </w:style>
  <w:style w:type="character" w:styleId="IntenseEmphasis">
    <w:name w:val="Intense Emphasis"/>
    <w:basedOn w:val="DefaultParagraphFont"/>
    <w:uiPriority w:val="21"/>
    <w:qFormat/>
    <w:rsid w:val="00181DA0"/>
    <w:rPr>
      <w:i/>
      <w:iCs/>
      <w:color w:val="2F5496" w:themeColor="accent1" w:themeShade="BF"/>
    </w:rPr>
  </w:style>
  <w:style w:type="paragraph" w:styleId="IntenseQuote">
    <w:name w:val="Intense Quote"/>
    <w:basedOn w:val="Normal"/>
    <w:next w:val="Normal"/>
    <w:link w:val="IntenseQuoteChar"/>
    <w:uiPriority w:val="30"/>
    <w:qFormat/>
    <w:rsid w:val="00181D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1DA0"/>
    <w:rPr>
      <w:i/>
      <w:iCs/>
      <w:color w:val="2F5496" w:themeColor="accent1" w:themeShade="BF"/>
    </w:rPr>
  </w:style>
  <w:style w:type="character" w:styleId="IntenseReference">
    <w:name w:val="Intense Reference"/>
    <w:basedOn w:val="DefaultParagraphFont"/>
    <w:uiPriority w:val="32"/>
    <w:qFormat/>
    <w:rsid w:val="00181DA0"/>
    <w:rPr>
      <w:b/>
      <w:bCs/>
      <w:smallCaps/>
      <w:color w:val="2F5496" w:themeColor="accent1" w:themeShade="BF"/>
      <w:spacing w:val="5"/>
    </w:rPr>
  </w:style>
  <w:style w:type="table" w:styleId="TableGrid">
    <w:name w:val="Table Grid"/>
    <w:basedOn w:val="TableNormal"/>
    <w:uiPriority w:val="39"/>
    <w:rsid w:val="00913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7F3D"/>
    <w:rPr>
      <w:color w:val="0563C1" w:themeColor="hyperlink"/>
      <w:u w:val="single"/>
    </w:rPr>
  </w:style>
  <w:style w:type="character" w:customStyle="1" w:styleId="UnresolvedMention1">
    <w:name w:val="Unresolved Mention1"/>
    <w:basedOn w:val="DefaultParagraphFont"/>
    <w:uiPriority w:val="99"/>
    <w:semiHidden/>
    <w:unhideWhenUsed/>
    <w:rsid w:val="00ED7F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589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12</Pages>
  <Words>4251</Words>
  <Characters>24236</Characters>
  <Application>Microsoft Office Word</Application>
  <DocSecurity>0</DocSecurity>
  <Lines>201</Lines>
  <Paragraphs>56</Paragraphs>
  <ScaleCrop>false</ScaleCrop>
  <Company/>
  <LinksUpToDate>false</LinksUpToDate>
  <CharactersWithSpaces>28431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fatima</dc:creator>
  <cp:keywords/>
  <dc:description/>
  <cp:lastModifiedBy>SDI 1020</cp:lastModifiedBy>
  <cp:revision>73</cp:revision>
  <dcterms:created xsi:type="dcterms:W3CDTF">2026-03-13T08:47:00Z</dcterms:created>
  <dcterms:modified xsi:type="dcterms:W3CDTF">2026-03-27T08:21:00Z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094e0ea3-60ac-4e4d-afd7-a2401732a5cf</vt:lpwstr>
  </property>
</Properties>
</file>