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79992" w14:textId="77777777" w:rsidR="00CD1CEC" w:rsidRDefault="00386CF6" w:rsidP="00A85A22">
      <w:pPr>
        <w:pBdr>
          <w:top w:val="nil"/>
          <w:left w:val="nil"/>
          <w:bottom w:val="nil"/>
          <w:right w:val="nil"/>
          <w:between w:val="nil"/>
        </w:pBdr>
        <w:bidi w:val="0"/>
        <w:spacing w:line="480" w:lineRule="auto"/>
        <w:jc w:val="center"/>
        <w:rPr>
          <w:b/>
          <w:bCs/>
          <w:color w:val="000000"/>
          <w:sz w:val="28"/>
          <w:szCs w:val="28"/>
        </w:rPr>
      </w:pPr>
      <w:r>
        <w:rPr>
          <w:b/>
          <w:bCs/>
          <w:color w:val="000000"/>
          <w:sz w:val="28"/>
          <w:szCs w:val="28"/>
        </w:rPr>
        <w:t xml:space="preserve">White Matter Specifications in Different Secondary </w:t>
      </w:r>
      <w:proofErr w:type="spellStart"/>
      <w:r>
        <w:rPr>
          <w:b/>
          <w:bCs/>
          <w:color w:val="000000"/>
          <w:sz w:val="28"/>
          <w:szCs w:val="28"/>
        </w:rPr>
        <w:t>Vasculitic</w:t>
      </w:r>
      <w:proofErr w:type="spellEnd"/>
      <w:r>
        <w:rPr>
          <w:b/>
          <w:bCs/>
          <w:color w:val="000000"/>
          <w:sz w:val="28"/>
          <w:szCs w:val="28"/>
        </w:rPr>
        <w:t xml:space="preserve"> Lesions</w:t>
      </w:r>
    </w:p>
    <w:p w14:paraId="354F5FDF" w14:textId="25DB4EBC"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 xml:space="preserve">Abstract </w:t>
      </w:r>
    </w:p>
    <w:p w14:paraId="411DCE72"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Background:</w:t>
      </w:r>
      <w:r>
        <w:rPr>
          <w:color w:val="000000"/>
        </w:rPr>
        <w:t xml:space="preserve"> Vasculitis is characterized by vessel wall inflammation leading to a beaded appearance of the arteries with variable degrees of stenosis and ectasia. The aim of this work was to clarify a systemic approach to differentiate some secondary </w:t>
      </w:r>
      <w:proofErr w:type="spellStart"/>
      <w:r>
        <w:rPr>
          <w:color w:val="000000"/>
        </w:rPr>
        <w:t>vasculitic</w:t>
      </w:r>
      <w:proofErr w:type="spellEnd"/>
      <w:r>
        <w:rPr>
          <w:color w:val="000000"/>
        </w:rPr>
        <w:t xml:space="preserve"> diseases through their white matter distribution and morphology.</w:t>
      </w:r>
    </w:p>
    <w:p w14:paraId="2F85BC7D"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Methods:</w:t>
      </w:r>
      <w:r>
        <w:rPr>
          <w:color w:val="000000"/>
        </w:rPr>
        <w:t xml:space="preserve"> This cross-sectional prospective study was carried out on 30 systemic vasculitis patients aged 18 years or more,</w:t>
      </w:r>
      <w:r>
        <w:t xml:space="preserve"> of </w:t>
      </w:r>
      <w:r>
        <w:rPr>
          <w:color w:val="000000"/>
        </w:rPr>
        <w:t xml:space="preserve">both sexes. All patients underwent detailed history taking, complete general and neurological examination, laboratory workup, rheumatoid factor when indicated, serological tests for vasculitis [antinuclear, anti–double stranded DNA, anti-Ro, anti–cyclic citrullinated peptide, anticardiolipin, anti-neutrophil cytoplasmic, and lupus anticoagulant </w:t>
      </w:r>
      <w:r>
        <w:t>antibodies</w:t>
      </w:r>
      <w:r>
        <w:rPr>
          <w:color w:val="000000"/>
        </w:rPr>
        <w:t>], brain imaging [Magnetic resonance imaging (MRI) of the brain, with magnetic resonance venography and magnetic resonance angiography].</w:t>
      </w:r>
    </w:p>
    <w:p w14:paraId="389CCF6B"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 xml:space="preserve">Results: </w:t>
      </w:r>
      <w:r>
        <w:rPr>
          <w:color w:val="000000"/>
        </w:rPr>
        <w:t>Total WMH volume showed a moderate negative correlation with disease duration (r = -0.398, P = 0.029), indicating that longer disease duration was associated with slightly lower total WMH burden. Similarly, deep WMH volume was negatively correlated with disease duration (r = -0.393, P = 0.032), and periventricular confluent WMH volume demonstrated the strongest negative correlation (r = -0.480, P = 0.007).</w:t>
      </w:r>
    </w:p>
    <w:p w14:paraId="72CE04B3"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 xml:space="preserve">Conclusions: </w:t>
      </w:r>
      <w:r>
        <w:rPr>
          <w:color w:val="000000"/>
        </w:rPr>
        <w:t xml:space="preserve">MRI findings alone may not be specific enough to distinguish different secondary </w:t>
      </w:r>
      <w:proofErr w:type="spellStart"/>
      <w:r>
        <w:rPr>
          <w:color w:val="000000"/>
        </w:rPr>
        <w:t>vasculitic</w:t>
      </w:r>
      <w:proofErr w:type="spellEnd"/>
      <w:r>
        <w:rPr>
          <w:color w:val="000000"/>
        </w:rPr>
        <w:t xml:space="preserve"> lesions, and further clinical correlation and investigations are often required.</w:t>
      </w:r>
    </w:p>
    <w:p w14:paraId="64973625"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Keywords:</w:t>
      </w:r>
      <w:r>
        <w:rPr>
          <w:color w:val="000000"/>
        </w:rPr>
        <w:t xml:space="preserve"> White Matter Specifications; Secondary </w:t>
      </w:r>
      <w:proofErr w:type="spellStart"/>
      <w:r>
        <w:rPr>
          <w:color w:val="000000"/>
        </w:rPr>
        <w:t>Vasculitic</w:t>
      </w:r>
      <w:proofErr w:type="spellEnd"/>
      <w:r>
        <w:rPr>
          <w:color w:val="000000"/>
        </w:rPr>
        <w:t xml:space="preserve"> Lesions; Systemic Lupus Erythematosus; Rheumatoid Arthritis; Neuro-Behcet’s Disease</w:t>
      </w:r>
    </w:p>
    <w:p w14:paraId="180511AB" w14:textId="77777777" w:rsidR="00CD1CEC" w:rsidRDefault="00386CF6" w:rsidP="00A85A22">
      <w:pPr>
        <w:bidi w:val="0"/>
        <w:rPr>
          <w:b/>
          <w:bCs/>
          <w:color w:val="000000"/>
          <w:sz w:val="28"/>
          <w:szCs w:val="28"/>
          <w:highlight w:val="yellow"/>
        </w:rPr>
      </w:pPr>
      <w:r>
        <w:br w:type="page"/>
      </w:r>
    </w:p>
    <w:p w14:paraId="15839A00" w14:textId="77777777"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lastRenderedPageBreak/>
        <w:t xml:space="preserve">Introduction </w:t>
      </w:r>
    </w:p>
    <w:p w14:paraId="74B7B369" w14:textId="77777777" w:rsidR="00CD1CEC" w:rsidRDefault="00386CF6" w:rsidP="00A85A22">
      <w:pPr>
        <w:pBdr>
          <w:top w:val="nil"/>
          <w:left w:val="nil"/>
          <w:bottom w:val="nil"/>
          <w:right w:val="nil"/>
          <w:between w:val="nil"/>
        </w:pBdr>
        <w:bidi w:val="0"/>
        <w:spacing w:line="480" w:lineRule="auto"/>
        <w:jc w:val="both"/>
        <w:rPr>
          <w:color w:val="000000"/>
        </w:rPr>
      </w:pPr>
      <w:bookmarkStart w:id="0" w:name="_4yy3a55m1hrv" w:colFirst="0" w:colLast="0"/>
      <w:bookmarkEnd w:id="0"/>
      <w:r>
        <w:rPr>
          <w:color w:val="000000"/>
        </w:rPr>
        <w:t xml:space="preserve">Vasculitis is a term used to describe a diverse spectrum of diseases characterized by inflammation of the blood vessels that may progress to ischemic injury of the central nervous system (CNS) resulting in a myriad of focal and generalized neurologic symptoms </w:t>
      </w:r>
      <w:r>
        <w:rPr>
          <w:color w:val="000000"/>
          <w:vertAlign w:val="superscript"/>
        </w:rPr>
        <w:t>[1]</w:t>
      </w:r>
      <w:r>
        <w:rPr>
          <w:color w:val="000000"/>
        </w:rPr>
        <w:t xml:space="preserve">. </w:t>
      </w:r>
    </w:p>
    <w:p w14:paraId="466AB2F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Vasculitis is characterized by vessel wall inflammation leading to a beaded appearance of the arteries with variable degrees of stenosis and ectasia </w:t>
      </w:r>
      <w:r>
        <w:rPr>
          <w:color w:val="000000"/>
          <w:vertAlign w:val="superscript"/>
        </w:rPr>
        <w:t>[2]</w:t>
      </w:r>
      <w:r>
        <w:rPr>
          <w:color w:val="000000"/>
        </w:rPr>
        <w:t xml:space="preserve">.  </w:t>
      </w:r>
    </w:p>
    <w:p w14:paraId="065F7B55"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Within the CNS, the vasculitis may be primary when it is restricted to the CNS, or secondary when it is associated with systemic disorders </w:t>
      </w:r>
      <w:r>
        <w:rPr>
          <w:color w:val="000000"/>
          <w:vertAlign w:val="superscript"/>
        </w:rPr>
        <w:t>[3]</w:t>
      </w:r>
    </w:p>
    <w:p w14:paraId="180B0CB3"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This category includes CNS vasculitis secondary to systemic lupus erythematosus (SLE), rheumatoid arthritis [RA], </w:t>
      </w:r>
      <w:proofErr w:type="gramStart"/>
      <w:r>
        <w:rPr>
          <w:color w:val="000000"/>
        </w:rPr>
        <w:t>and  Behcet’s</w:t>
      </w:r>
      <w:proofErr w:type="gramEnd"/>
      <w:r>
        <w:rPr>
          <w:color w:val="000000"/>
        </w:rPr>
        <w:t xml:space="preserve"> disease </w:t>
      </w:r>
      <w:r>
        <w:rPr>
          <w:color w:val="000000"/>
          <w:vertAlign w:val="superscript"/>
        </w:rPr>
        <w:t>[4]</w:t>
      </w:r>
      <w:r>
        <w:rPr>
          <w:color w:val="000000"/>
        </w:rPr>
        <w:t>.</w:t>
      </w:r>
    </w:p>
    <w:p w14:paraId="7AF2F7EE"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SLE is a multifactorial systemic autoimmune disease caused by loss of tolerance to self-antigens, mainly nuclear antigens (DNA, RNA, and nuclear proteins) </w:t>
      </w:r>
      <w:r>
        <w:rPr>
          <w:color w:val="000000"/>
          <w:vertAlign w:val="superscript"/>
        </w:rPr>
        <w:t>[5]</w:t>
      </w:r>
      <w:r>
        <w:rPr>
          <w:color w:val="000000"/>
        </w:rPr>
        <w:t xml:space="preserve">. </w:t>
      </w:r>
    </w:p>
    <w:p w14:paraId="561E5B8C"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SLE is distinctly more common in women and involves the CNS (neuropsychiatric SLE) in 14–75% of cases. On imaging, sub-cortical and parenchymal white matter lesions are seen in about 60–86% of the patients </w:t>
      </w:r>
      <w:r>
        <w:rPr>
          <w:color w:val="000000"/>
          <w:vertAlign w:val="superscript"/>
        </w:rPr>
        <w:t>[6]</w:t>
      </w:r>
      <w:r>
        <w:rPr>
          <w:color w:val="000000"/>
        </w:rPr>
        <w:t xml:space="preserve">. </w:t>
      </w:r>
    </w:p>
    <w:p w14:paraId="65AAEDE3"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RA is a chronic </w:t>
      </w:r>
      <w:proofErr w:type="gramStart"/>
      <w:r>
        <w:rPr>
          <w:color w:val="000000"/>
        </w:rPr>
        <w:t>disease,  which</w:t>
      </w:r>
      <w:proofErr w:type="gramEnd"/>
      <w:r>
        <w:rPr>
          <w:color w:val="000000"/>
        </w:rPr>
        <w:t xml:space="preserve"> causes activation of proinflammatory pathways, resulting in joint and systemic inflammation </w:t>
      </w:r>
      <w:r>
        <w:rPr>
          <w:color w:val="000000"/>
          <w:vertAlign w:val="superscript"/>
        </w:rPr>
        <w:t>[7]</w:t>
      </w:r>
      <w:r>
        <w:rPr>
          <w:color w:val="000000"/>
        </w:rPr>
        <w:t xml:space="preserve">.  </w:t>
      </w:r>
    </w:p>
    <w:p w14:paraId="69750A1C"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Cerebral vasculitis in RA is rare but may be seen in about 1–8% of patients </w:t>
      </w:r>
      <w:r>
        <w:rPr>
          <w:color w:val="000000"/>
          <w:vertAlign w:val="superscript"/>
        </w:rPr>
        <w:t>[8]</w:t>
      </w:r>
      <w:r>
        <w:rPr>
          <w:color w:val="000000"/>
        </w:rPr>
        <w:t xml:space="preserve">. </w:t>
      </w:r>
    </w:p>
    <w:p w14:paraId="4A11BC8C"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highlight w:val="white"/>
        </w:rPr>
        <w:t>CNS</w:t>
      </w:r>
      <w:r>
        <w:rPr>
          <w:color w:val="000000"/>
        </w:rPr>
        <w:t xml:space="preserve"> involvement in neuro-Behcet’s disease (NBD) can be divided into two main categories: parenchymal involvement including brainstem, </w:t>
      </w:r>
      <w:proofErr w:type="spellStart"/>
      <w:r>
        <w:rPr>
          <w:color w:val="000000"/>
        </w:rPr>
        <w:t>hemisphe</w:t>
      </w:r>
      <w:r>
        <w:t>ricsl</w:t>
      </w:r>
      <w:proofErr w:type="spellEnd"/>
      <w:r>
        <w:t>,</w:t>
      </w:r>
      <w:r>
        <w:rPr>
          <w:color w:val="000000"/>
        </w:rPr>
        <w:t xml:space="preserve"> spinal, and </w:t>
      </w:r>
      <w:proofErr w:type="spellStart"/>
      <w:r>
        <w:rPr>
          <w:color w:val="000000"/>
        </w:rPr>
        <w:t>meningoencephalitic</w:t>
      </w:r>
      <w:proofErr w:type="spellEnd"/>
      <w:r>
        <w:rPr>
          <w:color w:val="000000"/>
        </w:rPr>
        <w:t xml:space="preserve"> presentations; and non-parenchymal involvement </w:t>
      </w:r>
      <w:r>
        <w:rPr>
          <w:color w:val="000000"/>
          <w:vertAlign w:val="superscript"/>
        </w:rPr>
        <w:t>[9]</w:t>
      </w:r>
      <w:r>
        <w:rPr>
          <w:color w:val="000000"/>
        </w:rPr>
        <w:t xml:space="preserve">.  </w:t>
      </w:r>
    </w:p>
    <w:p w14:paraId="257B21AD"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The diagnosis of central nervous vasculitis is a challenge for clinicians</w:t>
      </w:r>
      <w:r>
        <w:t>;</w:t>
      </w:r>
      <w:r>
        <w:rPr>
          <w:color w:val="000000"/>
        </w:rPr>
        <w:t xml:space="preserve"> the most sensitive </w:t>
      </w:r>
      <w:proofErr w:type="spellStart"/>
      <w:r>
        <w:rPr>
          <w:color w:val="000000"/>
        </w:rPr>
        <w:t>noninvasive</w:t>
      </w:r>
      <w:proofErr w:type="spellEnd"/>
      <w:r>
        <w:rPr>
          <w:color w:val="000000"/>
        </w:rPr>
        <w:t xml:space="preserve"> imag</w:t>
      </w:r>
      <w:r>
        <w:t>ing</w:t>
      </w:r>
      <w:r>
        <w:rPr>
          <w:color w:val="000000"/>
        </w:rPr>
        <w:t xml:space="preserve"> study for cerebral vasculitis is magnetic resonance imaging [MRI] and there were </w:t>
      </w:r>
      <w:r>
        <w:t>few</w:t>
      </w:r>
      <w:r>
        <w:rPr>
          <w:color w:val="000000"/>
        </w:rPr>
        <w:t xml:space="preserve"> studies done on the role of brain MRI</w:t>
      </w:r>
      <w:r>
        <w:t xml:space="preserve"> </w:t>
      </w:r>
      <w:r>
        <w:rPr>
          <w:color w:val="000000"/>
        </w:rPr>
        <w:t xml:space="preserve">to clarify white matter changes in different secondary </w:t>
      </w:r>
      <w:proofErr w:type="spellStart"/>
      <w:r>
        <w:rPr>
          <w:color w:val="000000"/>
        </w:rPr>
        <w:t>vasculitic</w:t>
      </w:r>
      <w:proofErr w:type="spellEnd"/>
      <w:r>
        <w:rPr>
          <w:color w:val="000000"/>
        </w:rPr>
        <w:t xml:space="preserve"> lesions </w:t>
      </w:r>
      <w:r>
        <w:rPr>
          <w:color w:val="000000"/>
          <w:vertAlign w:val="superscript"/>
        </w:rPr>
        <w:t>[10]</w:t>
      </w:r>
      <w:r>
        <w:rPr>
          <w:color w:val="000000"/>
        </w:rPr>
        <w:t>.</w:t>
      </w:r>
    </w:p>
    <w:p w14:paraId="7FC7A304"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White matter abnormalities are increasingly recognized as a significant component of </w:t>
      </w:r>
      <w:r>
        <w:rPr>
          <w:color w:val="000000"/>
          <w:highlight w:val="white"/>
        </w:rPr>
        <w:t>CNS</w:t>
      </w:r>
      <w:r>
        <w:rPr>
          <w:color w:val="000000"/>
        </w:rPr>
        <w:t xml:space="preserve"> involvement in systemic inflammatory diseases. In conditions such as SL, Behçet’s disease, and RA, secondary </w:t>
      </w:r>
      <w:proofErr w:type="spellStart"/>
      <w:r>
        <w:rPr>
          <w:color w:val="000000"/>
        </w:rPr>
        <w:t>vasculitic</w:t>
      </w:r>
      <w:proofErr w:type="spellEnd"/>
      <w:r>
        <w:rPr>
          <w:color w:val="000000"/>
        </w:rPr>
        <w:t xml:space="preserve"> processes can lead to structural and functional alterations in the brain, particularly affecting the white matter {Nystedt, 2018 #1062}.</w:t>
      </w:r>
    </w:p>
    <w:p w14:paraId="28C5C0FF"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The similarity of image manifestations requires careful screening and early judgement by clinicians, which is </w:t>
      </w:r>
      <w:r>
        <w:t>crucial</w:t>
      </w:r>
      <w:r>
        <w:rPr>
          <w:color w:val="000000"/>
        </w:rPr>
        <w:t xml:space="preserve"> to early treatment and long-term management of patients </w:t>
      </w:r>
      <w:r>
        <w:rPr>
          <w:color w:val="000000"/>
          <w:vertAlign w:val="superscript"/>
        </w:rPr>
        <w:t>[11]</w:t>
      </w:r>
      <w:r>
        <w:rPr>
          <w:color w:val="000000"/>
        </w:rPr>
        <w:t>.</w:t>
      </w:r>
    </w:p>
    <w:p w14:paraId="4589C9E2" w14:textId="77777777" w:rsidR="00CD1CEC" w:rsidRDefault="00386CF6" w:rsidP="00A85A22">
      <w:pPr>
        <w:pBdr>
          <w:top w:val="nil"/>
          <w:left w:val="nil"/>
          <w:bottom w:val="nil"/>
          <w:right w:val="nil"/>
          <w:between w:val="nil"/>
        </w:pBdr>
        <w:bidi w:val="0"/>
        <w:spacing w:line="480" w:lineRule="auto"/>
        <w:jc w:val="both"/>
        <w:rPr>
          <w:color w:val="000000"/>
          <w:highlight w:val="yellow"/>
        </w:rPr>
      </w:pPr>
      <w:r>
        <w:rPr>
          <w:color w:val="000000"/>
          <w:highlight w:val="white"/>
        </w:rPr>
        <w:t xml:space="preserve">The aim of this work was to clarify a systemic approach to differentiate some secondary </w:t>
      </w:r>
      <w:proofErr w:type="spellStart"/>
      <w:r>
        <w:rPr>
          <w:color w:val="000000"/>
          <w:highlight w:val="white"/>
        </w:rPr>
        <w:t>vasculitic</w:t>
      </w:r>
      <w:proofErr w:type="spellEnd"/>
      <w:r>
        <w:rPr>
          <w:color w:val="000000"/>
          <w:highlight w:val="white"/>
        </w:rPr>
        <w:t xml:space="preserve"> diseases through their white matter distribution and morphology.</w:t>
      </w:r>
      <w:r>
        <w:rPr>
          <w:color w:val="000000"/>
          <w:highlight w:val="yellow"/>
        </w:rPr>
        <w:t xml:space="preserve"> </w:t>
      </w:r>
    </w:p>
    <w:p w14:paraId="5212B55F" w14:textId="77777777"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Patients and Methods</w:t>
      </w:r>
    </w:p>
    <w:p w14:paraId="32C4E849"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This cross-sectional prospective study was carried out on 30 systemic vasculitis patients aged 18 years or more, </w:t>
      </w:r>
      <w:r>
        <w:t xml:space="preserve">of </w:t>
      </w:r>
      <w:r>
        <w:rPr>
          <w:color w:val="000000"/>
        </w:rPr>
        <w:t>both sexes.</w:t>
      </w:r>
    </w:p>
    <w:p w14:paraId="47100C24" w14:textId="5F892579" w:rsidR="00CD1CEC" w:rsidRPr="00A85A22" w:rsidRDefault="00386CF6" w:rsidP="00A85A22">
      <w:pPr>
        <w:pBdr>
          <w:top w:val="nil"/>
          <w:left w:val="nil"/>
          <w:bottom w:val="nil"/>
          <w:right w:val="nil"/>
          <w:between w:val="nil"/>
        </w:pBdr>
        <w:bidi w:val="0"/>
        <w:spacing w:line="480" w:lineRule="auto"/>
        <w:jc w:val="both"/>
        <w:rPr>
          <w:color w:val="000000"/>
        </w:rPr>
      </w:pPr>
      <w:r>
        <w:rPr>
          <w:color w:val="000000"/>
        </w:rPr>
        <w:t xml:space="preserve">An informed written consent was obtained from all the patients. </w:t>
      </w:r>
      <w:r w:rsidRPr="00A85A22">
        <w:rPr>
          <w:color w:val="000000"/>
        </w:rPr>
        <w:t>The study was done after approval from the Research Ethical Committee. It was carried out in t</w:t>
      </w:r>
      <w:r w:rsidRPr="00A85A22">
        <w:t>he</w:t>
      </w:r>
      <w:r w:rsidRPr="00A85A22">
        <w:rPr>
          <w:color w:val="000000"/>
        </w:rPr>
        <w:t xml:space="preserve"> Department of Neurology and </w:t>
      </w:r>
      <w:r w:rsidRPr="00A85A22">
        <w:t>P</w:t>
      </w:r>
      <w:r w:rsidRPr="00A85A22">
        <w:rPr>
          <w:color w:val="000000"/>
        </w:rPr>
        <w:t xml:space="preserve">sychiatry and </w:t>
      </w:r>
      <w:proofErr w:type="spellStart"/>
      <w:r w:rsidRPr="00A85A22">
        <w:rPr>
          <w:color w:val="000000"/>
        </w:rPr>
        <w:t>Center</w:t>
      </w:r>
      <w:proofErr w:type="spellEnd"/>
      <w:r w:rsidRPr="00A85A22">
        <w:rPr>
          <w:color w:val="000000"/>
        </w:rPr>
        <w:t xml:space="preserve"> of Psychiatry, Neurology and Neurosurgery, and the Internal Medicine Department, Tanta University Hospitals during the duration from June 2024 until June 2025.</w:t>
      </w:r>
    </w:p>
    <w:p w14:paraId="4DAE8FD4" w14:textId="77777777" w:rsidR="00CD1CEC" w:rsidRPr="00A85A22" w:rsidRDefault="00386CF6" w:rsidP="00A85A22">
      <w:pPr>
        <w:pBdr>
          <w:top w:val="nil"/>
          <w:left w:val="nil"/>
          <w:bottom w:val="nil"/>
          <w:right w:val="nil"/>
          <w:between w:val="nil"/>
        </w:pBdr>
        <w:bidi w:val="0"/>
        <w:spacing w:line="480" w:lineRule="auto"/>
        <w:jc w:val="both"/>
        <w:rPr>
          <w:color w:val="000000"/>
        </w:rPr>
      </w:pPr>
      <w:r w:rsidRPr="00A85A22">
        <w:rPr>
          <w:color w:val="000000"/>
        </w:rPr>
        <w:t>Exclusion criteria were patients below the age of 18 years, and</w:t>
      </w:r>
      <w:r w:rsidRPr="00A85A22">
        <w:t xml:space="preserve"> </w:t>
      </w:r>
      <w:r w:rsidRPr="00A85A22">
        <w:rPr>
          <w:color w:val="000000"/>
        </w:rPr>
        <w:t xml:space="preserve">patients with primary CNS vasculitis, </w:t>
      </w:r>
      <w:r w:rsidRPr="00A85A22">
        <w:t>i</w:t>
      </w:r>
      <w:r w:rsidRPr="00A85A22">
        <w:rPr>
          <w:color w:val="000000"/>
        </w:rPr>
        <w:t xml:space="preserve">diopathic demyelinating disorders, </w:t>
      </w:r>
      <w:r w:rsidRPr="00A85A22">
        <w:t>or</w:t>
      </w:r>
      <w:r w:rsidRPr="00A85A22">
        <w:rPr>
          <w:color w:val="000000"/>
        </w:rPr>
        <w:t xml:space="preserve"> small artery disease.</w:t>
      </w:r>
    </w:p>
    <w:p w14:paraId="3CD08E2F" w14:textId="77777777" w:rsidR="00CD1CEC" w:rsidRPr="00A85A22" w:rsidRDefault="00386CF6" w:rsidP="00A85A22">
      <w:pPr>
        <w:pBdr>
          <w:top w:val="nil"/>
          <w:left w:val="nil"/>
          <w:bottom w:val="nil"/>
          <w:right w:val="nil"/>
          <w:between w:val="nil"/>
        </w:pBdr>
        <w:bidi w:val="0"/>
        <w:spacing w:line="480" w:lineRule="auto"/>
        <w:jc w:val="both"/>
        <w:rPr>
          <w:color w:val="000000"/>
        </w:rPr>
      </w:pPr>
      <w:r w:rsidRPr="00A85A22">
        <w:rPr>
          <w:color w:val="000000"/>
        </w:rPr>
        <w:t xml:space="preserve">All patients were subjected to the following: a full history taking, including demographics (age, gender, occupation, marital status, and special habits) and a detailed presenting complaint with description of neurological symptoms (Headache, visual disturbances, weakness, sensory changes, and cognitive impairment), their onset, duration, progression, and impact on daily life. Past medical history was obtained with emphasis on the diagnosis and details of the underlying secondary systemic vasculitis disease (e.g., SLE, RA, Behcet's disease), as well as other associated medical conditions such as hypertension, diabetes, cardiovascular disease, and other autoimmune disorders. Family history of autoimmune diseases, vasculitis, or neurological disorders among first-degree relatives was recorded, in addition to a social history covering residence, occupation, lifestyle factors (smoking, alcohol consumption, drug use), and the patient’s support system. </w:t>
      </w:r>
    </w:p>
    <w:p w14:paraId="27EB7692" w14:textId="77777777" w:rsidR="00CD1CEC" w:rsidRPr="00A85A22" w:rsidRDefault="00386CF6" w:rsidP="00A85A22">
      <w:pPr>
        <w:pBdr>
          <w:top w:val="nil"/>
          <w:left w:val="nil"/>
          <w:bottom w:val="nil"/>
          <w:right w:val="nil"/>
          <w:between w:val="nil"/>
        </w:pBdr>
        <w:bidi w:val="0"/>
        <w:spacing w:line="480" w:lineRule="auto"/>
        <w:jc w:val="both"/>
        <w:rPr>
          <w:color w:val="000000"/>
        </w:rPr>
      </w:pPr>
      <w:r w:rsidRPr="00A85A22">
        <w:rPr>
          <w:color w:val="000000"/>
        </w:rPr>
        <w:t>All patients underwent a detailed general examination and a complete neurological examination. Laboratory investigations included routine tests such as random blood sugar, fasting glucose, HbA1c, complete blood count, INR, PTT, kidney function tests, liver function tests, rheumatoid factor in patients with RA, ESR, CRP, and lipid profile (cholesterol, LDL, HDL, triglycerides). Additional investigations for hypercoagulability and vasculitis were performed when indicated, including antinuclear</w:t>
      </w:r>
      <w:r w:rsidRPr="00A85A22">
        <w:t xml:space="preserve"> </w:t>
      </w:r>
      <w:r w:rsidRPr="00A85A22">
        <w:rPr>
          <w:color w:val="000000"/>
        </w:rPr>
        <w:t>(ANA), anticardiolipin antibodies (AC), lupus anticoagulant (LA), antineutrophil cytoplasmic</w:t>
      </w:r>
      <w:r w:rsidRPr="00A85A22">
        <w:t xml:space="preserve"> </w:t>
      </w:r>
      <w:r w:rsidRPr="00A85A22">
        <w:rPr>
          <w:color w:val="000000"/>
        </w:rPr>
        <w:t>(ANCA), anti–double stranded DNA (anti–dsDNA), anti–cyclic citrullinated peptide (anti-CCP), and anti-Ro autoantibodies. Imaging studies included MRI of the brain, with MR venography (MRV) and MR angiography (MRA) performed when indicated.</w:t>
      </w:r>
    </w:p>
    <w:p w14:paraId="0F307C2F" w14:textId="77777777" w:rsidR="00CD1CEC" w:rsidRDefault="00386CF6" w:rsidP="00A85A22">
      <w:pPr>
        <w:pBdr>
          <w:top w:val="nil"/>
          <w:left w:val="nil"/>
          <w:bottom w:val="nil"/>
          <w:right w:val="nil"/>
          <w:between w:val="nil"/>
        </w:pBdr>
        <w:bidi w:val="0"/>
        <w:spacing w:line="480" w:lineRule="auto"/>
        <w:jc w:val="both"/>
        <w:rPr>
          <w:b/>
          <w:bCs/>
          <w:color w:val="000000"/>
        </w:rPr>
      </w:pPr>
      <w:r w:rsidRPr="00A85A22">
        <w:rPr>
          <w:b/>
          <w:bCs/>
          <w:color w:val="000000"/>
        </w:rPr>
        <w:t>MRI protocol:</w:t>
      </w:r>
    </w:p>
    <w:p w14:paraId="5218D2F1"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Brain MRI was performed on a 1.5 Tesla scanner using a standardized protocol. Imaging sequences included the following sequences;</w:t>
      </w:r>
      <w:r>
        <w:t xml:space="preserve"> </w:t>
      </w:r>
      <w:r>
        <w:rPr>
          <w:color w:val="000000"/>
        </w:rPr>
        <w:t xml:space="preserve">T1-weighted imaging (T1WI); axial, sagittal, and coronal views were acquired pre-contrast to assess structural anatomy and chronic lesions, T2-weighted imaging (T2WI) was performed where axial sequences provided sensitivity to parenchymal abnormalities, including </w:t>
      </w:r>
      <w:proofErr w:type="spellStart"/>
      <w:r>
        <w:rPr>
          <w:color w:val="000000"/>
        </w:rPr>
        <w:t>edema</w:t>
      </w:r>
      <w:proofErr w:type="spellEnd"/>
      <w:r>
        <w:rPr>
          <w:color w:val="000000"/>
        </w:rPr>
        <w:t xml:space="preserve"> and chronic white matter changes, fluid-attenuated inversion recovery (FLAIR); the axial FLAIR was used to suppress cerebrospinal fluid (CSF) signal and enhance the detection of white matter hyperintensities (WMHs), particularly in periventricular and subcortical regions</w:t>
      </w:r>
      <w:r>
        <w:t>, d</w:t>
      </w:r>
      <w:r>
        <w:rPr>
          <w:color w:val="000000"/>
        </w:rPr>
        <w:t>iffusion-weighted imaging (DWI)</w:t>
      </w:r>
      <w:r>
        <w:t xml:space="preserve"> </w:t>
      </w:r>
      <w:r>
        <w:rPr>
          <w:color w:val="000000"/>
        </w:rPr>
        <w:t xml:space="preserve">was conducted to identify acute ischemic changes and differentiate cytotoxic </w:t>
      </w:r>
      <w:proofErr w:type="spellStart"/>
      <w:r>
        <w:rPr>
          <w:color w:val="000000"/>
        </w:rPr>
        <w:t>edema</w:t>
      </w:r>
      <w:proofErr w:type="spellEnd"/>
      <w:r>
        <w:rPr>
          <w:color w:val="000000"/>
        </w:rPr>
        <w:t xml:space="preserve"> from vasogenic </w:t>
      </w:r>
      <w:proofErr w:type="spellStart"/>
      <w:r>
        <w:rPr>
          <w:color w:val="000000"/>
        </w:rPr>
        <w:t>edema</w:t>
      </w:r>
      <w:proofErr w:type="spellEnd"/>
      <w:r>
        <w:t>, a</w:t>
      </w:r>
      <w:r>
        <w:rPr>
          <w:color w:val="000000"/>
        </w:rPr>
        <w:t>pparent diffusion coefficient (ADC) maps</w:t>
      </w:r>
      <w:r>
        <w:t xml:space="preserve"> </w:t>
      </w:r>
      <w:r>
        <w:rPr>
          <w:color w:val="000000"/>
        </w:rPr>
        <w:t xml:space="preserve">which are complementary to DWI for quantifying diffusion restriction. </w:t>
      </w:r>
    </w:p>
    <w:p w14:paraId="1D61466A"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Image analysis:</w:t>
      </w:r>
    </w:p>
    <w:p w14:paraId="37D70256"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White matter lesions were assessed for:</w:t>
      </w:r>
    </w:p>
    <w:p w14:paraId="4E816F10"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t>Distribution: Periventricular, deep, juxtacortical, and infratentorial regions.</w:t>
      </w:r>
    </w:p>
    <w:p w14:paraId="568EA023"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t>Morphology: Confluent vs. punctate lesions.</w:t>
      </w:r>
    </w:p>
    <w:p w14:paraId="38A24B10"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t>Signal characteristics: Hyperintensity on FLAIR and T2, with or without contrast enhancement.</w:t>
      </w:r>
    </w:p>
    <w:p w14:paraId="45267150"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t xml:space="preserve">Additional findings: Cortical or leptomeningeal enhancement, infarcts, </w:t>
      </w:r>
      <w:proofErr w:type="spellStart"/>
      <w:r>
        <w:rPr>
          <w:color w:val="000000"/>
        </w:rPr>
        <w:t>hemorrhages</w:t>
      </w:r>
      <w:proofErr w:type="spellEnd"/>
      <w:r>
        <w:rPr>
          <w:color w:val="000000"/>
        </w:rPr>
        <w:t>, or diffusion abnormalities were documented.</w:t>
      </w:r>
    </w:p>
    <w:p w14:paraId="6ED5F55B" w14:textId="77777777" w:rsidR="00CD1CEC" w:rsidRDefault="00386CF6" w:rsidP="00A85A22">
      <w:pPr>
        <w:numPr>
          <w:ilvl w:val="0"/>
          <w:numId w:val="2"/>
        </w:numPr>
        <w:pBdr>
          <w:top w:val="nil"/>
          <w:left w:val="nil"/>
          <w:bottom w:val="nil"/>
          <w:right w:val="nil"/>
          <w:between w:val="nil"/>
        </w:pBdr>
        <w:bidi w:val="0"/>
        <w:spacing w:line="480" w:lineRule="auto"/>
        <w:ind w:left="630"/>
        <w:jc w:val="both"/>
        <w:rPr>
          <w:color w:val="000000"/>
        </w:rPr>
      </w:pPr>
      <w:r>
        <w:rPr>
          <w:color w:val="000000"/>
        </w:rPr>
        <w:t xml:space="preserve">Lesions suspicious for vasculitis were identified based on multifocal, asymmetric involvement of white matter, often extending to </w:t>
      </w:r>
      <w:proofErr w:type="spellStart"/>
      <w:r>
        <w:rPr>
          <w:color w:val="000000"/>
        </w:rPr>
        <w:t>gray</w:t>
      </w:r>
      <w:proofErr w:type="spellEnd"/>
      <w:r>
        <w:rPr>
          <w:color w:val="000000"/>
        </w:rPr>
        <w:t xml:space="preserve">-white junctions and associated with other signs such as enhancement or diffusion restriction. The presence of microinfarcts or </w:t>
      </w:r>
      <w:proofErr w:type="spellStart"/>
      <w:r>
        <w:rPr>
          <w:color w:val="000000"/>
        </w:rPr>
        <w:t>microhemorrhages</w:t>
      </w:r>
      <w:proofErr w:type="spellEnd"/>
      <w:r>
        <w:rPr>
          <w:color w:val="000000"/>
        </w:rPr>
        <w:t xml:space="preserve"> further supported a vasculitis process.</w:t>
      </w:r>
    </w:p>
    <w:p w14:paraId="2132A876"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Quantitative analysis of WMH volume in CNS vasculitis was </w:t>
      </w:r>
      <w:proofErr w:type="spellStart"/>
      <w:r>
        <w:rPr>
          <w:color w:val="000000"/>
        </w:rPr>
        <w:t>pergormed</w:t>
      </w:r>
      <w:proofErr w:type="spellEnd"/>
      <w:r>
        <w:rPr>
          <w:color w:val="000000"/>
        </w:rPr>
        <w:t>,</w:t>
      </w:r>
      <w:r>
        <w:t xml:space="preserve"> using</w:t>
      </w:r>
      <w:r>
        <w:rPr>
          <w:color w:val="000000"/>
        </w:rPr>
        <w:t xml:space="preserve"> software tools </w:t>
      </w:r>
      <w:r>
        <w:t>to al</w:t>
      </w:r>
      <w:r>
        <w:rPr>
          <w:color w:val="000000"/>
        </w:rPr>
        <w:t xml:space="preserve">low for segmentation, volumetric measurement of white matter hyperintensities (WMHs), primarily from FLAIR and T1-weighted MRI images. </w:t>
      </w:r>
      <w:r>
        <w:rPr>
          <w:b/>
          <w:bCs/>
          <w:color w:val="000000"/>
        </w:rPr>
        <w:t>(see appendix)</w:t>
      </w:r>
    </w:p>
    <w:p w14:paraId="2F7568D8"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Shape measurement of white matter lesions in secondary vasculitis:</w:t>
      </w:r>
    </w:p>
    <w:p w14:paraId="4644063A" w14:textId="77777777" w:rsidR="00CD1CEC" w:rsidRDefault="00386CF6" w:rsidP="00A85A22">
      <w:pPr>
        <w:pBdr>
          <w:top w:val="nil"/>
          <w:left w:val="nil"/>
          <w:bottom w:val="nil"/>
          <w:right w:val="nil"/>
          <w:between w:val="nil"/>
        </w:pBdr>
        <w:bidi w:val="0"/>
        <w:spacing w:line="480" w:lineRule="auto"/>
        <w:jc w:val="both"/>
        <w:rPr>
          <w:b/>
          <w:bCs/>
          <w:color w:val="000000"/>
          <w:lang w:val="en-US"/>
        </w:rPr>
      </w:pPr>
      <w:r>
        <w:rPr>
          <w:color w:val="000000"/>
        </w:rPr>
        <w:t xml:space="preserve">In secondary </w:t>
      </w:r>
      <w:r>
        <w:rPr>
          <w:color w:val="000000"/>
          <w:highlight w:val="white"/>
        </w:rPr>
        <w:t>CNS</w:t>
      </w:r>
      <w:r>
        <w:rPr>
          <w:color w:val="000000"/>
        </w:rPr>
        <w:t xml:space="preserve"> vasculitis, there is no single standardized universal scale for assessing the shape of white matter lesions (WMLs) or white matter hyperintensities (WMHs). However, quantitative morphometric parameters are commonly used to describe WMH shape, especially in research. These parameters provide insight into lesion complexity, irregularity, and likely pathophysiological </w:t>
      </w:r>
      <w:r>
        <w:rPr>
          <w:b/>
          <w:bCs/>
          <w:color w:val="000000"/>
        </w:rPr>
        <w:t xml:space="preserve">processes </w:t>
      </w:r>
      <w:r>
        <w:rPr>
          <w:b/>
          <w:bCs/>
          <w:color w:val="000000"/>
          <w:vertAlign w:val="superscript"/>
        </w:rPr>
        <w:t>[12]</w:t>
      </w:r>
      <w:r>
        <w:rPr>
          <w:b/>
          <w:bCs/>
          <w:color w:val="000000"/>
        </w:rPr>
        <w:t>.</w:t>
      </w:r>
      <w:r>
        <w:rPr>
          <w:color w:val="000000"/>
        </w:rPr>
        <w:t xml:space="preserve"> </w:t>
      </w:r>
      <w:r>
        <w:rPr>
          <w:b/>
          <w:bCs/>
          <w:color w:val="000000"/>
        </w:rPr>
        <w:t>Table 1</w:t>
      </w:r>
    </w:p>
    <w:p w14:paraId="24312D38" w14:textId="77777777" w:rsidR="00193DD8" w:rsidRPr="00193DD8" w:rsidRDefault="00193DD8" w:rsidP="00A85A22">
      <w:pPr>
        <w:pBdr>
          <w:top w:val="nil"/>
          <w:left w:val="nil"/>
          <w:bottom w:val="nil"/>
          <w:right w:val="nil"/>
          <w:between w:val="nil"/>
        </w:pBdr>
        <w:bidi w:val="0"/>
        <w:spacing w:line="480" w:lineRule="auto"/>
        <w:jc w:val="both"/>
        <w:rPr>
          <w:color w:val="000000"/>
          <w:lang w:val="en-US"/>
        </w:rPr>
      </w:pPr>
    </w:p>
    <w:p w14:paraId="3AAFBE28" w14:textId="77777777" w:rsidR="00CD1CEC" w:rsidRDefault="00386CF6" w:rsidP="00A85A22">
      <w:pPr>
        <w:keepNext/>
        <w:pBdr>
          <w:top w:val="nil"/>
          <w:left w:val="nil"/>
          <w:bottom w:val="nil"/>
          <w:right w:val="nil"/>
          <w:between w:val="nil"/>
        </w:pBdr>
        <w:bidi w:val="0"/>
        <w:spacing w:after="200"/>
        <w:jc w:val="both"/>
        <w:rPr>
          <w:b/>
          <w:bCs/>
          <w:color w:val="000000"/>
        </w:rPr>
      </w:pPr>
      <w:bookmarkStart w:id="1" w:name="_7v2cvoqnelbn" w:colFirst="0" w:colLast="0"/>
      <w:bookmarkEnd w:id="1"/>
      <w:r>
        <w:rPr>
          <w:b/>
          <w:bCs/>
          <w:color w:val="000000"/>
        </w:rPr>
        <w:t>Table 1: Shape measurement of white matter lesions in secondary vasculitis:</w:t>
      </w:r>
    </w:p>
    <w:tbl>
      <w:tblPr>
        <w:tblStyle w:val="a"/>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87"/>
      </w:tblGrid>
      <w:tr w:rsidR="00CD1CEC" w14:paraId="7EFACE58" w14:textId="77777777">
        <w:trPr>
          <w:trHeight w:val="397"/>
        </w:trPr>
        <w:tc>
          <w:tcPr>
            <w:tcW w:w="2830" w:type="dxa"/>
            <w:vAlign w:val="center"/>
          </w:tcPr>
          <w:p w14:paraId="031ECB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Shape Parameter</w:t>
            </w:r>
          </w:p>
        </w:tc>
        <w:tc>
          <w:tcPr>
            <w:tcW w:w="6187" w:type="dxa"/>
            <w:vAlign w:val="center"/>
          </w:tcPr>
          <w:p w14:paraId="4F68B52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Meaning / Use</w:t>
            </w:r>
          </w:p>
        </w:tc>
      </w:tr>
      <w:tr w:rsidR="00CD1CEC" w14:paraId="5063EE52" w14:textId="77777777">
        <w:trPr>
          <w:trHeight w:val="397"/>
        </w:trPr>
        <w:tc>
          <w:tcPr>
            <w:tcW w:w="2830" w:type="dxa"/>
            <w:vAlign w:val="center"/>
          </w:tcPr>
          <w:p w14:paraId="76CAFEC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Solidity</w:t>
            </w:r>
          </w:p>
        </w:tc>
        <w:tc>
          <w:tcPr>
            <w:tcW w:w="6187" w:type="dxa"/>
            <w:vAlign w:val="center"/>
          </w:tcPr>
          <w:p w14:paraId="649C0475"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Ratio of WMH area to its convex hull. Lower values suggest more irregular borders.</w:t>
            </w:r>
          </w:p>
        </w:tc>
      </w:tr>
      <w:tr w:rsidR="00CD1CEC" w14:paraId="51816C34" w14:textId="77777777">
        <w:trPr>
          <w:trHeight w:val="397"/>
        </w:trPr>
        <w:tc>
          <w:tcPr>
            <w:tcW w:w="2830" w:type="dxa"/>
            <w:vAlign w:val="center"/>
          </w:tcPr>
          <w:p w14:paraId="24BA964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Convexity</w:t>
            </w:r>
          </w:p>
        </w:tc>
        <w:tc>
          <w:tcPr>
            <w:tcW w:w="6187" w:type="dxa"/>
            <w:vAlign w:val="center"/>
          </w:tcPr>
          <w:p w14:paraId="25232CFB"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Describes how convex the lesion is. Higher convexity = smoother, rounder shape.</w:t>
            </w:r>
          </w:p>
        </w:tc>
      </w:tr>
      <w:tr w:rsidR="00CD1CEC" w14:paraId="7962A86A" w14:textId="77777777">
        <w:trPr>
          <w:trHeight w:val="397"/>
        </w:trPr>
        <w:tc>
          <w:tcPr>
            <w:tcW w:w="2830" w:type="dxa"/>
            <w:vAlign w:val="center"/>
          </w:tcPr>
          <w:p w14:paraId="6D20EA9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Fractal dimension (FD)</w:t>
            </w:r>
          </w:p>
        </w:tc>
        <w:tc>
          <w:tcPr>
            <w:tcW w:w="6187" w:type="dxa"/>
            <w:vAlign w:val="center"/>
          </w:tcPr>
          <w:p w14:paraId="22D5A689"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Measures complexity of shape. Higher FD = more irregular and complex border.</w:t>
            </w:r>
          </w:p>
        </w:tc>
      </w:tr>
      <w:tr w:rsidR="00CD1CEC" w14:paraId="1F4835ED" w14:textId="77777777">
        <w:trPr>
          <w:trHeight w:val="397"/>
        </w:trPr>
        <w:tc>
          <w:tcPr>
            <w:tcW w:w="2830" w:type="dxa"/>
            <w:vAlign w:val="center"/>
          </w:tcPr>
          <w:p w14:paraId="58E3D1C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Elongation/ Eccentricity</w:t>
            </w:r>
          </w:p>
        </w:tc>
        <w:tc>
          <w:tcPr>
            <w:tcW w:w="6187" w:type="dxa"/>
            <w:vAlign w:val="center"/>
          </w:tcPr>
          <w:p w14:paraId="36F2E501"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Measures how stretched or oval-shaped the lesion is.</w:t>
            </w:r>
          </w:p>
        </w:tc>
      </w:tr>
      <w:tr w:rsidR="00CD1CEC" w14:paraId="26AA8E64" w14:textId="77777777">
        <w:trPr>
          <w:trHeight w:val="397"/>
        </w:trPr>
        <w:tc>
          <w:tcPr>
            <w:tcW w:w="2830" w:type="dxa"/>
            <w:vAlign w:val="center"/>
          </w:tcPr>
          <w:p w14:paraId="3049816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Circularity</w:t>
            </w:r>
          </w:p>
        </w:tc>
        <w:tc>
          <w:tcPr>
            <w:tcW w:w="6187" w:type="dxa"/>
            <w:vAlign w:val="center"/>
          </w:tcPr>
          <w:p w14:paraId="0EF6A1D1" w14:textId="77777777" w:rsidR="00CD1CEC" w:rsidRDefault="00386CF6" w:rsidP="00A85A22">
            <w:pPr>
              <w:pBdr>
                <w:top w:val="nil"/>
                <w:left w:val="nil"/>
                <w:bottom w:val="nil"/>
                <w:right w:val="nil"/>
                <w:between w:val="nil"/>
              </w:pBdr>
              <w:bidi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closely the shape resembles a perfect circle.</w:t>
            </w:r>
          </w:p>
        </w:tc>
      </w:tr>
    </w:tbl>
    <w:p w14:paraId="78256665" w14:textId="77777777" w:rsidR="00CD1CEC" w:rsidRDefault="00386CF6" w:rsidP="00A85A22">
      <w:pPr>
        <w:pBdr>
          <w:top w:val="nil"/>
          <w:left w:val="nil"/>
          <w:bottom w:val="nil"/>
          <w:right w:val="nil"/>
          <w:between w:val="nil"/>
        </w:pBdr>
        <w:bidi w:val="0"/>
        <w:spacing w:before="240" w:line="480" w:lineRule="auto"/>
        <w:jc w:val="both"/>
        <w:rPr>
          <w:b/>
          <w:bCs/>
          <w:color w:val="000000"/>
        </w:rPr>
      </w:pPr>
      <w:r>
        <w:rPr>
          <w:b/>
          <w:bCs/>
          <w:color w:val="000000"/>
        </w:rPr>
        <w:t>WMH volume scales in CNS vasculitis: Volumetric measurement (Quantitative MRI Analysis):</w:t>
      </w:r>
    </w:p>
    <w:p w14:paraId="4DD6294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WMH volume was quantitatively assessed using MRI—especially FLAIR sequences—with results expressed in </w:t>
      </w:r>
      <w:proofErr w:type="spellStart"/>
      <w:r>
        <w:rPr>
          <w:color w:val="000000"/>
        </w:rPr>
        <w:t>milliliters</w:t>
      </w:r>
      <w:proofErr w:type="spellEnd"/>
      <w:r>
        <w:rPr>
          <w:color w:val="000000"/>
        </w:rPr>
        <w:t xml:space="preserve"> (mL) </w:t>
      </w:r>
      <w:r>
        <w:rPr>
          <w:color w:val="000000"/>
          <w:vertAlign w:val="superscript"/>
        </w:rPr>
        <w:t>[13]</w:t>
      </w:r>
      <w:r>
        <w:rPr>
          <w:color w:val="000000"/>
        </w:rPr>
        <w:t>. Key measures included:</w:t>
      </w:r>
    </w:p>
    <w:p w14:paraId="2BF96022" w14:textId="77777777" w:rsidR="00CD1CEC" w:rsidRDefault="00386CF6" w:rsidP="00A85A22">
      <w:pPr>
        <w:numPr>
          <w:ilvl w:val="1"/>
          <w:numId w:val="1"/>
        </w:numPr>
        <w:pBdr>
          <w:top w:val="nil"/>
          <w:left w:val="nil"/>
          <w:bottom w:val="nil"/>
          <w:right w:val="nil"/>
          <w:between w:val="nil"/>
        </w:pBdr>
        <w:bidi w:val="0"/>
        <w:spacing w:line="480" w:lineRule="auto"/>
        <w:jc w:val="both"/>
        <w:rPr>
          <w:color w:val="000000"/>
        </w:rPr>
      </w:pPr>
      <w:r>
        <w:rPr>
          <w:color w:val="000000"/>
        </w:rPr>
        <w:t>Total WMH volume.</w:t>
      </w:r>
    </w:p>
    <w:p w14:paraId="18E9B0B3" w14:textId="77777777" w:rsidR="00CD1CEC" w:rsidRDefault="00386CF6" w:rsidP="00A85A22">
      <w:pPr>
        <w:numPr>
          <w:ilvl w:val="1"/>
          <w:numId w:val="1"/>
        </w:numPr>
        <w:pBdr>
          <w:top w:val="nil"/>
          <w:left w:val="nil"/>
          <w:bottom w:val="nil"/>
          <w:right w:val="nil"/>
          <w:between w:val="nil"/>
        </w:pBdr>
        <w:bidi w:val="0"/>
        <w:spacing w:line="480" w:lineRule="auto"/>
        <w:jc w:val="both"/>
        <w:rPr>
          <w:color w:val="000000"/>
        </w:rPr>
      </w:pPr>
      <w:r>
        <w:rPr>
          <w:color w:val="000000"/>
        </w:rPr>
        <w:t>Deep WMH volume.</w:t>
      </w:r>
    </w:p>
    <w:p w14:paraId="582C8D48" w14:textId="77777777" w:rsidR="00CD1CEC" w:rsidRDefault="00386CF6" w:rsidP="00A85A22">
      <w:pPr>
        <w:numPr>
          <w:ilvl w:val="1"/>
          <w:numId w:val="1"/>
        </w:numPr>
        <w:pBdr>
          <w:top w:val="nil"/>
          <w:left w:val="nil"/>
          <w:bottom w:val="nil"/>
          <w:right w:val="nil"/>
          <w:between w:val="nil"/>
        </w:pBdr>
        <w:bidi w:val="0"/>
        <w:spacing w:line="480" w:lineRule="auto"/>
        <w:jc w:val="both"/>
        <w:rPr>
          <w:color w:val="000000"/>
        </w:rPr>
      </w:pPr>
      <w:r>
        <w:rPr>
          <w:color w:val="000000"/>
        </w:rPr>
        <w:t>Periventricular WMH volume.</w:t>
      </w:r>
    </w:p>
    <w:p w14:paraId="4034DD38"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Scales used for assessment:</w:t>
      </w:r>
    </w:p>
    <w:p w14:paraId="471793EC"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1. Scale for Cognitive Function Assessment:</w:t>
      </w:r>
    </w:p>
    <w:p w14:paraId="6E9291C2"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Mini-Mental State Examination (MMSE) (see appendix)</w:t>
      </w:r>
    </w:p>
    <w:p w14:paraId="07EEB531"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Purpose: Screening for cognitive impairment (e.g., dementia)</w:t>
      </w:r>
    </w:p>
    <w:p w14:paraId="6BA9DA1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Domains: Orientation, attention, memory, language, visuospatial</w:t>
      </w:r>
    </w:p>
    <w:p w14:paraId="6E1F79A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Score: 0–30; &lt;24 often suggests cognitive impairment</w:t>
      </w:r>
    </w:p>
    <w:p w14:paraId="488B77A7"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Use: Quick and widely used (5–10 min)</w:t>
      </w:r>
    </w:p>
    <w:p w14:paraId="297A161D" w14:textId="77777777" w:rsidR="00CD1CEC" w:rsidRDefault="00386CF6" w:rsidP="00A85A22">
      <w:pPr>
        <w:pBdr>
          <w:top w:val="nil"/>
          <w:left w:val="nil"/>
          <w:bottom w:val="nil"/>
          <w:right w:val="nil"/>
          <w:between w:val="nil"/>
        </w:pBdr>
        <w:bidi w:val="0"/>
        <w:spacing w:line="480" w:lineRule="auto"/>
        <w:jc w:val="both"/>
        <w:rPr>
          <w:color w:val="000000"/>
        </w:rPr>
      </w:pPr>
      <w:r>
        <w:rPr>
          <w:b/>
          <w:bCs/>
          <w:color w:val="000000"/>
        </w:rPr>
        <w:t>2. Scale for Autonomic Function Assessment</w:t>
      </w:r>
      <w:r>
        <w:rPr>
          <w:color w:val="000000"/>
        </w:rPr>
        <w:t xml:space="preserve">: </w:t>
      </w:r>
    </w:p>
    <w:p w14:paraId="4BAF2536"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COMPASS -31 scale for assessment of autonomic function. (see appendix).</w:t>
      </w:r>
    </w:p>
    <w:p w14:paraId="193357D2"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Purpose: To provide a standardized, quantitative score of autonomic symptom burden).</w:t>
      </w:r>
    </w:p>
    <w:p w14:paraId="61BCC68A"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Domains: orthostatic intolerance, vasomotor, Secretomotor, gastrointestinal, bladder, pupillomotor.</w:t>
      </w:r>
    </w:p>
    <w:p w14:paraId="22197F44"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Score: 0–100; (0-10) minimal dysfunction, (11-30) mild dysfunction (31-60) moderate dysfunction, (more than 60) severe dysfunction.</w:t>
      </w:r>
    </w:p>
    <w:p w14:paraId="47341318"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w:t>
      </w:r>
      <w:r>
        <w:rPr>
          <w:color w:val="000000"/>
        </w:rPr>
        <w:tab/>
        <w:t xml:space="preserve">Use: Quick and widely used. </w:t>
      </w:r>
    </w:p>
    <w:p w14:paraId="33CD4CD2" w14:textId="77777777" w:rsidR="00CD1CEC" w:rsidRDefault="00386CF6" w:rsidP="00A85A22">
      <w:pPr>
        <w:pBdr>
          <w:top w:val="nil"/>
          <w:left w:val="nil"/>
          <w:bottom w:val="nil"/>
          <w:right w:val="nil"/>
          <w:between w:val="nil"/>
        </w:pBdr>
        <w:bidi w:val="0"/>
        <w:spacing w:line="480" w:lineRule="auto"/>
        <w:jc w:val="both"/>
        <w:rPr>
          <w:b/>
          <w:bCs/>
          <w:color w:val="000000"/>
        </w:rPr>
      </w:pPr>
      <w:r>
        <w:rPr>
          <w:b/>
          <w:bCs/>
          <w:color w:val="000000"/>
        </w:rPr>
        <w:t xml:space="preserve">Statistical analysis </w:t>
      </w:r>
    </w:p>
    <w:p w14:paraId="6608EA9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Statistical analysis was done by SPSS v27 (IBM©, Armonk, NY, USA). Shapiro-Wilks test and histograms were used to evaluate the normality of the distribution of data. Quantitative parametric data were presented as mean and standard deviation (SD) and were analysed by ANOVA (F) test with post hoc test (Tukey). Quantitative non-parametric data were presented as median and interquartile range (IQR) and were analysed by Kruskal-Wallis test with Mann Whitney-test to compare each group. Qualitative variables were presented as frequency and percentage (%) and were analysed utilizing the Chi-square test. Correlation coefficient (r) was used for detection of correlation between two quantitative variables in one group A two tailed P value &lt; 0.05 was considered statistically significant.</w:t>
      </w:r>
    </w:p>
    <w:p w14:paraId="7F1D1FBC" w14:textId="77777777" w:rsidR="00CD1CEC" w:rsidRDefault="00386CF6" w:rsidP="00A85A22">
      <w:pPr>
        <w:pBdr>
          <w:top w:val="nil"/>
          <w:left w:val="nil"/>
          <w:bottom w:val="nil"/>
          <w:right w:val="nil"/>
          <w:between w:val="nil"/>
        </w:pBdr>
        <w:bidi w:val="0"/>
        <w:spacing w:line="480" w:lineRule="auto"/>
        <w:jc w:val="both"/>
        <w:rPr>
          <w:b/>
          <w:bCs/>
          <w:color w:val="000000"/>
        </w:rPr>
      </w:pPr>
      <w:bookmarkStart w:id="2" w:name="_o5g2sivfju6i" w:colFirst="0" w:colLast="0"/>
      <w:bookmarkEnd w:id="2"/>
      <w:r>
        <w:rPr>
          <w:b/>
          <w:bCs/>
          <w:color w:val="000000"/>
          <w:sz w:val="28"/>
          <w:szCs w:val="28"/>
        </w:rPr>
        <w:t>Results</w:t>
      </w:r>
    </w:p>
    <w:p w14:paraId="1B5770ED" w14:textId="77777777" w:rsidR="00CD1CEC" w:rsidRDefault="00386CF6" w:rsidP="00A85A22">
      <w:pPr>
        <w:pBdr>
          <w:top w:val="nil"/>
          <w:left w:val="nil"/>
          <w:bottom w:val="nil"/>
          <w:right w:val="nil"/>
          <w:between w:val="nil"/>
        </w:pBdr>
        <w:bidi w:val="0"/>
        <w:spacing w:line="480" w:lineRule="auto"/>
        <w:jc w:val="both"/>
        <w:rPr>
          <w:color w:val="000000"/>
        </w:rPr>
      </w:pPr>
      <w:bookmarkStart w:id="3" w:name="_d3ru7dnlp1z9" w:colFirst="0" w:colLast="0"/>
      <w:bookmarkEnd w:id="3"/>
      <w:r>
        <w:rPr>
          <w:color w:val="000000"/>
        </w:rPr>
        <w:t xml:space="preserve">The cohort comprised predominantly females (70%) with a mean age of 44.5 ± 12.8 years and an average BMI of 29.5 ± 4.95 kg/m², with slightly more patients residing in urban areas (56.7%). The mean disease duration was 10.4 ± 6.23 years, with RA being the most common diagnosis (46.7%), followed by SLE (30%) and Behcet’s disease (23.3%). </w:t>
      </w:r>
      <w:r>
        <w:rPr>
          <w:b/>
          <w:bCs/>
          <w:color w:val="000000"/>
        </w:rPr>
        <w:t>Table 2</w:t>
      </w:r>
    </w:p>
    <w:p w14:paraId="0493F0DE"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Systemic involvement was most frequently manifested as joint involvement (90%), followed by oral ulcerations (33.3%) and skin lesions (26.7%). Neurological features were observed in varying frequencies, with headache being the most common (43.3%), while cognitive dysfunction, autonomic disorder, hemispherical syndrome, and seizure disorder were each noted in 6.7% of patients. </w:t>
      </w:r>
      <w:r>
        <w:rPr>
          <w:b/>
          <w:bCs/>
          <w:color w:val="000000"/>
        </w:rPr>
        <w:t>Table 2</w:t>
      </w:r>
    </w:p>
    <w:p w14:paraId="3A8C340A"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Laboratory assessment revealed generally normal </w:t>
      </w:r>
      <w:proofErr w:type="spellStart"/>
      <w:r>
        <w:rPr>
          <w:color w:val="000000"/>
        </w:rPr>
        <w:t>hemoglobin</w:t>
      </w:r>
      <w:proofErr w:type="spellEnd"/>
      <w:r>
        <w:rPr>
          <w:color w:val="000000"/>
        </w:rPr>
        <w:t xml:space="preserve"> and platelet counts, with mild elevations in inflammatory markers (ESR and CRP). </w:t>
      </w:r>
      <w:proofErr w:type="spellStart"/>
      <w:r>
        <w:rPr>
          <w:color w:val="000000"/>
        </w:rPr>
        <w:t>Dyslipidemia</w:t>
      </w:r>
      <w:proofErr w:type="spellEnd"/>
      <w:r>
        <w:rPr>
          <w:color w:val="000000"/>
        </w:rPr>
        <w:t xml:space="preserve"> was present in a subset of patients, with mean total cholesterol of 220.1 ± 30.3 mg/dL. Serological testing demonstrated positivity for ANA in 63.3% of patients, anti-CCP antibodies in 43.3%, anticardiolipin antibodies in 36.7%, and anti-dsDNA antibodies in 30%, reflecting the underlying autoimmune and </w:t>
      </w:r>
      <w:proofErr w:type="spellStart"/>
      <w:r>
        <w:rPr>
          <w:color w:val="000000"/>
        </w:rPr>
        <w:t>vasculitic</w:t>
      </w:r>
      <w:proofErr w:type="spellEnd"/>
      <w:r>
        <w:rPr>
          <w:color w:val="000000"/>
        </w:rPr>
        <w:t xml:space="preserve"> processes. </w:t>
      </w:r>
      <w:r>
        <w:rPr>
          <w:b/>
          <w:bCs/>
          <w:color w:val="000000"/>
        </w:rPr>
        <w:t>Table 2</w:t>
      </w:r>
    </w:p>
    <w:p w14:paraId="2FB530BC" w14:textId="77777777" w:rsidR="00CD1CEC" w:rsidRDefault="00386CF6" w:rsidP="00A85A22">
      <w:pPr>
        <w:pBdr>
          <w:top w:val="nil"/>
          <w:left w:val="nil"/>
          <w:bottom w:val="nil"/>
          <w:right w:val="nil"/>
          <w:between w:val="nil"/>
        </w:pBdr>
        <w:bidi w:val="0"/>
        <w:spacing w:line="480" w:lineRule="auto"/>
        <w:jc w:val="both"/>
        <w:rPr>
          <w:color w:val="000000"/>
          <w:highlight w:val="yellow"/>
        </w:rPr>
      </w:pPr>
      <w:r>
        <w:rPr>
          <w:color w:val="000000"/>
        </w:rPr>
        <w:t xml:space="preserve">MRI evaluation showed white matter hyperintensities in 63.3% of patients, predominantly affecting periventricular and subcortical regions, with variable involvement of the basal ganglia and brainstem. Volumetric analysis indicated a mean total WMH volume of 2.7 ± 6.1 mL, with deep and periventricular confluent lesions contributing variably. WMH distribution differed among disease subtypes, with periventricular lesions predominating in all three groups. Shape analysis of WMH revealed mean solidity of 0.5 ± 0.22, convexity of 1 ± 0.14, concavity index of 1.1 ± 0.08, and fractal dimension of 1.4 ± 0.16, indicating heterogeneity in lesion morphology. </w:t>
      </w:r>
      <w:r>
        <w:rPr>
          <w:b/>
          <w:bCs/>
          <w:color w:val="000000"/>
        </w:rPr>
        <w:t>Table 2</w:t>
      </w:r>
    </w:p>
    <w:p w14:paraId="551B729D" w14:textId="77777777" w:rsidR="00CD1CEC" w:rsidRDefault="00386CF6" w:rsidP="00A85A22">
      <w:pPr>
        <w:keepNext/>
        <w:pBdr>
          <w:top w:val="nil"/>
          <w:left w:val="nil"/>
          <w:bottom w:val="nil"/>
          <w:right w:val="nil"/>
          <w:between w:val="nil"/>
        </w:pBdr>
        <w:bidi w:val="0"/>
        <w:spacing w:after="200"/>
        <w:jc w:val="both"/>
        <w:rPr>
          <w:b/>
          <w:bCs/>
          <w:color w:val="000000"/>
        </w:rPr>
      </w:pPr>
      <w:r>
        <w:rPr>
          <w:b/>
          <w:bCs/>
          <w:color w:val="000000"/>
        </w:rPr>
        <w:t>Table 2: Baseline Characteristics, Clinical Features, Laboratory Findings, Serology, and MRI White Matter Hyperintensities of the Studied Patients (n = 30)</w:t>
      </w:r>
    </w:p>
    <w:tbl>
      <w:tblPr>
        <w:tblStyle w:val="a0"/>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1658"/>
        <w:gridCol w:w="1658"/>
        <w:gridCol w:w="1583"/>
        <w:gridCol w:w="2362"/>
      </w:tblGrid>
      <w:tr w:rsidR="00CD1CEC" w14:paraId="0EA04BEF" w14:textId="77777777">
        <w:tc>
          <w:tcPr>
            <w:tcW w:w="1756" w:type="dxa"/>
            <w:vAlign w:val="center"/>
          </w:tcPr>
          <w:p w14:paraId="1908D478" w14:textId="77777777" w:rsidR="00CD1CEC" w:rsidRDefault="00386CF6" w:rsidP="00A85A22">
            <w:pPr>
              <w:bidi w:val="0"/>
              <w:jc w:val="center"/>
              <w:rPr>
                <w:b/>
                <w:bCs/>
              </w:rPr>
            </w:pPr>
            <w:r>
              <w:rPr>
                <w:b/>
                <w:bCs/>
              </w:rPr>
              <w:t>Category</w:t>
            </w:r>
          </w:p>
        </w:tc>
        <w:tc>
          <w:tcPr>
            <w:tcW w:w="4899" w:type="dxa"/>
            <w:gridSpan w:val="3"/>
            <w:vAlign w:val="center"/>
          </w:tcPr>
          <w:p w14:paraId="02CBB47F" w14:textId="77777777" w:rsidR="00CD1CEC" w:rsidRDefault="00386CF6" w:rsidP="00A85A22">
            <w:pPr>
              <w:bidi w:val="0"/>
              <w:jc w:val="center"/>
              <w:rPr>
                <w:b/>
                <w:bCs/>
              </w:rPr>
            </w:pPr>
            <w:r>
              <w:rPr>
                <w:b/>
                <w:bCs/>
              </w:rPr>
              <w:t>Variable</w:t>
            </w:r>
          </w:p>
        </w:tc>
        <w:tc>
          <w:tcPr>
            <w:tcW w:w="2362" w:type="dxa"/>
            <w:vAlign w:val="center"/>
          </w:tcPr>
          <w:p w14:paraId="5BD828C1" w14:textId="77777777" w:rsidR="00CD1CEC" w:rsidRDefault="00386CF6" w:rsidP="00A85A22">
            <w:pPr>
              <w:bidi w:val="0"/>
              <w:jc w:val="center"/>
              <w:rPr>
                <w:b/>
                <w:bCs/>
              </w:rPr>
            </w:pPr>
            <w:r>
              <w:rPr>
                <w:b/>
                <w:bCs/>
              </w:rPr>
              <w:t>N=30</w:t>
            </w:r>
          </w:p>
        </w:tc>
      </w:tr>
      <w:tr w:rsidR="00CD1CEC" w14:paraId="6A9E962F" w14:textId="77777777">
        <w:tc>
          <w:tcPr>
            <w:tcW w:w="1756" w:type="dxa"/>
            <w:vMerge w:val="restart"/>
            <w:vAlign w:val="center"/>
          </w:tcPr>
          <w:p w14:paraId="368DD5CF" w14:textId="77777777" w:rsidR="00CD1CEC" w:rsidRDefault="00386CF6" w:rsidP="00A85A22">
            <w:pPr>
              <w:bidi w:val="0"/>
              <w:jc w:val="center"/>
            </w:pPr>
            <w:r>
              <w:rPr>
                <w:b/>
                <w:bCs/>
              </w:rPr>
              <w:t>Demographics</w:t>
            </w:r>
          </w:p>
        </w:tc>
        <w:tc>
          <w:tcPr>
            <w:tcW w:w="4899" w:type="dxa"/>
            <w:gridSpan w:val="3"/>
            <w:vAlign w:val="center"/>
          </w:tcPr>
          <w:p w14:paraId="7A5032B3" w14:textId="77777777" w:rsidR="00CD1CEC" w:rsidRDefault="00386CF6" w:rsidP="00A85A22">
            <w:pPr>
              <w:bidi w:val="0"/>
              <w:jc w:val="center"/>
              <w:rPr>
                <w:b/>
                <w:bCs/>
              </w:rPr>
            </w:pPr>
            <w:r>
              <w:rPr>
                <w:b/>
                <w:bCs/>
              </w:rPr>
              <w:t>Age (years)</w:t>
            </w:r>
          </w:p>
        </w:tc>
        <w:tc>
          <w:tcPr>
            <w:tcW w:w="2362" w:type="dxa"/>
            <w:vAlign w:val="center"/>
          </w:tcPr>
          <w:p w14:paraId="71B5E852" w14:textId="77777777" w:rsidR="00CD1CEC" w:rsidRDefault="00386CF6" w:rsidP="00A85A22">
            <w:pPr>
              <w:bidi w:val="0"/>
              <w:jc w:val="center"/>
            </w:pPr>
            <w:r>
              <w:t>44.5 ± 12.78</w:t>
            </w:r>
          </w:p>
        </w:tc>
      </w:tr>
      <w:tr w:rsidR="00CD1CEC" w14:paraId="1B031F49" w14:textId="77777777">
        <w:tc>
          <w:tcPr>
            <w:tcW w:w="1756" w:type="dxa"/>
            <w:vMerge/>
            <w:vAlign w:val="center"/>
          </w:tcPr>
          <w:p w14:paraId="60F487C7"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2009BD0E" w14:textId="77777777" w:rsidR="00CD1CEC" w:rsidRDefault="00386CF6" w:rsidP="00A85A22">
            <w:pPr>
              <w:bidi w:val="0"/>
              <w:jc w:val="center"/>
              <w:rPr>
                <w:b/>
                <w:bCs/>
              </w:rPr>
            </w:pPr>
            <w:r>
              <w:rPr>
                <w:b/>
                <w:bCs/>
              </w:rPr>
              <w:t>Gender</w:t>
            </w:r>
          </w:p>
        </w:tc>
        <w:tc>
          <w:tcPr>
            <w:tcW w:w="3241" w:type="dxa"/>
            <w:gridSpan w:val="2"/>
            <w:vAlign w:val="center"/>
          </w:tcPr>
          <w:p w14:paraId="30A67ACF" w14:textId="77777777" w:rsidR="00CD1CEC" w:rsidRDefault="00386CF6" w:rsidP="00A85A22">
            <w:pPr>
              <w:bidi w:val="0"/>
              <w:jc w:val="center"/>
              <w:rPr>
                <w:b/>
                <w:bCs/>
              </w:rPr>
            </w:pPr>
            <w:r>
              <w:rPr>
                <w:b/>
                <w:bCs/>
              </w:rPr>
              <w:t>Male</w:t>
            </w:r>
          </w:p>
        </w:tc>
        <w:tc>
          <w:tcPr>
            <w:tcW w:w="2362" w:type="dxa"/>
            <w:vAlign w:val="center"/>
          </w:tcPr>
          <w:p w14:paraId="7DC21DEE" w14:textId="77777777" w:rsidR="00CD1CEC" w:rsidRDefault="00386CF6" w:rsidP="00A85A22">
            <w:pPr>
              <w:bidi w:val="0"/>
              <w:jc w:val="center"/>
            </w:pPr>
            <w:r>
              <w:t>9 (30%)</w:t>
            </w:r>
          </w:p>
        </w:tc>
      </w:tr>
      <w:tr w:rsidR="00CD1CEC" w14:paraId="1AC96235" w14:textId="77777777">
        <w:tc>
          <w:tcPr>
            <w:tcW w:w="1756" w:type="dxa"/>
            <w:vMerge/>
            <w:vAlign w:val="center"/>
          </w:tcPr>
          <w:p w14:paraId="61D3F5AE"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1B84FCF7"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57E940A8" w14:textId="77777777" w:rsidR="00CD1CEC" w:rsidRDefault="00386CF6" w:rsidP="00A85A22">
            <w:pPr>
              <w:bidi w:val="0"/>
              <w:jc w:val="center"/>
              <w:rPr>
                <w:b/>
                <w:bCs/>
              </w:rPr>
            </w:pPr>
            <w:r>
              <w:rPr>
                <w:b/>
                <w:bCs/>
              </w:rPr>
              <w:t>Female</w:t>
            </w:r>
          </w:p>
        </w:tc>
        <w:tc>
          <w:tcPr>
            <w:tcW w:w="2362" w:type="dxa"/>
            <w:vAlign w:val="center"/>
          </w:tcPr>
          <w:p w14:paraId="2A625E53" w14:textId="77777777" w:rsidR="00CD1CEC" w:rsidRDefault="00386CF6" w:rsidP="00A85A22">
            <w:pPr>
              <w:bidi w:val="0"/>
              <w:jc w:val="center"/>
            </w:pPr>
            <w:r>
              <w:t>21 (70%)</w:t>
            </w:r>
          </w:p>
        </w:tc>
      </w:tr>
      <w:tr w:rsidR="00CD1CEC" w14:paraId="15FD232C" w14:textId="77777777">
        <w:tc>
          <w:tcPr>
            <w:tcW w:w="1756" w:type="dxa"/>
            <w:vMerge/>
            <w:vAlign w:val="center"/>
          </w:tcPr>
          <w:p w14:paraId="3AC94CBE"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791E56C" w14:textId="77777777" w:rsidR="00CD1CEC" w:rsidRDefault="00386CF6" w:rsidP="00A85A22">
            <w:pPr>
              <w:bidi w:val="0"/>
              <w:jc w:val="center"/>
              <w:rPr>
                <w:b/>
                <w:bCs/>
              </w:rPr>
            </w:pPr>
            <w:r>
              <w:rPr>
                <w:b/>
                <w:bCs/>
              </w:rPr>
              <w:t>Weight (kg)</w:t>
            </w:r>
          </w:p>
        </w:tc>
        <w:tc>
          <w:tcPr>
            <w:tcW w:w="2362" w:type="dxa"/>
            <w:vAlign w:val="center"/>
          </w:tcPr>
          <w:p w14:paraId="131B3641" w14:textId="77777777" w:rsidR="00CD1CEC" w:rsidRDefault="00386CF6" w:rsidP="00A85A22">
            <w:pPr>
              <w:bidi w:val="0"/>
              <w:jc w:val="center"/>
            </w:pPr>
            <w:r>
              <w:t>82 ± 12.84</w:t>
            </w:r>
          </w:p>
        </w:tc>
      </w:tr>
      <w:tr w:rsidR="00CD1CEC" w14:paraId="6BC1585D" w14:textId="77777777">
        <w:tc>
          <w:tcPr>
            <w:tcW w:w="1756" w:type="dxa"/>
            <w:vMerge/>
            <w:vAlign w:val="center"/>
          </w:tcPr>
          <w:p w14:paraId="2B3B145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14893BA2" w14:textId="77777777" w:rsidR="00CD1CEC" w:rsidRDefault="00386CF6" w:rsidP="00A85A22">
            <w:pPr>
              <w:bidi w:val="0"/>
              <w:jc w:val="center"/>
              <w:rPr>
                <w:b/>
                <w:bCs/>
              </w:rPr>
            </w:pPr>
            <w:r>
              <w:rPr>
                <w:b/>
                <w:bCs/>
              </w:rPr>
              <w:t>Height (m)</w:t>
            </w:r>
          </w:p>
        </w:tc>
        <w:tc>
          <w:tcPr>
            <w:tcW w:w="2362" w:type="dxa"/>
            <w:vAlign w:val="center"/>
          </w:tcPr>
          <w:p w14:paraId="6FC17563" w14:textId="77777777" w:rsidR="00CD1CEC" w:rsidRDefault="00386CF6" w:rsidP="00A85A22">
            <w:pPr>
              <w:bidi w:val="0"/>
              <w:jc w:val="center"/>
            </w:pPr>
            <w:r>
              <w:t>1.7 ± 0.04</w:t>
            </w:r>
          </w:p>
        </w:tc>
      </w:tr>
      <w:tr w:rsidR="00CD1CEC" w14:paraId="41C1D5BF" w14:textId="77777777">
        <w:tc>
          <w:tcPr>
            <w:tcW w:w="1756" w:type="dxa"/>
            <w:vMerge/>
            <w:vAlign w:val="center"/>
          </w:tcPr>
          <w:p w14:paraId="7367DC4C"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27B3AD4" w14:textId="77777777" w:rsidR="00CD1CEC" w:rsidRDefault="00386CF6" w:rsidP="00A85A22">
            <w:pPr>
              <w:bidi w:val="0"/>
              <w:jc w:val="center"/>
              <w:rPr>
                <w:b/>
                <w:bCs/>
              </w:rPr>
            </w:pPr>
            <w:r>
              <w:rPr>
                <w:b/>
                <w:bCs/>
              </w:rPr>
              <w:t>BMI (kg/m²)</w:t>
            </w:r>
          </w:p>
        </w:tc>
        <w:tc>
          <w:tcPr>
            <w:tcW w:w="2362" w:type="dxa"/>
            <w:vAlign w:val="center"/>
          </w:tcPr>
          <w:p w14:paraId="7C8CD484" w14:textId="77777777" w:rsidR="00CD1CEC" w:rsidRDefault="00386CF6" w:rsidP="00A85A22">
            <w:pPr>
              <w:bidi w:val="0"/>
              <w:jc w:val="center"/>
            </w:pPr>
            <w:r>
              <w:t>29.5 ± 4.95</w:t>
            </w:r>
          </w:p>
        </w:tc>
      </w:tr>
      <w:tr w:rsidR="00CD1CEC" w14:paraId="756812C9" w14:textId="77777777">
        <w:tc>
          <w:tcPr>
            <w:tcW w:w="1756" w:type="dxa"/>
            <w:vMerge/>
            <w:vAlign w:val="center"/>
          </w:tcPr>
          <w:p w14:paraId="4431DBB9"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47C73228" w14:textId="77777777" w:rsidR="00CD1CEC" w:rsidRDefault="00386CF6" w:rsidP="00A85A22">
            <w:pPr>
              <w:bidi w:val="0"/>
              <w:jc w:val="center"/>
              <w:rPr>
                <w:b/>
                <w:bCs/>
              </w:rPr>
            </w:pPr>
            <w:r>
              <w:rPr>
                <w:b/>
                <w:bCs/>
              </w:rPr>
              <w:t>Residence – Urban</w:t>
            </w:r>
          </w:p>
        </w:tc>
        <w:tc>
          <w:tcPr>
            <w:tcW w:w="2362" w:type="dxa"/>
            <w:vAlign w:val="center"/>
          </w:tcPr>
          <w:p w14:paraId="3FDBFC3A" w14:textId="77777777" w:rsidR="00CD1CEC" w:rsidRDefault="00386CF6" w:rsidP="00A85A22">
            <w:pPr>
              <w:bidi w:val="0"/>
              <w:jc w:val="center"/>
            </w:pPr>
            <w:r>
              <w:t>17 (56.7%)</w:t>
            </w:r>
          </w:p>
        </w:tc>
      </w:tr>
      <w:tr w:rsidR="00CD1CEC" w14:paraId="06DEE685" w14:textId="77777777">
        <w:tc>
          <w:tcPr>
            <w:tcW w:w="1756" w:type="dxa"/>
            <w:vMerge/>
            <w:vAlign w:val="center"/>
          </w:tcPr>
          <w:p w14:paraId="34A5A16E"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12ECEE7" w14:textId="77777777" w:rsidR="00CD1CEC" w:rsidRDefault="00386CF6" w:rsidP="00A85A22">
            <w:pPr>
              <w:bidi w:val="0"/>
              <w:jc w:val="center"/>
              <w:rPr>
                <w:b/>
                <w:bCs/>
              </w:rPr>
            </w:pPr>
            <w:r>
              <w:rPr>
                <w:b/>
                <w:bCs/>
              </w:rPr>
              <w:t>Residence – Rural</w:t>
            </w:r>
          </w:p>
        </w:tc>
        <w:tc>
          <w:tcPr>
            <w:tcW w:w="2362" w:type="dxa"/>
            <w:vAlign w:val="center"/>
          </w:tcPr>
          <w:p w14:paraId="0BC45ADF" w14:textId="77777777" w:rsidR="00CD1CEC" w:rsidRDefault="00386CF6" w:rsidP="00A85A22">
            <w:pPr>
              <w:bidi w:val="0"/>
              <w:jc w:val="center"/>
            </w:pPr>
            <w:r>
              <w:t>13 (43.3%)</w:t>
            </w:r>
          </w:p>
        </w:tc>
      </w:tr>
      <w:tr w:rsidR="00CD1CEC" w14:paraId="04F6263D" w14:textId="77777777">
        <w:tc>
          <w:tcPr>
            <w:tcW w:w="1756" w:type="dxa"/>
            <w:vMerge w:val="restart"/>
            <w:vAlign w:val="center"/>
          </w:tcPr>
          <w:p w14:paraId="303E3710" w14:textId="77777777" w:rsidR="00CD1CEC" w:rsidRDefault="00386CF6" w:rsidP="00A85A22">
            <w:pPr>
              <w:bidi w:val="0"/>
              <w:jc w:val="center"/>
            </w:pPr>
            <w:r>
              <w:rPr>
                <w:b/>
                <w:bCs/>
              </w:rPr>
              <w:t>Disease Characteristics</w:t>
            </w:r>
          </w:p>
        </w:tc>
        <w:tc>
          <w:tcPr>
            <w:tcW w:w="4899" w:type="dxa"/>
            <w:gridSpan w:val="3"/>
            <w:vAlign w:val="center"/>
          </w:tcPr>
          <w:p w14:paraId="5DD323DF" w14:textId="77777777" w:rsidR="00CD1CEC" w:rsidRDefault="00386CF6" w:rsidP="00A85A22">
            <w:pPr>
              <w:bidi w:val="0"/>
              <w:jc w:val="center"/>
              <w:rPr>
                <w:b/>
                <w:bCs/>
              </w:rPr>
            </w:pPr>
            <w:r>
              <w:rPr>
                <w:b/>
                <w:bCs/>
              </w:rPr>
              <w:t>Disease duration (years)</w:t>
            </w:r>
          </w:p>
        </w:tc>
        <w:tc>
          <w:tcPr>
            <w:tcW w:w="2362" w:type="dxa"/>
            <w:vAlign w:val="center"/>
          </w:tcPr>
          <w:p w14:paraId="081411A9" w14:textId="77777777" w:rsidR="00CD1CEC" w:rsidRDefault="00386CF6" w:rsidP="00A85A22">
            <w:pPr>
              <w:bidi w:val="0"/>
              <w:jc w:val="center"/>
            </w:pPr>
            <w:r>
              <w:t>10.4 ± 6.23</w:t>
            </w:r>
          </w:p>
        </w:tc>
      </w:tr>
      <w:tr w:rsidR="00CD1CEC" w14:paraId="19869760" w14:textId="77777777">
        <w:tc>
          <w:tcPr>
            <w:tcW w:w="1756" w:type="dxa"/>
            <w:vMerge/>
            <w:vAlign w:val="center"/>
          </w:tcPr>
          <w:p w14:paraId="72259B38"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27C0A1DD" w14:textId="77777777" w:rsidR="00CD1CEC" w:rsidRDefault="00386CF6" w:rsidP="00A85A22">
            <w:pPr>
              <w:bidi w:val="0"/>
              <w:jc w:val="center"/>
              <w:rPr>
                <w:b/>
                <w:bCs/>
              </w:rPr>
            </w:pPr>
            <w:r>
              <w:rPr>
                <w:b/>
                <w:bCs/>
              </w:rPr>
              <w:t>Diagnosis –</w:t>
            </w:r>
          </w:p>
        </w:tc>
        <w:tc>
          <w:tcPr>
            <w:tcW w:w="3241" w:type="dxa"/>
            <w:gridSpan w:val="2"/>
            <w:vAlign w:val="center"/>
          </w:tcPr>
          <w:p w14:paraId="240E7221" w14:textId="77777777" w:rsidR="00CD1CEC" w:rsidRDefault="00386CF6" w:rsidP="00A85A22">
            <w:pPr>
              <w:bidi w:val="0"/>
              <w:jc w:val="center"/>
              <w:rPr>
                <w:b/>
                <w:bCs/>
              </w:rPr>
            </w:pPr>
            <w:r>
              <w:rPr>
                <w:b/>
                <w:bCs/>
              </w:rPr>
              <w:t>SLE</w:t>
            </w:r>
          </w:p>
        </w:tc>
        <w:tc>
          <w:tcPr>
            <w:tcW w:w="2362" w:type="dxa"/>
            <w:vAlign w:val="center"/>
          </w:tcPr>
          <w:p w14:paraId="593D2378" w14:textId="77777777" w:rsidR="00CD1CEC" w:rsidRDefault="00386CF6" w:rsidP="00A85A22">
            <w:pPr>
              <w:bidi w:val="0"/>
              <w:jc w:val="center"/>
            </w:pPr>
            <w:r>
              <w:t>9 (30%)</w:t>
            </w:r>
          </w:p>
        </w:tc>
      </w:tr>
      <w:tr w:rsidR="00CD1CEC" w14:paraId="3AD1A41B" w14:textId="77777777">
        <w:tc>
          <w:tcPr>
            <w:tcW w:w="1756" w:type="dxa"/>
            <w:vMerge/>
            <w:vAlign w:val="center"/>
          </w:tcPr>
          <w:p w14:paraId="5B69FD1D"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0C202711"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48876F5F" w14:textId="77777777" w:rsidR="00CD1CEC" w:rsidRDefault="00386CF6" w:rsidP="00A85A22">
            <w:pPr>
              <w:bidi w:val="0"/>
              <w:jc w:val="center"/>
              <w:rPr>
                <w:b/>
                <w:bCs/>
              </w:rPr>
            </w:pPr>
            <w:r>
              <w:rPr>
                <w:b/>
                <w:bCs/>
              </w:rPr>
              <w:t>RA</w:t>
            </w:r>
          </w:p>
        </w:tc>
        <w:tc>
          <w:tcPr>
            <w:tcW w:w="2362" w:type="dxa"/>
            <w:vAlign w:val="center"/>
          </w:tcPr>
          <w:p w14:paraId="0EC87232" w14:textId="77777777" w:rsidR="00CD1CEC" w:rsidRDefault="00386CF6" w:rsidP="00A85A22">
            <w:pPr>
              <w:bidi w:val="0"/>
              <w:jc w:val="center"/>
            </w:pPr>
            <w:r>
              <w:t>14 (46.7%)</w:t>
            </w:r>
          </w:p>
        </w:tc>
      </w:tr>
      <w:tr w:rsidR="00CD1CEC" w14:paraId="22510443" w14:textId="77777777">
        <w:tc>
          <w:tcPr>
            <w:tcW w:w="1756" w:type="dxa"/>
            <w:vMerge/>
            <w:vAlign w:val="center"/>
          </w:tcPr>
          <w:p w14:paraId="179185A4"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44C09249"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2AB8CCB8" w14:textId="77777777" w:rsidR="00CD1CEC" w:rsidRDefault="00386CF6" w:rsidP="00A85A22">
            <w:pPr>
              <w:bidi w:val="0"/>
              <w:jc w:val="center"/>
              <w:rPr>
                <w:b/>
                <w:bCs/>
              </w:rPr>
            </w:pPr>
            <w:r>
              <w:rPr>
                <w:b/>
                <w:bCs/>
              </w:rPr>
              <w:t>Behcet’s</w:t>
            </w:r>
          </w:p>
        </w:tc>
        <w:tc>
          <w:tcPr>
            <w:tcW w:w="2362" w:type="dxa"/>
            <w:vAlign w:val="center"/>
          </w:tcPr>
          <w:p w14:paraId="0E926C4A" w14:textId="77777777" w:rsidR="00CD1CEC" w:rsidRDefault="00386CF6" w:rsidP="00A85A22">
            <w:pPr>
              <w:bidi w:val="0"/>
              <w:jc w:val="center"/>
            </w:pPr>
            <w:r>
              <w:t>7 (23.3%)</w:t>
            </w:r>
          </w:p>
        </w:tc>
      </w:tr>
      <w:tr w:rsidR="00CD1CEC" w14:paraId="1DF1F57A" w14:textId="77777777">
        <w:tc>
          <w:tcPr>
            <w:tcW w:w="1756" w:type="dxa"/>
            <w:vMerge w:val="restart"/>
            <w:vAlign w:val="center"/>
          </w:tcPr>
          <w:p w14:paraId="191D4CB8" w14:textId="77777777" w:rsidR="00CD1CEC" w:rsidRDefault="00386CF6" w:rsidP="00A85A22">
            <w:pPr>
              <w:bidi w:val="0"/>
              <w:jc w:val="center"/>
            </w:pPr>
            <w:r>
              <w:rPr>
                <w:b/>
                <w:bCs/>
              </w:rPr>
              <w:t>Clinical Systemic Features</w:t>
            </w:r>
          </w:p>
        </w:tc>
        <w:tc>
          <w:tcPr>
            <w:tcW w:w="4899" w:type="dxa"/>
            <w:gridSpan w:val="3"/>
            <w:vAlign w:val="center"/>
          </w:tcPr>
          <w:p w14:paraId="1414E22C" w14:textId="77777777" w:rsidR="00CD1CEC" w:rsidRDefault="00386CF6" w:rsidP="00A85A22">
            <w:pPr>
              <w:bidi w:val="0"/>
              <w:jc w:val="center"/>
              <w:rPr>
                <w:b/>
                <w:bCs/>
              </w:rPr>
            </w:pPr>
            <w:r>
              <w:rPr>
                <w:b/>
                <w:bCs/>
              </w:rPr>
              <w:t>Joint involvement</w:t>
            </w:r>
          </w:p>
        </w:tc>
        <w:tc>
          <w:tcPr>
            <w:tcW w:w="2362" w:type="dxa"/>
            <w:vAlign w:val="center"/>
          </w:tcPr>
          <w:p w14:paraId="003575B9" w14:textId="77777777" w:rsidR="00CD1CEC" w:rsidRDefault="00386CF6" w:rsidP="00A85A22">
            <w:pPr>
              <w:bidi w:val="0"/>
              <w:jc w:val="center"/>
            </w:pPr>
            <w:r>
              <w:t>27 (90%)</w:t>
            </w:r>
          </w:p>
        </w:tc>
      </w:tr>
      <w:tr w:rsidR="00CD1CEC" w14:paraId="44FFACF4" w14:textId="77777777">
        <w:tc>
          <w:tcPr>
            <w:tcW w:w="1756" w:type="dxa"/>
            <w:vMerge/>
            <w:vAlign w:val="center"/>
          </w:tcPr>
          <w:p w14:paraId="666316CC"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26E714C" w14:textId="77777777" w:rsidR="00CD1CEC" w:rsidRDefault="00386CF6" w:rsidP="00A85A22">
            <w:pPr>
              <w:bidi w:val="0"/>
              <w:jc w:val="center"/>
              <w:rPr>
                <w:b/>
                <w:bCs/>
              </w:rPr>
            </w:pPr>
            <w:r>
              <w:rPr>
                <w:b/>
                <w:bCs/>
              </w:rPr>
              <w:t>Genital ulcers</w:t>
            </w:r>
          </w:p>
        </w:tc>
        <w:tc>
          <w:tcPr>
            <w:tcW w:w="2362" w:type="dxa"/>
            <w:vAlign w:val="center"/>
          </w:tcPr>
          <w:p w14:paraId="61FD1446" w14:textId="77777777" w:rsidR="00CD1CEC" w:rsidRDefault="00386CF6" w:rsidP="00A85A22">
            <w:pPr>
              <w:bidi w:val="0"/>
              <w:jc w:val="center"/>
            </w:pPr>
            <w:r>
              <w:t>6 (20%)</w:t>
            </w:r>
          </w:p>
        </w:tc>
      </w:tr>
      <w:tr w:rsidR="00CD1CEC" w14:paraId="60658E5C" w14:textId="77777777">
        <w:tc>
          <w:tcPr>
            <w:tcW w:w="1756" w:type="dxa"/>
            <w:vMerge/>
            <w:vAlign w:val="center"/>
          </w:tcPr>
          <w:p w14:paraId="1F9AF039"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15FE7D8C" w14:textId="77777777" w:rsidR="00CD1CEC" w:rsidRDefault="00386CF6" w:rsidP="00A85A22">
            <w:pPr>
              <w:bidi w:val="0"/>
              <w:jc w:val="center"/>
              <w:rPr>
                <w:b/>
                <w:bCs/>
              </w:rPr>
            </w:pPr>
            <w:r>
              <w:rPr>
                <w:b/>
                <w:bCs/>
              </w:rPr>
              <w:t>Oral ulcerations</w:t>
            </w:r>
          </w:p>
        </w:tc>
        <w:tc>
          <w:tcPr>
            <w:tcW w:w="2362" w:type="dxa"/>
            <w:vAlign w:val="center"/>
          </w:tcPr>
          <w:p w14:paraId="5F23183C" w14:textId="77777777" w:rsidR="00CD1CEC" w:rsidRDefault="00386CF6" w:rsidP="00A85A22">
            <w:pPr>
              <w:bidi w:val="0"/>
              <w:jc w:val="center"/>
            </w:pPr>
            <w:r>
              <w:t>10 (33.3%)</w:t>
            </w:r>
          </w:p>
        </w:tc>
      </w:tr>
      <w:tr w:rsidR="00CD1CEC" w14:paraId="4D3ADA80" w14:textId="77777777">
        <w:tc>
          <w:tcPr>
            <w:tcW w:w="1756" w:type="dxa"/>
            <w:vMerge/>
            <w:vAlign w:val="center"/>
          </w:tcPr>
          <w:p w14:paraId="33135416"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78DA2B7" w14:textId="77777777" w:rsidR="00CD1CEC" w:rsidRDefault="00386CF6" w:rsidP="00A85A22">
            <w:pPr>
              <w:bidi w:val="0"/>
              <w:jc w:val="center"/>
              <w:rPr>
                <w:b/>
                <w:bCs/>
              </w:rPr>
            </w:pPr>
            <w:r>
              <w:rPr>
                <w:b/>
                <w:bCs/>
              </w:rPr>
              <w:t>Renal involvement</w:t>
            </w:r>
          </w:p>
        </w:tc>
        <w:tc>
          <w:tcPr>
            <w:tcW w:w="2362" w:type="dxa"/>
            <w:vAlign w:val="center"/>
          </w:tcPr>
          <w:p w14:paraId="5FA80E56" w14:textId="77777777" w:rsidR="00CD1CEC" w:rsidRDefault="00386CF6" w:rsidP="00A85A22">
            <w:pPr>
              <w:bidi w:val="0"/>
              <w:jc w:val="center"/>
            </w:pPr>
            <w:r>
              <w:t>4 (13.3%)</w:t>
            </w:r>
          </w:p>
        </w:tc>
      </w:tr>
      <w:tr w:rsidR="00CD1CEC" w14:paraId="4D9B5F73" w14:textId="77777777">
        <w:tc>
          <w:tcPr>
            <w:tcW w:w="1756" w:type="dxa"/>
            <w:vMerge/>
            <w:vAlign w:val="center"/>
          </w:tcPr>
          <w:p w14:paraId="65DD317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1C0BC89" w14:textId="77777777" w:rsidR="00CD1CEC" w:rsidRDefault="00386CF6" w:rsidP="00A85A22">
            <w:pPr>
              <w:bidi w:val="0"/>
              <w:jc w:val="center"/>
              <w:rPr>
                <w:b/>
                <w:bCs/>
              </w:rPr>
            </w:pPr>
            <w:r>
              <w:rPr>
                <w:b/>
                <w:bCs/>
              </w:rPr>
              <w:t>Skin lesions</w:t>
            </w:r>
          </w:p>
        </w:tc>
        <w:tc>
          <w:tcPr>
            <w:tcW w:w="2362" w:type="dxa"/>
            <w:vAlign w:val="center"/>
          </w:tcPr>
          <w:p w14:paraId="0A0DC716" w14:textId="77777777" w:rsidR="00CD1CEC" w:rsidRDefault="00386CF6" w:rsidP="00A85A22">
            <w:pPr>
              <w:bidi w:val="0"/>
              <w:jc w:val="center"/>
            </w:pPr>
            <w:r>
              <w:t>8 (26.7%)</w:t>
            </w:r>
          </w:p>
        </w:tc>
      </w:tr>
      <w:tr w:rsidR="00CD1CEC" w14:paraId="01FDF1FD" w14:textId="77777777">
        <w:tc>
          <w:tcPr>
            <w:tcW w:w="1756" w:type="dxa"/>
            <w:vMerge w:val="restart"/>
            <w:vAlign w:val="center"/>
          </w:tcPr>
          <w:p w14:paraId="5CA98B0E" w14:textId="77777777" w:rsidR="00CD1CEC" w:rsidRDefault="00386CF6" w:rsidP="00A85A22">
            <w:pPr>
              <w:bidi w:val="0"/>
              <w:jc w:val="center"/>
            </w:pPr>
            <w:r>
              <w:rPr>
                <w:b/>
                <w:bCs/>
              </w:rPr>
              <w:t>Neurological Features</w:t>
            </w:r>
          </w:p>
        </w:tc>
        <w:tc>
          <w:tcPr>
            <w:tcW w:w="4899" w:type="dxa"/>
            <w:gridSpan w:val="3"/>
            <w:vAlign w:val="center"/>
          </w:tcPr>
          <w:p w14:paraId="6F486E7A" w14:textId="77777777" w:rsidR="00CD1CEC" w:rsidRDefault="00386CF6" w:rsidP="00A85A22">
            <w:pPr>
              <w:bidi w:val="0"/>
              <w:jc w:val="center"/>
              <w:rPr>
                <w:b/>
                <w:bCs/>
              </w:rPr>
            </w:pPr>
            <w:r>
              <w:rPr>
                <w:b/>
                <w:bCs/>
              </w:rPr>
              <w:t>Headache</w:t>
            </w:r>
          </w:p>
        </w:tc>
        <w:tc>
          <w:tcPr>
            <w:tcW w:w="2362" w:type="dxa"/>
            <w:vAlign w:val="center"/>
          </w:tcPr>
          <w:p w14:paraId="48C328B8" w14:textId="77777777" w:rsidR="00CD1CEC" w:rsidRDefault="00386CF6" w:rsidP="00A85A22">
            <w:pPr>
              <w:bidi w:val="0"/>
              <w:jc w:val="center"/>
            </w:pPr>
            <w:r>
              <w:t>13 (43.3%)</w:t>
            </w:r>
          </w:p>
        </w:tc>
      </w:tr>
      <w:tr w:rsidR="00CD1CEC" w14:paraId="584F4D92" w14:textId="77777777">
        <w:tc>
          <w:tcPr>
            <w:tcW w:w="1756" w:type="dxa"/>
            <w:vMerge/>
            <w:vAlign w:val="center"/>
          </w:tcPr>
          <w:p w14:paraId="063933E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B88F937" w14:textId="77777777" w:rsidR="00CD1CEC" w:rsidRDefault="00386CF6" w:rsidP="00A85A22">
            <w:pPr>
              <w:bidi w:val="0"/>
              <w:jc w:val="center"/>
              <w:rPr>
                <w:b/>
                <w:bCs/>
              </w:rPr>
            </w:pPr>
            <w:r>
              <w:rPr>
                <w:b/>
                <w:bCs/>
              </w:rPr>
              <w:t>Psychosis</w:t>
            </w:r>
          </w:p>
        </w:tc>
        <w:tc>
          <w:tcPr>
            <w:tcW w:w="2362" w:type="dxa"/>
            <w:vAlign w:val="center"/>
          </w:tcPr>
          <w:p w14:paraId="30CD8AB7" w14:textId="77777777" w:rsidR="00CD1CEC" w:rsidRDefault="00386CF6" w:rsidP="00A85A22">
            <w:pPr>
              <w:bidi w:val="0"/>
              <w:jc w:val="center"/>
            </w:pPr>
            <w:r>
              <w:t>4 (13.3%)</w:t>
            </w:r>
          </w:p>
        </w:tc>
      </w:tr>
      <w:tr w:rsidR="00CD1CEC" w14:paraId="511520FC" w14:textId="77777777">
        <w:tc>
          <w:tcPr>
            <w:tcW w:w="1756" w:type="dxa"/>
            <w:vMerge/>
            <w:vAlign w:val="center"/>
          </w:tcPr>
          <w:p w14:paraId="755FB1A1"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32E5449" w14:textId="77777777" w:rsidR="00CD1CEC" w:rsidRDefault="00386CF6" w:rsidP="00A85A22">
            <w:pPr>
              <w:bidi w:val="0"/>
              <w:jc w:val="center"/>
              <w:rPr>
                <w:b/>
                <w:bCs/>
              </w:rPr>
            </w:pPr>
            <w:r>
              <w:rPr>
                <w:b/>
                <w:bCs/>
              </w:rPr>
              <w:t>Peripheral polyneuropathy</w:t>
            </w:r>
          </w:p>
        </w:tc>
        <w:tc>
          <w:tcPr>
            <w:tcW w:w="2362" w:type="dxa"/>
            <w:vAlign w:val="center"/>
          </w:tcPr>
          <w:p w14:paraId="53647CD0" w14:textId="77777777" w:rsidR="00CD1CEC" w:rsidRDefault="00386CF6" w:rsidP="00A85A22">
            <w:pPr>
              <w:bidi w:val="0"/>
              <w:jc w:val="center"/>
            </w:pPr>
            <w:r>
              <w:t>4 (13.3%)</w:t>
            </w:r>
          </w:p>
        </w:tc>
      </w:tr>
      <w:tr w:rsidR="00CD1CEC" w14:paraId="3796F18A" w14:textId="77777777">
        <w:tc>
          <w:tcPr>
            <w:tcW w:w="1756" w:type="dxa"/>
            <w:vMerge/>
            <w:vAlign w:val="center"/>
          </w:tcPr>
          <w:p w14:paraId="329F5331"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25474B01" w14:textId="77777777" w:rsidR="00CD1CEC" w:rsidRDefault="00386CF6" w:rsidP="00A85A22">
            <w:pPr>
              <w:bidi w:val="0"/>
              <w:jc w:val="center"/>
              <w:rPr>
                <w:b/>
                <w:bCs/>
              </w:rPr>
            </w:pPr>
            <w:r>
              <w:rPr>
                <w:b/>
                <w:bCs/>
              </w:rPr>
              <w:t>Hemispherical syndrome</w:t>
            </w:r>
          </w:p>
        </w:tc>
        <w:tc>
          <w:tcPr>
            <w:tcW w:w="2362" w:type="dxa"/>
            <w:vAlign w:val="center"/>
          </w:tcPr>
          <w:p w14:paraId="3B1534CA" w14:textId="77777777" w:rsidR="00CD1CEC" w:rsidRDefault="00386CF6" w:rsidP="00A85A22">
            <w:pPr>
              <w:bidi w:val="0"/>
              <w:jc w:val="center"/>
            </w:pPr>
            <w:r>
              <w:t>2 (6.7%)</w:t>
            </w:r>
          </w:p>
        </w:tc>
      </w:tr>
      <w:tr w:rsidR="00CD1CEC" w14:paraId="04435427" w14:textId="77777777">
        <w:tc>
          <w:tcPr>
            <w:tcW w:w="1756" w:type="dxa"/>
            <w:vMerge/>
            <w:vAlign w:val="center"/>
          </w:tcPr>
          <w:p w14:paraId="34BD11E7"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4648B6E" w14:textId="77777777" w:rsidR="00CD1CEC" w:rsidRDefault="00386CF6" w:rsidP="00A85A22">
            <w:pPr>
              <w:bidi w:val="0"/>
              <w:jc w:val="center"/>
              <w:rPr>
                <w:b/>
                <w:bCs/>
              </w:rPr>
            </w:pPr>
            <w:r>
              <w:rPr>
                <w:b/>
                <w:bCs/>
              </w:rPr>
              <w:t>Seizure disorder</w:t>
            </w:r>
          </w:p>
        </w:tc>
        <w:tc>
          <w:tcPr>
            <w:tcW w:w="2362" w:type="dxa"/>
            <w:vAlign w:val="center"/>
          </w:tcPr>
          <w:p w14:paraId="3045E3DD" w14:textId="77777777" w:rsidR="00CD1CEC" w:rsidRDefault="00386CF6" w:rsidP="00A85A22">
            <w:pPr>
              <w:bidi w:val="0"/>
              <w:jc w:val="center"/>
            </w:pPr>
            <w:r>
              <w:t>2 (6.7%)</w:t>
            </w:r>
          </w:p>
        </w:tc>
      </w:tr>
      <w:tr w:rsidR="00CD1CEC" w14:paraId="5EE90AFC" w14:textId="77777777">
        <w:tc>
          <w:tcPr>
            <w:tcW w:w="1756" w:type="dxa"/>
            <w:vMerge/>
            <w:vAlign w:val="center"/>
          </w:tcPr>
          <w:p w14:paraId="26001EDB"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6DAC845C" w14:textId="77777777" w:rsidR="00CD1CEC" w:rsidRDefault="00386CF6" w:rsidP="00A85A22">
            <w:pPr>
              <w:bidi w:val="0"/>
              <w:jc w:val="center"/>
              <w:rPr>
                <w:b/>
                <w:bCs/>
              </w:rPr>
            </w:pPr>
            <w:r>
              <w:rPr>
                <w:b/>
                <w:bCs/>
              </w:rPr>
              <w:t>Autonomic disorder</w:t>
            </w:r>
          </w:p>
        </w:tc>
        <w:tc>
          <w:tcPr>
            <w:tcW w:w="2362" w:type="dxa"/>
            <w:vAlign w:val="center"/>
          </w:tcPr>
          <w:p w14:paraId="0E5E9E3C" w14:textId="77777777" w:rsidR="00CD1CEC" w:rsidRDefault="00386CF6" w:rsidP="00A85A22">
            <w:pPr>
              <w:bidi w:val="0"/>
              <w:jc w:val="center"/>
            </w:pPr>
            <w:r>
              <w:t>2 (6.7%)</w:t>
            </w:r>
          </w:p>
        </w:tc>
      </w:tr>
      <w:tr w:rsidR="00CD1CEC" w14:paraId="41B38055" w14:textId="77777777">
        <w:tc>
          <w:tcPr>
            <w:tcW w:w="1756" w:type="dxa"/>
            <w:vMerge/>
            <w:vAlign w:val="center"/>
          </w:tcPr>
          <w:p w14:paraId="2D573F50"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724AAC5" w14:textId="77777777" w:rsidR="00CD1CEC" w:rsidRDefault="00386CF6" w:rsidP="00A85A22">
            <w:pPr>
              <w:bidi w:val="0"/>
              <w:jc w:val="center"/>
              <w:rPr>
                <w:b/>
                <w:bCs/>
              </w:rPr>
            </w:pPr>
            <w:r>
              <w:rPr>
                <w:b/>
                <w:bCs/>
              </w:rPr>
              <w:t>Cognitive dysfunction</w:t>
            </w:r>
          </w:p>
        </w:tc>
        <w:tc>
          <w:tcPr>
            <w:tcW w:w="2362" w:type="dxa"/>
            <w:vAlign w:val="center"/>
          </w:tcPr>
          <w:p w14:paraId="24B7FEB7" w14:textId="77777777" w:rsidR="00CD1CEC" w:rsidRDefault="00386CF6" w:rsidP="00A85A22">
            <w:pPr>
              <w:bidi w:val="0"/>
              <w:jc w:val="center"/>
            </w:pPr>
            <w:r>
              <w:t>2 (6.7%)</w:t>
            </w:r>
          </w:p>
        </w:tc>
      </w:tr>
      <w:tr w:rsidR="00CD1CEC" w14:paraId="4018409B" w14:textId="77777777">
        <w:tc>
          <w:tcPr>
            <w:tcW w:w="1756" w:type="dxa"/>
            <w:vMerge/>
            <w:vAlign w:val="center"/>
          </w:tcPr>
          <w:p w14:paraId="1E4F0C2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99214C0" w14:textId="77777777" w:rsidR="00CD1CEC" w:rsidRDefault="00386CF6" w:rsidP="00A85A22">
            <w:pPr>
              <w:bidi w:val="0"/>
              <w:jc w:val="center"/>
              <w:rPr>
                <w:b/>
                <w:bCs/>
              </w:rPr>
            </w:pPr>
            <w:r>
              <w:rPr>
                <w:b/>
                <w:bCs/>
              </w:rPr>
              <w:t>Cranial neuropathy</w:t>
            </w:r>
          </w:p>
        </w:tc>
        <w:tc>
          <w:tcPr>
            <w:tcW w:w="2362" w:type="dxa"/>
            <w:vAlign w:val="center"/>
          </w:tcPr>
          <w:p w14:paraId="5432E8C2" w14:textId="77777777" w:rsidR="00CD1CEC" w:rsidRDefault="00386CF6" w:rsidP="00A85A22">
            <w:pPr>
              <w:bidi w:val="0"/>
              <w:jc w:val="center"/>
            </w:pPr>
            <w:r>
              <w:t>1 (3.3%)</w:t>
            </w:r>
          </w:p>
        </w:tc>
      </w:tr>
      <w:tr w:rsidR="00CD1CEC" w14:paraId="3AD07437" w14:textId="77777777">
        <w:tc>
          <w:tcPr>
            <w:tcW w:w="1756" w:type="dxa"/>
            <w:vMerge w:val="restart"/>
            <w:vAlign w:val="center"/>
          </w:tcPr>
          <w:p w14:paraId="7D7343E2" w14:textId="77777777" w:rsidR="00CD1CEC" w:rsidRDefault="00386CF6" w:rsidP="00A85A22">
            <w:pPr>
              <w:bidi w:val="0"/>
              <w:jc w:val="center"/>
            </w:pPr>
            <w:r>
              <w:rPr>
                <w:b/>
                <w:bCs/>
              </w:rPr>
              <w:t>Laboratory Findings</w:t>
            </w:r>
          </w:p>
        </w:tc>
        <w:tc>
          <w:tcPr>
            <w:tcW w:w="4899" w:type="dxa"/>
            <w:gridSpan w:val="3"/>
            <w:vAlign w:val="center"/>
          </w:tcPr>
          <w:p w14:paraId="4A00438A" w14:textId="77777777" w:rsidR="00CD1CEC" w:rsidRDefault="00386CF6" w:rsidP="00A85A22">
            <w:pPr>
              <w:bidi w:val="0"/>
              <w:jc w:val="center"/>
              <w:rPr>
                <w:b/>
                <w:bCs/>
              </w:rPr>
            </w:pPr>
            <w:r>
              <w:rPr>
                <w:b/>
                <w:bCs/>
              </w:rPr>
              <w:t>Hb (mg/dL)</w:t>
            </w:r>
          </w:p>
        </w:tc>
        <w:tc>
          <w:tcPr>
            <w:tcW w:w="2362" w:type="dxa"/>
            <w:vAlign w:val="center"/>
          </w:tcPr>
          <w:p w14:paraId="072BEA84" w14:textId="77777777" w:rsidR="00CD1CEC" w:rsidRDefault="00386CF6" w:rsidP="00A85A22">
            <w:pPr>
              <w:bidi w:val="0"/>
              <w:jc w:val="center"/>
            </w:pPr>
            <w:r>
              <w:t>11.1 ± 0.97</w:t>
            </w:r>
          </w:p>
        </w:tc>
      </w:tr>
      <w:tr w:rsidR="00CD1CEC" w14:paraId="0C7A7D1F" w14:textId="77777777">
        <w:tc>
          <w:tcPr>
            <w:tcW w:w="1756" w:type="dxa"/>
            <w:vMerge/>
            <w:vAlign w:val="center"/>
          </w:tcPr>
          <w:p w14:paraId="6A07268A"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2F5E5DB1" w14:textId="77777777" w:rsidR="00CD1CEC" w:rsidRDefault="00386CF6" w:rsidP="00A85A22">
            <w:pPr>
              <w:bidi w:val="0"/>
              <w:jc w:val="center"/>
              <w:rPr>
                <w:b/>
                <w:bCs/>
              </w:rPr>
            </w:pPr>
            <w:r>
              <w:rPr>
                <w:b/>
                <w:bCs/>
              </w:rPr>
              <w:t>Platelet count (×10⁹/L)</w:t>
            </w:r>
          </w:p>
        </w:tc>
        <w:tc>
          <w:tcPr>
            <w:tcW w:w="2362" w:type="dxa"/>
            <w:vAlign w:val="center"/>
          </w:tcPr>
          <w:p w14:paraId="523D15CF" w14:textId="77777777" w:rsidR="00CD1CEC" w:rsidRDefault="00386CF6" w:rsidP="00A85A22">
            <w:pPr>
              <w:bidi w:val="0"/>
              <w:jc w:val="center"/>
            </w:pPr>
            <w:r>
              <w:t>283.2 ± 35.1</w:t>
            </w:r>
          </w:p>
        </w:tc>
      </w:tr>
      <w:tr w:rsidR="00CD1CEC" w14:paraId="0D9A0D8D" w14:textId="77777777">
        <w:tc>
          <w:tcPr>
            <w:tcW w:w="1756" w:type="dxa"/>
            <w:vMerge/>
            <w:vAlign w:val="center"/>
          </w:tcPr>
          <w:p w14:paraId="521EB659"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F4654FC" w14:textId="77777777" w:rsidR="00CD1CEC" w:rsidRDefault="00386CF6" w:rsidP="00A85A22">
            <w:pPr>
              <w:bidi w:val="0"/>
              <w:jc w:val="center"/>
              <w:rPr>
                <w:b/>
                <w:bCs/>
              </w:rPr>
            </w:pPr>
            <w:r>
              <w:rPr>
                <w:b/>
                <w:bCs/>
              </w:rPr>
              <w:t>Random blood sugar (mg/dL)</w:t>
            </w:r>
          </w:p>
        </w:tc>
        <w:tc>
          <w:tcPr>
            <w:tcW w:w="2362" w:type="dxa"/>
            <w:vAlign w:val="center"/>
          </w:tcPr>
          <w:p w14:paraId="483753E3" w14:textId="77777777" w:rsidR="00CD1CEC" w:rsidRDefault="00386CF6" w:rsidP="00A85A22">
            <w:pPr>
              <w:bidi w:val="0"/>
              <w:jc w:val="center"/>
            </w:pPr>
            <w:r>
              <w:t>115.2 ± 29.8</w:t>
            </w:r>
          </w:p>
        </w:tc>
      </w:tr>
      <w:tr w:rsidR="00CD1CEC" w14:paraId="2D118FF8" w14:textId="77777777">
        <w:tc>
          <w:tcPr>
            <w:tcW w:w="1756" w:type="dxa"/>
            <w:vMerge/>
            <w:vAlign w:val="center"/>
          </w:tcPr>
          <w:p w14:paraId="6A0684C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1720CD17" w14:textId="77777777" w:rsidR="00CD1CEC" w:rsidRDefault="00386CF6" w:rsidP="00A85A22">
            <w:pPr>
              <w:bidi w:val="0"/>
              <w:jc w:val="center"/>
              <w:rPr>
                <w:b/>
                <w:bCs/>
              </w:rPr>
            </w:pPr>
            <w:r>
              <w:rPr>
                <w:b/>
                <w:bCs/>
              </w:rPr>
              <w:t>ALT (U/L)</w:t>
            </w:r>
          </w:p>
        </w:tc>
        <w:tc>
          <w:tcPr>
            <w:tcW w:w="2362" w:type="dxa"/>
            <w:vAlign w:val="center"/>
          </w:tcPr>
          <w:p w14:paraId="6068BC6D" w14:textId="77777777" w:rsidR="00CD1CEC" w:rsidRDefault="00386CF6" w:rsidP="00A85A22">
            <w:pPr>
              <w:bidi w:val="0"/>
              <w:jc w:val="center"/>
            </w:pPr>
            <w:r>
              <w:t>33.4 ± 7.7</w:t>
            </w:r>
          </w:p>
        </w:tc>
      </w:tr>
      <w:tr w:rsidR="00CD1CEC" w14:paraId="326AA864" w14:textId="77777777">
        <w:tc>
          <w:tcPr>
            <w:tcW w:w="1756" w:type="dxa"/>
            <w:vMerge/>
            <w:vAlign w:val="center"/>
          </w:tcPr>
          <w:p w14:paraId="15CCE5ED"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09D7DDA" w14:textId="77777777" w:rsidR="00CD1CEC" w:rsidRDefault="00386CF6" w:rsidP="00A85A22">
            <w:pPr>
              <w:bidi w:val="0"/>
              <w:jc w:val="center"/>
              <w:rPr>
                <w:b/>
                <w:bCs/>
              </w:rPr>
            </w:pPr>
            <w:r>
              <w:rPr>
                <w:b/>
                <w:bCs/>
              </w:rPr>
              <w:t>AST (U/L)</w:t>
            </w:r>
          </w:p>
        </w:tc>
        <w:tc>
          <w:tcPr>
            <w:tcW w:w="2362" w:type="dxa"/>
            <w:vAlign w:val="center"/>
          </w:tcPr>
          <w:p w14:paraId="64F1FC58" w14:textId="77777777" w:rsidR="00CD1CEC" w:rsidRDefault="00386CF6" w:rsidP="00A85A22">
            <w:pPr>
              <w:bidi w:val="0"/>
              <w:jc w:val="center"/>
            </w:pPr>
            <w:r>
              <w:t>47.1 ± 17.5</w:t>
            </w:r>
          </w:p>
        </w:tc>
      </w:tr>
      <w:tr w:rsidR="00CD1CEC" w14:paraId="20CF8935" w14:textId="77777777">
        <w:tc>
          <w:tcPr>
            <w:tcW w:w="1756" w:type="dxa"/>
            <w:vMerge/>
            <w:vAlign w:val="center"/>
          </w:tcPr>
          <w:p w14:paraId="40CAD7CC"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40C59449" w14:textId="77777777" w:rsidR="00CD1CEC" w:rsidRDefault="00386CF6" w:rsidP="00A85A22">
            <w:pPr>
              <w:bidi w:val="0"/>
              <w:jc w:val="center"/>
              <w:rPr>
                <w:b/>
                <w:bCs/>
              </w:rPr>
            </w:pPr>
            <w:r>
              <w:rPr>
                <w:b/>
                <w:bCs/>
              </w:rPr>
              <w:t>Creatinine (mg/dL)</w:t>
            </w:r>
          </w:p>
        </w:tc>
        <w:tc>
          <w:tcPr>
            <w:tcW w:w="2362" w:type="dxa"/>
            <w:vAlign w:val="center"/>
          </w:tcPr>
          <w:p w14:paraId="76D692ED" w14:textId="77777777" w:rsidR="00CD1CEC" w:rsidRDefault="00386CF6" w:rsidP="00A85A22">
            <w:pPr>
              <w:bidi w:val="0"/>
              <w:jc w:val="center"/>
            </w:pPr>
            <w:r>
              <w:t>1.4 ± 0.46</w:t>
            </w:r>
          </w:p>
        </w:tc>
      </w:tr>
      <w:tr w:rsidR="00CD1CEC" w14:paraId="54BB91AC" w14:textId="77777777">
        <w:tc>
          <w:tcPr>
            <w:tcW w:w="1756" w:type="dxa"/>
            <w:vMerge/>
            <w:vAlign w:val="center"/>
          </w:tcPr>
          <w:p w14:paraId="54CF7A83"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369BDFA3" w14:textId="77777777" w:rsidR="00CD1CEC" w:rsidRDefault="00386CF6" w:rsidP="00A85A22">
            <w:pPr>
              <w:bidi w:val="0"/>
              <w:jc w:val="center"/>
              <w:rPr>
                <w:b/>
                <w:bCs/>
              </w:rPr>
            </w:pPr>
            <w:r>
              <w:rPr>
                <w:b/>
                <w:bCs/>
              </w:rPr>
              <w:t>Urea (mg/dL)</w:t>
            </w:r>
          </w:p>
        </w:tc>
        <w:tc>
          <w:tcPr>
            <w:tcW w:w="2362" w:type="dxa"/>
            <w:vAlign w:val="center"/>
          </w:tcPr>
          <w:p w14:paraId="14DF4736" w14:textId="77777777" w:rsidR="00CD1CEC" w:rsidRDefault="00386CF6" w:rsidP="00A85A22">
            <w:pPr>
              <w:bidi w:val="0"/>
              <w:jc w:val="center"/>
            </w:pPr>
            <w:r>
              <w:t>47.1 ± 17.5</w:t>
            </w:r>
          </w:p>
        </w:tc>
      </w:tr>
      <w:tr w:rsidR="00CD1CEC" w14:paraId="4ECBDD85" w14:textId="77777777">
        <w:tc>
          <w:tcPr>
            <w:tcW w:w="1756" w:type="dxa"/>
            <w:vMerge/>
            <w:vAlign w:val="center"/>
          </w:tcPr>
          <w:p w14:paraId="3AD05005"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649AB62B" w14:textId="77777777" w:rsidR="00CD1CEC" w:rsidRDefault="00386CF6" w:rsidP="00A85A22">
            <w:pPr>
              <w:bidi w:val="0"/>
              <w:jc w:val="center"/>
              <w:rPr>
                <w:b/>
                <w:bCs/>
              </w:rPr>
            </w:pPr>
            <w:r>
              <w:rPr>
                <w:b/>
                <w:bCs/>
              </w:rPr>
              <w:t>Total cholesterol (mg/dL)</w:t>
            </w:r>
          </w:p>
        </w:tc>
        <w:tc>
          <w:tcPr>
            <w:tcW w:w="2362" w:type="dxa"/>
            <w:vAlign w:val="center"/>
          </w:tcPr>
          <w:p w14:paraId="1E4B6E1C" w14:textId="77777777" w:rsidR="00CD1CEC" w:rsidRDefault="00386CF6" w:rsidP="00A85A22">
            <w:pPr>
              <w:bidi w:val="0"/>
              <w:jc w:val="center"/>
            </w:pPr>
            <w:r>
              <w:t>220.1 ± 30.3</w:t>
            </w:r>
          </w:p>
        </w:tc>
      </w:tr>
      <w:tr w:rsidR="00CD1CEC" w14:paraId="779D332F" w14:textId="77777777">
        <w:tc>
          <w:tcPr>
            <w:tcW w:w="1756" w:type="dxa"/>
            <w:vMerge/>
            <w:vAlign w:val="center"/>
          </w:tcPr>
          <w:p w14:paraId="7DFE1DBD"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18C7E77B" w14:textId="77777777" w:rsidR="00CD1CEC" w:rsidRDefault="00386CF6" w:rsidP="00A85A22">
            <w:pPr>
              <w:bidi w:val="0"/>
              <w:jc w:val="center"/>
              <w:rPr>
                <w:b/>
                <w:bCs/>
              </w:rPr>
            </w:pPr>
            <w:r>
              <w:rPr>
                <w:b/>
                <w:bCs/>
              </w:rPr>
              <w:t>Triglycerides (mg/dL)</w:t>
            </w:r>
          </w:p>
        </w:tc>
        <w:tc>
          <w:tcPr>
            <w:tcW w:w="2362" w:type="dxa"/>
            <w:vAlign w:val="center"/>
          </w:tcPr>
          <w:p w14:paraId="48080B10" w14:textId="77777777" w:rsidR="00CD1CEC" w:rsidRDefault="00386CF6" w:rsidP="00A85A22">
            <w:pPr>
              <w:bidi w:val="0"/>
              <w:jc w:val="center"/>
            </w:pPr>
            <w:r>
              <w:t>178.9 ± 59.2</w:t>
            </w:r>
          </w:p>
        </w:tc>
      </w:tr>
      <w:tr w:rsidR="00CD1CEC" w14:paraId="546F5879" w14:textId="77777777">
        <w:tc>
          <w:tcPr>
            <w:tcW w:w="1756" w:type="dxa"/>
            <w:vMerge/>
            <w:vAlign w:val="center"/>
          </w:tcPr>
          <w:p w14:paraId="64C19220"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10FBFCC" w14:textId="77777777" w:rsidR="00CD1CEC" w:rsidRDefault="00386CF6" w:rsidP="00A85A22">
            <w:pPr>
              <w:bidi w:val="0"/>
              <w:jc w:val="center"/>
              <w:rPr>
                <w:b/>
                <w:bCs/>
              </w:rPr>
            </w:pPr>
            <w:r>
              <w:rPr>
                <w:b/>
                <w:bCs/>
              </w:rPr>
              <w:t>HDL (mg/dL)</w:t>
            </w:r>
          </w:p>
        </w:tc>
        <w:tc>
          <w:tcPr>
            <w:tcW w:w="2362" w:type="dxa"/>
            <w:vAlign w:val="center"/>
          </w:tcPr>
          <w:p w14:paraId="043DDDB7" w14:textId="77777777" w:rsidR="00CD1CEC" w:rsidRDefault="00386CF6" w:rsidP="00A85A22">
            <w:pPr>
              <w:bidi w:val="0"/>
              <w:jc w:val="center"/>
            </w:pPr>
            <w:r>
              <w:t>46.9 ± 8.1</w:t>
            </w:r>
          </w:p>
        </w:tc>
      </w:tr>
      <w:tr w:rsidR="00CD1CEC" w14:paraId="416A7C8A" w14:textId="77777777">
        <w:tc>
          <w:tcPr>
            <w:tcW w:w="1756" w:type="dxa"/>
            <w:vMerge/>
            <w:vAlign w:val="center"/>
          </w:tcPr>
          <w:p w14:paraId="4EA1ED20"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3512D64B" w14:textId="77777777" w:rsidR="00CD1CEC" w:rsidRDefault="00386CF6" w:rsidP="00A85A22">
            <w:pPr>
              <w:bidi w:val="0"/>
              <w:jc w:val="center"/>
              <w:rPr>
                <w:b/>
                <w:bCs/>
              </w:rPr>
            </w:pPr>
            <w:r>
              <w:rPr>
                <w:b/>
                <w:bCs/>
              </w:rPr>
              <w:t>LDL (mg/dL)</w:t>
            </w:r>
          </w:p>
        </w:tc>
        <w:tc>
          <w:tcPr>
            <w:tcW w:w="2362" w:type="dxa"/>
            <w:vAlign w:val="center"/>
          </w:tcPr>
          <w:p w14:paraId="2EB3C3C7" w14:textId="77777777" w:rsidR="00CD1CEC" w:rsidRDefault="00386CF6" w:rsidP="00A85A22">
            <w:pPr>
              <w:bidi w:val="0"/>
              <w:jc w:val="center"/>
            </w:pPr>
            <w:r>
              <w:t>137.4 ± 25.5</w:t>
            </w:r>
          </w:p>
        </w:tc>
      </w:tr>
      <w:tr w:rsidR="00CD1CEC" w14:paraId="410202FC" w14:textId="77777777">
        <w:tc>
          <w:tcPr>
            <w:tcW w:w="1756" w:type="dxa"/>
            <w:vMerge/>
            <w:vAlign w:val="center"/>
          </w:tcPr>
          <w:p w14:paraId="2D388C6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6D6F3630" w14:textId="77777777" w:rsidR="00CD1CEC" w:rsidRDefault="00386CF6" w:rsidP="00A85A22">
            <w:pPr>
              <w:bidi w:val="0"/>
              <w:jc w:val="center"/>
              <w:rPr>
                <w:b/>
                <w:bCs/>
              </w:rPr>
            </w:pPr>
            <w:r>
              <w:rPr>
                <w:b/>
                <w:bCs/>
              </w:rPr>
              <w:t>INR</w:t>
            </w:r>
          </w:p>
        </w:tc>
        <w:tc>
          <w:tcPr>
            <w:tcW w:w="2362" w:type="dxa"/>
            <w:vAlign w:val="center"/>
          </w:tcPr>
          <w:p w14:paraId="5E7EC96B" w14:textId="77777777" w:rsidR="00CD1CEC" w:rsidRDefault="00386CF6" w:rsidP="00A85A22">
            <w:pPr>
              <w:bidi w:val="0"/>
              <w:jc w:val="center"/>
            </w:pPr>
            <w:r>
              <w:t>1.2 ± 0.2</w:t>
            </w:r>
          </w:p>
        </w:tc>
      </w:tr>
      <w:tr w:rsidR="00CD1CEC" w14:paraId="458EEE9A" w14:textId="77777777">
        <w:tc>
          <w:tcPr>
            <w:tcW w:w="1756" w:type="dxa"/>
            <w:vMerge/>
            <w:vAlign w:val="center"/>
          </w:tcPr>
          <w:p w14:paraId="053953B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34D68FA" w14:textId="77777777" w:rsidR="00CD1CEC" w:rsidRDefault="00386CF6" w:rsidP="00A85A22">
            <w:pPr>
              <w:bidi w:val="0"/>
              <w:jc w:val="center"/>
              <w:rPr>
                <w:b/>
                <w:bCs/>
              </w:rPr>
            </w:pPr>
            <w:r>
              <w:rPr>
                <w:b/>
                <w:bCs/>
              </w:rPr>
              <w:t>PTT (sec)</w:t>
            </w:r>
          </w:p>
        </w:tc>
        <w:tc>
          <w:tcPr>
            <w:tcW w:w="2362" w:type="dxa"/>
            <w:vAlign w:val="center"/>
          </w:tcPr>
          <w:p w14:paraId="4BC0FBF6" w14:textId="77777777" w:rsidR="00CD1CEC" w:rsidRDefault="00386CF6" w:rsidP="00A85A22">
            <w:pPr>
              <w:bidi w:val="0"/>
              <w:jc w:val="center"/>
            </w:pPr>
            <w:r>
              <w:t>12.6 ± 0.97</w:t>
            </w:r>
          </w:p>
        </w:tc>
      </w:tr>
      <w:tr w:rsidR="00CD1CEC" w14:paraId="1C9FFA9F" w14:textId="77777777">
        <w:tc>
          <w:tcPr>
            <w:tcW w:w="1756" w:type="dxa"/>
            <w:vMerge/>
            <w:vAlign w:val="center"/>
          </w:tcPr>
          <w:p w14:paraId="17645972"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FC83989" w14:textId="77777777" w:rsidR="00CD1CEC" w:rsidRDefault="00386CF6" w:rsidP="00A85A22">
            <w:pPr>
              <w:bidi w:val="0"/>
              <w:jc w:val="center"/>
              <w:rPr>
                <w:b/>
                <w:bCs/>
              </w:rPr>
            </w:pPr>
            <w:r>
              <w:rPr>
                <w:b/>
                <w:bCs/>
              </w:rPr>
              <w:t>ESR (mm/hr)</w:t>
            </w:r>
          </w:p>
        </w:tc>
        <w:tc>
          <w:tcPr>
            <w:tcW w:w="2362" w:type="dxa"/>
            <w:vAlign w:val="center"/>
          </w:tcPr>
          <w:p w14:paraId="3F5435C7" w14:textId="77777777" w:rsidR="00CD1CEC" w:rsidRDefault="00386CF6" w:rsidP="00A85A22">
            <w:pPr>
              <w:bidi w:val="0"/>
              <w:jc w:val="center"/>
            </w:pPr>
            <w:r>
              <w:t>67.6 ± 15.1</w:t>
            </w:r>
          </w:p>
        </w:tc>
      </w:tr>
      <w:tr w:rsidR="00CD1CEC" w14:paraId="65A503E0" w14:textId="77777777">
        <w:tc>
          <w:tcPr>
            <w:tcW w:w="1756" w:type="dxa"/>
            <w:vMerge/>
            <w:vAlign w:val="center"/>
          </w:tcPr>
          <w:p w14:paraId="405E6BB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1584AE5" w14:textId="77777777" w:rsidR="00CD1CEC" w:rsidRDefault="00386CF6" w:rsidP="00A85A22">
            <w:pPr>
              <w:bidi w:val="0"/>
              <w:jc w:val="center"/>
              <w:rPr>
                <w:b/>
                <w:bCs/>
              </w:rPr>
            </w:pPr>
            <w:r>
              <w:rPr>
                <w:b/>
                <w:bCs/>
              </w:rPr>
              <w:t>CRP (mg/L)</w:t>
            </w:r>
          </w:p>
        </w:tc>
        <w:tc>
          <w:tcPr>
            <w:tcW w:w="2362" w:type="dxa"/>
            <w:vAlign w:val="center"/>
          </w:tcPr>
          <w:p w14:paraId="333DD1C3" w14:textId="77777777" w:rsidR="00CD1CEC" w:rsidRDefault="00386CF6" w:rsidP="00A85A22">
            <w:pPr>
              <w:bidi w:val="0"/>
              <w:jc w:val="center"/>
            </w:pPr>
            <w:r>
              <w:t>64.8 ± 14.8</w:t>
            </w:r>
          </w:p>
        </w:tc>
      </w:tr>
      <w:tr w:rsidR="00CD1CEC" w14:paraId="11F60C99" w14:textId="77777777">
        <w:tc>
          <w:tcPr>
            <w:tcW w:w="1756" w:type="dxa"/>
            <w:vMerge w:val="restart"/>
            <w:vAlign w:val="center"/>
          </w:tcPr>
          <w:p w14:paraId="06928C25" w14:textId="77777777" w:rsidR="00CD1CEC" w:rsidRDefault="00386CF6" w:rsidP="00A85A22">
            <w:pPr>
              <w:bidi w:val="0"/>
              <w:jc w:val="center"/>
            </w:pPr>
            <w:r>
              <w:rPr>
                <w:b/>
                <w:bCs/>
              </w:rPr>
              <w:t>Serological Findings</w:t>
            </w:r>
          </w:p>
        </w:tc>
        <w:tc>
          <w:tcPr>
            <w:tcW w:w="4899" w:type="dxa"/>
            <w:gridSpan w:val="3"/>
            <w:vAlign w:val="center"/>
          </w:tcPr>
          <w:p w14:paraId="3F17287B" w14:textId="77777777" w:rsidR="00CD1CEC" w:rsidRDefault="00386CF6" w:rsidP="00A85A22">
            <w:pPr>
              <w:bidi w:val="0"/>
              <w:jc w:val="center"/>
              <w:rPr>
                <w:b/>
                <w:bCs/>
              </w:rPr>
            </w:pPr>
            <w:r>
              <w:rPr>
                <w:b/>
                <w:bCs/>
              </w:rPr>
              <w:t>ANA positive</w:t>
            </w:r>
          </w:p>
        </w:tc>
        <w:tc>
          <w:tcPr>
            <w:tcW w:w="2362" w:type="dxa"/>
            <w:vAlign w:val="center"/>
          </w:tcPr>
          <w:p w14:paraId="7678C3A2" w14:textId="77777777" w:rsidR="00CD1CEC" w:rsidRDefault="00386CF6" w:rsidP="00A85A22">
            <w:pPr>
              <w:bidi w:val="0"/>
              <w:jc w:val="center"/>
            </w:pPr>
            <w:r>
              <w:t>19 (63.3%)</w:t>
            </w:r>
          </w:p>
        </w:tc>
      </w:tr>
      <w:tr w:rsidR="00CD1CEC" w14:paraId="674F15A1" w14:textId="77777777">
        <w:tc>
          <w:tcPr>
            <w:tcW w:w="1756" w:type="dxa"/>
            <w:vMerge/>
            <w:vAlign w:val="center"/>
          </w:tcPr>
          <w:p w14:paraId="274E0F0B"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8A3DB14" w14:textId="77777777" w:rsidR="00CD1CEC" w:rsidRDefault="00386CF6" w:rsidP="00A85A22">
            <w:pPr>
              <w:bidi w:val="0"/>
              <w:jc w:val="center"/>
              <w:rPr>
                <w:b/>
                <w:bCs/>
              </w:rPr>
            </w:pPr>
            <w:r>
              <w:rPr>
                <w:b/>
                <w:bCs/>
              </w:rPr>
              <w:t>Anti-dsDNA antibodies</w:t>
            </w:r>
          </w:p>
        </w:tc>
        <w:tc>
          <w:tcPr>
            <w:tcW w:w="2362" w:type="dxa"/>
            <w:vAlign w:val="center"/>
          </w:tcPr>
          <w:p w14:paraId="41189669" w14:textId="77777777" w:rsidR="00CD1CEC" w:rsidRDefault="00386CF6" w:rsidP="00A85A22">
            <w:pPr>
              <w:bidi w:val="0"/>
              <w:jc w:val="center"/>
            </w:pPr>
            <w:r>
              <w:t>9 (30%)</w:t>
            </w:r>
          </w:p>
        </w:tc>
      </w:tr>
      <w:tr w:rsidR="00CD1CEC" w14:paraId="7840858C" w14:textId="77777777">
        <w:tc>
          <w:tcPr>
            <w:tcW w:w="1756" w:type="dxa"/>
            <w:vMerge/>
            <w:vAlign w:val="center"/>
          </w:tcPr>
          <w:p w14:paraId="5FFDB95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23BD6354" w14:textId="77777777" w:rsidR="00CD1CEC" w:rsidRDefault="00386CF6" w:rsidP="00A85A22">
            <w:pPr>
              <w:bidi w:val="0"/>
              <w:jc w:val="center"/>
              <w:rPr>
                <w:b/>
                <w:bCs/>
              </w:rPr>
            </w:pPr>
            <w:r>
              <w:rPr>
                <w:b/>
                <w:bCs/>
              </w:rPr>
              <w:t>Anti-Ro antibodies</w:t>
            </w:r>
          </w:p>
        </w:tc>
        <w:tc>
          <w:tcPr>
            <w:tcW w:w="2362" w:type="dxa"/>
            <w:vAlign w:val="center"/>
          </w:tcPr>
          <w:p w14:paraId="339863FC" w14:textId="77777777" w:rsidR="00CD1CEC" w:rsidRDefault="00386CF6" w:rsidP="00A85A22">
            <w:pPr>
              <w:bidi w:val="0"/>
              <w:jc w:val="center"/>
            </w:pPr>
            <w:r>
              <w:t>8 (26.7%)</w:t>
            </w:r>
          </w:p>
        </w:tc>
      </w:tr>
      <w:tr w:rsidR="00CD1CEC" w14:paraId="2E3AB576" w14:textId="77777777">
        <w:tc>
          <w:tcPr>
            <w:tcW w:w="1756" w:type="dxa"/>
            <w:vMerge/>
            <w:vAlign w:val="center"/>
          </w:tcPr>
          <w:p w14:paraId="5E50453E"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487D3F41" w14:textId="77777777" w:rsidR="00CD1CEC" w:rsidRDefault="00386CF6" w:rsidP="00A85A22">
            <w:pPr>
              <w:bidi w:val="0"/>
              <w:jc w:val="center"/>
              <w:rPr>
                <w:b/>
                <w:bCs/>
              </w:rPr>
            </w:pPr>
            <w:r>
              <w:rPr>
                <w:b/>
                <w:bCs/>
              </w:rPr>
              <w:t>Anti-CCP antibodies</w:t>
            </w:r>
          </w:p>
        </w:tc>
        <w:tc>
          <w:tcPr>
            <w:tcW w:w="2362" w:type="dxa"/>
            <w:vAlign w:val="center"/>
          </w:tcPr>
          <w:p w14:paraId="07F07164" w14:textId="77777777" w:rsidR="00CD1CEC" w:rsidRDefault="00386CF6" w:rsidP="00A85A22">
            <w:pPr>
              <w:bidi w:val="0"/>
              <w:jc w:val="center"/>
            </w:pPr>
            <w:r>
              <w:t>13 (43.3%)</w:t>
            </w:r>
          </w:p>
        </w:tc>
      </w:tr>
      <w:tr w:rsidR="00CD1CEC" w14:paraId="476CE2B7" w14:textId="77777777">
        <w:tc>
          <w:tcPr>
            <w:tcW w:w="1756" w:type="dxa"/>
            <w:vMerge/>
            <w:vAlign w:val="center"/>
          </w:tcPr>
          <w:p w14:paraId="1D50492F"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2C145755" w14:textId="77777777" w:rsidR="00CD1CEC" w:rsidRDefault="00386CF6" w:rsidP="00A85A22">
            <w:pPr>
              <w:bidi w:val="0"/>
              <w:jc w:val="center"/>
              <w:rPr>
                <w:b/>
                <w:bCs/>
              </w:rPr>
            </w:pPr>
            <w:r>
              <w:rPr>
                <w:b/>
                <w:bCs/>
              </w:rPr>
              <w:t>Anticardiolipin antibodies</w:t>
            </w:r>
          </w:p>
        </w:tc>
        <w:tc>
          <w:tcPr>
            <w:tcW w:w="2362" w:type="dxa"/>
            <w:vAlign w:val="center"/>
          </w:tcPr>
          <w:p w14:paraId="236727C1" w14:textId="77777777" w:rsidR="00CD1CEC" w:rsidRDefault="00386CF6" w:rsidP="00A85A22">
            <w:pPr>
              <w:bidi w:val="0"/>
              <w:jc w:val="center"/>
            </w:pPr>
            <w:r>
              <w:t>11 (36.7%)</w:t>
            </w:r>
          </w:p>
        </w:tc>
      </w:tr>
      <w:tr w:rsidR="00CD1CEC" w14:paraId="525759CA" w14:textId="77777777">
        <w:tc>
          <w:tcPr>
            <w:tcW w:w="1756" w:type="dxa"/>
            <w:vMerge/>
            <w:vAlign w:val="center"/>
          </w:tcPr>
          <w:p w14:paraId="37426AE3"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0A0B493B" w14:textId="77777777" w:rsidR="00CD1CEC" w:rsidRDefault="00386CF6" w:rsidP="00A85A22">
            <w:pPr>
              <w:bidi w:val="0"/>
              <w:jc w:val="center"/>
              <w:rPr>
                <w:b/>
                <w:bCs/>
              </w:rPr>
            </w:pPr>
            <w:r>
              <w:rPr>
                <w:b/>
                <w:bCs/>
              </w:rPr>
              <w:t>ANCA</w:t>
            </w:r>
          </w:p>
        </w:tc>
        <w:tc>
          <w:tcPr>
            <w:tcW w:w="2362" w:type="dxa"/>
            <w:vAlign w:val="center"/>
          </w:tcPr>
          <w:p w14:paraId="6E0509D6" w14:textId="77777777" w:rsidR="00CD1CEC" w:rsidRDefault="00386CF6" w:rsidP="00A85A22">
            <w:pPr>
              <w:bidi w:val="0"/>
              <w:jc w:val="center"/>
            </w:pPr>
            <w:r>
              <w:t>4 (13.3%)</w:t>
            </w:r>
          </w:p>
        </w:tc>
      </w:tr>
      <w:tr w:rsidR="00CD1CEC" w14:paraId="0C5ED0BB" w14:textId="77777777">
        <w:tc>
          <w:tcPr>
            <w:tcW w:w="1756" w:type="dxa"/>
            <w:vMerge/>
            <w:vAlign w:val="center"/>
          </w:tcPr>
          <w:p w14:paraId="7C1C8EBE"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6E9D1298" w14:textId="77777777" w:rsidR="00CD1CEC" w:rsidRDefault="00386CF6" w:rsidP="00A85A22">
            <w:pPr>
              <w:bidi w:val="0"/>
              <w:jc w:val="center"/>
              <w:rPr>
                <w:b/>
                <w:bCs/>
              </w:rPr>
            </w:pPr>
            <w:r>
              <w:rPr>
                <w:b/>
                <w:bCs/>
              </w:rPr>
              <w:t>RF (IU/mL)</w:t>
            </w:r>
          </w:p>
        </w:tc>
        <w:tc>
          <w:tcPr>
            <w:tcW w:w="3241" w:type="dxa"/>
            <w:gridSpan w:val="2"/>
            <w:vAlign w:val="center"/>
          </w:tcPr>
          <w:p w14:paraId="1ADF4FED" w14:textId="77777777" w:rsidR="00CD1CEC" w:rsidRDefault="00386CF6" w:rsidP="00A85A22">
            <w:pPr>
              <w:bidi w:val="0"/>
              <w:jc w:val="center"/>
              <w:rPr>
                <w:b/>
                <w:bCs/>
              </w:rPr>
            </w:pPr>
            <w:r>
              <w:rPr>
                <w:b/>
                <w:bCs/>
              </w:rPr>
              <w:t>Mean SD</w:t>
            </w:r>
          </w:p>
        </w:tc>
        <w:tc>
          <w:tcPr>
            <w:tcW w:w="2362" w:type="dxa"/>
            <w:vAlign w:val="center"/>
          </w:tcPr>
          <w:p w14:paraId="0409F092" w14:textId="77777777" w:rsidR="00CD1CEC" w:rsidRDefault="00386CF6" w:rsidP="00A85A22">
            <w:pPr>
              <w:bidi w:val="0"/>
              <w:jc w:val="center"/>
            </w:pPr>
            <w:r>
              <w:t>67.6 ± 56.3</w:t>
            </w:r>
          </w:p>
        </w:tc>
      </w:tr>
      <w:tr w:rsidR="00CD1CEC" w14:paraId="18404CD5" w14:textId="77777777">
        <w:tc>
          <w:tcPr>
            <w:tcW w:w="1756" w:type="dxa"/>
            <w:vMerge w:val="restart"/>
            <w:vAlign w:val="center"/>
          </w:tcPr>
          <w:p w14:paraId="2C7A588C" w14:textId="77777777" w:rsidR="00CD1CEC" w:rsidRDefault="00386CF6" w:rsidP="00A85A22">
            <w:pPr>
              <w:bidi w:val="0"/>
              <w:jc w:val="center"/>
            </w:pPr>
            <w:r>
              <w:rPr>
                <w:b/>
                <w:bCs/>
              </w:rPr>
              <w:t>MRI White Matter Hyperintensities (WMH)</w:t>
            </w:r>
          </w:p>
        </w:tc>
        <w:tc>
          <w:tcPr>
            <w:tcW w:w="1658" w:type="dxa"/>
            <w:vMerge/>
            <w:vAlign w:val="center"/>
          </w:tcPr>
          <w:p w14:paraId="6CA3B8B1"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5FF1433A" w14:textId="77777777" w:rsidR="00CD1CEC" w:rsidRDefault="00386CF6" w:rsidP="00A85A22">
            <w:pPr>
              <w:bidi w:val="0"/>
              <w:jc w:val="center"/>
              <w:rPr>
                <w:b/>
                <w:bCs/>
              </w:rPr>
            </w:pPr>
            <w:r>
              <w:rPr>
                <w:b/>
                <w:bCs/>
              </w:rPr>
              <w:t>Median (IQR)</w:t>
            </w:r>
          </w:p>
        </w:tc>
        <w:tc>
          <w:tcPr>
            <w:tcW w:w="2362" w:type="dxa"/>
            <w:vAlign w:val="center"/>
          </w:tcPr>
          <w:p w14:paraId="45ACFBAF" w14:textId="77777777" w:rsidR="00CD1CEC" w:rsidRDefault="00386CF6" w:rsidP="00A85A22">
            <w:pPr>
              <w:bidi w:val="0"/>
              <w:jc w:val="center"/>
            </w:pPr>
            <w:r>
              <w:t>62.1 (29.3–83.3)</w:t>
            </w:r>
          </w:p>
        </w:tc>
      </w:tr>
      <w:tr w:rsidR="00CD1CEC" w14:paraId="53181D87" w14:textId="77777777">
        <w:tc>
          <w:tcPr>
            <w:tcW w:w="1756" w:type="dxa"/>
            <w:vMerge/>
            <w:vAlign w:val="center"/>
          </w:tcPr>
          <w:p w14:paraId="75D03C33"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0A272E7" w14:textId="77777777" w:rsidR="00CD1CEC" w:rsidRDefault="00386CF6" w:rsidP="00A85A22">
            <w:pPr>
              <w:bidi w:val="0"/>
              <w:jc w:val="center"/>
              <w:rPr>
                <w:b/>
                <w:bCs/>
              </w:rPr>
            </w:pPr>
            <w:r>
              <w:rPr>
                <w:b/>
                <w:bCs/>
              </w:rPr>
              <w:t>WMH presence</w:t>
            </w:r>
          </w:p>
        </w:tc>
        <w:tc>
          <w:tcPr>
            <w:tcW w:w="2362" w:type="dxa"/>
            <w:vAlign w:val="center"/>
          </w:tcPr>
          <w:p w14:paraId="031EE3DC" w14:textId="77777777" w:rsidR="00CD1CEC" w:rsidRDefault="00386CF6" w:rsidP="00A85A22">
            <w:pPr>
              <w:bidi w:val="0"/>
              <w:jc w:val="center"/>
            </w:pPr>
            <w:r>
              <w:t>19 (63.3%)</w:t>
            </w:r>
          </w:p>
        </w:tc>
      </w:tr>
      <w:tr w:rsidR="00CD1CEC" w14:paraId="5DD7E6C3" w14:textId="77777777">
        <w:tc>
          <w:tcPr>
            <w:tcW w:w="1756" w:type="dxa"/>
            <w:vMerge/>
            <w:vAlign w:val="center"/>
          </w:tcPr>
          <w:p w14:paraId="5F319D22"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0D661113" w14:textId="77777777" w:rsidR="00CD1CEC" w:rsidRDefault="00386CF6" w:rsidP="00A85A22">
            <w:pPr>
              <w:bidi w:val="0"/>
              <w:jc w:val="center"/>
              <w:rPr>
                <w:b/>
                <w:bCs/>
              </w:rPr>
            </w:pPr>
            <w:r>
              <w:rPr>
                <w:b/>
                <w:bCs/>
              </w:rPr>
              <w:t>WMH Distribution</w:t>
            </w:r>
          </w:p>
        </w:tc>
        <w:tc>
          <w:tcPr>
            <w:tcW w:w="3241" w:type="dxa"/>
            <w:gridSpan w:val="2"/>
            <w:vAlign w:val="center"/>
          </w:tcPr>
          <w:p w14:paraId="1FA9B2B6" w14:textId="77777777" w:rsidR="00CD1CEC" w:rsidRDefault="00386CF6" w:rsidP="00A85A22">
            <w:pPr>
              <w:bidi w:val="0"/>
              <w:jc w:val="center"/>
              <w:rPr>
                <w:b/>
                <w:bCs/>
              </w:rPr>
            </w:pPr>
            <w:r>
              <w:rPr>
                <w:b/>
                <w:bCs/>
              </w:rPr>
              <w:t>Subcortical WM</w:t>
            </w:r>
          </w:p>
        </w:tc>
        <w:tc>
          <w:tcPr>
            <w:tcW w:w="2362" w:type="dxa"/>
            <w:vAlign w:val="center"/>
          </w:tcPr>
          <w:p w14:paraId="4C39BB6B" w14:textId="77777777" w:rsidR="00CD1CEC" w:rsidRDefault="00386CF6" w:rsidP="00A85A22">
            <w:pPr>
              <w:bidi w:val="0"/>
              <w:jc w:val="center"/>
            </w:pPr>
            <w:r>
              <w:t>5 (16.7%)</w:t>
            </w:r>
          </w:p>
        </w:tc>
      </w:tr>
      <w:tr w:rsidR="00CD1CEC" w14:paraId="741E3334" w14:textId="77777777">
        <w:tc>
          <w:tcPr>
            <w:tcW w:w="1756" w:type="dxa"/>
            <w:vMerge/>
            <w:vAlign w:val="center"/>
          </w:tcPr>
          <w:p w14:paraId="3EBCC073"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6A2FCE0C"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47008D22" w14:textId="77777777" w:rsidR="00CD1CEC" w:rsidRDefault="00386CF6" w:rsidP="00A85A22">
            <w:pPr>
              <w:bidi w:val="0"/>
              <w:jc w:val="center"/>
              <w:rPr>
                <w:b/>
                <w:bCs/>
              </w:rPr>
            </w:pPr>
            <w:r>
              <w:rPr>
                <w:b/>
                <w:bCs/>
              </w:rPr>
              <w:t>Periventricular WM</w:t>
            </w:r>
          </w:p>
        </w:tc>
        <w:tc>
          <w:tcPr>
            <w:tcW w:w="2362" w:type="dxa"/>
            <w:vAlign w:val="center"/>
          </w:tcPr>
          <w:p w14:paraId="7B3324F8" w14:textId="77777777" w:rsidR="00CD1CEC" w:rsidRDefault="00386CF6" w:rsidP="00A85A22">
            <w:pPr>
              <w:bidi w:val="0"/>
              <w:jc w:val="center"/>
            </w:pPr>
            <w:r>
              <w:t>8 (26.7%)</w:t>
            </w:r>
          </w:p>
        </w:tc>
      </w:tr>
      <w:tr w:rsidR="00CD1CEC" w14:paraId="6591EAC8" w14:textId="77777777">
        <w:tc>
          <w:tcPr>
            <w:tcW w:w="1756" w:type="dxa"/>
            <w:vMerge/>
            <w:vAlign w:val="center"/>
          </w:tcPr>
          <w:p w14:paraId="459F4E7F"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0B933AAD"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2A3EBED7" w14:textId="77777777" w:rsidR="00CD1CEC" w:rsidRDefault="00386CF6" w:rsidP="00A85A22">
            <w:pPr>
              <w:bidi w:val="0"/>
              <w:jc w:val="center"/>
              <w:rPr>
                <w:b/>
                <w:bCs/>
              </w:rPr>
            </w:pPr>
            <w:r>
              <w:rPr>
                <w:b/>
                <w:bCs/>
              </w:rPr>
              <w:t>Basal ganglia</w:t>
            </w:r>
          </w:p>
        </w:tc>
        <w:tc>
          <w:tcPr>
            <w:tcW w:w="2362" w:type="dxa"/>
            <w:vAlign w:val="center"/>
          </w:tcPr>
          <w:p w14:paraId="442BF63A" w14:textId="77777777" w:rsidR="00CD1CEC" w:rsidRDefault="00386CF6" w:rsidP="00A85A22">
            <w:pPr>
              <w:bidi w:val="0"/>
              <w:jc w:val="center"/>
            </w:pPr>
            <w:r>
              <w:t>2 (6.7%)</w:t>
            </w:r>
          </w:p>
        </w:tc>
      </w:tr>
      <w:tr w:rsidR="00CD1CEC" w14:paraId="15D63960" w14:textId="77777777">
        <w:tc>
          <w:tcPr>
            <w:tcW w:w="1756" w:type="dxa"/>
            <w:vMerge/>
            <w:vAlign w:val="center"/>
          </w:tcPr>
          <w:p w14:paraId="29E8E11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660FC814"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067BA539" w14:textId="77777777" w:rsidR="00CD1CEC" w:rsidRDefault="00386CF6" w:rsidP="00A85A22">
            <w:pPr>
              <w:bidi w:val="0"/>
              <w:jc w:val="center"/>
              <w:rPr>
                <w:b/>
                <w:bCs/>
              </w:rPr>
            </w:pPr>
            <w:r>
              <w:rPr>
                <w:b/>
                <w:bCs/>
              </w:rPr>
              <w:t>Brainstem</w:t>
            </w:r>
          </w:p>
        </w:tc>
        <w:tc>
          <w:tcPr>
            <w:tcW w:w="2362" w:type="dxa"/>
            <w:vAlign w:val="center"/>
          </w:tcPr>
          <w:p w14:paraId="507E3C25" w14:textId="77777777" w:rsidR="00CD1CEC" w:rsidRDefault="00386CF6" w:rsidP="00A85A22">
            <w:pPr>
              <w:bidi w:val="0"/>
              <w:jc w:val="center"/>
            </w:pPr>
            <w:r>
              <w:t>4 (13.3%)</w:t>
            </w:r>
          </w:p>
        </w:tc>
      </w:tr>
      <w:tr w:rsidR="00CD1CEC" w14:paraId="3CF448E7" w14:textId="77777777">
        <w:trPr>
          <w:trHeight w:val="294"/>
        </w:trPr>
        <w:tc>
          <w:tcPr>
            <w:tcW w:w="1756" w:type="dxa"/>
            <w:vMerge/>
            <w:vAlign w:val="center"/>
          </w:tcPr>
          <w:p w14:paraId="5663DADC"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4FD01299" w14:textId="77777777" w:rsidR="00CD1CEC" w:rsidRDefault="00386CF6" w:rsidP="00A85A22">
            <w:pPr>
              <w:bidi w:val="0"/>
              <w:jc w:val="center"/>
              <w:rPr>
                <w:b/>
                <w:bCs/>
              </w:rPr>
            </w:pPr>
            <w:r>
              <w:rPr>
                <w:b/>
                <w:bCs/>
              </w:rPr>
              <w:t>WMH Volume</w:t>
            </w:r>
          </w:p>
        </w:tc>
        <w:tc>
          <w:tcPr>
            <w:tcW w:w="1658" w:type="dxa"/>
            <w:vMerge w:val="restart"/>
            <w:vAlign w:val="center"/>
          </w:tcPr>
          <w:p w14:paraId="7C6647E7" w14:textId="77777777" w:rsidR="00CD1CEC" w:rsidRDefault="00386CF6" w:rsidP="00A85A22">
            <w:pPr>
              <w:bidi w:val="0"/>
              <w:jc w:val="center"/>
              <w:rPr>
                <w:b/>
                <w:bCs/>
              </w:rPr>
            </w:pPr>
            <w:r>
              <w:rPr>
                <w:b/>
                <w:bCs/>
              </w:rPr>
              <w:t>Total (ml)</w:t>
            </w:r>
          </w:p>
        </w:tc>
        <w:tc>
          <w:tcPr>
            <w:tcW w:w="1583" w:type="dxa"/>
            <w:vAlign w:val="center"/>
          </w:tcPr>
          <w:p w14:paraId="7AE15E54" w14:textId="77777777" w:rsidR="00CD1CEC" w:rsidRDefault="00386CF6" w:rsidP="00A85A22">
            <w:pPr>
              <w:bidi w:val="0"/>
              <w:jc w:val="center"/>
              <w:rPr>
                <w:b/>
                <w:bCs/>
              </w:rPr>
            </w:pPr>
            <w:r>
              <w:rPr>
                <w:b/>
                <w:bCs/>
              </w:rPr>
              <w:t>Mean SD</w:t>
            </w:r>
          </w:p>
        </w:tc>
        <w:tc>
          <w:tcPr>
            <w:tcW w:w="2362" w:type="dxa"/>
            <w:vAlign w:val="center"/>
          </w:tcPr>
          <w:p w14:paraId="32ECAEA2" w14:textId="77777777" w:rsidR="00CD1CEC" w:rsidRDefault="00386CF6" w:rsidP="00A85A22">
            <w:pPr>
              <w:bidi w:val="0"/>
              <w:jc w:val="center"/>
            </w:pPr>
            <w:r>
              <w:t>2.7 ± 6.1;</w:t>
            </w:r>
          </w:p>
        </w:tc>
      </w:tr>
      <w:tr w:rsidR="00CD1CEC" w14:paraId="71E1996F" w14:textId="77777777">
        <w:trPr>
          <w:trHeight w:val="294"/>
        </w:trPr>
        <w:tc>
          <w:tcPr>
            <w:tcW w:w="1756" w:type="dxa"/>
            <w:vMerge/>
            <w:vAlign w:val="center"/>
          </w:tcPr>
          <w:p w14:paraId="029DADC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6202EF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4BB68FC0" w14:textId="77777777" w:rsidR="00CD1CEC" w:rsidRDefault="00CD1CEC" w:rsidP="00A85A22">
            <w:pPr>
              <w:widowControl w:val="0"/>
              <w:pBdr>
                <w:top w:val="nil"/>
                <w:left w:val="nil"/>
                <w:bottom w:val="nil"/>
                <w:right w:val="nil"/>
                <w:between w:val="nil"/>
              </w:pBdr>
              <w:bidi w:val="0"/>
              <w:spacing w:line="276" w:lineRule="auto"/>
            </w:pPr>
          </w:p>
        </w:tc>
        <w:tc>
          <w:tcPr>
            <w:tcW w:w="1583" w:type="dxa"/>
            <w:vAlign w:val="center"/>
          </w:tcPr>
          <w:p w14:paraId="35B59763" w14:textId="77777777" w:rsidR="00CD1CEC" w:rsidRDefault="00386CF6" w:rsidP="00A85A22">
            <w:pPr>
              <w:bidi w:val="0"/>
              <w:jc w:val="center"/>
              <w:rPr>
                <w:b/>
                <w:bCs/>
              </w:rPr>
            </w:pPr>
            <w:r>
              <w:rPr>
                <w:b/>
                <w:bCs/>
              </w:rPr>
              <w:t>Median (IQR)</w:t>
            </w:r>
          </w:p>
        </w:tc>
        <w:tc>
          <w:tcPr>
            <w:tcW w:w="2362" w:type="dxa"/>
            <w:vAlign w:val="center"/>
          </w:tcPr>
          <w:p w14:paraId="127D7441" w14:textId="77777777" w:rsidR="00CD1CEC" w:rsidRDefault="00386CF6" w:rsidP="00A85A22">
            <w:pPr>
              <w:bidi w:val="0"/>
              <w:jc w:val="center"/>
            </w:pPr>
            <w:r>
              <w:t>0.39 (0.22–0.87)</w:t>
            </w:r>
          </w:p>
        </w:tc>
      </w:tr>
      <w:tr w:rsidR="00CD1CEC" w14:paraId="3136960C" w14:textId="77777777">
        <w:trPr>
          <w:trHeight w:val="438"/>
        </w:trPr>
        <w:tc>
          <w:tcPr>
            <w:tcW w:w="1756" w:type="dxa"/>
            <w:vMerge/>
            <w:vAlign w:val="center"/>
          </w:tcPr>
          <w:p w14:paraId="76C81D8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6219497"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014E48E4" w14:textId="77777777" w:rsidR="00CD1CEC" w:rsidRDefault="00386CF6" w:rsidP="00A85A22">
            <w:pPr>
              <w:bidi w:val="0"/>
              <w:jc w:val="center"/>
              <w:rPr>
                <w:b/>
                <w:bCs/>
              </w:rPr>
            </w:pPr>
            <w:r>
              <w:rPr>
                <w:b/>
                <w:bCs/>
              </w:rPr>
              <w:t>Deep (ml)</w:t>
            </w:r>
          </w:p>
        </w:tc>
        <w:tc>
          <w:tcPr>
            <w:tcW w:w="1583" w:type="dxa"/>
            <w:vAlign w:val="center"/>
          </w:tcPr>
          <w:p w14:paraId="334EF2D3" w14:textId="77777777" w:rsidR="00CD1CEC" w:rsidRDefault="00386CF6" w:rsidP="00A85A22">
            <w:pPr>
              <w:bidi w:val="0"/>
              <w:jc w:val="center"/>
              <w:rPr>
                <w:b/>
                <w:bCs/>
              </w:rPr>
            </w:pPr>
            <w:r>
              <w:rPr>
                <w:b/>
                <w:bCs/>
              </w:rPr>
              <w:t>Mean SD</w:t>
            </w:r>
          </w:p>
        </w:tc>
        <w:tc>
          <w:tcPr>
            <w:tcW w:w="2362" w:type="dxa"/>
            <w:vAlign w:val="center"/>
          </w:tcPr>
          <w:p w14:paraId="76C651A1" w14:textId="77777777" w:rsidR="00CD1CEC" w:rsidRDefault="00386CF6" w:rsidP="00A85A22">
            <w:pPr>
              <w:bidi w:val="0"/>
              <w:jc w:val="center"/>
            </w:pPr>
            <w:r>
              <w:t>0.7 ± 0.42</w:t>
            </w:r>
          </w:p>
        </w:tc>
      </w:tr>
      <w:tr w:rsidR="00CD1CEC" w14:paraId="6CA52E00" w14:textId="77777777">
        <w:trPr>
          <w:trHeight w:val="438"/>
        </w:trPr>
        <w:tc>
          <w:tcPr>
            <w:tcW w:w="1756" w:type="dxa"/>
            <w:vMerge/>
            <w:vAlign w:val="center"/>
          </w:tcPr>
          <w:p w14:paraId="162712AB"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403E875"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54F9D580" w14:textId="77777777" w:rsidR="00CD1CEC" w:rsidRDefault="00CD1CEC" w:rsidP="00A85A22">
            <w:pPr>
              <w:widowControl w:val="0"/>
              <w:pBdr>
                <w:top w:val="nil"/>
                <w:left w:val="nil"/>
                <w:bottom w:val="nil"/>
                <w:right w:val="nil"/>
                <w:between w:val="nil"/>
              </w:pBdr>
              <w:bidi w:val="0"/>
              <w:spacing w:line="276" w:lineRule="auto"/>
            </w:pPr>
          </w:p>
        </w:tc>
        <w:tc>
          <w:tcPr>
            <w:tcW w:w="1583" w:type="dxa"/>
            <w:vAlign w:val="center"/>
          </w:tcPr>
          <w:p w14:paraId="0F80793A" w14:textId="77777777" w:rsidR="00CD1CEC" w:rsidRDefault="00386CF6" w:rsidP="00A85A22">
            <w:pPr>
              <w:bidi w:val="0"/>
              <w:jc w:val="center"/>
              <w:rPr>
                <w:b/>
                <w:bCs/>
              </w:rPr>
            </w:pPr>
            <w:r>
              <w:rPr>
                <w:b/>
                <w:bCs/>
              </w:rPr>
              <w:t>Median (IQR)</w:t>
            </w:r>
          </w:p>
        </w:tc>
        <w:tc>
          <w:tcPr>
            <w:tcW w:w="2362" w:type="dxa"/>
            <w:vAlign w:val="center"/>
          </w:tcPr>
          <w:p w14:paraId="4EB764DC" w14:textId="77777777" w:rsidR="00CD1CEC" w:rsidRDefault="00386CF6" w:rsidP="00A85A22">
            <w:pPr>
              <w:bidi w:val="0"/>
              <w:jc w:val="center"/>
            </w:pPr>
            <w:r>
              <w:t>0.72 (0.41–1.02)</w:t>
            </w:r>
          </w:p>
        </w:tc>
      </w:tr>
      <w:tr w:rsidR="00CD1CEC" w14:paraId="38688D10" w14:textId="77777777">
        <w:trPr>
          <w:trHeight w:val="438"/>
        </w:trPr>
        <w:tc>
          <w:tcPr>
            <w:tcW w:w="1756" w:type="dxa"/>
            <w:vMerge/>
            <w:vAlign w:val="center"/>
          </w:tcPr>
          <w:p w14:paraId="17E2AD4A"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6E1EA9F3"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296AC6B7" w14:textId="77777777" w:rsidR="00CD1CEC" w:rsidRDefault="00386CF6" w:rsidP="00A85A22">
            <w:pPr>
              <w:bidi w:val="0"/>
              <w:jc w:val="center"/>
              <w:rPr>
                <w:b/>
                <w:bCs/>
              </w:rPr>
            </w:pPr>
            <w:r>
              <w:rPr>
                <w:b/>
                <w:bCs/>
              </w:rPr>
              <w:t>Periventricular confluent (ml)</w:t>
            </w:r>
          </w:p>
        </w:tc>
        <w:tc>
          <w:tcPr>
            <w:tcW w:w="1583" w:type="dxa"/>
            <w:vAlign w:val="center"/>
          </w:tcPr>
          <w:p w14:paraId="005622A4" w14:textId="77777777" w:rsidR="00CD1CEC" w:rsidRDefault="00386CF6" w:rsidP="00A85A22">
            <w:pPr>
              <w:bidi w:val="0"/>
              <w:jc w:val="center"/>
              <w:rPr>
                <w:b/>
                <w:bCs/>
              </w:rPr>
            </w:pPr>
            <w:r>
              <w:rPr>
                <w:b/>
                <w:bCs/>
              </w:rPr>
              <w:t>Mean SD</w:t>
            </w:r>
          </w:p>
        </w:tc>
        <w:tc>
          <w:tcPr>
            <w:tcW w:w="2362" w:type="dxa"/>
            <w:vAlign w:val="center"/>
          </w:tcPr>
          <w:p w14:paraId="037B9DFC" w14:textId="77777777" w:rsidR="00CD1CEC" w:rsidRDefault="00386CF6" w:rsidP="00A85A22">
            <w:pPr>
              <w:bidi w:val="0"/>
              <w:jc w:val="center"/>
            </w:pPr>
            <w:r>
              <w:t>3.4 ± 6.46</w:t>
            </w:r>
          </w:p>
        </w:tc>
      </w:tr>
      <w:tr w:rsidR="00CD1CEC" w14:paraId="2B4A636D" w14:textId="77777777">
        <w:trPr>
          <w:trHeight w:val="438"/>
        </w:trPr>
        <w:tc>
          <w:tcPr>
            <w:tcW w:w="1756" w:type="dxa"/>
            <w:vMerge/>
            <w:vAlign w:val="center"/>
          </w:tcPr>
          <w:p w14:paraId="1DF86FB9"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5EE2D5C9"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3F306818" w14:textId="77777777" w:rsidR="00CD1CEC" w:rsidRDefault="00CD1CEC" w:rsidP="00A85A22">
            <w:pPr>
              <w:widowControl w:val="0"/>
              <w:pBdr>
                <w:top w:val="nil"/>
                <w:left w:val="nil"/>
                <w:bottom w:val="nil"/>
                <w:right w:val="nil"/>
                <w:between w:val="nil"/>
              </w:pBdr>
              <w:bidi w:val="0"/>
              <w:spacing w:line="276" w:lineRule="auto"/>
            </w:pPr>
          </w:p>
        </w:tc>
        <w:tc>
          <w:tcPr>
            <w:tcW w:w="1583" w:type="dxa"/>
            <w:vAlign w:val="center"/>
          </w:tcPr>
          <w:p w14:paraId="3F164606" w14:textId="77777777" w:rsidR="00CD1CEC" w:rsidRDefault="00386CF6" w:rsidP="00A85A22">
            <w:pPr>
              <w:bidi w:val="0"/>
              <w:jc w:val="center"/>
              <w:rPr>
                <w:b/>
                <w:bCs/>
              </w:rPr>
            </w:pPr>
            <w:r>
              <w:rPr>
                <w:b/>
                <w:bCs/>
              </w:rPr>
              <w:t>Median (IQR)</w:t>
            </w:r>
          </w:p>
        </w:tc>
        <w:tc>
          <w:tcPr>
            <w:tcW w:w="2362" w:type="dxa"/>
            <w:vAlign w:val="center"/>
          </w:tcPr>
          <w:p w14:paraId="54891DD5" w14:textId="77777777" w:rsidR="00CD1CEC" w:rsidRDefault="00386CF6" w:rsidP="00A85A22">
            <w:pPr>
              <w:bidi w:val="0"/>
              <w:jc w:val="center"/>
            </w:pPr>
            <w:r>
              <w:t>0.265 (0.24–0.3)</w:t>
            </w:r>
          </w:p>
        </w:tc>
      </w:tr>
      <w:tr w:rsidR="00CD1CEC" w14:paraId="6DB37585" w14:textId="77777777">
        <w:trPr>
          <w:trHeight w:val="294"/>
        </w:trPr>
        <w:tc>
          <w:tcPr>
            <w:tcW w:w="1756" w:type="dxa"/>
            <w:vMerge w:val="restart"/>
            <w:vAlign w:val="center"/>
          </w:tcPr>
          <w:p w14:paraId="5FD5076A" w14:textId="77777777" w:rsidR="00CD1CEC" w:rsidRDefault="00386CF6" w:rsidP="00A85A22">
            <w:pPr>
              <w:bidi w:val="0"/>
              <w:jc w:val="center"/>
            </w:pPr>
            <w:r>
              <w:rPr>
                <w:b/>
                <w:bCs/>
              </w:rPr>
              <w:t>WMH Sites by Disease</w:t>
            </w:r>
          </w:p>
        </w:tc>
        <w:tc>
          <w:tcPr>
            <w:tcW w:w="1658" w:type="dxa"/>
            <w:vMerge w:val="restart"/>
            <w:vAlign w:val="center"/>
          </w:tcPr>
          <w:p w14:paraId="0A8A5DE7" w14:textId="77777777" w:rsidR="00CD1CEC" w:rsidRDefault="00386CF6" w:rsidP="00A85A22">
            <w:pPr>
              <w:bidi w:val="0"/>
              <w:jc w:val="center"/>
              <w:rPr>
                <w:b/>
                <w:bCs/>
              </w:rPr>
            </w:pPr>
            <w:r>
              <w:rPr>
                <w:b/>
                <w:bCs/>
              </w:rPr>
              <w:t>SLE (n=9)</w:t>
            </w:r>
          </w:p>
        </w:tc>
        <w:tc>
          <w:tcPr>
            <w:tcW w:w="3241" w:type="dxa"/>
            <w:gridSpan w:val="2"/>
            <w:vAlign w:val="center"/>
          </w:tcPr>
          <w:p w14:paraId="79412C13" w14:textId="77777777" w:rsidR="00CD1CEC" w:rsidRDefault="00386CF6" w:rsidP="00A85A22">
            <w:pPr>
              <w:bidi w:val="0"/>
              <w:jc w:val="center"/>
              <w:rPr>
                <w:b/>
                <w:bCs/>
              </w:rPr>
            </w:pPr>
            <w:r>
              <w:rPr>
                <w:b/>
                <w:bCs/>
              </w:rPr>
              <w:t>Periventricular</w:t>
            </w:r>
          </w:p>
        </w:tc>
        <w:tc>
          <w:tcPr>
            <w:tcW w:w="2362" w:type="dxa"/>
            <w:vAlign w:val="center"/>
          </w:tcPr>
          <w:p w14:paraId="5444C7D7" w14:textId="77777777" w:rsidR="00CD1CEC" w:rsidRDefault="00386CF6" w:rsidP="00A85A22">
            <w:pPr>
              <w:bidi w:val="0"/>
              <w:jc w:val="center"/>
            </w:pPr>
            <w:r>
              <w:t>4 (44.4%)</w:t>
            </w:r>
          </w:p>
        </w:tc>
      </w:tr>
      <w:tr w:rsidR="00CD1CEC" w14:paraId="0CC512C4" w14:textId="77777777">
        <w:trPr>
          <w:trHeight w:val="294"/>
        </w:trPr>
        <w:tc>
          <w:tcPr>
            <w:tcW w:w="1756" w:type="dxa"/>
            <w:vMerge/>
            <w:vAlign w:val="center"/>
          </w:tcPr>
          <w:p w14:paraId="18B0572B"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400CDD2B"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488D9E93" w14:textId="77777777" w:rsidR="00CD1CEC" w:rsidRDefault="00386CF6" w:rsidP="00A85A22">
            <w:pPr>
              <w:bidi w:val="0"/>
              <w:jc w:val="center"/>
              <w:rPr>
                <w:b/>
                <w:bCs/>
              </w:rPr>
            </w:pPr>
            <w:proofErr w:type="spellStart"/>
            <w:r>
              <w:rPr>
                <w:b/>
                <w:bCs/>
              </w:rPr>
              <w:t>Periventricular+Deep</w:t>
            </w:r>
            <w:proofErr w:type="spellEnd"/>
          </w:p>
        </w:tc>
        <w:tc>
          <w:tcPr>
            <w:tcW w:w="2362" w:type="dxa"/>
            <w:vAlign w:val="center"/>
          </w:tcPr>
          <w:p w14:paraId="7C095314" w14:textId="77777777" w:rsidR="00CD1CEC" w:rsidRDefault="00386CF6" w:rsidP="00A85A22">
            <w:pPr>
              <w:bidi w:val="0"/>
              <w:jc w:val="center"/>
            </w:pPr>
            <w:r>
              <w:t>3 (33.3%)</w:t>
            </w:r>
          </w:p>
        </w:tc>
      </w:tr>
      <w:tr w:rsidR="00CD1CEC" w14:paraId="112EC97D" w14:textId="77777777">
        <w:trPr>
          <w:trHeight w:val="294"/>
        </w:trPr>
        <w:tc>
          <w:tcPr>
            <w:tcW w:w="1756" w:type="dxa"/>
            <w:vMerge/>
            <w:vAlign w:val="center"/>
          </w:tcPr>
          <w:p w14:paraId="7F6D9D4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2B378FDA"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0D9656C5" w14:textId="77777777" w:rsidR="00CD1CEC" w:rsidRDefault="00386CF6" w:rsidP="00A85A22">
            <w:pPr>
              <w:bidi w:val="0"/>
              <w:jc w:val="center"/>
              <w:rPr>
                <w:b/>
                <w:bCs/>
              </w:rPr>
            </w:pPr>
            <w:proofErr w:type="spellStart"/>
            <w:r>
              <w:rPr>
                <w:b/>
                <w:bCs/>
              </w:rPr>
              <w:t>Confluent+Deep</w:t>
            </w:r>
            <w:proofErr w:type="spellEnd"/>
          </w:p>
        </w:tc>
        <w:tc>
          <w:tcPr>
            <w:tcW w:w="2362" w:type="dxa"/>
            <w:vAlign w:val="center"/>
          </w:tcPr>
          <w:p w14:paraId="5B8B7C5C" w14:textId="77777777" w:rsidR="00CD1CEC" w:rsidRDefault="00386CF6" w:rsidP="00A85A22">
            <w:pPr>
              <w:bidi w:val="0"/>
              <w:jc w:val="center"/>
            </w:pPr>
            <w:r>
              <w:t>1 (11.1%)</w:t>
            </w:r>
          </w:p>
        </w:tc>
      </w:tr>
      <w:tr w:rsidR="00CD1CEC" w14:paraId="2CA2E34A" w14:textId="77777777">
        <w:trPr>
          <w:trHeight w:val="294"/>
        </w:trPr>
        <w:tc>
          <w:tcPr>
            <w:tcW w:w="1756" w:type="dxa"/>
            <w:vMerge/>
            <w:vAlign w:val="center"/>
          </w:tcPr>
          <w:p w14:paraId="4AF481BF"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21226537"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3F91A6E1" w14:textId="77777777" w:rsidR="00CD1CEC" w:rsidRDefault="00386CF6" w:rsidP="00A85A22">
            <w:pPr>
              <w:bidi w:val="0"/>
              <w:jc w:val="center"/>
              <w:rPr>
                <w:b/>
                <w:bCs/>
              </w:rPr>
            </w:pPr>
            <w:r>
              <w:rPr>
                <w:b/>
                <w:bCs/>
              </w:rPr>
              <w:t>Deep</w:t>
            </w:r>
          </w:p>
        </w:tc>
        <w:tc>
          <w:tcPr>
            <w:tcW w:w="2362" w:type="dxa"/>
            <w:vAlign w:val="center"/>
          </w:tcPr>
          <w:p w14:paraId="51BBCC8B" w14:textId="77777777" w:rsidR="00CD1CEC" w:rsidRDefault="00386CF6" w:rsidP="00A85A22">
            <w:pPr>
              <w:bidi w:val="0"/>
              <w:jc w:val="center"/>
            </w:pPr>
            <w:r>
              <w:t>1 (11.1%)</w:t>
            </w:r>
          </w:p>
        </w:tc>
      </w:tr>
      <w:tr w:rsidR="00CD1CEC" w14:paraId="22AE4A66" w14:textId="77777777">
        <w:trPr>
          <w:trHeight w:val="294"/>
        </w:trPr>
        <w:tc>
          <w:tcPr>
            <w:tcW w:w="1756" w:type="dxa"/>
            <w:vMerge/>
            <w:vAlign w:val="center"/>
          </w:tcPr>
          <w:p w14:paraId="7FF64BD8"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26C8A5FD" w14:textId="77777777" w:rsidR="00CD1CEC" w:rsidRDefault="00386CF6" w:rsidP="00A85A22">
            <w:pPr>
              <w:bidi w:val="0"/>
              <w:jc w:val="center"/>
              <w:rPr>
                <w:b/>
                <w:bCs/>
              </w:rPr>
            </w:pPr>
            <w:r>
              <w:rPr>
                <w:b/>
                <w:bCs/>
              </w:rPr>
              <w:t>RA (n=14)</w:t>
            </w:r>
          </w:p>
        </w:tc>
        <w:tc>
          <w:tcPr>
            <w:tcW w:w="3241" w:type="dxa"/>
            <w:gridSpan w:val="2"/>
            <w:vAlign w:val="center"/>
          </w:tcPr>
          <w:p w14:paraId="7A94B2F3" w14:textId="77777777" w:rsidR="00CD1CEC" w:rsidRDefault="00386CF6" w:rsidP="00A85A22">
            <w:pPr>
              <w:bidi w:val="0"/>
              <w:jc w:val="center"/>
              <w:rPr>
                <w:b/>
                <w:bCs/>
              </w:rPr>
            </w:pPr>
            <w:r>
              <w:rPr>
                <w:b/>
                <w:bCs/>
              </w:rPr>
              <w:t>Periventricular</w:t>
            </w:r>
          </w:p>
        </w:tc>
        <w:tc>
          <w:tcPr>
            <w:tcW w:w="2362" w:type="dxa"/>
            <w:vAlign w:val="center"/>
          </w:tcPr>
          <w:p w14:paraId="35A1FE87" w14:textId="77777777" w:rsidR="00CD1CEC" w:rsidRDefault="00386CF6" w:rsidP="00A85A22">
            <w:pPr>
              <w:bidi w:val="0"/>
              <w:jc w:val="center"/>
            </w:pPr>
            <w:r>
              <w:t>7 (50%)</w:t>
            </w:r>
          </w:p>
        </w:tc>
      </w:tr>
      <w:tr w:rsidR="00CD1CEC" w14:paraId="733E90D0" w14:textId="77777777">
        <w:trPr>
          <w:trHeight w:val="294"/>
        </w:trPr>
        <w:tc>
          <w:tcPr>
            <w:tcW w:w="1756" w:type="dxa"/>
            <w:vMerge/>
            <w:vAlign w:val="center"/>
          </w:tcPr>
          <w:p w14:paraId="1368FE3A"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3DEDC260"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6546A567" w14:textId="77777777" w:rsidR="00CD1CEC" w:rsidRDefault="00386CF6" w:rsidP="00A85A22">
            <w:pPr>
              <w:bidi w:val="0"/>
              <w:jc w:val="center"/>
              <w:rPr>
                <w:b/>
                <w:bCs/>
              </w:rPr>
            </w:pPr>
            <w:proofErr w:type="spellStart"/>
            <w:r>
              <w:rPr>
                <w:b/>
                <w:bCs/>
              </w:rPr>
              <w:t>Periventricular+Deep</w:t>
            </w:r>
            <w:proofErr w:type="spellEnd"/>
          </w:p>
        </w:tc>
        <w:tc>
          <w:tcPr>
            <w:tcW w:w="2362" w:type="dxa"/>
            <w:vAlign w:val="center"/>
          </w:tcPr>
          <w:p w14:paraId="62445A06" w14:textId="77777777" w:rsidR="00CD1CEC" w:rsidRDefault="00386CF6" w:rsidP="00A85A22">
            <w:pPr>
              <w:bidi w:val="0"/>
              <w:jc w:val="center"/>
            </w:pPr>
            <w:r>
              <w:t>4 (28.6%)</w:t>
            </w:r>
          </w:p>
        </w:tc>
      </w:tr>
      <w:tr w:rsidR="00CD1CEC" w14:paraId="6DC6EA62" w14:textId="77777777">
        <w:trPr>
          <w:trHeight w:val="294"/>
        </w:trPr>
        <w:tc>
          <w:tcPr>
            <w:tcW w:w="1756" w:type="dxa"/>
            <w:vMerge/>
            <w:vAlign w:val="center"/>
          </w:tcPr>
          <w:p w14:paraId="42466656"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21D0C4F0"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612000E7" w14:textId="77777777" w:rsidR="00CD1CEC" w:rsidRDefault="00386CF6" w:rsidP="00A85A22">
            <w:pPr>
              <w:bidi w:val="0"/>
              <w:jc w:val="center"/>
              <w:rPr>
                <w:b/>
                <w:bCs/>
              </w:rPr>
            </w:pPr>
            <w:proofErr w:type="spellStart"/>
            <w:r>
              <w:rPr>
                <w:b/>
                <w:bCs/>
              </w:rPr>
              <w:t>Confluent+Deep</w:t>
            </w:r>
            <w:proofErr w:type="spellEnd"/>
          </w:p>
        </w:tc>
        <w:tc>
          <w:tcPr>
            <w:tcW w:w="2362" w:type="dxa"/>
            <w:vAlign w:val="center"/>
          </w:tcPr>
          <w:p w14:paraId="23CF9654" w14:textId="77777777" w:rsidR="00CD1CEC" w:rsidRDefault="00386CF6" w:rsidP="00A85A22">
            <w:pPr>
              <w:bidi w:val="0"/>
              <w:jc w:val="center"/>
            </w:pPr>
            <w:r>
              <w:t>2 (14.3%)</w:t>
            </w:r>
          </w:p>
        </w:tc>
      </w:tr>
      <w:tr w:rsidR="00CD1CEC" w14:paraId="3BFE61DC" w14:textId="77777777">
        <w:trPr>
          <w:trHeight w:val="294"/>
        </w:trPr>
        <w:tc>
          <w:tcPr>
            <w:tcW w:w="1756" w:type="dxa"/>
            <w:vMerge/>
            <w:vAlign w:val="center"/>
          </w:tcPr>
          <w:p w14:paraId="031A9197"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2D4FF532"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6F7E4080" w14:textId="77777777" w:rsidR="00CD1CEC" w:rsidRDefault="00386CF6" w:rsidP="00A85A22">
            <w:pPr>
              <w:bidi w:val="0"/>
              <w:jc w:val="center"/>
              <w:rPr>
                <w:b/>
                <w:bCs/>
              </w:rPr>
            </w:pPr>
            <w:r>
              <w:rPr>
                <w:b/>
                <w:bCs/>
              </w:rPr>
              <w:t>Deep</w:t>
            </w:r>
          </w:p>
        </w:tc>
        <w:tc>
          <w:tcPr>
            <w:tcW w:w="2362" w:type="dxa"/>
            <w:vAlign w:val="center"/>
          </w:tcPr>
          <w:p w14:paraId="597D6E54" w14:textId="77777777" w:rsidR="00CD1CEC" w:rsidRDefault="00386CF6" w:rsidP="00A85A22">
            <w:pPr>
              <w:bidi w:val="0"/>
              <w:jc w:val="center"/>
            </w:pPr>
            <w:r>
              <w:t>1 (7.1%)</w:t>
            </w:r>
          </w:p>
        </w:tc>
      </w:tr>
      <w:tr w:rsidR="00CD1CEC" w14:paraId="6FEDDCDD" w14:textId="77777777">
        <w:trPr>
          <w:trHeight w:val="294"/>
        </w:trPr>
        <w:tc>
          <w:tcPr>
            <w:tcW w:w="1756" w:type="dxa"/>
            <w:vMerge/>
            <w:vAlign w:val="center"/>
          </w:tcPr>
          <w:p w14:paraId="28FD0A7E"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restart"/>
            <w:vAlign w:val="center"/>
          </w:tcPr>
          <w:p w14:paraId="0E8847E3" w14:textId="77777777" w:rsidR="00CD1CEC" w:rsidRDefault="00386CF6" w:rsidP="00A85A22">
            <w:pPr>
              <w:bidi w:val="0"/>
              <w:jc w:val="center"/>
              <w:rPr>
                <w:b/>
                <w:bCs/>
              </w:rPr>
            </w:pPr>
            <w:r>
              <w:rPr>
                <w:b/>
                <w:bCs/>
              </w:rPr>
              <w:t>Behcet’s (n=7)</w:t>
            </w:r>
          </w:p>
        </w:tc>
        <w:tc>
          <w:tcPr>
            <w:tcW w:w="3241" w:type="dxa"/>
            <w:gridSpan w:val="2"/>
            <w:vAlign w:val="center"/>
          </w:tcPr>
          <w:p w14:paraId="1D3A8737" w14:textId="77777777" w:rsidR="00CD1CEC" w:rsidRDefault="00386CF6" w:rsidP="00A85A22">
            <w:pPr>
              <w:bidi w:val="0"/>
              <w:jc w:val="center"/>
              <w:rPr>
                <w:b/>
                <w:bCs/>
              </w:rPr>
            </w:pPr>
            <w:r>
              <w:rPr>
                <w:b/>
                <w:bCs/>
              </w:rPr>
              <w:t>Periventricular</w:t>
            </w:r>
          </w:p>
        </w:tc>
        <w:tc>
          <w:tcPr>
            <w:tcW w:w="2362" w:type="dxa"/>
            <w:vAlign w:val="center"/>
          </w:tcPr>
          <w:p w14:paraId="696201D9" w14:textId="77777777" w:rsidR="00CD1CEC" w:rsidRDefault="00386CF6" w:rsidP="00A85A22">
            <w:pPr>
              <w:bidi w:val="0"/>
              <w:jc w:val="center"/>
            </w:pPr>
            <w:r>
              <w:t>4 (57.1%)</w:t>
            </w:r>
          </w:p>
        </w:tc>
      </w:tr>
      <w:tr w:rsidR="00CD1CEC" w14:paraId="196F1AFF" w14:textId="77777777">
        <w:trPr>
          <w:trHeight w:val="294"/>
        </w:trPr>
        <w:tc>
          <w:tcPr>
            <w:tcW w:w="1756" w:type="dxa"/>
            <w:vMerge/>
            <w:vAlign w:val="center"/>
          </w:tcPr>
          <w:p w14:paraId="133EEDDE"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038208F"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3445EFA8" w14:textId="77777777" w:rsidR="00CD1CEC" w:rsidRDefault="00386CF6" w:rsidP="00A85A22">
            <w:pPr>
              <w:bidi w:val="0"/>
              <w:jc w:val="center"/>
              <w:rPr>
                <w:b/>
                <w:bCs/>
              </w:rPr>
            </w:pPr>
            <w:proofErr w:type="spellStart"/>
            <w:r>
              <w:rPr>
                <w:b/>
                <w:bCs/>
              </w:rPr>
              <w:t>Periventricular+Deep</w:t>
            </w:r>
            <w:proofErr w:type="spellEnd"/>
          </w:p>
        </w:tc>
        <w:tc>
          <w:tcPr>
            <w:tcW w:w="2362" w:type="dxa"/>
            <w:vAlign w:val="center"/>
          </w:tcPr>
          <w:p w14:paraId="7A07D479" w14:textId="77777777" w:rsidR="00CD1CEC" w:rsidRDefault="00386CF6" w:rsidP="00A85A22">
            <w:pPr>
              <w:bidi w:val="0"/>
              <w:jc w:val="center"/>
            </w:pPr>
            <w:r>
              <w:t>1 (14.3%)</w:t>
            </w:r>
          </w:p>
        </w:tc>
      </w:tr>
      <w:tr w:rsidR="00CD1CEC" w14:paraId="4BE60296" w14:textId="77777777">
        <w:trPr>
          <w:trHeight w:val="294"/>
        </w:trPr>
        <w:tc>
          <w:tcPr>
            <w:tcW w:w="1756" w:type="dxa"/>
            <w:vMerge/>
            <w:vAlign w:val="center"/>
          </w:tcPr>
          <w:p w14:paraId="566B77FC"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3E6E618"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7C1627F7" w14:textId="77777777" w:rsidR="00CD1CEC" w:rsidRDefault="00386CF6" w:rsidP="00A85A22">
            <w:pPr>
              <w:bidi w:val="0"/>
              <w:jc w:val="center"/>
              <w:rPr>
                <w:b/>
                <w:bCs/>
              </w:rPr>
            </w:pPr>
            <w:proofErr w:type="spellStart"/>
            <w:r>
              <w:rPr>
                <w:b/>
                <w:bCs/>
              </w:rPr>
              <w:t>Confluent+Deep</w:t>
            </w:r>
            <w:proofErr w:type="spellEnd"/>
          </w:p>
        </w:tc>
        <w:tc>
          <w:tcPr>
            <w:tcW w:w="2362" w:type="dxa"/>
            <w:vAlign w:val="center"/>
          </w:tcPr>
          <w:p w14:paraId="79083BAB" w14:textId="77777777" w:rsidR="00CD1CEC" w:rsidRDefault="00386CF6" w:rsidP="00A85A22">
            <w:pPr>
              <w:bidi w:val="0"/>
              <w:jc w:val="center"/>
            </w:pPr>
            <w:r>
              <w:t>1 (14.3%)</w:t>
            </w:r>
          </w:p>
        </w:tc>
      </w:tr>
      <w:tr w:rsidR="00CD1CEC" w14:paraId="04BB821F" w14:textId="77777777">
        <w:trPr>
          <w:trHeight w:val="294"/>
        </w:trPr>
        <w:tc>
          <w:tcPr>
            <w:tcW w:w="1756" w:type="dxa"/>
            <w:vMerge/>
            <w:vAlign w:val="center"/>
          </w:tcPr>
          <w:p w14:paraId="51FE0AE2"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19F46A81"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50A687A4" w14:textId="77777777" w:rsidR="00CD1CEC" w:rsidRDefault="00386CF6" w:rsidP="00A85A22">
            <w:pPr>
              <w:bidi w:val="0"/>
              <w:jc w:val="center"/>
              <w:rPr>
                <w:b/>
                <w:bCs/>
              </w:rPr>
            </w:pPr>
            <w:r>
              <w:rPr>
                <w:b/>
                <w:bCs/>
              </w:rPr>
              <w:t>Deep</w:t>
            </w:r>
          </w:p>
        </w:tc>
        <w:tc>
          <w:tcPr>
            <w:tcW w:w="2362" w:type="dxa"/>
            <w:vAlign w:val="center"/>
          </w:tcPr>
          <w:p w14:paraId="1FAE81EF" w14:textId="77777777" w:rsidR="00CD1CEC" w:rsidRDefault="00386CF6" w:rsidP="00A85A22">
            <w:pPr>
              <w:bidi w:val="0"/>
              <w:jc w:val="center"/>
            </w:pPr>
            <w:r>
              <w:t>1 (14.3%)</w:t>
            </w:r>
          </w:p>
        </w:tc>
      </w:tr>
      <w:tr w:rsidR="00CD1CEC" w14:paraId="68960E4F" w14:textId="77777777">
        <w:trPr>
          <w:trHeight w:val="438"/>
        </w:trPr>
        <w:tc>
          <w:tcPr>
            <w:tcW w:w="1756" w:type="dxa"/>
            <w:vMerge w:val="restart"/>
            <w:vAlign w:val="center"/>
          </w:tcPr>
          <w:p w14:paraId="287BA000" w14:textId="77777777" w:rsidR="00CD1CEC" w:rsidRDefault="00386CF6" w:rsidP="00A85A22">
            <w:pPr>
              <w:bidi w:val="0"/>
              <w:jc w:val="center"/>
            </w:pPr>
            <w:r>
              <w:rPr>
                <w:b/>
                <w:bCs/>
              </w:rPr>
              <w:t>WMH Shape Markers</w:t>
            </w:r>
          </w:p>
        </w:tc>
        <w:tc>
          <w:tcPr>
            <w:tcW w:w="1658" w:type="dxa"/>
            <w:vMerge w:val="restart"/>
            <w:vAlign w:val="center"/>
          </w:tcPr>
          <w:p w14:paraId="29B5F771" w14:textId="77777777" w:rsidR="00CD1CEC" w:rsidRDefault="00386CF6" w:rsidP="00A85A22">
            <w:pPr>
              <w:bidi w:val="0"/>
              <w:jc w:val="center"/>
              <w:rPr>
                <w:b/>
                <w:bCs/>
              </w:rPr>
            </w:pPr>
            <w:r>
              <w:rPr>
                <w:b/>
                <w:bCs/>
              </w:rPr>
              <w:t>Periventricular confluent WMH solidity</w:t>
            </w:r>
          </w:p>
        </w:tc>
        <w:tc>
          <w:tcPr>
            <w:tcW w:w="3241" w:type="dxa"/>
            <w:gridSpan w:val="2"/>
            <w:vAlign w:val="center"/>
          </w:tcPr>
          <w:p w14:paraId="44E282EA" w14:textId="77777777" w:rsidR="00CD1CEC" w:rsidRDefault="00386CF6" w:rsidP="00A85A22">
            <w:pPr>
              <w:bidi w:val="0"/>
              <w:jc w:val="center"/>
              <w:rPr>
                <w:b/>
                <w:bCs/>
              </w:rPr>
            </w:pPr>
            <w:r>
              <w:rPr>
                <w:b/>
                <w:bCs/>
              </w:rPr>
              <w:t>Mean SD</w:t>
            </w:r>
          </w:p>
        </w:tc>
        <w:tc>
          <w:tcPr>
            <w:tcW w:w="2362" w:type="dxa"/>
            <w:vAlign w:val="center"/>
          </w:tcPr>
          <w:p w14:paraId="40C5352E" w14:textId="77777777" w:rsidR="00CD1CEC" w:rsidRDefault="00386CF6" w:rsidP="00A85A22">
            <w:pPr>
              <w:bidi w:val="0"/>
              <w:jc w:val="center"/>
            </w:pPr>
            <w:r>
              <w:t>0.5 ± 0.22</w:t>
            </w:r>
          </w:p>
        </w:tc>
      </w:tr>
      <w:tr w:rsidR="00CD1CEC" w14:paraId="0D6F72FC" w14:textId="77777777">
        <w:trPr>
          <w:trHeight w:val="438"/>
        </w:trPr>
        <w:tc>
          <w:tcPr>
            <w:tcW w:w="1756" w:type="dxa"/>
            <w:vMerge/>
            <w:vAlign w:val="center"/>
          </w:tcPr>
          <w:p w14:paraId="5FAFDC6A" w14:textId="77777777" w:rsidR="00CD1CEC" w:rsidRDefault="00CD1CEC" w:rsidP="00A85A22">
            <w:pPr>
              <w:widowControl w:val="0"/>
              <w:pBdr>
                <w:top w:val="nil"/>
                <w:left w:val="nil"/>
                <w:bottom w:val="nil"/>
                <w:right w:val="nil"/>
                <w:between w:val="nil"/>
              </w:pBdr>
              <w:bidi w:val="0"/>
              <w:spacing w:line="276" w:lineRule="auto"/>
            </w:pPr>
          </w:p>
        </w:tc>
        <w:tc>
          <w:tcPr>
            <w:tcW w:w="1658" w:type="dxa"/>
            <w:vMerge/>
            <w:vAlign w:val="center"/>
          </w:tcPr>
          <w:p w14:paraId="78A7C80A" w14:textId="77777777" w:rsidR="00CD1CEC" w:rsidRDefault="00CD1CEC" w:rsidP="00A85A22">
            <w:pPr>
              <w:widowControl w:val="0"/>
              <w:pBdr>
                <w:top w:val="nil"/>
                <w:left w:val="nil"/>
                <w:bottom w:val="nil"/>
                <w:right w:val="nil"/>
                <w:between w:val="nil"/>
              </w:pBdr>
              <w:bidi w:val="0"/>
              <w:spacing w:line="276" w:lineRule="auto"/>
            </w:pPr>
          </w:p>
        </w:tc>
        <w:tc>
          <w:tcPr>
            <w:tcW w:w="3241" w:type="dxa"/>
            <w:gridSpan w:val="2"/>
            <w:vAlign w:val="center"/>
          </w:tcPr>
          <w:p w14:paraId="57B2194C" w14:textId="77777777" w:rsidR="00CD1CEC" w:rsidRDefault="00386CF6" w:rsidP="00A85A22">
            <w:pPr>
              <w:bidi w:val="0"/>
              <w:jc w:val="center"/>
              <w:rPr>
                <w:b/>
                <w:bCs/>
              </w:rPr>
            </w:pPr>
            <w:r>
              <w:rPr>
                <w:b/>
                <w:bCs/>
              </w:rPr>
              <w:t>Median (IQR)</w:t>
            </w:r>
          </w:p>
        </w:tc>
        <w:tc>
          <w:tcPr>
            <w:tcW w:w="2362" w:type="dxa"/>
            <w:vAlign w:val="center"/>
          </w:tcPr>
          <w:p w14:paraId="66816793" w14:textId="77777777" w:rsidR="00CD1CEC" w:rsidRDefault="00386CF6" w:rsidP="00A85A22">
            <w:pPr>
              <w:bidi w:val="0"/>
              <w:jc w:val="center"/>
            </w:pPr>
            <w:r>
              <w:t>0.54 (0.38–0.74)</w:t>
            </w:r>
          </w:p>
        </w:tc>
      </w:tr>
      <w:tr w:rsidR="00CD1CEC" w14:paraId="39717116" w14:textId="77777777">
        <w:tc>
          <w:tcPr>
            <w:tcW w:w="1756" w:type="dxa"/>
            <w:vMerge/>
            <w:vAlign w:val="center"/>
          </w:tcPr>
          <w:p w14:paraId="079AD556"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59F70906" w14:textId="77777777" w:rsidR="00CD1CEC" w:rsidRDefault="00386CF6" w:rsidP="00A85A22">
            <w:pPr>
              <w:bidi w:val="0"/>
              <w:jc w:val="center"/>
              <w:rPr>
                <w:b/>
                <w:bCs/>
              </w:rPr>
            </w:pPr>
            <w:r>
              <w:rPr>
                <w:b/>
                <w:bCs/>
              </w:rPr>
              <w:t>Periventricular confluent convexity</w:t>
            </w:r>
          </w:p>
        </w:tc>
        <w:tc>
          <w:tcPr>
            <w:tcW w:w="2362" w:type="dxa"/>
            <w:vAlign w:val="center"/>
          </w:tcPr>
          <w:p w14:paraId="752221A3" w14:textId="77777777" w:rsidR="00CD1CEC" w:rsidRDefault="00386CF6" w:rsidP="00A85A22">
            <w:pPr>
              <w:bidi w:val="0"/>
              <w:jc w:val="center"/>
            </w:pPr>
            <w:r>
              <w:t>1 ± 0.14</w:t>
            </w:r>
          </w:p>
        </w:tc>
      </w:tr>
      <w:tr w:rsidR="00CD1CEC" w14:paraId="00881CF9" w14:textId="77777777">
        <w:tc>
          <w:tcPr>
            <w:tcW w:w="1756" w:type="dxa"/>
            <w:vMerge/>
            <w:vAlign w:val="center"/>
          </w:tcPr>
          <w:p w14:paraId="500C3108"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7EC1EA27" w14:textId="77777777" w:rsidR="00CD1CEC" w:rsidRDefault="00386CF6" w:rsidP="00A85A22">
            <w:pPr>
              <w:bidi w:val="0"/>
              <w:jc w:val="center"/>
              <w:rPr>
                <w:b/>
                <w:bCs/>
              </w:rPr>
            </w:pPr>
            <w:r>
              <w:rPr>
                <w:b/>
                <w:bCs/>
              </w:rPr>
              <w:t>Concavity index</w:t>
            </w:r>
          </w:p>
        </w:tc>
        <w:tc>
          <w:tcPr>
            <w:tcW w:w="2362" w:type="dxa"/>
            <w:vAlign w:val="center"/>
          </w:tcPr>
          <w:p w14:paraId="7040C9BC" w14:textId="77777777" w:rsidR="00CD1CEC" w:rsidRDefault="00386CF6" w:rsidP="00A85A22">
            <w:pPr>
              <w:bidi w:val="0"/>
              <w:jc w:val="center"/>
            </w:pPr>
            <w:r>
              <w:t>1.1 ± 0.08</w:t>
            </w:r>
          </w:p>
        </w:tc>
      </w:tr>
      <w:tr w:rsidR="00CD1CEC" w14:paraId="384E2A71" w14:textId="77777777">
        <w:tc>
          <w:tcPr>
            <w:tcW w:w="1756" w:type="dxa"/>
            <w:vMerge/>
            <w:vAlign w:val="center"/>
          </w:tcPr>
          <w:p w14:paraId="00CC30B0" w14:textId="77777777" w:rsidR="00CD1CEC" w:rsidRDefault="00CD1CEC" w:rsidP="00A85A22">
            <w:pPr>
              <w:widowControl w:val="0"/>
              <w:pBdr>
                <w:top w:val="nil"/>
                <w:left w:val="nil"/>
                <w:bottom w:val="nil"/>
                <w:right w:val="nil"/>
                <w:between w:val="nil"/>
              </w:pBdr>
              <w:bidi w:val="0"/>
              <w:spacing w:line="276" w:lineRule="auto"/>
            </w:pPr>
          </w:p>
        </w:tc>
        <w:tc>
          <w:tcPr>
            <w:tcW w:w="4899" w:type="dxa"/>
            <w:gridSpan w:val="3"/>
            <w:vAlign w:val="center"/>
          </w:tcPr>
          <w:p w14:paraId="34747434" w14:textId="77777777" w:rsidR="00CD1CEC" w:rsidRDefault="00386CF6" w:rsidP="00A85A22">
            <w:pPr>
              <w:bidi w:val="0"/>
              <w:jc w:val="center"/>
              <w:rPr>
                <w:b/>
                <w:bCs/>
              </w:rPr>
            </w:pPr>
            <w:r>
              <w:rPr>
                <w:b/>
                <w:bCs/>
              </w:rPr>
              <w:t>Fractal dimension</w:t>
            </w:r>
          </w:p>
        </w:tc>
        <w:tc>
          <w:tcPr>
            <w:tcW w:w="2362" w:type="dxa"/>
            <w:vAlign w:val="center"/>
          </w:tcPr>
          <w:p w14:paraId="729AD0EE" w14:textId="77777777" w:rsidR="00CD1CEC" w:rsidRDefault="00386CF6" w:rsidP="00A85A22">
            <w:pPr>
              <w:bidi w:val="0"/>
              <w:jc w:val="center"/>
            </w:pPr>
            <w:r>
              <w:t>1.4 ± 0.16</w:t>
            </w:r>
          </w:p>
        </w:tc>
      </w:tr>
    </w:tbl>
    <w:p w14:paraId="29BF098B" w14:textId="77777777" w:rsidR="00CD1CEC" w:rsidRDefault="00386CF6" w:rsidP="00A85A22">
      <w:pPr>
        <w:pBdr>
          <w:top w:val="nil"/>
          <w:left w:val="nil"/>
          <w:bottom w:val="nil"/>
          <w:right w:val="nil"/>
          <w:between w:val="nil"/>
        </w:pBdr>
        <w:bidi w:val="0"/>
        <w:spacing w:after="240"/>
        <w:jc w:val="both"/>
        <w:rPr>
          <w:color w:val="000000"/>
          <w:sz w:val="20"/>
          <w:szCs w:val="20"/>
        </w:rPr>
      </w:pPr>
      <w:r>
        <w:rPr>
          <w:color w:val="000000"/>
          <w:sz w:val="20"/>
          <w:szCs w:val="20"/>
        </w:rPr>
        <w:t>Data are presented as mean ± SD, frequency (%), or median (IQR). WMH: white matter hyperintensities, SLE: systemic lupus erythematosus, RA: rheumatoid arthritis, ANA: antinuclear antibody, Anti-dsDNA: anti–double stranded DNA antibody, Anti-CCP: anti–cyclic citrullinated peptide antibody, ANCA: anti-neutrophil cytoplasmic antibody, RF: rheumatoid factor, ALT: alanine aminotransferase, AST: aspartate aminotransferase, HDL: high-density lipoprotein, LDL: low-density lipoprotein, INR: international normalized ratio, PTT: partial thromboplastin time, ESR: erythrocyte sedimentation rate, CRP: C-reactive protein.</w:t>
      </w:r>
    </w:p>
    <w:p w14:paraId="20DDE0D4"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The three patient groups differed significantly in disease duration, with Behcet’s disease patients showing the longest mean duration (18.3 ± 5.06 years) and rheumatoid arthritis patients the shortest (5.4 ± 1.91 years) (P &lt; 0.001). Gender distribution also differed significantly, with males predominating in the Behcet’s group (71.4%) compared to the SLE (11.1%) and RA groups (21.4%) (P = 0.020). Clinical features such as genital and oral ulcerations were significantly more frequent in Behcet’s disease, while joint involvement was universal in RA (P &lt; 0.001). Serological markers showed disease-specific patterns: ANA, anti-dsDNA, anti-Ro, and anticardiolipin antibodies were significantly higher in SLE, whereas anti-CCP and RF were elevated in RA (P &lt; 0.001). </w:t>
      </w:r>
      <w:r>
        <w:rPr>
          <w:b/>
          <w:bCs/>
          <w:color w:val="000000"/>
        </w:rPr>
        <w:t>Table 3</w:t>
      </w:r>
    </w:p>
    <w:p w14:paraId="7B06FBD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No significant differences were observed among the groups regarding age, BMI, residence, comorbidities (smoking, DM, HTN, </w:t>
      </w:r>
      <w:proofErr w:type="spellStart"/>
      <w:r>
        <w:rPr>
          <w:color w:val="000000"/>
        </w:rPr>
        <w:t>dyslipidemia</w:t>
      </w:r>
      <w:proofErr w:type="spellEnd"/>
      <w:r>
        <w:rPr>
          <w:color w:val="000000"/>
        </w:rPr>
        <w:t xml:space="preserve">), routine laboratory parameters (Hb, platelet count, liver and kidney function tests, lipid profile, coagulation parameters, ESR, CRP), or overall frequency and volume of white matter hyperintensities (P &gt; 0.05). WMH distribution showed some regional differences, with basal ganglia involvement and brainstem lesions significantly more frequent in Behcet’s disease (P = 0.007 and P &lt; 0.001, respectively). Shape markers of WMH (solidity, convexity, concavity index, fractal dimension) did not differ significantly among the groups. </w:t>
      </w:r>
      <w:r>
        <w:rPr>
          <w:b/>
          <w:bCs/>
          <w:color w:val="000000"/>
        </w:rPr>
        <w:t>Table 3</w:t>
      </w:r>
    </w:p>
    <w:p w14:paraId="55F8EE67" w14:textId="77777777" w:rsidR="00CD1CEC" w:rsidRDefault="00386CF6" w:rsidP="00A85A22">
      <w:pPr>
        <w:keepNext/>
        <w:pBdr>
          <w:top w:val="nil"/>
          <w:left w:val="nil"/>
          <w:bottom w:val="nil"/>
          <w:right w:val="nil"/>
          <w:between w:val="nil"/>
        </w:pBdr>
        <w:bidi w:val="0"/>
        <w:spacing w:after="200"/>
        <w:jc w:val="both"/>
        <w:rPr>
          <w:b/>
          <w:bCs/>
          <w:color w:val="000000"/>
        </w:rPr>
      </w:pPr>
      <w:r>
        <w:rPr>
          <w:b/>
          <w:bCs/>
          <w:color w:val="000000"/>
        </w:rPr>
        <w:t>Table 3: Baseline Characteristics, Clinical Features, Laboratory Data, Serology, and MRI Findings of Studied Groups Regarding Diagnosis</w:t>
      </w:r>
    </w:p>
    <w:tbl>
      <w:tblPr>
        <w:tblStyle w:val="a1"/>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3"/>
        <w:gridCol w:w="1157"/>
        <w:gridCol w:w="1044"/>
        <w:gridCol w:w="1440"/>
        <w:gridCol w:w="1440"/>
        <w:gridCol w:w="1416"/>
        <w:gridCol w:w="947"/>
      </w:tblGrid>
      <w:tr w:rsidR="00CD1CEC" w14:paraId="2BEF478A" w14:textId="77777777">
        <w:tc>
          <w:tcPr>
            <w:tcW w:w="1573" w:type="dxa"/>
            <w:vAlign w:val="center"/>
          </w:tcPr>
          <w:p w14:paraId="49DECA5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Category</w:t>
            </w:r>
          </w:p>
        </w:tc>
        <w:tc>
          <w:tcPr>
            <w:tcW w:w="2201" w:type="dxa"/>
            <w:gridSpan w:val="2"/>
            <w:vAlign w:val="center"/>
          </w:tcPr>
          <w:p w14:paraId="0305858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Variable</w:t>
            </w:r>
          </w:p>
        </w:tc>
        <w:tc>
          <w:tcPr>
            <w:tcW w:w="1440" w:type="dxa"/>
            <w:vAlign w:val="center"/>
          </w:tcPr>
          <w:p w14:paraId="05DFA98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SLE (n=9)</w:t>
            </w:r>
          </w:p>
        </w:tc>
        <w:tc>
          <w:tcPr>
            <w:tcW w:w="1440" w:type="dxa"/>
            <w:vAlign w:val="center"/>
          </w:tcPr>
          <w:p w14:paraId="7076E5E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 (n=14)</w:t>
            </w:r>
          </w:p>
        </w:tc>
        <w:tc>
          <w:tcPr>
            <w:tcW w:w="1416" w:type="dxa"/>
            <w:vAlign w:val="center"/>
          </w:tcPr>
          <w:p w14:paraId="1C5E9B3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Behcet’s (n=7)</w:t>
            </w:r>
          </w:p>
        </w:tc>
        <w:tc>
          <w:tcPr>
            <w:tcW w:w="947" w:type="dxa"/>
            <w:vAlign w:val="center"/>
          </w:tcPr>
          <w:p w14:paraId="747447B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 value</w:t>
            </w:r>
          </w:p>
        </w:tc>
      </w:tr>
      <w:tr w:rsidR="00CD1CEC" w14:paraId="2F3D5586" w14:textId="77777777">
        <w:tc>
          <w:tcPr>
            <w:tcW w:w="1573" w:type="dxa"/>
            <w:vMerge w:val="restart"/>
            <w:vAlign w:val="center"/>
          </w:tcPr>
          <w:p w14:paraId="159844E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Demographics</w:t>
            </w:r>
          </w:p>
        </w:tc>
        <w:tc>
          <w:tcPr>
            <w:tcW w:w="2201" w:type="dxa"/>
            <w:gridSpan w:val="2"/>
            <w:vAlign w:val="center"/>
          </w:tcPr>
          <w:p w14:paraId="0D97847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Age (years)</w:t>
            </w:r>
          </w:p>
        </w:tc>
        <w:tc>
          <w:tcPr>
            <w:tcW w:w="1440" w:type="dxa"/>
            <w:vAlign w:val="center"/>
          </w:tcPr>
          <w:p w14:paraId="08C0C3F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45.2 ± 11.41</w:t>
            </w:r>
          </w:p>
        </w:tc>
        <w:tc>
          <w:tcPr>
            <w:tcW w:w="1440" w:type="dxa"/>
            <w:vAlign w:val="center"/>
          </w:tcPr>
          <w:p w14:paraId="66297C5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46.1 ± 14.1</w:t>
            </w:r>
          </w:p>
        </w:tc>
        <w:tc>
          <w:tcPr>
            <w:tcW w:w="1416" w:type="dxa"/>
            <w:vAlign w:val="center"/>
          </w:tcPr>
          <w:p w14:paraId="6094119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40.4 ± 12.62</w:t>
            </w:r>
          </w:p>
        </w:tc>
        <w:tc>
          <w:tcPr>
            <w:tcW w:w="947" w:type="dxa"/>
            <w:vAlign w:val="center"/>
          </w:tcPr>
          <w:p w14:paraId="2B747F1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0.633</w:t>
            </w:r>
          </w:p>
        </w:tc>
      </w:tr>
      <w:tr w:rsidR="00CD1CEC" w14:paraId="62C0418B" w14:textId="77777777">
        <w:tc>
          <w:tcPr>
            <w:tcW w:w="1573" w:type="dxa"/>
            <w:vMerge/>
            <w:vAlign w:val="center"/>
          </w:tcPr>
          <w:p w14:paraId="5F06D54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1157" w:type="dxa"/>
            <w:vMerge w:val="restart"/>
            <w:vAlign w:val="center"/>
          </w:tcPr>
          <w:p w14:paraId="2431490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Gender</w:t>
            </w:r>
          </w:p>
        </w:tc>
        <w:tc>
          <w:tcPr>
            <w:tcW w:w="1044" w:type="dxa"/>
            <w:vAlign w:val="center"/>
          </w:tcPr>
          <w:p w14:paraId="11CB86E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Male</w:t>
            </w:r>
          </w:p>
        </w:tc>
        <w:tc>
          <w:tcPr>
            <w:tcW w:w="1440" w:type="dxa"/>
            <w:vAlign w:val="center"/>
          </w:tcPr>
          <w:p w14:paraId="480250D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1BE304B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6F37DEE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Merge w:val="restart"/>
            <w:vAlign w:val="center"/>
          </w:tcPr>
          <w:p w14:paraId="4D70282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0.020*</w:t>
            </w:r>
          </w:p>
        </w:tc>
      </w:tr>
      <w:tr w:rsidR="00CD1CEC" w14:paraId="67E35615" w14:textId="77777777">
        <w:tc>
          <w:tcPr>
            <w:tcW w:w="1573" w:type="dxa"/>
            <w:vMerge/>
            <w:vAlign w:val="center"/>
          </w:tcPr>
          <w:p w14:paraId="049F5D3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1157" w:type="dxa"/>
            <w:vMerge/>
            <w:vAlign w:val="center"/>
          </w:tcPr>
          <w:p w14:paraId="70C8F501"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1044" w:type="dxa"/>
            <w:vAlign w:val="center"/>
          </w:tcPr>
          <w:p w14:paraId="686C0D4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Female</w:t>
            </w:r>
          </w:p>
        </w:tc>
        <w:tc>
          <w:tcPr>
            <w:tcW w:w="1440" w:type="dxa"/>
            <w:vAlign w:val="center"/>
          </w:tcPr>
          <w:p w14:paraId="1445C4B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(88.9%)</w:t>
            </w:r>
          </w:p>
        </w:tc>
        <w:tc>
          <w:tcPr>
            <w:tcW w:w="1440" w:type="dxa"/>
            <w:vAlign w:val="center"/>
          </w:tcPr>
          <w:p w14:paraId="53997B1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 (78.6%)</w:t>
            </w:r>
          </w:p>
        </w:tc>
        <w:tc>
          <w:tcPr>
            <w:tcW w:w="1416" w:type="dxa"/>
            <w:vAlign w:val="center"/>
          </w:tcPr>
          <w:p w14:paraId="4214524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(28.6%)</w:t>
            </w:r>
          </w:p>
        </w:tc>
        <w:tc>
          <w:tcPr>
            <w:tcW w:w="947" w:type="dxa"/>
            <w:vMerge/>
            <w:vAlign w:val="center"/>
          </w:tcPr>
          <w:p w14:paraId="20A4A89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r>
      <w:tr w:rsidR="00CD1CEC" w14:paraId="6559CC84" w14:textId="77777777">
        <w:tc>
          <w:tcPr>
            <w:tcW w:w="1573" w:type="dxa"/>
            <w:vMerge/>
            <w:vAlign w:val="center"/>
          </w:tcPr>
          <w:p w14:paraId="176A3F3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6207134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Weight (kg)</w:t>
            </w:r>
          </w:p>
        </w:tc>
        <w:tc>
          <w:tcPr>
            <w:tcW w:w="1440" w:type="dxa"/>
            <w:vAlign w:val="center"/>
          </w:tcPr>
          <w:p w14:paraId="447BEB9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81.9 ± 12.33</w:t>
            </w:r>
          </w:p>
        </w:tc>
        <w:tc>
          <w:tcPr>
            <w:tcW w:w="1440" w:type="dxa"/>
            <w:vAlign w:val="center"/>
          </w:tcPr>
          <w:p w14:paraId="6109639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84.1 ± 13.33</w:t>
            </w:r>
          </w:p>
        </w:tc>
        <w:tc>
          <w:tcPr>
            <w:tcW w:w="1416" w:type="dxa"/>
            <w:vAlign w:val="center"/>
          </w:tcPr>
          <w:p w14:paraId="403F1F2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77.9 ± 13.4</w:t>
            </w:r>
          </w:p>
        </w:tc>
        <w:tc>
          <w:tcPr>
            <w:tcW w:w="947" w:type="dxa"/>
            <w:vAlign w:val="center"/>
          </w:tcPr>
          <w:p w14:paraId="509AFFF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0.595</w:t>
            </w:r>
          </w:p>
        </w:tc>
      </w:tr>
      <w:tr w:rsidR="00CD1CEC" w14:paraId="2EE5992B" w14:textId="77777777">
        <w:tc>
          <w:tcPr>
            <w:tcW w:w="1573" w:type="dxa"/>
            <w:vMerge/>
            <w:vAlign w:val="center"/>
          </w:tcPr>
          <w:p w14:paraId="4107C97B"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62C9523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Height (m)</w:t>
            </w:r>
          </w:p>
        </w:tc>
        <w:tc>
          <w:tcPr>
            <w:tcW w:w="1440" w:type="dxa"/>
            <w:vAlign w:val="center"/>
          </w:tcPr>
          <w:p w14:paraId="6064F73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1.7 ± 0.05</w:t>
            </w:r>
          </w:p>
        </w:tc>
        <w:tc>
          <w:tcPr>
            <w:tcW w:w="1440" w:type="dxa"/>
            <w:vAlign w:val="center"/>
          </w:tcPr>
          <w:p w14:paraId="1C6C683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1.7 ± 0.04</w:t>
            </w:r>
          </w:p>
        </w:tc>
        <w:tc>
          <w:tcPr>
            <w:tcW w:w="1416" w:type="dxa"/>
            <w:vAlign w:val="center"/>
          </w:tcPr>
          <w:p w14:paraId="05E62BF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1.7 ± 0.04</w:t>
            </w:r>
          </w:p>
        </w:tc>
        <w:tc>
          <w:tcPr>
            <w:tcW w:w="947" w:type="dxa"/>
            <w:vAlign w:val="center"/>
          </w:tcPr>
          <w:p w14:paraId="6A32835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0.952</w:t>
            </w:r>
          </w:p>
        </w:tc>
      </w:tr>
      <w:tr w:rsidR="00CD1CEC" w14:paraId="35A7594E" w14:textId="77777777">
        <w:tc>
          <w:tcPr>
            <w:tcW w:w="1573" w:type="dxa"/>
            <w:vMerge/>
            <w:vAlign w:val="center"/>
          </w:tcPr>
          <w:p w14:paraId="3931C41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53B718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BMI (kg/m²)</w:t>
            </w:r>
          </w:p>
        </w:tc>
        <w:tc>
          <w:tcPr>
            <w:tcW w:w="1440" w:type="dxa"/>
            <w:vAlign w:val="center"/>
          </w:tcPr>
          <w:p w14:paraId="148022F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29.3 ± 4.78</w:t>
            </w:r>
          </w:p>
        </w:tc>
        <w:tc>
          <w:tcPr>
            <w:tcW w:w="1440" w:type="dxa"/>
            <w:vAlign w:val="center"/>
          </w:tcPr>
          <w:p w14:paraId="12CA110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30.2 ± 5.09</w:t>
            </w:r>
          </w:p>
        </w:tc>
        <w:tc>
          <w:tcPr>
            <w:tcW w:w="1416" w:type="dxa"/>
            <w:vAlign w:val="center"/>
          </w:tcPr>
          <w:p w14:paraId="6CFD302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28.1 ± 5.32</w:t>
            </w:r>
          </w:p>
        </w:tc>
        <w:tc>
          <w:tcPr>
            <w:tcW w:w="947" w:type="dxa"/>
            <w:vAlign w:val="center"/>
          </w:tcPr>
          <w:p w14:paraId="482E5CB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0.676</w:t>
            </w:r>
          </w:p>
        </w:tc>
      </w:tr>
      <w:tr w:rsidR="00CD1CEC" w14:paraId="50C4F528" w14:textId="77777777">
        <w:tc>
          <w:tcPr>
            <w:tcW w:w="1573" w:type="dxa"/>
            <w:vMerge/>
            <w:vAlign w:val="center"/>
          </w:tcPr>
          <w:p w14:paraId="7019DF1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1157" w:type="dxa"/>
            <w:vMerge w:val="restart"/>
            <w:vAlign w:val="center"/>
          </w:tcPr>
          <w:p w14:paraId="2B90B32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Residence</w:t>
            </w:r>
          </w:p>
        </w:tc>
        <w:tc>
          <w:tcPr>
            <w:tcW w:w="1044" w:type="dxa"/>
            <w:vAlign w:val="center"/>
          </w:tcPr>
          <w:p w14:paraId="6935966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Urban</w:t>
            </w:r>
          </w:p>
        </w:tc>
        <w:tc>
          <w:tcPr>
            <w:tcW w:w="1440" w:type="dxa"/>
            <w:vAlign w:val="center"/>
          </w:tcPr>
          <w:p w14:paraId="47D74F2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(55.6%)</w:t>
            </w:r>
          </w:p>
        </w:tc>
        <w:tc>
          <w:tcPr>
            <w:tcW w:w="1440" w:type="dxa"/>
            <w:vAlign w:val="center"/>
          </w:tcPr>
          <w:p w14:paraId="2A042FF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(57.1%)</w:t>
            </w:r>
          </w:p>
        </w:tc>
        <w:tc>
          <w:tcPr>
            <w:tcW w:w="1416" w:type="dxa"/>
            <w:vAlign w:val="center"/>
          </w:tcPr>
          <w:p w14:paraId="7DB0AAF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(57.1%)</w:t>
            </w:r>
          </w:p>
        </w:tc>
        <w:tc>
          <w:tcPr>
            <w:tcW w:w="947" w:type="dxa"/>
            <w:vMerge w:val="restart"/>
            <w:vAlign w:val="center"/>
          </w:tcPr>
          <w:p w14:paraId="7D9B7AD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0.081</w:t>
            </w:r>
          </w:p>
        </w:tc>
      </w:tr>
      <w:tr w:rsidR="00CD1CEC" w14:paraId="2A362B2F" w14:textId="77777777">
        <w:tc>
          <w:tcPr>
            <w:tcW w:w="1573" w:type="dxa"/>
            <w:vMerge/>
            <w:vAlign w:val="center"/>
          </w:tcPr>
          <w:p w14:paraId="2EFDD207"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1157" w:type="dxa"/>
            <w:vMerge/>
            <w:vAlign w:val="center"/>
          </w:tcPr>
          <w:p w14:paraId="5A6F2FDB"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1044" w:type="dxa"/>
            <w:vAlign w:val="center"/>
          </w:tcPr>
          <w:p w14:paraId="768BD22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Rural</w:t>
            </w:r>
          </w:p>
        </w:tc>
        <w:tc>
          <w:tcPr>
            <w:tcW w:w="1440" w:type="dxa"/>
            <w:vAlign w:val="center"/>
          </w:tcPr>
          <w:p w14:paraId="6D0AFE9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1440" w:type="dxa"/>
            <w:vAlign w:val="center"/>
          </w:tcPr>
          <w:p w14:paraId="59D58C3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(42.9%)</w:t>
            </w:r>
          </w:p>
        </w:tc>
        <w:tc>
          <w:tcPr>
            <w:tcW w:w="1416" w:type="dxa"/>
            <w:vAlign w:val="center"/>
          </w:tcPr>
          <w:p w14:paraId="707218F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Merge/>
            <w:vAlign w:val="center"/>
          </w:tcPr>
          <w:p w14:paraId="6433970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r>
      <w:tr w:rsidR="00CD1CEC" w14:paraId="531CE73D" w14:textId="77777777">
        <w:tc>
          <w:tcPr>
            <w:tcW w:w="1573" w:type="dxa"/>
            <w:vMerge w:val="restart"/>
            <w:vAlign w:val="center"/>
          </w:tcPr>
          <w:p w14:paraId="7B2367A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Comorbidities</w:t>
            </w:r>
          </w:p>
        </w:tc>
        <w:tc>
          <w:tcPr>
            <w:tcW w:w="2201" w:type="dxa"/>
            <w:gridSpan w:val="2"/>
            <w:vAlign w:val="center"/>
          </w:tcPr>
          <w:p w14:paraId="184CCA7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Smoking</w:t>
            </w:r>
          </w:p>
        </w:tc>
        <w:tc>
          <w:tcPr>
            <w:tcW w:w="1440" w:type="dxa"/>
            <w:vAlign w:val="center"/>
          </w:tcPr>
          <w:p w14:paraId="54FEF0E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536C629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000F668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(57.1%)</w:t>
            </w:r>
          </w:p>
        </w:tc>
        <w:tc>
          <w:tcPr>
            <w:tcW w:w="947" w:type="dxa"/>
            <w:vAlign w:val="center"/>
          </w:tcPr>
          <w:p w14:paraId="69DCB51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0.683</w:t>
            </w:r>
          </w:p>
        </w:tc>
      </w:tr>
      <w:tr w:rsidR="00CD1CEC" w14:paraId="19865CBE" w14:textId="77777777">
        <w:tc>
          <w:tcPr>
            <w:tcW w:w="1573" w:type="dxa"/>
            <w:vMerge/>
            <w:vAlign w:val="center"/>
          </w:tcPr>
          <w:p w14:paraId="16DFDE2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559A96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DM</w:t>
            </w:r>
          </w:p>
        </w:tc>
        <w:tc>
          <w:tcPr>
            <w:tcW w:w="1440" w:type="dxa"/>
            <w:vAlign w:val="center"/>
          </w:tcPr>
          <w:p w14:paraId="7BC583B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(33.3%)</w:t>
            </w:r>
          </w:p>
        </w:tc>
        <w:tc>
          <w:tcPr>
            <w:tcW w:w="1440" w:type="dxa"/>
            <w:vAlign w:val="center"/>
          </w:tcPr>
          <w:p w14:paraId="635B5B3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(35.7%)</w:t>
            </w:r>
          </w:p>
        </w:tc>
        <w:tc>
          <w:tcPr>
            <w:tcW w:w="1416" w:type="dxa"/>
            <w:vAlign w:val="center"/>
          </w:tcPr>
          <w:p w14:paraId="42C68B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(28.6%)</w:t>
            </w:r>
          </w:p>
        </w:tc>
        <w:tc>
          <w:tcPr>
            <w:tcW w:w="947" w:type="dxa"/>
            <w:vAlign w:val="center"/>
          </w:tcPr>
          <w:p w14:paraId="55D9A47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0.426</w:t>
            </w:r>
          </w:p>
        </w:tc>
      </w:tr>
      <w:tr w:rsidR="00CD1CEC" w14:paraId="4F196EAB" w14:textId="77777777">
        <w:tc>
          <w:tcPr>
            <w:tcW w:w="1573" w:type="dxa"/>
            <w:vMerge/>
            <w:vAlign w:val="center"/>
          </w:tcPr>
          <w:p w14:paraId="52A0A8C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876FC1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HTN</w:t>
            </w:r>
          </w:p>
        </w:tc>
        <w:tc>
          <w:tcPr>
            <w:tcW w:w="1440" w:type="dxa"/>
            <w:vAlign w:val="center"/>
          </w:tcPr>
          <w:p w14:paraId="07B28BA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1440" w:type="dxa"/>
            <w:vAlign w:val="center"/>
          </w:tcPr>
          <w:p w14:paraId="67A4324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(42.9%)</w:t>
            </w:r>
          </w:p>
        </w:tc>
        <w:tc>
          <w:tcPr>
            <w:tcW w:w="1416" w:type="dxa"/>
            <w:vAlign w:val="center"/>
          </w:tcPr>
          <w:p w14:paraId="21289E0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Align w:val="center"/>
          </w:tcPr>
          <w:p w14:paraId="2E42ADF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0.081</w:t>
            </w:r>
          </w:p>
        </w:tc>
      </w:tr>
      <w:tr w:rsidR="00CD1CEC" w14:paraId="0BC0DD73" w14:textId="77777777">
        <w:tc>
          <w:tcPr>
            <w:tcW w:w="1573" w:type="dxa"/>
            <w:vMerge/>
            <w:vAlign w:val="center"/>
          </w:tcPr>
          <w:p w14:paraId="1DB772F6"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1C1FCD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Dyslipidemia</w:t>
            </w:r>
            <w:proofErr w:type="spellEnd"/>
          </w:p>
        </w:tc>
        <w:tc>
          <w:tcPr>
            <w:tcW w:w="1440" w:type="dxa"/>
            <w:vAlign w:val="center"/>
          </w:tcPr>
          <w:p w14:paraId="2A0E9EA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(66.7%)</w:t>
            </w:r>
          </w:p>
        </w:tc>
        <w:tc>
          <w:tcPr>
            <w:tcW w:w="1440" w:type="dxa"/>
            <w:vAlign w:val="center"/>
          </w:tcPr>
          <w:p w14:paraId="0DE9238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 (50%)</w:t>
            </w:r>
          </w:p>
        </w:tc>
        <w:tc>
          <w:tcPr>
            <w:tcW w:w="1416" w:type="dxa"/>
            <w:vAlign w:val="center"/>
          </w:tcPr>
          <w:p w14:paraId="4404574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7595B80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0.261</w:t>
            </w:r>
          </w:p>
        </w:tc>
      </w:tr>
      <w:tr w:rsidR="00CD1CEC" w14:paraId="3B73ED78" w14:textId="77777777">
        <w:tc>
          <w:tcPr>
            <w:tcW w:w="1573" w:type="dxa"/>
            <w:vAlign w:val="center"/>
          </w:tcPr>
          <w:p w14:paraId="00FC4B9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Disease Duration</w:t>
            </w:r>
          </w:p>
        </w:tc>
        <w:tc>
          <w:tcPr>
            <w:tcW w:w="2201" w:type="dxa"/>
            <w:gridSpan w:val="2"/>
            <w:vAlign w:val="center"/>
          </w:tcPr>
          <w:p w14:paraId="69EC85E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Duration (years)</w:t>
            </w:r>
          </w:p>
        </w:tc>
        <w:tc>
          <w:tcPr>
            <w:tcW w:w="1440" w:type="dxa"/>
            <w:vAlign w:val="center"/>
          </w:tcPr>
          <w:p w14:paraId="31DA6CB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 ± 3.91</w:t>
            </w:r>
          </w:p>
        </w:tc>
        <w:tc>
          <w:tcPr>
            <w:tcW w:w="1440" w:type="dxa"/>
            <w:vAlign w:val="center"/>
          </w:tcPr>
          <w:p w14:paraId="2388FCA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5.4 ± 1.91</w:t>
            </w:r>
          </w:p>
        </w:tc>
        <w:tc>
          <w:tcPr>
            <w:tcW w:w="1416" w:type="dxa"/>
            <w:vAlign w:val="center"/>
          </w:tcPr>
          <w:p w14:paraId="59513C2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18.3 ± 5.06</w:t>
            </w:r>
          </w:p>
        </w:tc>
        <w:tc>
          <w:tcPr>
            <w:tcW w:w="947" w:type="dxa"/>
            <w:vAlign w:val="center"/>
          </w:tcPr>
          <w:p w14:paraId="1C7E7C5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47995183" w14:textId="77777777">
        <w:tc>
          <w:tcPr>
            <w:tcW w:w="1573" w:type="dxa"/>
            <w:vMerge w:val="restart"/>
            <w:vAlign w:val="center"/>
          </w:tcPr>
          <w:p w14:paraId="6969D75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Clinical Features</w:t>
            </w:r>
          </w:p>
        </w:tc>
        <w:tc>
          <w:tcPr>
            <w:tcW w:w="2201" w:type="dxa"/>
            <w:gridSpan w:val="2"/>
            <w:vAlign w:val="center"/>
          </w:tcPr>
          <w:p w14:paraId="1C7791D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Joint involvement</w:t>
            </w:r>
          </w:p>
        </w:tc>
        <w:tc>
          <w:tcPr>
            <w:tcW w:w="1440" w:type="dxa"/>
            <w:vAlign w:val="center"/>
          </w:tcPr>
          <w:p w14:paraId="32224EB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(88.9%)</w:t>
            </w:r>
          </w:p>
        </w:tc>
        <w:tc>
          <w:tcPr>
            <w:tcW w:w="1440" w:type="dxa"/>
            <w:vAlign w:val="center"/>
          </w:tcPr>
          <w:p w14:paraId="69321D5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 (100%)</w:t>
            </w:r>
          </w:p>
        </w:tc>
        <w:tc>
          <w:tcPr>
            <w:tcW w:w="1416" w:type="dxa"/>
            <w:vAlign w:val="center"/>
          </w:tcPr>
          <w:p w14:paraId="429B82A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62F0B69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0.840</w:t>
            </w:r>
          </w:p>
        </w:tc>
      </w:tr>
      <w:tr w:rsidR="00CD1CEC" w14:paraId="6E7CED0F" w14:textId="77777777">
        <w:tc>
          <w:tcPr>
            <w:tcW w:w="1573" w:type="dxa"/>
            <w:vMerge/>
            <w:vAlign w:val="center"/>
          </w:tcPr>
          <w:p w14:paraId="5FD8F13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0A9E68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Genital ulcers</w:t>
            </w:r>
          </w:p>
        </w:tc>
        <w:tc>
          <w:tcPr>
            <w:tcW w:w="1440" w:type="dxa"/>
            <w:vAlign w:val="center"/>
          </w:tcPr>
          <w:p w14:paraId="30FCA67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678A5D7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4230C0A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635C7EE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70FF4AEF" w14:textId="77777777">
        <w:tc>
          <w:tcPr>
            <w:tcW w:w="1573" w:type="dxa"/>
            <w:vMerge/>
            <w:vAlign w:val="center"/>
          </w:tcPr>
          <w:p w14:paraId="499F386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7C44C80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Oral ulcerations</w:t>
            </w:r>
          </w:p>
        </w:tc>
        <w:tc>
          <w:tcPr>
            <w:tcW w:w="1440" w:type="dxa"/>
            <w:vAlign w:val="center"/>
          </w:tcPr>
          <w:p w14:paraId="75BA75E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(33.3%)</w:t>
            </w:r>
          </w:p>
        </w:tc>
        <w:tc>
          <w:tcPr>
            <w:tcW w:w="1440" w:type="dxa"/>
            <w:vAlign w:val="center"/>
          </w:tcPr>
          <w:p w14:paraId="0D49219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49996FA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(85.7%)</w:t>
            </w:r>
          </w:p>
        </w:tc>
        <w:tc>
          <w:tcPr>
            <w:tcW w:w="947" w:type="dxa"/>
            <w:vAlign w:val="center"/>
          </w:tcPr>
          <w:p w14:paraId="1E5D011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4417BB3E" w14:textId="77777777">
        <w:tc>
          <w:tcPr>
            <w:tcW w:w="1573" w:type="dxa"/>
            <w:vMerge/>
            <w:vAlign w:val="center"/>
          </w:tcPr>
          <w:p w14:paraId="0CEA9788"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1EC3F4A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Renal involvement</w:t>
            </w:r>
          </w:p>
        </w:tc>
        <w:tc>
          <w:tcPr>
            <w:tcW w:w="1440" w:type="dxa"/>
            <w:vAlign w:val="center"/>
          </w:tcPr>
          <w:p w14:paraId="5E8E7A7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1AFE385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(14.3%)</w:t>
            </w:r>
          </w:p>
        </w:tc>
        <w:tc>
          <w:tcPr>
            <w:tcW w:w="1416" w:type="dxa"/>
            <w:vAlign w:val="center"/>
          </w:tcPr>
          <w:p w14:paraId="25C387F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5944EBD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0.972</w:t>
            </w:r>
          </w:p>
        </w:tc>
      </w:tr>
      <w:tr w:rsidR="00CD1CEC" w14:paraId="0ADBE884" w14:textId="77777777">
        <w:tc>
          <w:tcPr>
            <w:tcW w:w="1573" w:type="dxa"/>
            <w:vMerge/>
            <w:vAlign w:val="center"/>
          </w:tcPr>
          <w:p w14:paraId="5D771F3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3DF4D40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Skin lesions</w:t>
            </w:r>
          </w:p>
        </w:tc>
        <w:tc>
          <w:tcPr>
            <w:tcW w:w="1440" w:type="dxa"/>
            <w:vAlign w:val="center"/>
          </w:tcPr>
          <w:p w14:paraId="7476C49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0B61C47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40BA751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Align w:val="center"/>
          </w:tcPr>
          <w:p w14:paraId="4C2A391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0.541</w:t>
            </w:r>
          </w:p>
        </w:tc>
      </w:tr>
      <w:tr w:rsidR="00CD1CEC" w14:paraId="310F5A90" w14:textId="77777777">
        <w:tc>
          <w:tcPr>
            <w:tcW w:w="1573" w:type="dxa"/>
            <w:vMerge w:val="restart"/>
            <w:vAlign w:val="center"/>
          </w:tcPr>
          <w:p w14:paraId="3173D14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Neurological Features</w:t>
            </w:r>
          </w:p>
        </w:tc>
        <w:tc>
          <w:tcPr>
            <w:tcW w:w="2201" w:type="dxa"/>
            <w:gridSpan w:val="2"/>
            <w:vAlign w:val="center"/>
          </w:tcPr>
          <w:p w14:paraId="4330ECB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Headache</w:t>
            </w:r>
          </w:p>
        </w:tc>
        <w:tc>
          <w:tcPr>
            <w:tcW w:w="1440" w:type="dxa"/>
            <w:vAlign w:val="center"/>
          </w:tcPr>
          <w:p w14:paraId="46F5BA0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1440" w:type="dxa"/>
            <w:vAlign w:val="center"/>
          </w:tcPr>
          <w:p w14:paraId="5BEDF24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(42.9%)</w:t>
            </w:r>
          </w:p>
        </w:tc>
        <w:tc>
          <w:tcPr>
            <w:tcW w:w="1416" w:type="dxa"/>
            <w:vAlign w:val="center"/>
          </w:tcPr>
          <w:p w14:paraId="5273C0C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(42.9%)</w:t>
            </w:r>
          </w:p>
        </w:tc>
        <w:tc>
          <w:tcPr>
            <w:tcW w:w="947" w:type="dxa"/>
            <w:vAlign w:val="center"/>
          </w:tcPr>
          <w:p w14:paraId="3DB7038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0.997</w:t>
            </w:r>
          </w:p>
        </w:tc>
      </w:tr>
      <w:tr w:rsidR="00CD1CEC" w14:paraId="396C2BD2" w14:textId="77777777">
        <w:tc>
          <w:tcPr>
            <w:tcW w:w="1573" w:type="dxa"/>
            <w:vMerge/>
            <w:vAlign w:val="center"/>
          </w:tcPr>
          <w:p w14:paraId="35121E34"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31D8D3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Psychosis</w:t>
            </w:r>
          </w:p>
        </w:tc>
        <w:tc>
          <w:tcPr>
            <w:tcW w:w="1440" w:type="dxa"/>
            <w:vAlign w:val="center"/>
          </w:tcPr>
          <w:p w14:paraId="6FBED5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070B2F1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531A601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35E5514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0.581</w:t>
            </w:r>
          </w:p>
        </w:tc>
      </w:tr>
      <w:tr w:rsidR="00CD1CEC" w14:paraId="25BE7FB0" w14:textId="77777777">
        <w:tc>
          <w:tcPr>
            <w:tcW w:w="1573" w:type="dxa"/>
            <w:vMerge/>
            <w:vAlign w:val="center"/>
          </w:tcPr>
          <w:p w14:paraId="05D9EA04"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3F33CF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Peripheral polyneuropathy</w:t>
            </w:r>
          </w:p>
        </w:tc>
        <w:tc>
          <w:tcPr>
            <w:tcW w:w="1440" w:type="dxa"/>
            <w:vAlign w:val="center"/>
          </w:tcPr>
          <w:p w14:paraId="7575F12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48B1F5F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6E3685A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3CB2785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0.868</w:t>
            </w:r>
          </w:p>
        </w:tc>
      </w:tr>
      <w:tr w:rsidR="00CD1CEC" w14:paraId="45464805" w14:textId="77777777">
        <w:tc>
          <w:tcPr>
            <w:tcW w:w="1573" w:type="dxa"/>
            <w:vMerge/>
            <w:vAlign w:val="center"/>
          </w:tcPr>
          <w:p w14:paraId="183548A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F2FD2C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Hemispheric syndrome</w:t>
            </w:r>
          </w:p>
        </w:tc>
        <w:tc>
          <w:tcPr>
            <w:tcW w:w="1440" w:type="dxa"/>
            <w:vAlign w:val="center"/>
          </w:tcPr>
          <w:p w14:paraId="78B50B8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54883CF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0996CFF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79B58F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0.521</w:t>
            </w:r>
          </w:p>
        </w:tc>
      </w:tr>
      <w:tr w:rsidR="00CD1CEC" w14:paraId="1BAA5CBC" w14:textId="77777777">
        <w:tc>
          <w:tcPr>
            <w:tcW w:w="1573" w:type="dxa"/>
            <w:vMerge/>
            <w:vAlign w:val="center"/>
          </w:tcPr>
          <w:p w14:paraId="3445CEB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517453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Seizure disorder</w:t>
            </w:r>
          </w:p>
        </w:tc>
        <w:tc>
          <w:tcPr>
            <w:tcW w:w="1440" w:type="dxa"/>
            <w:vAlign w:val="center"/>
          </w:tcPr>
          <w:p w14:paraId="18C69AC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162BC73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288742E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681F812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0.379</w:t>
            </w:r>
          </w:p>
        </w:tc>
      </w:tr>
      <w:tr w:rsidR="00CD1CEC" w14:paraId="3FC7C9B0" w14:textId="77777777">
        <w:tc>
          <w:tcPr>
            <w:tcW w:w="1573" w:type="dxa"/>
            <w:vMerge/>
            <w:vAlign w:val="center"/>
          </w:tcPr>
          <w:p w14:paraId="71B4482C"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C41C2D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Autonomic disorder</w:t>
            </w:r>
          </w:p>
        </w:tc>
        <w:tc>
          <w:tcPr>
            <w:tcW w:w="1440" w:type="dxa"/>
            <w:vAlign w:val="center"/>
          </w:tcPr>
          <w:p w14:paraId="71DB5EB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07CE1C7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0927479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42F157F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0.521</w:t>
            </w:r>
          </w:p>
        </w:tc>
      </w:tr>
      <w:tr w:rsidR="00CD1CEC" w14:paraId="4B50441A" w14:textId="77777777">
        <w:tc>
          <w:tcPr>
            <w:tcW w:w="1573" w:type="dxa"/>
            <w:vMerge/>
            <w:vAlign w:val="center"/>
          </w:tcPr>
          <w:p w14:paraId="6E91388E"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543394B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Cognitive dysfunction</w:t>
            </w:r>
          </w:p>
        </w:tc>
        <w:tc>
          <w:tcPr>
            <w:tcW w:w="1440" w:type="dxa"/>
            <w:vAlign w:val="center"/>
          </w:tcPr>
          <w:p w14:paraId="59DC6D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7858CC8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01AB366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(14.3%)</w:t>
            </w:r>
          </w:p>
        </w:tc>
        <w:tc>
          <w:tcPr>
            <w:tcW w:w="947" w:type="dxa"/>
            <w:vAlign w:val="center"/>
          </w:tcPr>
          <w:p w14:paraId="2053D64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0.226</w:t>
            </w:r>
          </w:p>
        </w:tc>
      </w:tr>
      <w:tr w:rsidR="00CD1CEC" w14:paraId="37003D51" w14:textId="77777777">
        <w:tc>
          <w:tcPr>
            <w:tcW w:w="1573" w:type="dxa"/>
            <w:vMerge/>
            <w:vAlign w:val="center"/>
          </w:tcPr>
          <w:p w14:paraId="61516FE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C3F2F0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Cranial neuropathy</w:t>
            </w:r>
          </w:p>
        </w:tc>
        <w:tc>
          <w:tcPr>
            <w:tcW w:w="1440" w:type="dxa"/>
            <w:vAlign w:val="center"/>
          </w:tcPr>
          <w:p w14:paraId="6EFB591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1440" w:type="dxa"/>
            <w:vAlign w:val="center"/>
          </w:tcPr>
          <w:p w14:paraId="3B966AE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148FF0C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711468A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0.299</w:t>
            </w:r>
          </w:p>
        </w:tc>
      </w:tr>
      <w:tr w:rsidR="00CD1CEC" w14:paraId="1F995F83" w14:textId="77777777">
        <w:tc>
          <w:tcPr>
            <w:tcW w:w="1573" w:type="dxa"/>
            <w:vMerge w:val="restart"/>
            <w:vAlign w:val="center"/>
          </w:tcPr>
          <w:p w14:paraId="1F3D14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Laboratory Data</w:t>
            </w:r>
          </w:p>
        </w:tc>
        <w:tc>
          <w:tcPr>
            <w:tcW w:w="2201" w:type="dxa"/>
            <w:gridSpan w:val="2"/>
            <w:vAlign w:val="center"/>
          </w:tcPr>
          <w:p w14:paraId="053A2FA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Hb (mg/dL)</w:t>
            </w:r>
          </w:p>
        </w:tc>
        <w:tc>
          <w:tcPr>
            <w:tcW w:w="1440" w:type="dxa"/>
            <w:vAlign w:val="center"/>
          </w:tcPr>
          <w:p w14:paraId="2443B2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11.1 ± 0.93</w:t>
            </w:r>
          </w:p>
        </w:tc>
        <w:tc>
          <w:tcPr>
            <w:tcW w:w="1440" w:type="dxa"/>
            <w:vAlign w:val="center"/>
          </w:tcPr>
          <w:p w14:paraId="542C49D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11.2 ± 0.95</w:t>
            </w:r>
          </w:p>
        </w:tc>
        <w:tc>
          <w:tcPr>
            <w:tcW w:w="1416" w:type="dxa"/>
            <w:vAlign w:val="center"/>
          </w:tcPr>
          <w:p w14:paraId="421A50E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11.2 ± 1.19</w:t>
            </w:r>
          </w:p>
        </w:tc>
        <w:tc>
          <w:tcPr>
            <w:tcW w:w="947" w:type="dxa"/>
            <w:vAlign w:val="center"/>
          </w:tcPr>
          <w:p w14:paraId="069F129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0.633</w:t>
            </w:r>
          </w:p>
        </w:tc>
      </w:tr>
      <w:tr w:rsidR="00CD1CEC" w14:paraId="632CEC8C" w14:textId="77777777">
        <w:tc>
          <w:tcPr>
            <w:tcW w:w="1573" w:type="dxa"/>
            <w:vMerge/>
            <w:vAlign w:val="center"/>
          </w:tcPr>
          <w:p w14:paraId="59F1D597"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D9BFA1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Platelet count (×10⁹/L)</w:t>
            </w:r>
          </w:p>
        </w:tc>
        <w:tc>
          <w:tcPr>
            <w:tcW w:w="1440" w:type="dxa"/>
            <w:vAlign w:val="center"/>
          </w:tcPr>
          <w:p w14:paraId="53D718D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271.8 ± 35.6</w:t>
            </w:r>
          </w:p>
        </w:tc>
        <w:tc>
          <w:tcPr>
            <w:tcW w:w="1440" w:type="dxa"/>
            <w:vAlign w:val="center"/>
          </w:tcPr>
          <w:p w14:paraId="7DE065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283.1 ± 26.9</w:t>
            </w:r>
          </w:p>
        </w:tc>
        <w:tc>
          <w:tcPr>
            <w:tcW w:w="1416" w:type="dxa"/>
            <w:vAlign w:val="center"/>
          </w:tcPr>
          <w:p w14:paraId="2498C86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298.1 ± 47.4</w:t>
            </w:r>
          </w:p>
        </w:tc>
        <w:tc>
          <w:tcPr>
            <w:tcW w:w="947" w:type="dxa"/>
            <w:vAlign w:val="center"/>
          </w:tcPr>
          <w:p w14:paraId="144CD8F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0.340</w:t>
            </w:r>
          </w:p>
        </w:tc>
      </w:tr>
      <w:tr w:rsidR="00CD1CEC" w14:paraId="265D5870" w14:textId="77777777">
        <w:tc>
          <w:tcPr>
            <w:tcW w:w="1573" w:type="dxa"/>
            <w:vMerge/>
            <w:vAlign w:val="center"/>
          </w:tcPr>
          <w:p w14:paraId="4D7BAF1E"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CFA003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Random blood sugar (mg/dL)</w:t>
            </w:r>
          </w:p>
        </w:tc>
        <w:tc>
          <w:tcPr>
            <w:tcW w:w="1440" w:type="dxa"/>
            <w:vAlign w:val="center"/>
          </w:tcPr>
          <w:p w14:paraId="3DE6400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112.4 ± 35</w:t>
            </w:r>
          </w:p>
        </w:tc>
        <w:tc>
          <w:tcPr>
            <w:tcW w:w="1440" w:type="dxa"/>
            <w:vAlign w:val="center"/>
          </w:tcPr>
          <w:p w14:paraId="4533196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121.1 ± 28.8</w:t>
            </w:r>
          </w:p>
        </w:tc>
        <w:tc>
          <w:tcPr>
            <w:tcW w:w="1416" w:type="dxa"/>
            <w:vAlign w:val="center"/>
          </w:tcPr>
          <w:p w14:paraId="546305A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106.9 ± 26.3</w:t>
            </w:r>
          </w:p>
        </w:tc>
        <w:tc>
          <w:tcPr>
            <w:tcW w:w="947" w:type="dxa"/>
            <w:vAlign w:val="center"/>
          </w:tcPr>
          <w:p w14:paraId="75DC7AB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0.570</w:t>
            </w:r>
          </w:p>
        </w:tc>
      </w:tr>
      <w:tr w:rsidR="00CD1CEC" w14:paraId="21A188FF" w14:textId="77777777">
        <w:tc>
          <w:tcPr>
            <w:tcW w:w="1573" w:type="dxa"/>
            <w:vMerge/>
            <w:vAlign w:val="center"/>
          </w:tcPr>
          <w:p w14:paraId="661687F1"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96A1EC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ALT (U/L)</w:t>
            </w:r>
          </w:p>
        </w:tc>
        <w:tc>
          <w:tcPr>
            <w:tcW w:w="1440" w:type="dxa"/>
            <w:vAlign w:val="center"/>
          </w:tcPr>
          <w:p w14:paraId="472BF6F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33.2 ± 7.87</w:t>
            </w:r>
          </w:p>
        </w:tc>
        <w:tc>
          <w:tcPr>
            <w:tcW w:w="1440" w:type="dxa"/>
            <w:vAlign w:val="center"/>
          </w:tcPr>
          <w:p w14:paraId="7CAF05F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34.4 ± 8.14</w:t>
            </w:r>
          </w:p>
        </w:tc>
        <w:tc>
          <w:tcPr>
            <w:tcW w:w="1416" w:type="dxa"/>
            <w:vAlign w:val="center"/>
          </w:tcPr>
          <w:p w14:paraId="6184246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31.7 ± 7.32</w:t>
            </w:r>
          </w:p>
        </w:tc>
        <w:tc>
          <w:tcPr>
            <w:tcW w:w="947" w:type="dxa"/>
            <w:vAlign w:val="center"/>
          </w:tcPr>
          <w:p w14:paraId="2575574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0.757</w:t>
            </w:r>
          </w:p>
        </w:tc>
      </w:tr>
      <w:tr w:rsidR="00CD1CEC" w14:paraId="50744B1B" w14:textId="77777777">
        <w:tc>
          <w:tcPr>
            <w:tcW w:w="1573" w:type="dxa"/>
            <w:vMerge/>
            <w:vAlign w:val="center"/>
          </w:tcPr>
          <w:p w14:paraId="4D116871"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FE08DA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AST (U/L)</w:t>
            </w:r>
          </w:p>
        </w:tc>
        <w:tc>
          <w:tcPr>
            <w:tcW w:w="1440" w:type="dxa"/>
            <w:vAlign w:val="center"/>
          </w:tcPr>
          <w:p w14:paraId="54A7B20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48.4 ± 17.6</w:t>
            </w:r>
          </w:p>
        </w:tc>
        <w:tc>
          <w:tcPr>
            <w:tcW w:w="1440" w:type="dxa"/>
            <w:vAlign w:val="center"/>
          </w:tcPr>
          <w:p w14:paraId="4066DA9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48.8 ± 19.3</w:t>
            </w:r>
          </w:p>
        </w:tc>
        <w:tc>
          <w:tcPr>
            <w:tcW w:w="1416" w:type="dxa"/>
            <w:vAlign w:val="center"/>
          </w:tcPr>
          <w:p w14:paraId="44DCB7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41.9 ± 15</w:t>
            </w:r>
          </w:p>
        </w:tc>
        <w:tc>
          <w:tcPr>
            <w:tcW w:w="947" w:type="dxa"/>
            <w:vAlign w:val="center"/>
          </w:tcPr>
          <w:p w14:paraId="627227F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0.687</w:t>
            </w:r>
          </w:p>
        </w:tc>
      </w:tr>
      <w:tr w:rsidR="00CD1CEC" w14:paraId="4B79C319" w14:textId="77777777">
        <w:tc>
          <w:tcPr>
            <w:tcW w:w="1573" w:type="dxa"/>
            <w:vMerge/>
            <w:vAlign w:val="center"/>
          </w:tcPr>
          <w:p w14:paraId="187227D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6E70606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Creatinine (mg/dL)</w:t>
            </w:r>
          </w:p>
        </w:tc>
        <w:tc>
          <w:tcPr>
            <w:tcW w:w="1440" w:type="dxa"/>
            <w:vAlign w:val="center"/>
          </w:tcPr>
          <w:p w14:paraId="682FAA8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1.5 ± 0.52</w:t>
            </w:r>
          </w:p>
        </w:tc>
        <w:tc>
          <w:tcPr>
            <w:tcW w:w="1440" w:type="dxa"/>
            <w:vAlign w:val="center"/>
          </w:tcPr>
          <w:p w14:paraId="07AD1B9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1.5 ± 0.51</w:t>
            </w:r>
          </w:p>
        </w:tc>
        <w:tc>
          <w:tcPr>
            <w:tcW w:w="1416" w:type="dxa"/>
            <w:vAlign w:val="center"/>
          </w:tcPr>
          <w:p w14:paraId="1707311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 ± 0.18</w:t>
            </w:r>
          </w:p>
        </w:tc>
        <w:tc>
          <w:tcPr>
            <w:tcW w:w="947" w:type="dxa"/>
            <w:vAlign w:val="center"/>
          </w:tcPr>
          <w:p w14:paraId="09F307A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0.375</w:t>
            </w:r>
          </w:p>
        </w:tc>
      </w:tr>
      <w:tr w:rsidR="00CD1CEC" w14:paraId="58A7C02D" w14:textId="77777777">
        <w:tc>
          <w:tcPr>
            <w:tcW w:w="1573" w:type="dxa"/>
            <w:vMerge/>
            <w:vAlign w:val="center"/>
          </w:tcPr>
          <w:p w14:paraId="193E74B8"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C107A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Urea (mg/dL)</w:t>
            </w:r>
          </w:p>
        </w:tc>
        <w:tc>
          <w:tcPr>
            <w:tcW w:w="1440" w:type="dxa"/>
            <w:vAlign w:val="center"/>
          </w:tcPr>
          <w:p w14:paraId="6F2A222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48.4 ± 17.6</w:t>
            </w:r>
          </w:p>
        </w:tc>
        <w:tc>
          <w:tcPr>
            <w:tcW w:w="1440" w:type="dxa"/>
            <w:vAlign w:val="center"/>
          </w:tcPr>
          <w:p w14:paraId="3E6DD83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48.8 ± 19.3</w:t>
            </w:r>
          </w:p>
        </w:tc>
        <w:tc>
          <w:tcPr>
            <w:tcW w:w="1416" w:type="dxa"/>
            <w:vAlign w:val="center"/>
          </w:tcPr>
          <w:p w14:paraId="170B79F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41.9 ± 15</w:t>
            </w:r>
          </w:p>
        </w:tc>
        <w:tc>
          <w:tcPr>
            <w:tcW w:w="947" w:type="dxa"/>
            <w:vAlign w:val="center"/>
          </w:tcPr>
          <w:p w14:paraId="2E539C8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0.417</w:t>
            </w:r>
          </w:p>
        </w:tc>
      </w:tr>
      <w:tr w:rsidR="00CD1CEC" w14:paraId="4E858B78" w14:textId="77777777">
        <w:tc>
          <w:tcPr>
            <w:tcW w:w="1573" w:type="dxa"/>
            <w:vMerge/>
            <w:vAlign w:val="center"/>
          </w:tcPr>
          <w:p w14:paraId="36846AD8"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103BAE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cholesterol (mg/dL)</w:t>
            </w:r>
          </w:p>
        </w:tc>
        <w:tc>
          <w:tcPr>
            <w:tcW w:w="1440" w:type="dxa"/>
            <w:vAlign w:val="center"/>
          </w:tcPr>
          <w:p w14:paraId="572639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224.1 ± 18</w:t>
            </w:r>
          </w:p>
        </w:tc>
        <w:tc>
          <w:tcPr>
            <w:tcW w:w="1440" w:type="dxa"/>
            <w:vAlign w:val="center"/>
          </w:tcPr>
          <w:p w14:paraId="7072770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208.1 ± 30.7</w:t>
            </w:r>
          </w:p>
        </w:tc>
        <w:tc>
          <w:tcPr>
            <w:tcW w:w="1416" w:type="dxa"/>
            <w:vAlign w:val="center"/>
          </w:tcPr>
          <w:p w14:paraId="724D18C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239 ± 34.6</w:t>
            </w:r>
          </w:p>
        </w:tc>
        <w:tc>
          <w:tcPr>
            <w:tcW w:w="947" w:type="dxa"/>
            <w:vAlign w:val="center"/>
          </w:tcPr>
          <w:p w14:paraId="12BBED2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0.074</w:t>
            </w:r>
          </w:p>
        </w:tc>
      </w:tr>
      <w:tr w:rsidR="00CD1CEC" w14:paraId="4D8FCB59" w14:textId="77777777">
        <w:tc>
          <w:tcPr>
            <w:tcW w:w="1573" w:type="dxa"/>
            <w:vMerge/>
            <w:vAlign w:val="center"/>
          </w:tcPr>
          <w:p w14:paraId="74444B1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B00A82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Triglycerides (mg/dL)</w:t>
            </w:r>
          </w:p>
        </w:tc>
        <w:tc>
          <w:tcPr>
            <w:tcW w:w="1440" w:type="dxa"/>
            <w:vAlign w:val="center"/>
          </w:tcPr>
          <w:p w14:paraId="634016C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168.2 ± 49.8</w:t>
            </w:r>
          </w:p>
        </w:tc>
        <w:tc>
          <w:tcPr>
            <w:tcW w:w="1440" w:type="dxa"/>
            <w:vAlign w:val="center"/>
          </w:tcPr>
          <w:p w14:paraId="2CB6505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178 ± 67.8</w:t>
            </w:r>
          </w:p>
        </w:tc>
        <w:tc>
          <w:tcPr>
            <w:tcW w:w="1416" w:type="dxa"/>
            <w:vAlign w:val="center"/>
          </w:tcPr>
          <w:p w14:paraId="693606F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194.4 ± 56.9</w:t>
            </w:r>
          </w:p>
        </w:tc>
        <w:tc>
          <w:tcPr>
            <w:tcW w:w="947" w:type="dxa"/>
            <w:vAlign w:val="center"/>
          </w:tcPr>
          <w:p w14:paraId="58B5B28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0.693</w:t>
            </w:r>
          </w:p>
        </w:tc>
      </w:tr>
      <w:tr w:rsidR="00CD1CEC" w14:paraId="537FA75B" w14:textId="77777777">
        <w:tc>
          <w:tcPr>
            <w:tcW w:w="1573" w:type="dxa"/>
            <w:vMerge/>
            <w:vAlign w:val="center"/>
          </w:tcPr>
          <w:p w14:paraId="20790667"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5DF7549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HDL (mg/dL)</w:t>
            </w:r>
          </w:p>
        </w:tc>
        <w:tc>
          <w:tcPr>
            <w:tcW w:w="1440" w:type="dxa"/>
            <w:vAlign w:val="center"/>
          </w:tcPr>
          <w:p w14:paraId="74740C8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48.9 ± 8.88</w:t>
            </w:r>
          </w:p>
        </w:tc>
        <w:tc>
          <w:tcPr>
            <w:tcW w:w="1440" w:type="dxa"/>
            <w:vAlign w:val="center"/>
          </w:tcPr>
          <w:p w14:paraId="2311665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45.3 ± 6.8</w:t>
            </w:r>
          </w:p>
        </w:tc>
        <w:tc>
          <w:tcPr>
            <w:tcW w:w="1416" w:type="dxa"/>
            <w:vAlign w:val="center"/>
          </w:tcPr>
          <w:p w14:paraId="6D8F122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47.7 ± 10.1</w:t>
            </w:r>
          </w:p>
        </w:tc>
        <w:tc>
          <w:tcPr>
            <w:tcW w:w="947" w:type="dxa"/>
            <w:vAlign w:val="center"/>
          </w:tcPr>
          <w:p w14:paraId="24B8757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0.578</w:t>
            </w:r>
          </w:p>
        </w:tc>
      </w:tr>
      <w:tr w:rsidR="00CD1CEC" w14:paraId="27B5CA35" w14:textId="77777777">
        <w:tc>
          <w:tcPr>
            <w:tcW w:w="1573" w:type="dxa"/>
            <w:vMerge/>
            <w:vAlign w:val="center"/>
          </w:tcPr>
          <w:p w14:paraId="6344265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87F16F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LDL (mg/dL)</w:t>
            </w:r>
          </w:p>
        </w:tc>
        <w:tc>
          <w:tcPr>
            <w:tcW w:w="1440" w:type="dxa"/>
            <w:vAlign w:val="center"/>
          </w:tcPr>
          <w:p w14:paraId="4E9FFEC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141.6 ± 21.7</w:t>
            </w:r>
          </w:p>
        </w:tc>
        <w:tc>
          <w:tcPr>
            <w:tcW w:w="1440" w:type="dxa"/>
            <w:vAlign w:val="center"/>
          </w:tcPr>
          <w:p w14:paraId="6AFD1ED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127.2 ± 24.2</w:t>
            </w:r>
          </w:p>
        </w:tc>
        <w:tc>
          <w:tcPr>
            <w:tcW w:w="1416" w:type="dxa"/>
            <w:vAlign w:val="center"/>
          </w:tcPr>
          <w:p w14:paraId="0B94C0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152.4 ± 26.9</w:t>
            </w:r>
          </w:p>
        </w:tc>
        <w:tc>
          <w:tcPr>
            <w:tcW w:w="947" w:type="dxa"/>
            <w:vAlign w:val="center"/>
          </w:tcPr>
          <w:p w14:paraId="64B2500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0.082</w:t>
            </w:r>
          </w:p>
        </w:tc>
      </w:tr>
      <w:tr w:rsidR="00CD1CEC" w14:paraId="3CEB370F" w14:textId="77777777">
        <w:tc>
          <w:tcPr>
            <w:tcW w:w="1573" w:type="dxa"/>
            <w:vMerge/>
            <w:vAlign w:val="center"/>
          </w:tcPr>
          <w:p w14:paraId="041B11AC"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D81B2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INR</w:t>
            </w:r>
          </w:p>
        </w:tc>
        <w:tc>
          <w:tcPr>
            <w:tcW w:w="1440" w:type="dxa"/>
            <w:vAlign w:val="center"/>
          </w:tcPr>
          <w:p w14:paraId="13B248B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1.16 ± 0.21</w:t>
            </w:r>
          </w:p>
        </w:tc>
        <w:tc>
          <w:tcPr>
            <w:tcW w:w="1440" w:type="dxa"/>
            <w:vAlign w:val="center"/>
          </w:tcPr>
          <w:p w14:paraId="399D32D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1.15 ± 0.22</w:t>
            </w:r>
          </w:p>
        </w:tc>
        <w:tc>
          <w:tcPr>
            <w:tcW w:w="1416" w:type="dxa"/>
            <w:vAlign w:val="center"/>
          </w:tcPr>
          <w:p w14:paraId="5EB4DE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1.19 ± 0.15</w:t>
            </w:r>
          </w:p>
        </w:tc>
        <w:tc>
          <w:tcPr>
            <w:tcW w:w="947" w:type="dxa"/>
            <w:vAlign w:val="center"/>
          </w:tcPr>
          <w:p w14:paraId="5BBEAC7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0.975</w:t>
            </w:r>
          </w:p>
        </w:tc>
      </w:tr>
      <w:tr w:rsidR="00CD1CEC" w14:paraId="40515794" w14:textId="77777777">
        <w:tc>
          <w:tcPr>
            <w:tcW w:w="1573" w:type="dxa"/>
            <w:vMerge/>
            <w:vAlign w:val="center"/>
          </w:tcPr>
          <w:p w14:paraId="26AC0E85"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31B5D68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PTT (sec)</w:t>
            </w:r>
          </w:p>
        </w:tc>
        <w:tc>
          <w:tcPr>
            <w:tcW w:w="1440" w:type="dxa"/>
            <w:vAlign w:val="center"/>
          </w:tcPr>
          <w:p w14:paraId="27F3436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12.4 ± 0.88</w:t>
            </w:r>
          </w:p>
        </w:tc>
        <w:tc>
          <w:tcPr>
            <w:tcW w:w="1440" w:type="dxa"/>
            <w:vAlign w:val="center"/>
          </w:tcPr>
          <w:p w14:paraId="3A6D516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12.8 ± 1.05</w:t>
            </w:r>
          </w:p>
        </w:tc>
        <w:tc>
          <w:tcPr>
            <w:tcW w:w="1416" w:type="dxa"/>
            <w:vAlign w:val="center"/>
          </w:tcPr>
          <w:p w14:paraId="0ED9DDB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12.7 ± 1</w:t>
            </w:r>
          </w:p>
        </w:tc>
        <w:tc>
          <w:tcPr>
            <w:tcW w:w="947" w:type="dxa"/>
            <w:vAlign w:val="center"/>
          </w:tcPr>
          <w:p w14:paraId="571AF5B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0.678</w:t>
            </w:r>
          </w:p>
        </w:tc>
      </w:tr>
      <w:tr w:rsidR="00CD1CEC" w14:paraId="20E6E973" w14:textId="77777777">
        <w:tc>
          <w:tcPr>
            <w:tcW w:w="1573" w:type="dxa"/>
            <w:vMerge/>
            <w:vAlign w:val="center"/>
          </w:tcPr>
          <w:p w14:paraId="0B99AA67"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12AD88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ESR (mm/hr)</w:t>
            </w:r>
          </w:p>
        </w:tc>
        <w:tc>
          <w:tcPr>
            <w:tcW w:w="1440" w:type="dxa"/>
            <w:vAlign w:val="center"/>
          </w:tcPr>
          <w:p w14:paraId="03C1AC3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59.9 ± 12.4</w:t>
            </w:r>
          </w:p>
        </w:tc>
        <w:tc>
          <w:tcPr>
            <w:tcW w:w="1440" w:type="dxa"/>
            <w:vAlign w:val="center"/>
          </w:tcPr>
          <w:p w14:paraId="37F815B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70.3 ± 13.7</w:t>
            </w:r>
          </w:p>
        </w:tc>
        <w:tc>
          <w:tcPr>
            <w:tcW w:w="1416" w:type="dxa"/>
            <w:vAlign w:val="center"/>
          </w:tcPr>
          <w:p w14:paraId="4365EA9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72 ± 18.9</w:t>
            </w:r>
          </w:p>
        </w:tc>
        <w:tc>
          <w:tcPr>
            <w:tcW w:w="947" w:type="dxa"/>
            <w:vAlign w:val="center"/>
          </w:tcPr>
          <w:p w14:paraId="37E680C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0.185</w:t>
            </w:r>
          </w:p>
        </w:tc>
      </w:tr>
      <w:tr w:rsidR="00CD1CEC" w14:paraId="72061CA1" w14:textId="77777777">
        <w:tc>
          <w:tcPr>
            <w:tcW w:w="1573" w:type="dxa"/>
            <w:vMerge/>
            <w:vAlign w:val="center"/>
          </w:tcPr>
          <w:p w14:paraId="5596991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D7D2AE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CRP (mg/L)</w:t>
            </w:r>
          </w:p>
        </w:tc>
        <w:tc>
          <w:tcPr>
            <w:tcW w:w="1440" w:type="dxa"/>
            <w:vAlign w:val="center"/>
          </w:tcPr>
          <w:p w14:paraId="15E2D3C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67.5 ± 10.7</w:t>
            </w:r>
          </w:p>
        </w:tc>
        <w:tc>
          <w:tcPr>
            <w:tcW w:w="1440" w:type="dxa"/>
            <w:vAlign w:val="center"/>
          </w:tcPr>
          <w:p w14:paraId="39E4460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63.2 ± 17.0</w:t>
            </w:r>
          </w:p>
        </w:tc>
        <w:tc>
          <w:tcPr>
            <w:tcW w:w="1416" w:type="dxa"/>
            <w:vAlign w:val="center"/>
          </w:tcPr>
          <w:p w14:paraId="05602DC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64.4 ± 16.1</w:t>
            </w:r>
          </w:p>
        </w:tc>
        <w:tc>
          <w:tcPr>
            <w:tcW w:w="947" w:type="dxa"/>
            <w:vAlign w:val="center"/>
          </w:tcPr>
          <w:p w14:paraId="55C7EE1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0.795</w:t>
            </w:r>
          </w:p>
        </w:tc>
      </w:tr>
      <w:tr w:rsidR="00CD1CEC" w14:paraId="4C45F1F8" w14:textId="77777777">
        <w:tc>
          <w:tcPr>
            <w:tcW w:w="1573" w:type="dxa"/>
            <w:vMerge w:val="restart"/>
            <w:vAlign w:val="center"/>
          </w:tcPr>
          <w:p w14:paraId="6F854DB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Serology</w:t>
            </w:r>
          </w:p>
        </w:tc>
        <w:tc>
          <w:tcPr>
            <w:tcW w:w="2201" w:type="dxa"/>
            <w:gridSpan w:val="2"/>
            <w:vAlign w:val="center"/>
          </w:tcPr>
          <w:p w14:paraId="6804323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ANA</w:t>
            </w:r>
          </w:p>
        </w:tc>
        <w:tc>
          <w:tcPr>
            <w:tcW w:w="1440" w:type="dxa"/>
            <w:vAlign w:val="center"/>
          </w:tcPr>
          <w:p w14:paraId="04081B4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9 (100%)</w:t>
            </w:r>
          </w:p>
        </w:tc>
        <w:tc>
          <w:tcPr>
            <w:tcW w:w="1440" w:type="dxa"/>
            <w:vAlign w:val="center"/>
          </w:tcPr>
          <w:p w14:paraId="460AAFA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10 (71.4%)</w:t>
            </w:r>
          </w:p>
        </w:tc>
        <w:tc>
          <w:tcPr>
            <w:tcW w:w="1416" w:type="dxa"/>
            <w:vAlign w:val="center"/>
          </w:tcPr>
          <w:p w14:paraId="2301A37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10E8C1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51FE1B6A" w14:textId="77777777">
        <w:tc>
          <w:tcPr>
            <w:tcW w:w="1573" w:type="dxa"/>
            <w:vMerge/>
            <w:vAlign w:val="center"/>
          </w:tcPr>
          <w:p w14:paraId="32608EE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3D5755F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Anti-dsDNA</w:t>
            </w:r>
          </w:p>
        </w:tc>
        <w:tc>
          <w:tcPr>
            <w:tcW w:w="1440" w:type="dxa"/>
            <w:vAlign w:val="center"/>
          </w:tcPr>
          <w:p w14:paraId="5A8AA07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9 (100%)</w:t>
            </w:r>
          </w:p>
        </w:tc>
        <w:tc>
          <w:tcPr>
            <w:tcW w:w="1440" w:type="dxa"/>
            <w:vAlign w:val="center"/>
          </w:tcPr>
          <w:p w14:paraId="133B52C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65E413D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79DA97C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0BC9E833" w14:textId="77777777">
        <w:tc>
          <w:tcPr>
            <w:tcW w:w="1573" w:type="dxa"/>
            <w:vMerge/>
            <w:vAlign w:val="center"/>
          </w:tcPr>
          <w:p w14:paraId="1C6E953D"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596015E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Anti-Ro</w:t>
            </w:r>
          </w:p>
        </w:tc>
        <w:tc>
          <w:tcPr>
            <w:tcW w:w="1440" w:type="dxa"/>
            <w:vAlign w:val="center"/>
          </w:tcPr>
          <w:p w14:paraId="5636445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 (77.8%)</w:t>
            </w:r>
          </w:p>
        </w:tc>
        <w:tc>
          <w:tcPr>
            <w:tcW w:w="1440" w:type="dxa"/>
            <w:vAlign w:val="center"/>
          </w:tcPr>
          <w:p w14:paraId="7AE7D71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(7.1%)</w:t>
            </w:r>
          </w:p>
        </w:tc>
        <w:tc>
          <w:tcPr>
            <w:tcW w:w="1416" w:type="dxa"/>
            <w:vAlign w:val="center"/>
          </w:tcPr>
          <w:p w14:paraId="2B33EE1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0240D22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030F28C8" w14:textId="77777777">
        <w:tc>
          <w:tcPr>
            <w:tcW w:w="1573" w:type="dxa"/>
            <w:vMerge/>
            <w:vAlign w:val="center"/>
          </w:tcPr>
          <w:p w14:paraId="5BDDA67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614763E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Anti-CCP</w:t>
            </w:r>
          </w:p>
        </w:tc>
        <w:tc>
          <w:tcPr>
            <w:tcW w:w="1440" w:type="dxa"/>
            <w:vAlign w:val="center"/>
          </w:tcPr>
          <w:p w14:paraId="0AD0998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7F9F304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13 (92.9%)</w:t>
            </w:r>
          </w:p>
        </w:tc>
        <w:tc>
          <w:tcPr>
            <w:tcW w:w="1416" w:type="dxa"/>
            <w:vAlign w:val="center"/>
          </w:tcPr>
          <w:p w14:paraId="190CECC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1FE3D92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48110CDA" w14:textId="77777777">
        <w:tc>
          <w:tcPr>
            <w:tcW w:w="1573" w:type="dxa"/>
            <w:vMerge/>
            <w:vAlign w:val="center"/>
          </w:tcPr>
          <w:p w14:paraId="779C322E"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3E3E116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Anticardiolipin</w:t>
            </w:r>
          </w:p>
        </w:tc>
        <w:tc>
          <w:tcPr>
            <w:tcW w:w="1440" w:type="dxa"/>
            <w:vAlign w:val="center"/>
          </w:tcPr>
          <w:p w14:paraId="6E2DEB7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(88.9%)</w:t>
            </w:r>
          </w:p>
        </w:tc>
        <w:tc>
          <w:tcPr>
            <w:tcW w:w="1440" w:type="dxa"/>
            <w:vAlign w:val="center"/>
          </w:tcPr>
          <w:p w14:paraId="72B0032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(21.4%)</w:t>
            </w:r>
          </w:p>
        </w:tc>
        <w:tc>
          <w:tcPr>
            <w:tcW w:w="1416" w:type="dxa"/>
            <w:vAlign w:val="center"/>
          </w:tcPr>
          <w:p w14:paraId="6576135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7DD0A32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00CF685F" w14:textId="77777777">
        <w:tc>
          <w:tcPr>
            <w:tcW w:w="1573" w:type="dxa"/>
            <w:vMerge/>
            <w:vAlign w:val="center"/>
          </w:tcPr>
          <w:p w14:paraId="5126EBD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5D31D55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ANCA</w:t>
            </w:r>
          </w:p>
        </w:tc>
        <w:tc>
          <w:tcPr>
            <w:tcW w:w="1440" w:type="dxa"/>
            <w:vAlign w:val="center"/>
          </w:tcPr>
          <w:p w14:paraId="5BD1723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1440" w:type="dxa"/>
            <w:vAlign w:val="center"/>
          </w:tcPr>
          <w:p w14:paraId="0D16C5F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(14.3%)</w:t>
            </w:r>
          </w:p>
        </w:tc>
        <w:tc>
          <w:tcPr>
            <w:tcW w:w="1416" w:type="dxa"/>
            <w:vAlign w:val="center"/>
          </w:tcPr>
          <w:p w14:paraId="3DB5CB2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024088D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0.426</w:t>
            </w:r>
          </w:p>
        </w:tc>
      </w:tr>
      <w:tr w:rsidR="00CD1CEC" w14:paraId="0C1FA20C" w14:textId="77777777">
        <w:tc>
          <w:tcPr>
            <w:tcW w:w="1573" w:type="dxa"/>
            <w:vMerge/>
            <w:vAlign w:val="center"/>
          </w:tcPr>
          <w:p w14:paraId="2FE3AF1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CC03CF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RF (IU/mL)</w:t>
            </w:r>
          </w:p>
        </w:tc>
        <w:tc>
          <w:tcPr>
            <w:tcW w:w="1440" w:type="dxa"/>
            <w:vAlign w:val="center"/>
          </w:tcPr>
          <w:p w14:paraId="05EFD15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440" w:type="dxa"/>
            <w:vAlign w:val="center"/>
          </w:tcPr>
          <w:p w14:paraId="5C3E031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67.6 ± 56.3</w:t>
            </w:r>
          </w:p>
        </w:tc>
        <w:tc>
          <w:tcPr>
            <w:tcW w:w="1416" w:type="dxa"/>
            <w:vAlign w:val="center"/>
          </w:tcPr>
          <w:p w14:paraId="5208799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947" w:type="dxa"/>
            <w:vAlign w:val="center"/>
          </w:tcPr>
          <w:p w14:paraId="2A2C9A1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CD1CEC" w14:paraId="5B2B01C2" w14:textId="77777777">
        <w:tc>
          <w:tcPr>
            <w:tcW w:w="1573" w:type="dxa"/>
            <w:vMerge w:val="restart"/>
            <w:vAlign w:val="center"/>
          </w:tcPr>
          <w:p w14:paraId="3498635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MRI WMH</w:t>
            </w:r>
          </w:p>
        </w:tc>
        <w:tc>
          <w:tcPr>
            <w:tcW w:w="2201" w:type="dxa"/>
            <w:gridSpan w:val="2"/>
            <w:vAlign w:val="center"/>
          </w:tcPr>
          <w:p w14:paraId="552847F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WMH presence</w:t>
            </w:r>
          </w:p>
        </w:tc>
        <w:tc>
          <w:tcPr>
            <w:tcW w:w="1440" w:type="dxa"/>
            <w:vAlign w:val="center"/>
          </w:tcPr>
          <w:p w14:paraId="055E9C0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(66.7%)</w:t>
            </w:r>
          </w:p>
        </w:tc>
        <w:tc>
          <w:tcPr>
            <w:tcW w:w="1440" w:type="dxa"/>
            <w:vAlign w:val="center"/>
          </w:tcPr>
          <w:p w14:paraId="1993F68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 (57.1%)</w:t>
            </w:r>
          </w:p>
        </w:tc>
        <w:tc>
          <w:tcPr>
            <w:tcW w:w="1416" w:type="dxa"/>
            <w:vAlign w:val="center"/>
          </w:tcPr>
          <w:p w14:paraId="5C65984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(71.4%)</w:t>
            </w:r>
          </w:p>
        </w:tc>
        <w:tc>
          <w:tcPr>
            <w:tcW w:w="947" w:type="dxa"/>
            <w:vAlign w:val="center"/>
          </w:tcPr>
          <w:p w14:paraId="408F79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0.426</w:t>
            </w:r>
          </w:p>
        </w:tc>
      </w:tr>
      <w:tr w:rsidR="00CD1CEC" w14:paraId="58832E42" w14:textId="77777777">
        <w:tc>
          <w:tcPr>
            <w:tcW w:w="1573" w:type="dxa"/>
            <w:vMerge/>
            <w:vAlign w:val="center"/>
          </w:tcPr>
          <w:p w14:paraId="1BEF5F3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4923D4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Subcortical WM</w:t>
            </w:r>
          </w:p>
        </w:tc>
        <w:tc>
          <w:tcPr>
            <w:tcW w:w="1440" w:type="dxa"/>
            <w:vAlign w:val="center"/>
          </w:tcPr>
          <w:p w14:paraId="7E95B28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(33.3%)</w:t>
            </w:r>
          </w:p>
        </w:tc>
        <w:tc>
          <w:tcPr>
            <w:tcW w:w="1440" w:type="dxa"/>
            <w:vAlign w:val="center"/>
          </w:tcPr>
          <w:p w14:paraId="4FEF6D6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(37.5%)</w:t>
            </w:r>
          </w:p>
        </w:tc>
        <w:tc>
          <w:tcPr>
            <w:tcW w:w="1416" w:type="dxa"/>
            <w:vAlign w:val="center"/>
          </w:tcPr>
          <w:p w14:paraId="2F44689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6E6CA1A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0.401</w:t>
            </w:r>
          </w:p>
        </w:tc>
      </w:tr>
      <w:tr w:rsidR="00CD1CEC" w14:paraId="4975EB31" w14:textId="77777777">
        <w:tc>
          <w:tcPr>
            <w:tcW w:w="1573" w:type="dxa"/>
            <w:vMerge/>
            <w:vAlign w:val="center"/>
          </w:tcPr>
          <w:p w14:paraId="3B926DAC"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B86353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Periventricular WM</w:t>
            </w:r>
          </w:p>
        </w:tc>
        <w:tc>
          <w:tcPr>
            <w:tcW w:w="1440" w:type="dxa"/>
            <w:vAlign w:val="center"/>
          </w:tcPr>
          <w:p w14:paraId="66B3DDE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(66.7%)</w:t>
            </w:r>
          </w:p>
        </w:tc>
        <w:tc>
          <w:tcPr>
            <w:tcW w:w="1440" w:type="dxa"/>
            <w:vAlign w:val="center"/>
          </w:tcPr>
          <w:p w14:paraId="1D5616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(50%)</w:t>
            </w:r>
          </w:p>
        </w:tc>
        <w:tc>
          <w:tcPr>
            <w:tcW w:w="1416" w:type="dxa"/>
            <w:vAlign w:val="center"/>
          </w:tcPr>
          <w:p w14:paraId="0A9BD6F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1791A50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0.119</w:t>
            </w:r>
          </w:p>
        </w:tc>
      </w:tr>
      <w:tr w:rsidR="00CD1CEC" w14:paraId="1E62888A" w14:textId="77777777">
        <w:tc>
          <w:tcPr>
            <w:tcW w:w="1573" w:type="dxa"/>
            <w:vMerge/>
            <w:vAlign w:val="center"/>
          </w:tcPr>
          <w:p w14:paraId="4BCCA039"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042B9A5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Basal ganglia</w:t>
            </w:r>
          </w:p>
        </w:tc>
        <w:tc>
          <w:tcPr>
            <w:tcW w:w="1440" w:type="dxa"/>
            <w:vAlign w:val="center"/>
          </w:tcPr>
          <w:p w14:paraId="17CD3AE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375958F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79B75D5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(40%)</w:t>
            </w:r>
          </w:p>
        </w:tc>
        <w:tc>
          <w:tcPr>
            <w:tcW w:w="947" w:type="dxa"/>
            <w:vAlign w:val="center"/>
          </w:tcPr>
          <w:p w14:paraId="0A84A96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0.007*</w:t>
            </w:r>
          </w:p>
        </w:tc>
      </w:tr>
      <w:tr w:rsidR="00CD1CEC" w14:paraId="062F81EB" w14:textId="77777777">
        <w:tc>
          <w:tcPr>
            <w:tcW w:w="1573" w:type="dxa"/>
            <w:vMerge/>
            <w:vAlign w:val="center"/>
          </w:tcPr>
          <w:p w14:paraId="451CE69B"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00C7A54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Brainstem</w:t>
            </w:r>
          </w:p>
        </w:tc>
        <w:tc>
          <w:tcPr>
            <w:tcW w:w="1440" w:type="dxa"/>
            <w:vAlign w:val="center"/>
          </w:tcPr>
          <w:p w14:paraId="061D180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25304A1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16" w:type="dxa"/>
            <w:vAlign w:val="center"/>
          </w:tcPr>
          <w:p w14:paraId="48984A5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(60%)</w:t>
            </w:r>
          </w:p>
        </w:tc>
        <w:tc>
          <w:tcPr>
            <w:tcW w:w="947" w:type="dxa"/>
            <w:vAlign w:val="center"/>
          </w:tcPr>
          <w:p w14:paraId="15695D5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&lt;0.001*</w:t>
            </w:r>
          </w:p>
        </w:tc>
      </w:tr>
      <w:tr w:rsidR="00CD1CEC" w14:paraId="176EF2AE" w14:textId="77777777">
        <w:tc>
          <w:tcPr>
            <w:tcW w:w="1573" w:type="dxa"/>
            <w:vMerge/>
            <w:vAlign w:val="center"/>
          </w:tcPr>
          <w:p w14:paraId="6797D2A2"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b/>
                <w:bCs/>
                <w:color w:val="000000"/>
              </w:rPr>
            </w:pPr>
          </w:p>
        </w:tc>
        <w:tc>
          <w:tcPr>
            <w:tcW w:w="2201" w:type="dxa"/>
            <w:gridSpan w:val="2"/>
            <w:vAlign w:val="center"/>
          </w:tcPr>
          <w:p w14:paraId="46788EE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Cortical regions</w:t>
            </w:r>
          </w:p>
        </w:tc>
        <w:tc>
          <w:tcPr>
            <w:tcW w:w="1440" w:type="dxa"/>
            <w:vAlign w:val="center"/>
          </w:tcPr>
          <w:p w14:paraId="1A0E3B8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440" w:type="dxa"/>
            <w:vAlign w:val="center"/>
          </w:tcPr>
          <w:p w14:paraId="2F0DC80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(12.5%)</w:t>
            </w:r>
          </w:p>
        </w:tc>
        <w:tc>
          <w:tcPr>
            <w:tcW w:w="1416" w:type="dxa"/>
            <w:vAlign w:val="center"/>
          </w:tcPr>
          <w:p w14:paraId="3EBFEAF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47" w:type="dxa"/>
            <w:vAlign w:val="center"/>
          </w:tcPr>
          <w:p w14:paraId="63A6F76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0.532</w:t>
            </w:r>
          </w:p>
        </w:tc>
      </w:tr>
      <w:tr w:rsidR="00CD1CEC" w14:paraId="691E4622" w14:textId="77777777">
        <w:tc>
          <w:tcPr>
            <w:tcW w:w="1573" w:type="dxa"/>
            <w:vMerge/>
            <w:vAlign w:val="center"/>
          </w:tcPr>
          <w:p w14:paraId="1660CE23"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1AD0CEC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WMH volume (ml)</w:t>
            </w:r>
          </w:p>
        </w:tc>
        <w:tc>
          <w:tcPr>
            <w:tcW w:w="1440" w:type="dxa"/>
            <w:vAlign w:val="center"/>
          </w:tcPr>
          <w:p w14:paraId="5799C61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2.8 ± 6.35</w:t>
            </w:r>
          </w:p>
        </w:tc>
        <w:tc>
          <w:tcPr>
            <w:tcW w:w="1440" w:type="dxa"/>
            <w:vAlign w:val="center"/>
          </w:tcPr>
          <w:p w14:paraId="41514E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2.5 ± 5.33</w:t>
            </w:r>
          </w:p>
        </w:tc>
        <w:tc>
          <w:tcPr>
            <w:tcW w:w="1416" w:type="dxa"/>
            <w:vAlign w:val="center"/>
          </w:tcPr>
          <w:p w14:paraId="6745FE6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3.3 ± 7.96</w:t>
            </w:r>
          </w:p>
        </w:tc>
        <w:tc>
          <w:tcPr>
            <w:tcW w:w="947" w:type="dxa"/>
            <w:vAlign w:val="center"/>
          </w:tcPr>
          <w:p w14:paraId="033D7E2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0.962</w:t>
            </w:r>
          </w:p>
        </w:tc>
      </w:tr>
      <w:tr w:rsidR="00CD1CEC" w14:paraId="54791F4E" w14:textId="77777777">
        <w:tc>
          <w:tcPr>
            <w:tcW w:w="1573" w:type="dxa"/>
            <w:vMerge/>
            <w:vAlign w:val="center"/>
          </w:tcPr>
          <w:p w14:paraId="497572A0"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39BB40A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Deep WMH volume (ml)</w:t>
            </w:r>
          </w:p>
        </w:tc>
        <w:tc>
          <w:tcPr>
            <w:tcW w:w="1440" w:type="dxa"/>
            <w:vAlign w:val="center"/>
          </w:tcPr>
          <w:p w14:paraId="5FAC79B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0.7 ± 0.47</w:t>
            </w:r>
          </w:p>
        </w:tc>
        <w:tc>
          <w:tcPr>
            <w:tcW w:w="1440" w:type="dxa"/>
            <w:vAlign w:val="center"/>
          </w:tcPr>
          <w:p w14:paraId="76C772D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 ± 0.42</w:t>
            </w:r>
          </w:p>
        </w:tc>
        <w:tc>
          <w:tcPr>
            <w:tcW w:w="1416" w:type="dxa"/>
            <w:vAlign w:val="center"/>
          </w:tcPr>
          <w:p w14:paraId="5C8EB0B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0.7 ± 0.41</w:t>
            </w:r>
          </w:p>
        </w:tc>
        <w:tc>
          <w:tcPr>
            <w:tcW w:w="947" w:type="dxa"/>
            <w:vAlign w:val="center"/>
          </w:tcPr>
          <w:p w14:paraId="691E8FA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0.971</w:t>
            </w:r>
          </w:p>
        </w:tc>
      </w:tr>
      <w:tr w:rsidR="00CD1CEC" w14:paraId="4C3C6D35" w14:textId="77777777">
        <w:tc>
          <w:tcPr>
            <w:tcW w:w="1573" w:type="dxa"/>
            <w:vMerge/>
            <w:vAlign w:val="center"/>
          </w:tcPr>
          <w:p w14:paraId="45B2CAED"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771FCCE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Periventricular confluent WMH volume (ml)</w:t>
            </w:r>
          </w:p>
        </w:tc>
        <w:tc>
          <w:tcPr>
            <w:tcW w:w="1440" w:type="dxa"/>
            <w:vAlign w:val="center"/>
          </w:tcPr>
          <w:p w14:paraId="1A04757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 7.42</w:t>
            </w:r>
          </w:p>
        </w:tc>
        <w:tc>
          <w:tcPr>
            <w:tcW w:w="1440" w:type="dxa"/>
            <w:vAlign w:val="center"/>
          </w:tcPr>
          <w:p w14:paraId="381BFF7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2.6 ± 5.96</w:t>
            </w:r>
          </w:p>
        </w:tc>
        <w:tc>
          <w:tcPr>
            <w:tcW w:w="1416" w:type="dxa"/>
            <w:vAlign w:val="center"/>
          </w:tcPr>
          <w:p w14:paraId="25248E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4.1 ± 6.97</w:t>
            </w:r>
          </w:p>
        </w:tc>
        <w:tc>
          <w:tcPr>
            <w:tcW w:w="947" w:type="dxa"/>
            <w:vAlign w:val="center"/>
          </w:tcPr>
          <w:p w14:paraId="0671865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0.893</w:t>
            </w:r>
          </w:p>
        </w:tc>
      </w:tr>
      <w:tr w:rsidR="00CD1CEC" w14:paraId="724D795E" w14:textId="77777777">
        <w:tc>
          <w:tcPr>
            <w:tcW w:w="1573" w:type="dxa"/>
            <w:vMerge w:val="restart"/>
            <w:vAlign w:val="center"/>
          </w:tcPr>
          <w:p w14:paraId="453678C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WMH Shape Markers</w:t>
            </w:r>
          </w:p>
        </w:tc>
        <w:tc>
          <w:tcPr>
            <w:tcW w:w="2201" w:type="dxa"/>
            <w:gridSpan w:val="2"/>
            <w:vAlign w:val="center"/>
          </w:tcPr>
          <w:p w14:paraId="55C41AB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Solidity</w:t>
            </w:r>
          </w:p>
        </w:tc>
        <w:tc>
          <w:tcPr>
            <w:tcW w:w="1440" w:type="dxa"/>
            <w:vAlign w:val="center"/>
          </w:tcPr>
          <w:p w14:paraId="5F41058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 ± 0.2</w:t>
            </w:r>
          </w:p>
        </w:tc>
        <w:tc>
          <w:tcPr>
            <w:tcW w:w="1440" w:type="dxa"/>
            <w:vAlign w:val="center"/>
          </w:tcPr>
          <w:p w14:paraId="5C7E680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0.5 ± 0.24</w:t>
            </w:r>
          </w:p>
        </w:tc>
        <w:tc>
          <w:tcPr>
            <w:tcW w:w="1416" w:type="dxa"/>
            <w:vAlign w:val="center"/>
          </w:tcPr>
          <w:p w14:paraId="7869E02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0.6 ± 0.19</w:t>
            </w:r>
          </w:p>
        </w:tc>
        <w:tc>
          <w:tcPr>
            <w:tcW w:w="947" w:type="dxa"/>
            <w:vAlign w:val="center"/>
          </w:tcPr>
          <w:p w14:paraId="10C8616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0.971</w:t>
            </w:r>
          </w:p>
        </w:tc>
      </w:tr>
      <w:tr w:rsidR="00CD1CEC" w14:paraId="7BFEE5DC" w14:textId="77777777">
        <w:tc>
          <w:tcPr>
            <w:tcW w:w="1573" w:type="dxa"/>
            <w:vMerge/>
            <w:vAlign w:val="center"/>
          </w:tcPr>
          <w:p w14:paraId="2135F9E5"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EC08BA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Convexity</w:t>
            </w:r>
          </w:p>
        </w:tc>
        <w:tc>
          <w:tcPr>
            <w:tcW w:w="1440" w:type="dxa"/>
            <w:vAlign w:val="center"/>
          </w:tcPr>
          <w:p w14:paraId="2BBA47C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0.99 ± 0.1</w:t>
            </w:r>
          </w:p>
        </w:tc>
        <w:tc>
          <w:tcPr>
            <w:tcW w:w="1440" w:type="dxa"/>
            <w:vAlign w:val="center"/>
          </w:tcPr>
          <w:p w14:paraId="245F98E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0.99 ± 0.14</w:t>
            </w:r>
          </w:p>
        </w:tc>
        <w:tc>
          <w:tcPr>
            <w:tcW w:w="1416" w:type="dxa"/>
            <w:vAlign w:val="center"/>
          </w:tcPr>
          <w:p w14:paraId="0279649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0.91 ± 0.17</w:t>
            </w:r>
          </w:p>
        </w:tc>
        <w:tc>
          <w:tcPr>
            <w:tcW w:w="947" w:type="dxa"/>
            <w:vAlign w:val="center"/>
          </w:tcPr>
          <w:p w14:paraId="061558D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0.458</w:t>
            </w:r>
          </w:p>
        </w:tc>
      </w:tr>
      <w:tr w:rsidR="00CD1CEC" w14:paraId="1D57110F" w14:textId="77777777">
        <w:tc>
          <w:tcPr>
            <w:tcW w:w="1573" w:type="dxa"/>
            <w:vMerge/>
            <w:vAlign w:val="center"/>
          </w:tcPr>
          <w:p w14:paraId="7CC51601"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FEA276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Concavity index</w:t>
            </w:r>
          </w:p>
        </w:tc>
        <w:tc>
          <w:tcPr>
            <w:tcW w:w="1440" w:type="dxa"/>
            <w:vAlign w:val="center"/>
          </w:tcPr>
          <w:p w14:paraId="44F6DB8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 ± 0.08</w:t>
            </w:r>
          </w:p>
        </w:tc>
        <w:tc>
          <w:tcPr>
            <w:tcW w:w="1440" w:type="dxa"/>
            <w:vAlign w:val="center"/>
          </w:tcPr>
          <w:p w14:paraId="4D4FE77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1.1 ± 0.07</w:t>
            </w:r>
          </w:p>
        </w:tc>
        <w:tc>
          <w:tcPr>
            <w:tcW w:w="1416" w:type="dxa"/>
            <w:vAlign w:val="center"/>
          </w:tcPr>
          <w:p w14:paraId="0D6E8C0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1.2 ± 0.1</w:t>
            </w:r>
          </w:p>
        </w:tc>
        <w:tc>
          <w:tcPr>
            <w:tcW w:w="947" w:type="dxa"/>
            <w:vAlign w:val="center"/>
          </w:tcPr>
          <w:p w14:paraId="64FEC84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0.059</w:t>
            </w:r>
          </w:p>
        </w:tc>
      </w:tr>
      <w:tr w:rsidR="00CD1CEC" w14:paraId="5D029E16" w14:textId="77777777">
        <w:tc>
          <w:tcPr>
            <w:tcW w:w="1573" w:type="dxa"/>
            <w:vMerge/>
            <w:vAlign w:val="center"/>
          </w:tcPr>
          <w:p w14:paraId="3036332F" w14:textId="77777777" w:rsidR="00CD1CEC" w:rsidRDefault="00CD1CEC" w:rsidP="00A85A22">
            <w:pPr>
              <w:widowControl w:val="0"/>
              <w:pBdr>
                <w:top w:val="nil"/>
                <w:left w:val="nil"/>
                <w:bottom w:val="nil"/>
                <w:right w:val="nil"/>
                <w:between w:val="nil"/>
              </w:pBdr>
              <w:bidi w:val="0"/>
              <w:spacing w:line="276" w:lineRule="auto"/>
              <w:rPr>
                <w:rFonts w:ascii="Times New Roman" w:eastAsia="Times New Roman" w:hAnsi="Times New Roman" w:cs="Times New Roman"/>
                <w:color w:val="000000"/>
              </w:rPr>
            </w:pPr>
          </w:p>
        </w:tc>
        <w:tc>
          <w:tcPr>
            <w:tcW w:w="2201" w:type="dxa"/>
            <w:gridSpan w:val="2"/>
            <w:vAlign w:val="center"/>
          </w:tcPr>
          <w:p w14:paraId="2A56578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Fractal dimension</w:t>
            </w:r>
          </w:p>
        </w:tc>
        <w:tc>
          <w:tcPr>
            <w:tcW w:w="1440" w:type="dxa"/>
            <w:vAlign w:val="center"/>
          </w:tcPr>
          <w:p w14:paraId="4D68E4D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 ± 0.17</w:t>
            </w:r>
          </w:p>
        </w:tc>
        <w:tc>
          <w:tcPr>
            <w:tcW w:w="1440" w:type="dxa"/>
            <w:vAlign w:val="center"/>
          </w:tcPr>
          <w:p w14:paraId="4C20875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1.5 ± 0.15</w:t>
            </w:r>
          </w:p>
        </w:tc>
        <w:tc>
          <w:tcPr>
            <w:tcW w:w="1416" w:type="dxa"/>
            <w:vAlign w:val="center"/>
          </w:tcPr>
          <w:p w14:paraId="16F4F00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1.4 ± 0.11</w:t>
            </w:r>
          </w:p>
        </w:tc>
        <w:tc>
          <w:tcPr>
            <w:tcW w:w="947" w:type="dxa"/>
            <w:vAlign w:val="center"/>
          </w:tcPr>
          <w:p w14:paraId="4DA8BA5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0.064</w:t>
            </w:r>
          </w:p>
        </w:tc>
      </w:tr>
    </w:tbl>
    <w:p w14:paraId="48778816" w14:textId="77777777" w:rsidR="00CD1CEC" w:rsidRDefault="00386CF6" w:rsidP="00A85A22">
      <w:pPr>
        <w:pBdr>
          <w:top w:val="nil"/>
          <w:left w:val="nil"/>
          <w:bottom w:val="nil"/>
          <w:right w:val="nil"/>
          <w:between w:val="nil"/>
        </w:pBdr>
        <w:bidi w:val="0"/>
        <w:spacing w:after="240"/>
        <w:jc w:val="both"/>
        <w:rPr>
          <w:color w:val="000000"/>
          <w:sz w:val="20"/>
          <w:szCs w:val="20"/>
        </w:rPr>
      </w:pPr>
      <w:r>
        <w:rPr>
          <w:color w:val="000000"/>
          <w:sz w:val="20"/>
          <w:szCs w:val="20"/>
        </w:rPr>
        <w:t>Data are presented as mean ± SD or frequency (%). WMH: white matter, hyperintensities, SLE: systemic lupus erythematosus, RA: rheumatoid arthritis, DM: Diabetes mellitus, HTN: hypertension, ANA: antinuclear antibody, Anti-dsDNA: anti–double stranded DNA antibody, Anti-CCP: anti–cyclic citrullinated peptide antibody, ANCA: anti-neutrophil cytoplasmic antibody, RF: rheumatoid factor, ALT: alanine aminotransferase, AST: aspartate aminotransferase, HDL: high-density lipoprotein, LDL: low-density lipoprotein, INR: international normalized ratio, PTT: partial thromboplastin time, ESR: erythrocyte sedimentation rate, CRP: C-reactive protein, *: significant as P value &lt; 0.05.</w:t>
      </w:r>
    </w:p>
    <w:p w14:paraId="2CAC8285" w14:textId="77777777" w:rsidR="00CD1CEC" w:rsidRDefault="00386CF6" w:rsidP="00A85A22">
      <w:pPr>
        <w:pBdr>
          <w:top w:val="nil"/>
          <w:left w:val="nil"/>
          <w:bottom w:val="nil"/>
          <w:right w:val="nil"/>
          <w:between w:val="nil"/>
        </w:pBdr>
        <w:bidi w:val="0"/>
        <w:spacing w:line="480" w:lineRule="auto"/>
        <w:jc w:val="both"/>
        <w:rPr>
          <w:color w:val="000000"/>
          <w:highlight w:val="yellow"/>
        </w:rPr>
      </w:pPr>
      <w:r>
        <w:rPr>
          <w:color w:val="000000"/>
        </w:rPr>
        <w:t xml:space="preserve">HTN and </w:t>
      </w:r>
      <w:proofErr w:type="spellStart"/>
      <w:r>
        <w:rPr>
          <w:color w:val="000000"/>
        </w:rPr>
        <w:t>dyslipidemia</w:t>
      </w:r>
      <w:proofErr w:type="spellEnd"/>
      <w:r>
        <w:rPr>
          <w:color w:val="000000"/>
        </w:rPr>
        <w:t xml:space="preserve"> were more frequent in patients with subcortical WM, basal ganglia, and brainstem lesions compared to those with no lesions or periventricular WM (P = 0.021 and P = 0.016, respectively). Among neurological features, headache was significantly associated with subcortical WM lesions, where all patients with subcortical involvement reported headache (P = 0.040). Other comorbidities (smoking, DM) and neurological features (psychosis, peripheral polyneuropathy, hemispheric syndrome, seizure disorder, autonomic disorder, cognitive dysfunction, and cranial neuropathy) showed no statistically significant association with WM distribution (P &gt; 0.05). </w:t>
      </w:r>
      <w:r>
        <w:rPr>
          <w:b/>
          <w:bCs/>
          <w:color w:val="000000"/>
        </w:rPr>
        <w:t>Table 4</w:t>
      </w:r>
    </w:p>
    <w:p w14:paraId="7117E994" w14:textId="77777777" w:rsidR="00CD1CEC" w:rsidRDefault="00386CF6" w:rsidP="00A85A22">
      <w:pPr>
        <w:keepNext/>
        <w:pBdr>
          <w:top w:val="nil"/>
          <w:left w:val="nil"/>
          <w:bottom w:val="nil"/>
          <w:right w:val="nil"/>
          <w:between w:val="nil"/>
        </w:pBdr>
        <w:bidi w:val="0"/>
        <w:spacing w:after="200"/>
        <w:jc w:val="both"/>
        <w:rPr>
          <w:b/>
          <w:bCs/>
          <w:color w:val="000000"/>
        </w:rPr>
      </w:pPr>
      <w:r>
        <w:rPr>
          <w:b/>
          <w:bCs/>
          <w:color w:val="000000"/>
        </w:rPr>
        <w:t>Table 4: Relation between White Matter Distribution and Comorbidities and Neurological Features of the Studied Patients</w:t>
      </w:r>
    </w:p>
    <w:tbl>
      <w:tblPr>
        <w:tblStyle w:val="a2"/>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153"/>
        <w:gridCol w:w="1292"/>
        <w:gridCol w:w="1733"/>
        <w:gridCol w:w="982"/>
        <w:gridCol w:w="1234"/>
        <w:gridCol w:w="827"/>
      </w:tblGrid>
      <w:tr w:rsidR="00CD1CEC" w14:paraId="3442A0F1" w14:textId="77777777">
        <w:trPr>
          <w:trHeight w:val="20"/>
        </w:trPr>
        <w:tc>
          <w:tcPr>
            <w:tcW w:w="1796" w:type="dxa"/>
            <w:vAlign w:val="center"/>
          </w:tcPr>
          <w:p w14:paraId="3D68B49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Variable</w:t>
            </w:r>
          </w:p>
        </w:tc>
        <w:tc>
          <w:tcPr>
            <w:tcW w:w="1153" w:type="dxa"/>
            <w:vAlign w:val="center"/>
          </w:tcPr>
          <w:p w14:paraId="74E61A4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 lesion (n=19)</w:t>
            </w:r>
          </w:p>
        </w:tc>
        <w:tc>
          <w:tcPr>
            <w:tcW w:w="1292" w:type="dxa"/>
            <w:vAlign w:val="center"/>
          </w:tcPr>
          <w:p w14:paraId="3A8B839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Subcortical WM (n=5)</w:t>
            </w:r>
          </w:p>
        </w:tc>
        <w:tc>
          <w:tcPr>
            <w:tcW w:w="1733" w:type="dxa"/>
            <w:vAlign w:val="center"/>
          </w:tcPr>
          <w:p w14:paraId="15450C4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Periventricular WM (n=9)</w:t>
            </w:r>
          </w:p>
        </w:tc>
        <w:tc>
          <w:tcPr>
            <w:tcW w:w="982" w:type="dxa"/>
            <w:vAlign w:val="center"/>
          </w:tcPr>
          <w:p w14:paraId="14F3FAE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Basal ganglia (n=2)</w:t>
            </w:r>
          </w:p>
        </w:tc>
        <w:tc>
          <w:tcPr>
            <w:tcW w:w="1234" w:type="dxa"/>
            <w:vAlign w:val="center"/>
          </w:tcPr>
          <w:p w14:paraId="6EEC0E0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Brainstem (n=3)</w:t>
            </w:r>
          </w:p>
        </w:tc>
        <w:tc>
          <w:tcPr>
            <w:tcW w:w="827" w:type="dxa"/>
            <w:vAlign w:val="center"/>
          </w:tcPr>
          <w:p w14:paraId="70E24A2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 value</w:t>
            </w:r>
          </w:p>
        </w:tc>
      </w:tr>
      <w:tr w:rsidR="00CD1CEC" w14:paraId="56644701" w14:textId="77777777">
        <w:trPr>
          <w:trHeight w:val="20"/>
        </w:trPr>
        <w:tc>
          <w:tcPr>
            <w:tcW w:w="9017" w:type="dxa"/>
            <w:gridSpan w:val="7"/>
            <w:vAlign w:val="center"/>
          </w:tcPr>
          <w:p w14:paraId="7B25060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Comorbidities</w:t>
            </w:r>
          </w:p>
        </w:tc>
      </w:tr>
      <w:tr w:rsidR="00CD1CEC" w14:paraId="3C582C0E" w14:textId="77777777">
        <w:trPr>
          <w:trHeight w:val="20"/>
        </w:trPr>
        <w:tc>
          <w:tcPr>
            <w:tcW w:w="1796" w:type="dxa"/>
            <w:vAlign w:val="center"/>
          </w:tcPr>
          <w:p w14:paraId="6004C7E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Smoking</w:t>
            </w:r>
          </w:p>
        </w:tc>
        <w:tc>
          <w:tcPr>
            <w:tcW w:w="1153" w:type="dxa"/>
            <w:vAlign w:val="center"/>
          </w:tcPr>
          <w:p w14:paraId="3275E14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(18.2%)</w:t>
            </w:r>
          </w:p>
        </w:tc>
        <w:tc>
          <w:tcPr>
            <w:tcW w:w="1292" w:type="dxa"/>
            <w:vAlign w:val="center"/>
          </w:tcPr>
          <w:p w14:paraId="6F4F498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(40%)</w:t>
            </w:r>
          </w:p>
        </w:tc>
        <w:tc>
          <w:tcPr>
            <w:tcW w:w="1733" w:type="dxa"/>
            <w:vAlign w:val="center"/>
          </w:tcPr>
          <w:p w14:paraId="4FC40AB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982" w:type="dxa"/>
            <w:vAlign w:val="center"/>
          </w:tcPr>
          <w:p w14:paraId="2EDB1BE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(50%)</w:t>
            </w:r>
          </w:p>
        </w:tc>
        <w:tc>
          <w:tcPr>
            <w:tcW w:w="1234" w:type="dxa"/>
            <w:vAlign w:val="center"/>
          </w:tcPr>
          <w:p w14:paraId="26CAC44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(66.7%)</w:t>
            </w:r>
          </w:p>
        </w:tc>
        <w:tc>
          <w:tcPr>
            <w:tcW w:w="827" w:type="dxa"/>
            <w:vAlign w:val="center"/>
          </w:tcPr>
          <w:p w14:paraId="4BD8198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0.473</w:t>
            </w:r>
          </w:p>
        </w:tc>
      </w:tr>
      <w:tr w:rsidR="00CD1CEC" w14:paraId="7B8CAB36" w14:textId="77777777">
        <w:trPr>
          <w:trHeight w:val="20"/>
        </w:trPr>
        <w:tc>
          <w:tcPr>
            <w:tcW w:w="1796" w:type="dxa"/>
            <w:vAlign w:val="center"/>
          </w:tcPr>
          <w:p w14:paraId="1D9EF10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DM</w:t>
            </w:r>
          </w:p>
        </w:tc>
        <w:tc>
          <w:tcPr>
            <w:tcW w:w="1153" w:type="dxa"/>
            <w:vAlign w:val="center"/>
          </w:tcPr>
          <w:p w14:paraId="7591482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6189B2E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(20%)</w:t>
            </w:r>
          </w:p>
        </w:tc>
        <w:tc>
          <w:tcPr>
            <w:tcW w:w="1733" w:type="dxa"/>
            <w:vAlign w:val="center"/>
          </w:tcPr>
          <w:p w14:paraId="7AA0D3F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982" w:type="dxa"/>
            <w:vAlign w:val="center"/>
          </w:tcPr>
          <w:p w14:paraId="06F1276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6C80EDA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(66.7%)</w:t>
            </w:r>
          </w:p>
        </w:tc>
        <w:tc>
          <w:tcPr>
            <w:tcW w:w="827" w:type="dxa"/>
            <w:vAlign w:val="center"/>
          </w:tcPr>
          <w:p w14:paraId="292B41E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0.466</w:t>
            </w:r>
          </w:p>
        </w:tc>
      </w:tr>
      <w:tr w:rsidR="00CD1CEC" w14:paraId="0F896BCF" w14:textId="77777777">
        <w:trPr>
          <w:trHeight w:val="20"/>
        </w:trPr>
        <w:tc>
          <w:tcPr>
            <w:tcW w:w="1796" w:type="dxa"/>
            <w:vAlign w:val="center"/>
          </w:tcPr>
          <w:p w14:paraId="5E91247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HTN</w:t>
            </w:r>
          </w:p>
        </w:tc>
        <w:tc>
          <w:tcPr>
            <w:tcW w:w="1153" w:type="dxa"/>
            <w:vAlign w:val="center"/>
          </w:tcPr>
          <w:p w14:paraId="0130A7C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(18.2%)</w:t>
            </w:r>
          </w:p>
        </w:tc>
        <w:tc>
          <w:tcPr>
            <w:tcW w:w="1292" w:type="dxa"/>
            <w:vAlign w:val="center"/>
          </w:tcPr>
          <w:p w14:paraId="42A20A4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(100%)</w:t>
            </w:r>
          </w:p>
        </w:tc>
        <w:tc>
          <w:tcPr>
            <w:tcW w:w="1733" w:type="dxa"/>
            <w:vAlign w:val="center"/>
          </w:tcPr>
          <w:p w14:paraId="5D716FC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982" w:type="dxa"/>
            <w:vAlign w:val="center"/>
          </w:tcPr>
          <w:p w14:paraId="63DB1C9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67E5604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(66.7%)</w:t>
            </w:r>
          </w:p>
        </w:tc>
        <w:tc>
          <w:tcPr>
            <w:tcW w:w="827" w:type="dxa"/>
            <w:vAlign w:val="center"/>
          </w:tcPr>
          <w:p w14:paraId="65ABEBF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0.021*</w:t>
            </w:r>
          </w:p>
        </w:tc>
      </w:tr>
      <w:tr w:rsidR="00CD1CEC" w14:paraId="7F5E6584" w14:textId="77777777">
        <w:trPr>
          <w:trHeight w:val="20"/>
        </w:trPr>
        <w:tc>
          <w:tcPr>
            <w:tcW w:w="1796" w:type="dxa"/>
            <w:vAlign w:val="center"/>
          </w:tcPr>
          <w:p w14:paraId="25F9935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Dyslipidemia</w:t>
            </w:r>
            <w:proofErr w:type="spellEnd"/>
          </w:p>
        </w:tc>
        <w:tc>
          <w:tcPr>
            <w:tcW w:w="1153" w:type="dxa"/>
            <w:vAlign w:val="center"/>
          </w:tcPr>
          <w:p w14:paraId="7295E10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 (54.6%)</w:t>
            </w:r>
          </w:p>
        </w:tc>
        <w:tc>
          <w:tcPr>
            <w:tcW w:w="1292" w:type="dxa"/>
            <w:vAlign w:val="center"/>
          </w:tcPr>
          <w:p w14:paraId="7AE65F0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(100%)</w:t>
            </w:r>
          </w:p>
        </w:tc>
        <w:tc>
          <w:tcPr>
            <w:tcW w:w="1733" w:type="dxa"/>
            <w:vAlign w:val="center"/>
          </w:tcPr>
          <w:p w14:paraId="72D92E4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982" w:type="dxa"/>
            <w:vAlign w:val="center"/>
          </w:tcPr>
          <w:p w14:paraId="10D1D27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(100%)</w:t>
            </w:r>
          </w:p>
        </w:tc>
        <w:tc>
          <w:tcPr>
            <w:tcW w:w="1234" w:type="dxa"/>
            <w:vAlign w:val="center"/>
          </w:tcPr>
          <w:p w14:paraId="5C848D6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(100%)</w:t>
            </w:r>
          </w:p>
        </w:tc>
        <w:tc>
          <w:tcPr>
            <w:tcW w:w="827" w:type="dxa"/>
            <w:vAlign w:val="center"/>
          </w:tcPr>
          <w:p w14:paraId="6432792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0.016*</w:t>
            </w:r>
          </w:p>
        </w:tc>
      </w:tr>
      <w:tr w:rsidR="00CD1CEC" w14:paraId="608AA301" w14:textId="77777777">
        <w:trPr>
          <w:trHeight w:val="20"/>
        </w:trPr>
        <w:tc>
          <w:tcPr>
            <w:tcW w:w="9017" w:type="dxa"/>
            <w:gridSpan w:val="7"/>
            <w:vAlign w:val="center"/>
          </w:tcPr>
          <w:p w14:paraId="63697A6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Neurological Features</w:t>
            </w:r>
          </w:p>
        </w:tc>
      </w:tr>
      <w:tr w:rsidR="00CD1CEC" w14:paraId="34DED14A" w14:textId="77777777">
        <w:trPr>
          <w:trHeight w:val="20"/>
        </w:trPr>
        <w:tc>
          <w:tcPr>
            <w:tcW w:w="1796" w:type="dxa"/>
            <w:vAlign w:val="center"/>
          </w:tcPr>
          <w:p w14:paraId="419C3D6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Headache</w:t>
            </w:r>
          </w:p>
        </w:tc>
        <w:tc>
          <w:tcPr>
            <w:tcW w:w="1153" w:type="dxa"/>
            <w:vAlign w:val="center"/>
          </w:tcPr>
          <w:p w14:paraId="21ED2CD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22DD9DA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 (100%)</w:t>
            </w:r>
          </w:p>
        </w:tc>
        <w:tc>
          <w:tcPr>
            <w:tcW w:w="1733" w:type="dxa"/>
            <w:vAlign w:val="center"/>
          </w:tcPr>
          <w:p w14:paraId="2AF4F07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 (44.4%)</w:t>
            </w:r>
          </w:p>
        </w:tc>
        <w:tc>
          <w:tcPr>
            <w:tcW w:w="982" w:type="dxa"/>
            <w:vAlign w:val="center"/>
          </w:tcPr>
          <w:p w14:paraId="11B91FC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(50%)</w:t>
            </w:r>
          </w:p>
        </w:tc>
        <w:tc>
          <w:tcPr>
            <w:tcW w:w="1234" w:type="dxa"/>
            <w:vAlign w:val="center"/>
          </w:tcPr>
          <w:p w14:paraId="0604F162"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06ACF92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0.040*</w:t>
            </w:r>
          </w:p>
        </w:tc>
      </w:tr>
      <w:tr w:rsidR="00CD1CEC" w14:paraId="65DB13F7" w14:textId="77777777">
        <w:trPr>
          <w:trHeight w:val="20"/>
        </w:trPr>
        <w:tc>
          <w:tcPr>
            <w:tcW w:w="1796" w:type="dxa"/>
            <w:vAlign w:val="center"/>
          </w:tcPr>
          <w:p w14:paraId="630FDD5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Psychosis</w:t>
            </w:r>
          </w:p>
        </w:tc>
        <w:tc>
          <w:tcPr>
            <w:tcW w:w="1153" w:type="dxa"/>
            <w:vAlign w:val="center"/>
          </w:tcPr>
          <w:p w14:paraId="72AB748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36A226A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05B2873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82" w:type="dxa"/>
            <w:vAlign w:val="center"/>
          </w:tcPr>
          <w:p w14:paraId="2CF98CE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7C9EC6B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(33.3%)</w:t>
            </w:r>
          </w:p>
        </w:tc>
        <w:tc>
          <w:tcPr>
            <w:tcW w:w="827" w:type="dxa"/>
            <w:vAlign w:val="center"/>
          </w:tcPr>
          <w:p w14:paraId="723B3E8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0.253</w:t>
            </w:r>
          </w:p>
        </w:tc>
      </w:tr>
      <w:tr w:rsidR="00CD1CEC" w14:paraId="3B4122C6" w14:textId="77777777">
        <w:trPr>
          <w:trHeight w:val="20"/>
        </w:trPr>
        <w:tc>
          <w:tcPr>
            <w:tcW w:w="1796" w:type="dxa"/>
            <w:vAlign w:val="center"/>
          </w:tcPr>
          <w:p w14:paraId="2099D0D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Peripheral Polyneuropathy</w:t>
            </w:r>
          </w:p>
        </w:tc>
        <w:tc>
          <w:tcPr>
            <w:tcW w:w="1153" w:type="dxa"/>
            <w:vAlign w:val="center"/>
          </w:tcPr>
          <w:p w14:paraId="47EE518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 (27.3%)</w:t>
            </w:r>
          </w:p>
        </w:tc>
        <w:tc>
          <w:tcPr>
            <w:tcW w:w="1292" w:type="dxa"/>
            <w:vAlign w:val="center"/>
          </w:tcPr>
          <w:p w14:paraId="1CB9839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13F983B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982" w:type="dxa"/>
            <w:vAlign w:val="center"/>
          </w:tcPr>
          <w:p w14:paraId="663E806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06D104D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1BB2F3D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0.489</w:t>
            </w:r>
          </w:p>
        </w:tc>
      </w:tr>
      <w:tr w:rsidR="00CD1CEC" w14:paraId="40F4E4DD" w14:textId="77777777">
        <w:trPr>
          <w:trHeight w:val="20"/>
        </w:trPr>
        <w:tc>
          <w:tcPr>
            <w:tcW w:w="1796" w:type="dxa"/>
            <w:vAlign w:val="center"/>
          </w:tcPr>
          <w:p w14:paraId="4CDFCB1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Hemispheric syndrome</w:t>
            </w:r>
          </w:p>
        </w:tc>
        <w:tc>
          <w:tcPr>
            <w:tcW w:w="1153" w:type="dxa"/>
            <w:vAlign w:val="center"/>
          </w:tcPr>
          <w:p w14:paraId="407EFDEF"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(9.1%)</w:t>
            </w:r>
          </w:p>
        </w:tc>
        <w:tc>
          <w:tcPr>
            <w:tcW w:w="1292" w:type="dxa"/>
            <w:vAlign w:val="center"/>
          </w:tcPr>
          <w:p w14:paraId="62E085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5A770A7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82" w:type="dxa"/>
            <w:vAlign w:val="center"/>
          </w:tcPr>
          <w:p w14:paraId="23DA0FB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(50%)</w:t>
            </w:r>
          </w:p>
        </w:tc>
        <w:tc>
          <w:tcPr>
            <w:tcW w:w="1234" w:type="dxa"/>
            <w:vAlign w:val="center"/>
          </w:tcPr>
          <w:p w14:paraId="7F98A83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1E79C7D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0.118</w:t>
            </w:r>
          </w:p>
        </w:tc>
      </w:tr>
      <w:tr w:rsidR="00CD1CEC" w14:paraId="368BBDE2" w14:textId="77777777">
        <w:trPr>
          <w:trHeight w:val="20"/>
        </w:trPr>
        <w:tc>
          <w:tcPr>
            <w:tcW w:w="1796" w:type="dxa"/>
            <w:vAlign w:val="center"/>
          </w:tcPr>
          <w:p w14:paraId="0DFCD6FE"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Seizure disorder</w:t>
            </w:r>
          </w:p>
        </w:tc>
        <w:tc>
          <w:tcPr>
            <w:tcW w:w="1153" w:type="dxa"/>
            <w:vAlign w:val="center"/>
          </w:tcPr>
          <w:p w14:paraId="37D0868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92" w:type="dxa"/>
            <w:vAlign w:val="center"/>
          </w:tcPr>
          <w:p w14:paraId="55C66C2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382FA5A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982" w:type="dxa"/>
            <w:vAlign w:val="center"/>
          </w:tcPr>
          <w:p w14:paraId="16F1D154"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55F8541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(33.3%)</w:t>
            </w:r>
          </w:p>
        </w:tc>
        <w:tc>
          <w:tcPr>
            <w:tcW w:w="827" w:type="dxa"/>
            <w:vAlign w:val="center"/>
          </w:tcPr>
          <w:p w14:paraId="32BDCDC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0.287</w:t>
            </w:r>
          </w:p>
        </w:tc>
      </w:tr>
      <w:tr w:rsidR="00CD1CEC" w14:paraId="5E4AB945" w14:textId="77777777">
        <w:trPr>
          <w:trHeight w:val="20"/>
        </w:trPr>
        <w:tc>
          <w:tcPr>
            <w:tcW w:w="1796" w:type="dxa"/>
            <w:vAlign w:val="center"/>
          </w:tcPr>
          <w:p w14:paraId="2A004D3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Autonomic disorder</w:t>
            </w:r>
          </w:p>
        </w:tc>
        <w:tc>
          <w:tcPr>
            <w:tcW w:w="1153" w:type="dxa"/>
            <w:vAlign w:val="center"/>
          </w:tcPr>
          <w:p w14:paraId="689FD13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92" w:type="dxa"/>
            <w:vAlign w:val="center"/>
          </w:tcPr>
          <w:p w14:paraId="562ACDD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432802FB"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(22.2%)</w:t>
            </w:r>
          </w:p>
        </w:tc>
        <w:tc>
          <w:tcPr>
            <w:tcW w:w="982" w:type="dxa"/>
            <w:vAlign w:val="center"/>
          </w:tcPr>
          <w:p w14:paraId="71072867"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3AA5F3B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0B83E73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0.228</w:t>
            </w:r>
          </w:p>
        </w:tc>
      </w:tr>
      <w:tr w:rsidR="00CD1CEC" w14:paraId="51978035" w14:textId="77777777">
        <w:trPr>
          <w:trHeight w:val="20"/>
        </w:trPr>
        <w:tc>
          <w:tcPr>
            <w:tcW w:w="1796" w:type="dxa"/>
            <w:vAlign w:val="center"/>
          </w:tcPr>
          <w:p w14:paraId="73B2690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Cognitive dysfunction</w:t>
            </w:r>
          </w:p>
        </w:tc>
        <w:tc>
          <w:tcPr>
            <w:tcW w:w="1153" w:type="dxa"/>
            <w:vAlign w:val="center"/>
          </w:tcPr>
          <w:p w14:paraId="1E75018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 (18.2%)</w:t>
            </w:r>
          </w:p>
        </w:tc>
        <w:tc>
          <w:tcPr>
            <w:tcW w:w="1292" w:type="dxa"/>
            <w:vAlign w:val="center"/>
          </w:tcPr>
          <w:p w14:paraId="09C8377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6103A1A5"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(11.1%)</w:t>
            </w:r>
          </w:p>
        </w:tc>
        <w:tc>
          <w:tcPr>
            <w:tcW w:w="982" w:type="dxa"/>
            <w:vAlign w:val="center"/>
          </w:tcPr>
          <w:p w14:paraId="635D2E9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08D1A6DC"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827" w:type="dxa"/>
            <w:vAlign w:val="center"/>
          </w:tcPr>
          <w:p w14:paraId="6DFB0263"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0.893</w:t>
            </w:r>
          </w:p>
        </w:tc>
      </w:tr>
      <w:tr w:rsidR="00CD1CEC" w14:paraId="4B6B959E" w14:textId="77777777">
        <w:trPr>
          <w:trHeight w:val="20"/>
        </w:trPr>
        <w:tc>
          <w:tcPr>
            <w:tcW w:w="1796" w:type="dxa"/>
            <w:vAlign w:val="center"/>
          </w:tcPr>
          <w:p w14:paraId="3C1E4EFD"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Cranial neuropathy</w:t>
            </w:r>
          </w:p>
        </w:tc>
        <w:tc>
          <w:tcPr>
            <w:tcW w:w="1153" w:type="dxa"/>
            <w:vAlign w:val="center"/>
          </w:tcPr>
          <w:p w14:paraId="71C922AA"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92" w:type="dxa"/>
            <w:vAlign w:val="center"/>
          </w:tcPr>
          <w:p w14:paraId="4C43BD08"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733" w:type="dxa"/>
            <w:vAlign w:val="center"/>
          </w:tcPr>
          <w:p w14:paraId="5DB7BDB0"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982" w:type="dxa"/>
            <w:vAlign w:val="center"/>
          </w:tcPr>
          <w:p w14:paraId="6CF4E459"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 (0%)</w:t>
            </w:r>
          </w:p>
        </w:tc>
        <w:tc>
          <w:tcPr>
            <w:tcW w:w="1234" w:type="dxa"/>
            <w:vAlign w:val="center"/>
          </w:tcPr>
          <w:p w14:paraId="09E91B41"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1 (33.3%)</w:t>
            </w:r>
          </w:p>
        </w:tc>
        <w:tc>
          <w:tcPr>
            <w:tcW w:w="827" w:type="dxa"/>
            <w:vAlign w:val="center"/>
          </w:tcPr>
          <w:p w14:paraId="4EC735E6" w14:textId="77777777" w:rsidR="00CD1CEC" w:rsidRDefault="00386CF6" w:rsidP="00A85A22">
            <w:pPr>
              <w:pBdr>
                <w:top w:val="nil"/>
                <w:left w:val="nil"/>
                <w:bottom w:val="nil"/>
                <w:right w:val="nil"/>
                <w:between w:val="nil"/>
              </w:pBdr>
              <w:bidi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0.202</w:t>
            </w:r>
          </w:p>
        </w:tc>
      </w:tr>
    </w:tbl>
    <w:p w14:paraId="795798CD" w14:textId="77777777" w:rsidR="00CD1CEC" w:rsidRDefault="00386CF6" w:rsidP="00A85A22">
      <w:pPr>
        <w:pBdr>
          <w:top w:val="nil"/>
          <w:left w:val="nil"/>
          <w:bottom w:val="nil"/>
          <w:right w:val="nil"/>
          <w:between w:val="nil"/>
        </w:pBdr>
        <w:bidi w:val="0"/>
        <w:spacing w:after="240"/>
        <w:jc w:val="both"/>
        <w:rPr>
          <w:color w:val="000000"/>
          <w:sz w:val="20"/>
          <w:szCs w:val="20"/>
          <w:highlight w:val="yellow"/>
        </w:rPr>
      </w:pPr>
      <w:r>
        <w:rPr>
          <w:color w:val="000000"/>
          <w:sz w:val="20"/>
          <w:szCs w:val="20"/>
        </w:rPr>
        <w:t>Data are presented as frequency (%). DM: Diabetes mellitus, HTN: hypertension, *: significant as P value &lt; 0.05.</w:t>
      </w:r>
    </w:p>
    <w:p w14:paraId="308DD879"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Total WMH volume showed a moderate negative correlation with disease duration (r = -0.398, P = 0.029), indicating that longer disease duration was associated with slightly lower total WMH burden. Similarly, deep WMH volume was negatively correlated with disease duration (r = -0.393, P = 0.032), and periventricular confluent WMH volume demonstrated the strongest negative correlation (r = -0.480, P = 0.007). </w:t>
      </w:r>
      <w:r>
        <w:rPr>
          <w:b/>
          <w:bCs/>
          <w:color w:val="000000"/>
        </w:rPr>
        <w:t>Table 5</w:t>
      </w:r>
    </w:p>
    <w:p w14:paraId="4CB6784B" w14:textId="77777777" w:rsidR="00CD1CEC" w:rsidRDefault="00386CF6" w:rsidP="00A85A22">
      <w:pPr>
        <w:keepNext/>
        <w:pBdr>
          <w:top w:val="nil"/>
          <w:left w:val="nil"/>
          <w:bottom w:val="nil"/>
          <w:right w:val="nil"/>
          <w:between w:val="nil"/>
        </w:pBdr>
        <w:bidi w:val="0"/>
        <w:spacing w:after="200"/>
        <w:jc w:val="both"/>
        <w:rPr>
          <w:b/>
          <w:bCs/>
          <w:color w:val="000000"/>
        </w:rPr>
      </w:pPr>
      <w:r>
        <w:rPr>
          <w:b/>
          <w:bCs/>
          <w:color w:val="000000"/>
        </w:rPr>
        <w:t>Table 5: Correlation between disease duration and WMH volume</w:t>
      </w:r>
    </w:p>
    <w:tbl>
      <w:tblPr>
        <w:tblStyle w:val="a3"/>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2155"/>
        <w:gridCol w:w="1607"/>
      </w:tblGrid>
      <w:tr w:rsidR="00CD1CEC" w14:paraId="273BAAC1" w14:textId="77777777">
        <w:trPr>
          <w:trHeight w:val="20"/>
        </w:trPr>
        <w:tc>
          <w:tcPr>
            <w:tcW w:w="5255" w:type="dxa"/>
            <w:vMerge w:val="restart"/>
            <w:vAlign w:val="center"/>
          </w:tcPr>
          <w:p w14:paraId="0F31A306" w14:textId="77777777" w:rsidR="00CD1CEC" w:rsidRDefault="00CD1CEC" w:rsidP="00A85A22">
            <w:pPr>
              <w:pStyle w:val="Heading1"/>
              <w:bidi w:val="0"/>
              <w:spacing w:line="240" w:lineRule="auto"/>
              <w:jc w:val="center"/>
              <w:rPr>
                <w:sz w:val="22"/>
                <w:szCs w:val="22"/>
              </w:rPr>
            </w:pPr>
          </w:p>
        </w:tc>
        <w:tc>
          <w:tcPr>
            <w:tcW w:w="3762" w:type="dxa"/>
            <w:gridSpan w:val="2"/>
            <w:vAlign w:val="center"/>
          </w:tcPr>
          <w:p w14:paraId="7E47E57B" w14:textId="77777777" w:rsidR="00CD1CEC" w:rsidRDefault="00386CF6" w:rsidP="00A85A22">
            <w:pPr>
              <w:pStyle w:val="Heading1"/>
              <w:bidi w:val="0"/>
              <w:spacing w:line="240" w:lineRule="auto"/>
              <w:jc w:val="center"/>
              <w:rPr>
                <w:sz w:val="22"/>
                <w:szCs w:val="22"/>
              </w:rPr>
            </w:pPr>
            <w:r>
              <w:rPr>
                <w:sz w:val="22"/>
                <w:szCs w:val="22"/>
              </w:rPr>
              <w:t>Disease duration (years)</w:t>
            </w:r>
          </w:p>
        </w:tc>
      </w:tr>
      <w:tr w:rsidR="00CD1CEC" w14:paraId="1C502887" w14:textId="77777777">
        <w:trPr>
          <w:trHeight w:val="20"/>
        </w:trPr>
        <w:tc>
          <w:tcPr>
            <w:tcW w:w="5255" w:type="dxa"/>
            <w:vMerge/>
            <w:vAlign w:val="center"/>
          </w:tcPr>
          <w:p w14:paraId="37126663" w14:textId="77777777" w:rsidR="00CD1CEC" w:rsidRDefault="00CD1CEC" w:rsidP="00A85A22">
            <w:pPr>
              <w:widowControl w:val="0"/>
              <w:pBdr>
                <w:top w:val="nil"/>
                <w:left w:val="nil"/>
                <w:bottom w:val="nil"/>
                <w:right w:val="nil"/>
                <w:between w:val="nil"/>
              </w:pBdr>
              <w:bidi w:val="0"/>
              <w:spacing w:line="276" w:lineRule="auto"/>
            </w:pPr>
          </w:p>
        </w:tc>
        <w:tc>
          <w:tcPr>
            <w:tcW w:w="2155" w:type="dxa"/>
            <w:vAlign w:val="center"/>
          </w:tcPr>
          <w:p w14:paraId="57EEA740" w14:textId="77777777" w:rsidR="00CD1CEC" w:rsidRDefault="00386CF6" w:rsidP="00A85A22">
            <w:pPr>
              <w:pStyle w:val="Heading1"/>
              <w:bidi w:val="0"/>
              <w:spacing w:line="240" w:lineRule="auto"/>
              <w:jc w:val="center"/>
              <w:rPr>
                <w:sz w:val="22"/>
                <w:szCs w:val="22"/>
              </w:rPr>
            </w:pPr>
            <w:r>
              <w:rPr>
                <w:sz w:val="22"/>
                <w:szCs w:val="22"/>
              </w:rPr>
              <w:t>r</w:t>
            </w:r>
          </w:p>
        </w:tc>
        <w:tc>
          <w:tcPr>
            <w:tcW w:w="1607" w:type="dxa"/>
            <w:vAlign w:val="center"/>
          </w:tcPr>
          <w:p w14:paraId="7993206F" w14:textId="77777777" w:rsidR="00CD1CEC" w:rsidRDefault="00386CF6" w:rsidP="00A85A22">
            <w:pPr>
              <w:pStyle w:val="Heading1"/>
              <w:bidi w:val="0"/>
              <w:spacing w:line="240" w:lineRule="auto"/>
              <w:jc w:val="center"/>
              <w:rPr>
                <w:sz w:val="22"/>
                <w:szCs w:val="22"/>
              </w:rPr>
            </w:pPr>
            <w:r>
              <w:rPr>
                <w:sz w:val="22"/>
                <w:szCs w:val="22"/>
              </w:rPr>
              <w:t>p</w:t>
            </w:r>
          </w:p>
        </w:tc>
      </w:tr>
      <w:tr w:rsidR="00CD1CEC" w14:paraId="48FB02DF" w14:textId="77777777">
        <w:trPr>
          <w:trHeight w:val="20"/>
        </w:trPr>
        <w:tc>
          <w:tcPr>
            <w:tcW w:w="5255" w:type="dxa"/>
            <w:vAlign w:val="center"/>
          </w:tcPr>
          <w:p w14:paraId="4A2F9397" w14:textId="77777777" w:rsidR="00CD1CEC" w:rsidRDefault="00386CF6" w:rsidP="00A85A22">
            <w:pPr>
              <w:pStyle w:val="Heading1"/>
              <w:bidi w:val="0"/>
              <w:spacing w:line="240" w:lineRule="auto"/>
              <w:jc w:val="center"/>
              <w:rPr>
                <w:sz w:val="22"/>
                <w:szCs w:val="22"/>
              </w:rPr>
            </w:pPr>
            <w:r>
              <w:rPr>
                <w:sz w:val="22"/>
                <w:szCs w:val="22"/>
              </w:rPr>
              <w:t>Total WMH volume (ml)</w:t>
            </w:r>
          </w:p>
        </w:tc>
        <w:tc>
          <w:tcPr>
            <w:tcW w:w="2155" w:type="dxa"/>
            <w:vAlign w:val="center"/>
          </w:tcPr>
          <w:p w14:paraId="1E3DEBD0" w14:textId="77777777" w:rsidR="00CD1CEC" w:rsidRDefault="00386CF6" w:rsidP="00A85A22">
            <w:pPr>
              <w:pStyle w:val="Heading1"/>
              <w:bidi w:val="0"/>
              <w:spacing w:line="240" w:lineRule="auto"/>
              <w:jc w:val="center"/>
              <w:rPr>
                <w:sz w:val="22"/>
                <w:szCs w:val="22"/>
              </w:rPr>
            </w:pPr>
            <w:r>
              <w:rPr>
                <w:sz w:val="22"/>
                <w:szCs w:val="22"/>
              </w:rPr>
              <w:t>-0.398</w:t>
            </w:r>
          </w:p>
        </w:tc>
        <w:tc>
          <w:tcPr>
            <w:tcW w:w="1607" w:type="dxa"/>
            <w:vAlign w:val="center"/>
          </w:tcPr>
          <w:p w14:paraId="488C49E0" w14:textId="77777777" w:rsidR="00CD1CEC" w:rsidRDefault="00386CF6" w:rsidP="00A85A22">
            <w:pPr>
              <w:pStyle w:val="Heading1"/>
              <w:bidi w:val="0"/>
              <w:spacing w:line="240" w:lineRule="auto"/>
              <w:jc w:val="center"/>
              <w:rPr>
                <w:sz w:val="22"/>
                <w:szCs w:val="22"/>
              </w:rPr>
            </w:pPr>
            <w:r>
              <w:rPr>
                <w:sz w:val="22"/>
                <w:szCs w:val="22"/>
              </w:rPr>
              <w:t>0.029*</w:t>
            </w:r>
          </w:p>
        </w:tc>
      </w:tr>
      <w:tr w:rsidR="00CD1CEC" w14:paraId="68AA078E" w14:textId="77777777">
        <w:trPr>
          <w:trHeight w:val="20"/>
        </w:trPr>
        <w:tc>
          <w:tcPr>
            <w:tcW w:w="5255" w:type="dxa"/>
            <w:vAlign w:val="center"/>
          </w:tcPr>
          <w:p w14:paraId="60A9FF73" w14:textId="77777777" w:rsidR="00CD1CEC" w:rsidRDefault="00386CF6" w:rsidP="00A85A22">
            <w:pPr>
              <w:pStyle w:val="Heading1"/>
              <w:bidi w:val="0"/>
              <w:spacing w:line="240" w:lineRule="auto"/>
              <w:jc w:val="center"/>
              <w:rPr>
                <w:sz w:val="22"/>
                <w:szCs w:val="22"/>
              </w:rPr>
            </w:pPr>
            <w:r>
              <w:rPr>
                <w:sz w:val="22"/>
                <w:szCs w:val="22"/>
              </w:rPr>
              <w:t>Deep WMH volume(ml)</w:t>
            </w:r>
          </w:p>
        </w:tc>
        <w:tc>
          <w:tcPr>
            <w:tcW w:w="2155" w:type="dxa"/>
            <w:vAlign w:val="center"/>
          </w:tcPr>
          <w:p w14:paraId="74B9C1D4" w14:textId="77777777" w:rsidR="00CD1CEC" w:rsidRDefault="00386CF6" w:rsidP="00A85A22">
            <w:pPr>
              <w:pStyle w:val="Heading1"/>
              <w:bidi w:val="0"/>
              <w:spacing w:line="240" w:lineRule="auto"/>
              <w:jc w:val="center"/>
              <w:rPr>
                <w:sz w:val="22"/>
                <w:szCs w:val="22"/>
              </w:rPr>
            </w:pPr>
            <w:r>
              <w:rPr>
                <w:sz w:val="22"/>
                <w:szCs w:val="22"/>
              </w:rPr>
              <w:t>-0.393</w:t>
            </w:r>
          </w:p>
        </w:tc>
        <w:tc>
          <w:tcPr>
            <w:tcW w:w="1607" w:type="dxa"/>
            <w:vAlign w:val="center"/>
          </w:tcPr>
          <w:p w14:paraId="154DE72B" w14:textId="77777777" w:rsidR="00CD1CEC" w:rsidRDefault="00386CF6" w:rsidP="00A85A22">
            <w:pPr>
              <w:pStyle w:val="Heading1"/>
              <w:bidi w:val="0"/>
              <w:spacing w:line="240" w:lineRule="auto"/>
              <w:jc w:val="center"/>
              <w:rPr>
                <w:sz w:val="22"/>
                <w:szCs w:val="22"/>
              </w:rPr>
            </w:pPr>
            <w:r>
              <w:rPr>
                <w:sz w:val="22"/>
                <w:szCs w:val="22"/>
              </w:rPr>
              <w:t>0.032*</w:t>
            </w:r>
          </w:p>
        </w:tc>
      </w:tr>
      <w:tr w:rsidR="00CD1CEC" w14:paraId="33192C8F" w14:textId="77777777">
        <w:trPr>
          <w:trHeight w:val="20"/>
        </w:trPr>
        <w:tc>
          <w:tcPr>
            <w:tcW w:w="5255" w:type="dxa"/>
            <w:vAlign w:val="center"/>
          </w:tcPr>
          <w:p w14:paraId="5DF0AF7F" w14:textId="77777777" w:rsidR="00CD1CEC" w:rsidRDefault="00386CF6" w:rsidP="00A85A22">
            <w:pPr>
              <w:pStyle w:val="Heading1"/>
              <w:bidi w:val="0"/>
              <w:spacing w:line="240" w:lineRule="auto"/>
              <w:jc w:val="center"/>
              <w:rPr>
                <w:sz w:val="22"/>
                <w:szCs w:val="22"/>
              </w:rPr>
            </w:pPr>
            <w:r>
              <w:rPr>
                <w:sz w:val="22"/>
                <w:szCs w:val="22"/>
              </w:rPr>
              <w:t>Periventricular confluent WMH volume</w:t>
            </w:r>
          </w:p>
          <w:p w14:paraId="75897DF7" w14:textId="77777777" w:rsidR="00CD1CEC" w:rsidRDefault="00386CF6" w:rsidP="00A85A22">
            <w:pPr>
              <w:pStyle w:val="Heading1"/>
              <w:bidi w:val="0"/>
              <w:spacing w:line="240" w:lineRule="auto"/>
              <w:jc w:val="center"/>
              <w:rPr>
                <w:sz w:val="22"/>
                <w:szCs w:val="22"/>
              </w:rPr>
            </w:pPr>
            <w:r>
              <w:rPr>
                <w:sz w:val="22"/>
                <w:szCs w:val="22"/>
              </w:rPr>
              <w:t>(ml)</w:t>
            </w:r>
          </w:p>
        </w:tc>
        <w:tc>
          <w:tcPr>
            <w:tcW w:w="2155" w:type="dxa"/>
            <w:vAlign w:val="center"/>
          </w:tcPr>
          <w:p w14:paraId="36B25CF9" w14:textId="77777777" w:rsidR="00CD1CEC" w:rsidRDefault="00386CF6" w:rsidP="00A85A22">
            <w:pPr>
              <w:pStyle w:val="Heading1"/>
              <w:bidi w:val="0"/>
              <w:spacing w:line="240" w:lineRule="auto"/>
              <w:jc w:val="center"/>
              <w:rPr>
                <w:sz w:val="22"/>
                <w:szCs w:val="22"/>
              </w:rPr>
            </w:pPr>
            <w:r>
              <w:rPr>
                <w:sz w:val="22"/>
                <w:szCs w:val="22"/>
              </w:rPr>
              <w:t>-0.480</w:t>
            </w:r>
          </w:p>
        </w:tc>
        <w:tc>
          <w:tcPr>
            <w:tcW w:w="1607" w:type="dxa"/>
            <w:vAlign w:val="center"/>
          </w:tcPr>
          <w:p w14:paraId="73A59A31" w14:textId="77777777" w:rsidR="00CD1CEC" w:rsidRDefault="00386CF6" w:rsidP="00A85A22">
            <w:pPr>
              <w:pStyle w:val="Heading1"/>
              <w:bidi w:val="0"/>
              <w:spacing w:line="240" w:lineRule="auto"/>
              <w:jc w:val="center"/>
              <w:rPr>
                <w:sz w:val="22"/>
                <w:szCs w:val="22"/>
              </w:rPr>
            </w:pPr>
            <w:r>
              <w:rPr>
                <w:sz w:val="22"/>
                <w:szCs w:val="22"/>
              </w:rPr>
              <w:t>0.007*</w:t>
            </w:r>
          </w:p>
        </w:tc>
      </w:tr>
    </w:tbl>
    <w:p w14:paraId="67CF2D02" w14:textId="77777777" w:rsidR="00CD1CEC" w:rsidRDefault="00386CF6" w:rsidP="00A85A22">
      <w:pPr>
        <w:pBdr>
          <w:top w:val="nil"/>
          <w:left w:val="nil"/>
          <w:bottom w:val="nil"/>
          <w:right w:val="nil"/>
          <w:between w:val="nil"/>
        </w:pBdr>
        <w:bidi w:val="0"/>
        <w:spacing w:after="240"/>
        <w:jc w:val="both"/>
        <w:rPr>
          <w:color w:val="000000"/>
          <w:sz w:val="20"/>
          <w:szCs w:val="20"/>
          <w:highlight w:val="yellow"/>
        </w:rPr>
      </w:pPr>
      <w:r>
        <w:rPr>
          <w:color w:val="000000"/>
          <w:sz w:val="20"/>
          <w:szCs w:val="20"/>
        </w:rPr>
        <w:t>R: correlation coefficient, WMH: white matter, *: significant as P value &lt; 0.05.</w:t>
      </w:r>
    </w:p>
    <w:p w14:paraId="11FE955F" w14:textId="77777777" w:rsidR="00CD1CEC" w:rsidRDefault="00386CF6" w:rsidP="00A85A22">
      <w:pPr>
        <w:pStyle w:val="Heading1"/>
        <w:bidi w:val="0"/>
        <w:spacing w:before="240"/>
      </w:pPr>
      <w:r>
        <w:t>Discussion</w:t>
      </w:r>
    </w:p>
    <w:p w14:paraId="6EB529B6" w14:textId="77777777" w:rsidR="00CD1CEC" w:rsidRDefault="00386CF6" w:rsidP="00A85A22">
      <w:pPr>
        <w:pBdr>
          <w:top w:val="nil"/>
          <w:left w:val="nil"/>
          <w:bottom w:val="nil"/>
          <w:right w:val="nil"/>
          <w:between w:val="nil"/>
        </w:pBdr>
        <w:bidi w:val="0"/>
        <w:spacing w:line="480" w:lineRule="auto"/>
        <w:jc w:val="both"/>
        <w:rPr>
          <w:color w:val="000000"/>
          <w:highlight w:val="white"/>
        </w:rPr>
      </w:pPr>
      <w:bookmarkStart w:id="4" w:name="_3v9fnxvcula4" w:colFirst="0" w:colLast="0"/>
      <w:bookmarkEnd w:id="4"/>
      <w:r>
        <w:rPr>
          <w:color w:val="000000"/>
          <w:highlight w:val="white"/>
        </w:rPr>
        <w:t xml:space="preserve">The white matter of the CNS is primarily constituted of myelinated axons (tracts) and myelin-producing glial cells, connecting and communicating between disparate regions of grey matter, which is composed of bodies of neurons. In the human brain, white matter occupies approximately 4×105 mm3, which comprises 45% of the total volume </w:t>
      </w:r>
      <w:r>
        <w:rPr>
          <w:color w:val="000000"/>
          <w:highlight w:val="white"/>
          <w:vertAlign w:val="superscript"/>
        </w:rPr>
        <w:t>[14]</w:t>
      </w:r>
      <w:r>
        <w:rPr>
          <w:color w:val="000000"/>
          <w:highlight w:val="white"/>
        </w:rPr>
        <w:t xml:space="preserve">. </w:t>
      </w:r>
    </w:p>
    <w:p w14:paraId="370E20E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Damage or microstructural alterations to the white matter frequently detected by brain CT or MRI scans are designated as white matter diseases (WMD). With the popularization and application of imaging technology, more and more symptomatic or asymptomatic white matter lesions have been found clinically. The two common causes of WMD are vascular diseases, which are especially common in northern China, and inflammatory demyelinating causes like multiple sclerosis (MS) </w:t>
      </w:r>
      <w:r>
        <w:rPr>
          <w:color w:val="000000"/>
          <w:highlight w:val="white"/>
          <w:vertAlign w:val="superscript"/>
        </w:rPr>
        <w:t>[15]</w:t>
      </w:r>
      <w:r>
        <w:rPr>
          <w:color w:val="000000"/>
          <w:highlight w:val="white"/>
        </w:rPr>
        <w:t>.</w:t>
      </w:r>
    </w:p>
    <w:p w14:paraId="34112C70"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Regarding the disease duration of the studied patients ranged from 3 to 24 years with a mean of 10.4 ± 6.23 years.</w:t>
      </w:r>
    </w:p>
    <w:p w14:paraId="11E29B7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Regarding the clinical features, 27 (90%) patients had joint involvement (21 patients had arthralgia and 20 patients had arthritis), 6 (20%) patients had genital ulcers, 10 (33.33%) patients had oral ulcerations, 4 (13.33%) patients had renal involvement and 8 (26.67%) patients had peripheral lesions.</w:t>
      </w:r>
    </w:p>
    <w:p w14:paraId="3D72980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results are in accordance with Chrabaszcz et al., </w:t>
      </w:r>
      <w:r>
        <w:rPr>
          <w:color w:val="000000"/>
          <w:highlight w:val="white"/>
          <w:vertAlign w:val="superscript"/>
        </w:rPr>
        <w:t>[16]</w:t>
      </w:r>
      <w:r>
        <w:rPr>
          <w:color w:val="000000"/>
          <w:highlight w:val="white"/>
        </w:rPr>
        <w:t xml:space="preserve"> explored that systemic vasculitis frequently involves the kidneys. This renal involvement can manifest in various ways, from mild proteinuria to severe glomerulonephritis, and significantly impacts prognosis.</w:t>
      </w:r>
    </w:p>
    <w:p w14:paraId="703EBA5A"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About neurological features, 13 (43.33%) patients had headache, 4 (13.33%) patients had psychosis, 4 (13.33%) patients had polyneuropathy, 2 (6.67%) patients had hemispherical syndrome, 2 (6.67%) patients had seizure disorder, 2 (6.67%) patients had autonomic disorder, 2 (6.67%) patient had cognitive dysfunction, and 1 (3.33%) patient had neuropathy cranial.</w:t>
      </w:r>
    </w:p>
    <w:p w14:paraId="317FF3ED"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diagnosis, 9 (30%) patients had </w:t>
      </w:r>
      <w:r>
        <w:rPr>
          <w:color w:val="000000"/>
        </w:rPr>
        <w:t>SLE</w:t>
      </w:r>
      <w:r>
        <w:rPr>
          <w:color w:val="000000"/>
          <w:highlight w:val="white"/>
        </w:rPr>
        <w:t>, 14 (46.67%) patients had rheumatoid arthritis and 7 (23.33%) patients had Behcet’s disease.</w:t>
      </w:r>
    </w:p>
    <w:p w14:paraId="14BD8DDD"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Among the studied patients, 19 (63.33%) patients had white matter hyperintensities.</w:t>
      </w:r>
    </w:p>
    <w:p w14:paraId="46F804B1"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In accordance to our study, Guo et al., </w:t>
      </w:r>
      <w:r>
        <w:rPr>
          <w:color w:val="000000"/>
          <w:highlight w:val="white"/>
          <w:vertAlign w:val="superscript"/>
        </w:rPr>
        <w:t>[17]</w:t>
      </w:r>
      <w:r>
        <w:rPr>
          <w:color w:val="000000"/>
          <w:highlight w:val="white"/>
        </w:rPr>
        <w:t xml:space="preserve"> reported that white matter hyperintensities (WMHs)were a common finding on brain MRI, particularly in older individuals. In systemic vasculitis, WMHs can be associated with the disease process, but their prevalence varies depending on the specific type of vasculitis, the age of the patient, and the presence of other risk factors. As they found that among the 273 SLE patients with available cerebral MRI scans, 35.9% (98/273) had hyperintense WM lesions associated with SLE.</w:t>
      </w:r>
    </w:p>
    <w:p w14:paraId="33D8D6FD"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WMH sites, in patients with </w:t>
      </w:r>
      <w:r>
        <w:rPr>
          <w:color w:val="000000"/>
        </w:rPr>
        <w:t>SLE</w:t>
      </w:r>
      <w:r>
        <w:rPr>
          <w:color w:val="000000"/>
          <w:highlight w:val="white"/>
        </w:rPr>
        <w:t>, 4 (44.44%) patients had periventricular WMH, 3 (33.33%) patients had periventricular with deep WMH, 1 (11.11%) patient had confluent with deep WMH, and 1 (11.11%) patient had deep WMH.</w:t>
      </w:r>
    </w:p>
    <w:p w14:paraId="20BC75D6"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In patients with rheumatoid arthritis, 7 (50%) patients had periventricular WMH, 4 (28.57%) patients had periventricular with deep WMH, 2 (14.29%) patients had confluent with deep WMH, and 1 (7.14%) patient had deep WMH.</w:t>
      </w:r>
    </w:p>
    <w:p w14:paraId="790168FB"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In patients with Behcet’s disease, 4 (57.14%) patients had periventricular WMH, 1 (14.29%) patient had periventricular with deep WMH, 1 (14.29%) patient had confluent with deep WMH, and 1 (14.29%) patient had deep WMH.</w:t>
      </w:r>
    </w:p>
    <w:p w14:paraId="46256802"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Our outcomes are assured by Cox et al., </w:t>
      </w:r>
      <w:r>
        <w:rPr>
          <w:color w:val="000000"/>
          <w:highlight w:val="white"/>
          <w:vertAlign w:val="superscript"/>
        </w:rPr>
        <w:t>[18]</w:t>
      </w:r>
      <w:r>
        <w:rPr>
          <w:color w:val="000000"/>
          <w:highlight w:val="white"/>
        </w:rPr>
        <w:t xml:space="preserve"> who noted that in Rheumatoid Arthritis (RA), white matter hyperintensities (WMH) are commonly observed on brain MRI scans, and they tend to be more extensive and prevalent compared to healthy controls. These lesions are frequently found in the periventricular and deep white matter regions.</w:t>
      </w:r>
    </w:p>
    <w:p w14:paraId="2413F443"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Moreover, </w:t>
      </w:r>
      <w:proofErr w:type="spellStart"/>
      <w:r>
        <w:rPr>
          <w:color w:val="000000"/>
          <w:highlight w:val="white"/>
        </w:rPr>
        <w:t>Uygunoglu</w:t>
      </w:r>
      <w:proofErr w:type="spellEnd"/>
      <w:r>
        <w:rPr>
          <w:color w:val="000000"/>
          <w:highlight w:val="white"/>
        </w:rPr>
        <w:t xml:space="preserve"> et al., </w:t>
      </w:r>
      <w:r>
        <w:rPr>
          <w:color w:val="000000"/>
          <w:highlight w:val="white"/>
          <w:vertAlign w:val="superscript"/>
        </w:rPr>
        <w:t>[19]</w:t>
      </w:r>
      <w:r>
        <w:rPr>
          <w:color w:val="000000"/>
          <w:highlight w:val="white"/>
        </w:rPr>
        <w:t xml:space="preserve"> reported in Behcet's disease, white matter hyperintensities (WMH) on MRI scans were a common finding, particularly in the parenchymal form of </w:t>
      </w:r>
      <w:r>
        <w:rPr>
          <w:color w:val="000000"/>
        </w:rPr>
        <w:t>NBD</w:t>
      </w:r>
      <w:r>
        <w:rPr>
          <w:color w:val="000000"/>
          <w:highlight w:val="white"/>
        </w:rPr>
        <w:t>. These hyperintensities, appearing bright on T2-weighted and FLAIR images, typically involve the brainstem, basal ganglia, cerebral white matter, and other areas.</w:t>
      </w:r>
    </w:p>
    <w:p w14:paraId="2C8E788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WMH shape markers, the periventricular confluent WMH solidity ranged from 0.2 to 0.9 with a mean of 0.5 ± 0.22 ml and periventricular confluent convexity ranged from 0.78 to 1.2 with a mean of 1 ± 0.14. The concavity index ranged from 0.96 to 1.29 with a mean of 1.1 ± 0.08 and the fractal dimension ranged from 1.2 to 1.71 with a mean of 1.4 ± 0.16. </w:t>
      </w:r>
    </w:p>
    <w:p w14:paraId="70B25969"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Based on the diagnosis, the gender was significantly different among studied groups (P= 0.020), as Behcet’s disease group had male predominance whereas </w:t>
      </w:r>
      <w:r>
        <w:rPr>
          <w:color w:val="000000"/>
        </w:rPr>
        <w:t>SLE</w:t>
      </w:r>
      <w:r>
        <w:rPr>
          <w:color w:val="000000"/>
          <w:highlight w:val="white"/>
        </w:rPr>
        <w:t xml:space="preserve"> and rheumatoid arthritis groups had female predominance.</w:t>
      </w:r>
    </w:p>
    <w:p w14:paraId="051CFBD9"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In support to our results, </w:t>
      </w:r>
      <w:proofErr w:type="spellStart"/>
      <w:r>
        <w:rPr>
          <w:color w:val="000000"/>
          <w:highlight w:val="white"/>
        </w:rPr>
        <w:t>Angum</w:t>
      </w:r>
      <w:proofErr w:type="spellEnd"/>
      <w:r>
        <w:rPr>
          <w:color w:val="000000"/>
          <w:highlight w:val="white"/>
        </w:rPr>
        <w:t xml:space="preserve"> et al., </w:t>
      </w:r>
      <w:r>
        <w:rPr>
          <w:color w:val="000000"/>
          <w:highlight w:val="white"/>
          <w:vertAlign w:val="superscript"/>
        </w:rPr>
        <w:t>[20]</w:t>
      </w:r>
      <w:r>
        <w:rPr>
          <w:color w:val="000000"/>
          <w:highlight w:val="white"/>
        </w:rPr>
        <w:t xml:space="preserve"> found that rheumatoid arthritis and </w:t>
      </w:r>
      <w:r>
        <w:rPr>
          <w:color w:val="000000"/>
        </w:rPr>
        <w:t>SLE</w:t>
      </w:r>
      <w:r>
        <w:rPr>
          <w:color w:val="000000"/>
          <w:highlight w:val="white"/>
        </w:rPr>
        <w:t xml:space="preserve"> are both more common in females than males. RA affects women in a ratio of approximately 3:1 compared to men, while SLE affects women in a ratio of 7-9:1.</w:t>
      </w:r>
    </w:p>
    <w:p w14:paraId="43F65A1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There was no significant difference among studied groups regarding age, weight, height, BMI and residence.</w:t>
      </w:r>
    </w:p>
    <w:p w14:paraId="5CEC2A22"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associated comorbidities, 9 (30%) patients were smokers, 10 (33.33%) patients had diabetes mellitus, 13 (43.33%) patients had hypertension, and 18 (60%) patients had </w:t>
      </w:r>
      <w:proofErr w:type="spellStart"/>
      <w:r>
        <w:rPr>
          <w:color w:val="000000"/>
          <w:highlight w:val="white"/>
        </w:rPr>
        <w:t>dyslipidemia</w:t>
      </w:r>
      <w:proofErr w:type="spellEnd"/>
      <w:r>
        <w:rPr>
          <w:color w:val="000000"/>
          <w:highlight w:val="white"/>
        </w:rPr>
        <w:t>.</w:t>
      </w:r>
    </w:p>
    <w:p w14:paraId="6B193024"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On explanation of results of this current study, DM and systemic vasculitis are linked, particularly through their shared association with inflammation and the effects of some treatments. Patients with systemic vasculitis, especially those treated with glucocorticoids, may be at increased risk of developing new-onset diabetes. Conversely, diabetes itself can increase the risk of developing cardiovascular disease and atherosclerosis, conditions that can be exacerbated by the inflammation associated with vasculitis. </w:t>
      </w:r>
      <w:r>
        <w:rPr>
          <w:color w:val="000000"/>
          <w:highlight w:val="white"/>
          <w:vertAlign w:val="superscript"/>
        </w:rPr>
        <w:t>[21]</w:t>
      </w:r>
    </w:p>
    <w:p w14:paraId="4058D47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So, the associated comorbidities (smoking, HTN, DM and </w:t>
      </w:r>
      <w:proofErr w:type="spellStart"/>
      <w:r>
        <w:rPr>
          <w:color w:val="000000"/>
          <w:highlight w:val="white"/>
        </w:rPr>
        <w:t>dyslipidemia</w:t>
      </w:r>
      <w:proofErr w:type="spellEnd"/>
      <w:r>
        <w:rPr>
          <w:color w:val="000000"/>
          <w:highlight w:val="white"/>
        </w:rPr>
        <w:t>) were insignificantly different among the studied groups.</w:t>
      </w:r>
    </w:p>
    <w:p w14:paraId="2ADB5E41" w14:textId="77777777" w:rsidR="00CD1CEC" w:rsidRDefault="00386CF6" w:rsidP="00A85A22">
      <w:pPr>
        <w:pBdr>
          <w:top w:val="nil"/>
          <w:left w:val="nil"/>
          <w:bottom w:val="nil"/>
          <w:right w:val="nil"/>
          <w:between w:val="nil"/>
        </w:pBdr>
        <w:bidi w:val="0"/>
        <w:spacing w:line="480" w:lineRule="auto"/>
        <w:jc w:val="both"/>
        <w:rPr>
          <w:color w:val="000000"/>
          <w:highlight w:val="white"/>
        </w:rPr>
      </w:pPr>
      <w:proofErr w:type="gramStart"/>
      <w:r>
        <w:rPr>
          <w:color w:val="000000"/>
          <w:highlight w:val="white"/>
        </w:rPr>
        <w:t>Regarding  the</w:t>
      </w:r>
      <w:proofErr w:type="gramEnd"/>
      <w:r>
        <w:rPr>
          <w:color w:val="000000"/>
          <w:highlight w:val="white"/>
        </w:rPr>
        <w:t xml:space="preserve"> disease </w:t>
      </w:r>
      <w:proofErr w:type="gramStart"/>
      <w:r>
        <w:rPr>
          <w:color w:val="000000"/>
          <w:highlight w:val="white"/>
        </w:rPr>
        <w:t>duration,  it</w:t>
      </w:r>
      <w:proofErr w:type="gramEnd"/>
      <w:r>
        <w:rPr>
          <w:color w:val="000000"/>
          <w:highlight w:val="white"/>
        </w:rPr>
        <w:t xml:space="preserve"> was significantly longer in Behcet’s disease group compared to systemic lupus erythematous and rheumatoid arthritis groups (P2=0.014, P3&lt;0.001</w:t>
      </w:r>
      <w:proofErr w:type="gramStart"/>
      <w:r>
        <w:rPr>
          <w:color w:val="000000"/>
          <w:highlight w:val="white"/>
        </w:rPr>
        <w:t>), and</w:t>
      </w:r>
      <w:proofErr w:type="gramEnd"/>
      <w:r>
        <w:rPr>
          <w:color w:val="000000"/>
          <w:highlight w:val="white"/>
        </w:rPr>
        <w:t xml:space="preserve"> was significantly longer in systemic lupus erythematous group compared to rheumatoid arthritis group (P1&lt;0.001).</w:t>
      </w:r>
    </w:p>
    <w:p w14:paraId="3CBB9D9C"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in </w:t>
      </w:r>
      <w:proofErr w:type="spellStart"/>
      <w:r>
        <w:rPr>
          <w:color w:val="000000"/>
          <w:highlight w:val="white"/>
        </w:rPr>
        <w:t>favor</w:t>
      </w:r>
      <w:proofErr w:type="spellEnd"/>
      <w:r>
        <w:rPr>
          <w:color w:val="000000"/>
          <w:highlight w:val="white"/>
        </w:rPr>
        <w:t xml:space="preserve"> to our results, </w:t>
      </w:r>
      <w:proofErr w:type="spellStart"/>
      <w:r>
        <w:rPr>
          <w:color w:val="000000"/>
          <w:highlight w:val="white"/>
        </w:rPr>
        <w:t>Elnady</w:t>
      </w:r>
      <w:proofErr w:type="spellEnd"/>
      <w:r>
        <w:rPr>
          <w:color w:val="000000"/>
          <w:highlight w:val="white"/>
        </w:rPr>
        <w:t xml:space="preserve"> et al., </w:t>
      </w:r>
      <w:r>
        <w:rPr>
          <w:color w:val="000000"/>
          <w:highlight w:val="white"/>
          <w:vertAlign w:val="superscript"/>
        </w:rPr>
        <w:t>[22]</w:t>
      </w:r>
      <w:r>
        <w:rPr>
          <w:color w:val="000000"/>
          <w:highlight w:val="white"/>
        </w:rPr>
        <w:t xml:space="preserve"> showed in sixty-two female patients with active RA and 34 female patients with active SLE fulfilled that duration of SLE (17.1 ± 6.8 months) was longer than RA (15.3 ± 6 months). However, the study showed no significance difference as P value &lt;0.05.</w:t>
      </w:r>
    </w:p>
    <w:p w14:paraId="049A33C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clinical features, genital ulcers and oral ulcerations were significantly different among the studied groups (P&lt;0.001, P&lt;0.001), being higher in Behcet’s disease group compared to </w:t>
      </w:r>
      <w:r>
        <w:rPr>
          <w:color w:val="000000"/>
        </w:rPr>
        <w:t>SLE</w:t>
      </w:r>
      <w:r>
        <w:rPr>
          <w:color w:val="000000"/>
          <w:highlight w:val="white"/>
        </w:rPr>
        <w:t xml:space="preserve"> and rheumatoid arthritis groups.</w:t>
      </w:r>
    </w:p>
    <w:p w14:paraId="2AC1256C"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results were supported by Kara &amp; </w:t>
      </w:r>
      <w:proofErr w:type="spellStart"/>
      <w:r>
        <w:rPr>
          <w:color w:val="000000"/>
          <w:highlight w:val="white"/>
        </w:rPr>
        <w:t>Düşmez</w:t>
      </w:r>
      <w:proofErr w:type="spellEnd"/>
      <w:r>
        <w:rPr>
          <w:color w:val="000000"/>
          <w:highlight w:val="white"/>
        </w:rPr>
        <w:t xml:space="preserve"> Apa, </w:t>
      </w:r>
      <w:r>
        <w:rPr>
          <w:color w:val="000000"/>
          <w:highlight w:val="white"/>
          <w:vertAlign w:val="superscript"/>
        </w:rPr>
        <w:t>[23]</w:t>
      </w:r>
      <w:r>
        <w:rPr>
          <w:color w:val="000000"/>
          <w:highlight w:val="white"/>
        </w:rPr>
        <w:t xml:space="preserve"> who declared that genital and oral ulcerations were significantly more common in Behçet's disease than in other forms of vasculitis. Behçet's was characterized by recurrent, painful ulcers in both the mouth and genital area, often serving as key diagnostic indicators. While other </w:t>
      </w:r>
      <w:proofErr w:type="spellStart"/>
      <w:r>
        <w:rPr>
          <w:color w:val="000000"/>
          <w:highlight w:val="white"/>
        </w:rPr>
        <w:t>vasculitides</w:t>
      </w:r>
      <w:proofErr w:type="spellEnd"/>
      <w:r>
        <w:rPr>
          <w:color w:val="000000"/>
          <w:highlight w:val="white"/>
        </w:rPr>
        <w:t xml:space="preserve"> can involve these ulcers, they were not the defining feature to the same extent as in Behçet's.</w:t>
      </w:r>
    </w:p>
    <w:p w14:paraId="4EC568B1"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There was no significant difference among the studied groups regarding the joint involvement, renal involvement and skin lesions.</w:t>
      </w:r>
    </w:p>
    <w:p w14:paraId="064E1A9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the joint involvement, there were 5 patients in </w:t>
      </w:r>
      <w:r>
        <w:rPr>
          <w:color w:val="000000"/>
        </w:rPr>
        <w:t>SLE</w:t>
      </w:r>
      <w:r>
        <w:rPr>
          <w:color w:val="000000"/>
          <w:highlight w:val="white"/>
        </w:rPr>
        <w:t xml:space="preserve"> group, 14 patients in rheumatoid arthritis group and 2 patients in Behcet’s disease group had arthralgias, and 3 patients in </w:t>
      </w:r>
      <w:r>
        <w:rPr>
          <w:color w:val="000000"/>
        </w:rPr>
        <w:t>SLE</w:t>
      </w:r>
      <w:r>
        <w:rPr>
          <w:color w:val="000000"/>
          <w:highlight w:val="white"/>
        </w:rPr>
        <w:t xml:space="preserve"> group, 14 patients in rheumatoid arthritis group and 3 patients in Behcet’s disease group had a In context with our findings, Dawa et al., </w:t>
      </w:r>
      <w:r>
        <w:rPr>
          <w:color w:val="000000"/>
          <w:highlight w:val="white"/>
          <w:vertAlign w:val="superscript"/>
        </w:rPr>
        <w:t>[24]</w:t>
      </w:r>
      <w:r>
        <w:rPr>
          <w:color w:val="000000"/>
          <w:highlight w:val="white"/>
        </w:rPr>
        <w:t xml:space="preserve"> included Seventy-four BD patients and found that regarding joint involvement , 27% of patients had Arthralgia and 13.5%had Arthritis.</w:t>
      </w:r>
    </w:p>
    <w:p w14:paraId="7D5E762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In accordance to our study, there was no significant difference among the studied groups regarding the incidence of associated neurological features (headache, psychosis, peripheral polyneuropathy, hemispherical syndrome, seizure disorder, autonomic disorder, cognitive dysfunction, and cranial neuropathy).</w:t>
      </w:r>
    </w:p>
    <w:p w14:paraId="2BE7C6EE"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Shehata et al., </w:t>
      </w:r>
      <w:r>
        <w:rPr>
          <w:color w:val="000000"/>
          <w:highlight w:val="white"/>
          <w:vertAlign w:val="superscript"/>
        </w:rPr>
        <w:t>[25]</w:t>
      </w:r>
      <w:r>
        <w:rPr>
          <w:color w:val="000000"/>
          <w:highlight w:val="white"/>
        </w:rPr>
        <w:t xml:space="preserve"> found that the most salient neuropsychiatric symptom was headache with 93.3% in NBD.</w:t>
      </w:r>
    </w:p>
    <w:p w14:paraId="75C76F99"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Regarding laboratory investigations, there was no significant difference among studied groups regarding laboratory investigations including (Hb, platelet, random blood sugar, ALT, AST creatinine and urea,), lipid profile including total cholesterol, triglycerides, HDL and LDL, ESR and CRP and the coagulation profile (INR and PTT).</w:t>
      </w:r>
    </w:p>
    <w:p w14:paraId="7F114A4C"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Regarding serological laboratory investigation, based on the results of this current study, ANA, anti-dsDNA, anti-Ro, anti-CCP and anticardiolipin were significantly different among the studied groups (P&lt;0.05), with no significant difference among the studied groups regarding the anti-neutrophil cytoplasmic antibodies and combination of serological tests.</w:t>
      </w:r>
    </w:p>
    <w:p w14:paraId="555C406A"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ANA, anti-dsDNA, anti-Ro, and anticardiolipin, and anti-neutrophil cytoplasmic antibodies were higher in Systemic lupus erythematous group, while anti-CCP was higher in rheumatoid arthritis group.</w:t>
      </w:r>
    </w:p>
    <w:p w14:paraId="4F20179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Behcet’s disease group was negative for ANA, anti-dsDNA, anti-Ro, anti-CCP, anticardiolipin and anti-neutrophil cytoplasmic antibodies.</w:t>
      </w:r>
    </w:p>
    <w:p w14:paraId="1D3704E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results are in consistent with Moxey et al., </w:t>
      </w:r>
      <w:r>
        <w:rPr>
          <w:color w:val="000000"/>
          <w:highlight w:val="white"/>
          <w:vertAlign w:val="superscript"/>
        </w:rPr>
        <w:t>[26]</w:t>
      </w:r>
      <w:r>
        <w:rPr>
          <w:color w:val="000000"/>
          <w:highlight w:val="white"/>
        </w:rPr>
        <w:t xml:space="preserve"> who showed that antibodies are frequently elevated in </w:t>
      </w:r>
      <w:r>
        <w:rPr>
          <w:color w:val="000000"/>
        </w:rPr>
        <w:t>SLE</w:t>
      </w:r>
      <w:r>
        <w:rPr>
          <w:color w:val="000000"/>
          <w:highlight w:val="white"/>
        </w:rPr>
        <w:t>, including ANA, anti-dsDNA, anti-Ro, anticardiolipin, and anti-neutrophil cytoplasmic antibodies (ANCA). These autoantibodies play a significant role in the diagnosis and understanding of SLE's diverse manifestations.</w:t>
      </w:r>
    </w:p>
    <w:p w14:paraId="62C4F3F4"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In patients with RA, the RF ranged from 11.86 to 237.1 IU/mL with a mean of 67.6 ± 56.32 IU/</w:t>
      </w:r>
      <w:proofErr w:type="spellStart"/>
      <w:r>
        <w:rPr>
          <w:color w:val="000000"/>
          <w:highlight w:val="white"/>
        </w:rPr>
        <w:t>mL.</w:t>
      </w:r>
      <w:proofErr w:type="spellEnd"/>
    </w:p>
    <w:p w14:paraId="38CFBB25"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Regarding WM distribution, in this study a significant difference was observed in the distribution of white matter lesions among the studied groups, particularly in the basal ganglia and brainstem, where Behçet’s disease patients showed a markedly higher frequency compared with SLE and RA patients (p=0.007 and p&lt;0.001, respectively). This finding is in line with previous reports indicating that neuro-Behçet’s disease commonly affects the brainstem and deep </w:t>
      </w:r>
      <w:proofErr w:type="spellStart"/>
      <w:r>
        <w:rPr>
          <w:color w:val="000000"/>
          <w:highlight w:val="white"/>
        </w:rPr>
        <w:t>gray</w:t>
      </w:r>
      <w:proofErr w:type="spellEnd"/>
      <w:r>
        <w:rPr>
          <w:color w:val="000000"/>
          <w:highlight w:val="white"/>
        </w:rPr>
        <w:t xml:space="preserve"> matter structures, which are considered characteristic sites of involvement due to the predilection of the disease for small- and medium-sized vessel inflammation in these regions.</w:t>
      </w:r>
    </w:p>
    <w:p w14:paraId="144B5CAD"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On the other hand, white matter lesions in SLE and RA groups were more frequently observed in the subcortical and periventricular regions, although the difference did not reach statistical significance. These findings were consistent with earlier studies suggesting that white matter hyperintensities in SLE were mainly related to small vessel vasculopathy, antiphospholipid antibody–mediated ischemic changes, and chronic inflammatory processes, whereas in RA they were likely secondary to systemic inflammation and vascular risk factors.</w:t>
      </w:r>
    </w:p>
    <w:p w14:paraId="2A2F115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The absence of significant involvement of the corpus callosum, cortical regions, cerebellum, and thalamus across the studied groups suggests that these sites are less commonly affected in systemic autoimmune vasculitis.</w:t>
      </w:r>
    </w:p>
    <w:p w14:paraId="6AB9352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Taken together, the current findings emphasize that the pattern of lesion distribution may help differentiate Behçet’s disease from other systemic autoimmune diseases such as SLE and RA, where deep </w:t>
      </w:r>
      <w:proofErr w:type="spellStart"/>
      <w:r>
        <w:rPr>
          <w:color w:val="000000"/>
          <w:highlight w:val="white"/>
        </w:rPr>
        <w:t>gray</w:t>
      </w:r>
      <w:proofErr w:type="spellEnd"/>
      <w:r>
        <w:rPr>
          <w:color w:val="000000"/>
          <w:highlight w:val="white"/>
        </w:rPr>
        <w:t xml:space="preserve"> matter and brainstem involvement are highly suggestive of neuro-Behçet’s, while periventricular and subcortical WMH are more common but nonspecific in SLE and RA.</w:t>
      </w:r>
    </w:p>
    <w:p w14:paraId="5E3937B7"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Our outcomes were assured by Asma et al., </w:t>
      </w:r>
      <w:r>
        <w:rPr>
          <w:color w:val="000000"/>
          <w:highlight w:val="white"/>
          <w:vertAlign w:val="superscript"/>
        </w:rPr>
        <w:t>[27]</w:t>
      </w:r>
      <w:r>
        <w:rPr>
          <w:color w:val="000000"/>
          <w:highlight w:val="white"/>
        </w:rPr>
        <w:t xml:space="preserve"> who proved that neuro-Behçet’s disease commonly affects the brainstem and deep </w:t>
      </w:r>
      <w:proofErr w:type="spellStart"/>
      <w:r>
        <w:rPr>
          <w:color w:val="000000"/>
          <w:highlight w:val="white"/>
        </w:rPr>
        <w:t>gray</w:t>
      </w:r>
      <w:proofErr w:type="spellEnd"/>
      <w:r>
        <w:rPr>
          <w:color w:val="000000"/>
          <w:highlight w:val="white"/>
        </w:rPr>
        <w:t xml:space="preserve"> matter structures, which were considered characteristic sites of involvement.</w:t>
      </w:r>
    </w:p>
    <w:p w14:paraId="541B4ECE"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This study examined the relationship between white matter lesion distribution and vascular comorbidities, including HTN, DM, </w:t>
      </w:r>
      <w:proofErr w:type="spellStart"/>
      <w:r>
        <w:rPr>
          <w:color w:val="000000"/>
          <w:highlight w:val="white"/>
        </w:rPr>
        <w:t>dyslipidemia</w:t>
      </w:r>
      <w:proofErr w:type="spellEnd"/>
      <w:r>
        <w:rPr>
          <w:color w:val="000000"/>
          <w:highlight w:val="white"/>
        </w:rPr>
        <w:t xml:space="preserve">, and smoking. The results showed a significant association between white matter lesions and both HTN (p = 0.021) and </w:t>
      </w:r>
      <w:proofErr w:type="spellStart"/>
      <w:r>
        <w:rPr>
          <w:color w:val="000000"/>
          <w:highlight w:val="white"/>
        </w:rPr>
        <w:t>dyslipidemia</w:t>
      </w:r>
      <w:proofErr w:type="spellEnd"/>
      <w:r>
        <w:rPr>
          <w:color w:val="000000"/>
          <w:highlight w:val="white"/>
        </w:rPr>
        <w:t xml:space="preserve"> (p = 0.016), while no significant relationship was found with DM or smoking.</w:t>
      </w:r>
    </w:p>
    <w:p w14:paraId="36AB212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These findings align with </w:t>
      </w:r>
      <w:proofErr w:type="spellStart"/>
      <w:r>
        <w:rPr>
          <w:color w:val="000000"/>
          <w:highlight w:val="white"/>
        </w:rPr>
        <w:t>Debette</w:t>
      </w:r>
      <w:proofErr w:type="spellEnd"/>
      <w:r>
        <w:rPr>
          <w:color w:val="000000"/>
          <w:highlight w:val="white"/>
        </w:rPr>
        <w:t xml:space="preserve"> &amp; Markus et al., </w:t>
      </w:r>
      <w:r>
        <w:rPr>
          <w:color w:val="000000"/>
          <w:highlight w:val="white"/>
          <w:vertAlign w:val="superscript"/>
        </w:rPr>
        <w:t>[28]</w:t>
      </w:r>
      <w:r>
        <w:rPr>
          <w:color w:val="000000"/>
          <w:highlight w:val="white"/>
        </w:rPr>
        <w:t xml:space="preserve"> research, which indicates that HTN contributes to white matter damage, especially in periventricular and subcortical regions. Similarly, </w:t>
      </w:r>
      <w:proofErr w:type="spellStart"/>
      <w:r>
        <w:rPr>
          <w:color w:val="000000"/>
          <w:highlight w:val="white"/>
        </w:rPr>
        <w:t>dyslipidemia</w:t>
      </w:r>
      <w:proofErr w:type="spellEnd"/>
      <w:r>
        <w:rPr>
          <w:color w:val="000000"/>
          <w:highlight w:val="white"/>
        </w:rPr>
        <w:t xml:space="preserve"> is known to impair vascular integrity, potentially affecting deep brain structures like the basal ganglia and brainstem, which was reflected in our data.</w:t>
      </w:r>
    </w:p>
    <w:p w14:paraId="5E24D493"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On the other hand, the lack of significant association between DM and white matter lesion distribution contrasts with Schweitzer et al., </w:t>
      </w:r>
      <w:r>
        <w:rPr>
          <w:color w:val="000000"/>
          <w:highlight w:val="white"/>
          <w:vertAlign w:val="superscript"/>
        </w:rPr>
        <w:t>[29]</w:t>
      </w:r>
      <w:r>
        <w:rPr>
          <w:color w:val="000000"/>
          <w:highlight w:val="white"/>
        </w:rPr>
        <w:t xml:space="preserve"> that identified DM as an independent risk factor for WMHs.</w:t>
      </w:r>
    </w:p>
    <w:p w14:paraId="45FBF6B3"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Regarding the relationship between white matter lesion distribution and neurological manifestations, findings demonstrate a statistically significant association between white matter lesion distribution and the presence of headache (P = 0.040). Notably, all patients with subcortical white matter lesions reported headaches, compared to only 27.3% of those without lesions. This suggests that subcortical white matter involvement may play a role in headache development in this population.</w:t>
      </w:r>
    </w:p>
    <w:p w14:paraId="6E340F0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This result was supported by earlier studies linking white matter hyperintensities (WMHs) to headache, particularly migraine. Hagen et al., </w:t>
      </w:r>
      <w:r>
        <w:rPr>
          <w:color w:val="000000"/>
          <w:highlight w:val="white"/>
          <w:vertAlign w:val="superscript"/>
        </w:rPr>
        <w:t>[30]</w:t>
      </w:r>
      <w:r>
        <w:rPr>
          <w:color w:val="000000"/>
          <w:highlight w:val="white"/>
        </w:rPr>
        <w:t>, in the HUNT MRI study, reported a significant association between headache and increased white matter changes in a large population-based cohort.</w:t>
      </w:r>
    </w:p>
    <w:p w14:paraId="5E32B114"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However, other research presents conflicting evidence. Malik et al., </w:t>
      </w:r>
      <w:r>
        <w:rPr>
          <w:color w:val="000000"/>
          <w:highlight w:val="white"/>
          <w:vertAlign w:val="superscript"/>
        </w:rPr>
        <w:t>[31]</w:t>
      </w:r>
      <w:r>
        <w:rPr>
          <w:color w:val="000000"/>
          <w:highlight w:val="white"/>
        </w:rPr>
        <w:t>, using Mendelian randomization, found no causal relationship between WMHs and migraine, suggesting that the observed association may be non-causal or influenced by shared risk factors.</w:t>
      </w:r>
    </w:p>
    <w:p w14:paraId="59C02534"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For other neurological features such as psychosis, seizures, and cognitive dysfunction, no statistically significant associations with lesion distribution were observed. This may reflect the complex and multifactorial nature of these symptoms. Similar conclusions have been noted by Pantoni et al., </w:t>
      </w:r>
      <w:r>
        <w:rPr>
          <w:color w:val="000000"/>
          <w:highlight w:val="white"/>
          <w:vertAlign w:val="superscript"/>
        </w:rPr>
        <w:t>[32]</w:t>
      </w:r>
      <w:r>
        <w:rPr>
          <w:color w:val="000000"/>
          <w:highlight w:val="white"/>
        </w:rPr>
        <w:t>.</w:t>
      </w:r>
    </w:p>
    <w:p w14:paraId="3B602D08" w14:textId="77777777" w:rsidR="00CD1CEC" w:rsidRDefault="00386CF6" w:rsidP="00A85A22">
      <w:pPr>
        <w:pBdr>
          <w:top w:val="nil"/>
          <w:left w:val="nil"/>
          <w:bottom w:val="nil"/>
          <w:right w:val="nil"/>
          <w:between w:val="nil"/>
        </w:pBdr>
        <w:bidi w:val="0"/>
        <w:spacing w:line="480" w:lineRule="auto"/>
        <w:jc w:val="both"/>
        <w:rPr>
          <w:color w:val="000000"/>
          <w:highlight w:val="white"/>
        </w:rPr>
      </w:pPr>
      <w:proofErr w:type="spellStart"/>
      <w:r>
        <w:rPr>
          <w:color w:val="000000"/>
          <w:highlight w:val="white"/>
        </w:rPr>
        <w:t>Morever</w:t>
      </w:r>
      <w:proofErr w:type="spellEnd"/>
      <w:r>
        <w:rPr>
          <w:color w:val="000000"/>
          <w:highlight w:val="white"/>
        </w:rPr>
        <w:t xml:space="preserve">, there was insignificant difference among studied groups regarding white matter hyperintensities. There was insignificant difference among studied groups regarding total WMH volume, deep WMH volume and </w:t>
      </w:r>
    </w:p>
    <w:p w14:paraId="73AC7062"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periventricular confluent WMH volume.</w:t>
      </w:r>
    </w:p>
    <w:p w14:paraId="39604FB2"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There was no significant difference among studied groups regarding WMH shape markers (periventricular confluent WMH solidity, periventricular confluent convexity, concavity index and fractal dimension).</w:t>
      </w:r>
    </w:p>
    <w:p w14:paraId="3EDE2F50"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This current study was in the same side of </w:t>
      </w:r>
      <w:proofErr w:type="spellStart"/>
      <w:r>
        <w:rPr>
          <w:color w:val="000000"/>
          <w:highlight w:val="white"/>
        </w:rPr>
        <w:t>Dobrynina</w:t>
      </w:r>
      <w:proofErr w:type="spellEnd"/>
      <w:r>
        <w:rPr>
          <w:color w:val="000000"/>
          <w:highlight w:val="white"/>
        </w:rPr>
        <w:t xml:space="preserve"> et al.,</w:t>
      </w:r>
      <w:r>
        <w:rPr>
          <w:color w:val="000000"/>
          <w:highlight w:val="white"/>
          <w:vertAlign w:val="superscript"/>
        </w:rPr>
        <w:t>[33]</w:t>
      </w:r>
      <w:r>
        <w:rPr>
          <w:color w:val="000000"/>
          <w:highlight w:val="white"/>
        </w:rPr>
        <w:t xml:space="preserve"> and Ota et al., </w:t>
      </w:r>
      <w:r>
        <w:rPr>
          <w:color w:val="000000"/>
          <w:highlight w:val="white"/>
          <w:vertAlign w:val="superscript"/>
        </w:rPr>
        <w:t>[34]</w:t>
      </w:r>
      <w:r>
        <w:rPr>
          <w:color w:val="000000"/>
          <w:highlight w:val="white"/>
        </w:rPr>
        <w:t xml:space="preserve"> who reported that white matter hyperintensities (WMH) in various vasculitis conditions and showed that, there was no definitive evidence suggesting a significant difference in the pattern or severity of WMH across different types of vasculitis. WMH were frequently seen in both primary and secondary vasculitis, and their presence is more strongly linked to factors like age, cerebrovascular risk factors, and disease duration rather than the specific type of vasculitis.</w:t>
      </w:r>
    </w:p>
    <w:p w14:paraId="6CC9ED1F"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Data of this study identified a significant negative correlation between disease duration and white matter hyperintensity (WMH) volumes, including total WMH (r = –0.398, p = 0.029), deep WMH (r = –0.393, p = 0.032), and periventricular confluent WMH (r = –0.480, p = 0.007) in patients with vasculitis. These findings indicate that longer disease duration is associated with reduced WMH burden.</w:t>
      </w:r>
    </w:p>
    <w:p w14:paraId="199AAF08"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Our results supported by Sachdev et al., </w:t>
      </w:r>
      <w:r>
        <w:rPr>
          <w:color w:val="000000"/>
          <w:highlight w:val="white"/>
          <w:vertAlign w:val="superscript"/>
        </w:rPr>
        <w:t>[35]</w:t>
      </w:r>
      <w:r>
        <w:rPr>
          <w:color w:val="000000"/>
          <w:highlight w:val="white"/>
        </w:rPr>
        <w:t xml:space="preserve"> who noted that WMH progression was not invariably linear and can plateau or reduce in some populations and this explained by various factors. One possibility was that disease-modifying treatments or lifestyle changes adopted by patients over time.</w:t>
      </w:r>
    </w:p>
    <w:p w14:paraId="5E39879E"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 xml:space="preserve">While </w:t>
      </w:r>
      <w:proofErr w:type="spellStart"/>
      <w:r>
        <w:rPr>
          <w:color w:val="000000"/>
          <w:highlight w:val="white"/>
        </w:rPr>
        <w:t>Debette</w:t>
      </w:r>
      <w:proofErr w:type="spellEnd"/>
      <w:r>
        <w:rPr>
          <w:color w:val="000000"/>
          <w:highlight w:val="white"/>
        </w:rPr>
        <w:t xml:space="preserve"> and Markus et al., </w:t>
      </w:r>
      <w:r>
        <w:rPr>
          <w:color w:val="000000"/>
          <w:highlight w:val="white"/>
          <w:vertAlign w:val="superscript"/>
        </w:rPr>
        <w:t>[28]</w:t>
      </w:r>
      <w:r>
        <w:rPr>
          <w:color w:val="000000"/>
          <w:highlight w:val="white"/>
        </w:rPr>
        <w:t xml:space="preserve"> were against as noted that WMH progression correlates positively with disease chronicity, potentially serving as a marker for cumulative vascular injury.</w:t>
      </w:r>
    </w:p>
    <w:p w14:paraId="60149DB3" w14:textId="77777777" w:rsidR="00CD1CEC" w:rsidRDefault="00386CF6" w:rsidP="00A85A22">
      <w:pPr>
        <w:pBdr>
          <w:top w:val="nil"/>
          <w:left w:val="nil"/>
          <w:bottom w:val="nil"/>
          <w:right w:val="nil"/>
          <w:between w:val="nil"/>
        </w:pBdr>
        <w:bidi w:val="0"/>
        <w:spacing w:line="480" w:lineRule="auto"/>
        <w:jc w:val="both"/>
        <w:rPr>
          <w:color w:val="000000"/>
          <w:highlight w:val="white"/>
        </w:rPr>
      </w:pPr>
      <w:r>
        <w:rPr>
          <w:color w:val="000000"/>
          <w:highlight w:val="white"/>
        </w:rPr>
        <w:t>We recommend that further investigations with larger and stratified sample size is recommended for more accurate results, multi-</w:t>
      </w:r>
      <w:proofErr w:type="spellStart"/>
      <w:r>
        <w:rPr>
          <w:color w:val="000000"/>
          <w:highlight w:val="white"/>
        </w:rPr>
        <w:t>center</w:t>
      </w:r>
      <w:proofErr w:type="spellEnd"/>
      <w:r>
        <w:rPr>
          <w:color w:val="000000"/>
          <w:highlight w:val="white"/>
        </w:rPr>
        <w:t xml:space="preserve"> study is recommended, using Advanced Imaging and Quantitative Methods, and use diffusion tensor imaging (DTI), functional MRI, or other advanced neuroimaging techniques to assess microstructural white matter integrity, and possibly detect early damage not visible via conventional MRI sequences.</w:t>
      </w:r>
    </w:p>
    <w:p w14:paraId="11F2CC0C" w14:textId="77777777" w:rsidR="00CD1CEC" w:rsidRDefault="00386CF6" w:rsidP="00A85A22">
      <w:pPr>
        <w:pBdr>
          <w:top w:val="nil"/>
          <w:left w:val="nil"/>
          <w:bottom w:val="nil"/>
          <w:right w:val="nil"/>
          <w:between w:val="nil"/>
        </w:pBdr>
        <w:bidi w:val="0"/>
        <w:spacing w:line="480" w:lineRule="auto"/>
        <w:jc w:val="both"/>
        <w:rPr>
          <w:color w:val="000000"/>
          <w:highlight w:val="yellow"/>
        </w:rPr>
      </w:pPr>
      <w:r>
        <w:rPr>
          <w:color w:val="000000"/>
        </w:rPr>
        <w:t xml:space="preserve">Limitations: Small sample size Having only 30 patients limits generalization of our findings to all people with vasculitis and lowered the statistical power of the analysis, cross sectional design We only looked at one point in time, so we cannot tell which came first - vasculitis, risk factors, or white matter changes,  single </w:t>
      </w:r>
      <w:proofErr w:type="spellStart"/>
      <w:r>
        <w:rPr>
          <w:color w:val="000000"/>
        </w:rPr>
        <w:t>center</w:t>
      </w:r>
      <w:proofErr w:type="spellEnd"/>
      <w:r>
        <w:rPr>
          <w:color w:val="000000"/>
        </w:rPr>
        <w:t xml:space="preserve"> study All patients were recruited from one hospital/ university </w:t>
      </w:r>
      <w:proofErr w:type="spellStart"/>
      <w:r>
        <w:rPr>
          <w:color w:val="000000"/>
        </w:rPr>
        <w:t>center</w:t>
      </w:r>
      <w:proofErr w:type="spellEnd"/>
      <w:r>
        <w:rPr>
          <w:color w:val="000000"/>
        </w:rPr>
        <w:t xml:space="preserve">, which may limit how representative they are of patients elsewhere, and imaging modality </w:t>
      </w:r>
      <w:proofErr w:type="spellStart"/>
      <w:r>
        <w:rPr>
          <w:color w:val="000000"/>
        </w:rPr>
        <w:t>restrictionThe</w:t>
      </w:r>
      <w:proofErr w:type="spellEnd"/>
      <w:r>
        <w:rPr>
          <w:color w:val="000000"/>
        </w:rPr>
        <w:t xml:space="preserve"> current study based on conventional MRI only with absence of advanced imaging modalities.</w:t>
      </w:r>
    </w:p>
    <w:p w14:paraId="2A8AB10B" w14:textId="77777777"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Conclusions</w:t>
      </w:r>
    </w:p>
    <w:p w14:paraId="25B6ADD1" w14:textId="3FC657E2"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MRI findings alone may not be specific enough to distinguish different secondary </w:t>
      </w:r>
      <w:proofErr w:type="spellStart"/>
      <w:r>
        <w:rPr>
          <w:color w:val="000000"/>
        </w:rPr>
        <w:t>vasculitic</w:t>
      </w:r>
      <w:proofErr w:type="spellEnd"/>
      <w:r>
        <w:rPr>
          <w:color w:val="000000"/>
        </w:rPr>
        <w:t xml:space="preserve"> lesions, and further clinical correlation and investigations are often required. Behçet’s disease showed a significant predilection for brainstem and deep </w:t>
      </w:r>
      <w:proofErr w:type="spellStart"/>
      <w:r>
        <w:rPr>
          <w:color w:val="000000"/>
        </w:rPr>
        <w:t>gray</w:t>
      </w:r>
      <w:proofErr w:type="spellEnd"/>
      <w:r>
        <w:rPr>
          <w:color w:val="000000"/>
        </w:rPr>
        <w:t xml:space="preserve"> matter involvement, consistent with neuro-Behçet’s </w:t>
      </w:r>
      <w:proofErr w:type="spellStart"/>
      <w:r>
        <w:rPr>
          <w:color w:val="000000"/>
        </w:rPr>
        <w:t>pathology.SLE</w:t>
      </w:r>
      <w:proofErr w:type="spellEnd"/>
      <w:r>
        <w:rPr>
          <w:color w:val="000000"/>
        </w:rPr>
        <w:t xml:space="preserve"> and RA exhibited WMHs predominantly in the periventricular and subcortical white matter, although these patterns were less specific. Lack of Significant Differences in WMH Volumes: No statistically significant differences were found in total WMH volume, deep WMH volume, or periventricular confluent WMH volume across the disease groups. A significant negative correlation was identified between disease duration and WMH burden, suggesting that longer disease duration may be associated with reduced WMH volume, possibly due to treatment effects or natural disease plateauing. Morphological features such as solidity, convexity, concavity index, and fractal dimension of WMHs did not differ significantly among the disease groups, indicating limited diagnostic utility. Clinical features such as genital and oral ulcerations were significantly more prevalent in Behçet’s disease, supporting the radiological distinction of neuro-Behçet’s from other autoimmune </w:t>
      </w:r>
      <w:proofErr w:type="spellStart"/>
      <w:r>
        <w:rPr>
          <w:color w:val="000000"/>
        </w:rPr>
        <w:t>vasculitides</w:t>
      </w:r>
      <w:proofErr w:type="spellEnd"/>
      <w:r>
        <w:rPr>
          <w:color w:val="000000"/>
        </w:rPr>
        <w:t>.</w:t>
      </w:r>
    </w:p>
    <w:p w14:paraId="37265F01" w14:textId="56178466" w:rsidR="00820AB6" w:rsidRDefault="00820AB6" w:rsidP="00A85A22">
      <w:pPr>
        <w:pBdr>
          <w:top w:val="nil"/>
          <w:left w:val="nil"/>
          <w:bottom w:val="nil"/>
          <w:right w:val="nil"/>
          <w:between w:val="nil"/>
        </w:pBdr>
        <w:bidi w:val="0"/>
        <w:spacing w:line="480" w:lineRule="auto"/>
        <w:jc w:val="both"/>
        <w:rPr>
          <w:color w:val="000000"/>
          <w:highlight w:val="yellow"/>
        </w:rPr>
      </w:pPr>
    </w:p>
    <w:p w14:paraId="5F3F317E" w14:textId="165A92F5" w:rsidR="00820AB6" w:rsidRDefault="00820AB6" w:rsidP="00A85A22">
      <w:pPr>
        <w:pBdr>
          <w:top w:val="nil"/>
          <w:left w:val="nil"/>
          <w:bottom w:val="nil"/>
          <w:right w:val="nil"/>
          <w:between w:val="nil"/>
        </w:pBdr>
        <w:bidi w:val="0"/>
        <w:spacing w:line="480" w:lineRule="auto"/>
        <w:jc w:val="both"/>
        <w:rPr>
          <w:color w:val="000000"/>
          <w:highlight w:val="yellow"/>
        </w:rPr>
      </w:pPr>
    </w:p>
    <w:p w14:paraId="0A1BC000" w14:textId="77777777" w:rsidR="00820AB6" w:rsidRPr="00820AB6" w:rsidRDefault="00820AB6" w:rsidP="00A85A22">
      <w:pPr>
        <w:bidi w:val="0"/>
        <w:rPr>
          <w:rFonts w:eastAsia="Calibri"/>
          <w:kern w:val="2"/>
          <w:sz w:val="22"/>
          <w:szCs w:val="22"/>
          <w:highlight w:val="yellow"/>
          <w:lang w:val="en-US"/>
        </w:rPr>
      </w:pPr>
      <w:bookmarkStart w:id="5" w:name="_Hlk198031404"/>
      <w:bookmarkStart w:id="6" w:name="_Hlk219125673"/>
      <w:r w:rsidRPr="00820AB6">
        <w:rPr>
          <w:rFonts w:eastAsia="Calibri"/>
          <w:kern w:val="2"/>
          <w:sz w:val="22"/>
          <w:szCs w:val="22"/>
          <w:highlight w:val="yellow"/>
          <w:lang w:val="en-US"/>
        </w:rPr>
        <w:t>Disclaimer (Artificial intelligence)</w:t>
      </w:r>
    </w:p>
    <w:p w14:paraId="65A17A24" w14:textId="77777777" w:rsidR="00820AB6" w:rsidRPr="00820AB6" w:rsidRDefault="00820AB6" w:rsidP="00A85A22">
      <w:pPr>
        <w:bidi w:val="0"/>
        <w:rPr>
          <w:rFonts w:eastAsia="Calibri"/>
          <w:kern w:val="2"/>
          <w:sz w:val="22"/>
          <w:szCs w:val="22"/>
          <w:highlight w:val="yellow"/>
          <w:lang w:val="en-US"/>
        </w:rPr>
      </w:pPr>
    </w:p>
    <w:p w14:paraId="7ED7B57B" w14:textId="77777777" w:rsidR="00820AB6" w:rsidRPr="00820AB6" w:rsidRDefault="00820AB6" w:rsidP="00A85A22">
      <w:pPr>
        <w:bidi w:val="0"/>
        <w:rPr>
          <w:rFonts w:eastAsia="Calibri"/>
          <w:kern w:val="2"/>
          <w:sz w:val="22"/>
          <w:szCs w:val="22"/>
          <w:highlight w:val="yellow"/>
          <w:lang w:val="en-US"/>
        </w:rPr>
      </w:pPr>
      <w:r w:rsidRPr="00820AB6">
        <w:rPr>
          <w:rFonts w:eastAsia="Calibri"/>
          <w:kern w:val="2"/>
          <w:sz w:val="22"/>
          <w:szCs w:val="2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5"/>
    <w:p w14:paraId="345A19EF" w14:textId="77777777" w:rsidR="00820AB6" w:rsidRPr="00820AB6" w:rsidRDefault="00820AB6" w:rsidP="00A85A22">
      <w:pPr>
        <w:bidi w:val="0"/>
        <w:spacing w:after="200" w:line="276" w:lineRule="auto"/>
        <w:rPr>
          <w:rFonts w:ascii="Calibri" w:eastAsia="Calibri" w:hAnsi="Calibri"/>
          <w:sz w:val="28"/>
          <w:szCs w:val="22"/>
          <w:lang w:val="en-US"/>
        </w:rPr>
      </w:pPr>
    </w:p>
    <w:bookmarkEnd w:id="6"/>
    <w:p w14:paraId="2BC46EDD" w14:textId="77777777" w:rsidR="00820AB6" w:rsidRPr="00820AB6" w:rsidRDefault="00820AB6" w:rsidP="00A85A22">
      <w:pPr>
        <w:pBdr>
          <w:top w:val="nil"/>
          <w:left w:val="nil"/>
          <w:bottom w:val="nil"/>
          <w:right w:val="nil"/>
          <w:between w:val="nil"/>
        </w:pBdr>
        <w:bidi w:val="0"/>
        <w:spacing w:line="480" w:lineRule="auto"/>
        <w:jc w:val="both"/>
        <w:rPr>
          <w:color w:val="000000"/>
          <w:highlight w:val="yellow"/>
          <w:lang w:val="en-US"/>
        </w:rPr>
      </w:pPr>
    </w:p>
    <w:p w14:paraId="69BEB7E8" w14:textId="77777777" w:rsidR="00CD1CEC" w:rsidRDefault="00386CF6" w:rsidP="00A85A22">
      <w:pPr>
        <w:pBdr>
          <w:top w:val="nil"/>
          <w:left w:val="nil"/>
          <w:bottom w:val="nil"/>
          <w:right w:val="nil"/>
          <w:between w:val="nil"/>
        </w:pBdr>
        <w:bidi w:val="0"/>
        <w:spacing w:line="480" w:lineRule="auto"/>
        <w:jc w:val="both"/>
        <w:rPr>
          <w:b/>
          <w:bCs/>
          <w:color w:val="000000"/>
          <w:sz w:val="28"/>
          <w:szCs w:val="28"/>
        </w:rPr>
      </w:pPr>
      <w:r>
        <w:rPr>
          <w:b/>
          <w:bCs/>
          <w:color w:val="000000"/>
          <w:sz w:val="28"/>
          <w:szCs w:val="28"/>
        </w:rPr>
        <w:t>References</w:t>
      </w:r>
    </w:p>
    <w:p w14:paraId="54A23884" w14:textId="77777777" w:rsidR="00CD1CEC" w:rsidRDefault="00386CF6" w:rsidP="00A85A22">
      <w:pPr>
        <w:pBdr>
          <w:top w:val="nil"/>
          <w:left w:val="nil"/>
          <w:bottom w:val="nil"/>
          <w:right w:val="nil"/>
          <w:between w:val="nil"/>
        </w:pBdr>
        <w:bidi w:val="0"/>
        <w:spacing w:line="480" w:lineRule="auto"/>
        <w:jc w:val="both"/>
        <w:rPr>
          <w:color w:val="000000"/>
        </w:rPr>
      </w:pPr>
      <w:r w:rsidRPr="00A85A22">
        <w:rPr>
          <w:color w:val="000000"/>
          <w:lang w:val="nb-NO"/>
        </w:rPr>
        <w:t xml:space="preserve">1. </w:t>
      </w:r>
      <w:r w:rsidRPr="00A85A22">
        <w:rPr>
          <w:b/>
          <w:bCs/>
          <w:color w:val="000000"/>
          <w:lang w:val="nb-NO"/>
        </w:rPr>
        <w:t>Giannini C, Salvarani C, Hunder G, Brown RD.</w:t>
      </w:r>
      <w:r w:rsidRPr="00A85A22">
        <w:rPr>
          <w:color w:val="000000"/>
          <w:lang w:val="nb-NO"/>
        </w:rPr>
        <w:t xml:space="preserve"> </w:t>
      </w:r>
      <w:r>
        <w:rPr>
          <w:color w:val="000000"/>
        </w:rPr>
        <w:t xml:space="preserve">Primary central nervous system vasculitis: pathology and mechanisms. Acta </w:t>
      </w:r>
      <w:proofErr w:type="spellStart"/>
      <w:r>
        <w:rPr>
          <w:color w:val="000000"/>
        </w:rPr>
        <w:t>Neuropathol</w:t>
      </w:r>
      <w:proofErr w:type="spellEnd"/>
      <w:r>
        <w:rPr>
          <w:color w:val="000000"/>
        </w:rPr>
        <w:t xml:space="preserve">. </w:t>
      </w:r>
      <w:proofErr w:type="gramStart"/>
      <w:r>
        <w:rPr>
          <w:color w:val="000000"/>
        </w:rPr>
        <w:t>2012;123:759</w:t>
      </w:r>
      <w:proofErr w:type="gramEnd"/>
      <w:r>
        <w:rPr>
          <w:color w:val="000000"/>
        </w:rPr>
        <w:t>-72.</w:t>
      </w:r>
    </w:p>
    <w:p w14:paraId="6E5EF5BE" w14:textId="77777777" w:rsidR="00CD1CEC" w:rsidRPr="00820AB6" w:rsidRDefault="00386CF6" w:rsidP="00A85A22">
      <w:pPr>
        <w:pBdr>
          <w:top w:val="nil"/>
          <w:left w:val="nil"/>
          <w:bottom w:val="nil"/>
          <w:right w:val="nil"/>
          <w:between w:val="nil"/>
        </w:pBdr>
        <w:bidi w:val="0"/>
        <w:spacing w:line="480" w:lineRule="auto"/>
        <w:jc w:val="both"/>
        <w:rPr>
          <w:color w:val="000000"/>
          <w:lang w:val="fr-FR"/>
        </w:rPr>
      </w:pPr>
      <w:r>
        <w:rPr>
          <w:color w:val="000000"/>
        </w:rPr>
        <w:t xml:space="preserve">2. </w:t>
      </w:r>
      <w:proofErr w:type="spellStart"/>
      <w:r w:rsidRPr="00193DD8">
        <w:rPr>
          <w:b/>
          <w:bCs/>
          <w:color w:val="000000"/>
        </w:rPr>
        <w:t>Lindenholz</w:t>
      </w:r>
      <w:proofErr w:type="spellEnd"/>
      <w:r w:rsidRPr="00193DD8">
        <w:rPr>
          <w:b/>
          <w:bCs/>
          <w:color w:val="000000"/>
        </w:rPr>
        <w:t xml:space="preserve"> A, van der Kolk AG, </w:t>
      </w:r>
      <w:proofErr w:type="spellStart"/>
      <w:r w:rsidRPr="00193DD8">
        <w:rPr>
          <w:b/>
          <w:bCs/>
          <w:color w:val="000000"/>
        </w:rPr>
        <w:t>Zwanenburg</w:t>
      </w:r>
      <w:proofErr w:type="spellEnd"/>
      <w:r w:rsidRPr="00193DD8">
        <w:rPr>
          <w:b/>
          <w:bCs/>
          <w:color w:val="000000"/>
        </w:rPr>
        <w:t xml:space="preserve"> JJM, Hendrikse J. </w:t>
      </w:r>
      <w:r>
        <w:rPr>
          <w:color w:val="000000"/>
        </w:rPr>
        <w:t xml:space="preserve">The Use and Pitfalls of Intracranial Vessel Wall Imaging: How We Do It. Radiology. </w:t>
      </w:r>
      <w:proofErr w:type="gramStart"/>
      <w:r w:rsidRPr="00820AB6">
        <w:rPr>
          <w:color w:val="000000"/>
          <w:lang w:val="fr-FR"/>
        </w:rPr>
        <w:t>2018;286:</w:t>
      </w:r>
      <w:proofErr w:type="gramEnd"/>
      <w:r w:rsidRPr="00820AB6">
        <w:rPr>
          <w:color w:val="000000"/>
          <w:lang w:val="fr-FR"/>
        </w:rPr>
        <w:t>12-28.</w:t>
      </w:r>
    </w:p>
    <w:p w14:paraId="4C067967" w14:textId="176375D8" w:rsidR="00CD1CEC" w:rsidRDefault="00386CF6" w:rsidP="00A85A22">
      <w:pPr>
        <w:pBdr>
          <w:top w:val="nil"/>
          <w:left w:val="nil"/>
          <w:bottom w:val="nil"/>
          <w:right w:val="nil"/>
          <w:between w:val="nil"/>
        </w:pBdr>
        <w:bidi w:val="0"/>
        <w:spacing w:line="480" w:lineRule="auto"/>
        <w:jc w:val="both"/>
        <w:rPr>
          <w:color w:val="000000"/>
        </w:rPr>
      </w:pPr>
      <w:r w:rsidRPr="00820AB6">
        <w:rPr>
          <w:color w:val="000000"/>
          <w:lang w:val="fr-FR"/>
        </w:rPr>
        <w:t xml:space="preserve">3. </w:t>
      </w:r>
      <w:r w:rsidRPr="00820AB6">
        <w:rPr>
          <w:b/>
          <w:bCs/>
          <w:color w:val="000000"/>
          <w:lang w:val="fr-FR"/>
        </w:rPr>
        <w:t>Jennette JC, Falk RJ, Bacon PA, Basu N, Cid MC, Ferrario F, et al</w:t>
      </w:r>
      <w:r w:rsidRPr="00820AB6">
        <w:rPr>
          <w:color w:val="000000"/>
          <w:lang w:val="fr-FR"/>
        </w:rPr>
        <w:t xml:space="preserve">. </w:t>
      </w:r>
      <w:r>
        <w:rPr>
          <w:color w:val="000000"/>
        </w:rPr>
        <w:t xml:space="preserve">Revised International Chapel Hill Consensus Conference Nomenclature of </w:t>
      </w:r>
      <w:proofErr w:type="spellStart"/>
      <w:r>
        <w:rPr>
          <w:color w:val="000000"/>
        </w:rPr>
        <w:t>Vasculitides</w:t>
      </w:r>
      <w:proofErr w:type="spellEnd"/>
      <w:r>
        <w:rPr>
          <w:color w:val="000000"/>
        </w:rPr>
        <w:t xml:space="preserve">. Arthritis Rheum. </w:t>
      </w:r>
      <w:proofErr w:type="gramStart"/>
      <w:r>
        <w:rPr>
          <w:color w:val="000000"/>
        </w:rPr>
        <w:t>2013;65:1</w:t>
      </w:r>
      <w:proofErr w:type="gramEnd"/>
      <w:r>
        <w:rPr>
          <w:color w:val="000000"/>
        </w:rPr>
        <w:t>-11.</w:t>
      </w:r>
    </w:p>
    <w:p w14:paraId="2F6C362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4. </w:t>
      </w:r>
      <w:proofErr w:type="spellStart"/>
      <w:r w:rsidRPr="00193DD8">
        <w:rPr>
          <w:b/>
          <w:bCs/>
          <w:color w:val="000000"/>
        </w:rPr>
        <w:t>Berlit</w:t>
      </w:r>
      <w:proofErr w:type="spellEnd"/>
      <w:r w:rsidRPr="00193DD8">
        <w:rPr>
          <w:b/>
          <w:bCs/>
          <w:color w:val="000000"/>
        </w:rPr>
        <w:t xml:space="preserve"> P.</w:t>
      </w:r>
      <w:r>
        <w:rPr>
          <w:color w:val="000000"/>
        </w:rPr>
        <w:t xml:space="preserve"> Diagnosis and treatment of cerebral vasculitis. Ther Adv </w:t>
      </w:r>
      <w:proofErr w:type="spellStart"/>
      <w:r>
        <w:rPr>
          <w:color w:val="000000"/>
        </w:rPr>
        <w:t>Neurol</w:t>
      </w:r>
      <w:proofErr w:type="spellEnd"/>
      <w:r>
        <w:rPr>
          <w:color w:val="000000"/>
        </w:rPr>
        <w:t xml:space="preserve"> </w:t>
      </w:r>
      <w:proofErr w:type="spellStart"/>
      <w:r>
        <w:rPr>
          <w:color w:val="000000"/>
        </w:rPr>
        <w:t>Disord</w:t>
      </w:r>
      <w:proofErr w:type="spellEnd"/>
      <w:r>
        <w:rPr>
          <w:color w:val="000000"/>
        </w:rPr>
        <w:t xml:space="preserve">. </w:t>
      </w:r>
      <w:proofErr w:type="gramStart"/>
      <w:r>
        <w:rPr>
          <w:color w:val="000000"/>
        </w:rPr>
        <w:t>2010;3:29</w:t>
      </w:r>
      <w:proofErr w:type="gramEnd"/>
      <w:r>
        <w:rPr>
          <w:color w:val="000000"/>
        </w:rPr>
        <w:t>-42.</w:t>
      </w:r>
    </w:p>
    <w:p w14:paraId="6566C99D"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5. </w:t>
      </w:r>
      <w:r w:rsidRPr="00193DD8">
        <w:rPr>
          <w:b/>
          <w:bCs/>
          <w:color w:val="000000"/>
        </w:rPr>
        <w:t xml:space="preserve">Mossa-Basha M, Shibata DK, Hallam DK, de </w:t>
      </w:r>
      <w:proofErr w:type="spellStart"/>
      <w:r w:rsidRPr="00193DD8">
        <w:rPr>
          <w:b/>
          <w:bCs/>
          <w:color w:val="000000"/>
        </w:rPr>
        <w:t>Havenon</w:t>
      </w:r>
      <w:proofErr w:type="spellEnd"/>
      <w:r w:rsidRPr="00193DD8">
        <w:rPr>
          <w:b/>
          <w:bCs/>
          <w:color w:val="000000"/>
        </w:rPr>
        <w:t xml:space="preserve"> A, Hippe DS, Becker KJ, et al.</w:t>
      </w:r>
      <w:r>
        <w:rPr>
          <w:color w:val="000000"/>
        </w:rPr>
        <w:t xml:space="preserve"> Added Value of Vessel Wall Magnetic Resonance Imaging for Differentiation of Nonocclusive Intracranial Vasculopathies. Stroke. </w:t>
      </w:r>
      <w:proofErr w:type="gramStart"/>
      <w:r>
        <w:rPr>
          <w:color w:val="000000"/>
        </w:rPr>
        <w:t>2017;48:3026</w:t>
      </w:r>
      <w:proofErr w:type="gramEnd"/>
      <w:r>
        <w:rPr>
          <w:color w:val="000000"/>
        </w:rPr>
        <w:t>-33.</w:t>
      </w:r>
    </w:p>
    <w:p w14:paraId="33517C81"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6. </w:t>
      </w:r>
      <w:r w:rsidRPr="00193DD8">
        <w:rPr>
          <w:b/>
          <w:bCs/>
          <w:color w:val="000000"/>
        </w:rPr>
        <w:t>Abdel Razek AA, Alvarez H, Bagg S, Refaat S, Castillo M.</w:t>
      </w:r>
      <w:r>
        <w:rPr>
          <w:color w:val="000000"/>
        </w:rPr>
        <w:t xml:space="preserve"> Imaging spectrum of CNS vasculitis. </w:t>
      </w:r>
      <w:proofErr w:type="spellStart"/>
      <w:r>
        <w:rPr>
          <w:color w:val="000000"/>
        </w:rPr>
        <w:t>Radiographics</w:t>
      </w:r>
      <w:proofErr w:type="spellEnd"/>
      <w:r>
        <w:rPr>
          <w:color w:val="000000"/>
        </w:rPr>
        <w:t xml:space="preserve">. </w:t>
      </w:r>
      <w:proofErr w:type="gramStart"/>
      <w:r>
        <w:rPr>
          <w:color w:val="000000"/>
        </w:rPr>
        <w:t>2014;34:873</w:t>
      </w:r>
      <w:proofErr w:type="gramEnd"/>
      <w:r>
        <w:rPr>
          <w:color w:val="000000"/>
        </w:rPr>
        <w:t>-94.</w:t>
      </w:r>
    </w:p>
    <w:p w14:paraId="58222CFD"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7. </w:t>
      </w:r>
      <w:r w:rsidRPr="00193DD8">
        <w:rPr>
          <w:b/>
          <w:bCs/>
          <w:color w:val="000000"/>
        </w:rPr>
        <w:t xml:space="preserve">McInnes IB, </w:t>
      </w:r>
      <w:proofErr w:type="spellStart"/>
      <w:r w:rsidRPr="00193DD8">
        <w:rPr>
          <w:b/>
          <w:bCs/>
          <w:color w:val="000000"/>
        </w:rPr>
        <w:t>Schett</w:t>
      </w:r>
      <w:proofErr w:type="spellEnd"/>
      <w:r w:rsidRPr="00193DD8">
        <w:rPr>
          <w:b/>
          <w:bCs/>
          <w:color w:val="000000"/>
        </w:rPr>
        <w:t xml:space="preserve"> G.</w:t>
      </w:r>
      <w:r>
        <w:rPr>
          <w:color w:val="000000"/>
        </w:rPr>
        <w:t xml:space="preserve"> The pathogenesis of rheumatoid arthritis. N Engl J Med. </w:t>
      </w:r>
      <w:proofErr w:type="gramStart"/>
      <w:r>
        <w:rPr>
          <w:color w:val="000000"/>
        </w:rPr>
        <w:t>2011;365:05</w:t>
      </w:r>
      <w:proofErr w:type="gramEnd"/>
      <w:r>
        <w:rPr>
          <w:color w:val="000000"/>
        </w:rPr>
        <w:t>-19.</w:t>
      </w:r>
    </w:p>
    <w:p w14:paraId="3224D4B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8. </w:t>
      </w:r>
      <w:proofErr w:type="spellStart"/>
      <w:r w:rsidRPr="00193DD8">
        <w:rPr>
          <w:b/>
          <w:bCs/>
          <w:color w:val="000000"/>
        </w:rPr>
        <w:t>Akrout</w:t>
      </w:r>
      <w:proofErr w:type="spellEnd"/>
      <w:r w:rsidRPr="00193DD8">
        <w:rPr>
          <w:b/>
          <w:bCs/>
          <w:color w:val="000000"/>
        </w:rPr>
        <w:t xml:space="preserve"> R, </w:t>
      </w:r>
      <w:proofErr w:type="spellStart"/>
      <w:r w:rsidRPr="00193DD8">
        <w:rPr>
          <w:b/>
          <w:bCs/>
          <w:color w:val="000000"/>
        </w:rPr>
        <w:t>Bendjemaa</w:t>
      </w:r>
      <w:proofErr w:type="spellEnd"/>
      <w:r w:rsidRPr="00193DD8">
        <w:rPr>
          <w:b/>
          <w:bCs/>
          <w:color w:val="000000"/>
        </w:rPr>
        <w:t xml:space="preserve"> S, Fourati H, Ezzeddine M, </w:t>
      </w:r>
      <w:proofErr w:type="spellStart"/>
      <w:r w:rsidRPr="00193DD8">
        <w:rPr>
          <w:b/>
          <w:bCs/>
          <w:color w:val="000000"/>
        </w:rPr>
        <w:t>Hachicha</w:t>
      </w:r>
      <w:proofErr w:type="spellEnd"/>
      <w:r w:rsidRPr="00193DD8">
        <w:rPr>
          <w:b/>
          <w:bCs/>
          <w:color w:val="000000"/>
        </w:rPr>
        <w:t xml:space="preserve"> I, </w:t>
      </w:r>
      <w:proofErr w:type="spellStart"/>
      <w:r w:rsidRPr="00193DD8">
        <w:rPr>
          <w:b/>
          <w:bCs/>
          <w:color w:val="000000"/>
        </w:rPr>
        <w:t>Mhiri</w:t>
      </w:r>
      <w:proofErr w:type="spellEnd"/>
      <w:r w:rsidRPr="00193DD8">
        <w:rPr>
          <w:b/>
          <w:bCs/>
          <w:color w:val="000000"/>
        </w:rPr>
        <w:t xml:space="preserve"> C, et al.</w:t>
      </w:r>
      <w:r>
        <w:rPr>
          <w:color w:val="000000"/>
        </w:rPr>
        <w:t xml:space="preserve"> Cerebral rheumatoid vasculitis: a case report. J Med Case Rep. </w:t>
      </w:r>
      <w:proofErr w:type="gramStart"/>
      <w:r>
        <w:rPr>
          <w:color w:val="000000"/>
        </w:rPr>
        <w:t>2012;6:302</w:t>
      </w:r>
      <w:proofErr w:type="gramEnd"/>
      <w:r>
        <w:rPr>
          <w:color w:val="000000"/>
        </w:rPr>
        <w:t>-54.</w:t>
      </w:r>
    </w:p>
    <w:p w14:paraId="4A01D636" w14:textId="77777777" w:rsidR="00CD1CEC" w:rsidRPr="00820AB6" w:rsidRDefault="00386CF6" w:rsidP="00A85A22">
      <w:pPr>
        <w:pBdr>
          <w:top w:val="nil"/>
          <w:left w:val="nil"/>
          <w:bottom w:val="nil"/>
          <w:right w:val="nil"/>
          <w:between w:val="nil"/>
        </w:pBdr>
        <w:bidi w:val="0"/>
        <w:spacing w:line="480" w:lineRule="auto"/>
        <w:jc w:val="both"/>
        <w:rPr>
          <w:color w:val="000000"/>
          <w:lang w:val="fr-FR"/>
        </w:rPr>
      </w:pPr>
      <w:r>
        <w:rPr>
          <w:color w:val="000000"/>
        </w:rPr>
        <w:t xml:space="preserve">9. </w:t>
      </w:r>
      <w:r w:rsidRPr="00193DD8">
        <w:rPr>
          <w:b/>
          <w:bCs/>
          <w:color w:val="000000"/>
        </w:rPr>
        <w:t xml:space="preserve">Haghighi AB, </w:t>
      </w:r>
      <w:proofErr w:type="spellStart"/>
      <w:r w:rsidRPr="00193DD8">
        <w:rPr>
          <w:b/>
          <w:bCs/>
          <w:color w:val="000000"/>
        </w:rPr>
        <w:t>Samangooei</w:t>
      </w:r>
      <w:proofErr w:type="spellEnd"/>
      <w:r w:rsidRPr="00193DD8">
        <w:rPr>
          <w:b/>
          <w:bCs/>
          <w:color w:val="000000"/>
        </w:rPr>
        <w:t xml:space="preserve"> S, </w:t>
      </w:r>
      <w:proofErr w:type="spellStart"/>
      <w:r w:rsidRPr="00193DD8">
        <w:rPr>
          <w:b/>
          <w:bCs/>
          <w:color w:val="000000"/>
        </w:rPr>
        <w:t>Ashjazadeh</w:t>
      </w:r>
      <w:proofErr w:type="spellEnd"/>
      <w:r w:rsidRPr="00193DD8">
        <w:rPr>
          <w:b/>
          <w:bCs/>
          <w:color w:val="000000"/>
        </w:rPr>
        <w:t xml:space="preserve"> N.</w:t>
      </w:r>
      <w:r>
        <w:rPr>
          <w:color w:val="000000"/>
        </w:rPr>
        <w:t xml:space="preserve"> Neurological manifestation of Behçet’s disease. </w:t>
      </w:r>
      <w:r w:rsidRPr="00820AB6">
        <w:rPr>
          <w:color w:val="000000"/>
          <w:lang w:val="fr-FR"/>
        </w:rPr>
        <w:t xml:space="preserve">Neurosciences (Riyadh). </w:t>
      </w:r>
      <w:proofErr w:type="gramStart"/>
      <w:r w:rsidRPr="00820AB6">
        <w:rPr>
          <w:color w:val="000000"/>
          <w:lang w:val="fr-FR"/>
        </w:rPr>
        <w:t>2006;11:</w:t>
      </w:r>
      <w:proofErr w:type="gramEnd"/>
      <w:r w:rsidRPr="00820AB6">
        <w:rPr>
          <w:color w:val="000000"/>
          <w:lang w:val="fr-FR"/>
        </w:rPr>
        <w:t>260-4.</w:t>
      </w:r>
    </w:p>
    <w:p w14:paraId="4383AC02" w14:textId="77777777" w:rsidR="00CD1CEC" w:rsidRDefault="00386CF6" w:rsidP="00A85A22">
      <w:pPr>
        <w:pBdr>
          <w:top w:val="nil"/>
          <w:left w:val="nil"/>
          <w:bottom w:val="nil"/>
          <w:right w:val="nil"/>
          <w:between w:val="nil"/>
        </w:pBdr>
        <w:bidi w:val="0"/>
        <w:spacing w:line="480" w:lineRule="auto"/>
        <w:jc w:val="both"/>
        <w:rPr>
          <w:color w:val="000000"/>
        </w:rPr>
      </w:pPr>
      <w:r w:rsidRPr="00820AB6">
        <w:rPr>
          <w:color w:val="000000"/>
          <w:lang w:val="fr-FR"/>
        </w:rPr>
        <w:t xml:space="preserve">10. </w:t>
      </w:r>
      <w:r w:rsidRPr="00820AB6">
        <w:rPr>
          <w:b/>
          <w:bCs/>
          <w:color w:val="000000"/>
          <w:lang w:val="fr-FR"/>
        </w:rPr>
        <w:t>Rodrigues M, Galego O, Costa C, Jesus D, Carvalho P, Santiago M, et al.</w:t>
      </w:r>
      <w:r w:rsidRPr="00820AB6">
        <w:rPr>
          <w:color w:val="000000"/>
          <w:lang w:val="fr-FR"/>
        </w:rPr>
        <w:t xml:space="preserve"> </w:t>
      </w:r>
      <w:r>
        <w:rPr>
          <w:color w:val="000000"/>
        </w:rPr>
        <w:t xml:space="preserve">Central nervous system vasculitis in systemic lupus erythematosus: a case series report in a tertiary referral centre. Lupus. </w:t>
      </w:r>
      <w:proofErr w:type="gramStart"/>
      <w:r>
        <w:rPr>
          <w:color w:val="000000"/>
        </w:rPr>
        <w:t>2017;26:1440</w:t>
      </w:r>
      <w:proofErr w:type="gramEnd"/>
      <w:r>
        <w:rPr>
          <w:color w:val="000000"/>
        </w:rPr>
        <w:t>-7.</w:t>
      </w:r>
    </w:p>
    <w:p w14:paraId="2D6AB32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11. </w:t>
      </w:r>
      <w:r w:rsidRPr="00193DD8">
        <w:rPr>
          <w:b/>
          <w:bCs/>
          <w:color w:val="000000"/>
        </w:rPr>
        <w:t>Li Z, Koban KC, Schenck TL, Giunta RE, Li Q, Sun Y.</w:t>
      </w:r>
      <w:r>
        <w:rPr>
          <w:color w:val="000000"/>
        </w:rPr>
        <w:t xml:space="preserve"> Artificial Intelligence in Dermatology Image Analysis: Current Developments and Future Trends. J Clin Med. </w:t>
      </w:r>
      <w:proofErr w:type="gramStart"/>
      <w:r>
        <w:rPr>
          <w:color w:val="000000"/>
        </w:rPr>
        <w:t>2022;11:34</w:t>
      </w:r>
      <w:proofErr w:type="gramEnd"/>
      <w:r>
        <w:rPr>
          <w:color w:val="000000"/>
        </w:rPr>
        <w:t>-76.</w:t>
      </w:r>
    </w:p>
    <w:p w14:paraId="7166A9C4"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12. </w:t>
      </w:r>
      <w:proofErr w:type="spellStart"/>
      <w:r w:rsidRPr="00193DD8">
        <w:rPr>
          <w:b/>
          <w:bCs/>
          <w:color w:val="000000"/>
        </w:rPr>
        <w:t>Zwartbol</w:t>
      </w:r>
      <w:proofErr w:type="spellEnd"/>
      <w:r w:rsidRPr="00193DD8">
        <w:rPr>
          <w:b/>
          <w:bCs/>
          <w:color w:val="000000"/>
        </w:rPr>
        <w:t xml:space="preserve"> MH, </w:t>
      </w:r>
      <w:proofErr w:type="spellStart"/>
      <w:r w:rsidRPr="00193DD8">
        <w:rPr>
          <w:b/>
          <w:bCs/>
          <w:color w:val="000000"/>
        </w:rPr>
        <w:t>Ghaznawi</w:t>
      </w:r>
      <w:proofErr w:type="spellEnd"/>
      <w:r w:rsidRPr="00193DD8">
        <w:rPr>
          <w:b/>
          <w:bCs/>
          <w:color w:val="000000"/>
        </w:rPr>
        <w:t xml:space="preserve"> R, Jaarsma-Coes M, </w:t>
      </w:r>
      <w:proofErr w:type="spellStart"/>
      <w:r w:rsidRPr="00193DD8">
        <w:rPr>
          <w:b/>
          <w:bCs/>
          <w:color w:val="000000"/>
        </w:rPr>
        <w:t>Kuijf</w:t>
      </w:r>
      <w:proofErr w:type="spellEnd"/>
      <w:r w:rsidRPr="00193DD8">
        <w:rPr>
          <w:b/>
          <w:bCs/>
          <w:color w:val="000000"/>
        </w:rPr>
        <w:t xml:space="preserve"> H, Hendrikse J, de Bresser J, et al.</w:t>
      </w:r>
      <w:r>
        <w:rPr>
          <w:color w:val="000000"/>
        </w:rPr>
        <w:t xml:space="preserve"> White matter hyperintensity shape is associated with cognitive functioning–the SMART-MR study. </w:t>
      </w:r>
      <w:proofErr w:type="spellStart"/>
      <w:r>
        <w:rPr>
          <w:color w:val="000000"/>
        </w:rPr>
        <w:t>Neurobiol</w:t>
      </w:r>
      <w:proofErr w:type="spellEnd"/>
      <w:r>
        <w:rPr>
          <w:color w:val="000000"/>
        </w:rPr>
        <w:t xml:space="preserve"> Aging. </w:t>
      </w:r>
      <w:proofErr w:type="gramStart"/>
      <w:r>
        <w:rPr>
          <w:color w:val="000000"/>
        </w:rPr>
        <w:t>2022;120:81</w:t>
      </w:r>
      <w:proofErr w:type="gramEnd"/>
      <w:r>
        <w:rPr>
          <w:color w:val="000000"/>
        </w:rPr>
        <w:t>-7.</w:t>
      </w:r>
    </w:p>
    <w:p w14:paraId="0A8BA79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13. </w:t>
      </w:r>
      <w:r w:rsidRPr="00193DD8">
        <w:rPr>
          <w:b/>
          <w:bCs/>
          <w:color w:val="000000"/>
        </w:rPr>
        <w:t>Zoppo C, Kolstad J, Johnston J, D'Souza P, Kühn AL, Vardar Z, et al.</w:t>
      </w:r>
      <w:r>
        <w:rPr>
          <w:color w:val="000000"/>
        </w:rPr>
        <w:t xml:space="preserve"> Quantitative reliability assessment of brain MRI volumetric measurements in type II GM1 gangliosidosis patients. Front Neuroimaging. </w:t>
      </w:r>
      <w:proofErr w:type="gramStart"/>
      <w:r>
        <w:rPr>
          <w:color w:val="000000"/>
        </w:rPr>
        <w:t>2024;3:14</w:t>
      </w:r>
      <w:proofErr w:type="gramEnd"/>
      <w:r>
        <w:rPr>
          <w:color w:val="000000"/>
        </w:rPr>
        <w:t>-84.</w:t>
      </w:r>
    </w:p>
    <w:p w14:paraId="2AA7ED65" w14:textId="77777777" w:rsidR="00CD1CEC" w:rsidRPr="00820AB6" w:rsidRDefault="00386CF6" w:rsidP="00A85A22">
      <w:pPr>
        <w:pBdr>
          <w:top w:val="nil"/>
          <w:left w:val="nil"/>
          <w:bottom w:val="nil"/>
          <w:right w:val="nil"/>
          <w:between w:val="nil"/>
        </w:pBdr>
        <w:bidi w:val="0"/>
        <w:spacing w:line="480" w:lineRule="auto"/>
        <w:jc w:val="both"/>
        <w:rPr>
          <w:color w:val="000000"/>
          <w:lang w:val="fr-FR"/>
        </w:rPr>
      </w:pPr>
      <w:r>
        <w:rPr>
          <w:color w:val="000000"/>
        </w:rPr>
        <w:t xml:space="preserve">14. </w:t>
      </w:r>
      <w:r w:rsidRPr="00193DD8">
        <w:rPr>
          <w:b/>
          <w:bCs/>
          <w:color w:val="000000"/>
        </w:rPr>
        <w:t>Sampaio-Baptista C, Johansen-Berg H.</w:t>
      </w:r>
      <w:r>
        <w:rPr>
          <w:color w:val="000000"/>
        </w:rPr>
        <w:t xml:space="preserve"> White Matter Plasticity in the Adult Brain. </w:t>
      </w:r>
      <w:proofErr w:type="spellStart"/>
      <w:r w:rsidRPr="00820AB6">
        <w:rPr>
          <w:color w:val="000000"/>
          <w:lang w:val="fr-FR"/>
        </w:rPr>
        <w:t>Neuron</w:t>
      </w:r>
      <w:proofErr w:type="spellEnd"/>
      <w:r w:rsidRPr="00820AB6">
        <w:rPr>
          <w:color w:val="000000"/>
          <w:lang w:val="fr-FR"/>
        </w:rPr>
        <w:t xml:space="preserve">. </w:t>
      </w:r>
      <w:proofErr w:type="gramStart"/>
      <w:r w:rsidRPr="00820AB6">
        <w:rPr>
          <w:color w:val="000000"/>
          <w:lang w:val="fr-FR"/>
        </w:rPr>
        <w:t>2017;96:</w:t>
      </w:r>
      <w:proofErr w:type="gramEnd"/>
      <w:r w:rsidRPr="00820AB6">
        <w:rPr>
          <w:color w:val="000000"/>
          <w:lang w:val="fr-FR"/>
        </w:rPr>
        <w:t>1239-51.</w:t>
      </w:r>
    </w:p>
    <w:p w14:paraId="074B0A5F" w14:textId="77777777" w:rsidR="00CD1CEC" w:rsidRDefault="00386CF6" w:rsidP="00A85A22">
      <w:pPr>
        <w:pBdr>
          <w:top w:val="nil"/>
          <w:left w:val="nil"/>
          <w:bottom w:val="nil"/>
          <w:right w:val="nil"/>
          <w:between w:val="nil"/>
        </w:pBdr>
        <w:bidi w:val="0"/>
        <w:spacing w:line="480" w:lineRule="auto"/>
        <w:jc w:val="both"/>
        <w:rPr>
          <w:color w:val="000000"/>
        </w:rPr>
      </w:pPr>
      <w:r w:rsidRPr="00820AB6">
        <w:rPr>
          <w:color w:val="000000"/>
          <w:lang w:val="fr-FR"/>
        </w:rPr>
        <w:t xml:space="preserve">15. </w:t>
      </w:r>
      <w:r w:rsidRPr="00820AB6">
        <w:rPr>
          <w:b/>
          <w:bCs/>
          <w:color w:val="000000"/>
          <w:lang w:val="fr-FR"/>
        </w:rPr>
        <w:t xml:space="preserve">Zhang LJ, Tian DC, Yang L, Shi K, Liu Y, Wang </w:t>
      </w:r>
      <w:proofErr w:type="spellStart"/>
      <w:r w:rsidRPr="00820AB6">
        <w:rPr>
          <w:b/>
          <w:bCs/>
          <w:color w:val="000000"/>
          <w:lang w:val="fr-FR"/>
        </w:rPr>
        <w:t>Y</w:t>
      </w:r>
      <w:proofErr w:type="spellEnd"/>
      <w:r w:rsidRPr="00820AB6">
        <w:rPr>
          <w:b/>
          <w:bCs/>
          <w:color w:val="000000"/>
          <w:lang w:val="fr-FR"/>
        </w:rPr>
        <w:t>, et al</w:t>
      </w:r>
      <w:r w:rsidRPr="00820AB6">
        <w:rPr>
          <w:color w:val="000000"/>
          <w:lang w:val="fr-FR"/>
        </w:rPr>
        <w:t xml:space="preserve">. </w:t>
      </w:r>
      <w:r>
        <w:rPr>
          <w:color w:val="000000"/>
        </w:rPr>
        <w:t xml:space="preserve">White matter disease derived from vascular and demyelinating origins. Stroke </w:t>
      </w:r>
      <w:proofErr w:type="spellStart"/>
      <w:r>
        <w:rPr>
          <w:color w:val="000000"/>
        </w:rPr>
        <w:t>Vasc</w:t>
      </w:r>
      <w:proofErr w:type="spellEnd"/>
      <w:r>
        <w:rPr>
          <w:color w:val="000000"/>
        </w:rPr>
        <w:t xml:space="preserve"> Neurol. </w:t>
      </w:r>
      <w:proofErr w:type="gramStart"/>
      <w:r>
        <w:rPr>
          <w:color w:val="000000"/>
        </w:rPr>
        <w:t>2024;9:344</w:t>
      </w:r>
      <w:proofErr w:type="gramEnd"/>
      <w:r>
        <w:rPr>
          <w:color w:val="000000"/>
        </w:rPr>
        <w:t>-50.</w:t>
      </w:r>
    </w:p>
    <w:p w14:paraId="64D98759"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16. </w:t>
      </w:r>
      <w:r w:rsidRPr="00193DD8">
        <w:rPr>
          <w:b/>
          <w:bCs/>
          <w:color w:val="000000"/>
        </w:rPr>
        <w:t xml:space="preserve">Chrabaszcz M, </w:t>
      </w:r>
      <w:proofErr w:type="spellStart"/>
      <w:r w:rsidRPr="00193DD8">
        <w:rPr>
          <w:b/>
          <w:bCs/>
          <w:color w:val="000000"/>
        </w:rPr>
        <w:t>Małyszko</w:t>
      </w:r>
      <w:proofErr w:type="spellEnd"/>
      <w:r w:rsidRPr="00193DD8">
        <w:rPr>
          <w:b/>
          <w:bCs/>
          <w:color w:val="000000"/>
        </w:rPr>
        <w:t xml:space="preserve"> J, Sikora M, Alda-Malicka R, </w:t>
      </w:r>
      <w:proofErr w:type="spellStart"/>
      <w:r w:rsidRPr="00193DD8">
        <w:rPr>
          <w:b/>
          <w:bCs/>
          <w:color w:val="000000"/>
        </w:rPr>
        <w:t>Stochmal</w:t>
      </w:r>
      <w:proofErr w:type="spellEnd"/>
      <w:r w:rsidRPr="00193DD8">
        <w:rPr>
          <w:b/>
          <w:bCs/>
          <w:color w:val="000000"/>
        </w:rPr>
        <w:t xml:space="preserve"> A, </w:t>
      </w:r>
      <w:proofErr w:type="spellStart"/>
      <w:r w:rsidRPr="00193DD8">
        <w:rPr>
          <w:b/>
          <w:bCs/>
          <w:color w:val="000000"/>
        </w:rPr>
        <w:t>Matuszkiewicz-Rowinska</w:t>
      </w:r>
      <w:proofErr w:type="spellEnd"/>
      <w:r w:rsidRPr="00193DD8">
        <w:rPr>
          <w:b/>
          <w:bCs/>
          <w:color w:val="000000"/>
        </w:rPr>
        <w:t xml:space="preserve"> J, et al.</w:t>
      </w:r>
      <w:r>
        <w:rPr>
          <w:color w:val="000000"/>
        </w:rPr>
        <w:t xml:space="preserve"> Renal involvement in systemic sclerosis: an update. Kidney Blood Press Res. </w:t>
      </w:r>
      <w:proofErr w:type="gramStart"/>
      <w:r>
        <w:rPr>
          <w:color w:val="000000"/>
        </w:rPr>
        <w:t>2020;45:532</w:t>
      </w:r>
      <w:proofErr w:type="gramEnd"/>
      <w:r>
        <w:rPr>
          <w:color w:val="000000"/>
        </w:rPr>
        <w:t>-48.</w:t>
      </w:r>
    </w:p>
    <w:p w14:paraId="082A3AF3"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17. </w:t>
      </w:r>
      <w:r w:rsidRPr="00193DD8">
        <w:rPr>
          <w:b/>
          <w:bCs/>
          <w:color w:val="000000"/>
        </w:rPr>
        <w:t>Guo Q, He Y, Liu X, Gao X, Xu J, Li X, et al.</w:t>
      </w:r>
      <w:r>
        <w:rPr>
          <w:color w:val="000000"/>
        </w:rPr>
        <w:t xml:space="preserve"> Features of hyperintense white matter lesions and clinical relevance in systemic lupus erythematosus. Chin Med J (Engl). </w:t>
      </w:r>
      <w:proofErr w:type="gramStart"/>
      <w:r>
        <w:rPr>
          <w:color w:val="000000"/>
        </w:rPr>
        <w:t>2022;135:962</w:t>
      </w:r>
      <w:proofErr w:type="gramEnd"/>
      <w:r>
        <w:rPr>
          <w:color w:val="000000"/>
        </w:rPr>
        <w:t>-70.</w:t>
      </w:r>
    </w:p>
    <w:p w14:paraId="5724390B"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18. </w:t>
      </w:r>
      <w:r w:rsidRPr="00193DD8">
        <w:rPr>
          <w:b/>
          <w:bCs/>
          <w:color w:val="000000"/>
        </w:rPr>
        <w:t>Cox JG, Cole JH, Kempton MJ, Williams SC, de Groot M.</w:t>
      </w:r>
      <w:r>
        <w:rPr>
          <w:color w:val="000000"/>
        </w:rPr>
        <w:t xml:space="preserve"> Volume and distribution of white matter hyperintensities in rheumatoid arthritis and ulcerative colitis patients. Sci Rep. </w:t>
      </w:r>
      <w:proofErr w:type="gramStart"/>
      <w:r>
        <w:rPr>
          <w:color w:val="000000"/>
        </w:rPr>
        <w:t>2024;14:32</w:t>
      </w:r>
      <w:proofErr w:type="gramEnd"/>
      <w:r>
        <w:rPr>
          <w:color w:val="000000"/>
        </w:rPr>
        <w:t>-60.</w:t>
      </w:r>
    </w:p>
    <w:p w14:paraId="23AD40C0"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19. </w:t>
      </w:r>
      <w:proofErr w:type="spellStart"/>
      <w:r w:rsidRPr="00193DD8">
        <w:rPr>
          <w:b/>
          <w:bCs/>
          <w:color w:val="000000"/>
        </w:rPr>
        <w:t>Uygunoglu</w:t>
      </w:r>
      <w:proofErr w:type="spellEnd"/>
      <w:r w:rsidRPr="00193DD8">
        <w:rPr>
          <w:b/>
          <w:bCs/>
          <w:color w:val="000000"/>
        </w:rPr>
        <w:t xml:space="preserve"> U, </w:t>
      </w:r>
      <w:proofErr w:type="spellStart"/>
      <w:r w:rsidRPr="00193DD8">
        <w:rPr>
          <w:b/>
          <w:bCs/>
          <w:color w:val="000000"/>
        </w:rPr>
        <w:t>Erener</w:t>
      </w:r>
      <w:proofErr w:type="spellEnd"/>
      <w:r w:rsidRPr="00193DD8">
        <w:rPr>
          <w:b/>
          <w:bCs/>
          <w:color w:val="000000"/>
        </w:rPr>
        <w:t xml:space="preserve"> N, Kargin A, Arslan S, </w:t>
      </w:r>
      <w:proofErr w:type="spellStart"/>
      <w:r w:rsidRPr="00193DD8">
        <w:rPr>
          <w:b/>
          <w:bCs/>
          <w:color w:val="000000"/>
        </w:rPr>
        <w:t>Korkmazer</w:t>
      </w:r>
      <w:proofErr w:type="spellEnd"/>
      <w:r w:rsidRPr="00193DD8">
        <w:rPr>
          <w:b/>
          <w:bCs/>
          <w:color w:val="000000"/>
        </w:rPr>
        <w:t xml:space="preserve"> B, Güner S, et al., editors</w:t>
      </w:r>
      <w:r>
        <w:rPr>
          <w:color w:val="000000"/>
        </w:rPr>
        <w:t>. Brain White Matter Microstructural Alterations in Behcet’s Syndrome Correlate with Cognitive Impairment and Disease Severity: A Diffusion Tensor Imaging Study (P3-1.002). Neurology; 2025: Lippincott Williams &amp; Wilkins Hagerstown, MD.</w:t>
      </w:r>
    </w:p>
    <w:p w14:paraId="4899D2DA" w14:textId="77777777" w:rsidR="00CD1CEC" w:rsidRPr="00A85A22" w:rsidRDefault="00386CF6" w:rsidP="00A85A22">
      <w:pPr>
        <w:pBdr>
          <w:top w:val="nil"/>
          <w:left w:val="nil"/>
          <w:bottom w:val="nil"/>
          <w:right w:val="nil"/>
          <w:between w:val="nil"/>
        </w:pBdr>
        <w:bidi w:val="0"/>
        <w:spacing w:line="480" w:lineRule="auto"/>
        <w:jc w:val="both"/>
        <w:rPr>
          <w:color w:val="000000"/>
          <w:lang w:val="pt-BR"/>
        </w:rPr>
      </w:pPr>
      <w:r>
        <w:rPr>
          <w:color w:val="000000"/>
        </w:rPr>
        <w:t xml:space="preserve">20. </w:t>
      </w:r>
      <w:proofErr w:type="spellStart"/>
      <w:r w:rsidRPr="00193DD8">
        <w:rPr>
          <w:b/>
          <w:bCs/>
          <w:color w:val="000000"/>
        </w:rPr>
        <w:t>Angum</w:t>
      </w:r>
      <w:proofErr w:type="spellEnd"/>
      <w:r w:rsidRPr="00193DD8">
        <w:rPr>
          <w:b/>
          <w:bCs/>
          <w:color w:val="000000"/>
        </w:rPr>
        <w:t xml:space="preserve"> F, Khan T, Kaler J, Siddiqui L, Hussain A.</w:t>
      </w:r>
      <w:r>
        <w:rPr>
          <w:color w:val="000000"/>
        </w:rPr>
        <w:t xml:space="preserve"> The Prevalence of Autoimmune Disorders in Women: A Narrative Review. </w:t>
      </w:r>
      <w:r w:rsidRPr="00A85A22">
        <w:rPr>
          <w:color w:val="000000"/>
          <w:lang w:val="pt-BR"/>
        </w:rPr>
        <w:t>Cureus. 2020;12:80-94.</w:t>
      </w:r>
    </w:p>
    <w:p w14:paraId="503ACB83" w14:textId="77777777" w:rsidR="00CD1CEC" w:rsidRPr="00A85A22" w:rsidRDefault="00386CF6" w:rsidP="00A85A22">
      <w:pPr>
        <w:pBdr>
          <w:top w:val="nil"/>
          <w:left w:val="nil"/>
          <w:bottom w:val="nil"/>
          <w:right w:val="nil"/>
          <w:between w:val="nil"/>
        </w:pBdr>
        <w:bidi w:val="0"/>
        <w:spacing w:line="480" w:lineRule="auto"/>
        <w:jc w:val="both"/>
        <w:rPr>
          <w:color w:val="000000"/>
          <w:lang w:val="pt-BR"/>
        </w:rPr>
      </w:pPr>
      <w:r w:rsidRPr="00A85A22">
        <w:rPr>
          <w:color w:val="000000"/>
          <w:lang w:val="pt-BR"/>
        </w:rPr>
        <w:t xml:space="preserve">21. </w:t>
      </w:r>
      <w:r w:rsidRPr="00A85A22">
        <w:rPr>
          <w:b/>
          <w:bCs/>
          <w:color w:val="000000"/>
          <w:lang w:val="pt-BR"/>
        </w:rPr>
        <w:t>Mota RI, Morgan SE, Bahnson EM.</w:t>
      </w:r>
      <w:r w:rsidRPr="00A85A22">
        <w:rPr>
          <w:color w:val="000000"/>
          <w:lang w:val="pt-BR"/>
        </w:rPr>
        <w:t xml:space="preserve"> Diabetic vasculopathy: macro and microvascular injury. Curr Pathobiol Rep. 2020;8:1-14.</w:t>
      </w:r>
    </w:p>
    <w:p w14:paraId="7A9E4404" w14:textId="77777777" w:rsidR="00CD1CEC" w:rsidRDefault="00386CF6" w:rsidP="00A85A22">
      <w:pPr>
        <w:pBdr>
          <w:top w:val="nil"/>
          <w:left w:val="nil"/>
          <w:bottom w:val="nil"/>
          <w:right w:val="nil"/>
          <w:between w:val="nil"/>
        </w:pBdr>
        <w:bidi w:val="0"/>
        <w:spacing w:line="480" w:lineRule="auto"/>
        <w:jc w:val="both"/>
        <w:rPr>
          <w:color w:val="000000"/>
        </w:rPr>
      </w:pPr>
      <w:r w:rsidRPr="00A85A22">
        <w:rPr>
          <w:color w:val="000000"/>
          <w:lang w:val="pt-BR"/>
        </w:rPr>
        <w:t xml:space="preserve">22. </w:t>
      </w:r>
      <w:r w:rsidRPr="00A85A22">
        <w:rPr>
          <w:b/>
          <w:bCs/>
          <w:color w:val="000000"/>
          <w:lang w:val="pt-BR"/>
        </w:rPr>
        <w:t>Elnady B, Taha A, Desouky DE, Abd-Elmakoud SF, Rageh EM, Algethami AM, et al.</w:t>
      </w:r>
      <w:r w:rsidRPr="00A85A22">
        <w:rPr>
          <w:color w:val="000000"/>
          <w:lang w:val="pt-BR"/>
        </w:rPr>
        <w:t xml:space="preserve"> </w:t>
      </w:r>
      <w:r>
        <w:rPr>
          <w:color w:val="000000"/>
        </w:rPr>
        <w:t xml:space="preserve">Impact of sustained remission on quality of life among women with rheumatoid arthritis and systemic lupus erythematosus: a prospective observational study. Egypt </w:t>
      </w:r>
      <w:proofErr w:type="spellStart"/>
      <w:r>
        <w:rPr>
          <w:color w:val="000000"/>
        </w:rPr>
        <w:t>Rheumatol</w:t>
      </w:r>
      <w:proofErr w:type="spellEnd"/>
      <w:r>
        <w:rPr>
          <w:color w:val="000000"/>
        </w:rPr>
        <w:t xml:space="preserve"> </w:t>
      </w:r>
      <w:proofErr w:type="spellStart"/>
      <w:r>
        <w:rPr>
          <w:color w:val="000000"/>
        </w:rPr>
        <w:t>Rehabil</w:t>
      </w:r>
      <w:proofErr w:type="spellEnd"/>
      <w:r>
        <w:rPr>
          <w:color w:val="000000"/>
        </w:rPr>
        <w:t xml:space="preserve">. </w:t>
      </w:r>
      <w:proofErr w:type="gramStart"/>
      <w:r>
        <w:rPr>
          <w:color w:val="000000"/>
        </w:rPr>
        <w:t>2021;48:23</w:t>
      </w:r>
      <w:proofErr w:type="gramEnd"/>
      <w:r>
        <w:rPr>
          <w:color w:val="000000"/>
        </w:rPr>
        <w:t>.</w:t>
      </w:r>
    </w:p>
    <w:p w14:paraId="24A44F15"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23. </w:t>
      </w:r>
      <w:r w:rsidRPr="00193DD8">
        <w:rPr>
          <w:b/>
          <w:bCs/>
          <w:color w:val="000000"/>
        </w:rPr>
        <w:t xml:space="preserve">Kara T, </w:t>
      </w:r>
      <w:proofErr w:type="spellStart"/>
      <w:r w:rsidRPr="00193DD8">
        <w:rPr>
          <w:b/>
          <w:bCs/>
          <w:color w:val="000000"/>
        </w:rPr>
        <w:t>Düşmez</w:t>
      </w:r>
      <w:proofErr w:type="spellEnd"/>
      <w:r w:rsidRPr="00193DD8">
        <w:rPr>
          <w:b/>
          <w:bCs/>
          <w:color w:val="000000"/>
        </w:rPr>
        <w:t xml:space="preserve"> Apa D. </w:t>
      </w:r>
      <w:r>
        <w:rPr>
          <w:color w:val="000000"/>
        </w:rPr>
        <w:t xml:space="preserve">Pathologic Features of Behçet's Disease in the </w:t>
      </w:r>
      <w:proofErr w:type="spellStart"/>
      <w:r>
        <w:rPr>
          <w:color w:val="000000"/>
        </w:rPr>
        <w:t>Tubuler</w:t>
      </w:r>
      <w:proofErr w:type="spellEnd"/>
      <w:r>
        <w:rPr>
          <w:color w:val="000000"/>
        </w:rPr>
        <w:t xml:space="preserve"> Gut. </w:t>
      </w:r>
      <w:proofErr w:type="spellStart"/>
      <w:r>
        <w:rPr>
          <w:color w:val="000000"/>
        </w:rPr>
        <w:t>Patholog</w:t>
      </w:r>
      <w:proofErr w:type="spellEnd"/>
      <w:r>
        <w:rPr>
          <w:color w:val="000000"/>
        </w:rPr>
        <w:t xml:space="preserve"> Res Int. </w:t>
      </w:r>
      <w:proofErr w:type="gramStart"/>
      <w:r>
        <w:rPr>
          <w:color w:val="000000"/>
        </w:rPr>
        <w:t>2012;2012:21</w:t>
      </w:r>
      <w:proofErr w:type="gramEnd"/>
      <w:r>
        <w:rPr>
          <w:color w:val="000000"/>
        </w:rPr>
        <w:t>-62.</w:t>
      </w:r>
    </w:p>
    <w:p w14:paraId="4E7A9565"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24. </w:t>
      </w:r>
      <w:r w:rsidRPr="00193DD8">
        <w:rPr>
          <w:b/>
          <w:bCs/>
          <w:color w:val="000000"/>
        </w:rPr>
        <w:t xml:space="preserve">Dawa GA, </w:t>
      </w:r>
      <w:proofErr w:type="spellStart"/>
      <w:r w:rsidRPr="00193DD8">
        <w:rPr>
          <w:b/>
          <w:bCs/>
          <w:color w:val="000000"/>
        </w:rPr>
        <w:t>Toukhey</w:t>
      </w:r>
      <w:proofErr w:type="spellEnd"/>
      <w:r w:rsidRPr="00193DD8">
        <w:rPr>
          <w:b/>
          <w:bCs/>
          <w:color w:val="000000"/>
        </w:rPr>
        <w:t xml:space="preserve"> MAE, Sherby NA, Mohamed SA.</w:t>
      </w:r>
      <w:r>
        <w:rPr>
          <w:color w:val="000000"/>
        </w:rPr>
        <w:t xml:space="preserve"> Functional disability among Behçet’s disease patients: its relation to disease activity, depression, and fatigue. Egypt </w:t>
      </w:r>
      <w:proofErr w:type="spellStart"/>
      <w:r>
        <w:rPr>
          <w:color w:val="000000"/>
        </w:rPr>
        <w:t>Rheumatol</w:t>
      </w:r>
      <w:proofErr w:type="spellEnd"/>
      <w:r>
        <w:rPr>
          <w:color w:val="000000"/>
        </w:rPr>
        <w:t xml:space="preserve"> </w:t>
      </w:r>
      <w:proofErr w:type="spellStart"/>
      <w:r>
        <w:rPr>
          <w:color w:val="000000"/>
        </w:rPr>
        <w:t>Rehabil</w:t>
      </w:r>
      <w:proofErr w:type="spellEnd"/>
      <w:r>
        <w:rPr>
          <w:color w:val="000000"/>
        </w:rPr>
        <w:t xml:space="preserve">. </w:t>
      </w:r>
      <w:proofErr w:type="gramStart"/>
      <w:r>
        <w:rPr>
          <w:color w:val="000000"/>
        </w:rPr>
        <w:t>2024;51:63</w:t>
      </w:r>
      <w:proofErr w:type="gramEnd"/>
      <w:r>
        <w:rPr>
          <w:color w:val="000000"/>
        </w:rPr>
        <w:t>-8.</w:t>
      </w:r>
    </w:p>
    <w:p w14:paraId="4FC22972"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25. </w:t>
      </w:r>
      <w:r w:rsidRPr="00193DD8">
        <w:rPr>
          <w:b/>
          <w:bCs/>
          <w:color w:val="000000"/>
        </w:rPr>
        <w:t>Shehata GA, Selim ZI, Abda EAM, Esmail M, Tohamy AM, El-Baky MESA, et al.</w:t>
      </w:r>
      <w:r>
        <w:rPr>
          <w:color w:val="000000"/>
        </w:rPr>
        <w:t xml:space="preserve"> Cerebrovascular changes in neuro-Behcet's disease and neuropsychiatric lupus by transcranial Doppler ultrasonography and magnetic resonance imaging. Revista Colombiana de </w:t>
      </w:r>
      <w:proofErr w:type="spellStart"/>
      <w:r>
        <w:rPr>
          <w:color w:val="000000"/>
        </w:rPr>
        <w:t>Reumatología</w:t>
      </w:r>
      <w:proofErr w:type="spellEnd"/>
      <w:r>
        <w:rPr>
          <w:color w:val="000000"/>
        </w:rPr>
        <w:t xml:space="preserve"> (English Edition). </w:t>
      </w:r>
      <w:proofErr w:type="gramStart"/>
      <w:r>
        <w:rPr>
          <w:color w:val="000000"/>
        </w:rPr>
        <w:t>2022;29:79</w:t>
      </w:r>
      <w:proofErr w:type="gramEnd"/>
      <w:r>
        <w:rPr>
          <w:color w:val="000000"/>
        </w:rPr>
        <w:t>-84.</w:t>
      </w:r>
    </w:p>
    <w:p w14:paraId="66BCC783"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26. </w:t>
      </w:r>
      <w:r w:rsidRPr="00193DD8">
        <w:rPr>
          <w:b/>
          <w:bCs/>
          <w:color w:val="000000"/>
        </w:rPr>
        <w:t xml:space="preserve">Moxey J, Huq M, Proudman S, </w:t>
      </w:r>
      <w:proofErr w:type="spellStart"/>
      <w:r w:rsidRPr="00193DD8">
        <w:rPr>
          <w:b/>
          <w:bCs/>
          <w:color w:val="000000"/>
        </w:rPr>
        <w:t>Sahhar</w:t>
      </w:r>
      <w:proofErr w:type="spellEnd"/>
      <w:r w:rsidRPr="00193DD8">
        <w:rPr>
          <w:b/>
          <w:bCs/>
          <w:color w:val="000000"/>
        </w:rPr>
        <w:t xml:space="preserve"> J, </w:t>
      </w:r>
      <w:proofErr w:type="spellStart"/>
      <w:r w:rsidRPr="00193DD8">
        <w:rPr>
          <w:b/>
          <w:bCs/>
          <w:color w:val="000000"/>
        </w:rPr>
        <w:t>Ngian</w:t>
      </w:r>
      <w:proofErr w:type="spellEnd"/>
      <w:r w:rsidRPr="00193DD8">
        <w:rPr>
          <w:b/>
          <w:bCs/>
          <w:color w:val="000000"/>
        </w:rPr>
        <w:t xml:space="preserve"> GS, Walker J, et al.</w:t>
      </w:r>
      <w:r>
        <w:rPr>
          <w:color w:val="000000"/>
        </w:rPr>
        <w:t xml:space="preserve"> Significance of anti-neutrophil cytoplasmic antibodies in systemic sclerosis. Arthritis Res Ther. </w:t>
      </w:r>
      <w:proofErr w:type="gramStart"/>
      <w:r>
        <w:rPr>
          <w:color w:val="000000"/>
        </w:rPr>
        <w:t>2019;21:57</w:t>
      </w:r>
      <w:proofErr w:type="gramEnd"/>
      <w:r>
        <w:rPr>
          <w:color w:val="000000"/>
        </w:rPr>
        <w:t>-87.</w:t>
      </w:r>
    </w:p>
    <w:p w14:paraId="733EE945" w14:textId="5A300BD9"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27. </w:t>
      </w:r>
      <w:r w:rsidRPr="007D4532">
        <w:rPr>
          <w:b/>
          <w:bCs/>
          <w:color w:val="000000"/>
        </w:rPr>
        <w:t>Asma BK, Meriem BH, Ines B, Soumaya J, Insaf D, Sonia N.</w:t>
      </w:r>
      <w:r>
        <w:rPr>
          <w:color w:val="000000"/>
        </w:rPr>
        <w:t xml:space="preserve"> MRI Findings in Neuro-Behçet's Disease: A 7-Year Retrospective Study. Multiple Sclerosis and Related Disorders. </w:t>
      </w:r>
      <w:proofErr w:type="gramStart"/>
      <w:r>
        <w:rPr>
          <w:color w:val="000000"/>
        </w:rPr>
        <w:t>2024;92:106055</w:t>
      </w:r>
      <w:proofErr w:type="gramEnd"/>
      <w:r>
        <w:rPr>
          <w:color w:val="000000"/>
        </w:rPr>
        <w:t>.</w:t>
      </w:r>
    </w:p>
    <w:p w14:paraId="4F87DF7F"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28. </w:t>
      </w:r>
      <w:proofErr w:type="spellStart"/>
      <w:r w:rsidRPr="007D4532">
        <w:rPr>
          <w:b/>
          <w:bCs/>
          <w:color w:val="000000"/>
        </w:rPr>
        <w:t>Debette</w:t>
      </w:r>
      <w:proofErr w:type="spellEnd"/>
      <w:r w:rsidRPr="007D4532">
        <w:rPr>
          <w:b/>
          <w:bCs/>
          <w:color w:val="000000"/>
        </w:rPr>
        <w:t xml:space="preserve"> S, Markus HS.</w:t>
      </w:r>
      <w:r>
        <w:rPr>
          <w:color w:val="000000"/>
        </w:rPr>
        <w:t xml:space="preserve"> The clinical importance of white matter hyperintensities on brain magnetic resonance imaging: systematic review and meta-analysis. </w:t>
      </w:r>
      <w:proofErr w:type="spellStart"/>
      <w:r>
        <w:rPr>
          <w:color w:val="000000"/>
        </w:rPr>
        <w:t>Bmj</w:t>
      </w:r>
      <w:proofErr w:type="spellEnd"/>
      <w:r>
        <w:rPr>
          <w:color w:val="000000"/>
        </w:rPr>
        <w:t>. 2010;341:c3666.</w:t>
      </w:r>
    </w:p>
    <w:p w14:paraId="2A95E67A"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29. </w:t>
      </w:r>
      <w:r w:rsidRPr="007D4532">
        <w:rPr>
          <w:b/>
          <w:bCs/>
          <w:color w:val="000000"/>
        </w:rPr>
        <w:t xml:space="preserve">Schweitzer N, Son SJ, </w:t>
      </w:r>
      <w:proofErr w:type="spellStart"/>
      <w:r w:rsidRPr="007D4532">
        <w:rPr>
          <w:b/>
          <w:bCs/>
          <w:color w:val="000000"/>
        </w:rPr>
        <w:t>Aizenstein</w:t>
      </w:r>
      <w:proofErr w:type="spellEnd"/>
      <w:r w:rsidRPr="007D4532">
        <w:rPr>
          <w:b/>
          <w:bCs/>
          <w:color w:val="000000"/>
        </w:rPr>
        <w:t xml:space="preserve"> H, Yang S, </w:t>
      </w:r>
      <w:proofErr w:type="spellStart"/>
      <w:r w:rsidRPr="007D4532">
        <w:rPr>
          <w:b/>
          <w:bCs/>
          <w:color w:val="000000"/>
        </w:rPr>
        <w:t>Iordanova</w:t>
      </w:r>
      <w:proofErr w:type="spellEnd"/>
      <w:r w:rsidRPr="007D4532">
        <w:rPr>
          <w:b/>
          <w:bCs/>
          <w:color w:val="000000"/>
        </w:rPr>
        <w:t xml:space="preserve"> B, Hong CH, et al. </w:t>
      </w:r>
      <w:r>
        <w:rPr>
          <w:color w:val="000000"/>
        </w:rPr>
        <w:t xml:space="preserve">Higher HbA1c Is Associated </w:t>
      </w:r>
      <w:proofErr w:type="gramStart"/>
      <w:r>
        <w:rPr>
          <w:color w:val="000000"/>
        </w:rPr>
        <w:t>With</w:t>
      </w:r>
      <w:proofErr w:type="gramEnd"/>
      <w:r>
        <w:rPr>
          <w:color w:val="000000"/>
        </w:rPr>
        <w:t xml:space="preserve"> Greater 2-Year Progression of White Matter Hyperintensities. Diabetes. </w:t>
      </w:r>
      <w:proofErr w:type="gramStart"/>
      <w:r>
        <w:rPr>
          <w:color w:val="000000"/>
        </w:rPr>
        <w:t>2024;73:604</w:t>
      </w:r>
      <w:proofErr w:type="gramEnd"/>
      <w:r>
        <w:rPr>
          <w:color w:val="000000"/>
        </w:rPr>
        <w:t>-10.</w:t>
      </w:r>
    </w:p>
    <w:p w14:paraId="53B799E8"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30. </w:t>
      </w:r>
      <w:r w:rsidRPr="007D4532">
        <w:rPr>
          <w:b/>
          <w:bCs/>
          <w:color w:val="000000"/>
        </w:rPr>
        <w:t xml:space="preserve">Hagen K, Linde M, </w:t>
      </w:r>
      <w:proofErr w:type="spellStart"/>
      <w:r w:rsidRPr="007D4532">
        <w:rPr>
          <w:b/>
          <w:bCs/>
          <w:color w:val="000000"/>
        </w:rPr>
        <w:t>Stovner</w:t>
      </w:r>
      <w:proofErr w:type="spellEnd"/>
      <w:r w:rsidRPr="007D4532">
        <w:rPr>
          <w:b/>
          <w:bCs/>
          <w:color w:val="000000"/>
        </w:rPr>
        <w:t xml:space="preserve"> LJ. </w:t>
      </w:r>
      <w:r>
        <w:rPr>
          <w:color w:val="000000"/>
        </w:rPr>
        <w:t xml:space="preserve">White matter hyperintensities and headache: The HUNT MRI study. The Journal of Headache and Pain. </w:t>
      </w:r>
      <w:proofErr w:type="gramStart"/>
      <w:r>
        <w:rPr>
          <w:color w:val="000000"/>
        </w:rPr>
        <w:t>2018;19:1</w:t>
      </w:r>
      <w:proofErr w:type="gramEnd"/>
      <w:r>
        <w:rPr>
          <w:color w:val="000000"/>
        </w:rPr>
        <w:t>–10.</w:t>
      </w:r>
    </w:p>
    <w:p w14:paraId="45982CFA"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31. </w:t>
      </w:r>
      <w:r w:rsidRPr="007D4532">
        <w:rPr>
          <w:b/>
          <w:bCs/>
          <w:color w:val="000000"/>
        </w:rPr>
        <w:t xml:space="preserve">Malik R, Traylor M, </w:t>
      </w:r>
      <w:proofErr w:type="spellStart"/>
      <w:r w:rsidRPr="007D4532">
        <w:rPr>
          <w:b/>
          <w:bCs/>
          <w:color w:val="000000"/>
        </w:rPr>
        <w:t>Pulit</w:t>
      </w:r>
      <w:proofErr w:type="spellEnd"/>
      <w:r w:rsidRPr="007D4532">
        <w:rPr>
          <w:b/>
          <w:bCs/>
          <w:color w:val="000000"/>
        </w:rPr>
        <w:t xml:space="preserve"> SL.</w:t>
      </w:r>
      <w:r>
        <w:rPr>
          <w:color w:val="000000"/>
        </w:rPr>
        <w:t xml:space="preserve"> Causal relationship between migraine and white matter lesions: A Mendelian randomization study. Neurology. 2023;</w:t>
      </w:r>
      <w:proofErr w:type="gramStart"/>
      <w:r>
        <w:rPr>
          <w:color w:val="000000"/>
        </w:rPr>
        <w:t>100:e</w:t>
      </w:r>
      <w:proofErr w:type="gramEnd"/>
      <w:r>
        <w:rPr>
          <w:color w:val="000000"/>
        </w:rPr>
        <w:t>310–e7.</w:t>
      </w:r>
    </w:p>
    <w:p w14:paraId="7A024889"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32. </w:t>
      </w:r>
      <w:r w:rsidRPr="007D4532">
        <w:rPr>
          <w:b/>
          <w:bCs/>
          <w:color w:val="000000"/>
        </w:rPr>
        <w:t xml:space="preserve">Pantoni L. </w:t>
      </w:r>
      <w:r>
        <w:rPr>
          <w:color w:val="000000"/>
        </w:rPr>
        <w:t xml:space="preserve">Cerebral small vessel disease: from pathogenesis and clinical characteristics to therapeutic challenges. Lancet Neurol. </w:t>
      </w:r>
      <w:proofErr w:type="gramStart"/>
      <w:r>
        <w:rPr>
          <w:color w:val="000000"/>
        </w:rPr>
        <w:t>2010;9:689</w:t>
      </w:r>
      <w:proofErr w:type="gramEnd"/>
      <w:r>
        <w:rPr>
          <w:color w:val="000000"/>
        </w:rPr>
        <w:t>-701.</w:t>
      </w:r>
    </w:p>
    <w:p w14:paraId="44A5A82E"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33. </w:t>
      </w:r>
      <w:proofErr w:type="spellStart"/>
      <w:r w:rsidRPr="007D4532">
        <w:rPr>
          <w:b/>
          <w:bCs/>
          <w:color w:val="000000"/>
        </w:rPr>
        <w:t>Dobrynina</w:t>
      </w:r>
      <w:proofErr w:type="spellEnd"/>
      <w:r w:rsidRPr="007D4532">
        <w:rPr>
          <w:b/>
          <w:bCs/>
          <w:color w:val="000000"/>
        </w:rPr>
        <w:t xml:space="preserve"> LA, </w:t>
      </w:r>
      <w:proofErr w:type="spellStart"/>
      <w:r w:rsidRPr="007D4532">
        <w:rPr>
          <w:b/>
          <w:bCs/>
          <w:color w:val="000000"/>
        </w:rPr>
        <w:t>Suslina</w:t>
      </w:r>
      <w:proofErr w:type="spellEnd"/>
      <w:r w:rsidRPr="007D4532">
        <w:rPr>
          <w:b/>
          <w:bCs/>
          <w:color w:val="000000"/>
        </w:rPr>
        <w:t xml:space="preserve"> AD, </w:t>
      </w:r>
      <w:proofErr w:type="spellStart"/>
      <w:r w:rsidRPr="007D4532">
        <w:rPr>
          <w:b/>
          <w:bCs/>
          <w:color w:val="000000"/>
        </w:rPr>
        <w:t>Gubanova</w:t>
      </w:r>
      <w:proofErr w:type="spellEnd"/>
      <w:r w:rsidRPr="007D4532">
        <w:rPr>
          <w:b/>
          <w:bCs/>
          <w:color w:val="000000"/>
        </w:rPr>
        <w:t xml:space="preserve"> MV, </w:t>
      </w:r>
      <w:proofErr w:type="spellStart"/>
      <w:r w:rsidRPr="007D4532">
        <w:rPr>
          <w:b/>
          <w:bCs/>
          <w:color w:val="000000"/>
        </w:rPr>
        <w:t>Belopasova</w:t>
      </w:r>
      <w:proofErr w:type="spellEnd"/>
      <w:r w:rsidRPr="007D4532">
        <w:rPr>
          <w:b/>
          <w:bCs/>
          <w:color w:val="000000"/>
        </w:rPr>
        <w:t xml:space="preserve"> AV, Sergeeva AN, Evers S, et al.</w:t>
      </w:r>
      <w:r>
        <w:rPr>
          <w:color w:val="000000"/>
        </w:rPr>
        <w:t xml:space="preserve"> White matter hyperintensity in different migraine subtypes. Sci Rep. </w:t>
      </w:r>
      <w:proofErr w:type="gramStart"/>
      <w:r>
        <w:rPr>
          <w:color w:val="000000"/>
        </w:rPr>
        <w:t>2021;11:10</w:t>
      </w:r>
      <w:proofErr w:type="gramEnd"/>
      <w:r>
        <w:rPr>
          <w:color w:val="000000"/>
        </w:rPr>
        <w:t>-88.</w:t>
      </w:r>
    </w:p>
    <w:p w14:paraId="2231C2A8"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34. </w:t>
      </w:r>
      <w:r w:rsidRPr="007D4532">
        <w:rPr>
          <w:b/>
          <w:bCs/>
          <w:color w:val="000000"/>
        </w:rPr>
        <w:t xml:space="preserve">Ota S, Kotani T, Matsuda S, Nishioka D, Masuda Y, </w:t>
      </w:r>
      <w:proofErr w:type="spellStart"/>
      <w:r w:rsidRPr="007D4532">
        <w:rPr>
          <w:b/>
          <w:bCs/>
          <w:color w:val="000000"/>
        </w:rPr>
        <w:t>Unoda</w:t>
      </w:r>
      <w:proofErr w:type="spellEnd"/>
      <w:r w:rsidRPr="007D4532">
        <w:rPr>
          <w:b/>
          <w:bCs/>
          <w:color w:val="000000"/>
        </w:rPr>
        <w:t xml:space="preserve"> K, et al.</w:t>
      </w:r>
      <w:r>
        <w:rPr>
          <w:color w:val="000000"/>
        </w:rPr>
        <w:t xml:space="preserve"> Initial serum GM-CSF levels are associated with the severity of cerebral small vessel disease in microscopic polyangiitis patients. J </w:t>
      </w:r>
      <w:proofErr w:type="spellStart"/>
      <w:r>
        <w:rPr>
          <w:color w:val="000000"/>
        </w:rPr>
        <w:t>Neuroimmunol</w:t>
      </w:r>
      <w:proofErr w:type="spellEnd"/>
      <w:r>
        <w:rPr>
          <w:color w:val="000000"/>
        </w:rPr>
        <w:t xml:space="preserve">. </w:t>
      </w:r>
      <w:proofErr w:type="gramStart"/>
      <w:r>
        <w:rPr>
          <w:color w:val="000000"/>
        </w:rPr>
        <w:t>2021;359:57</w:t>
      </w:r>
      <w:proofErr w:type="gramEnd"/>
      <w:r>
        <w:rPr>
          <w:color w:val="000000"/>
        </w:rPr>
        <w:t>-76.</w:t>
      </w:r>
    </w:p>
    <w:p w14:paraId="6A05679E" w14:textId="77777777" w:rsidR="00CD1CEC" w:rsidRDefault="00386CF6" w:rsidP="00A85A22">
      <w:pPr>
        <w:pBdr>
          <w:top w:val="nil"/>
          <w:left w:val="nil"/>
          <w:bottom w:val="nil"/>
          <w:right w:val="nil"/>
          <w:between w:val="nil"/>
        </w:pBdr>
        <w:bidi w:val="0"/>
        <w:spacing w:line="480" w:lineRule="auto"/>
        <w:jc w:val="both"/>
        <w:rPr>
          <w:color w:val="000000"/>
        </w:rPr>
      </w:pPr>
      <w:r>
        <w:rPr>
          <w:color w:val="000000"/>
        </w:rPr>
        <w:t xml:space="preserve">35. </w:t>
      </w:r>
      <w:r w:rsidRPr="007D4532">
        <w:rPr>
          <w:b/>
          <w:bCs/>
          <w:color w:val="000000"/>
        </w:rPr>
        <w:t xml:space="preserve">Sachdev P, Wen W, Chen X, </w:t>
      </w:r>
      <w:proofErr w:type="spellStart"/>
      <w:r w:rsidRPr="007D4532">
        <w:rPr>
          <w:b/>
          <w:bCs/>
          <w:color w:val="000000"/>
        </w:rPr>
        <w:t>Brodaty</w:t>
      </w:r>
      <w:proofErr w:type="spellEnd"/>
      <w:r w:rsidRPr="007D4532">
        <w:rPr>
          <w:b/>
          <w:bCs/>
          <w:color w:val="000000"/>
        </w:rPr>
        <w:t xml:space="preserve"> H.</w:t>
      </w:r>
      <w:r>
        <w:rPr>
          <w:color w:val="000000"/>
        </w:rPr>
        <w:t xml:space="preserve"> Progression of white matter hyperintensities in elderly individuals over 3 years. Neurology. </w:t>
      </w:r>
      <w:proofErr w:type="gramStart"/>
      <w:r>
        <w:rPr>
          <w:color w:val="000000"/>
        </w:rPr>
        <w:t>2007;68:214</w:t>
      </w:r>
      <w:proofErr w:type="gramEnd"/>
      <w:r>
        <w:rPr>
          <w:color w:val="000000"/>
        </w:rPr>
        <w:t>-22.</w:t>
      </w:r>
    </w:p>
    <w:p w14:paraId="6C650844" w14:textId="77777777" w:rsidR="00CD1CEC" w:rsidRDefault="00CD1CEC" w:rsidP="00A85A22">
      <w:pPr>
        <w:pBdr>
          <w:top w:val="nil"/>
          <w:left w:val="nil"/>
          <w:bottom w:val="nil"/>
          <w:right w:val="nil"/>
          <w:between w:val="nil"/>
        </w:pBdr>
        <w:bidi w:val="0"/>
        <w:spacing w:line="480" w:lineRule="auto"/>
        <w:jc w:val="both"/>
        <w:rPr>
          <w:color w:val="000000"/>
        </w:rPr>
      </w:pPr>
    </w:p>
    <w:sectPr w:rsidR="00CD1CEC">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A275B" w14:textId="77777777" w:rsidR="0005649D" w:rsidRDefault="0005649D">
      <w:r>
        <w:separator/>
      </w:r>
    </w:p>
  </w:endnote>
  <w:endnote w:type="continuationSeparator" w:id="0">
    <w:p w14:paraId="4D0B1EA5" w14:textId="77777777" w:rsidR="0005649D" w:rsidRDefault="00056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9D635E0-CF03-4D20-AAFC-8E7F6C001E2F}"/>
    <w:embedBold r:id="rId2" w:fontKey="{19606A50-96AA-493D-967C-31067008EDF3}"/>
    <w:embedBoldItalic r:id="rId3" w:fontKey="{7DF6E1C9-9569-482E-8A32-9B67208F5F29}"/>
  </w:font>
  <w:font w:name="Cambria">
    <w:panose1 w:val="02040503050406030204"/>
    <w:charset w:val="00"/>
    <w:family w:val="roman"/>
    <w:pitch w:val="variable"/>
    <w:sig w:usb0="E00006FF" w:usb1="420024FF" w:usb2="02000000" w:usb3="00000000" w:csb0="0000019F" w:csb1="00000000"/>
    <w:embedRegular r:id="rId4" w:fontKey="{5F926585-6DCC-4181-B3F4-E6DCEFC3B761}"/>
    <w:embedItalic r:id="rId5" w:fontKey="{4ED04F77-8C56-40D7-9599-49FACB0A196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A50B" w14:textId="77777777" w:rsidR="00B57204" w:rsidRDefault="00B572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5FF4" w14:textId="77777777" w:rsidR="00CD1CEC" w:rsidRDefault="00386CF6">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193DD8">
      <w:rPr>
        <w:noProof/>
        <w:color w:val="000000"/>
        <w:rtl/>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D8D75" w14:textId="77777777" w:rsidR="00B57204" w:rsidRDefault="00B57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A2FAA" w14:textId="77777777" w:rsidR="0005649D" w:rsidRDefault="0005649D">
      <w:r>
        <w:separator/>
      </w:r>
    </w:p>
  </w:footnote>
  <w:footnote w:type="continuationSeparator" w:id="0">
    <w:p w14:paraId="51EFB44F" w14:textId="77777777" w:rsidR="0005649D" w:rsidRDefault="00056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857D" w14:textId="135690A7" w:rsidR="00B57204" w:rsidRDefault="00000000">
    <w:pPr>
      <w:pStyle w:val="Header"/>
    </w:pPr>
    <w:r>
      <w:rPr>
        <w:noProof/>
      </w:rPr>
      <w:pict w14:anchorId="7FFC7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053142" o:spid="_x0000_s1026" type="#_x0000_t136" style="position:absolute;left:0;text-align:left;margin-left:0;margin-top:0;width:571.8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F1CF" w14:textId="46978C38" w:rsidR="00B57204" w:rsidRDefault="00000000">
    <w:pPr>
      <w:pStyle w:val="Header"/>
    </w:pPr>
    <w:r>
      <w:rPr>
        <w:noProof/>
      </w:rPr>
      <w:pict w14:anchorId="2A34C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053143" o:spid="_x0000_s1027" type="#_x0000_t136" style="position:absolute;left:0;text-align:left;margin-left:0;margin-top:0;width:571.8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2067" w14:textId="42EC6835" w:rsidR="00B57204" w:rsidRDefault="00000000">
    <w:pPr>
      <w:pStyle w:val="Header"/>
    </w:pPr>
    <w:r>
      <w:rPr>
        <w:noProof/>
      </w:rPr>
      <w:pict w14:anchorId="19F76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6053141" o:spid="_x0000_s1025" type="#_x0000_t136" style="position:absolute;left:0;text-align:left;margin-left:0;margin-top:0;width:571.8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67F60"/>
    <w:multiLevelType w:val="multilevel"/>
    <w:tmpl w:val="02F4B0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A08474F"/>
    <w:multiLevelType w:val="multilevel"/>
    <w:tmpl w:val="E912123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1533617423">
    <w:abstractNumId w:val="0"/>
  </w:num>
  <w:num w:numId="2" w16cid:durableId="1364478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embedTrueTypeFont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CEC"/>
    <w:rsid w:val="0005649D"/>
    <w:rsid w:val="000B609C"/>
    <w:rsid w:val="00157B63"/>
    <w:rsid w:val="00193DD8"/>
    <w:rsid w:val="002E4B14"/>
    <w:rsid w:val="00386CF6"/>
    <w:rsid w:val="004D292A"/>
    <w:rsid w:val="0052796F"/>
    <w:rsid w:val="00655E1A"/>
    <w:rsid w:val="007B7CD1"/>
    <w:rsid w:val="007D4532"/>
    <w:rsid w:val="00803320"/>
    <w:rsid w:val="00820AB6"/>
    <w:rsid w:val="008261A4"/>
    <w:rsid w:val="009C7807"/>
    <w:rsid w:val="00A85A22"/>
    <w:rsid w:val="00B57204"/>
    <w:rsid w:val="00BA00CF"/>
    <w:rsid w:val="00C6798C"/>
    <w:rsid w:val="00CD1CEC"/>
    <w:rsid w:val="00D55029"/>
    <w:rsid w:val="00DC48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D5855"/>
  <w15:docId w15:val="{AC3CF911-F417-44A1-A939-C945FAD2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480" w:lineRule="auto"/>
      <w:jc w:val="both"/>
      <w:outlineLvl w:val="0"/>
    </w:pPr>
    <w:rPr>
      <w:b/>
      <w:bCs/>
      <w:color w:val="000000"/>
      <w:sz w:val="28"/>
      <w:szCs w:val="28"/>
    </w:rPr>
  </w:style>
  <w:style w:type="paragraph" w:styleId="Heading2">
    <w:name w:val="heading 2"/>
    <w:basedOn w:val="Normal"/>
    <w:next w:val="Normal"/>
    <w:uiPriority w:val="9"/>
    <w:semiHidden/>
    <w:unhideWhenUsed/>
    <w:qFormat/>
    <w:pPr>
      <w:spacing w:line="480" w:lineRule="auto"/>
      <w:ind w:left="1080" w:hanging="360"/>
      <w:jc w:val="both"/>
      <w:outlineLvl w:val="1"/>
    </w:pPr>
    <w:rPr>
      <w:b/>
      <w:bCs/>
      <w:color w:val="000000"/>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line="276" w:lineRule="auto"/>
      <w:outlineLvl w:val="5"/>
    </w:pPr>
    <w:rPr>
      <w:rFonts w:ascii="Cambria" w:eastAsia="Cambria" w:hAnsi="Cambria" w:cs="Cambria"/>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mbria" w:eastAsia="Cambria" w:hAnsi="Cambria" w:cs="Cambria"/>
      <w:sz w:val="56"/>
      <w:szCs w:val="56"/>
    </w:rPr>
  </w:style>
  <w:style w:type="paragraph" w:styleId="Subtitle">
    <w:name w:val="Subtitle"/>
    <w:basedOn w:val="Normal"/>
    <w:next w:val="Normal"/>
    <w:uiPriority w:val="11"/>
    <w:qFormat/>
    <w:pPr>
      <w:spacing w:after="160" w:line="276" w:lineRule="auto"/>
    </w:pPr>
    <w:rPr>
      <w:rFonts w:ascii="Calibri" w:eastAsia="Calibri" w:hAnsi="Calibri" w:cs="Calibri"/>
      <w:color w:val="5A5A5A"/>
      <w:sz w:val="22"/>
      <w:szCs w:val="22"/>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55029"/>
    <w:rPr>
      <w:color w:val="0000FF" w:themeColor="hyperlink"/>
      <w:u w:val="single"/>
    </w:rPr>
  </w:style>
  <w:style w:type="character" w:styleId="UnresolvedMention">
    <w:name w:val="Unresolved Mention"/>
    <w:basedOn w:val="DefaultParagraphFont"/>
    <w:uiPriority w:val="99"/>
    <w:semiHidden/>
    <w:unhideWhenUsed/>
    <w:rsid w:val="00D55029"/>
    <w:rPr>
      <w:color w:val="605E5C"/>
      <w:shd w:val="clear" w:color="auto" w:fill="E1DFDD"/>
    </w:rPr>
  </w:style>
  <w:style w:type="paragraph" w:styleId="Header">
    <w:name w:val="header"/>
    <w:basedOn w:val="Normal"/>
    <w:link w:val="HeaderChar"/>
    <w:uiPriority w:val="99"/>
    <w:unhideWhenUsed/>
    <w:rsid w:val="00B57204"/>
    <w:pPr>
      <w:tabs>
        <w:tab w:val="center" w:pos="4680"/>
        <w:tab w:val="right" w:pos="9360"/>
      </w:tabs>
    </w:pPr>
  </w:style>
  <w:style w:type="character" w:customStyle="1" w:styleId="HeaderChar">
    <w:name w:val="Header Char"/>
    <w:basedOn w:val="DefaultParagraphFont"/>
    <w:link w:val="Header"/>
    <w:uiPriority w:val="99"/>
    <w:rsid w:val="00B57204"/>
  </w:style>
  <w:style w:type="paragraph" w:styleId="Footer">
    <w:name w:val="footer"/>
    <w:basedOn w:val="Normal"/>
    <w:link w:val="FooterChar"/>
    <w:uiPriority w:val="99"/>
    <w:unhideWhenUsed/>
    <w:rsid w:val="00B57204"/>
    <w:pPr>
      <w:tabs>
        <w:tab w:val="center" w:pos="4680"/>
        <w:tab w:val="right" w:pos="9360"/>
      </w:tabs>
    </w:pPr>
  </w:style>
  <w:style w:type="character" w:customStyle="1" w:styleId="FooterChar">
    <w:name w:val="Footer Char"/>
    <w:basedOn w:val="DefaultParagraphFont"/>
    <w:link w:val="Footer"/>
    <w:uiPriority w:val="99"/>
    <w:rsid w:val="00B57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7250</Words>
  <Characters>42274</Characters>
  <Application>Microsoft Office Word</Application>
  <DocSecurity>0</DocSecurity>
  <Lines>1409</Lines>
  <Paragraphs>917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Doctor Core</cp:lastModifiedBy>
  <cp:revision>9</cp:revision>
  <dcterms:created xsi:type="dcterms:W3CDTF">2026-03-07T08:21:00Z</dcterms:created>
  <dcterms:modified xsi:type="dcterms:W3CDTF">2026-03-14T12:05:00Z</dcterms:modified>
</cp:coreProperties>
</file>