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3DD1" w14:textId="77777777" w:rsidR="003A1F2E" w:rsidRPr="00555DE1" w:rsidRDefault="003A1F2E" w:rsidP="00BD2396">
      <w:pPr>
        <w:pStyle w:val="Author"/>
        <w:spacing w:line="240" w:lineRule="auto"/>
        <w:jc w:val="both"/>
        <w:rPr>
          <w:rFonts w:ascii="Arial" w:hAnsi="Arial" w:cs="Arial"/>
          <w:bCs/>
          <w:iCs/>
          <w:kern w:val="28"/>
          <w:sz w:val="22"/>
          <w:szCs w:val="22"/>
        </w:rPr>
      </w:pPr>
      <w:r w:rsidRPr="00555DE1">
        <w:rPr>
          <w:rFonts w:ascii="Arial" w:hAnsi="Arial" w:cs="Arial"/>
          <w:bCs/>
          <w:iCs/>
          <w:kern w:val="28"/>
          <w:sz w:val="22"/>
          <w:szCs w:val="22"/>
        </w:rPr>
        <w:t xml:space="preserve">Review Article </w:t>
      </w:r>
    </w:p>
    <w:p w14:paraId="5FDCAF41" w14:textId="77777777" w:rsidR="003A1F2E" w:rsidRPr="00555DE1" w:rsidRDefault="003A1F2E" w:rsidP="00BD2396">
      <w:pPr>
        <w:pStyle w:val="Author"/>
        <w:spacing w:line="240" w:lineRule="auto"/>
        <w:jc w:val="both"/>
        <w:rPr>
          <w:rFonts w:ascii="Arial" w:hAnsi="Arial" w:cs="Arial"/>
          <w:bCs/>
          <w:iCs/>
          <w:kern w:val="28"/>
          <w:sz w:val="22"/>
          <w:szCs w:val="22"/>
        </w:rPr>
      </w:pPr>
    </w:p>
    <w:p w14:paraId="6291738E" w14:textId="3223BFF5" w:rsidR="00BD2396" w:rsidRPr="00555DE1" w:rsidRDefault="002E664B" w:rsidP="002E664B">
      <w:pPr>
        <w:pStyle w:val="Author"/>
        <w:spacing w:line="240" w:lineRule="auto"/>
        <w:jc w:val="left"/>
        <w:rPr>
          <w:rFonts w:ascii="Arial" w:hAnsi="Arial" w:cs="Arial"/>
          <w:bCs/>
          <w:iCs/>
          <w:kern w:val="28"/>
          <w:sz w:val="28"/>
          <w:szCs w:val="28"/>
        </w:rPr>
      </w:pPr>
      <w:r w:rsidRPr="00555DE1">
        <w:rPr>
          <w:rFonts w:ascii="Arial" w:hAnsi="Arial" w:cs="Arial"/>
          <w:bCs/>
          <w:iCs/>
          <w:kern w:val="28"/>
          <w:sz w:val="28"/>
          <w:szCs w:val="28"/>
          <w:lang w:val="en-IN"/>
        </w:rPr>
        <w:t>Drug Dissolution Studies in Pharmaceutical Formulations: Mechanisms, Influencing Factors, and Regulatory Perspectives</w:t>
      </w:r>
    </w:p>
    <w:p w14:paraId="5DD87300" w14:textId="77777777" w:rsidR="005D7C8E" w:rsidRPr="00555DE1" w:rsidRDefault="005D7C8E" w:rsidP="00441B6F">
      <w:pPr>
        <w:pStyle w:val="Affiliation"/>
        <w:spacing w:after="0" w:line="240" w:lineRule="auto"/>
        <w:jc w:val="both"/>
        <w:rPr>
          <w:rFonts w:ascii="Arial" w:hAnsi="Arial" w:cs="Arial"/>
          <w:sz w:val="22"/>
          <w:szCs w:val="22"/>
        </w:rPr>
      </w:pPr>
    </w:p>
    <w:p w14:paraId="53C0B106" w14:textId="77777777" w:rsidR="002C57D2" w:rsidRPr="00555DE1" w:rsidRDefault="002C57D2" w:rsidP="00441B6F">
      <w:pPr>
        <w:pStyle w:val="Affiliation"/>
        <w:spacing w:after="0" w:line="240" w:lineRule="auto"/>
        <w:jc w:val="both"/>
        <w:rPr>
          <w:rFonts w:ascii="Arial" w:hAnsi="Arial" w:cs="Arial"/>
          <w:sz w:val="22"/>
          <w:szCs w:val="22"/>
        </w:rPr>
      </w:pPr>
    </w:p>
    <w:p w14:paraId="22540DD8" w14:textId="77777777" w:rsidR="00B01FCD" w:rsidRPr="00555DE1" w:rsidRDefault="005D7C8E" w:rsidP="00441B6F">
      <w:pPr>
        <w:pStyle w:val="Copyright"/>
        <w:spacing w:after="0" w:line="240" w:lineRule="auto"/>
        <w:jc w:val="both"/>
        <w:rPr>
          <w:rFonts w:ascii="Arial" w:hAnsi="Arial" w:cs="Arial"/>
          <w:sz w:val="22"/>
          <w:szCs w:val="22"/>
        </w:rPr>
        <w:sectPr w:rsidR="00B01FCD" w:rsidRPr="00555DE1" w:rsidSect="006210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55DE1">
        <w:rPr>
          <w:rFonts w:ascii="Arial" w:hAnsi="Arial" w:cs="Arial"/>
          <w:noProof/>
          <w:sz w:val="22"/>
          <w:szCs w:val="22"/>
        </w:rPr>
        <mc:AlternateContent>
          <mc:Choice Requires="wps">
            <w:drawing>
              <wp:inline distT="0" distB="0" distL="0" distR="0" wp14:anchorId="0B5B5974" wp14:editId="4A83685E">
                <wp:extent cx="5303520" cy="635"/>
                <wp:effectExtent l="13335" t="16510" r="17145" b="12065"/>
                <wp:docPr id="13779412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D3056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55DE1">
        <w:rPr>
          <w:rFonts w:ascii="Arial" w:hAnsi="Arial" w:cs="Arial"/>
          <w:sz w:val="22"/>
          <w:szCs w:val="22"/>
        </w:rPr>
        <w:t>.</w:t>
      </w:r>
    </w:p>
    <w:p w14:paraId="0DA3E912" w14:textId="076CD8AD" w:rsidR="00B01FCD" w:rsidRPr="00555DE1" w:rsidRDefault="00B01FCD" w:rsidP="00441B6F">
      <w:pPr>
        <w:pStyle w:val="AbstHead"/>
        <w:spacing w:after="0"/>
        <w:jc w:val="both"/>
        <w:rPr>
          <w:rFonts w:ascii="Arial" w:hAnsi="Arial" w:cs="Arial"/>
          <w:szCs w:val="22"/>
        </w:rPr>
      </w:pPr>
      <w:r w:rsidRPr="00555DE1">
        <w:rPr>
          <w:rFonts w:ascii="Arial" w:hAnsi="Arial" w:cs="Arial"/>
          <w:szCs w:val="22"/>
        </w:rPr>
        <w:t>ABSTRACT</w:t>
      </w:r>
      <w:r w:rsidR="0066510A" w:rsidRPr="00555DE1">
        <w:rPr>
          <w:rFonts w:ascii="Arial" w:hAnsi="Arial" w:cs="Arial"/>
          <w:szCs w:val="22"/>
        </w:rPr>
        <w:t xml:space="preserve"> </w:t>
      </w:r>
    </w:p>
    <w:p w14:paraId="64310398" w14:textId="77777777" w:rsidR="00790ADA" w:rsidRPr="00555DE1"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555DE1" w14:paraId="1D9E0C59" w14:textId="77777777" w:rsidTr="00D03F59">
        <w:trPr>
          <w:trHeight w:val="50"/>
        </w:trPr>
        <w:tc>
          <w:tcPr>
            <w:tcW w:w="9576" w:type="dxa"/>
            <w:shd w:val="clear" w:color="auto" w:fill="F2F2F2"/>
          </w:tcPr>
          <w:p w14:paraId="2E5AC930" w14:textId="469A883F" w:rsidR="0085718D" w:rsidRPr="00555DE1" w:rsidRDefault="00BD2396" w:rsidP="0085718D">
            <w:pPr>
              <w:pStyle w:val="Body"/>
              <w:rPr>
                <w:rFonts w:ascii="Arial" w:eastAsia="Calibri" w:hAnsi="Arial" w:cs="Arial"/>
                <w:sz w:val="22"/>
                <w:szCs w:val="22"/>
              </w:rPr>
            </w:pPr>
            <w:r w:rsidRPr="00555DE1">
              <w:rPr>
                <w:rFonts w:ascii="Arial" w:eastAsia="Calibri" w:hAnsi="Arial" w:cs="Arial"/>
                <w:sz w:val="22"/>
                <w:szCs w:val="22"/>
              </w:rPr>
              <w:t xml:space="preserve">Assessing dissolution is essential for many pharmaceuticals that lack suitable solution forms. </w:t>
            </w:r>
            <w:r w:rsidR="0085718D" w:rsidRPr="00555DE1">
              <w:rPr>
                <w:rFonts w:ascii="Arial" w:eastAsia="Calibri" w:hAnsi="Arial" w:cs="Arial"/>
                <w:sz w:val="22"/>
                <w:szCs w:val="22"/>
              </w:rPr>
              <w:t>Drug dissolution testing plays a central role in pharmaceutical development, quality control, and regulatory evaluation of oral dosage forms. This review provides a comprehensive overview of the theoretical foundations, mechanistic principles, and practical considerations governing drug dissolution in pharmaceutical formulations. Fundamental mathematical models describing dissolution kinetics are discussed, including the diffusion-layer–based Noyes–Whitney equation, the Hixson–Crowell cube-root law, Dankert’s surface-renewal model, and the Takeru Higuchi model for matrix-based systems. These models provide critical insights into diffusion-controlled, interfacial, and matrix-mediated drug-release mechanisms.</w:t>
            </w:r>
          </w:p>
          <w:p w14:paraId="6BE4FBF8" w14:textId="5E461C63" w:rsidR="0085718D" w:rsidRPr="00555DE1" w:rsidRDefault="0085718D" w:rsidP="0085718D">
            <w:pPr>
              <w:pStyle w:val="Body"/>
              <w:rPr>
                <w:rFonts w:ascii="Arial" w:eastAsia="Calibri" w:hAnsi="Arial" w:cs="Arial"/>
                <w:sz w:val="22"/>
                <w:szCs w:val="22"/>
              </w:rPr>
            </w:pPr>
            <w:r w:rsidRPr="00555DE1">
              <w:rPr>
                <w:rFonts w:ascii="Arial" w:eastAsia="Calibri" w:hAnsi="Arial" w:cs="Arial"/>
                <w:sz w:val="22"/>
                <w:szCs w:val="22"/>
              </w:rPr>
              <w:t>Key physicochemical factors influencing dissolution—such as solubility, particle size, salt formation, polymorphism, and solid-state characteristics—are examined alongside formulation variables, processing parameters, and dissolution test conditions, including agitation, temperature, medium composition, and surfactant effects. The review addresses both immediate-release and modified-release dosage forms, highlighting differences in release mechanisms and the specific challenges associated with poorly soluble compounds, particularly those classified under the Biopharmaceutics Classification System</w:t>
            </w:r>
            <w:r w:rsidR="00F03336" w:rsidRPr="00555DE1">
              <w:rPr>
                <w:rFonts w:ascii="Arial" w:eastAsia="Calibri" w:hAnsi="Arial" w:cs="Arial"/>
                <w:sz w:val="22"/>
                <w:szCs w:val="22"/>
              </w:rPr>
              <w:t>.</w:t>
            </w:r>
            <w:r w:rsidRPr="00555DE1">
              <w:rPr>
                <w:rFonts w:ascii="Arial" w:eastAsia="Calibri" w:hAnsi="Arial" w:cs="Arial"/>
                <w:sz w:val="22"/>
                <w:szCs w:val="22"/>
              </w:rPr>
              <w:t xml:space="preserve"> </w:t>
            </w:r>
          </w:p>
          <w:p w14:paraId="4AA34883" w14:textId="7E975226" w:rsidR="0085718D" w:rsidRPr="00555DE1" w:rsidRDefault="0085718D" w:rsidP="0085718D">
            <w:pPr>
              <w:pStyle w:val="Body"/>
              <w:rPr>
                <w:rFonts w:ascii="Arial" w:eastAsia="Calibri" w:hAnsi="Arial" w:cs="Arial"/>
                <w:sz w:val="22"/>
                <w:szCs w:val="22"/>
              </w:rPr>
            </w:pPr>
            <w:r w:rsidRPr="00555DE1">
              <w:rPr>
                <w:rFonts w:ascii="Arial" w:eastAsia="Calibri" w:hAnsi="Arial" w:cs="Arial"/>
                <w:sz w:val="22"/>
                <w:szCs w:val="22"/>
              </w:rPr>
              <w:t>Furthermore, the importance of establishing in vitro–in vivo correlation (IVIVC) is discussed</w:t>
            </w:r>
            <w:r w:rsidR="00CD68D3" w:rsidRPr="00555DE1">
              <w:rPr>
                <w:rFonts w:ascii="Arial" w:eastAsia="Calibri" w:hAnsi="Arial" w:cs="Arial"/>
                <w:sz w:val="22"/>
                <w:szCs w:val="22"/>
              </w:rPr>
              <w:t>.</w:t>
            </w:r>
            <w:r w:rsidRPr="00555DE1">
              <w:rPr>
                <w:rFonts w:ascii="Arial" w:eastAsia="Calibri" w:hAnsi="Arial" w:cs="Arial"/>
                <w:sz w:val="22"/>
                <w:szCs w:val="22"/>
              </w:rPr>
              <w:t xml:space="preserve"> IVIVC models serve as predictive tools linking in vitro dissolution data to in vivo performance and support regulatory applications such as bioequivalence assessment, biowaivers, post-approval changes, and Quality by Design (</w:t>
            </w:r>
            <w:proofErr w:type="spellStart"/>
            <w:r w:rsidRPr="00555DE1">
              <w:rPr>
                <w:rFonts w:ascii="Arial" w:eastAsia="Calibri" w:hAnsi="Arial" w:cs="Arial"/>
                <w:sz w:val="22"/>
                <w:szCs w:val="22"/>
              </w:rPr>
              <w:t>QbD</w:t>
            </w:r>
            <w:proofErr w:type="spellEnd"/>
            <w:r w:rsidRPr="00555DE1">
              <w:rPr>
                <w:rFonts w:ascii="Arial" w:eastAsia="Calibri" w:hAnsi="Arial" w:cs="Arial"/>
                <w:sz w:val="22"/>
                <w:szCs w:val="22"/>
              </w:rPr>
              <w:t>) strategies.</w:t>
            </w:r>
          </w:p>
          <w:p w14:paraId="5C3933D6" w14:textId="727D1219" w:rsidR="00BD2396" w:rsidRPr="00555DE1" w:rsidRDefault="0085718D" w:rsidP="00BD2396">
            <w:pPr>
              <w:pStyle w:val="Body"/>
              <w:rPr>
                <w:rFonts w:ascii="Arial" w:eastAsia="Calibri" w:hAnsi="Arial" w:cs="Arial"/>
                <w:sz w:val="22"/>
                <w:szCs w:val="22"/>
              </w:rPr>
            </w:pPr>
            <w:r w:rsidRPr="00555DE1">
              <w:rPr>
                <w:rFonts w:ascii="Arial" w:eastAsia="Calibri" w:hAnsi="Arial" w:cs="Arial"/>
                <w:sz w:val="22"/>
                <w:szCs w:val="22"/>
              </w:rPr>
              <w:t>Overall, dissolution testing remains an indispensable tool in pharmaceutical sciences, bridging formulation development, mechanistic understanding, and regulatory decision-making to ensure the safety, efficacy, and quality of drug products.</w:t>
            </w:r>
          </w:p>
          <w:p w14:paraId="5A199F6E" w14:textId="49B1D2A4" w:rsidR="005D2042" w:rsidRPr="00555DE1" w:rsidRDefault="00BD2396" w:rsidP="005D2042">
            <w:pPr>
              <w:pStyle w:val="Body"/>
              <w:rPr>
                <w:rFonts w:ascii="Arial" w:eastAsia="Calibri" w:hAnsi="Arial" w:cs="Arial"/>
                <w:b/>
                <w:i/>
                <w:sz w:val="22"/>
                <w:szCs w:val="22"/>
              </w:rPr>
            </w:pPr>
            <w:r w:rsidRPr="00555DE1">
              <w:rPr>
                <w:rFonts w:ascii="Arial" w:eastAsia="Calibri" w:hAnsi="Arial" w:cs="Arial"/>
                <w:b/>
                <w:i/>
                <w:sz w:val="22"/>
                <w:szCs w:val="22"/>
              </w:rPr>
              <w:t>Key words:</w:t>
            </w:r>
            <w:r w:rsidRPr="00555DE1">
              <w:rPr>
                <w:rFonts w:ascii="Arial" w:eastAsia="Calibri" w:hAnsi="Arial" w:cs="Arial"/>
                <w:b/>
                <w:sz w:val="22"/>
                <w:szCs w:val="22"/>
              </w:rPr>
              <w:t xml:space="preserve"> </w:t>
            </w:r>
            <w:r w:rsidR="005D2042" w:rsidRPr="00555DE1">
              <w:rPr>
                <w:rFonts w:ascii="Arial" w:eastAsia="Calibri" w:hAnsi="Arial" w:cs="Arial"/>
                <w:b/>
                <w:i/>
                <w:sz w:val="22"/>
                <w:szCs w:val="22"/>
              </w:rPr>
              <w:t>Pharmaceutical development; Dissolution profile; In-vitro-In-vivo correlation; Pharmaceutical quality</w:t>
            </w:r>
            <w:r w:rsidR="00B93CDA" w:rsidRPr="00555DE1">
              <w:rPr>
                <w:rFonts w:ascii="Arial" w:eastAsia="Calibri" w:hAnsi="Arial" w:cs="Arial"/>
                <w:b/>
                <w:i/>
                <w:sz w:val="22"/>
                <w:szCs w:val="22"/>
              </w:rPr>
              <w:t>;</w:t>
            </w:r>
            <w:r w:rsidR="00CD68D3" w:rsidRPr="00555DE1">
              <w:rPr>
                <w:rFonts w:ascii="Arial" w:eastAsia="Calibri" w:hAnsi="Arial" w:cs="Arial"/>
                <w:b/>
                <w:i/>
                <w:sz w:val="22"/>
                <w:szCs w:val="22"/>
              </w:rPr>
              <w:t xml:space="preserve"> Regulatory decision-making</w:t>
            </w:r>
          </w:p>
          <w:p w14:paraId="240637F9" w14:textId="77777777" w:rsidR="00505F06" w:rsidRPr="00555DE1" w:rsidRDefault="00505F06" w:rsidP="00BD2396">
            <w:pPr>
              <w:pStyle w:val="Body"/>
              <w:rPr>
                <w:rFonts w:ascii="Arial" w:eastAsia="Calibri" w:hAnsi="Arial" w:cs="Arial"/>
                <w:sz w:val="22"/>
                <w:szCs w:val="22"/>
              </w:rPr>
            </w:pPr>
          </w:p>
        </w:tc>
      </w:tr>
    </w:tbl>
    <w:p w14:paraId="2C63BCB1" w14:textId="20BFD48D" w:rsidR="00E52D7D" w:rsidRPr="00555DE1" w:rsidRDefault="00E52D7D" w:rsidP="002A4071">
      <w:pPr>
        <w:pStyle w:val="Body"/>
        <w:rPr>
          <w:rFonts w:ascii="Arial" w:hAnsi="Arial" w:cs="Arial"/>
          <w:b/>
          <w:bCs/>
          <w:sz w:val="22"/>
          <w:szCs w:val="22"/>
        </w:rPr>
      </w:pPr>
      <w:r w:rsidRPr="00555DE1">
        <w:rPr>
          <w:rFonts w:ascii="Arial" w:hAnsi="Arial" w:cs="Arial"/>
          <w:b/>
          <w:bCs/>
          <w:sz w:val="22"/>
          <w:szCs w:val="22"/>
        </w:rPr>
        <w:lastRenderedPageBreak/>
        <w:t>Graphical Abstract</w:t>
      </w:r>
    </w:p>
    <w:p w14:paraId="2F86DA3C" w14:textId="5F28483A" w:rsidR="00E52D7D" w:rsidRPr="00555DE1" w:rsidRDefault="00E52D7D" w:rsidP="00053739">
      <w:pPr>
        <w:pStyle w:val="Body"/>
        <w:spacing w:after="0"/>
        <w:ind w:left="720"/>
        <w:rPr>
          <w:rFonts w:ascii="Arial" w:hAnsi="Arial" w:cs="Arial"/>
          <w:b/>
          <w:sz w:val="22"/>
          <w:szCs w:val="22"/>
        </w:rPr>
      </w:pPr>
      <w:r w:rsidRPr="00555DE1">
        <w:rPr>
          <w:rFonts w:ascii="Arial" w:hAnsi="Arial" w:cs="Arial"/>
          <w:noProof/>
          <w:sz w:val="22"/>
          <w:szCs w:val="22"/>
        </w:rPr>
        <w:drawing>
          <wp:inline distT="0" distB="0" distL="0" distR="0" wp14:anchorId="1AEA3DD6" wp14:editId="0559CBF2">
            <wp:extent cx="5060629" cy="7481987"/>
            <wp:effectExtent l="0" t="0" r="6985" b="5080"/>
            <wp:docPr id="199562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26440" name=""/>
                    <pic:cNvPicPr/>
                  </pic:nvPicPr>
                  <pic:blipFill>
                    <a:blip r:embed="rId14"/>
                    <a:stretch>
                      <a:fillRect/>
                    </a:stretch>
                  </pic:blipFill>
                  <pic:spPr>
                    <a:xfrm>
                      <a:off x="0" y="0"/>
                      <a:ext cx="5081421" cy="7512728"/>
                    </a:xfrm>
                    <a:prstGeom prst="rect">
                      <a:avLst/>
                    </a:prstGeom>
                  </pic:spPr>
                </pic:pic>
              </a:graphicData>
            </a:graphic>
          </wp:inline>
        </w:drawing>
      </w:r>
    </w:p>
    <w:p w14:paraId="31B57339" w14:textId="77777777" w:rsidR="00E52D7D" w:rsidRPr="00555DE1" w:rsidRDefault="00E52D7D" w:rsidP="00E52D7D">
      <w:pPr>
        <w:pStyle w:val="Body"/>
        <w:spacing w:after="0"/>
        <w:ind w:left="360"/>
        <w:rPr>
          <w:rFonts w:ascii="Arial" w:hAnsi="Arial" w:cs="Arial"/>
          <w:b/>
          <w:sz w:val="22"/>
          <w:szCs w:val="22"/>
        </w:rPr>
      </w:pPr>
    </w:p>
    <w:p w14:paraId="20949508" w14:textId="55369279" w:rsidR="002A4071" w:rsidRPr="00555DE1" w:rsidRDefault="002A4071" w:rsidP="00752610">
      <w:pPr>
        <w:pStyle w:val="Body"/>
        <w:numPr>
          <w:ilvl w:val="0"/>
          <w:numId w:val="3"/>
        </w:numPr>
        <w:spacing w:after="0"/>
        <w:rPr>
          <w:rFonts w:ascii="Arial" w:hAnsi="Arial" w:cs="Arial"/>
          <w:b/>
          <w:sz w:val="22"/>
          <w:szCs w:val="22"/>
        </w:rPr>
      </w:pPr>
      <w:r w:rsidRPr="00555DE1">
        <w:rPr>
          <w:rFonts w:ascii="Arial" w:hAnsi="Arial" w:cs="Arial"/>
          <w:b/>
          <w:sz w:val="22"/>
          <w:szCs w:val="22"/>
        </w:rPr>
        <w:t>Introduction</w:t>
      </w:r>
    </w:p>
    <w:p w14:paraId="7F260EF2" w14:textId="43BC9902" w:rsidR="002A4071" w:rsidRPr="00555DE1" w:rsidRDefault="002A4071" w:rsidP="002A4071">
      <w:pPr>
        <w:pStyle w:val="Body"/>
        <w:rPr>
          <w:rFonts w:ascii="Arial" w:hAnsi="Arial" w:cs="Arial"/>
          <w:sz w:val="22"/>
          <w:szCs w:val="22"/>
        </w:rPr>
      </w:pPr>
      <w:r w:rsidRPr="00555DE1">
        <w:rPr>
          <w:rFonts w:ascii="Arial" w:hAnsi="Arial" w:cs="Arial"/>
          <w:sz w:val="22"/>
          <w:szCs w:val="22"/>
        </w:rPr>
        <w:t>Understanding the physicochemical properties of active pharmaceutical ingredients (APIs), excipients, and finished pharmaceutical products (FPPs) is crucial in pharmaceutical development to ensure quality control standards are met</w:t>
      </w:r>
      <w:r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{"citationID":"sOSjR5Rc","properties":{"formattedCitation":"[1]","plainCitation":"[1]","noteIndex":0},"citationItems":[{"id":"aW9DjT7Z/zRbvnVZi","uris":["http://zotero.org/users/local/BkIOkmFs/items/6PQYQB24"],"itemData":{"id":1,"type":"article-journal","container-title":"J Pharm Anal.","issue":"8","journalAbbreviation":"J Pharm Anal.","page":"168-75","title":"Evaluation of physicochemical properties as supporting information on quality control of raw materials and veterinary pharmaceutical formulations.","author":[{"family":"S.S. Anacleto, M.M.C. Borges, H. L. de Oliveira, A. R. Vicente, E. C. de Figueiredo, M.A.L. de Oliveira, B.J.P. Borges, M.A. de Oliveira, W.S. Borges KBB.","given":""}],"issued":{"date-parts":[["2018"]]}}}],"schema":"https://github.com/citation-style-language/schema/raw/master/csl-citation.json"}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[1]</w:t>
      </w:r>
      <w:r w:rsidRPr="00555DE1">
        <w:rPr>
          <w:rFonts w:ascii="Arial" w:hAnsi="Arial" w:cs="Arial"/>
          <w:sz w:val="22"/>
          <w:szCs w:val="22"/>
        </w:rPr>
        <w:fldChar w:fldCharType="end"/>
      </w:r>
      <w:r w:rsidRPr="00555DE1">
        <w:rPr>
          <w:rFonts w:ascii="Arial" w:hAnsi="Arial" w:cs="Arial"/>
          <w:sz w:val="22"/>
          <w:szCs w:val="22"/>
        </w:rPr>
        <w:t xml:space="preserve">. Ensuring the correct release of the active pharmaceutical ingredient is vital for quality control. Consequently, assessing dissolution—the in vitro release of the drug—has become a primary method for monitoring the quality of solid dosage forms. </w:t>
      </w:r>
      <w:r w:rsidR="00B93CDA" w:rsidRPr="00555DE1">
        <w:rPr>
          <w:rFonts w:ascii="Arial" w:hAnsi="Arial" w:cs="Arial"/>
          <w:sz w:val="22"/>
          <w:szCs w:val="22"/>
        </w:rPr>
        <w:t>Currently, drug dissolution tests are critically important to both the pharmaceutical industry and regulatory agencies, as they are necessary to secure marketing approval for</w:t>
      </w:r>
      <w:r w:rsidRPr="00555DE1">
        <w:rPr>
          <w:rFonts w:ascii="Arial" w:hAnsi="Arial" w:cs="Arial"/>
          <w:sz w:val="22"/>
          <w:szCs w:val="22"/>
        </w:rPr>
        <w:t xml:space="preserve"> pharmaceutical products. These studies are especially important when dissolution limits the rate of drug absorption, particularly for hydrophobic drugs. </w:t>
      </w:r>
    </w:p>
    <w:p w14:paraId="72185F35" w14:textId="57C88C56"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Therefore, they offer a quick and affordable way to predict how a drug formulation will be absorbed in vivo. An additional important tool used in pre-formulation studies during pharmaceutical development is the Biopharmaceutical Classification System (BCS). This system </w:t>
      </w:r>
      <w:r w:rsidR="00053739" w:rsidRPr="00555DE1">
        <w:rPr>
          <w:rFonts w:ascii="Arial" w:hAnsi="Arial" w:cs="Arial"/>
          <w:sz w:val="22"/>
          <w:szCs w:val="22"/>
        </w:rPr>
        <w:t>categorizes</w:t>
      </w:r>
      <w:r w:rsidR="00F03336" w:rsidRPr="00555DE1">
        <w:rPr>
          <w:rFonts w:ascii="Arial" w:hAnsi="Arial" w:cs="Arial"/>
          <w:sz w:val="22"/>
          <w:szCs w:val="22"/>
        </w:rPr>
        <w:t xml:space="preserve"> drugs by</w:t>
      </w:r>
      <w:r w:rsidRPr="00555DE1">
        <w:rPr>
          <w:rFonts w:ascii="Arial" w:hAnsi="Arial" w:cs="Arial"/>
          <w:sz w:val="22"/>
          <w:szCs w:val="22"/>
        </w:rPr>
        <w:t xml:space="preserve"> their water solubility and ability to permeate biological membranes</w:t>
      </w:r>
      <w:r w:rsidR="00F03336" w:rsidRPr="00555DE1">
        <w:rPr>
          <w:rFonts w:ascii="Arial" w:hAnsi="Arial" w:cs="Arial"/>
          <w:sz w:val="22"/>
          <w:szCs w:val="22"/>
        </w:rPr>
        <w:t>.</w:t>
      </w:r>
      <w:r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{"citationID":"th3mDD1L","properties":{"formattedCitation":"[2]","plainCitation":"[2]","noteIndex":0},"citationItems":[{"id":"aW9DjT7Z/bvZDXhwb","uris":["http://zotero.org/users/local/BkIOkmFs/items/IR2Y3MVI"],"itemData":{"id":2,"type":"article-journal","abstract":"H Lennernäs","container-title":"Pharm Res.","DOI":"10.1023/a:1016212804288","issue":"3","page":"413-20","title":"A theoretical basis for a biopharmaceutic drug classification: the correlation of in vitro drug product dissolution and in vivo bioavailability.","volume":"12","author":[{"family":"","given":"G L Amidon"},{"family":"V P Shah","given":""},{"family":"J R Crison","given":""}],"issued":{"date-parts":[["1995"]]}}}],"schema":"https://github.com/citation-style-language/schema/raw/master/csl-citation.json"}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[2]</w:t>
      </w:r>
      <w:r w:rsidRPr="00555DE1">
        <w:rPr>
          <w:rFonts w:ascii="Arial" w:hAnsi="Arial" w:cs="Arial"/>
          <w:sz w:val="22"/>
          <w:szCs w:val="22"/>
        </w:rPr>
        <w:fldChar w:fldCharType="end"/>
      </w:r>
      <w:r w:rsidRPr="00555DE1">
        <w:rPr>
          <w:rFonts w:ascii="Arial" w:hAnsi="Arial" w:cs="Arial"/>
          <w:sz w:val="22"/>
          <w:szCs w:val="22"/>
        </w:rPr>
        <w:t xml:space="preserve">. Drug molecules </w:t>
      </w:r>
      <w:r w:rsidR="00053739" w:rsidRPr="00555DE1">
        <w:rPr>
          <w:rFonts w:ascii="Arial" w:hAnsi="Arial" w:cs="Arial"/>
          <w:sz w:val="22"/>
          <w:szCs w:val="22"/>
        </w:rPr>
        <w:t>categorized</w:t>
      </w:r>
      <w:r w:rsidR="00F03336" w:rsidRPr="00555DE1">
        <w:rPr>
          <w:rFonts w:ascii="Arial" w:hAnsi="Arial" w:cs="Arial"/>
          <w:sz w:val="22"/>
          <w:szCs w:val="22"/>
        </w:rPr>
        <w:t xml:space="preserve"> as Class II and IV frequently encounter difficulties in releasing their APIs, potentially reducing</w:t>
      </w:r>
      <w:r w:rsidRPr="00555DE1">
        <w:rPr>
          <w:rFonts w:ascii="Arial" w:hAnsi="Arial" w:cs="Arial"/>
          <w:sz w:val="22"/>
          <w:szCs w:val="22"/>
        </w:rPr>
        <w:t xml:space="preserve"> bioavailability. As a result, these molecules need comprehensive physicochemical </w:t>
      </w:r>
      <w:r w:rsidR="00AB60B9" w:rsidRPr="00555DE1">
        <w:rPr>
          <w:rFonts w:ascii="Arial" w:hAnsi="Arial" w:cs="Arial"/>
          <w:sz w:val="22"/>
          <w:szCs w:val="22"/>
        </w:rPr>
        <w:t>characterization</w:t>
      </w:r>
      <w:r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LkjOTEtE","properties":{"formattedCitation":"[3]","plainCitation":"[3]","noteIndex":0},"citationItems":[{"id":"aW9DjT7Z/s4WixnVN","uris":["http://zotero.org/users/local/BkIOkmFs/items/LS275GZW"],"itemData":{"id":3,"type":"article-journal","container-title":"Journal of Controlled Release","DOI":"10.1016/j.jconrel.2017.01.014.","page":"71-95","title":"BCS class IV drugs: Highly notorious candidates for formulation development.","volume":"248","author":[{"family":"Ghadi R, Dand N.","given":""}],"issued":{"date-parts":[["2017"]]}}}],"schema":"https://github.com/citation-style-language/schema/raw/master/csl-citation.json"}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[3]</w:t>
      </w:r>
      <w:r w:rsidRPr="00555DE1">
        <w:rPr>
          <w:rFonts w:ascii="Arial" w:hAnsi="Arial" w:cs="Arial"/>
          <w:sz w:val="22"/>
          <w:szCs w:val="22"/>
        </w:rPr>
        <w:fldChar w:fldCharType="end"/>
      </w:r>
      <w:r w:rsidRPr="00555DE1">
        <w:rPr>
          <w:rFonts w:ascii="Arial" w:hAnsi="Arial" w:cs="Arial"/>
          <w:sz w:val="22"/>
          <w:szCs w:val="22"/>
        </w:rPr>
        <w:t>.</w:t>
      </w:r>
    </w:p>
    <w:p w14:paraId="2C0979DA" w14:textId="0D0A1B5E" w:rsidR="002A4071" w:rsidRPr="00555DE1" w:rsidRDefault="002A4071" w:rsidP="002A4071">
      <w:pPr>
        <w:pStyle w:val="Body"/>
        <w:rPr>
          <w:rFonts w:ascii="Arial" w:hAnsi="Arial" w:cs="Arial"/>
          <w:sz w:val="22"/>
          <w:szCs w:val="22"/>
        </w:rPr>
      </w:pPr>
      <w:r w:rsidRPr="00555DE1">
        <w:rPr>
          <w:rFonts w:ascii="Arial" w:hAnsi="Arial" w:cs="Arial"/>
          <w:sz w:val="22"/>
          <w:szCs w:val="22"/>
        </w:rPr>
        <w:t>Using BCS alongside dissolution studies has shown advantages for the pharmaceutical industry and drug regulatory authorities worldwide. This scientific method helps evaluate bioavailability to confirm bioequivalence for solid oral immediate-release FPP. Consequently, there has been a notable reduction in the costs associated with developing and testing new drugs</w:t>
      </w:r>
      <w:r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{"citationID":"StLJeUj0","properties":{"formattedCitation":"[4]","plainCitation":"[4]","noteIndex":0},"citationItems":[{"id":"aW9DjT7Z/shm9kvOE","uris":["http://zotero.org/users/local/BkIOkmFs/items/KX3KX463"],"itemData":{"id":4,"type":"article-journal","container-title":"AAPS J","DOI":"10.1208/s12248-008-9036-5","issue":"2","page":"306-10","title":"Application of the biopharmaceutical classification system in clinical drug development--an industrial view","volume":"10","author":[{"family":"","given":"Jack Cook"},{"family":"Yunhui Henry Wu","given":""},{"family":"William Addicks","given":""}],"issued":{"date-parts":[["2008"]]}}}],"schema":"https://github.com/citation-style-language/schema/raw/master/csl-citation.json"}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[4]</w:t>
      </w:r>
      <w:r w:rsidRPr="00555DE1">
        <w:rPr>
          <w:rFonts w:ascii="Arial" w:hAnsi="Arial" w:cs="Arial"/>
          <w:sz w:val="22"/>
          <w:szCs w:val="22"/>
        </w:rPr>
        <w:fldChar w:fldCharType="end"/>
      </w:r>
      <w:r w:rsidRPr="00555DE1">
        <w:rPr>
          <w:rFonts w:ascii="Arial" w:hAnsi="Arial" w:cs="Arial"/>
          <w:sz w:val="22"/>
          <w:szCs w:val="22"/>
        </w:rPr>
        <w:t>.</w:t>
      </w:r>
    </w:p>
    <w:p w14:paraId="029474F1" w14:textId="257750CF"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During the pre-formulation phase, performing dissolution tests on pure active pharmaceutical ingredients (APIs) is essential. This helps assess their physicochemical properties and supports </w:t>
      </w:r>
      <w:r w:rsidR="00AB60B9" w:rsidRPr="00555DE1">
        <w:rPr>
          <w:rFonts w:ascii="Arial" w:hAnsi="Arial" w:cs="Arial"/>
          <w:sz w:val="22"/>
          <w:szCs w:val="22"/>
        </w:rPr>
        <w:t>the selection of</w:t>
      </w:r>
      <w:r w:rsidRPr="00555DE1">
        <w:rPr>
          <w:rFonts w:ascii="Arial" w:hAnsi="Arial" w:cs="Arial"/>
          <w:sz w:val="22"/>
          <w:szCs w:val="22"/>
        </w:rPr>
        <w:t xml:space="preserve"> the best solid forms for subsequent development stages. Variations in solid form properties, such as unanticipated polymorphs or changes in solid phases, can often cause inconsistencies in manufacturing between different process batches</w:t>
      </w:r>
      <w:r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{"citationID":"XzFByyQC","properties":{"formattedCitation":"[5]","plainCitation":"[5]","noteIndex":0},"citationItems":[{"id":"aW9DjT7Z/r4XhAeuY","uris":["http://zotero.org/users/local/BkIOkmFs/items/NY8TXXJV"],"itemData":{"id":5,"type":"article-journal","abstract":"Grant DJW","container-title":"International J Pharm Sci.","DOI":"10.1016/0378-5173(95)04466-3","page":"151-160","title":"Influence of water activity in organic solvent plus water mixtures on the nature of the crystallizing phase. 1. Theophylline","volume":"135","author":[{"family":"","given":"Zhu, H."},{"family":"Yuen, C.","given":""}],"issued":{"date-parts":[["1996"]]}}}],"schema":"https://github.com/citation-style-language/schema/raw/master/csl-citation.json"}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[5]</w:t>
      </w:r>
      <w:r w:rsidRPr="00555DE1">
        <w:rPr>
          <w:rFonts w:ascii="Arial" w:hAnsi="Arial" w:cs="Arial"/>
          <w:sz w:val="22"/>
          <w:szCs w:val="22"/>
        </w:rPr>
        <w:fldChar w:fldCharType="end"/>
      </w:r>
      <w:r w:rsidRPr="00555DE1">
        <w:rPr>
          <w:rFonts w:ascii="Arial" w:hAnsi="Arial" w:cs="Arial"/>
          <w:sz w:val="22"/>
          <w:szCs w:val="22"/>
        </w:rPr>
        <w:t xml:space="preserve">. For drugs with limited solubility, minor changes in dissolution </w:t>
      </w:r>
      <w:proofErr w:type="spellStart"/>
      <w:r w:rsidR="00AC224A" w:rsidRPr="00555DE1">
        <w:rPr>
          <w:rFonts w:ascii="Arial" w:hAnsi="Arial" w:cs="Arial"/>
          <w:sz w:val="22"/>
          <w:szCs w:val="22"/>
        </w:rPr>
        <w:t>behaviour</w:t>
      </w:r>
      <w:proofErr w:type="spellEnd"/>
      <w:r w:rsidRPr="00555DE1">
        <w:rPr>
          <w:rFonts w:ascii="Arial" w:hAnsi="Arial" w:cs="Arial"/>
          <w:sz w:val="22"/>
          <w:szCs w:val="22"/>
        </w:rPr>
        <w:t xml:space="preserve"> can result in reduced bioavailability, delays in drug approval processes, and may prompt regulatory agencies to withdraw products from the </w:t>
      </w:r>
      <w:proofErr w:type="spellStart"/>
      <w:r w:rsidRPr="00555DE1">
        <w:rPr>
          <w:rFonts w:ascii="Arial" w:hAnsi="Arial" w:cs="Arial"/>
          <w:sz w:val="22"/>
          <w:szCs w:val="22"/>
        </w:rPr>
        <w:t>marke</w:t>
      </w:r>
      <w:proofErr w:type="spellEnd"/>
      <w:r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{"citationID":"J7zn6Sim","properties":{"formattedCitation":"[6]","plainCitation":"[6]","noteIndex":0},"citationItems":[{"id":"aW9DjT7Z/fwFLX9NN","uris":["http://zotero.org/users/local/BkIOkmFs/items/ITJFJAG5"],"itemData":{"id":6,"type":"article-journal","container-title":"Adv Drug Deliv Rev","page":"3-26","title":"Crystalline solids.","volume":"48","author":[{"family":"","given":"Vippagunta, S.R"},{"family":"Brittain, H.G.","given":""},{"family":"Grant DJ","given":""}],"issued":{"date-parts":[["2001"]]}}}],"schema":"https://github.com/citation-style-language/schema/raw/master/csl-citation.json"}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[6]</w:t>
      </w:r>
      <w:r w:rsidRPr="00555DE1">
        <w:rPr>
          <w:rFonts w:ascii="Arial" w:hAnsi="Arial" w:cs="Arial"/>
          <w:sz w:val="22"/>
          <w:szCs w:val="22"/>
        </w:rPr>
        <w:fldChar w:fldCharType="end"/>
      </w:r>
      <w:r w:rsidRPr="00555DE1">
        <w:rPr>
          <w:rFonts w:ascii="Arial" w:hAnsi="Arial" w:cs="Arial"/>
          <w:sz w:val="22"/>
          <w:szCs w:val="22"/>
        </w:rPr>
        <w:t>.</w:t>
      </w:r>
    </w:p>
    <w:p w14:paraId="59FF4EA7" w14:textId="2B0FCF5A" w:rsidR="005D2042" w:rsidRDefault="002A4071" w:rsidP="002A4071">
      <w:pPr>
        <w:pStyle w:val="Body"/>
        <w:rPr>
          <w:rFonts w:ascii="Arial" w:hAnsi="Arial" w:cs="Arial"/>
          <w:sz w:val="22"/>
          <w:szCs w:val="22"/>
        </w:rPr>
      </w:pPr>
      <w:r w:rsidRPr="00555DE1">
        <w:rPr>
          <w:rFonts w:ascii="Arial" w:hAnsi="Arial" w:cs="Arial"/>
          <w:sz w:val="22"/>
          <w:szCs w:val="22"/>
        </w:rPr>
        <w:t xml:space="preserve">Dissolution tests are essential for improving therapeutic effectiveness </w:t>
      </w:r>
      <w:r w:rsidR="00AB60B9" w:rsidRPr="00555DE1">
        <w:rPr>
          <w:rFonts w:ascii="Arial" w:hAnsi="Arial" w:cs="Arial"/>
          <w:sz w:val="22"/>
          <w:szCs w:val="22"/>
        </w:rPr>
        <w:t>and for</w:t>
      </w:r>
      <w:r w:rsidRPr="00555DE1">
        <w:rPr>
          <w:rFonts w:ascii="Arial" w:hAnsi="Arial" w:cs="Arial"/>
          <w:sz w:val="22"/>
          <w:szCs w:val="22"/>
        </w:rPr>
        <w:t xml:space="preserve"> stability assessments. They ensure consistency across different production batches and evaluate bioequivalence among batches from the same or different manufacturers. Consequently, dissolution testing is crucial for the successful formulation and development of oral medications.</w:t>
      </w:r>
    </w:p>
    <w:p w14:paraId="463256CC" w14:textId="77777777" w:rsidR="00D03F59" w:rsidRDefault="00D03F59" w:rsidP="002A4071">
      <w:pPr>
        <w:pStyle w:val="Body"/>
        <w:rPr>
          <w:rFonts w:ascii="Arial" w:hAnsi="Arial" w:cs="Arial"/>
          <w:sz w:val="22"/>
          <w:szCs w:val="22"/>
        </w:rPr>
      </w:pPr>
    </w:p>
    <w:p w14:paraId="5EE209AB" w14:textId="77777777" w:rsidR="00D03F59" w:rsidRDefault="00D03F59" w:rsidP="002A4071">
      <w:pPr>
        <w:pStyle w:val="Body"/>
        <w:rPr>
          <w:rFonts w:ascii="Arial" w:hAnsi="Arial" w:cs="Arial"/>
          <w:sz w:val="22"/>
          <w:szCs w:val="22"/>
        </w:rPr>
      </w:pPr>
    </w:p>
    <w:p w14:paraId="48FFC9D8" w14:textId="77777777" w:rsidR="00D03F59" w:rsidRPr="00555DE1" w:rsidRDefault="00D03F59" w:rsidP="002A4071">
      <w:pPr>
        <w:pStyle w:val="Body"/>
        <w:rPr>
          <w:rFonts w:ascii="Arial" w:hAnsi="Arial" w:cs="Arial"/>
          <w:sz w:val="22"/>
          <w:szCs w:val="22"/>
        </w:rPr>
      </w:pPr>
    </w:p>
    <w:p w14:paraId="32794E1C" w14:textId="77777777" w:rsidR="002A4071" w:rsidRPr="00555DE1" w:rsidRDefault="002A4071" w:rsidP="00752610">
      <w:pPr>
        <w:pStyle w:val="Body"/>
        <w:numPr>
          <w:ilvl w:val="1"/>
          <w:numId w:val="3"/>
        </w:numPr>
        <w:spacing w:after="0"/>
        <w:rPr>
          <w:rFonts w:ascii="Arial" w:hAnsi="Arial" w:cs="Arial"/>
          <w:b/>
          <w:sz w:val="22"/>
          <w:szCs w:val="22"/>
        </w:rPr>
      </w:pPr>
      <w:r w:rsidRPr="00555DE1">
        <w:rPr>
          <w:rFonts w:ascii="Arial" w:hAnsi="Arial" w:cs="Arial"/>
          <w:b/>
          <w:sz w:val="22"/>
          <w:szCs w:val="22"/>
        </w:rPr>
        <w:lastRenderedPageBreak/>
        <w:t>Theory and Mechanism of Dissolution</w:t>
      </w:r>
    </w:p>
    <w:p w14:paraId="72B66228" w14:textId="18DF41DC" w:rsidR="002A4071" w:rsidRPr="00555DE1" w:rsidRDefault="002A4071" w:rsidP="005D2042">
      <w:pPr>
        <w:pStyle w:val="Body"/>
        <w:jc w:val="left"/>
        <w:rPr>
          <w:rFonts w:ascii="Arial" w:hAnsi="Arial" w:cs="Arial"/>
          <w:sz w:val="22"/>
          <w:szCs w:val="22"/>
        </w:rPr>
      </w:pPr>
      <w:r w:rsidRPr="00555DE1">
        <w:rPr>
          <w:rFonts w:ascii="Arial" w:hAnsi="Arial" w:cs="Arial"/>
          <w:sz w:val="22"/>
          <w:szCs w:val="22"/>
        </w:rPr>
        <w:t xml:space="preserve">Dissolution is an active process in which a solute disperses within a solvent, forming a chemically and physically uniform mixture called a solution at the molecular level. The interaction between the solid and liquid phases is essential for this process. When a pharmaceutical dosage form is administered, the rate at which the API is released becomes critical </w:t>
      </w:r>
      <w:r w:rsidR="008C7360" w:rsidRPr="00555DE1">
        <w:rPr>
          <w:rFonts w:ascii="Arial" w:hAnsi="Arial" w:cs="Arial"/>
          <w:sz w:val="22"/>
          <w:szCs w:val="22"/>
        </w:rPr>
        <w:t>to</w:t>
      </w:r>
      <w:r w:rsidRPr="00555DE1">
        <w:rPr>
          <w:rFonts w:ascii="Arial" w:hAnsi="Arial" w:cs="Arial"/>
          <w:sz w:val="22"/>
          <w:szCs w:val="22"/>
        </w:rPr>
        <w:t xml:space="preserve"> </w:t>
      </w:r>
      <w:r w:rsidR="008C7360" w:rsidRPr="00555DE1">
        <w:rPr>
          <w:rFonts w:ascii="Arial" w:hAnsi="Arial" w:cs="Arial"/>
          <w:sz w:val="22"/>
          <w:szCs w:val="22"/>
        </w:rPr>
        <w:t>ensure</w:t>
      </w:r>
      <w:r w:rsidRPr="00555DE1">
        <w:rPr>
          <w:rFonts w:ascii="Arial" w:hAnsi="Arial" w:cs="Arial"/>
          <w:sz w:val="22"/>
          <w:szCs w:val="22"/>
        </w:rPr>
        <w:t xml:space="preserve"> effective drug delivery</w:t>
      </w:r>
      <w:r w:rsidRPr="00555DE1">
        <w:rPr>
          <w:rFonts w:ascii="Arial" w:hAnsi="Arial" w:cs="Arial"/>
          <w:sz w:val="22"/>
          <w:szCs w:val="22"/>
        </w:rPr>
        <w:fldChar w:fldCharType="begin"/>
      </w:r>
      <w:r w:rsidR="00A8672A" w:rsidRPr="00555DE1">
        <w:rPr>
          <w:rFonts w:ascii="Arial" w:hAnsi="Arial" w:cs="Arial"/>
          <w:sz w:val="22"/>
          <w:szCs w:val="22"/>
        </w:rPr>
        <w:instrText xml:space="preserve"> ADDIN ZOTERO_ITEM CSL_CITATION {"citationID":"Uti6NAkf","properties":{"formattedCitation":"[7]","plainCitation":"[7]","noteIndex":0},"citationItems":[{"id":1251,"uris":["http://zotero.org/users/16905564/items/Q8MIZJTR"],"itemData":{"id":1251,"type":"book","ISBN":"1-4511-8876-5","publisher":"Lippincott Williams &amp; Wilkins","title":"Ansel's pharmaceutical dosage forms and drug delivery systems","author":[{"family":"Allen","given":"Loyd"},{"family":"Ansel","given":"Howard C"}],"issued":{"date-parts":[["2013"]]}}}],"schema":"https://github.com/citation-style-language/schema/raw/master/csl-citation.json"} </w:instrText>
      </w:r>
      <w:r w:rsidRPr="00555DE1">
        <w:rPr>
          <w:rFonts w:ascii="Arial" w:hAnsi="Arial" w:cs="Arial"/>
          <w:sz w:val="22"/>
          <w:szCs w:val="22"/>
        </w:rPr>
        <w:fldChar w:fldCharType="separate"/>
      </w:r>
      <w:r w:rsidR="00A8672A" w:rsidRPr="00555DE1">
        <w:rPr>
          <w:rFonts w:ascii="Arial" w:hAnsi="Arial" w:cs="Arial"/>
          <w:sz w:val="22"/>
          <w:szCs w:val="22"/>
        </w:rPr>
        <w:t>[7]</w:t>
      </w:r>
      <w:r w:rsidRPr="00555DE1">
        <w:rPr>
          <w:rFonts w:ascii="Arial" w:hAnsi="Arial" w:cs="Arial"/>
          <w:sz w:val="22"/>
          <w:szCs w:val="22"/>
        </w:rPr>
        <w:fldChar w:fldCharType="end"/>
      </w:r>
      <w:r w:rsidRPr="00555DE1">
        <w:rPr>
          <w:rFonts w:ascii="Arial" w:hAnsi="Arial" w:cs="Arial"/>
          <w:sz w:val="22"/>
          <w:szCs w:val="22"/>
        </w:rPr>
        <w:t xml:space="preserve">. In biological contexts, solid dosage forms dissolve </w:t>
      </w:r>
      <w:r w:rsidR="00F03336" w:rsidRPr="00555DE1">
        <w:rPr>
          <w:rFonts w:ascii="Arial" w:hAnsi="Arial" w:cs="Arial"/>
          <w:sz w:val="22"/>
          <w:szCs w:val="22"/>
        </w:rPr>
        <w:t>before</w:t>
      </w:r>
      <w:r w:rsidRPr="00555DE1">
        <w:rPr>
          <w:rFonts w:ascii="Arial" w:hAnsi="Arial" w:cs="Arial"/>
          <w:sz w:val="22"/>
          <w:szCs w:val="22"/>
        </w:rPr>
        <w:t xml:space="preserve"> </w:t>
      </w:r>
      <w:r w:rsidR="00F03336" w:rsidRPr="00555DE1">
        <w:rPr>
          <w:rFonts w:ascii="Arial" w:hAnsi="Arial" w:cs="Arial"/>
          <w:sz w:val="22"/>
          <w:szCs w:val="22"/>
        </w:rPr>
        <w:t>the drug is absorbed</w:t>
      </w:r>
      <w:r w:rsidRPr="00555DE1">
        <w:rPr>
          <w:rFonts w:ascii="Arial" w:hAnsi="Arial" w:cs="Arial"/>
          <w:sz w:val="22"/>
          <w:szCs w:val="22"/>
        </w:rPr>
        <w:t xml:space="preserve"> into the bloodstream</w:t>
      </w:r>
      <w:r w:rsidR="00D03F59">
        <w:rPr>
          <w:rFonts w:ascii="Arial" w:hAnsi="Arial" w:cs="Arial"/>
          <w:sz w:val="22"/>
          <w:szCs w:val="22"/>
        </w:rPr>
        <w:t xml:space="preserve">. </w:t>
      </w:r>
      <w:r w:rsidRPr="00555DE1">
        <w:rPr>
          <w:rFonts w:ascii="Arial" w:hAnsi="Arial" w:cs="Arial"/>
          <w:sz w:val="22"/>
          <w:szCs w:val="22"/>
        </w:rPr>
        <w:t>Figure 1 shows the dissolution process for a solid dosage form.</w:t>
      </w:r>
      <w:r w:rsidRPr="00555DE1">
        <w:rPr>
          <w:rFonts w:ascii="Arial" w:hAnsi="Arial" w:cs="Arial"/>
          <w:noProof/>
          <w:sz w:val="22"/>
          <w:szCs w:val="22"/>
        </w:rPr>
        <w:drawing>
          <wp:inline distT="0" distB="0" distL="0" distR="0" wp14:anchorId="2E47C4F4" wp14:editId="125B8036">
            <wp:extent cx="4762500" cy="3324225"/>
            <wp:effectExtent l="190500" t="190500" r="190500" b="200025"/>
            <wp:docPr id="1" name="Picture 1" descr="Dissolution testing theory : Dissolution Rate - Av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solution testing theory : Dissolution Rate - Aviv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324225"/>
                    </a:xfrm>
                    <a:prstGeom prst="rect">
                      <a:avLst/>
                    </a:prstGeom>
                    <a:ln>
                      <a:noFill/>
                    </a:ln>
                    <a:effectLst>
                      <a:outerShdw blurRad="190500" algn="tl" rotWithShape="0">
                        <a:srgbClr val="000000">
                          <a:alpha val="70000"/>
                        </a:srgbClr>
                      </a:outerShdw>
                    </a:effectLst>
                  </pic:spPr>
                </pic:pic>
              </a:graphicData>
            </a:graphic>
          </wp:inline>
        </w:drawing>
      </w:r>
    </w:p>
    <w:p w14:paraId="59E09E80" w14:textId="77777777" w:rsidR="002A4071" w:rsidRPr="00555DE1" w:rsidRDefault="002A4071" w:rsidP="002A4071">
      <w:pPr>
        <w:pStyle w:val="Body"/>
        <w:rPr>
          <w:rFonts w:ascii="Arial" w:hAnsi="Arial" w:cs="Arial"/>
          <w:bCs/>
          <w:sz w:val="22"/>
          <w:szCs w:val="22"/>
        </w:rPr>
      </w:pPr>
      <w:r w:rsidRPr="00555DE1">
        <w:rPr>
          <w:rFonts w:ascii="Arial" w:hAnsi="Arial" w:cs="Arial"/>
          <w:b/>
          <w:bCs/>
          <w:sz w:val="22"/>
          <w:szCs w:val="22"/>
        </w:rPr>
        <w:t>Figure 1:</w:t>
      </w:r>
      <w:r w:rsidRPr="00555DE1">
        <w:rPr>
          <w:rFonts w:ascii="Arial" w:hAnsi="Arial" w:cs="Arial"/>
          <w:sz w:val="22"/>
          <w:szCs w:val="22"/>
        </w:rPr>
        <w:t xml:space="preserve"> </w:t>
      </w:r>
      <w:r w:rsidRPr="00555DE1">
        <w:rPr>
          <w:rFonts w:ascii="Arial" w:hAnsi="Arial" w:cs="Arial"/>
          <w:bCs/>
          <w:sz w:val="22"/>
          <w:szCs w:val="22"/>
        </w:rPr>
        <w:t>Dissolution sequence for a solid dosage form</w:t>
      </w:r>
    </w:p>
    <w:p w14:paraId="192D8C03" w14:textId="47EE5DE7" w:rsidR="002A4071" w:rsidRPr="00555DE1" w:rsidRDefault="002A4071" w:rsidP="002A4071">
      <w:pPr>
        <w:pStyle w:val="Body"/>
        <w:rPr>
          <w:rFonts w:ascii="Arial" w:hAnsi="Arial" w:cs="Arial"/>
          <w:sz w:val="22"/>
          <w:szCs w:val="22"/>
        </w:rPr>
      </w:pPr>
      <w:r w:rsidRPr="00555DE1">
        <w:rPr>
          <w:rFonts w:ascii="Arial" w:hAnsi="Arial" w:cs="Arial"/>
          <w:sz w:val="22"/>
          <w:szCs w:val="22"/>
        </w:rPr>
        <w:t>Dissolution typically occurs when a solid solute is introduced into a solvent. This process happens spontaneously only if the attractive forces between the solute and solvent are stronger than the cohesive forces that hold the solute in solid form and the solvent in liquid form</w:t>
      </w:r>
      <w:r w:rsidR="00156F03" w:rsidRPr="00555DE1">
        <w:rPr>
          <w:rFonts w:ascii="Arial" w:hAnsi="Arial" w:cs="Arial"/>
          <w:sz w:val="22"/>
          <w:szCs w:val="22"/>
        </w:rPr>
        <w:fldChar w:fldCharType="begin"/>
      </w:r>
      <w:r w:rsidR="001D7967" w:rsidRPr="00555DE1">
        <w:rPr>
          <w:rFonts w:ascii="Arial" w:hAnsi="Arial" w:cs="Arial"/>
          <w:sz w:val="22"/>
          <w:szCs w:val="22"/>
        </w:rPr>
        <w:instrText xml:space="preserve"> ADDIN ZOTERO_ITEM CSL_CITATION {"citationID":"x6ZZTtgj","properties":{"formattedCitation":"[8]","plainCitation":"[8]","noteIndex":0},"citationItems":[{"id":1301,"uris":["http://zotero.org/users/16905564/items/F93HD54G"],"itemData":{"id":1301,"type":"chapter","container-title":"Solvents, Solvation, Solubilization and Solution: The Solubility of Materials","publisher":"HDW Publications Bern","title":"Solvents, Solvation, Solubilization and Solution: The Solubility of Materials","author":[{"family":"Zumbühl","given":"Stefan"}],"issued":{"date-parts":[["2019"]]}}}],"schema":"https://github.com/citation-style-language/schema/raw/master/csl-citation.json"} </w:instrText>
      </w:r>
      <w:r w:rsidR="00156F03" w:rsidRPr="00555DE1">
        <w:rPr>
          <w:rFonts w:ascii="Arial" w:hAnsi="Arial" w:cs="Arial"/>
          <w:sz w:val="22"/>
          <w:szCs w:val="22"/>
        </w:rPr>
        <w:fldChar w:fldCharType="separate"/>
      </w:r>
      <w:r w:rsidR="001D7967" w:rsidRPr="00555DE1">
        <w:rPr>
          <w:rFonts w:ascii="Arial" w:hAnsi="Arial" w:cs="Arial"/>
          <w:sz w:val="22"/>
          <w:szCs w:val="22"/>
        </w:rPr>
        <w:t>[8]</w:t>
      </w:r>
      <w:r w:rsidR="00156F03" w:rsidRPr="00555DE1">
        <w:rPr>
          <w:rFonts w:ascii="Arial" w:hAnsi="Arial" w:cs="Arial"/>
          <w:sz w:val="22"/>
          <w:szCs w:val="22"/>
        </w:rPr>
        <w:fldChar w:fldCharType="end"/>
      </w:r>
      <w:r w:rsidRPr="00555DE1">
        <w:rPr>
          <w:rFonts w:ascii="Arial" w:hAnsi="Arial" w:cs="Arial"/>
          <w:sz w:val="22"/>
          <w:szCs w:val="22"/>
        </w:rPr>
        <w:t>.</w:t>
      </w:r>
    </w:p>
    <w:p w14:paraId="7D75EDA8" w14:textId="0D043FCA" w:rsidR="00053739" w:rsidRPr="00555DE1" w:rsidRDefault="008C7360" w:rsidP="008C7360">
      <w:pPr>
        <w:pStyle w:val="Body"/>
        <w:rPr>
          <w:rFonts w:ascii="Arial" w:hAnsi="Arial" w:cs="Arial"/>
          <w:sz w:val="22"/>
          <w:szCs w:val="22"/>
        </w:rPr>
      </w:pPr>
      <w:r w:rsidRPr="00555DE1">
        <w:rPr>
          <w:rFonts w:ascii="Arial" w:hAnsi="Arial" w:cs="Arial"/>
          <w:sz w:val="22"/>
          <w:szCs w:val="22"/>
        </w:rPr>
        <w:t>Although solubility and dissolution are separate concepts, they are connected. Solubility is a specific thermodynamic property defined under consistent conditions such as temperature, pressure, solvent type, and pH. In contrast, dissolution is a kinetic process that describes how much of a drug changes from its solid form to a dissolved state within a solvent over a given period</w:t>
      </w:r>
      <w:r w:rsidR="002A4071"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{"citationID":"lDoCNW7Z","properties":{"formattedCitation":"[9]","plainCitation":"[9]","noteIndex":0},"citationItems":[{"id":"aW9DjT7Z/EEnzKXOq","uris":["http://zotero.org/users/local/BkIOkmFs/items/QEAPRJX5"],"itemData":{"id":37,"type":"book","edition":"5th ed.","event-place":"UNITED KINGDOM","publisher":"Elsevier","publisher-place":"UNITED KINGDOM","title":"The Design and Manufacture of Medicines","author":[{"family":"","given":"Aulton, M. E."}],"issued":{"date-parts":[["2017"]]}}}],"schema":"https://github.com/citation-style-language/schema/raw/master/csl-citation.json"} </w:instrText>
      </w:r>
      <w:r w:rsidR="002A4071" w:rsidRPr="00555DE1">
        <w:rPr>
          <w:rFonts w:ascii="Arial" w:hAnsi="Arial" w:cs="Arial"/>
          <w:sz w:val="22"/>
          <w:szCs w:val="22"/>
        </w:rPr>
        <w:fldChar w:fldCharType="separate"/>
      </w:r>
      <w:r w:rsidR="00A8672A" w:rsidRPr="00555DE1">
        <w:rPr>
          <w:rFonts w:ascii="Arial" w:hAnsi="Arial" w:cs="Arial"/>
          <w:sz w:val="22"/>
          <w:szCs w:val="22"/>
        </w:rPr>
        <w:t>[9]</w:t>
      </w:r>
      <w:r w:rsidR="002A4071" w:rsidRPr="00555DE1">
        <w:rPr>
          <w:rFonts w:ascii="Arial" w:hAnsi="Arial" w:cs="Arial"/>
          <w:sz w:val="22"/>
          <w:szCs w:val="22"/>
        </w:rPr>
        <w:fldChar w:fldCharType="end"/>
      </w:r>
      <w:r w:rsidR="002A4071" w:rsidRPr="00555DE1">
        <w:rPr>
          <w:rFonts w:ascii="Arial" w:hAnsi="Arial" w:cs="Arial"/>
          <w:sz w:val="22"/>
          <w:szCs w:val="22"/>
        </w:rPr>
        <w:t xml:space="preserve">. The dissolution process consists of several steps and exhibits various reactions at the solid-liquid interface. </w:t>
      </w:r>
      <w:r w:rsidRPr="00555DE1">
        <w:rPr>
          <w:rFonts w:ascii="Arial" w:hAnsi="Arial" w:cs="Arial"/>
          <w:sz w:val="22"/>
          <w:szCs w:val="22"/>
        </w:rPr>
        <w:t xml:space="preserve">Two main models—the limited reaction model and the diffusion-limited model—help explain the mechanism of dissolution. In the reaction-limited model, dissolution </w:t>
      </w:r>
      <w:r w:rsidR="00156F03" w:rsidRPr="00555DE1">
        <w:rPr>
          <w:rFonts w:ascii="Arial" w:hAnsi="Arial" w:cs="Arial"/>
          <w:sz w:val="22"/>
          <w:szCs w:val="22"/>
        </w:rPr>
        <w:t xml:space="preserve">occurs at the boundary between the undissolved solid </w:t>
      </w:r>
      <w:r w:rsidRPr="00555DE1">
        <w:rPr>
          <w:rFonts w:ascii="Arial" w:hAnsi="Arial" w:cs="Arial"/>
          <w:sz w:val="22"/>
          <w:szCs w:val="22"/>
        </w:rPr>
        <w:t xml:space="preserve">and the surrounding liquid. Here, the </w:t>
      </w:r>
      <w:r w:rsidRPr="00555DE1">
        <w:rPr>
          <w:rFonts w:ascii="Arial" w:hAnsi="Arial" w:cs="Arial"/>
          <w:sz w:val="22"/>
          <w:szCs w:val="22"/>
        </w:rPr>
        <w:lastRenderedPageBreak/>
        <w:t>rate of dissolution depends on the concentration of the undissolved solid, while chemical equilibrium sets the solubility</w:t>
      </w:r>
      <w:r w:rsidR="002A4071" w:rsidRPr="00555DE1">
        <w:rPr>
          <w:rFonts w:ascii="Arial" w:hAnsi="Arial" w:cs="Arial"/>
          <w:sz w:val="22"/>
          <w:szCs w:val="22"/>
        </w:rPr>
        <w:t>(Cs)</w:t>
      </w:r>
      <w:r w:rsidR="00A8672A" w:rsidRPr="00555DE1">
        <w:rPr>
          <w:rFonts w:ascii="Arial" w:hAnsi="Arial" w:cs="Arial"/>
          <w:sz w:val="22"/>
          <w:szCs w:val="22"/>
        </w:rPr>
        <w:fldChar w:fldCharType="begin"/>
      </w:r>
      <w:r w:rsidR="00A8672A" w:rsidRPr="00555DE1">
        <w:rPr>
          <w:rFonts w:ascii="Arial" w:hAnsi="Arial" w:cs="Arial"/>
          <w:sz w:val="22"/>
          <w:szCs w:val="22"/>
        </w:rPr>
        <w:instrText xml:space="preserve"> ADDIN ZOTERO_ITEM CSL_CITATION {"citationID":"vMhay9OY","properties":{"formattedCitation":"[10]","plainCitation":"[10]","noteIndex":0},"citationItems":[{"id":1290,"uris":["http://zotero.org/users/16905564/items/G2A78Z9Q"],"itemData":{"id":1290,"type":"article-journal","container-title":"European Journal of Pharmaceutical Sciences","ISSN":"0928-0987","journalAbbreviation":"European Journal of Pharmaceutical Sciences","page":"98-106","publisher":"Elsevier","title":"A reaction limited in vivo dissolution model for the study of drug absorption: towards a new paradigm for the biopharmaceutic classification of drugs","volume":"117","author":[{"family":"Macheras","given":"Panos"},{"family":"Iliadis","given":"Athanassios"},{"family":"Melagraki","given":"Georgia"}],"issued":{"date-parts":[["2018"]]}}}],"schema":"https://github.com/citation-style-language/schema/raw/master/csl-citation.json"} </w:instrText>
      </w:r>
      <w:r w:rsidR="00A8672A" w:rsidRPr="00555DE1">
        <w:rPr>
          <w:rFonts w:ascii="Arial" w:hAnsi="Arial" w:cs="Arial"/>
          <w:sz w:val="22"/>
          <w:szCs w:val="22"/>
        </w:rPr>
        <w:fldChar w:fldCharType="separate"/>
      </w:r>
      <w:r w:rsidR="00A8672A" w:rsidRPr="00555DE1">
        <w:rPr>
          <w:rFonts w:ascii="Arial" w:hAnsi="Arial" w:cs="Arial"/>
          <w:sz w:val="22"/>
          <w:szCs w:val="22"/>
        </w:rPr>
        <w:t>[10]</w:t>
      </w:r>
      <w:r w:rsidR="00A8672A" w:rsidRPr="00555DE1">
        <w:rPr>
          <w:rFonts w:ascii="Arial" w:hAnsi="Arial" w:cs="Arial"/>
          <w:sz w:val="22"/>
          <w:szCs w:val="22"/>
        </w:rPr>
        <w:fldChar w:fldCharType="end"/>
      </w:r>
      <w:r w:rsidR="002A4071" w:rsidRPr="00555DE1">
        <w:rPr>
          <w:rFonts w:ascii="Arial" w:hAnsi="Arial" w:cs="Arial"/>
          <w:sz w:val="22"/>
          <w:szCs w:val="22"/>
        </w:rPr>
        <w:t xml:space="preserve">. </w:t>
      </w:r>
    </w:p>
    <w:p w14:paraId="72056B98" w14:textId="77777777" w:rsidR="002A4071" w:rsidRPr="00555DE1" w:rsidRDefault="002A4071" w:rsidP="002A4071">
      <w:pPr>
        <w:pStyle w:val="Body"/>
        <w:rPr>
          <w:rFonts w:ascii="Arial" w:hAnsi="Arial" w:cs="Arial"/>
          <w:sz w:val="22"/>
          <w:szCs w:val="22"/>
        </w:rPr>
      </w:pPr>
      <w:r w:rsidRPr="00555DE1">
        <w:rPr>
          <w:rFonts w:ascii="Arial" w:hAnsi="Arial" w:cs="Arial"/>
          <w:b/>
          <w:sz w:val="22"/>
          <w:szCs w:val="22"/>
        </w:rPr>
        <w:t xml:space="preserve">1.1.1 </w:t>
      </w:r>
      <w:proofErr w:type="spellStart"/>
      <w:r w:rsidRPr="00555DE1">
        <w:rPr>
          <w:rFonts w:ascii="Arial" w:hAnsi="Arial" w:cs="Arial"/>
          <w:b/>
          <w:sz w:val="22"/>
          <w:szCs w:val="22"/>
        </w:rPr>
        <w:t>Danckwerts</w:t>
      </w:r>
      <w:proofErr w:type="spellEnd"/>
      <w:r w:rsidRPr="00555DE1">
        <w:rPr>
          <w:rFonts w:ascii="Arial" w:hAnsi="Arial" w:cs="Arial"/>
          <w:b/>
          <w:sz w:val="22"/>
          <w:szCs w:val="22"/>
        </w:rPr>
        <w:t xml:space="preserve"> model</w:t>
      </w:r>
      <w:r w:rsidRPr="00555DE1">
        <w:rPr>
          <w:rFonts w:ascii="Arial" w:hAnsi="Arial" w:cs="Arial"/>
          <w:sz w:val="22"/>
          <w:szCs w:val="22"/>
        </w:rPr>
        <w:t xml:space="preserve"> </w:t>
      </w:r>
    </w:p>
    <w:p w14:paraId="7B676C69" w14:textId="77777777" w:rsidR="00C521BA" w:rsidRPr="00C521BA" w:rsidRDefault="00C521BA" w:rsidP="00C521BA">
      <w:pPr>
        <w:spacing w:before="100" w:beforeAutospacing="1" w:after="100" w:afterAutospacing="1"/>
        <w:jc w:val="both"/>
        <w:rPr>
          <w:rFonts w:ascii="Times New Roman" w:hAnsi="Times New Roman"/>
          <w:sz w:val="24"/>
          <w:szCs w:val="24"/>
        </w:rPr>
      </w:pPr>
      <w:r w:rsidRPr="00C521BA">
        <w:rPr>
          <w:rFonts w:ascii="Times New Roman" w:hAnsi="Times New Roman"/>
          <w:sz w:val="24"/>
          <w:szCs w:val="24"/>
        </w:rPr>
        <w:t>This model describes the formation of macroscopic solvent clusters that adhere to the solid–liquid interface through diffusion. At this interface, these clusters can absorb solute molecules via diffusion, and once depleted, they are replenished by fresh solvent clusters [11]. The surface renewal process is closely associated with the rate of solute transfer, thereby influencing the overall dissolution rate. While the diffusion layer model remains the principal theoretical framework, it has undergone multiple modifications to account for observed deviations and complexities.</w:t>
      </w:r>
    </w:p>
    <w:p w14:paraId="54FD8AD9" w14:textId="3D4A7FCD" w:rsidR="002A4071" w:rsidRPr="00555DE1" w:rsidRDefault="002A4071" w:rsidP="002A4071">
      <w:pPr>
        <w:pStyle w:val="Body"/>
        <w:spacing w:after="0"/>
        <w:rPr>
          <w:rFonts w:ascii="Arial" w:hAnsi="Arial" w:cs="Arial"/>
          <w:sz w:val="22"/>
          <w:szCs w:val="22"/>
        </w:rPr>
      </w:pPr>
      <w:r w:rsidRPr="00555DE1">
        <w:rPr>
          <w:rFonts w:ascii="Arial" w:hAnsi="Arial" w:cs="Arial"/>
          <w:sz w:val="22"/>
          <w:szCs w:val="22"/>
        </w:rPr>
        <w:t>Recently, attention has shifted to an effective diffusion boundary layer, whose structure is mainly shaped by current hydrodynamic conditions.</w:t>
      </w:r>
    </w:p>
    <w:p w14:paraId="1DC47E93" w14:textId="77777777" w:rsidR="002A4071" w:rsidRPr="00555DE1" w:rsidRDefault="00C521BA" w:rsidP="00DB4E72">
      <w:pPr>
        <w:pStyle w:val="Body"/>
        <w:ind w:left="720"/>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dQ</m:t>
              </m:r>
            </m:num>
            <m:den>
              <m:r>
                <w:rPr>
                  <w:rFonts w:ascii="Cambria Math" w:hAnsi="Cambria Math" w:cs="Arial"/>
                  <w:sz w:val="22"/>
                  <w:szCs w:val="22"/>
                </w:rPr>
                <m:t>dt</m:t>
              </m:r>
            </m:den>
          </m:f>
          <m:r>
            <w:rPr>
              <w:rFonts w:ascii="Cambria Math" w:hAnsi="Cambria Math" w:cs="Arial"/>
              <w:sz w:val="22"/>
              <w:szCs w:val="22"/>
            </w:rPr>
            <m:t>=</m:t>
          </m:r>
          <m:r>
            <w:rPr>
              <w:rFonts w:ascii="Cambria Math" w:hAnsi="Cambria Math" w:cs="Arial"/>
              <w:sz w:val="22"/>
              <w:szCs w:val="22"/>
            </w:rPr>
            <m:t>A</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b</m:t>
                  </m:r>
                </m:sub>
              </m:sSub>
            </m:e>
          </m:d>
          <m:rad>
            <m:radPr>
              <m:degHide m:val="1"/>
              <m:ctrlPr>
                <w:rPr>
                  <w:rFonts w:ascii="Cambria Math" w:hAnsi="Cambria Math" w:cs="Arial"/>
                  <w:i/>
                  <w:sz w:val="22"/>
                  <w:szCs w:val="22"/>
                </w:rPr>
              </m:ctrlPr>
            </m:radPr>
            <m:deg/>
            <m:e>
              <m:r>
                <w:rPr>
                  <w:rFonts w:ascii="Cambria Math" w:hAnsi="Cambria Math" w:cs="Arial"/>
                  <w:sz w:val="22"/>
                  <w:szCs w:val="22"/>
                </w:rPr>
                <m:t>JD</m:t>
              </m:r>
            </m:e>
          </m:rad>
          <m:r>
            <w:rPr>
              <w:rFonts w:ascii="Cambria Math" w:hAnsi="Cambria Math" w:cs="Arial"/>
              <w:sz w:val="22"/>
              <w:szCs w:val="22"/>
            </w:rPr>
            <m:t>/</m:t>
          </m:r>
          <m:r>
            <w:rPr>
              <w:rFonts w:ascii="Cambria Math" w:hAnsi="Cambria Math" w:cs="Arial"/>
              <w:sz w:val="22"/>
              <w:szCs w:val="22"/>
            </w:rPr>
            <m:t>V</m:t>
          </m:r>
        </m:oMath>
      </m:oMathPara>
    </w:p>
    <w:p w14:paraId="16389BC8" w14:textId="17071215" w:rsidR="002A4071" w:rsidRPr="00555DE1" w:rsidRDefault="008C7360" w:rsidP="002A4071">
      <w:pPr>
        <w:pStyle w:val="Body"/>
        <w:rPr>
          <w:rFonts w:ascii="Arial" w:hAnsi="Arial" w:cs="Arial"/>
          <w:sz w:val="22"/>
          <w:szCs w:val="22"/>
        </w:rPr>
      </w:pPr>
      <w:r w:rsidRPr="00555DE1">
        <w:rPr>
          <w:rFonts w:ascii="Arial" w:hAnsi="Arial" w:cs="Arial"/>
          <w:sz w:val="22"/>
          <w:szCs w:val="22"/>
        </w:rPr>
        <w:t xml:space="preserve"> </w:t>
      </w:r>
      <w:proofErr w:type="spellStart"/>
      <w:r w:rsidRPr="00555DE1">
        <w:rPr>
          <w:rFonts w:ascii="Arial" w:hAnsi="Arial" w:cs="Arial"/>
          <w:sz w:val="22"/>
          <w:szCs w:val="22"/>
        </w:rPr>
        <w:t>dQ</w:t>
      </w:r>
      <w:proofErr w:type="spellEnd"/>
      <w:r w:rsidRPr="00555DE1">
        <w:rPr>
          <w:rFonts w:ascii="Arial" w:hAnsi="Arial" w:cs="Arial"/>
          <w:sz w:val="22"/>
          <w:szCs w:val="22"/>
        </w:rPr>
        <w:t>/dt represents the dissolution rate, A is the surface area of the dissolving object, Cs is the saturation solubility, </w:t>
      </w:r>
      <w:proofErr w:type="spellStart"/>
      <w:r w:rsidRPr="00555DE1">
        <w:rPr>
          <w:rFonts w:ascii="Arial" w:hAnsi="Arial" w:cs="Arial"/>
          <w:sz w:val="22"/>
          <w:szCs w:val="22"/>
        </w:rPr>
        <w:t>C</w:t>
      </w:r>
      <w:r w:rsidRPr="00555DE1">
        <w:rPr>
          <w:rFonts w:ascii="Arial" w:hAnsi="Arial" w:cs="Arial"/>
          <w:sz w:val="22"/>
          <w:szCs w:val="22"/>
          <w:vertAlign w:val="subscript"/>
        </w:rPr>
        <w:t>b</w:t>
      </w:r>
      <w:proofErr w:type="spellEnd"/>
      <w:r w:rsidRPr="00555DE1">
        <w:rPr>
          <w:rFonts w:ascii="Arial" w:hAnsi="Arial" w:cs="Arial"/>
          <w:sz w:val="22"/>
          <w:szCs w:val="22"/>
        </w:rPr>
        <w:t xml:space="preserve"> is the bulk concentration at time t, J is the surface renewal rate, D is the diffusion coefficient, and V is the volume of the dissolution medium</w:t>
      </w:r>
      <w:r w:rsidR="002A4071" w:rsidRPr="00555DE1">
        <w:rPr>
          <w:rFonts w:ascii="Arial" w:hAnsi="Arial" w:cs="Arial"/>
          <w:sz w:val="22"/>
          <w:szCs w:val="22"/>
        </w:rPr>
        <w:t>.</w:t>
      </w:r>
    </w:p>
    <w:p w14:paraId="14BCFAFC" w14:textId="77777777" w:rsidR="002A4071" w:rsidRPr="00555DE1" w:rsidRDefault="002A4071" w:rsidP="002A4071">
      <w:pPr>
        <w:pStyle w:val="Body"/>
        <w:rPr>
          <w:rFonts w:ascii="Arial" w:hAnsi="Arial" w:cs="Arial"/>
          <w:b/>
          <w:bCs/>
          <w:sz w:val="22"/>
          <w:szCs w:val="22"/>
        </w:rPr>
      </w:pPr>
      <w:r w:rsidRPr="00555DE1">
        <w:rPr>
          <w:rFonts w:ascii="Arial" w:hAnsi="Arial" w:cs="Arial"/>
          <w:b/>
          <w:bCs/>
          <w:sz w:val="22"/>
          <w:szCs w:val="22"/>
        </w:rPr>
        <w:t>1.1.2 The Interfacial Barrier Model</w:t>
      </w:r>
    </w:p>
    <w:p w14:paraId="30F55949" w14:textId="17CE6949" w:rsidR="002A4071" w:rsidRPr="00555DE1" w:rsidRDefault="002A4071" w:rsidP="002A4071">
      <w:pPr>
        <w:pStyle w:val="Body"/>
        <w:rPr>
          <w:rFonts w:ascii="Arial" w:hAnsi="Arial" w:cs="Arial"/>
          <w:bCs/>
          <w:sz w:val="22"/>
          <w:szCs w:val="22"/>
        </w:rPr>
      </w:pPr>
      <w:r w:rsidRPr="00555DE1">
        <w:rPr>
          <w:rFonts w:ascii="Arial" w:hAnsi="Arial" w:cs="Arial"/>
          <w:bCs/>
          <w:sz w:val="22"/>
          <w:szCs w:val="22"/>
        </w:rPr>
        <w:t>Wagner (1961) presented the Limited Solvation Theory</w:t>
      </w:r>
      <w:r w:rsidRPr="00555DE1">
        <w:rPr>
          <w:rFonts w:ascii="Arial" w:hAnsi="Arial" w:cs="Arial"/>
          <w:bCs/>
          <w:sz w:val="22"/>
          <w:szCs w:val="22"/>
        </w:rPr>
        <w:fldChar w:fldCharType="begin"/>
      </w:r>
      <w:r w:rsidR="00A8672A" w:rsidRPr="00555DE1">
        <w:rPr>
          <w:rFonts w:ascii="Arial" w:hAnsi="Arial" w:cs="Arial"/>
          <w:bCs/>
          <w:sz w:val="22"/>
          <w:szCs w:val="22"/>
        </w:rPr>
        <w:instrText xml:space="preserve"> ADDIN ZOTERO_ITEM CSL_CITATION {"citationID":"aJrMbrhH","properties":{"formattedCitation":"[12]","plainCitation":"[12]","noteIndex":0},"citationItems":[{"id":1252,"uris":["http://zotero.org/users/16905564/items/VNQ8SBN7"],"itemData":{"id":1252,"type":"article-journal","container-title":"International journal of pharmaceutics","ISSN":"0378-5173","issue":"1-2","journalAbbreviation":"International journal of pharmaceutics","page":"114-125","publisher":"Elsevier","title":"Development of a reaction-limited model of dissolution: Application to official dissolution tests experiments","volume":"355","author":[{"family":"Dokoumetzidis","given":"Aristeidis"},{"family":"Papadopoulou","given":"V"},{"family":"Valsami","given":"G"},{"family":"Macheras","given":"P"}],"issued":{"date-parts":[["2008"]]}}}],"schema":"https://github.com/citation-style-language/schema/raw/master/csl-citation.json"} </w:instrText>
      </w:r>
      <w:r w:rsidRPr="00555DE1">
        <w:rPr>
          <w:rFonts w:ascii="Arial" w:hAnsi="Arial" w:cs="Arial"/>
          <w:bCs/>
          <w:sz w:val="22"/>
          <w:szCs w:val="22"/>
        </w:rPr>
        <w:fldChar w:fldCharType="separate"/>
      </w:r>
      <w:r w:rsidR="00A8672A" w:rsidRPr="00555DE1">
        <w:rPr>
          <w:rFonts w:ascii="Arial" w:hAnsi="Arial" w:cs="Arial"/>
          <w:sz w:val="22"/>
          <w:szCs w:val="22"/>
        </w:rPr>
        <w:t>[12]</w:t>
      </w:r>
      <w:r w:rsidRPr="00555DE1">
        <w:rPr>
          <w:rFonts w:ascii="Arial" w:hAnsi="Arial" w:cs="Arial"/>
          <w:sz w:val="22"/>
          <w:szCs w:val="22"/>
        </w:rPr>
        <w:fldChar w:fldCharType="end"/>
      </w:r>
      <w:r w:rsidRPr="00555DE1">
        <w:rPr>
          <w:rFonts w:ascii="Arial" w:hAnsi="Arial" w:cs="Arial"/>
          <w:bCs/>
          <w:sz w:val="22"/>
          <w:szCs w:val="22"/>
        </w:rPr>
        <w:t xml:space="preserve">. This theoretical framework views dissolution as a process dependent on the solvent's ability to solvate. It suggests </w:t>
      </w:r>
      <w:r w:rsidR="00AB60B9" w:rsidRPr="00555DE1">
        <w:rPr>
          <w:rFonts w:ascii="Arial" w:hAnsi="Arial" w:cs="Arial"/>
          <w:bCs/>
          <w:sz w:val="22"/>
          <w:szCs w:val="22"/>
        </w:rPr>
        <w:t xml:space="preserve">a saturation point that limits how many solute molecules can be solvated at once, which is inherent to the solvation process and is </w:t>
      </w:r>
      <w:r w:rsidRPr="00555DE1">
        <w:rPr>
          <w:rFonts w:ascii="Arial" w:hAnsi="Arial" w:cs="Arial"/>
          <w:bCs/>
          <w:sz w:val="22"/>
          <w:szCs w:val="22"/>
        </w:rPr>
        <w:t>mainly affected by solubility. In this model, interfacial transport is considered the key, rate-limiting step in drug dissolution, overtaking diffusion. The dissolution rate, driven by the interfacial reaction, can be described as follows</w:t>
      </w:r>
      <w:r w:rsidR="00F03336" w:rsidRPr="00555DE1">
        <w:rPr>
          <w:rFonts w:ascii="Arial" w:hAnsi="Arial" w:cs="Arial"/>
          <w:bCs/>
          <w:sz w:val="22"/>
          <w:szCs w:val="22"/>
        </w:rPr>
        <w:t>.</w:t>
      </w:r>
      <w:r w:rsidRPr="00555DE1">
        <w:rPr>
          <w:rFonts w:ascii="Arial" w:hAnsi="Arial" w:cs="Arial"/>
          <w:bCs/>
          <w:sz w:val="22"/>
          <w:szCs w:val="22"/>
        </w:rPr>
        <w:fldChar w:fldCharType="begin"/>
      </w:r>
      <w:r w:rsidR="00A8672A" w:rsidRPr="00555DE1">
        <w:rPr>
          <w:rFonts w:ascii="Arial" w:hAnsi="Arial" w:cs="Arial"/>
          <w:bCs/>
          <w:sz w:val="22"/>
          <w:szCs w:val="22"/>
        </w:rPr>
        <w:instrText xml:space="preserve"> ADDIN ZOTERO_ITEM CSL_CITATION {"citationID":"OSHfPi5p","properties":{"formattedCitation":"[12]","plainCitation":"[12]","noteIndex":0},"citationItems":[{"id":1252,"uris":["http://zotero.org/users/16905564/items/VNQ8SBN7"],"itemData":{"id":1252,"type":"article-journal","container-title":"International journal of pharmaceutics","ISSN":"0378-5173","issue":"1-2","journalAbbreviation":"International journal of pharmaceutics","page":"114-125","publisher":"Elsevier","title":"Development of a reaction-limited model of dissolution: Application to official dissolution tests experiments","volume":"355","author":[{"family":"Dokoumetzidis","given":"Aristeidis"},{"family":"Papadopoulou","given":"V"},{"family":"Valsami","given":"G"},{"family":"Macheras","given":"P"}],"issued":{"date-parts":[["2008"]]}}}],"schema":"https://github.com/citation-style-language/schema/raw/master/csl-citation.json"} </w:instrText>
      </w:r>
      <w:r w:rsidRPr="00555DE1">
        <w:rPr>
          <w:rFonts w:ascii="Arial" w:hAnsi="Arial" w:cs="Arial"/>
          <w:bCs/>
          <w:sz w:val="22"/>
          <w:szCs w:val="22"/>
        </w:rPr>
        <w:fldChar w:fldCharType="separate"/>
      </w:r>
      <w:r w:rsidR="00A8672A" w:rsidRPr="00555DE1">
        <w:rPr>
          <w:rFonts w:ascii="Arial" w:hAnsi="Arial" w:cs="Arial"/>
          <w:sz w:val="22"/>
          <w:szCs w:val="22"/>
        </w:rPr>
        <w:t>[12]</w:t>
      </w:r>
      <w:r w:rsidRPr="00555DE1">
        <w:rPr>
          <w:rFonts w:ascii="Arial" w:hAnsi="Arial" w:cs="Arial"/>
          <w:sz w:val="22"/>
          <w:szCs w:val="22"/>
        </w:rPr>
        <w:fldChar w:fldCharType="end"/>
      </w:r>
      <w:r w:rsidRPr="00555DE1">
        <w:rPr>
          <w:rFonts w:ascii="Arial" w:hAnsi="Arial" w:cs="Arial"/>
          <w:bCs/>
          <w:sz w:val="22"/>
          <w:szCs w:val="22"/>
        </w:rPr>
        <w:t>:</w:t>
      </w:r>
    </w:p>
    <w:p w14:paraId="4F6F00CA" w14:textId="77777777" w:rsidR="002A4071" w:rsidRPr="00555DE1" w:rsidRDefault="00C521BA" w:rsidP="002A4071">
      <w:pPr>
        <w:pStyle w:val="Body"/>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dQ</m:t>
              </m:r>
            </m:num>
            <m:den>
              <m:r>
                <w:rPr>
                  <w:rFonts w:ascii="Cambria Math" w:hAnsi="Cambria Math" w:cs="Arial"/>
                  <w:sz w:val="22"/>
                  <w:szCs w:val="22"/>
                </w:rPr>
                <m:t>dt</m:t>
              </m:r>
            </m:den>
          </m:f>
          <m:r>
            <w:rPr>
              <w:rFonts w:ascii="Cambria Math" w:hAnsi="Cambria Math" w:cs="Arial"/>
              <w:sz w:val="22"/>
              <w:szCs w:val="22"/>
            </w:rPr>
            <m:t>=</m:t>
          </m:r>
          <m:r>
            <w:rPr>
              <w:rFonts w:ascii="Cambria Math" w:hAnsi="Cambria Math" w:cs="Arial"/>
              <w:sz w:val="22"/>
              <w:szCs w:val="22"/>
            </w:rPr>
            <m:t>K</m:t>
          </m:r>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b</m:t>
              </m:r>
            </m:sub>
          </m:sSub>
          <m:r>
            <w:rPr>
              <w:rFonts w:ascii="Cambria Math" w:hAnsi="Cambria Math" w:cs="Arial"/>
              <w:sz w:val="22"/>
              <w:szCs w:val="22"/>
            </w:rPr>
            <m:t>)</m:t>
          </m:r>
        </m:oMath>
      </m:oMathPara>
    </w:p>
    <w:p w14:paraId="707E12DB"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Where </w:t>
      </w:r>
      <w:proofErr w:type="spellStart"/>
      <w:r w:rsidRPr="00555DE1">
        <w:rPr>
          <w:rFonts w:ascii="Arial" w:hAnsi="Arial" w:cs="Arial"/>
          <w:sz w:val="22"/>
          <w:szCs w:val="22"/>
        </w:rPr>
        <w:t>d</w:t>
      </w:r>
      <w:r w:rsidRPr="00555DE1">
        <w:rPr>
          <w:rFonts w:ascii="Arial" w:hAnsi="Arial" w:cs="Arial"/>
          <w:i/>
          <w:iCs/>
          <w:sz w:val="22"/>
          <w:szCs w:val="22"/>
        </w:rPr>
        <w:t>Q</w:t>
      </w:r>
      <w:proofErr w:type="spellEnd"/>
      <w:r w:rsidRPr="00555DE1">
        <w:rPr>
          <w:rFonts w:ascii="Arial" w:hAnsi="Arial" w:cs="Arial"/>
          <w:sz w:val="22"/>
          <w:szCs w:val="22"/>
        </w:rPr>
        <w:t>/d</w:t>
      </w:r>
      <w:r w:rsidRPr="00555DE1">
        <w:rPr>
          <w:rFonts w:ascii="Arial" w:hAnsi="Arial" w:cs="Arial"/>
          <w:i/>
          <w:iCs/>
          <w:sz w:val="22"/>
          <w:szCs w:val="22"/>
        </w:rPr>
        <w:t>t </w:t>
      </w:r>
      <w:r w:rsidRPr="00555DE1">
        <w:rPr>
          <w:rFonts w:ascii="Arial" w:hAnsi="Arial" w:cs="Arial"/>
          <w:sz w:val="22"/>
          <w:szCs w:val="22"/>
        </w:rPr>
        <w:t>is the dissolution rate, </w:t>
      </w:r>
      <w:r w:rsidRPr="00555DE1">
        <w:rPr>
          <w:rFonts w:ascii="Arial" w:hAnsi="Arial" w:cs="Arial"/>
          <w:i/>
          <w:iCs/>
          <w:sz w:val="22"/>
          <w:szCs w:val="22"/>
        </w:rPr>
        <w:t>K </w:t>
      </w:r>
      <w:r w:rsidRPr="00555DE1">
        <w:rPr>
          <w:rFonts w:ascii="Arial" w:hAnsi="Arial" w:cs="Arial"/>
          <w:sz w:val="22"/>
          <w:szCs w:val="22"/>
        </w:rPr>
        <w:t xml:space="preserve">is the effective interfacial transport constant, </w:t>
      </w:r>
      <w:r w:rsidRPr="00555DE1">
        <w:rPr>
          <w:rFonts w:ascii="Arial" w:hAnsi="Arial" w:cs="Arial"/>
          <w:i/>
          <w:iCs/>
          <w:sz w:val="22"/>
          <w:szCs w:val="22"/>
        </w:rPr>
        <w:t>C</w:t>
      </w:r>
      <w:r w:rsidRPr="00555DE1">
        <w:rPr>
          <w:rFonts w:ascii="Arial" w:hAnsi="Arial" w:cs="Arial"/>
          <w:sz w:val="22"/>
          <w:szCs w:val="22"/>
        </w:rPr>
        <w:t xml:space="preserve">s is the saturation solubility, and </w:t>
      </w:r>
      <w:proofErr w:type="spellStart"/>
      <w:r w:rsidRPr="00555DE1">
        <w:rPr>
          <w:rFonts w:ascii="Arial" w:hAnsi="Arial" w:cs="Arial"/>
          <w:i/>
          <w:iCs/>
          <w:sz w:val="22"/>
          <w:szCs w:val="22"/>
        </w:rPr>
        <w:t>C</w:t>
      </w:r>
      <w:r w:rsidRPr="00555DE1">
        <w:rPr>
          <w:rFonts w:ascii="Arial" w:hAnsi="Arial" w:cs="Arial"/>
          <w:sz w:val="22"/>
          <w:szCs w:val="22"/>
          <w:vertAlign w:val="subscript"/>
        </w:rPr>
        <w:t>b</w:t>
      </w:r>
      <w:proofErr w:type="spellEnd"/>
      <w:r w:rsidRPr="00555DE1">
        <w:rPr>
          <w:rFonts w:ascii="Arial" w:hAnsi="Arial" w:cs="Arial"/>
          <w:sz w:val="22"/>
          <w:szCs w:val="22"/>
          <w:vertAlign w:val="subscript"/>
        </w:rPr>
        <w:t xml:space="preserve"> is </w:t>
      </w:r>
      <w:r w:rsidRPr="00555DE1">
        <w:rPr>
          <w:rFonts w:ascii="Arial" w:hAnsi="Arial" w:cs="Arial"/>
          <w:sz w:val="22"/>
          <w:szCs w:val="22"/>
        </w:rPr>
        <w:t>the bulk concentration at time </w:t>
      </w:r>
      <w:r w:rsidRPr="00555DE1">
        <w:rPr>
          <w:rFonts w:ascii="Arial" w:hAnsi="Arial" w:cs="Arial"/>
          <w:i/>
          <w:iCs/>
          <w:sz w:val="22"/>
          <w:szCs w:val="22"/>
        </w:rPr>
        <w:t>t</w:t>
      </w:r>
      <w:r w:rsidRPr="00555DE1">
        <w:rPr>
          <w:rFonts w:ascii="Arial" w:hAnsi="Arial" w:cs="Arial"/>
          <w:sz w:val="22"/>
          <w:szCs w:val="22"/>
        </w:rPr>
        <w:t>.</w:t>
      </w:r>
    </w:p>
    <w:p w14:paraId="2FA654B8" w14:textId="77777777" w:rsidR="002A4071" w:rsidRPr="00555DE1" w:rsidRDefault="002A4071" w:rsidP="002A4071">
      <w:pPr>
        <w:pStyle w:val="Body"/>
        <w:rPr>
          <w:rFonts w:ascii="Arial" w:hAnsi="Arial" w:cs="Arial"/>
          <w:b/>
          <w:bCs/>
          <w:sz w:val="22"/>
          <w:szCs w:val="22"/>
        </w:rPr>
      </w:pPr>
      <w:r w:rsidRPr="00555DE1">
        <w:rPr>
          <w:rFonts w:ascii="Arial" w:hAnsi="Arial" w:cs="Arial"/>
          <w:b/>
          <w:bCs/>
          <w:sz w:val="22"/>
          <w:szCs w:val="22"/>
        </w:rPr>
        <w:t>1.1.3 Diffusion-Limited Model or The Noyes-Whitney equation.</w:t>
      </w:r>
    </w:p>
    <w:p w14:paraId="1B0CE5BF" w14:textId="770FE6DF" w:rsidR="002A4071" w:rsidRPr="00555DE1" w:rsidRDefault="008C7360" w:rsidP="002A4071">
      <w:pPr>
        <w:pStyle w:val="Body"/>
        <w:rPr>
          <w:rFonts w:ascii="Arial" w:hAnsi="Arial" w:cs="Arial"/>
          <w:sz w:val="22"/>
          <w:szCs w:val="22"/>
        </w:rPr>
      </w:pPr>
      <w:r w:rsidRPr="00555DE1">
        <w:rPr>
          <w:rFonts w:ascii="Arial" w:hAnsi="Arial" w:cs="Arial"/>
          <w:sz w:val="22"/>
          <w:szCs w:val="22"/>
        </w:rPr>
        <w:t>This model offers a physical explanation for the dissolution process. A key factor is the diffusion of molecules through a thick liquid film, which creates a hydrodynamic boundary layer around the solid surface. In this model, the dissolution rate relies on the properties of the boundary layer in contact with the dissolving particle. The diffusion-limited model is based solely on experiments with rotating or stationary discs and flow-through cells, all of which provide controlled hydrodynamic conditions</w:t>
      </w:r>
      <w:r w:rsidR="002A4071"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gBdAW5MJ","properties":{"formattedCitation":"[13]","plainCitation":"[13]","noteIndex":0},"citationItems":[{"id":"aW9DjT7Z/rsV8zEjY","uris":["http://zotero.org/users/local/BkIOkmFs/items/SGDKZT6B"],"itemData":{"id":11,"type":"article-journal","container-title":"International journal of pharmaceutics","page":"12-24","title":"Mathematical modeling of drug dissolution.","volume":"1","author":[{"family":"","given":"Siepmann, J., &amp; Siepmann, F. J. I. J. O. P."}],"issued":{"date-parts":[["2013"]]}}}],"schema":"https://github.com/citation-style-language/schema/raw/master/csl-citation.json"} </w:instrText>
      </w:r>
      <w:r w:rsidR="002A4071" w:rsidRPr="00555DE1">
        <w:rPr>
          <w:rFonts w:ascii="Arial" w:hAnsi="Arial" w:cs="Arial"/>
          <w:sz w:val="22"/>
          <w:szCs w:val="22"/>
        </w:rPr>
        <w:fldChar w:fldCharType="separate"/>
      </w:r>
      <w:r w:rsidR="00A8672A" w:rsidRPr="00555DE1">
        <w:rPr>
          <w:rFonts w:ascii="Arial" w:hAnsi="Arial" w:cs="Arial"/>
          <w:sz w:val="22"/>
          <w:szCs w:val="22"/>
        </w:rPr>
        <w:t>[13]</w:t>
      </w:r>
      <w:r w:rsidR="002A4071" w:rsidRPr="00555DE1">
        <w:rPr>
          <w:rFonts w:ascii="Arial" w:hAnsi="Arial" w:cs="Arial"/>
          <w:sz w:val="22"/>
          <w:szCs w:val="22"/>
        </w:rPr>
        <w:fldChar w:fldCharType="end"/>
      </w:r>
      <w:r w:rsidR="002A4071" w:rsidRPr="00555DE1">
        <w:rPr>
          <w:rFonts w:ascii="Arial" w:hAnsi="Arial" w:cs="Arial"/>
          <w:sz w:val="22"/>
          <w:szCs w:val="22"/>
        </w:rPr>
        <w:t>.</w:t>
      </w:r>
    </w:p>
    <w:p w14:paraId="58D68E20" w14:textId="01888488" w:rsidR="002A4071" w:rsidRPr="00555DE1" w:rsidRDefault="005D7678" w:rsidP="002A4071">
      <w:pPr>
        <w:pStyle w:val="Body"/>
        <w:rPr>
          <w:rFonts w:ascii="Arial" w:hAnsi="Arial" w:cs="Arial"/>
          <w:sz w:val="22"/>
          <w:szCs w:val="22"/>
        </w:rPr>
      </w:pPr>
      <w:r w:rsidRPr="00555DE1">
        <w:rPr>
          <w:rFonts w:ascii="Arial" w:hAnsi="Arial" w:cs="Arial"/>
          <w:sz w:val="22"/>
          <w:szCs w:val="22"/>
        </w:rPr>
        <w:lastRenderedPageBreak/>
        <w:t>The diffusion layer model proposes that a thick liquid film, called 'h', forms on the particle surface. This layer acts as a stationary diffusion zone, with 'Cs' indicating the drug concentration. Beyond this layer lies the bulk medium, which has a concentration 'Ct'. According to diffusion theory, the dissolution process is driven by the concentration gradient. The Noyes-Whitney equation is often used to describe the dissolution rate in this context</w:t>
      </w:r>
      <w:r w:rsidR="002A4071" w:rsidRPr="00555DE1">
        <w:rPr>
          <w:rFonts w:ascii="Arial" w:hAnsi="Arial" w:cs="Arial"/>
          <w:sz w:val="22"/>
          <w:szCs w:val="22"/>
        </w:rPr>
        <w:t>.</w:t>
      </w:r>
    </w:p>
    <w:p w14:paraId="3A17553D" w14:textId="77777777" w:rsidR="002A4071" w:rsidRPr="00555DE1" w:rsidRDefault="00C521BA" w:rsidP="00CE3F11">
      <w:pPr>
        <w:pStyle w:val="Body"/>
        <w:ind w:left="1440"/>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dM</m:t>
              </m:r>
            </m:num>
            <m:den>
              <m:r>
                <w:rPr>
                  <w:rFonts w:ascii="Cambria Math" w:hAnsi="Cambria Math" w:cs="Arial"/>
                  <w:sz w:val="22"/>
                  <w:szCs w:val="22"/>
                </w:rPr>
                <m:t>dt</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DA</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t</m:t>
                      </m:r>
                    </m:sub>
                  </m:sSub>
                </m:e>
              </m:d>
            </m:num>
            <m:den>
              <m:r>
                <w:rPr>
                  <w:rFonts w:ascii="Cambria Math" w:hAnsi="Cambria Math" w:cs="Arial"/>
                  <w:sz w:val="22"/>
                  <w:szCs w:val="22"/>
                </w:rPr>
                <m:t>h</m:t>
              </m:r>
            </m:den>
          </m:f>
          <m:r>
            <w:rPr>
              <w:rFonts w:ascii="Cambria Math" w:hAnsi="Cambria Math" w:cs="Arial"/>
              <w:sz w:val="22"/>
              <w:szCs w:val="22"/>
            </w:rPr>
            <m:t>=</m:t>
          </m:r>
          <m:r>
            <w:rPr>
              <w:rFonts w:ascii="Cambria Math" w:hAnsi="Cambria Math" w:cs="Arial"/>
              <w:sz w:val="22"/>
              <w:szCs w:val="22"/>
            </w:rPr>
            <m:t>kA</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t</m:t>
                  </m:r>
                </m:sub>
              </m:sSub>
            </m:e>
          </m:d>
        </m:oMath>
      </m:oMathPara>
    </w:p>
    <w:p w14:paraId="13A56D6E" w14:textId="77777777" w:rsidR="00C521BA" w:rsidRDefault="00C521BA" w:rsidP="002A4071">
      <w:pPr>
        <w:pStyle w:val="Body"/>
      </w:pPr>
      <w:r>
        <w:t xml:space="preserve">In the provided equation, </w:t>
      </w:r>
      <w:proofErr w:type="spellStart"/>
      <w:r>
        <w:rPr>
          <w:rStyle w:val="katex-mathml"/>
        </w:rPr>
        <w:t>dM</w:t>
      </w:r>
      <w:proofErr w:type="spellEnd"/>
      <w:r>
        <w:rPr>
          <w:rStyle w:val="katex-mathml"/>
        </w:rPr>
        <w:t>/</w:t>
      </w:r>
      <w:proofErr w:type="spellStart"/>
      <w:r>
        <w:rPr>
          <w:rStyle w:val="katex-mathml"/>
        </w:rPr>
        <w:t>dtdM</w:t>
      </w:r>
      <w:proofErr w:type="spellEnd"/>
      <w:r>
        <w:rPr>
          <w:rStyle w:val="katex-mathml"/>
        </w:rPr>
        <w:t>/</w:t>
      </w:r>
      <w:proofErr w:type="spellStart"/>
      <w:r>
        <w:rPr>
          <w:rStyle w:val="katex-mathml"/>
        </w:rPr>
        <w:t>dt</w:t>
      </w:r>
      <w:r>
        <w:rPr>
          <w:rStyle w:val="mord"/>
        </w:rPr>
        <w:t>dM</w:t>
      </w:r>
      <w:proofErr w:type="spellEnd"/>
      <w:r>
        <w:rPr>
          <w:rStyle w:val="mord"/>
        </w:rPr>
        <w:t>/dt</w:t>
      </w:r>
      <w:r>
        <w:t xml:space="preserve"> represents the rate of dissolution, i.e., the amount of drug dissolved per unit time, typically expressed in mg/min. </w:t>
      </w:r>
      <w:r>
        <w:rPr>
          <w:rStyle w:val="katex-mathml"/>
        </w:rPr>
        <w:t>DD</w:t>
      </w:r>
      <w:r>
        <w:rPr>
          <w:rStyle w:val="mord"/>
        </w:rPr>
        <w:t>D</w:t>
      </w:r>
      <w:r>
        <w:t xml:space="preserve"> denotes the diffusion coefficient of the solute in the solution, measured in cm²/s, while </w:t>
      </w:r>
      <w:r>
        <w:rPr>
          <w:rStyle w:val="katex-mathml"/>
        </w:rPr>
        <w:t>AA</w:t>
      </w:r>
      <w:r>
        <w:rPr>
          <w:rStyle w:val="mord"/>
        </w:rPr>
        <w:t>A</w:t>
      </w:r>
      <w:r>
        <w:t xml:space="preserve"> corresponds to the surface area of the exposed solid, in cm². The dissolution rate constant, </w:t>
      </w:r>
      <w:proofErr w:type="spellStart"/>
      <w:r>
        <w:rPr>
          <w:rStyle w:val="katex-mathml"/>
        </w:rPr>
        <w:t>kk</w:t>
      </w:r>
      <w:r>
        <w:rPr>
          <w:rStyle w:val="mord"/>
        </w:rPr>
        <w:t>k</w:t>
      </w:r>
      <w:proofErr w:type="spellEnd"/>
      <w:r>
        <w:t xml:space="preserve">, is defined as the ratio of </w:t>
      </w:r>
      <w:r>
        <w:rPr>
          <w:rStyle w:val="katex-mathml"/>
        </w:rPr>
        <w:t>DD</w:t>
      </w:r>
      <w:r>
        <w:rPr>
          <w:rStyle w:val="mord"/>
        </w:rPr>
        <w:t>D</w:t>
      </w:r>
      <w:r>
        <w:t xml:space="preserve"> to </w:t>
      </w:r>
      <w:proofErr w:type="spellStart"/>
      <w:r>
        <w:rPr>
          <w:rStyle w:val="katex-mathml"/>
        </w:rPr>
        <w:t>hh</w:t>
      </w:r>
      <w:r>
        <w:rPr>
          <w:rStyle w:val="mord"/>
        </w:rPr>
        <w:t>h</w:t>
      </w:r>
      <w:proofErr w:type="spellEnd"/>
      <w:r>
        <w:t xml:space="preserve"> (</w:t>
      </w:r>
      <w:r>
        <w:rPr>
          <w:rStyle w:val="katex-mathml"/>
        </w:rPr>
        <w:t>k=D/</w:t>
      </w:r>
      <w:proofErr w:type="spellStart"/>
      <w:r>
        <w:rPr>
          <w:rStyle w:val="katex-mathml"/>
        </w:rPr>
        <w:t>hk</w:t>
      </w:r>
      <w:proofErr w:type="spellEnd"/>
      <w:r>
        <w:rPr>
          <w:rStyle w:val="katex-mathml"/>
        </w:rPr>
        <w:t xml:space="preserve"> = D/</w:t>
      </w:r>
      <w:proofErr w:type="spellStart"/>
      <w:r>
        <w:rPr>
          <w:rStyle w:val="katex-mathml"/>
        </w:rPr>
        <w:t>h</w:t>
      </w:r>
      <w:r>
        <w:rPr>
          <w:rStyle w:val="mord"/>
        </w:rPr>
        <w:t>k</w:t>
      </w:r>
      <w:proofErr w:type="spellEnd"/>
      <w:r>
        <w:rPr>
          <w:rStyle w:val="mrel"/>
        </w:rPr>
        <w:t>=</w:t>
      </w:r>
      <w:r>
        <w:rPr>
          <w:rStyle w:val="mord"/>
        </w:rPr>
        <w:t>D/h</w:t>
      </w:r>
      <w:r>
        <w:t xml:space="preserve">), with units of cm/s, where </w:t>
      </w:r>
      <w:proofErr w:type="spellStart"/>
      <w:r>
        <w:rPr>
          <w:rStyle w:val="katex-mathml"/>
        </w:rPr>
        <w:t>hh</w:t>
      </w:r>
      <w:r>
        <w:rPr>
          <w:rStyle w:val="mord"/>
        </w:rPr>
        <w:t>h</w:t>
      </w:r>
      <w:proofErr w:type="spellEnd"/>
      <w:r>
        <w:t xml:space="preserve"> represents the thickness of the unstirred layer at the solid surface, in </w:t>
      </w:r>
      <w:proofErr w:type="spellStart"/>
      <w:r>
        <w:t>centimetres</w:t>
      </w:r>
      <w:proofErr w:type="spellEnd"/>
      <w:r>
        <w:t xml:space="preserve">. </w:t>
      </w:r>
      <w:proofErr w:type="spellStart"/>
      <w:r>
        <w:rPr>
          <w:rStyle w:val="katex-mathml"/>
        </w:rPr>
        <w:t>CsC_s</w:t>
      </w:r>
      <w:r>
        <w:rPr>
          <w:rStyle w:val="mord"/>
        </w:rPr>
        <w:t>Cs</w:t>
      </w:r>
      <w:proofErr w:type="spellEnd"/>
      <w:r>
        <w:rPr>
          <w:rStyle w:val="vlist-s"/>
        </w:rPr>
        <w:t>​</w:t>
      </w:r>
      <w:r>
        <w:t xml:space="preserve"> indicates the solubility of the drug at the particle surface (g/mL), and </w:t>
      </w:r>
      <w:proofErr w:type="spellStart"/>
      <w:r>
        <w:rPr>
          <w:rStyle w:val="katex-mathml"/>
        </w:rPr>
        <w:t>CtC_t</w:t>
      </w:r>
      <w:r>
        <w:rPr>
          <w:rStyle w:val="mord"/>
        </w:rPr>
        <w:t>Ct</w:t>
      </w:r>
      <w:proofErr w:type="spellEnd"/>
      <w:r>
        <w:rPr>
          <w:rStyle w:val="vlist-s"/>
        </w:rPr>
        <w:t>​</w:t>
      </w:r>
      <w:r>
        <w:t xml:space="preserve"> denotes the drug concentration in the bulk solution at time </w:t>
      </w:r>
      <w:proofErr w:type="spellStart"/>
      <w:r>
        <w:rPr>
          <w:rStyle w:val="katex-mathml"/>
        </w:rPr>
        <w:t>tt</w:t>
      </w:r>
      <w:r>
        <w:rPr>
          <w:rStyle w:val="mord"/>
        </w:rPr>
        <w:t>t</w:t>
      </w:r>
      <w:proofErr w:type="spellEnd"/>
      <w:r>
        <w:t xml:space="preserve"> (g/mL) [14].</w:t>
      </w:r>
    </w:p>
    <w:p w14:paraId="786062B1" w14:textId="5294058A"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Understanding the dissolution rate constant 'k' </w:t>
      </w:r>
      <w:r w:rsidR="00AB60B9" w:rsidRPr="00555DE1">
        <w:rPr>
          <w:rFonts w:ascii="Arial" w:hAnsi="Arial" w:cs="Arial"/>
          <w:sz w:val="22"/>
          <w:szCs w:val="22"/>
        </w:rPr>
        <w:t>enables simulation of drug dissolution rates under varying scenarios, such as drug amount, particle size, surface area, and dissolution conditions, including</w:t>
      </w:r>
      <w:r w:rsidRPr="00555DE1">
        <w:rPr>
          <w:rFonts w:ascii="Arial" w:hAnsi="Arial" w:cs="Arial"/>
          <w:sz w:val="22"/>
          <w:szCs w:val="22"/>
        </w:rPr>
        <w:t xml:space="preserve"> volume</w:t>
      </w:r>
      <w:r w:rsidR="009A4F96"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{"citationID":"YbyTOtOb","properties":{"formattedCitation":"[15]","plainCitation":"[15]","noteIndex":0},"citationItems":[{"id":1291,"uris":["http://zotero.org/users/16905564/items/FNQHMV3U"],"itemData":{"id":1291,"type":"article-journal","container-title":"European Journal of Pharmaceutical Sciences","ISSN":"0928-0987","journalAbbreviation":"European Journal of Pharmaceutical Sciences","page":"106185","publisher":"Elsevier","title":"Exploring bulk volume, particle size and particle motion definitions to increase the predictive ability of in vitro dissolution simulations","volume":"174","author":[{"family":"Navas-Bachiller","given":"Marina"},{"family":"Persoons","given":"Tim"},{"family":"D'Arcy","given":"Deirdre M"}],"issued":{"date-parts":[["2022"]]}}}],"schema":"https://github.com/citation-style-language/schema/raw/master/csl-citation.json"} </w:instrText>
      </w:r>
      <w:r w:rsidR="009A4F96" w:rsidRPr="00555DE1">
        <w:rPr>
          <w:rFonts w:ascii="Arial" w:hAnsi="Arial" w:cs="Arial"/>
          <w:sz w:val="22"/>
          <w:szCs w:val="22"/>
        </w:rPr>
        <w:fldChar w:fldCharType="separate"/>
      </w:r>
      <w:r w:rsidR="009A4F96" w:rsidRPr="00555DE1">
        <w:rPr>
          <w:rFonts w:ascii="Arial" w:hAnsi="Arial" w:cs="Arial"/>
          <w:sz w:val="22"/>
          <w:szCs w:val="22"/>
        </w:rPr>
        <w:t>[15]</w:t>
      </w:r>
      <w:r w:rsidR="009A4F96" w:rsidRPr="00555DE1">
        <w:rPr>
          <w:rFonts w:ascii="Arial" w:hAnsi="Arial" w:cs="Arial"/>
          <w:sz w:val="22"/>
          <w:szCs w:val="22"/>
        </w:rPr>
        <w:fldChar w:fldCharType="end"/>
      </w:r>
      <w:r w:rsidRPr="00555DE1">
        <w:rPr>
          <w:rFonts w:ascii="Arial" w:hAnsi="Arial" w:cs="Arial"/>
          <w:sz w:val="22"/>
          <w:szCs w:val="22"/>
        </w:rPr>
        <w:t>. This key data, obtained from carefully controlled dissolution experiments, helps improve dissolution techniques and minimizes the need for extensive testing under diverse conditions.</w:t>
      </w:r>
    </w:p>
    <w:p w14:paraId="24B722AE" w14:textId="11CAC8BD"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For instance, consider a drug particle preparation weighing 600 mg with a surface area of 0.21 × 10⁴ cm². This sample was dissolved in 500 mL of water at room temperature. After 15 minutes, analysis revealed that 260 </w:t>
      </w:r>
      <w:r w:rsidR="00561D75" w:rsidRPr="00555DE1">
        <w:rPr>
          <w:rFonts w:ascii="Arial" w:hAnsi="Arial" w:cs="Arial"/>
          <w:sz w:val="22"/>
          <w:szCs w:val="22"/>
        </w:rPr>
        <w:t>m</w:t>
      </w:r>
      <w:r w:rsidRPr="00555DE1">
        <w:rPr>
          <w:rFonts w:ascii="Arial" w:hAnsi="Arial" w:cs="Arial"/>
          <w:sz w:val="22"/>
          <w:szCs w:val="22"/>
        </w:rPr>
        <w:t>g had dissolved. Given that the saturation solubility of the drug in water at room temperature is 2 mg/mL, we can determine 'k' using this approach:</w:t>
      </w:r>
    </w:p>
    <w:p w14:paraId="20BA22C9"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According to the Noyes–Whitney equation,</w:t>
      </w:r>
    </w:p>
    <w:p w14:paraId="1FD54DFE" w14:textId="77777777" w:rsidR="002A4071" w:rsidRPr="00555DE1" w:rsidRDefault="00C521BA" w:rsidP="00CE3F11">
      <w:pPr>
        <w:pStyle w:val="Body"/>
        <w:ind w:left="1440"/>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dM</m:t>
              </m:r>
            </m:num>
            <m:den>
              <m:r>
                <w:rPr>
                  <w:rFonts w:ascii="Cambria Math" w:hAnsi="Cambria Math" w:cs="Arial"/>
                  <w:sz w:val="22"/>
                  <w:szCs w:val="22"/>
                </w:rPr>
                <m:t>dt</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DA</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t</m:t>
                      </m:r>
                    </m:sub>
                  </m:sSub>
                </m:e>
              </m:d>
            </m:num>
            <m:den>
              <m:r>
                <w:rPr>
                  <w:rFonts w:ascii="Cambria Math" w:hAnsi="Cambria Math" w:cs="Arial"/>
                  <w:sz w:val="22"/>
                  <w:szCs w:val="22"/>
                </w:rPr>
                <m:t>h</m:t>
              </m:r>
            </m:den>
          </m:f>
          <m:r>
            <w:rPr>
              <w:rFonts w:ascii="Cambria Math" w:hAnsi="Cambria Math" w:cs="Arial"/>
              <w:sz w:val="22"/>
              <w:szCs w:val="22"/>
            </w:rPr>
            <m:t>=</m:t>
          </m:r>
          <m:r>
            <w:rPr>
              <w:rFonts w:ascii="Cambria Math" w:hAnsi="Cambria Math" w:cs="Arial"/>
              <w:sz w:val="22"/>
              <w:szCs w:val="22"/>
            </w:rPr>
            <m:t>kA</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t</m:t>
                  </m:r>
                </m:sub>
              </m:sSub>
            </m:e>
          </m:d>
        </m:oMath>
      </m:oMathPara>
    </w:p>
    <w:p w14:paraId="551DBC00" w14:textId="4E0430A3" w:rsidR="002A4071" w:rsidRPr="00555DE1" w:rsidRDefault="00C521BA" w:rsidP="002A4071">
      <w:pPr>
        <w:pStyle w:val="Body"/>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600</m:t>
              </m:r>
              <m:r>
                <w:rPr>
                  <w:rFonts w:ascii="Cambria Math" w:hAnsi="Cambria Math" w:cs="Arial"/>
                  <w:sz w:val="22"/>
                  <w:szCs w:val="22"/>
                </w:rPr>
                <m:t>mg</m:t>
              </m:r>
            </m:num>
            <m:den>
              <m:r>
                <w:rPr>
                  <w:rFonts w:ascii="Cambria Math" w:hAnsi="Cambria Math" w:cs="Arial"/>
                  <w:sz w:val="22"/>
                  <w:szCs w:val="22"/>
                </w:rPr>
                <m:t>15</m:t>
              </m:r>
              <m:r>
                <w:rPr>
                  <w:rFonts w:ascii="Cambria Math" w:hAnsi="Cambria Math" w:cs="Arial"/>
                  <w:sz w:val="22"/>
                  <w:szCs w:val="22"/>
                </w:rPr>
                <m:t>min</m:t>
              </m:r>
            </m:den>
          </m:f>
          <m:r>
            <w:rPr>
              <w:rFonts w:ascii="Cambria Math" w:hAnsi="Cambria Math" w:cs="Arial"/>
              <w:sz w:val="22"/>
              <w:szCs w:val="22"/>
            </w:rPr>
            <m:t>=</m:t>
          </m:r>
          <m:r>
            <w:rPr>
              <w:rFonts w:ascii="Cambria Math" w:hAnsi="Cambria Math" w:cs="Arial"/>
              <w:sz w:val="22"/>
              <w:szCs w:val="22"/>
            </w:rPr>
            <m:t>kx</m:t>
          </m:r>
          <m:r>
            <w:rPr>
              <w:rFonts w:ascii="Cambria Math" w:hAnsi="Cambria Math" w:cs="Arial"/>
              <w:sz w:val="22"/>
              <w:szCs w:val="22"/>
            </w:rPr>
            <m:t xml:space="preserve"> 0.21</m:t>
          </m:r>
          <m:r>
            <w:rPr>
              <w:rFonts w:ascii="Cambria Math" w:hAnsi="Cambria Math" w:cs="Arial"/>
              <w:sz w:val="22"/>
              <w:szCs w:val="22"/>
            </w:rPr>
            <m:t>x</m:t>
          </m:r>
          <m:r>
            <w:rPr>
              <w:rFonts w:ascii="Cambria Math" w:hAnsi="Cambria Math" w:cs="Arial"/>
              <w:sz w:val="22"/>
              <w:szCs w:val="22"/>
            </w:rPr>
            <m:t xml:space="preserve"> </m:t>
          </m:r>
          <m:sSup>
            <m:sSupPr>
              <m:ctrlPr>
                <w:rPr>
                  <w:rFonts w:ascii="Cambria Math" w:hAnsi="Cambria Math" w:cs="Arial"/>
                  <w:i/>
                  <w:sz w:val="22"/>
                  <w:szCs w:val="22"/>
                </w:rPr>
              </m:ctrlPr>
            </m:sSupPr>
            <m:e>
              <m:r>
                <w:rPr>
                  <w:rFonts w:ascii="Cambria Math" w:hAnsi="Cambria Math" w:cs="Arial"/>
                  <w:sz w:val="22"/>
                  <w:szCs w:val="22"/>
                </w:rPr>
                <m:t>10</m:t>
              </m:r>
            </m:e>
            <m:sup>
              <m:r>
                <w:rPr>
                  <w:rFonts w:ascii="Cambria Math" w:hAnsi="Cambria Math" w:cs="Arial"/>
                  <w:sz w:val="22"/>
                  <w:szCs w:val="22"/>
                </w:rPr>
                <m:t>4</m:t>
              </m:r>
            </m:sup>
          </m:sSup>
          <m:sSup>
            <m:sSupPr>
              <m:ctrlPr>
                <w:rPr>
                  <w:rFonts w:ascii="Cambria Math" w:hAnsi="Cambria Math" w:cs="Arial"/>
                  <w:i/>
                  <w:sz w:val="22"/>
                  <w:szCs w:val="22"/>
                </w:rPr>
              </m:ctrlPr>
            </m:sSupPr>
            <m:e>
              <m:r>
                <w:rPr>
                  <w:rFonts w:ascii="Cambria Math" w:hAnsi="Cambria Math" w:cs="Arial"/>
                  <w:sz w:val="22"/>
                  <w:szCs w:val="22"/>
                </w:rPr>
                <m:t>cm</m:t>
              </m:r>
            </m:e>
            <m:sup>
              <m:r>
                <w:rPr>
                  <w:rFonts w:ascii="Cambria Math" w:hAnsi="Cambria Math" w:cs="Arial"/>
                  <w:sz w:val="22"/>
                  <w:szCs w:val="22"/>
                </w:rPr>
                <m:t>2</m:t>
              </m:r>
            </m:sup>
          </m:sSup>
          <m:d>
            <m:dPr>
              <m:ctrlPr>
                <w:rPr>
                  <w:rFonts w:ascii="Cambria Math" w:hAnsi="Cambria Math" w:cs="Arial"/>
                  <w:i/>
                  <w:sz w:val="22"/>
                  <w:szCs w:val="22"/>
                </w:rPr>
              </m:ctrlPr>
            </m:dPr>
            <m:e>
              <m:r>
                <w:rPr>
                  <w:rFonts w:ascii="Cambria Math" w:hAnsi="Cambria Math" w:cs="Arial"/>
                  <w:sz w:val="22"/>
                  <w:szCs w:val="22"/>
                </w:rPr>
                <m:t xml:space="preserve">2 </m:t>
              </m:r>
              <m:f>
                <m:fPr>
                  <m:type m:val="lin"/>
                  <m:ctrlPr>
                    <w:rPr>
                      <w:rFonts w:ascii="Cambria Math" w:hAnsi="Cambria Math" w:cs="Arial"/>
                      <w:i/>
                      <w:sz w:val="22"/>
                      <w:szCs w:val="22"/>
                    </w:rPr>
                  </m:ctrlPr>
                </m:fPr>
                <m:num>
                  <m:r>
                    <w:rPr>
                      <w:rFonts w:ascii="Cambria Math" w:hAnsi="Cambria Math" w:cs="Arial"/>
                      <w:sz w:val="22"/>
                      <w:szCs w:val="22"/>
                    </w:rPr>
                    <m:t>mg</m:t>
                  </m:r>
                </m:num>
                <m:den>
                  <m:sSup>
                    <m:sSupPr>
                      <m:ctrlPr>
                        <w:rPr>
                          <w:rFonts w:ascii="Cambria Math" w:hAnsi="Cambria Math" w:cs="Arial"/>
                          <w:i/>
                          <w:sz w:val="22"/>
                          <w:szCs w:val="22"/>
                        </w:rPr>
                      </m:ctrlPr>
                    </m:sSupPr>
                    <m:e>
                      <m:r>
                        <w:rPr>
                          <w:rFonts w:ascii="Cambria Math" w:hAnsi="Cambria Math" w:cs="Arial"/>
                          <w:sz w:val="22"/>
                          <w:szCs w:val="22"/>
                        </w:rPr>
                        <m:t>cm</m:t>
                      </m:r>
                    </m:e>
                    <m:sup>
                      <m:r>
                        <w:rPr>
                          <w:rFonts w:ascii="Cambria Math" w:hAnsi="Cambria Math" w:cs="Arial"/>
                          <w:sz w:val="22"/>
                          <w:szCs w:val="22"/>
                        </w:rPr>
                        <m:t>3</m:t>
                      </m:r>
                    </m:sup>
                  </m:sSup>
                </m:den>
              </m:f>
              <m:r>
                <w:rPr>
                  <w:rFonts w:ascii="Cambria Math" w:hAnsi="Cambria Math" w:cs="Arial"/>
                  <w:sz w:val="22"/>
                  <w:szCs w:val="22"/>
                </w:rPr>
                <m:t xml:space="preserve"> -</m:t>
              </m:r>
              <m:f>
                <m:fPr>
                  <m:ctrlPr>
                    <w:rPr>
                      <w:rFonts w:ascii="Cambria Math" w:hAnsi="Cambria Math" w:cs="Arial"/>
                      <w:i/>
                      <w:sz w:val="22"/>
                      <w:szCs w:val="22"/>
                    </w:rPr>
                  </m:ctrlPr>
                </m:fPr>
                <m:num>
                  <m:r>
                    <w:rPr>
                      <w:rFonts w:ascii="Cambria Math" w:hAnsi="Cambria Math" w:cs="Arial"/>
                      <w:sz w:val="22"/>
                      <w:szCs w:val="22"/>
                    </w:rPr>
                    <m:t>260</m:t>
                  </m:r>
                  <m:r>
                    <w:rPr>
                      <w:rFonts w:ascii="Cambria Math" w:hAnsi="Cambria Math" w:cs="Arial"/>
                      <w:sz w:val="22"/>
                      <w:szCs w:val="22"/>
                    </w:rPr>
                    <m:t>mg</m:t>
                  </m:r>
                </m:num>
                <m:den>
                  <m:r>
                    <w:rPr>
                      <w:rFonts w:ascii="Cambria Math" w:hAnsi="Cambria Math" w:cs="Arial"/>
                      <w:sz w:val="22"/>
                      <w:szCs w:val="22"/>
                    </w:rPr>
                    <m:t>500</m:t>
                  </m:r>
                  <m:sSup>
                    <m:sSupPr>
                      <m:ctrlPr>
                        <w:rPr>
                          <w:rFonts w:ascii="Cambria Math" w:hAnsi="Cambria Math" w:cs="Arial"/>
                          <w:i/>
                          <w:sz w:val="22"/>
                          <w:szCs w:val="22"/>
                        </w:rPr>
                      </m:ctrlPr>
                    </m:sSupPr>
                    <m:e>
                      <m:r>
                        <w:rPr>
                          <w:rFonts w:ascii="Cambria Math" w:hAnsi="Cambria Math" w:cs="Arial"/>
                          <w:sz w:val="22"/>
                          <w:szCs w:val="22"/>
                        </w:rPr>
                        <m:t>cm</m:t>
                      </m:r>
                    </m:e>
                    <m:sup>
                      <m:r>
                        <w:rPr>
                          <w:rFonts w:ascii="Cambria Math" w:hAnsi="Cambria Math" w:cs="Arial"/>
                          <w:sz w:val="22"/>
                          <w:szCs w:val="22"/>
                        </w:rPr>
                        <m:t>3</m:t>
                      </m:r>
                    </m:sup>
                  </m:sSup>
                </m:den>
              </m:f>
            </m:e>
          </m:d>
        </m:oMath>
      </m:oMathPara>
    </w:p>
    <w:p w14:paraId="70C224B6" w14:textId="7623CF98"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Therefore, k equals 0.0129 cm/min. If </w:t>
      </w:r>
      <w:r w:rsidR="00DB4E72" w:rsidRPr="00555DE1">
        <w:rPr>
          <w:rFonts w:ascii="Arial" w:hAnsi="Arial" w:cs="Arial"/>
          <w:sz w:val="22"/>
          <w:szCs w:val="22"/>
        </w:rPr>
        <w:t>the diffusion layer's thickness could be determined</w:t>
      </w:r>
      <w:r w:rsidRPr="00555DE1">
        <w:rPr>
          <w:rFonts w:ascii="Arial" w:hAnsi="Arial" w:cs="Arial"/>
          <w:sz w:val="22"/>
          <w:szCs w:val="22"/>
        </w:rPr>
        <w:t>, calculating the drug's diffusion coefficient would be feasible. For example, with an estimated diffusion layer thickness of 6 × 10</w:t>
      </w:r>
      <w:r w:rsidRPr="00555DE1">
        <w:rPr>
          <w:rFonts w:ascii="Arial" w:hAnsi="Arial" w:cs="Arial"/>
          <w:sz w:val="22"/>
          <w:szCs w:val="22"/>
          <w:vertAlign w:val="superscript"/>
        </w:rPr>
        <w:t>–3</w:t>
      </w:r>
      <w:r w:rsidRPr="00555DE1">
        <w:rPr>
          <w:rFonts w:ascii="Arial" w:hAnsi="Arial" w:cs="Arial"/>
          <w:sz w:val="22"/>
          <w:szCs w:val="22"/>
        </w:rPr>
        <w:t xml:space="preserve"> cm, the diffusion coefficient 'D' can be computed as follows:</w:t>
      </w:r>
    </w:p>
    <w:p w14:paraId="63075CB7" w14:textId="77777777" w:rsidR="002A4071" w:rsidRPr="00555DE1" w:rsidRDefault="002A4071" w:rsidP="00DB4E72">
      <w:pPr>
        <w:pStyle w:val="Body"/>
        <w:rPr>
          <w:rFonts w:ascii="Arial" w:hAnsi="Arial" w:cs="Arial"/>
          <w:sz w:val="22"/>
          <w:szCs w:val="22"/>
        </w:rPr>
      </w:pPr>
      <m:oMathPara>
        <m:oMath>
          <m:r>
            <w:rPr>
              <w:rFonts w:ascii="Cambria Math" w:hAnsi="Cambria Math" w:cs="Arial"/>
              <w:sz w:val="22"/>
              <w:szCs w:val="22"/>
            </w:rPr>
            <m:t>k=</m:t>
          </m:r>
          <m:f>
            <m:fPr>
              <m:ctrlPr>
                <w:rPr>
                  <w:rFonts w:ascii="Cambria Math" w:hAnsi="Cambria Math" w:cs="Arial"/>
                  <w:i/>
                  <w:sz w:val="22"/>
                  <w:szCs w:val="22"/>
                </w:rPr>
              </m:ctrlPr>
            </m:fPr>
            <m:num>
              <m:r>
                <w:rPr>
                  <w:rFonts w:ascii="Cambria Math" w:hAnsi="Cambria Math" w:cs="Arial"/>
                  <w:sz w:val="22"/>
                  <w:szCs w:val="22"/>
                </w:rPr>
                <m:t xml:space="preserve">D </m:t>
              </m:r>
            </m:num>
            <m:den>
              <m:r>
                <w:rPr>
                  <w:rFonts w:ascii="Cambria Math" w:hAnsi="Cambria Math" w:cs="Arial"/>
                  <w:sz w:val="22"/>
                  <w:szCs w:val="22"/>
                </w:rPr>
                <m:t>h</m:t>
              </m:r>
            </m:den>
          </m:f>
        </m:oMath>
      </m:oMathPara>
    </w:p>
    <w:p w14:paraId="2C7CC966" w14:textId="77777777" w:rsidR="002A4071" w:rsidRPr="00555DE1" w:rsidRDefault="002A4071" w:rsidP="002A4071">
      <w:pPr>
        <w:pStyle w:val="Body"/>
        <w:rPr>
          <w:rFonts w:ascii="Arial" w:hAnsi="Arial" w:cs="Arial"/>
          <w:sz w:val="22"/>
          <w:szCs w:val="22"/>
        </w:rPr>
      </w:pPr>
      <m:oMathPara>
        <m:oMath>
          <m:r>
            <w:rPr>
              <w:rFonts w:ascii="Cambria Math" w:hAnsi="Cambria Math" w:cs="Arial"/>
              <w:sz w:val="22"/>
              <w:szCs w:val="22"/>
            </w:rPr>
            <m:t>0.0129</m:t>
          </m:r>
          <m:f>
            <m:fPr>
              <m:type m:val="lin"/>
              <m:ctrlPr>
                <w:rPr>
                  <w:rFonts w:ascii="Cambria Math" w:hAnsi="Cambria Math" w:cs="Arial"/>
                  <w:i/>
                  <w:sz w:val="22"/>
                  <w:szCs w:val="22"/>
                </w:rPr>
              </m:ctrlPr>
            </m:fPr>
            <m:num>
              <m:r>
                <w:rPr>
                  <w:rFonts w:ascii="Cambria Math" w:hAnsi="Cambria Math" w:cs="Arial"/>
                  <w:sz w:val="22"/>
                  <w:szCs w:val="22"/>
                </w:rPr>
                <m:t>cm</m:t>
              </m:r>
            </m:num>
            <m:den>
              <m:r>
                <w:rPr>
                  <w:rFonts w:ascii="Cambria Math" w:hAnsi="Cambria Math" w:cs="Arial"/>
                  <w:sz w:val="22"/>
                  <w:szCs w:val="22"/>
                </w:rPr>
                <m:t>min</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 xml:space="preserve">D </m:t>
              </m:r>
            </m:num>
            <m:den>
              <m:r>
                <w:rPr>
                  <w:rFonts w:ascii="Cambria Math" w:hAnsi="Cambria Math" w:cs="Arial"/>
                  <w:sz w:val="22"/>
                  <w:szCs w:val="22"/>
                </w:rPr>
                <m:t xml:space="preserve">6 × </m:t>
              </m:r>
              <m:sSup>
                <m:sSupPr>
                  <m:ctrlPr>
                    <w:rPr>
                      <w:rFonts w:ascii="Cambria Math" w:hAnsi="Cambria Math" w:cs="Arial"/>
                      <w:i/>
                      <w:sz w:val="22"/>
                      <w:szCs w:val="22"/>
                    </w:rPr>
                  </m:ctrlPr>
                </m:sSupPr>
                <m:e>
                  <m:r>
                    <w:rPr>
                      <w:rFonts w:ascii="Cambria Math" w:hAnsi="Cambria Math" w:cs="Arial"/>
                      <w:sz w:val="22"/>
                      <w:szCs w:val="22"/>
                    </w:rPr>
                    <m:t>10</m:t>
                  </m:r>
                </m:e>
                <m:sup>
                  <m:r>
                    <w:rPr>
                      <w:rFonts w:ascii="Cambria Math" w:hAnsi="Cambria Math" w:cs="Arial"/>
                      <w:sz w:val="22"/>
                      <w:szCs w:val="22"/>
                    </w:rPr>
                    <m:t>-3</m:t>
                  </m:r>
                </m:sup>
              </m:sSup>
              <m:r>
                <w:rPr>
                  <w:rFonts w:ascii="Cambria Math" w:hAnsi="Cambria Math" w:cs="Arial"/>
                  <w:sz w:val="22"/>
                  <w:szCs w:val="22"/>
                </w:rPr>
                <m:t xml:space="preserve"> cm</m:t>
              </m:r>
            </m:den>
          </m:f>
        </m:oMath>
      </m:oMathPara>
    </w:p>
    <w:p w14:paraId="4A471DA1" w14:textId="2E2C669D" w:rsidR="002A4071" w:rsidRPr="00555DE1" w:rsidRDefault="002A4071" w:rsidP="002A4071">
      <w:pPr>
        <w:pStyle w:val="Body"/>
        <w:rPr>
          <w:rFonts w:ascii="Arial" w:hAnsi="Arial" w:cs="Arial"/>
          <w:sz w:val="22"/>
          <w:szCs w:val="22"/>
        </w:rPr>
      </w:pPr>
      <w:r w:rsidRPr="00555DE1">
        <w:rPr>
          <w:rFonts w:ascii="Arial" w:hAnsi="Arial" w:cs="Arial"/>
          <w:sz w:val="22"/>
          <w:szCs w:val="22"/>
        </w:rPr>
        <w:lastRenderedPageBreak/>
        <w:t>The diffusion coefficient (D) is 7.74 x 10</w:t>
      </w:r>
      <w:r w:rsidRPr="00555DE1">
        <w:rPr>
          <w:rFonts w:ascii="Cambria Math" w:hAnsi="Cambria Math" w:cs="Cambria Math"/>
          <w:sz w:val="22"/>
          <w:szCs w:val="22"/>
        </w:rPr>
        <w:t>⁻</w:t>
      </w:r>
      <w:r w:rsidRPr="00555DE1">
        <w:rPr>
          <w:rFonts w:ascii="Arial" w:hAnsi="Arial" w:cs="Arial"/>
          <w:sz w:val="22"/>
          <w:szCs w:val="22"/>
        </w:rPr>
        <w:t xml:space="preserve">⁵ cm²/min. It is affected by several factors, including the Boltzmann constant, the </w:t>
      </w:r>
      <w:r w:rsidR="00DB4E72" w:rsidRPr="00555DE1">
        <w:rPr>
          <w:rFonts w:ascii="Arial" w:hAnsi="Arial" w:cs="Arial"/>
          <w:sz w:val="22"/>
          <w:szCs w:val="22"/>
        </w:rPr>
        <w:t>medium's viscosity</w:t>
      </w:r>
      <w:r w:rsidRPr="00555DE1">
        <w:rPr>
          <w:rFonts w:ascii="Arial" w:hAnsi="Arial" w:cs="Arial"/>
          <w:sz w:val="22"/>
          <w:szCs w:val="22"/>
        </w:rPr>
        <w:t>, temperature, and the solute's molecular radius. The Stokes-Einstein equation illustrates how these variables relate to the diffusion coefficient</w:t>
      </w:r>
      <w:r w:rsidR="00AC224A" w:rsidRPr="00555DE1">
        <w:rPr>
          <w:rFonts w:ascii="Arial" w:hAnsi="Arial" w:cs="Arial"/>
          <w:sz w:val="22"/>
          <w:szCs w:val="22"/>
        </w:rPr>
        <w:fldChar w:fldCharType="begin"/>
      </w:r>
      <w:r w:rsidR="00AC224A" w:rsidRPr="00555DE1">
        <w:rPr>
          <w:rFonts w:ascii="Arial" w:hAnsi="Arial" w:cs="Arial"/>
          <w:sz w:val="22"/>
          <w:szCs w:val="22"/>
        </w:rPr>
        <w:instrText xml:space="preserve"> ADDIN ZOTERO_ITEM CSL_CITATION {"citationID":"SWpXrcaZ","properties":{"formattedCitation":"[16]","plainCitation":"[16]","noteIndex":0},"citationItems":[{"id":1292,"uris":["http://zotero.org/users/16905564/items/RADKAR5N"],"itemData":{"id":1292,"type":"article-journal","container-title":"Bmc Bioinformatics","ISSN":"1471-2105","issue":"Suppl 10","journalAbbreviation":"Bmc Bioinformatics","page":"S13","publisher":"Springer","title":"A modified Stokes-Einstein equation for A β aggregation","volume":"12","author":[{"family":"Achuthan","given":"Srisairam"},{"family":"Chung","given":"Bong Jae"},{"family":"Ghosh","given":"Preetam"},{"family":"Rangachari","given":"Vijayaraghavan"},{"family":"Vaidya","given":"Ashwin"}],"issued":{"date-parts":[["2011"]]}}}],"schema":"https://github.com/citation-style-language/schema/raw/master/csl-citation.json"} </w:instrText>
      </w:r>
      <w:r w:rsidR="00AC224A" w:rsidRPr="00555DE1">
        <w:rPr>
          <w:rFonts w:ascii="Arial" w:hAnsi="Arial" w:cs="Arial"/>
          <w:sz w:val="22"/>
          <w:szCs w:val="22"/>
        </w:rPr>
        <w:fldChar w:fldCharType="separate"/>
      </w:r>
      <w:r w:rsidR="00AC224A" w:rsidRPr="00555DE1">
        <w:rPr>
          <w:rFonts w:ascii="Arial" w:hAnsi="Arial" w:cs="Arial"/>
          <w:sz w:val="22"/>
          <w:szCs w:val="22"/>
        </w:rPr>
        <w:t>[16]</w:t>
      </w:r>
      <w:r w:rsidR="00AC224A" w:rsidRPr="00555DE1">
        <w:rPr>
          <w:rFonts w:ascii="Arial" w:hAnsi="Arial" w:cs="Arial"/>
          <w:sz w:val="22"/>
          <w:szCs w:val="22"/>
        </w:rPr>
        <w:fldChar w:fldCharType="end"/>
      </w:r>
      <w:r w:rsidRPr="00555DE1">
        <w:rPr>
          <w:rFonts w:ascii="Arial" w:hAnsi="Arial" w:cs="Arial"/>
          <w:sz w:val="22"/>
          <w:szCs w:val="22"/>
        </w:rPr>
        <w:t>:</w:t>
      </w:r>
    </w:p>
    <w:p w14:paraId="25487F95" w14:textId="77777777" w:rsidR="002A4071" w:rsidRPr="00555DE1" w:rsidRDefault="002A4071" w:rsidP="002A4071">
      <w:pPr>
        <w:pStyle w:val="Body"/>
        <w:rPr>
          <w:rFonts w:ascii="Arial" w:hAnsi="Arial" w:cs="Arial"/>
          <w:sz w:val="22"/>
          <w:szCs w:val="22"/>
        </w:rPr>
      </w:pPr>
      <m:oMathPara>
        <m:oMath>
          <m:r>
            <w:rPr>
              <w:rFonts w:ascii="Cambria Math" w:hAnsi="Cambria Math" w:cs="Arial"/>
              <w:sz w:val="22"/>
              <w:szCs w:val="22"/>
            </w:rPr>
            <m:t>D</m:t>
          </m:r>
          <m:r>
            <m:rPr>
              <m:sty m:val="p"/>
            </m:rPr>
            <w:rPr>
              <w:rFonts w:ascii="Cambria Math" w:hAnsi="Cambria Math" w:cs="Arial"/>
              <w:sz w:val="22"/>
              <w:szCs w:val="22"/>
            </w:rPr>
            <m:t>=</m:t>
          </m:r>
          <m:f>
            <m:fPr>
              <m:ctrlPr>
                <w:rPr>
                  <w:rFonts w:ascii="Cambria Math" w:hAnsi="Cambria Math" w:cs="Arial"/>
                  <w:sz w:val="22"/>
                  <w:szCs w:val="22"/>
                </w:rPr>
              </m:ctrlPr>
            </m:fPr>
            <m:num>
              <m:r>
                <w:rPr>
                  <w:rFonts w:ascii="Cambria Math" w:hAnsi="Cambria Math" w:cs="Arial"/>
                  <w:sz w:val="22"/>
                  <w:szCs w:val="22"/>
                </w:rPr>
                <m:t>k</m:t>
              </m:r>
              <m:r>
                <m:rPr>
                  <m:sty m:val="p"/>
                </m:rPr>
                <w:rPr>
                  <w:rFonts w:ascii="Cambria Math" w:hAnsi="Cambria Math" w:cs="Arial"/>
                  <w:sz w:val="22"/>
                  <w:szCs w:val="22"/>
                </w:rPr>
                <m:t>T</m:t>
              </m:r>
            </m:num>
            <m:den>
              <m:r>
                <m:rPr>
                  <m:sty m:val="p"/>
                </m:rPr>
                <w:rPr>
                  <w:rFonts w:ascii="Cambria Math" w:hAnsi="Cambria Math" w:cs="Arial"/>
                  <w:sz w:val="22"/>
                  <w:szCs w:val="22"/>
                </w:rPr>
                <m:t>6πηr</m:t>
              </m:r>
            </m:den>
          </m:f>
        </m:oMath>
      </m:oMathPara>
    </w:p>
    <w:p w14:paraId="695345A7"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Where </w:t>
      </w:r>
      <w:r w:rsidRPr="00555DE1">
        <w:rPr>
          <w:rFonts w:ascii="Arial" w:hAnsi="Arial" w:cs="Arial"/>
          <w:i/>
          <w:iCs/>
          <w:sz w:val="22"/>
          <w:szCs w:val="22"/>
        </w:rPr>
        <w:t>k</w:t>
      </w:r>
      <w:r w:rsidRPr="00555DE1">
        <w:rPr>
          <w:rFonts w:ascii="Arial" w:hAnsi="Arial" w:cs="Arial"/>
          <w:sz w:val="22"/>
          <w:szCs w:val="22"/>
        </w:rPr>
        <w:t> is the Boltzmann constant, </w:t>
      </w:r>
      <w:r w:rsidRPr="00555DE1">
        <w:rPr>
          <w:rFonts w:ascii="Arial" w:hAnsi="Arial" w:cs="Arial"/>
          <w:i/>
          <w:iCs/>
          <w:sz w:val="22"/>
          <w:szCs w:val="22"/>
        </w:rPr>
        <w:t>η</w:t>
      </w:r>
      <w:r w:rsidRPr="00555DE1">
        <w:rPr>
          <w:rFonts w:ascii="Arial" w:hAnsi="Arial" w:cs="Arial"/>
          <w:sz w:val="22"/>
          <w:szCs w:val="22"/>
        </w:rPr>
        <w:t xml:space="preserve"> is the solvent viscosity, </w:t>
      </w:r>
      <w:r w:rsidRPr="00555DE1">
        <w:rPr>
          <w:rFonts w:ascii="Arial" w:hAnsi="Arial" w:cs="Arial"/>
          <w:i/>
          <w:sz w:val="22"/>
          <w:szCs w:val="22"/>
        </w:rPr>
        <w:t xml:space="preserve">r </w:t>
      </w:r>
      <w:r w:rsidRPr="00555DE1">
        <w:rPr>
          <w:rFonts w:ascii="Arial" w:hAnsi="Arial" w:cs="Arial"/>
          <w:sz w:val="22"/>
          <w:szCs w:val="22"/>
        </w:rPr>
        <w:t>is the radius</w:t>
      </w:r>
      <w:r w:rsidRPr="00555DE1">
        <w:rPr>
          <w:rFonts w:ascii="Arial" w:hAnsi="Arial" w:cs="Arial"/>
          <w:i/>
          <w:sz w:val="22"/>
          <w:szCs w:val="22"/>
        </w:rPr>
        <w:t xml:space="preserve"> </w:t>
      </w:r>
      <w:r w:rsidRPr="00555DE1">
        <w:rPr>
          <w:rFonts w:ascii="Arial" w:hAnsi="Arial" w:cs="Arial"/>
          <w:sz w:val="22"/>
          <w:szCs w:val="22"/>
        </w:rPr>
        <w:t>of the solute, and </w:t>
      </w:r>
      <w:r w:rsidRPr="00555DE1">
        <w:rPr>
          <w:rFonts w:ascii="Arial" w:hAnsi="Arial" w:cs="Arial"/>
          <w:i/>
          <w:iCs/>
          <w:sz w:val="22"/>
          <w:szCs w:val="22"/>
        </w:rPr>
        <w:t>T</w:t>
      </w:r>
      <w:r w:rsidRPr="00555DE1">
        <w:rPr>
          <w:rFonts w:ascii="Arial" w:hAnsi="Arial" w:cs="Arial"/>
          <w:sz w:val="22"/>
          <w:szCs w:val="22"/>
        </w:rPr>
        <w:t> is the absolute temperature.</w:t>
      </w:r>
    </w:p>
    <w:p w14:paraId="5DC33B9B" w14:textId="78695492" w:rsidR="00F03336" w:rsidRPr="00555DE1" w:rsidRDefault="002A4071" w:rsidP="002A4071">
      <w:pPr>
        <w:pStyle w:val="Body"/>
        <w:rPr>
          <w:rFonts w:ascii="Arial" w:hAnsi="Arial" w:cs="Arial"/>
          <w:sz w:val="22"/>
          <w:szCs w:val="22"/>
        </w:rPr>
      </w:pPr>
      <w:r w:rsidRPr="00555DE1">
        <w:rPr>
          <w:rFonts w:ascii="Arial" w:hAnsi="Arial" w:cs="Arial"/>
          <w:sz w:val="22"/>
          <w:szCs w:val="22"/>
        </w:rPr>
        <w:t xml:space="preserve">This equation calculates the diffusion coefficient D from the estimated </w:t>
      </w:r>
      <w:r w:rsidR="00DB4E72" w:rsidRPr="00555DE1">
        <w:rPr>
          <w:rFonts w:ascii="Arial" w:hAnsi="Arial" w:cs="Arial"/>
          <w:sz w:val="22"/>
          <w:szCs w:val="22"/>
        </w:rPr>
        <w:t>solute molecular radius</w:t>
      </w:r>
      <w:r w:rsidRPr="00555DE1">
        <w:rPr>
          <w:rFonts w:ascii="Arial" w:hAnsi="Arial" w:cs="Arial"/>
          <w:sz w:val="22"/>
          <w:szCs w:val="22"/>
        </w:rPr>
        <w:t xml:space="preserve">. The main physicochemical and physiological factors that significantly influence drug dissolution in the gastrointestinal tract (GIT), as outlined in </w:t>
      </w:r>
      <w:r w:rsidRPr="00555DE1">
        <w:rPr>
          <w:rFonts w:ascii="Arial" w:hAnsi="Arial" w:cs="Arial"/>
          <w:b/>
          <w:bCs/>
          <w:sz w:val="22"/>
          <w:szCs w:val="22"/>
        </w:rPr>
        <w:t>Table 1</w:t>
      </w:r>
      <w:r w:rsidRPr="00555DE1">
        <w:rPr>
          <w:rFonts w:ascii="Arial" w:hAnsi="Arial" w:cs="Arial"/>
          <w:sz w:val="22"/>
          <w:szCs w:val="22"/>
        </w:rPr>
        <w:t xml:space="preserve"> for the Noyes-Whitney model, are </w:t>
      </w:r>
      <w:r w:rsidR="00F03336" w:rsidRPr="00555DE1">
        <w:rPr>
          <w:rFonts w:ascii="Arial" w:hAnsi="Arial" w:cs="Arial"/>
          <w:sz w:val="22"/>
          <w:szCs w:val="22"/>
        </w:rPr>
        <w:t>summarized</w:t>
      </w:r>
      <w:r w:rsidRPr="00555DE1">
        <w:rPr>
          <w:rFonts w:ascii="Arial" w:hAnsi="Arial" w:cs="Arial"/>
          <w:sz w:val="22"/>
          <w:szCs w:val="22"/>
        </w:rPr>
        <w:t xml:space="preserve"> below.</w:t>
      </w:r>
    </w:p>
    <w:p w14:paraId="150E2873" w14:textId="4466379E" w:rsidR="002A4071" w:rsidRPr="00555DE1" w:rsidRDefault="002A4071" w:rsidP="002A4071">
      <w:pPr>
        <w:pStyle w:val="Body"/>
        <w:rPr>
          <w:rFonts w:ascii="Arial" w:hAnsi="Arial" w:cs="Arial"/>
          <w:sz w:val="22"/>
          <w:szCs w:val="22"/>
        </w:rPr>
      </w:pPr>
      <w:r w:rsidRPr="00555DE1">
        <w:rPr>
          <w:rFonts w:ascii="Arial" w:hAnsi="Arial" w:cs="Arial"/>
          <w:b/>
          <w:sz w:val="22"/>
          <w:szCs w:val="22"/>
        </w:rPr>
        <w:t>Table 1.</w:t>
      </w:r>
      <w:r w:rsidRPr="00555DE1">
        <w:rPr>
          <w:rFonts w:ascii="Arial" w:hAnsi="Arial" w:cs="Arial"/>
          <w:sz w:val="22"/>
          <w:szCs w:val="22"/>
        </w:rPr>
        <w:t xml:space="preserve"> Factors affecting drug dissolution in the gastrointestinal tract</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{"citationID":"wSrhdwis","properties":{"formattedCitation":"[17]","plainCitation":"[17]","noteIndex":0},"citationItems":[{"id":1256,"uris":["http://zotero.org/users/16905564/items/NH3XMTNR"],"itemData":{"id":1256,"type":"article-journal","container-title":"Pharmaceutical research","ISSN":"0724-8741","issue":"2","journalAbbreviation":"Pharmaceutical research","page":"256-261","publisher":"Springer","title":"Analysis of dissolution data using modified versions of Noyes–Whitney equation and the Weibull function","volume":"23","author":[{"family":"Dokoumetzidis","given":"Aristides"},{"family":"Papadopoulou","given":"Vasiliki"},{"family":"Macheras","given":"Panos"}],"issued":{"date-parts":[["2006"]]}}}],"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[17]</w:t>
      </w:r>
      <w:r w:rsidRPr="00555DE1">
        <w:rPr>
          <w:rFonts w:ascii="Arial" w:hAnsi="Arial" w:cs="Arial"/>
          <w:sz w:val="22"/>
          <w:szCs w:val="22"/>
        </w:rPr>
        <w:fldChar w:fldCharType="end"/>
      </w:r>
      <w:r w:rsidRPr="00555DE1">
        <w:rPr>
          <w:rFonts w:ascii="Arial" w:hAnsi="Arial" w:cs="Arial"/>
          <w:sz w:val="22"/>
          <w:szCs w:val="22"/>
        </w:rPr>
        <w:t>.</w:t>
      </w:r>
    </w:p>
    <w:tbl>
      <w:tblPr>
        <w:tblStyle w:val="ListTable6Colorful"/>
        <w:tblW w:w="0" w:type="auto"/>
        <w:tblLook w:val="04A0" w:firstRow="1" w:lastRow="0" w:firstColumn="1" w:lastColumn="0" w:noHBand="0" w:noVBand="1"/>
      </w:tblPr>
      <w:tblGrid>
        <w:gridCol w:w="2619"/>
        <w:gridCol w:w="2900"/>
        <w:gridCol w:w="2689"/>
      </w:tblGrid>
      <w:tr w:rsidR="002A4071" w:rsidRPr="00555DE1" w14:paraId="472E64EC" w14:textId="77777777" w:rsidTr="00F03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5B3293B9" w14:textId="77777777" w:rsidR="002A4071" w:rsidRPr="00555DE1" w:rsidRDefault="002A4071" w:rsidP="005D7C8E">
            <w:pPr>
              <w:pStyle w:val="Body"/>
              <w:rPr>
                <w:rFonts w:ascii="Arial" w:hAnsi="Arial" w:cs="Arial"/>
                <w:sz w:val="22"/>
                <w:szCs w:val="22"/>
              </w:rPr>
            </w:pPr>
            <w:r w:rsidRPr="00555DE1">
              <w:rPr>
                <w:rFonts w:ascii="Arial" w:hAnsi="Arial" w:cs="Arial"/>
                <w:sz w:val="22"/>
                <w:szCs w:val="22"/>
              </w:rPr>
              <w:t>Factors based on the Noyes-Whitney equation</w:t>
            </w:r>
          </w:p>
        </w:tc>
        <w:tc>
          <w:tcPr>
            <w:tcW w:w="3223" w:type="dxa"/>
          </w:tcPr>
          <w:p w14:paraId="3E5A1924" w14:textId="77777777" w:rsidR="002A4071" w:rsidRPr="00555DE1" w:rsidRDefault="002A4071" w:rsidP="005D7C8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Physicochemical Parameter</w:t>
            </w:r>
          </w:p>
        </w:tc>
        <w:tc>
          <w:tcPr>
            <w:tcW w:w="3068" w:type="dxa"/>
          </w:tcPr>
          <w:p w14:paraId="21835A5D" w14:textId="77777777" w:rsidR="002A4071" w:rsidRPr="00555DE1" w:rsidRDefault="002A4071" w:rsidP="005D7C8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Physiological Parameter</w:t>
            </w:r>
          </w:p>
        </w:tc>
      </w:tr>
      <w:tr w:rsidR="002A4071" w:rsidRPr="00555DE1" w14:paraId="5CA5B384" w14:textId="77777777" w:rsidTr="00F03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59E281FB"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Diffusivity of the drug (D)</w:t>
            </w:r>
          </w:p>
        </w:tc>
        <w:tc>
          <w:tcPr>
            <w:tcW w:w="3223" w:type="dxa"/>
          </w:tcPr>
          <w:p w14:paraId="61A168A0" w14:textId="77777777" w:rsidR="002A4071" w:rsidRPr="00555DE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55DE1">
              <w:rPr>
                <w:rFonts w:ascii="Arial" w:hAnsi="Arial" w:cs="Arial"/>
                <w:sz w:val="22"/>
                <w:szCs w:val="22"/>
              </w:rPr>
              <w:t>Molecular weight</w:t>
            </w:r>
          </w:p>
        </w:tc>
        <w:tc>
          <w:tcPr>
            <w:tcW w:w="3068" w:type="dxa"/>
          </w:tcPr>
          <w:p w14:paraId="0837B84A" w14:textId="77777777" w:rsidR="002A4071" w:rsidRPr="00555DE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55DE1">
              <w:rPr>
                <w:rFonts w:ascii="Arial" w:hAnsi="Arial" w:cs="Arial"/>
                <w:sz w:val="22"/>
                <w:szCs w:val="22"/>
              </w:rPr>
              <w:t>The viscosity of luminal contents and the micelle size of amphiphiles.</w:t>
            </w:r>
          </w:p>
        </w:tc>
      </w:tr>
      <w:tr w:rsidR="002A4071" w:rsidRPr="00555DE1" w14:paraId="6F418761" w14:textId="77777777" w:rsidTr="00F03336">
        <w:tc>
          <w:tcPr>
            <w:cnfStyle w:val="001000000000" w:firstRow="0" w:lastRow="0" w:firstColumn="1" w:lastColumn="0" w:oddVBand="0" w:evenVBand="0" w:oddHBand="0" w:evenHBand="0" w:firstRowFirstColumn="0" w:firstRowLastColumn="0" w:lastRowFirstColumn="0" w:lastRowLastColumn="0"/>
            <w:tcW w:w="3059" w:type="dxa"/>
          </w:tcPr>
          <w:p w14:paraId="5BE4B77A"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The surface area of the drug (A)</w:t>
            </w:r>
          </w:p>
        </w:tc>
        <w:tc>
          <w:tcPr>
            <w:tcW w:w="3223" w:type="dxa"/>
          </w:tcPr>
          <w:p w14:paraId="705FAC11" w14:textId="77777777" w:rsidR="002A4071" w:rsidRPr="00555DE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Particle size, wettability</w:t>
            </w:r>
          </w:p>
        </w:tc>
        <w:tc>
          <w:tcPr>
            <w:tcW w:w="3068" w:type="dxa"/>
          </w:tcPr>
          <w:p w14:paraId="215905D5" w14:textId="77777777" w:rsidR="002A4071" w:rsidRPr="00555DE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Surfactants in gastric and intestinal liquids</w:t>
            </w:r>
          </w:p>
        </w:tc>
      </w:tr>
      <w:tr w:rsidR="002A4071" w:rsidRPr="00555DE1" w14:paraId="5AE9E781" w14:textId="77777777" w:rsidTr="00F03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3FF38D9F"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Solubility (Cs)</w:t>
            </w:r>
          </w:p>
        </w:tc>
        <w:tc>
          <w:tcPr>
            <w:tcW w:w="3223" w:type="dxa"/>
          </w:tcPr>
          <w:p w14:paraId="7D8CF07D" w14:textId="050A5661" w:rsidR="002A4071" w:rsidRPr="00555DE1" w:rsidRDefault="002A4071" w:rsidP="00053739">
            <w:pPr>
              <w:pStyle w:val="Body"/>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55DE1">
              <w:rPr>
                <w:rFonts w:ascii="Arial" w:hAnsi="Arial" w:cs="Arial"/>
                <w:sz w:val="22"/>
                <w:szCs w:val="22"/>
              </w:rPr>
              <w:t>Hydrophilicity</w:t>
            </w:r>
            <w:r w:rsidR="00053739" w:rsidRPr="00555DE1">
              <w:rPr>
                <w:rFonts w:ascii="Arial" w:hAnsi="Arial" w:cs="Arial"/>
                <w:sz w:val="22"/>
                <w:szCs w:val="22"/>
              </w:rPr>
              <w:t xml:space="preserve"> </w:t>
            </w:r>
            <w:r w:rsidRPr="00555DE1">
              <w:rPr>
                <w:rFonts w:ascii="Arial" w:hAnsi="Arial" w:cs="Arial"/>
                <w:sz w:val="22"/>
                <w:szCs w:val="22"/>
              </w:rPr>
              <w:t xml:space="preserve">and hydrophobicity, </w:t>
            </w:r>
            <w:proofErr w:type="spellStart"/>
            <w:r w:rsidRPr="00555DE1">
              <w:rPr>
                <w:rFonts w:ascii="Arial" w:hAnsi="Arial" w:cs="Arial"/>
                <w:sz w:val="22"/>
                <w:szCs w:val="22"/>
              </w:rPr>
              <w:t>pKa</w:t>
            </w:r>
            <w:proofErr w:type="spellEnd"/>
            <w:r w:rsidRPr="00555DE1">
              <w:rPr>
                <w:rFonts w:ascii="Arial" w:hAnsi="Arial" w:cs="Arial"/>
                <w:sz w:val="22"/>
                <w:szCs w:val="22"/>
              </w:rPr>
              <w:t>, melting point, crystal structure, solubilization, and complexation.</w:t>
            </w:r>
          </w:p>
        </w:tc>
        <w:tc>
          <w:tcPr>
            <w:tcW w:w="3068" w:type="dxa"/>
          </w:tcPr>
          <w:p w14:paraId="22F2E28C" w14:textId="77777777" w:rsidR="002A4071" w:rsidRPr="00555DE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55DE1">
              <w:rPr>
                <w:rFonts w:ascii="Arial" w:hAnsi="Arial" w:cs="Arial"/>
                <w:sz w:val="22"/>
                <w:szCs w:val="22"/>
              </w:rPr>
              <w:t>pH, buffer capacity, bile, food constituent</w:t>
            </w:r>
          </w:p>
        </w:tc>
      </w:tr>
      <w:tr w:rsidR="002A4071" w:rsidRPr="00555DE1" w14:paraId="73E97068" w14:textId="77777777" w:rsidTr="00F03336">
        <w:tc>
          <w:tcPr>
            <w:cnfStyle w:val="001000000000" w:firstRow="0" w:lastRow="0" w:firstColumn="1" w:lastColumn="0" w:oddVBand="0" w:evenVBand="0" w:oddHBand="0" w:evenHBand="0" w:firstRowFirstColumn="0" w:firstRowLastColumn="0" w:lastRowFirstColumn="0" w:lastRowLastColumn="0"/>
            <w:tcW w:w="3059" w:type="dxa"/>
          </w:tcPr>
          <w:p w14:paraId="5A63271D"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Amount of drug already dissolved (Ct)</w:t>
            </w:r>
          </w:p>
        </w:tc>
        <w:tc>
          <w:tcPr>
            <w:tcW w:w="3223" w:type="dxa"/>
          </w:tcPr>
          <w:p w14:paraId="28E068EA" w14:textId="77777777" w:rsidR="002A4071" w:rsidRPr="00555DE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Polymorphs</w:t>
            </w:r>
          </w:p>
        </w:tc>
        <w:tc>
          <w:tcPr>
            <w:tcW w:w="3068" w:type="dxa"/>
          </w:tcPr>
          <w:p w14:paraId="4425A9A1" w14:textId="77777777" w:rsidR="002A4071" w:rsidRPr="00555DE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Permeability across the gut wall, the influence of membrane transporters (e.g. P-</w:t>
            </w:r>
            <w:proofErr w:type="spellStart"/>
            <w:r w:rsidRPr="00555DE1">
              <w:rPr>
                <w:rFonts w:ascii="Arial" w:hAnsi="Arial" w:cs="Arial"/>
                <w:sz w:val="22"/>
                <w:szCs w:val="22"/>
              </w:rPr>
              <w:t>gp</w:t>
            </w:r>
            <w:proofErr w:type="spellEnd"/>
            <w:r w:rsidRPr="00555DE1">
              <w:rPr>
                <w:rFonts w:ascii="Arial" w:hAnsi="Arial" w:cs="Arial"/>
                <w:sz w:val="22"/>
                <w:szCs w:val="22"/>
              </w:rPr>
              <w:t>)</w:t>
            </w:r>
          </w:p>
        </w:tc>
      </w:tr>
      <w:tr w:rsidR="002A4071" w:rsidRPr="00555DE1" w14:paraId="5F829230" w14:textId="77777777" w:rsidTr="00F03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5D8A4DB3"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Boundary layer thickness (h)</w:t>
            </w:r>
          </w:p>
        </w:tc>
        <w:tc>
          <w:tcPr>
            <w:tcW w:w="3223" w:type="dxa"/>
          </w:tcPr>
          <w:p w14:paraId="1DD3B90D" w14:textId="77777777" w:rsidR="002A4071" w:rsidRPr="00555DE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068" w:type="dxa"/>
          </w:tcPr>
          <w:p w14:paraId="5E6EE636" w14:textId="6BCEA3DD" w:rsidR="002A4071" w:rsidRPr="00555DE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55DE1">
              <w:rPr>
                <w:rFonts w:ascii="Arial" w:hAnsi="Arial" w:cs="Arial"/>
                <w:sz w:val="22"/>
                <w:szCs w:val="22"/>
              </w:rPr>
              <w:t xml:space="preserve">Motility patterns, flow rate, and GI </w:t>
            </w:r>
            <w:r w:rsidR="00F03336" w:rsidRPr="00555DE1">
              <w:rPr>
                <w:rFonts w:ascii="Arial" w:hAnsi="Arial" w:cs="Arial"/>
                <w:sz w:val="22"/>
                <w:szCs w:val="22"/>
              </w:rPr>
              <w:t>fluid</w:t>
            </w:r>
            <w:r w:rsidRPr="00555DE1">
              <w:rPr>
                <w:rFonts w:ascii="Arial" w:hAnsi="Arial" w:cs="Arial"/>
                <w:sz w:val="22"/>
                <w:szCs w:val="22"/>
              </w:rPr>
              <w:t xml:space="preserve"> viscosity.</w:t>
            </w:r>
          </w:p>
        </w:tc>
      </w:tr>
      <w:tr w:rsidR="002A4071" w:rsidRPr="00555DE1" w14:paraId="3558C278" w14:textId="77777777" w:rsidTr="00F03336">
        <w:tc>
          <w:tcPr>
            <w:cnfStyle w:val="001000000000" w:firstRow="0" w:lastRow="0" w:firstColumn="1" w:lastColumn="0" w:oddVBand="0" w:evenVBand="0" w:oddHBand="0" w:evenHBand="0" w:firstRowFirstColumn="0" w:firstRowLastColumn="0" w:lastRowFirstColumn="0" w:lastRowLastColumn="0"/>
            <w:tcW w:w="3059" w:type="dxa"/>
          </w:tcPr>
          <w:p w14:paraId="2F2F1CD8"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The volume of dissolution media (Sink condition)</w:t>
            </w:r>
          </w:p>
        </w:tc>
        <w:tc>
          <w:tcPr>
            <w:tcW w:w="3223" w:type="dxa"/>
          </w:tcPr>
          <w:p w14:paraId="3D726967" w14:textId="77777777" w:rsidR="002A4071" w:rsidRPr="00555DE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068" w:type="dxa"/>
          </w:tcPr>
          <w:p w14:paraId="69427393" w14:textId="77777777" w:rsidR="002A4071" w:rsidRPr="00555DE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55DE1">
              <w:rPr>
                <w:rFonts w:ascii="Arial" w:hAnsi="Arial" w:cs="Arial"/>
                <w:sz w:val="22"/>
                <w:szCs w:val="22"/>
              </w:rPr>
              <w:t>Secretions, co-administered drinks, and the viscosity of GI fluids</w:t>
            </w:r>
          </w:p>
        </w:tc>
      </w:tr>
    </w:tbl>
    <w:p w14:paraId="292936EF" w14:textId="77777777" w:rsidR="002A4071" w:rsidRPr="00555DE1" w:rsidRDefault="002A4071" w:rsidP="002A4071">
      <w:pPr>
        <w:pStyle w:val="Body"/>
        <w:rPr>
          <w:rFonts w:ascii="Arial" w:hAnsi="Arial" w:cs="Arial"/>
          <w:sz w:val="22"/>
          <w:szCs w:val="22"/>
        </w:rPr>
      </w:pPr>
    </w:p>
    <w:p w14:paraId="2D2D3149" w14:textId="7BDE6670" w:rsidR="002A4071" w:rsidRPr="00555DE1" w:rsidRDefault="002A4071" w:rsidP="002A4071">
      <w:pPr>
        <w:pStyle w:val="Body"/>
        <w:rPr>
          <w:rFonts w:ascii="Arial" w:hAnsi="Arial" w:cs="Arial"/>
          <w:sz w:val="22"/>
          <w:szCs w:val="22"/>
        </w:rPr>
      </w:pPr>
      <w:r w:rsidRPr="00555DE1">
        <w:rPr>
          <w:rFonts w:ascii="Arial" w:hAnsi="Arial" w:cs="Arial"/>
          <w:sz w:val="22"/>
          <w:szCs w:val="22"/>
        </w:rPr>
        <w:lastRenderedPageBreak/>
        <w:t>In addition, formulation-dependent parameters also influence the dissolution of drug products</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{"citationID":"4PzUcNGF","properties":{"formattedCitation":"[18], [19]","plainCitation":"[18], [19]","noteIndex":0},"citationItems":[{"id":1257,"uris":["http://zotero.org/users/16905564/items/F5ZYZPV6"],"itemData":{"id":1257,"type":"article-journal","container-title":"International Journal of Pharmaceutics","ISSN":"0378-5173","journalAbbreviation":"International Journal of Pharmaceutics","page":"122473","publisher":"Elsevier","title":"Formulation-dependent stability mechanisms affecting dissolution performance of directly compressed griseofulvin tablets","volume":"631","author":[{"family":"Maclean","given":"Natalie"},{"family":"Khadra","given":"Ibrahim"},{"family":"Mann","given":"James"},{"family":"Abbott","given":"Alexander"},{"family":"Mead","given":"Heather"},{"family":"Markl","given":"Daniel"}],"issued":{"date-parts":[["2023"]]}}},{"id":1258,"uris":["http://zotero.org/users/16905564/items/8A2XJWAE"],"itemData":{"id":1258,"type":"article-journal","container-title":"International journal of pharmaceutics","ISSN":"0378-5173","issue":"3","journalAbbreviation":"International journal of pharmaceutics","page":"257-265","publisher":"Elsevier","title":"Effects of different types of lactose and disintegrant on dissolution stability of hydrochlorothiazide capsule formulations","volume":"110","author":[{"family":"Desai","given":"DS"},{"family":"Rubitski","given":"BA"},{"family":"Bergum","given":"JS"},{"family":"Varia","given":"SA"}],"issued":{"date-parts":[["1994"]]}}}],"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[18], [19]</w:t>
      </w:r>
      <w:r w:rsidRPr="00555DE1">
        <w:rPr>
          <w:rFonts w:ascii="Arial" w:hAnsi="Arial" w:cs="Arial"/>
          <w:sz w:val="22"/>
          <w:szCs w:val="22"/>
        </w:rPr>
        <w:fldChar w:fldCharType="end"/>
      </w:r>
      <w:r w:rsidRPr="00555DE1">
        <w:rPr>
          <w:rFonts w:ascii="Arial" w:hAnsi="Arial" w:cs="Arial"/>
          <w:sz w:val="22"/>
          <w:szCs w:val="22"/>
        </w:rPr>
        <w:t>. The ongoing absorption of a drug from the intestine through the intestinal wall generally keeps its concentration in the bulk solution very low relative to its in vivo saturation solubility</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{"citationID":"TZzDFVTU","properties":{"formattedCitation":"[19]","plainCitation":"[19]","noteIndex":0},"citationItems":[{"id":1258,"uris":["http://zotero.org/users/16905564/items/8A2XJWAE"],"itemData":{"id":1258,"type":"article-journal","container-title":"International journal of pharmaceutics","ISSN":"0378-5173","issue":"3","journalAbbreviation":"International journal of pharmaceutics","page":"257-265","publisher":"Elsevier","title":"Effects of different types of lactose and disintegrant on dissolution stability of hydrochlorothiazide capsule formulations","volume":"110","author":[{"family":"Desai","given":"DS"},{"family":"Rubitski","given":"BA"},{"family":"Bergum","given":"JS"},{"family":"Varia","given":"SA"}],"issued":{"date-parts":[["1994"]]}}}],"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[19]</w:t>
      </w:r>
      <w:r w:rsidRPr="00555DE1">
        <w:rPr>
          <w:rFonts w:ascii="Arial" w:hAnsi="Arial" w:cs="Arial"/>
          <w:sz w:val="22"/>
          <w:szCs w:val="22"/>
        </w:rPr>
        <w:fldChar w:fldCharType="end"/>
      </w:r>
      <w:r w:rsidRPr="00555DE1">
        <w:rPr>
          <w:rFonts w:ascii="Arial" w:hAnsi="Arial" w:cs="Arial"/>
          <w:sz w:val="22"/>
          <w:szCs w:val="22"/>
        </w:rPr>
        <w:t xml:space="preserve">. </w:t>
      </w:r>
    </w:p>
    <w:p w14:paraId="39C89BC8"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To obtain dissolution results that accurately mimic physiological conditions, it is typically advised to conduct in vitro dissolution testing under 'sink conditions.' In this setup, the drug concentration in the surrounding medium is considered negligible (i.e., Ct = 0), with both D and h remaining steady (where h usually pertains to agitation hydrodynamics). Consequently, the dissolution rate is related to A and C</w:t>
      </w:r>
      <w:r w:rsidRPr="00555DE1">
        <w:rPr>
          <w:rFonts w:ascii="Arial" w:hAnsi="Arial" w:cs="Arial"/>
          <w:sz w:val="22"/>
          <w:szCs w:val="22"/>
          <w:vertAlign w:val="subscript"/>
        </w:rPr>
        <w:t>S</w:t>
      </w:r>
      <w:r w:rsidRPr="00555DE1">
        <w:rPr>
          <w:rFonts w:ascii="Arial" w:hAnsi="Arial" w:cs="Arial"/>
          <w:sz w:val="22"/>
          <w:szCs w:val="22"/>
        </w:rPr>
        <w:t xml:space="preserve">. </w:t>
      </w:r>
    </w:p>
    <w:p w14:paraId="600D0E76" w14:textId="348FDB12"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Therefore, the Noyes-Whitney equation for dissolution under sink conditions can be expressed as; </w:t>
      </w:r>
      <w:r w:rsidR="003E2860" w:rsidRPr="00555DE1">
        <w:rPr>
          <w:rFonts w:ascii="Arial" w:hAnsi="Arial" w:cs="Arial"/>
          <w:sz w:val="22"/>
          <w:szCs w:val="22"/>
        </w:rPr>
        <w:fldChar w:fldCharType="begin"/>
      </w:r>
      <w:r w:rsidR="009E41E0" w:rsidRPr="00555DE1">
        <w:rPr>
          <w:rFonts w:ascii="Arial" w:hAnsi="Arial" w:cs="Arial"/>
          <w:sz w:val="22"/>
          <w:szCs w:val="22"/>
        </w:rPr>
        <w:instrText xml:space="preserve"> ADDIN ZOTERO_ITEM CSL_CITATION {"citationID":"nHhCqu7K","properties":{"formattedCitation":"[20]","plainCitation":"[20]","noteIndex":0},"citationItems":[{"id":1302,"uris":["http://zotero.org/users/16905564/items/WYZVQYLN"],"itemData":{"id":1302,"type":"thesis","publisher":"Institute of Pharmaceutical Science","title":"Development of in vitro dissolution tests for orally inhaled products","author":[{"family":"Hassoun","given":"Mireille Abdallah"}],"issued":{"date-parts":[["2018"]]}}}],"schema":"https://github.com/citation-style-language/schema/raw/master/csl-citation.json"} </w:instrText>
      </w:r>
      <w:r w:rsidR="003E2860" w:rsidRPr="00555DE1">
        <w:rPr>
          <w:rFonts w:ascii="Arial" w:hAnsi="Arial" w:cs="Arial"/>
          <w:sz w:val="22"/>
          <w:szCs w:val="22"/>
        </w:rPr>
        <w:fldChar w:fldCharType="separate"/>
      </w:r>
      <w:r w:rsidR="003E2860" w:rsidRPr="00555DE1">
        <w:rPr>
          <w:rFonts w:ascii="Arial" w:hAnsi="Arial" w:cs="Arial"/>
          <w:sz w:val="22"/>
          <w:szCs w:val="22"/>
        </w:rPr>
        <w:t>[20]</w:t>
      </w:r>
      <w:r w:rsidR="003E2860" w:rsidRPr="00555DE1">
        <w:rPr>
          <w:rFonts w:ascii="Arial" w:hAnsi="Arial" w:cs="Arial"/>
          <w:sz w:val="22"/>
          <w:szCs w:val="22"/>
        </w:rPr>
        <w:fldChar w:fldCharType="end"/>
      </w:r>
      <w:r w:rsidRPr="00555DE1">
        <w:rPr>
          <w:rFonts w:ascii="Arial" w:hAnsi="Arial" w:cs="Arial"/>
          <w:sz w:val="22"/>
          <w:szCs w:val="22"/>
        </w:rPr>
        <w:t>.</w:t>
      </w:r>
    </w:p>
    <w:p w14:paraId="6FF0B7A8" w14:textId="77777777" w:rsidR="002A4071" w:rsidRPr="00555DE1" w:rsidRDefault="00C521BA" w:rsidP="002A4071">
      <w:pPr>
        <w:pStyle w:val="Body"/>
        <w:rPr>
          <w:rFonts w:ascii="Arial" w:hAnsi="Arial" w:cs="Arial"/>
          <w:sz w:val="22"/>
          <w:szCs w:val="22"/>
        </w:rPr>
      </w:pPr>
      <m:oMathPara>
        <m:oMath>
          <m:f>
            <m:fPr>
              <m:ctrlPr>
                <w:rPr>
                  <w:rFonts w:ascii="Cambria Math" w:hAnsi="Cambria Math" w:cs="Arial"/>
                  <w:i/>
                  <w:sz w:val="22"/>
                  <w:szCs w:val="22"/>
                </w:rPr>
              </m:ctrlPr>
            </m:fPr>
            <m:num>
              <m:r>
                <w:rPr>
                  <w:rFonts w:ascii="Cambria Math" w:hAnsi="Cambria Math" w:cs="Arial"/>
                  <w:sz w:val="22"/>
                  <w:szCs w:val="22"/>
                </w:rPr>
                <m:t>dm</m:t>
              </m:r>
            </m:num>
            <m:den>
              <m:r>
                <w:rPr>
                  <w:rFonts w:ascii="Cambria Math" w:hAnsi="Cambria Math" w:cs="Arial"/>
                  <w:sz w:val="22"/>
                  <w:szCs w:val="22"/>
                </w:rPr>
                <m:t>dt</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DA</m:t>
              </m:r>
              <m:sSub>
                <m:sSubPr>
                  <m:ctrlPr>
                    <w:rPr>
                      <w:rFonts w:ascii="Cambria Math" w:hAnsi="Cambria Math" w:cs="Arial"/>
                      <w:i/>
                      <w:sz w:val="22"/>
                      <w:szCs w:val="22"/>
                    </w:rPr>
                  </m:ctrlPr>
                </m:sSubPr>
                <m:e>
                  <m:r>
                    <w:rPr>
                      <w:rFonts w:ascii="Cambria Math" w:hAnsi="Cambria Math" w:cs="Arial"/>
                      <w:sz w:val="22"/>
                      <w:szCs w:val="22"/>
                    </w:rPr>
                    <m:t>C</m:t>
                  </m:r>
                </m:e>
                <m:sub>
                  <m:r>
                    <w:rPr>
                      <w:rFonts w:ascii="Cambria Math" w:hAnsi="Cambria Math" w:cs="Arial"/>
                      <w:sz w:val="22"/>
                      <w:szCs w:val="22"/>
                    </w:rPr>
                    <m:t>S</m:t>
                  </m:r>
                </m:sub>
              </m:sSub>
            </m:num>
            <m:den>
              <m:r>
                <w:rPr>
                  <w:rFonts w:ascii="Cambria Math" w:hAnsi="Cambria Math" w:cs="Arial"/>
                  <w:sz w:val="22"/>
                  <w:szCs w:val="22"/>
                </w:rPr>
                <m:t>h</m:t>
              </m:r>
            </m:den>
          </m:f>
        </m:oMath>
      </m:oMathPara>
    </w:p>
    <w:p w14:paraId="00C28C5D" w14:textId="77777777" w:rsidR="002A4071" w:rsidRPr="00555DE1" w:rsidRDefault="002A4071" w:rsidP="002A4071">
      <w:pPr>
        <w:pStyle w:val="Body"/>
        <w:rPr>
          <w:rFonts w:ascii="Arial" w:hAnsi="Arial" w:cs="Arial"/>
          <w:sz w:val="22"/>
          <w:szCs w:val="22"/>
        </w:rPr>
      </w:pPr>
    </w:p>
    <w:p w14:paraId="7664E345" w14:textId="77777777" w:rsidR="00053739" w:rsidRPr="00555DE1" w:rsidRDefault="00053739" w:rsidP="002A4071">
      <w:pPr>
        <w:pStyle w:val="Body"/>
        <w:rPr>
          <w:rFonts w:ascii="Arial" w:hAnsi="Arial" w:cs="Arial"/>
          <w:sz w:val="22"/>
          <w:szCs w:val="22"/>
        </w:rPr>
      </w:pPr>
    </w:p>
    <w:p w14:paraId="428F87A7" w14:textId="06F78C3D" w:rsidR="002A4071" w:rsidRPr="00555DE1" w:rsidRDefault="002A4071" w:rsidP="002A4071">
      <w:pPr>
        <w:pStyle w:val="Body"/>
        <w:rPr>
          <w:rFonts w:ascii="Arial" w:hAnsi="Arial" w:cs="Arial"/>
          <w:sz w:val="22"/>
          <w:szCs w:val="22"/>
        </w:rPr>
      </w:pPr>
      <w:r w:rsidRPr="00555DE1">
        <w:rPr>
          <w:rFonts w:ascii="Arial" w:hAnsi="Arial" w:cs="Arial"/>
          <w:sz w:val="22"/>
          <w:szCs w:val="22"/>
        </w:rPr>
        <w:t>During drug dissolution in the intestinal wall, an equilibrium between drug concentrations on both sides is quickly established, particularly in the gastrointestinal (GI) tract, where absorption occurs almost immediately after dissolution</w:t>
      </w:r>
      <w:r w:rsidR="006F6E5F" w:rsidRPr="00555DE1">
        <w:rPr>
          <w:rFonts w:ascii="Arial" w:hAnsi="Arial" w:cs="Arial"/>
          <w:sz w:val="22"/>
          <w:szCs w:val="22"/>
        </w:rPr>
        <w:fldChar w:fldCharType="begin"/>
      </w:r>
      <w:r w:rsidR="006F6E5F" w:rsidRPr="00555DE1">
        <w:rPr>
          <w:rFonts w:ascii="Arial" w:hAnsi="Arial" w:cs="Arial"/>
          <w:sz w:val="22"/>
          <w:szCs w:val="22"/>
        </w:rPr>
        <w:instrText xml:space="preserve"> ADDIN ZOTERO_ITEM CSL_CITATION {"citationID":"QOXw5GZC","properties":{"formattedCitation":"[21]","plainCitation":"[21]","noteIndex":0},"citationItems":[{"id":1304,"uris":["http://zotero.org/users/16905564/items/984ZT5SC"],"itemData":{"id":1304,"type":"chapter","container-title":"Oral Drug Absorption","page":"57-81","publisher":"CRC Press","title":"Gastrointestinal transit and drug absorption","author":[{"family":"Wilson","given":"Clive G"},{"family":"Weitschies","given":"Werner"},{"family":"Butler","given":"James"}],"issued":{"date-parts":[["2016"]]}}}],"schema":"https://github.com/citation-style-language/schema/raw/master/csl-citation.json"} </w:instrText>
      </w:r>
      <w:r w:rsidR="006F6E5F" w:rsidRPr="00555DE1">
        <w:rPr>
          <w:rFonts w:ascii="Arial" w:hAnsi="Arial" w:cs="Arial"/>
          <w:sz w:val="22"/>
          <w:szCs w:val="22"/>
        </w:rPr>
        <w:fldChar w:fldCharType="separate"/>
      </w:r>
      <w:r w:rsidR="006F6E5F" w:rsidRPr="00555DE1">
        <w:rPr>
          <w:rFonts w:ascii="Arial" w:hAnsi="Arial" w:cs="Arial"/>
          <w:sz w:val="22"/>
          <w:szCs w:val="22"/>
        </w:rPr>
        <w:t>[21]</w:t>
      </w:r>
      <w:r w:rsidR="006F6E5F" w:rsidRPr="00555DE1">
        <w:rPr>
          <w:rFonts w:ascii="Arial" w:hAnsi="Arial" w:cs="Arial"/>
          <w:sz w:val="22"/>
          <w:szCs w:val="22"/>
        </w:rPr>
        <w:fldChar w:fldCharType="end"/>
      </w:r>
      <w:r w:rsidRPr="00555DE1">
        <w:rPr>
          <w:rFonts w:ascii="Arial" w:hAnsi="Arial" w:cs="Arial"/>
          <w:sz w:val="22"/>
          <w:szCs w:val="22"/>
        </w:rPr>
        <w:t>. Consequently, drug levels do not build up in vivo. This situation, which promotes efficient dissolution rates, is referred to as "sink conditions"</w:t>
      </w:r>
      <w:r w:rsidR="006F6E5F" w:rsidRPr="00555DE1">
        <w:rPr>
          <w:rFonts w:ascii="Arial" w:hAnsi="Arial" w:cs="Arial"/>
          <w:sz w:val="22"/>
          <w:szCs w:val="22"/>
        </w:rPr>
        <w:t>. In</w:t>
      </w:r>
      <w:r w:rsidRPr="00555DE1">
        <w:rPr>
          <w:rFonts w:ascii="Arial" w:hAnsi="Arial" w:cs="Arial"/>
          <w:sz w:val="22"/>
          <w:szCs w:val="22"/>
        </w:rPr>
        <w:t xml:space="preserve"> vitro systems should aim to replicate sink conditions </w:t>
      </w:r>
      <w:r w:rsidR="001D7967" w:rsidRPr="00555DE1">
        <w:rPr>
          <w:rFonts w:ascii="Arial" w:hAnsi="Arial" w:cs="Arial"/>
          <w:sz w:val="22"/>
          <w:szCs w:val="22"/>
        </w:rPr>
        <w:t>by using large volumes</w:t>
      </w:r>
      <w:r w:rsidRPr="00555DE1">
        <w:rPr>
          <w:rFonts w:ascii="Arial" w:hAnsi="Arial" w:cs="Arial"/>
          <w:sz w:val="22"/>
          <w:szCs w:val="22"/>
        </w:rPr>
        <w:t xml:space="preserve"> of dissolution media, incorporating selective adsorbents to remove dissolved drugs, and employing water-miscible solvents to enhance drug solubility. Moreover, systems are being developed to continuously renew the dissolution medium with fresh solvent at a controlled rate, keeping solute concentrations below 10-15% of the maximum solubility</w:t>
      </w:r>
      <w:r w:rsidR="001D7967" w:rsidRPr="00555DE1">
        <w:rPr>
          <w:rFonts w:ascii="Arial" w:hAnsi="Arial" w:cs="Arial"/>
          <w:sz w:val="22"/>
          <w:szCs w:val="22"/>
        </w:rPr>
        <w:t xml:space="preserve"> </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{"citationID":"NSo7j7gh","properties":{"formattedCitation":"[22]","plainCitation":"[22]","noteIndex":0},"citationItems":[{"id":1187,"uris":["http://zotero.org/users/16905564/items/IGTTXIHT"],"itemData":{"id":1187,"type":"article-journal","container-title":"Journal of Formulation Science &amp; Bioavailability","DOI":"10.37421/2577-0543.2024.8.193","ISSN":"2577-0543","issue":"01","title":"Optimizing Absorption: Strategies in Formulation Design and Bioavailability Assessment","volume":"08:01, 2024","author":[{"family":"Hao Yang","given":""}],"issued":{"date-parts":[["2024"]]}}}],"schema":"https://github.com/citation-style-language/schema/raw/master/csl-citation.json"}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[22]</w:t>
      </w:r>
      <w:r w:rsidRPr="00555DE1">
        <w:rPr>
          <w:rFonts w:ascii="Arial" w:hAnsi="Arial" w:cs="Arial"/>
          <w:sz w:val="22"/>
          <w:szCs w:val="22"/>
        </w:rPr>
        <w:fldChar w:fldCharType="end"/>
      </w:r>
      <w:r w:rsidRPr="00555DE1">
        <w:rPr>
          <w:rFonts w:ascii="Arial" w:hAnsi="Arial" w:cs="Arial"/>
          <w:sz w:val="22"/>
          <w:szCs w:val="22"/>
        </w:rPr>
        <w:t>.</w:t>
      </w:r>
    </w:p>
    <w:p w14:paraId="1201FB66" w14:textId="50F7EBD0" w:rsidR="00023C1B" w:rsidRPr="00555DE1" w:rsidRDefault="002A4071" w:rsidP="002A4071">
      <w:pPr>
        <w:pStyle w:val="Body"/>
        <w:rPr>
          <w:rFonts w:ascii="Arial" w:hAnsi="Arial" w:cs="Arial"/>
          <w:sz w:val="22"/>
          <w:szCs w:val="22"/>
        </w:rPr>
      </w:pPr>
      <w:r w:rsidRPr="00555DE1">
        <w:rPr>
          <w:rFonts w:ascii="Arial" w:hAnsi="Arial" w:cs="Arial"/>
          <w:sz w:val="22"/>
          <w:szCs w:val="22"/>
        </w:rPr>
        <w:t xml:space="preserve">Currently, in vitro dissolution testing is performed under ideal sink conditions, as specified in compendial standards like the USP. These conditions stipulate that the dissolution medium volume (V) should be at least three times the volume </w:t>
      </w:r>
      <w:r w:rsidR="00F03336" w:rsidRPr="00555DE1">
        <w:rPr>
          <w:rFonts w:ascii="Arial" w:hAnsi="Arial" w:cs="Arial"/>
          <w:sz w:val="22"/>
          <w:szCs w:val="22"/>
        </w:rPr>
        <w:t>required to saturate the drug's dissolution (</w:t>
      </w:r>
      <w:proofErr w:type="spellStart"/>
      <w:r w:rsidR="00F03336" w:rsidRPr="00555DE1">
        <w:rPr>
          <w:rFonts w:ascii="Arial" w:hAnsi="Arial" w:cs="Arial"/>
          <w:sz w:val="22"/>
          <w:szCs w:val="22"/>
        </w:rPr>
        <w:t>Vsat</w:t>
      </w:r>
      <w:proofErr w:type="spellEnd"/>
      <w:r w:rsidR="00F03336" w:rsidRPr="00555DE1">
        <w:rPr>
          <w:rFonts w:ascii="Arial" w:hAnsi="Arial" w:cs="Arial"/>
          <w:sz w:val="22"/>
          <w:szCs w:val="22"/>
        </w:rPr>
        <w:t>), i.e.,</w:t>
      </w:r>
      <w:r w:rsidRPr="00555DE1">
        <w:rPr>
          <w:rFonts w:ascii="Arial" w:hAnsi="Arial" w:cs="Arial"/>
          <w:sz w:val="22"/>
          <w:szCs w:val="22"/>
        </w:rPr>
        <w:t xml:space="preserve"> V/</w:t>
      </w:r>
      <w:proofErr w:type="spellStart"/>
      <w:r w:rsidRPr="00555DE1">
        <w:rPr>
          <w:rFonts w:ascii="Arial" w:hAnsi="Arial" w:cs="Arial"/>
          <w:sz w:val="22"/>
          <w:szCs w:val="22"/>
        </w:rPr>
        <w:t>Vsat</w:t>
      </w:r>
      <w:proofErr w:type="spellEnd"/>
      <w:r w:rsidRPr="00555DE1">
        <w:rPr>
          <w:rFonts w:ascii="Arial" w:hAnsi="Arial" w:cs="Arial"/>
          <w:sz w:val="22"/>
          <w:szCs w:val="22"/>
        </w:rPr>
        <w:t xml:space="preserve"> ≥ 3. Under sink conditions, the dissolution rate can be increased by enlarging the surface area available for dissolution, such as by reducing particle size or by improving the drug's kinetic solubility in physiologically relevant environments</w:t>
      </w:r>
      <w:r w:rsidR="006F6E5F" w:rsidRPr="00555DE1">
        <w:rPr>
          <w:rFonts w:ascii="Arial" w:hAnsi="Arial" w:cs="Arial"/>
          <w:sz w:val="22"/>
          <w:szCs w:val="22"/>
        </w:rPr>
        <w:fldChar w:fldCharType="begin"/>
      </w:r>
      <w:r w:rsidR="006F6E5F" w:rsidRPr="00555DE1">
        <w:rPr>
          <w:rFonts w:ascii="Arial" w:hAnsi="Arial" w:cs="Arial"/>
          <w:sz w:val="22"/>
          <w:szCs w:val="22"/>
        </w:rPr>
        <w:instrText xml:space="preserve"> ADDIN ZOTERO_ITEM CSL_CITATION {"citationID":"uOOPjo1B","properties":{"formattedCitation":"[23]","plainCitation":"[23]","noteIndex":0},"citationItems":[{"id":1305,"uris":["http://zotero.org/users/16905564/items/MITW3TLX"],"itemData":{"id":1305,"type":"article-journal","container-title":"Journal of Pharmaceutical Sciences","ISSN":"0022-3549","issue":"1","journalAbbreviation":"Journal of Pharmaceutical Sciences","page":"520-529","publisher":"Elsevier","title":"Impact of sink conditions on drug release behavior of controlled-release formulations","volume":"114","author":[{"family":"Hate","given":"Siddhi S"},{"family":"Thompson","given":"Stephen A"},{"family":"Singaraju","given":"Aditya B"}],"issued":{"date-parts":[["2025"]]}}}],"schema":"https://github.com/citation-style-language/schema/raw/master/csl-citation.json"} </w:instrText>
      </w:r>
      <w:r w:rsidR="006F6E5F" w:rsidRPr="00555DE1">
        <w:rPr>
          <w:rFonts w:ascii="Arial" w:hAnsi="Arial" w:cs="Arial"/>
          <w:sz w:val="22"/>
          <w:szCs w:val="22"/>
        </w:rPr>
        <w:fldChar w:fldCharType="separate"/>
      </w:r>
      <w:r w:rsidR="006F6E5F" w:rsidRPr="00555DE1">
        <w:rPr>
          <w:rFonts w:ascii="Arial" w:hAnsi="Arial" w:cs="Arial"/>
          <w:sz w:val="22"/>
          <w:szCs w:val="22"/>
        </w:rPr>
        <w:t>[23]</w:t>
      </w:r>
      <w:r w:rsidR="006F6E5F" w:rsidRPr="00555DE1">
        <w:rPr>
          <w:rFonts w:ascii="Arial" w:hAnsi="Arial" w:cs="Arial"/>
          <w:sz w:val="22"/>
          <w:szCs w:val="22"/>
        </w:rPr>
        <w:fldChar w:fldCharType="end"/>
      </w:r>
      <w:r w:rsidRPr="00555DE1">
        <w:rPr>
          <w:rFonts w:ascii="Arial" w:hAnsi="Arial" w:cs="Arial"/>
          <w:sz w:val="22"/>
          <w:szCs w:val="22"/>
        </w:rPr>
        <w:t xml:space="preserve">. </w:t>
      </w:r>
    </w:p>
    <w:p w14:paraId="5CBBDFD4" w14:textId="77777777" w:rsidR="00C521BA" w:rsidRPr="00C521BA" w:rsidRDefault="00C521BA" w:rsidP="00C521BA">
      <w:pPr>
        <w:spacing w:before="100" w:beforeAutospacing="1" w:after="100" w:afterAutospacing="1"/>
        <w:jc w:val="both"/>
        <w:rPr>
          <w:rFonts w:ascii="Times New Roman" w:hAnsi="Times New Roman"/>
          <w:sz w:val="24"/>
          <w:szCs w:val="24"/>
        </w:rPr>
      </w:pPr>
      <w:r w:rsidRPr="00C521BA">
        <w:rPr>
          <w:rFonts w:ascii="Times New Roman" w:hAnsi="Times New Roman"/>
          <w:sz w:val="24"/>
          <w:szCs w:val="24"/>
        </w:rPr>
        <w:t>This approach encompasses strategies such as increasing the drug’s equilibrium solubility (for example, through prodrug formation), enhancing apparent solubility by forming drug–carrier complexes (such as surfactant micelles), or generating supersaturated drug solutions (for instance, amorphous solid dispersions in water-soluble carriers). However, if the volume-to-saturation ratio (V/</w:t>
      </w:r>
      <w:proofErr w:type="spellStart"/>
      <w:r w:rsidRPr="00C521BA">
        <w:rPr>
          <w:rFonts w:ascii="Times New Roman" w:hAnsi="Times New Roman"/>
          <w:sz w:val="24"/>
          <w:szCs w:val="24"/>
        </w:rPr>
        <w:t>V_sat</w:t>
      </w:r>
      <w:proofErr w:type="spellEnd"/>
      <w:r w:rsidRPr="00C521BA">
        <w:rPr>
          <w:rFonts w:ascii="Times New Roman" w:hAnsi="Times New Roman"/>
          <w:sz w:val="24"/>
          <w:szCs w:val="24"/>
        </w:rPr>
        <w:t>) is excessively high, the dissolution test may become insensitive to critical variations in the formulation or manufacturing process.</w:t>
      </w:r>
    </w:p>
    <w:p w14:paraId="6BDC4EBF" w14:textId="77777777" w:rsidR="00D03F59" w:rsidRPr="00555DE1" w:rsidRDefault="00D03F59" w:rsidP="002A4071">
      <w:pPr>
        <w:pStyle w:val="Body"/>
        <w:rPr>
          <w:rFonts w:ascii="Arial" w:hAnsi="Arial" w:cs="Arial"/>
          <w:sz w:val="22"/>
          <w:szCs w:val="22"/>
        </w:rPr>
      </w:pPr>
    </w:p>
    <w:p w14:paraId="0A3F4EB4" w14:textId="30B135BB"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Regarding the Noyes–Whitney relationship, it is important to note that the surface area term in the equation remains consistent during the dissolution process. However, in the case of tablets, capsules, suspensions, and powders, the particle size gradually decreases as the drug dissolves, altering the effective surface area. </w:t>
      </w:r>
      <w:r w:rsidR="00F03336" w:rsidRPr="00555DE1">
        <w:rPr>
          <w:rFonts w:ascii="Arial" w:hAnsi="Arial" w:cs="Arial"/>
          <w:sz w:val="22"/>
          <w:szCs w:val="22"/>
        </w:rPr>
        <w:t>Hixon and Crowell observed this phenomenon</w:t>
      </w:r>
      <w:r w:rsidRPr="00555DE1">
        <w:rPr>
          <w:rFonts w:ascii="Arial" w:hAnsi="Arial" w:cs="Arial"/>
          <w:sz w:val="22"/>
          <w:szCs w:val="22"/>
        </w:rPr>
        <w:t>. Hixon and Crowell modified the Noyes–Whitney equation to account for changes in surface area. Hixon and Crowell introduced a more appropriate equation, commonly known as the cubic root law, for describing the dissolution of powders. In this equation, the surface area is expressed in terms of weight (w)</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{"citationID":"sbd2l8sz","properties":{"formattedCitation":"[24]","plainCitation":"[24]","noteIndex":0},"citationItems":[{"id":1189,"uris":["http://zotero.org/users/16905564/items/VXV3AQ74"],"itemData":{"id":1189,"type":"article-journal","container-title":"Research J. Pharm. and Tech","DOI":"10.5958/0974-360X.2020.00247.4","issue":"3","page":"1339-1345","title":"Mathematical Modelling of Dissolution Kinetics in Dosage forms","volume":"13","author":[{"family":"Mohamed Rizwan I, Damodharan N","given":""}],"issued":{"date-parts":[["2020"]]}}}],"schema":"https://github.com/citation-style-language/schema/raw/master/csl-citation.json"}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[24]</w:t>
      </w:r>
      <w:r w:rsidRPr="00555DE1">
        <w:rPr>
          <w:rFonts w:ascii="Arial" w:hAnsi="Arial" w:cs="Arial"/>
          <w:sz w:val="22"/>
          <w:szCs w:val="22"/>
        </w:rPr>
        <w:fldChar w:fldCharType="end"/>
      </w:r>
      <w:r w:rsidRPr="00555DE1">
        <w:rPr>
          <w:rFonts w:ascii="Arial" w:hAnsi="Arial" w:cs="Arial"/>
          <w:sz w:val="22"/>
          <w:szCs w:val="22"/>
        </w:rPr>
        <w:t>.</w:t>
      </w:r>
    </w:p>
    <w:p w14:paraId="39BAF2D5" w14:textId="77777777" w:rsidR="002A4071" w:rsidRPr="00555DE1" w:rsidRDefault="00C521BA" w:rsidP="002A4071">
      <w:pPr>
        <w:pStyle w:val="Body"/>
        <w:rPr>
          <w:rFonts w:ascii="Arial" w:hAnsi="Arial" w:cs="Arial"/>
          <w:sz w:val="22"/>
          <w:szCs w:val="22"/>
        </w:rPr>
      </w:pPr>
      <m:oMathPara>
        <m:oMath>
          <m:rad>
            <m:radPr>
              <m:ctrlPr>
                <w:rPr>
                  <w:rFonts w:ascii="Cambria Math" w:hAnsi="Cambria Math" w:cs="Arial"/>
                  <w:i/>
                  <w:sz w:val="22"/>
                  <w:szCs w:val="22"/>
                </w:rPr>
              </m:ctrlPr>
            </m:radPr>
            <m:deg>
              <m:r>
                <w:rPr>
                  <w:rFonts w:ascii="Cambria Math" w:hAnsi="Cambria Math" w:cs="Arial"/>
                  <w:sz w:val="22"/>
                  <w:szCs w:val="22"/>
                </w:rPr>
                <m:t>3</m:t>
              </m:r>
            </m:deg>
            <m:e>
              <m:sSub>
                <m:sSubPr>
                  <m:ctrlPr>
                    <w:rPr>
                      <w:rFonts w:ascii="Cambria Math" w:hAnsi="Cambria Math" w:cs="Arial"/>
                      <w:i/>
                      <w:sz w:val="22"/>
                      <w:szCs w:val="22"/>
                    </w:rPr>
                  </m:ctrlPr>
                </m:sSubPr>
                <m:e>
                  <m:r>
                    <w:rPr>
                      <w:rFonts w:ascii="Cambria Math" w:hAnsi="Cambria Math" w:cs="Arial"/>
                      <w:sz w:val="22"/>
                      <w:szCs w:val="22"/>
                    </w:rPr>
                    <m:t>W</m:t>
                  </m:r>
                </m:e>
                <m:sub>
                  <m:r>
                    <w:rPr>
                      <w:rFonts w:ascii="Cambria Math" w:hAnsi="Cambria Math" w:cs="Arial"/>
                      <w:sz w:val="22"/>
                      <w:szCs w:val="22"/>
                    </w:rPr>
                    <m:t>o</m:t>
                  </m:r>
                </m:sub>
              </m:sSub>
            </m:e>
          </m:rad>
          <m:r>
            <w:rPr>
              <w:rFonts w:ascii="Cambria Math" w:hAnsi="Cambria Math" w:cs="Arial"/>
              <w:sz w:val="22"/>
              <w:szCs w:val="22"/>
            </w:rPr>
            <m:t>-</m:t>
          </m:r>
          <m:rad>
            <m:radPr>
              <m:ctrlPr>
                <w:rPr>
                  <w:rFonts w:ascii="Cambria Math" w:hAnsi="Cambria Math" w:cs="Arial"/>
                  <w:i/>
                  <w:sz w:val="22"/>
                  <w:szCs w:val="22"/>
                </w:rPr>
              </m:ctrlPr>
            </m:radPr>
            <m:deg>
              <m:r>
                <w:rPr>
                  <w:rFonts w:ascii="Cambria Math" w:hAnsi="Cambria Math" w:cs="Arial"/>
                  <w:sz w:val="22"/>
                  <w:szCs w:val="22"/>
                </w:rPr>
                <m:t>3</m:t>
              </m:r>
            </m:deg>
            <m:e>
              <m:r>
                <w:rPr>
                  <w:rFonts w:ascii="Cambria Math" w:hAnsi="Cambria Math" w:cs="Arial"/>
                  <w:sz w:val="22"/>
                  <w:szCs w:val="22"/>
                </w:rPr>
                <m:t>W</m:t>
              </m:r>
            </m:e>
          </m:rad>
          <m:r>
            <w:rPr>
              <w:rFonts w:ascii="Cambria Math" w:hAnsi="Cambria Math" w:cs="Arial"/>
              <w:sz w:val="22"/>
              <w:szCs w:val="22"/>
            </w:rPr>
            <m:t>=</m:t>
          </m:r>
          <m:r>
            <w:rPr>
              <w:rFonts w:ascii="Cambria Math" w:hAnsi="Cambria Math" w:cs="Arial"/>
              <w:sz w:val="22"/>
              <w:szCs w:val="22"/>
            </w:rPr>
            <m:t>Kt</m:t>
          </m:r>
        </m:oMath>
      </m:oMathPara>
    </w:p>
    <w:p w14:paraId="5402ABFF" w14:textId="77777777"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W is the initial amount of drug in the pharmaceutical dosage form, </w:t>
      </w:r>
      <w:proofErr w:type="spellStart"/>
      <w:r w:rsidRPr="00555DE1">
        <w:rPr>
          <w:rFonts w:ascii="Arial" w:hAnsi="Arial" w:cs="Arial"/>
          <w:sz w:val="22"/>
          <w:szCs w:val="22"/>
        </w:rPr>
        <w:t>Wt</w:t>
      </w:r>
      <w:proofErr w:type="spellEnd"/>
      <w:r w:rsidRPr="00555DE1">
        <w:rPr>
          <w:rFonts w:ascii="Arial" w:hAnsi="Arial" w:cs="Arial"/>
          <w:sz w:val="22"/>
          <w:szCs w:val="22"/>
        </w:rPr>
        <w:t xml:space="preserve"> is the remaining drug in the dosage form at time t, and K is a constant, incorporating the surface–volume relation.</w:t>
      </w:r>
    </w:p>
    <w:p w14:paraId="058D2E95" w14:textId="7DC5F2D0" w:rsidR="002A4071" w:rsidRPr="00555DE1" w:rsidRDefault="002A4071" w:rsidP="002A4071">
      <w:pPr>
        <w:pStyle w:val="Body"/>
        <w:rPr>
          <w:rFonts w:ascii="Arial" w:hAnsi="Arial" w:cs="Arial"/>
          <w:sz w:val="22"/>
          <w:szCs w:val="22"/>
        </w:rPr>
      </w:pPr>
      <w:r w:rsidRPr="00555DE1">
        <w:rPr>
          <w:rFonts w:ascii="Arial" w:hAnsi="Arial" w:cs="Arial"/>
          <w:sz w:val="22"/>
          <w:szCs w:val="22"/>
        </w:rPr>
        <w:t>This expression applies to pharmaceutical dosage forms such as tablets, where dissolution occurs in planes parallel to the drug surface if the tablet dimensions decrease proportionally, so that the initial geometrical form remains constant at all times. Higuchi devised numerous theoretical models to investigate the release of water-soluble and poorly soluble drugs integrated into semi-solid or solid matrices</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{"citationID":"q3rQG6nA","properties":{"formattedCitation":"[25]","plainCitation":"[25]","noteIndex":0},"citationItems":[{"id":1190,"uris":["http://zotero.org/users/16905564/items/PHNVIKVK"],"itemData":{"id":1190,"type":"article-journal","container-title":"ACS Omega","DOI":"10.1021/acsomega.0c05558","issue":"6","page":"8056–8067","title":"Dissolution Kinetics of a BCS Class II Active Pharmaceutical Ingredient: Diffusion-Based Model Validation and Prediction","volume":"19","author":[{"family":"Yuan Gao , Brian Glennon , Yunliang He , Philip Donnellan","given":""}],"issued":{"date-parts":[["2021"]]}}}],"schema":"https://github.com/citation-style-language/schema/raw/master/csl-citation.json"}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[25]</w:t>
      </w:r>
      <w:r w:rsidRPr="00555DE1">
        <w:rPr>
          <w:rFonts w:ascii="Arial" w:hAnsi="Arial" w:cs="Arial"/>
          <w:sz w:val="22"/>
          <w:szCs w:val="22"/>
        </w:rPr>
        <w:fldChar w:fldCharType="end"/>
      </w:r>
      <w:r w:rsidRPr="00555DE1">
        <w:rPr>
          <w:rFonts w:ascii="Arial" w:hAnsi="Arial" w:cs="Arial"/>
          <w:sz w:val="22"/>
          <w:szCs w:val="22"/>
        </w:rPr>
        <w:t>. Higuchi developed mathematical formulas for drug particles spread throughout a uniform matrix, which acts as the diffusion medium. To examine dissolution from a flat system containing a homogeneous matrix, the dissolution rate is represented as follows:</w:t>
      </w:r>
    </w:p>
    <w:p w14:paraId="1440AE8C" w14:textId="77777777" w:rsidR="002A4071" w:rsidRPr="00555DE1" w:rsidRDefault="002A4071" w:rsidP="002A4071">
      <w:pPr>
        <w:pStyle w:val="Body"/>
        <w:rPr>
          <w:rFonts w:ascii="Arial" w:hAnsi="Arial" w:cs="Arial"/>
          <w:sz w:val="22"/>
          <w:szCs w:val="22"/>
        </w:rPr>
      </w:pPr>
      <m:oMathPara>
        <m:oMath>
          <m:r>
            <w:rPr>
              <w:rFonts w:ascii="Cambria Math" w:hAnsi="Cambria Math" w:cs="Arial"/>
              <w:sz w:val="22"/>
              <w:szCs w:val="22"/>
            </w:rPr>
            <m:t>Q</m:t>
          </m:r>
          <m:r>
            <m:rPr>
              <m:sty m:val="p"/>
            </m:rPr>
            <w:rPr>
              <w:rFonts w:ascii="Cambria Math" w:hAnsi="Cambria Math" w:cs="Arial"/>
              <w:sz w:val="22"/>
              <w:szCs w:val="22"/>
            </w:rPr>
            <m:t>=√D(2C-</m:t>
          </m:r>
          <m:sSub>
            <m:sSubPr>
              <m:ctrlPr>
                <w:rPr>
                  <w:rFonts w:ascii="Cambria Math" w:hAnsi="Cambria Math" w:cs="Arial"/>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m:t>
          </m:r>
          <m:sSub>
            <m:sSubPr>
              <m:ctrlPr>
                <w:rPr>
                  <w:rFonts w:ascii="Cambria Math" w:hAnsi="Cambria Math" w:cs="Arial"/>
                  <w:sz w:val="22"/>
                  <w:szCs w:val="22"/>
                </w:rPr>
              </m:ctrlPr>
            </m:sSubPr>
            <m:e>
              <m:r>
                <w:rPr>
                  <w:rFonts w:ascii="Cambria Math" w:hAnsi="Cambria Math" w:cs="Arial"/>
                  <w:sz w:val="22"/>
                  <w:szCs w:val="22"/>
                </w:rPr>
                <m:t>C</m:t>
              </m:r>
            </m:e>
            <m:sub>
              <m:r>
                <w:rPr>
                  <w:rFonts w:ascii="Cambria Math" w:hAnsi="Cambria Math" w:cs="Arial"/>
                  <w:sz w:val="22"/>
                  <w:szCs w:val="22"/>
                </w:rPr>
                <m:t>S</m:t>
              </m:r>
            </m:sub>
          </m:sSub>
          <m:r>
            <w:rPr>
              <w:rFonts w:ascii="Cambria Math" w:hAnsi="Cambria Math" w:cs="Arial"/>
              <w:sz w:val="22"/>
              <w:szCs w:val="22"/>
            </w:rPr>
            <m:t>t</m:t>
          </m:r>
        </m:oMath>
      </m:oMathPara>
    </w:p>
    <w:p w14:paraId="7100B68C" w14:textId="2E011877" w:rsidR="005D2042" w:rsidRPr="00555DE1" w:rsidRDefault="002A4071" w:rsidP="002A4071">
      <w:pPr>
        <w:pStyle w:val="Body"/>
        <w:rPr>
          <w:rFonts w:ascii="Arial" w:hAnsi="Arial" w:cs="Arial"/>
          <w:sz w:val="22"/>
          <w:szCs w:val="22"/>
        </w:rPr>
      </w:pPr>
      <w:r w:rsidRPr="00555DE1">
        <w:rPr>
          <w:rFonts w:ascii="Arial" w:hAnsi="Arial" w:cs="Arial"/>
          <w:sz w:val="22"/>
          <w:szCs w:val="22"/>
        </w:rPr>
        <w:t>Q represents the amount of drug released over time t per unit area, C denotes the initial drug concentration, CS signifies the drug solubility in the matrix media, and D refers to the diffusion constant within the matrix substance.</w:t>
      </w:r>
    </w:p>
    <w:p w14:paraId="43680EDF" w14:textId="54964F78" w:rsidR="002A4071" w:rsidRDefault="002A4071" w:rsidP="002A4071">
      <w:pPr>
        <w:pStyle w:val="Body"/>
        <w:rPr>
          <w:rFonts w:ascii="Arial" w:hAnsi="Arial" w:cs="Arial"/>
          <w:sz w:val="22"/>
          <w:szCs w:val="22"/>
        </w:rPr>
      </w:pPr>
      <w:r w:rsidRPr="00555DE1">
        <w:rPr>
          <w:rFonts w:ascii="Arial" w:hAnsi="Arial" w:cs="Arial"/>
          <w:sz w:val="22"/>
          <w:szCs w:val="22"/>
        </w:rPr>
        <w:t>Higuchi initially introduced this relationship to describe drug dissolution from ointment bases in suspension, but it is also applicable to various other pharmaceutical dosage forms that exhibit similar dissolution patterns. This model relies on the following assumptions</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{"citationID":"z3jbrbOK","properties":{"formattedCitation":"[26]","plainCitation":"[26]","noteIndex":0},"citationItems":[{"id":1191,"uris":["http://zotero.org/users/16905564/items/XVJID354"],"itemData":{"id":1191,"type":"post-weblog","title":"Systems for controlled drug delivery and delivery mechanisms"}}],"schema":"https://github.com/citation-style-language/schema/raw/master/csl-citation.json"}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[26]</w:t>
      </w:r>
      <w:r w:rsidRPr="00555DE1">
        <w:rPr>
          <w:rFonts w:ascii="Arial" w:hAnsi="Arial" w:cs="Arial"/>
          <w:sz w:val="22"/>
          <w:szCs w:val="22"/>
        </w:rPr>
        <w:fldChar w:fldCharType="end"/>
      </w:r>
      <w:r w:rsidRPr="00555DE1">
        <w:rPr>
          <w:rFonts w:ascii="Arial" w:hAnsi="Arial" w:cs="Arial"/>
          <w:sz w:val="22"/>
          <w:szCs w:val="22"/>
        </w:rPr>
        <w:t>:</w:t>
      </w:r>
      <w:r w:rsidRPr="00555DE1">
        <w:rPr>
          <w:rFonts w:ascii="Arial" w:hAnsi="Arial" w:cs="Arial"/>
          <w:sz w:val="22"/>
          <w:szCs w:val="22"/>
        </w:rPr>
        <w:br/>
        <w:t>(</w:t>
      </w:r>
      <w:proofErr w:type="spellStart"/>
      <w:r w:rsidRPr="00555DE1">
        <w:rPr>
          <w:rFonts w:ascii="Arial" w:hAnsi="Arial" w:cs="Arial"/>
          <w:sz w:val="22"/>
          <w:szCs w:val="22"/>
        </w:rPr>
        <w:t>i</w:t>
      </w:r>
      <w:proofErr w:type="spellEnd"/>
      <w:r w:rsidRPr="00555DE1">
        <w:rPr>
          <w:rFonts w:ascii="Arial" w:hAnsi="Arial" w:cs="Arial"/>
          <w:sz w:val="22"/>
          <w:szCs w:val="22"/>
        </w:rPr>
        <w:t>) The initial drug concentration in the matrix greatly exceeds its solubility; (ii) drug diffusion takes place solely in one dimension, with negligible edge effects; (iii) drug particles are much smaller than the system's thickness; (iv) the matrix does not swell or dissolve; (v) drug diffusivity stays constant during the process; and (vi) the release medium maintains perfect sink conditions.</w:t>
      </w:r>
    </w:p>
    <w:p w14:paraId="54E61BB3" w14:textId="77777777" w:rsidR="00D03F59" w:rsidRDefault="00D03F59" w:rsidP="002A4071">
      <w:pPr>
        <w:pStyle w:val="Body"/>
        <w:rPr>
          <w:rFonts w:ascii="Arial" w:hAnsi="Arial" w:cs="Arial"/>
          <w:sz w:val="22"/>
          <w:szCs w:val="22"/>
        </w:rPr>
      </w:pPr>
    </w:p>
    <w:p w14:paraId="0B6948F2" w14:textId="77777777" w:rsidR="00D03F59" w:rsidRDefault="00D03F59" w:rsidP="002A4071">
      <w:pPr>
        <w:pStyle w:val="Body"/>
        <w:rPr>
          <w:rFonts w:ascii="Arial" w:hAnsi="Arial" w:cs="Arial"/>
          <w:sz w:val="22"/>
          <w:szCs w:val="22"/>
        </w:rPr>
      </w:pPr>
    </w:p>
    <w:p w14:paraId="285B5143" w14:textId="77777777" w:rsidR="00D03F59" w:rsidRDefault="00D03F59" w:rsidP="002A4071">
      <w:pPr>
        <w:pStyle w:val="Body"/>
        <w:rPr>
          <w:rFonts w:ascii="Arial" w:hAnsi="Arial" w:cs="Arial"/>
          <w:sz w:val="22"/>
          <w:szCs w:val="22"/>
        </w:rPr>
      </w:pPr>
    </w:p>
    <w:p w14:paraId="5D275825" w14:textId="77777777" w:rsidR="00D03F59" w:rsidRPr="00555DE1" w:rsidRDefault="00D03F59" w:rsidP="002A4071">
      <w:pPr>
        <w:pStyle w:val="Body"/>
        <w:rPr>
          <w:rFonts w:ascii="Arial" w:hAnsi="Arial" w:cs="Arial"/>
          <w:sz w:val="22"/>
          <w:szCs w:val="22"/>
        </w:rPr>
      </w:pPr>
    </w:p>
    <w:p w14:paraId="0A0F5E27" w14:textId="77777777" w:rsidR="002A4071" w:rsidRPr="00555DE1" w:rsidRDefault="002A4071" w:rsidP="00752610">
      <w:pPr>
        <w:pStyle w:val="Body"/>
        <w:numPr>
          <w:ilvl w:val="0"/>
          <w:numId w:val="3"/>
        </w:numPr>
        <w:spacing w:after="0"/>
        <w:rPr>
          <w:rFonts w:ascii="Arial" w:hAnsi="Arial" w:cs="Arial"/>
          <w:b/>
          <w:sz w:val="22"/>
          <w:szCs w:val="22"/>
          <w:lang w:val="en-CA"/>
        </w:rPr>
      </w:pPr>
      <w:r w:rsidRPr="00555DE1">
        <w:rPr>
          <w:rFonts w:ascii="Arial" w:hAnsi="Arial" w:cs="Arial"/>
          <w:b/>
          <w:sz w:val="22"/>
          <w:szCs w:val="22"/>
          <w:lang w:val="en-CA"/>
        </w:rPr>
        <w:t>Factors affecting dissolution</w:t>
      </w:r>
    </w:p>
    <w:p w14:paraId="1B942BEB" w14:textId="77777777" w:rsidR="00C521BA" w:rsidRPr="00C521BA" w:rsidRDefault="00C521BA" w:rsidP="00C521BA">
      <w:pPr>
        <w:spacing w:before="100" w:beforeAutospacing="1" w:after="100" w:afterAutospacing="1"/>
        <w:ind w:left="360"/>
        <w:rPr>
          <w:rFonts w:ascii="Times New Roman" w:hAnsi="Times New Roman"/>
          <w:sz w:val="24"/>
          <w:szCs w:val="24"/>
        </w:rPr>
      </w:pPr>
      <w:bookmarkStart w:id="0" w:name="_GoBack"/>
      <w:bookmarkEnd w:id="0"/>
      <w:r w:rsidRPr="00C521BA">
        <w:rPr>
          <w:rFonts w:ascii="Times New Roman" w:hAnsi="Times New Roman"/>
          <w:sz w:val="24"/>
          <w:szCs w:val="24"/>
        </w:rPr>
        <w:t>To evaluate the overall dissolution rate of drugs from solid dosage forms, it is essential to consider multiple physicochemical processes in addition to the intrinsic dissolution of the drug. Dissolution begins with the wetting of the solid and the penetration of the dissolution medium into the formulation. Subsequently, the material often disintegrates into granules or finer particles, although this disintegration step is not invariably required for drug dissolution [27].</w:t>
      </w:r>
    </w:p>
    <w:p w14:paraId="32401AC8" w14:textId="176FB685" w:rsidR="002A4071" w:rsidRPr="00555DE1" w:rsidRDefault="002A4071" w:rsidP="002A4071">
      <w:pPr>
        <w:pStyle w:val="Body"/>
        <w:rPr>
          <w:rFonts w:ascii="Arial" w:hAnsi="Arial" w:cs="Arial"/>
          <w:sz w:val="22"/>
          <w:szCs w:val="22"/>
        </w:rPr>
      </w:pPr>
      <w:r w:rsidRPr="00555DE1">
        <w:rPr>
          <w:rFonts w:ascii="Arial" w:hAnsi="Arial" w:cs="Arial"/>
          <w:sz w:val="22"/>
          <w:szCs w:val="22"/>
        </w:rPr>
        <w:t>The final step involves dissolving the drug substance in the dissolution medium. The main factors influencing the drug's dissolution rate—</w:t>
      </w:r>
      <w:proofErr w:type="gramStart"/>
      <w:r w:rsidRPr="00555DE1">
        <w:rPr>
          <w:rFonts w:ascii="Arial" w:hAnsi="Arial" w:cs="Arial"/>
          <w:sz w:val="22"/>
          <w:szCs w:val="22"/>
        </w:rPr>
        <w:t>taking into account</w:t>
      </w:r>
      <w:proofErr w:type="gramEnd"/>
      <w:r w:rsidRPr="00555DE1">
        <w:rPr>
          <w:rFonts w:ascii="Arial" w:hAnsi="Arial" w:cs="Arial"/>
          <w:sz w:val="22"/>
          <w:szCs w:val="22"/>
        </w:rPr>
        <w:t xml:space="preserve"> biopharmaceutical and physiological factors—can be grouped into five categories: the drug’s physicochemical properties, formulation-related factors, processing parameters, dissolution apparatus settings, and variables associated with the dissolution test protocols.</w:t>
      </w:r>
    </w:p>
    <w:p w14:paraId="605034E9"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2.1</w:t>
      </w:r>
      <w:r w:rsidRPr="00555DE1">
        <w:rPr>
          <w:rFonts w:ascii="Arial" w:hAnsi="Arial" w:cs="Arial"/>
          <w:sz w:val="22"/>
          <w:szCs w:val="22"/>
        </w:rPr>
        <w:t xml:space="preserve"> </w:t>
      </w:r>
      <w:r w:rsidRPr="00555DE1">
        <w:rPr>
          <w:rFonts w:ascii="Arial" w:hAnsi="Arial" w:cs="Arial"/>
          <w:b/>
          <w:sz w:val="22"/>
          <w:szCs w:val="22"/>
        </w:rPr>
        <w:t>Physicochemical properties of the drug</w:t>
      </w:r>
    </w:p>
    <w:p w14:paraId="000AA8B6" w14:textId="29AF569D" w:rsidR="002A4071" w:rsidRPr="00555DE1" w:rsidRDefault="002A4071" w:rsidP="002A4071">
      <w:pPr>
        <w:pStyle w:val="Body"/>
        <w:rPr>
          <w:rFonts w:ascii="Arial" w:hAnsi="Arial" w:cs="Arial"/>
          <w:sz w:val="22"/>
          <w:szCs w:val="22"/>
        </w:rPr>
      </w:pPr>
      <w:r w:rsidRPr="00555DE1">
        <w:rPr>
          <w:rFonts w:ascii="Arial" w:hAnsi="Arial" w:cs="Arial"/>
          <w:sz w:val="22"/>
          <w:szCs w:val="22"/>
        </w:rPr>
        <w:t>As previously mentioned, the dissolution process is a key rate-limiting step in drug absorption. It mainly depends on the drug's solubility and surface area, with the drug's physicochemical properties significantly influencing it</w:t>
      </w:r>
      <w:r w:rsidR="008C7360" w:rsidRPr="00555DE1">
        <w:rPr>
          <w:rFonts w:ascii="Arial" w:hAnsi="Arial" w:cs="Arial"/>
          <w:sz w:val="22"/>
          <w:szCs w:val="22"/>
        </w:rPr>
        <w:fldChar w:fldCharType="begin"/>
      </w:r>
      <w:r w:rsidR="008C7360" w:rsidRPr="00555DE1">
        <w:rPr>
          <w:rFonts w:ascii="Arial" w:hAnsi="Arial" w:cs="Arial"/>
          <w:sz w:val="22"/>
          <w:szCs w:val="22"/>
        </w:rPr>
        <w:instrText xml:space="preserve"> ADDIN ZOTERO_ITEM CSL_CITATION {"citationID":"VbzktXib","properties":{"formattedCitation":"[28]","plainCitation":"[28]","noteIndex":0},"citationItems":[{"id":1298,"uris":["http://zotero.org/users/16905564/items/Q9F9T3FS"],"itemData":{"id":1298,"type":"chapter","container-title":"Dosage form design considerations","page":"85-116","publisher":"Elsevier","title":"Role of physicochemical parameters on drug absorption and their implications in pharmaceutical product development","author":[{"family":"Pal","given":"Yogendra"},{"family":"Deb","given":"Pran Kishore"},{"family":"Bandopadhyay","given":"Shantanu"},{"family":"Bandyopadhyay","given":"Nabamita"},{"family":"Tekade","given":"Rakesh K"}],"issued":{"date-parts":[["2018"]]}}}],"schema":"https://github.com/citation-style-language/schema/raw/master/csl-citation.json"} </w:instrText>
      </w:r>
      <w:r w:rsidR="008C7360" w:rsidRPr="00555DE1">
        <w:rPr>
          <w:rFonts w:ascii="Arial" w:hAnsi="Arial" w:cs="Arial"/>
          <w:sz w:val="22"/>
          <w:szCs w:val="22"/>
        </w:rPr>
        <w:fldChar w:fldCharType="separate"/>
      </w:r>
      <w:r w:rsidR="008C7360" w:rsidRPr="00555DE1">
        <w:rPr>
          <w:rFonts w:ascii="Arial" w:hAnsi="Arial" w:cs="Arial"/>
          <w:sz w:val="22"/>
          <w:szCs w:val="22"/>
        </w:rPr>
        <w:t>[28]</w:t>
      </w:r>
      <w:r w:rsidR="008C7360" w:rsidRPr="00555DE1">
        <w:rPr>
          <w:rFonts w:ascii="Arial" w:hAnsi="Arial" w:cs="Arial"/>
          <w:sz w:val="22"/>
          <w:szCs w:val="22"/>
        </w:rPr>
        <w:fldChar w:fldCharType="end"/>
      </w:r>
      <w:r w:rsidRPr="00555DE1">
        <w:rPr>
          <w:rFonts w:ascii="Arial" w:hAnsi="Arial" w:cs="Arial"/>
          <w:sz w:val="22"/>
          <w:szCs w:val="22"/>
        </w:rPr>
        <w:t>.</w:t>
      </w:r>
    </w:p>
    <w:p w14:paraId="33F70E55"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2.1.1 Solubility</w:t>
      </w:r>
    </w:p>
    <w:p w14:paraId="10128EE5" w14:textId="77777777" w:rsidR="00156F03" w:rsidRPr="00555DE1" w:rsidRDefault="002A4071" w:rsidP="002A4071">
      <w:pPr>
        <w:pStyle w:val="Body"/>
        <w:rPr>
          <w:rFonts w:ascii="Arial" w:hAnsi="Arial" w:cs="Arial"/>
          <w:sz w:val="22"/>
          <w:szCs w:val="22"/>
        </w:rPr>
      </w:pPr>
      <w:r w:rsidRPr="00555DE1">
        <w:rPr>
          <w:rFonts w:ascii="Arial" w:hAnsi="Arial" w:cs="Arial"/>
          <w:sz w:val="22"/>
          <w:szCs w:val="22"/>
        </w:rPr>
        <w:t>The solubility of a drug plays a crucial role in controlling its release from the dosage form. Aqueous solubility significantly influences the dissolution rate. Typically, a minimum water solubility of 1% is required to prevent absorption that is limited by solubility</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{"citationID":"aIqzQOru","properties":{"formattedCitation":"[29]","plainCitation":"[29]","noteIndex":0},"citationItems":[{"id":1194,"uris":["http://zotero.org/users/16905564/items/K2QZK5GL"],"itemData":{"id":1194,"type":"article-journal","container-title":"ISRN Pharm.","DOI":"10.5402/2012/195727","title":"Drug Solubility: Importance and Enhancement Techniques","author":[{"family":"Ketan T Savjani , Anuradha K Gajjar, Jignasa K Savjani","given":""}],"issued":{"date-parts":[["2012"]]}}}],"schema":"https://github.com/citation-style-language/schema/raw/master/csl-citation.json"}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[29]</w:t>
      </w:r>
      <w:r w:rsidRPr="00555DE1">
        <w:rPr>
          <w:rFonts w:ascii="Arial" w:hAnsi="Arial" w:cs="Arial"/>
          <w:sz w:val="22"/>
          <w:szCs w:val="22"/>
        </w:rPr>
        <w:fldChar w:fldCharType="end"/>
      </w:r>
      <w:r w:rsidRPr="00555DE1">
        <w:rPr>
          <w:rFonts w:ascii="Arial" w:hAnsi="Arial" w:cs="Arial"/>
          <w:sz w:val="22"/>
          <w:szCs w:val="22"/>
        </w:rPr>
        <w:t xml:space="preserve">. The solubility of ionizable drugs, such as weak acids and bases, depends on the pH of their environment and the drug's </w:t>
      </w:r>
      <w:proofErr w:type="spellStart"/>
      <w:r w:rsidRPr="00555DE1">
        <w:rPr>
          <w:rFonts w:ascii="Arial" w:hAnsi="Arial" w:cs="Arial"/>
          <w:sz w:val="22"/>
          <w:szCs w:val="22"/>
        </w:rPr>
        <w:t>pKa</w:t>
      </w:r>
      <w:proofErr w:type="spellEnd"/>
      <w:r w:rsidRPr="00555DE1">
        <w:rPr>
          <w:rFonts w:ascii="Arial" w:hAnsi="Arial" w:cs="Arial"/>
          <w:sz w:val="22"/>
          <w:szCs w:val="22"/>
        </w:rPr>
        <w:t xml:space="preserve">. As a result, it is important to evaluate the drug substance's aqueous solubility </w:t>
      </w:r>
      <w:r w:rsidR="00E05720" w:rsidRPr="00555DE1">
        <w:rPr>
          <w:rFonts w:ascii="Arial" w:hAnsi="Arial" w:cs="Arial"/>
          <w:sz w:val="22"/>
          <w:szCs w:val="22"/>
        </w:rPr>
        <w:t>over the physiologically relevant pH range of 1.2–7.5 to understand how solubility may affect dissolution</w:t>
      </w:r>
      <w:r w:rsidRPr="00555DE1">
        <w:rPr>
          <w:rFonts w:ascii="Arial" w:hAnsi="Arial" w:cs="Arial"/>
          <w:sz w:val="22"/>
          <w:szCs w:val="22"/>
        </w:rPr>
        <w:t xml:space="preserve">. </w:t>
      </w:r>
    </w:p>
    <w:p w14:paraId="27ED9FE9" w14:textId="1B686C61"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Experimental data show a strong correlation between solubility and the intrinsic dissolution rate of a disk, although this relationship may not hold for very high or low doses. Solubility data may serve as an initial marker for spotting possible issues in oral absorption. For example, when the dose/solubility ratio of a drug representing the fluid volume necessary to dissolve a single dose surpasses about 1 </w:t>
      </w:r>
      <w:proofErr w:type="spellStart"/>
      <w:r w:rsidRPr="00555DE1">
        <w:rPr>
          <w:rFonts w:ascii="Arial" w:hAnsi="Arial" w:cs="Arial"/>
          <w:sz w:val="22"/>
          <w:szCs w:val="22"/>
        </w:rPr>
        <w:t>litre</w:t>
      </w:r>
      <w:proofErr w:type="spellEnd"/>
      <w:r w:rsidRPr="00555DE1">
        <w:rPr>
          <w:rFonts w:ascii="Arial" w:hAnsi="Arial" w:cs="Arial"/>
          <w:sz w:val="22"/>
          <w:szCs w:val="22"/>
        </w:rPr>
        <w:t>, in vivo dissolution is often considered challenging</w:t>
      </w:r>
      <w:r w:rsidRPr="00555DE1">
        <w:rPr>
          <w:rFonts w:ascii="Arial" w:hAnsi="Arial" w:cs="Arial"/>
          <w:sz w:val="22"/>
          <w:szCs w:val="22"/>
        </w:rPr>
        <w:fldChar w:fldCharType="begin"/>
      </w:r>
      <w:r w:rsidR="009A4F96" w:rsidRPr="00555DE1">
        <w:rPr>
          <w:rFonts w:ascii="Arial" w:hAnsi="Arial" w:cs="Arial"/>
          <w:sz w:val="22"/>
          <w:szCs w:val="22"/>
        </w:rPr>
        <w:instrText xml:space="preserve"> ADDIN ZOTERO_ITEM CSL_CITATION {"citationID":"95TWuAOr","properties":{"formattedCitation":"[29]","plainCitation":"[29]","noteIndex":0},"citationItems":[{"id":1194,"uris":["http://zotero.org/users/16905564/items/K2QZK5GL"],"itemData":{"id":1194,"type":"article-journal","container-title":"ISRN Pharm.","DOI":"10.5402/2012/195727","title":"Drug Solubility: Importance and Enhancement Techniques","author":[{"family":"Ketan T Savjani , Anuradha K Gajjar, Jignasa K Savjani","given":""}],"issued":{"date-parts":[["2012"]]}}}],"schema":"https://github.com/citation-style-language/schema/raw/master/csl-citation.json"} </w:instrText>
      </w:r>
      <w:r w:rsidRPr="00555DE1">
        <w:rPr>
          <w:rFonts w:ascii="Arial" w:hAnsi="Arial" w:cs="Arial"/>
          <w:sz w:val="22"/>
          <w:szCs w:val="22"/>
        </w:rPr>
        <w:fldChar w:fldCharType="separate"/>
      </w:r>
      <w:r w:rsidR="009A4F96" w:rsidRPr="00555DE1">
        <w:rPr>
          <w:rFonts w:ascii="Arial" w:hAnsi="Arial" w:cs="Arial"/>
          <w:sz w:val="22"/>
          <w:szCs w:val="22"/>
        </w:rPr>
        <w:t>[29]</w:t>
      </w:r>
      <w:r w:rsidRPr="00555DE1">
        <w:rPr>
          <w:rFonts w:ascii="Arial" w:hAnsi="Arial" w:cs="Arial"/>
          <w:sz w:val="22"/>
          <w:szCs w:val="22"/>
        </w:rPr>
        <w:fldChar w:fldCharType="end"/>
      </w:r>
      <w:r w:rsidRPr="00555DE1">
        <w:rPr>
          <w:rFonts w:ascii="Arial" w:hAnsi="Arial" w:cs="Arial"/>
          <w:sz w:val="22"/>
          <w:szCs w:val="22"/>
        </w:rPr>
        <w:t xml:space="preserve">.  </w:t>
      </w:r>
    </w:p>
    <w:p w14:paraId="621C6444" w14:textId="4A8727B9"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The associated poor dissolution rate presents a significant challenge for the systemic delivery of orally administered drugs with low aqueous solubility. Various physicochemical methods have been employed to enhance the solubility of these drugs. These strategies include the creation of </w:t>
      </w:r>
      <w:r w:rsidR="005671C9" w:rsidRPr="00555DE1">
        <w:rPr>
          <w:rFonts w:ascii="Arial" w:hAnsi="Arial" w:cs="Arial"/>
          <w:sz w:val="22"/>
          <w:szCs w:val="22"/>
        </w:rPr>
        <w:t>prodrugs</w:t>
      </w:r>
      <w:r w:rsidRPr="00555DE1">
        <w:rPr>
          <w:rFonts w:ascii="Arial" w:hAnsi="Arial" w:cs="Arial"/>
          <w:sz w:val="22"/>
          <w:szCs w:val="22"/>
        </w:rPr>
        <w:t>, the formation of salts, co-precipitation, solvent evaporation, and size reduction</w:t>
      </w:r>
      <w:r w:rsidR="00655B07"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{"citationID":"fzFiJKLB","properties":{"formattedCitation":"[30], [31]","plainCitation":"[30], [31]","noteIndex":0},"citationItems":[{"id":1306,"uris":["http://zotero.org/users/16905564/items/N385SGK8"],"itemData":{"id":1306,"type":"article-journal","container-title":"Asian Journal of Pharmaceutics (AJP)","ISSN":"1998-409X","issue":"2","journalAbbreviation":"Asian Journal of Pharmaceutics (AJP)","title":"Techniques to enhance solubility of hydrophobic drugs: an overview","volume":"10","author":[{"family":"Vimalson","given":"D Christopher"}],"issued":{"date-parts":[["2016"]]}}},{"id":1307,"uris":["http://zotero.org/users/16905564/items/42M2CG8X"],"itemData":{"id":1307,"type":"article-journal","container-title":"Life","ISSN":"2075-1729","issue":"5","journalAbbreviation":"Life","page":"1099","publisher":"MDPI","title":"Advancement in solubilization approaches: a step towards bioavailability enhancement of poorly soluble drugs","volume":"13","author":[{"family":"Kumari","given":"Lakshmi"},{"family":"Choudhari","given":"Yash"},{"family":"Patel","given":"Preeti"},{"family":"Gupta","given":"Ghanshyam Das"},{"family":"Singh","given":"Dilpreet"},{"family":"Rosenholm","given":"Jessica M"},{"family":"Bansal","given":"Kuldeep Kumar"},{"family":"Kurmi","given":"Balak Das"}],"issued":{"date-parts":[["2023"]]}}}],"schema":"https://github.com/citation-style-language/schema/raw/master/csl-citation.json"} </w:instrText>
      </w:r>
      <w:r w:rsidR="00655B07" w:rsidRPr="00555DE1">
        <w:rPr>
          <w:rFonts w:ascii="Arial" w:hAnsi="Arial" w:cs="Arial"/>
          <w:sz w:val="22"/>
          <w:szCs w:val="22"/>
        </w:rPr>
        <w:fldChar w:fldCharType="separate"/>
      </w:r>
      <w:r w:rsidR="00655B07" w:rsidRPr="00555DE1">
        <w:rPr>
          <w:rFonts w:ascii="Arial" w:hAnsi="Arial" w:cs="Arial"/>
          <w:sz w:val="22"/>
          <w:szCs w:val="22"/>
        </w:rPr>
        <w:t>[30], [31]</w:t>
      </w:r>
      <w:r w:rsidR="00655B07" w:rsidRPr="00555DE1">
        <w:rPr>
          <w:rFonts w:ascii="Arial" w:hAnsi="Arial" w:cs="Arial"/>
          <w:sz w:val="22"/>
          <w:szCs w:val="22"/>
        </w:rPr>
        <w:fldChar w:fldCharType="end"/>
      </w:r>
      <w:r w:rsidRPr="00555DE1">
        <w:rPr>
          <w:rFonts w:ascii="Arial" w:hAnsi="Arial" w:cs="Arial"/>
          <w:sz w:val="22"/>
          <w:szCs w:val="22"/>
        </w:rPr>
        <w:t>.</w:t>
      </w:r>
    </w:p>
    <w:p w14:paraId="09529711" w14:textId="77777777" w:rsidR="005671C9" w:rsidRDefault="005671C9" w:rsidP="002A4071">
      <w:pPr>
        <w:pStyle w:val="Body"/>
        <w:rPr>
          <w:rFonts w:ascii="Arial" w:hAnsi="Arial" w:cs="Arial"/>
          <w:sz w:val="22"/>
          <w:szCs w:val="22"/>
        </w:rPr>
      </w:pPr>
    </w:p>
    <w:p w14:paraId="0851EEC6" w14:textId="77777777" w:rsidR="00D03F59" w:rsidRPr="00555DE1" w:rsidRDefault="00D03F59" w:rsidP="002A4071">
      <w:pPr>
        <w:pStyle w:val="Body"/>
        <w:rPr>
          <w:rFonts w:ascii="Arial" w:hAnsi="Arial" w:cs="Arial"/>
          <w:sz w:val="22"/>
          <w:szCs w:val="22"/>
        </w:rPr>
      </w:pPr>
    </w:p>
    <w:p w14:paraId="79361273" w14:textId="77777777" w:rsidR="00053739" w:rsidRPr="00555DE1" w:rsidRDefault="00053739" w:rsidP="002A4071">
      <w:pPr>
        <w:pStyle w:val="Body"/>
        <w:rPr>
          <w:rFonts w:ascii="Arial" w:hAnsi="Arial" w:cs="Arial"/>
          <w:sz w:val="22"/>
          <w:szCs w:val="22"/>
        </w:rPr>
      </w:pPr>
    </w:p>
    <w:p w14:paraId="7A7F109E"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2.1.2 Particle Size</w:t>
      </w:r>
    </w:p>
    <w:p w14:paraId="77AD81CB" w14:textId="04E38B06" w:rsidR="002A4071" w:rsidRPr="00555DE1" w:rsidRDefault="002A4071" w:rsidP="002A4071">
      <w:pPr>
        <w:pStyle w:val="Body"/>
        <w:rPr>
          <w:rFonts w:ascii="Arial" w:hAnsi="Arial" w:cs="Arial"/>
          <w:sz w:val="22"/>
          <w:szCs w:val="22"/>
        </w:rPr>
      </w:pPr>
      <w:r w:rsidRPr="00555DE1">
        <w:rPr>
          <w:rFonts w:ascii="Arial" w:hAnsi="Arial" w:cs="Arial"/>
          <w:sz w:val="22"/>
          <w:szCs w:val="22"/>
        </w:rPr>
        <w:t>The rate at which a drug dissolves is closely linked to its surface area. As particle size decreases, surface area increases, which can improve dissolution rates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{"citationID":"iOwnCyxa","properties":{"formattedCitation":"[32]","plainCitation":"[32]","noteIndex":0},"citationItems":[{"id":1198,"uris":["http://zotero.org/users/16905564/items/29KYTG2W"],"itemData":{"id":1198,"type":"article-journal","container-title":"GSC Biological and Pharmaceutical Sciences","DOI":"10.30574/gscbps.2024.26.2.0069","issue":"2","page":"239-253","title":"A review on solubility enhancement technique for pharmaceutical drugs","volume":"26","author":[{"family":"Vaishnavi B. Borgaonkar , Chetan M. Jain, Amit R. Jaiswal, Poonam Irache, Achal H. Yelane and Hanuman P. Tattu","given":""}],"issued":{"date-parts":[["2024"]]}}}],"schema":"https://github.com/citation-style-language/schema/raw/master/csl-citation.json"}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[32]</w:t>
      </w:r>
      <w:r w:rsidRPr="00555DE1">
        <w:rPr>
          <w:rFonts w:ascii="Arial" w:hAnsi="Arial" w:cs="Arial"/>
          <w:sz w:val="22"/>
          <w:szCs w:val="22"/>
        </w:rPr>
        <w:fldChar w:fldCharType="end"/>
      </w:r>
      <w:r w:rsidRPr="00555DE1">
        <w:rPr>
          <w:rFonts w:ascii="Arial" w:hAnsi="Arial" w:cs="Arial"/>
          <w:sz w:val="22"/>
          <w:szCs w:val="22"/>
        </w:rPr>
        <w:t xml:space="preserve">. However, it is important to recognize that reducing the particle size of sparingly soluble drugs through micronization does not always improve their dissolution and bioavailability. In some cases, micronized hydrophobic powders may aggregate and float when introduced into a dissolution medium. </w:t>
      </w:r>
    </w:p>
    <w:p w14:paraId="56594773" w14:textId="78C2A5CC"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Simply increasing the drug's surface area does not necessarily enhance its dissolution rate. Hydrophobic drugs </w:t>
      </w:r>
      <w:r w:rsidR="00E05720" w:rsidRPr="00555DE1">
        <w:rPr>
          <w:rFonts w:ascii="Arial" w:hAnsi="Arial" w:cs="Arial"/>
          <w:sz w:val="22"/>
          <w:szCs w:val="22"/>
        </w:rPr>
        <w:t>such as aspirin and phenacetin often exhibit reduced dissolution due to air trapped on their surfaces, which reduces</w:t>
      </w:r>
      <w:r w:rsidRPr="00555DE1">
        <w:rPr>
          <w:rFonts w:ascii="Arial" w:hAnsi="Arial" w:cs="Arial"/>
          <w:sz w:val="22"/>
          <w:szCs w:val="22"/>
        </w:rPr>
        <w:t xml:space="preserve"> wettability. To improve this, the trapped air must be removed</w:t>
      </w:r>
      <w:r w:rsidR="00E05720" w:rsidRPr="00555DE1">
        <w:rPr>
          <w:rFonts w:ascii="Arial" w:hAnsi="Arial" w:cs="Arial"/>
          <w:sz w:val="22"/>
          <w:szCs w:val="22"/>
        </w:rPr>
        <w:t>,</w:t>
      </w:r>
      <w:r w:rsidRPr="00555DE1">
        <w:rPr>
          <w:rFonts w:ascii="Arial" w:hAnsi="Arial" w:cs="Arial"/>
          <w:sz w:val="22"/>
          <w:szCs w:val="22"/>
        </w:rPr>
        <w:t xml:space="preserve"> or surfactants should be added. In vivo, these drugs tend to wet better, thanks to natural surfactants such as bile salts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{"citationID":"PQjPIyva","properties":{"formattedCitation":"[33]","plainCitation":"[33]","noteIndex":0},"citationItems":[{"id":1199,"uris":["http://zotero.org/users/16905564/items/BXVAYL7P"],"itemData":{"id":1199,"type":"article-journal","container-title":"Der Pharma Lett.","DOI":"10.37532/dpl.2024.16.09","page":"9-10","title":"Impact of Surfactants on Drug Release during Dissolution Testing. 16: 09-10","volume":"16","author":[{"family":"Seskhen G.","given":""}],"issued":{"date-parts":[["2024"]]}}}],"schema":"https://github.com/citation-style-language/schema/raw/master/csl-citation.json"}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[33]</w:t>
      </w:r>
      <w:r w:rsidRPr="00555DE1">
        <w:rPr>
          <w:rFonts w:ascii="Arial" w:hAnsi="Arial" w:cs="Arial"/>
          <w:sz w:val="22"/>
          <w:szCs w:val="22"/>
        </w:rPr>
        <w:fldChar w:fldCharType="end"/>
      </w:r>
      <w:r w:rsidRPr="00555DE1">
        <w:rPr>
          <w:rFonts w:ascii="Arial" w:hAnsi="Arial" w:cs="Arial"/>
          <w:sz w:val="22"/>
          <w:szCs w:val="22"/>
        </w:rPr>
        <w:t>.</w:t>
      </w:r>
    </w:p>
    <w:p w14:paraId="1B99D4BA" w14:textId="2A6EAE74"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 Traditional approaches to reducing drug substance size primarily involve mechanical comminution, including crushing, grinding, and milling larger particles. These methods reduce particle size </w:t>
      </w:r>
      <w:r w:rsidR="00E05720" w:rsidRPr="00555DE1">
        <w:rPr>
          <w:rFonts w:ascii="Arial" w:hAnsi="Arial" w:cs="Arial"/>
          <w:sz w:val="22"/>
          <w:szCs w:val="22"/>
        </w:rPr>
        <w:t>through mechanisms such as</w:t>
      </w:r>
      <w:r w:rsidRPr="00555DE1">
        <w:rPr>
          <w:rFonts w:ascii="Arial" w:hAnsi="Arial" w:cs="Arial"/>
          <w:sz w:val="22"/>
          <w:szCs w:val="22"/>
        </w:rPr>
        <w:t xml:space="preserve"> pressure, friction, attrition, impact, or shearing. Research indicates that such techniques can enhance the dissolution and bioavailability of poorly water-soluble drugs by decreasing their particle size and increasing their surface area</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{"citationID":"S8UDSFQK","properties":{"formattedCitation":"[34]","plainCitation":"[34]","noteIndex":0},"citationItems":[{"id":1200,"uris":["http://zotero.org/users/16905564/items/8D45RSUN"],"itemData":{"id":1200,"type":"chapter","container-title":"Formulating poorly water soluble drugs","page":"165-213","publisher":"Springer","title":"Mechanical particle-size reduction techniques","author":[{"family":"Morales","given":"Javier O"},{"family":"Watts","given":"Alan B"},{"family":"McConville","given":"Jason T"}],"issued":{"date-parts":[["2016"]]}}}],"schema":"https://github.com/citation-style-language/schema/raw/master/csl-citation.json"}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[34]</w:t>
      </w:r>
      <w:r w:rsidRPr="00555DE1">
        <w:rPr>
          <w:rFonts w:ascii="Arial" w:hAnsi="Arial" w:cs="Arial"/>
          <w:sz w:val="22"/>
          <w:szCs w:val="22"/>
        </w:rPr>
        <w:fldChar w:fldCharType="end"/>
      </w:r>
      <w:r w:rsidRPr="00555DE1">
        <w:rPr>
          <w:rFonts w:ascii="Arial" w:hAnsi="Arial" w:cs="Arial"/>
          <w:sz w:val="22"/>
          <w:szCs w:val="22"/>
        </w:rPr>
        <w:t>.</w:t>
      </w:r>
    </w:p>
    <w:p w14:paraId="7782A62E"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2.2 Salt Effects</w:t>
      </w:r>
    </w:p>
    <w:p w14:paraId="6A2E1EE8" w14:textId="736C278E" w:rsidR="002A4071" w:rsidRPr="00555DE1" w:rsidRDefault="002A4071" w:rsidP="002A4071">
      <w:pPr>
        <w:pStyle w:val="Body"/>
        <w:rPr>
          <w:rFonts w:ascii="Arial" w:hAnsi="Arial" w:cs="Arial"/>
          <w:sz w:val="22"/>
          <w:szCs w:val="22"/>
        </w:rPr>
      </w:pPr>
      <w:r w:rsidRPr="00555DE1">
        <w:rPr>
          <w:rFonts w:ascii="Arial" w:hAnsi="Arial" w:cs="Arial"/>
          <w:sz w:val="22"/>
          <w:szCs w:val="22"/>
        </w:rPr>
        <w:t>Salt formation is a widely employed technique to improve the solubility and dissolution rates of weak acidic and basic medications</w:t>
      </w:r>
      <w:r w:rsidR="005671C9"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{"citationID":"oFcvUY2W","properties":{"formattedCitation":"[35]","plainCitation":"[35]","noteIndex":0},"citationItems":[{"id":1293,"uris":["http://zotero.org/users/16905564/items/ANNCBZEP"],"itemData":{"id":1293,"type":"article-journal","container-title":"Drug development and industrial pharmacy","ISSN":"0363-9045","issue":"6","journalAbbreviation":"Drug development and industrial pharmacy","page":"875-887","publisher":"Taylor &amp; Francis","title":"Solubility and dissolution enhancement strategies: current understanding and recent trends","volume":"41","author":[{"family":"Jain","given":"Shashank"},{"family":"Patel","given":"Niketkumar"},{"family":"Lin","given":"Senshang"}],"issued":{"date-parts":[["2015"]]}}}],"schema":"https://github.com/citation-style-language/schema/raw/master/csl-citation.json"} </w:instrText>
      </w:r>
      <w:r w:rsidR="005671C9" w:rsidRPr="00555DE1">
        <w:rPr>
          <w:rFonts w:ascii="Arial" w:hAnsi="Arial" w:cs="Arial"/>
          <w:sz w:val="22"/>
          <w:szCs w:val="22"/>
        </w:rPr>
        <w:fldChar w:fldCharType="separate"/>
      </w:r>
      <w:r w:rsidR="00655B07" w:rsidRPr="00555DE1">
        <w:rPr>
          <w:rFonts w:ascii="Arial" w:hAnsi="Arial" w:cs="Arial"/>
          <w:sz w:val="22"/>
          <w:szCs w:val="22"/>
        </w:rPr>
        <w:t>[35]</w:t>
      </w:r>
      <w:r w:rsidR="005671C9" w:rsidRPr="00555DE1">
        <w:rPr>
          <w:rFonts w:ascii="Arial" w:hAnsi="Arial" w:cs="Arial"/>
          <w:sz w:val="22"/>
          <w:szCs w:val="22"/>
        </w:rPr>
        <w:fldChar w:fldCharType="end"/>
      </w:r>
      <w:r w:rsidRPr="00555DE1">
        <w:rPr>
          <w:rFonts w:ascii="Arial" w:hAnsi="Arial" w:cs="Arial"/>
          <w:sz w:val="22"/>
          <w:szCs w:val="22"/>
        </w:rPr>
        <w:t>. It has generally been believed that sodium salts dissolve more quickly than their insoluble acid counterparts, as seen with potassium and sodium salts of sulfa drugs, phenytoin, barbiturates, and penicillin</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{"citationID":"T7DyiQdS","properties":{"formattedCitation":"[36], [37], [38]","plainCitation":"[36], [37], [38]","noteIndex":0},"citationItems":[{"id":1203,"uris":["http://zotero.org/users/16905564/items/MZPH893C"],"itemData":{"id":1203,"type":"article-journal","container-title":"Encyclopedia of pharmaceutical technology. Informa Healthcare, New York","journalAbbreviation":"Encyclopedia of pharmaceutical technology. Informa Healthcare, New York","title":"Salt forms: pharmaceutical aspects","volume":"3177","author":[{"family":"Corrigan","given":"Owen I"}],"issued":{"date-parts":[["2006"]]}}},{"id":1204,"uris":["http://zotero.org/users/16905564/items/MQN5RI9C"],"itemData":{"id":1204,"type":"article-journal","container-title":"Journal of pharmaceutical sciences","ISSN":"0022-3549","issue":"6","journalAbbreviation":"Journal of pharmaceutical sciences","page":"485-489","publisher":"Wiley Online Library","title":"Solubilities and solid state properties of the sodium salts of drugs","volume":"78","author":[{"family":"Rubino","given":"Joseph T"}],"issued":{"date-parts":[["1989"]]}}},{"id":1294,"uris":["http://zotero.org/users/16905564/items/2BR4FF26"],"itemData":{"id":1294,"type":"article-journal","container-title":"International journal of pharmaceutics","ISSN":"0378-5173","journalAbbreviation":"International journal of pharmaceutics","page":"120993","publisher":"Elsevier","title":"Modulation of biopharmaceutical properties of acidic drugs using cationic counterions: A critical analysis of FDA-approved pharmaceutical salts","volume":"607","author":[{"family":"Bharate","given":"Sonali S"}],"issued":{"date-parts":[["2021"]]}}}],"schema":"https://github.com/citation-style-language/schema/raw/master/csl-citation.json"}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[36], [37], [38]</w:t>
      </w:r>
      <w:r w:rsidRPr="00555DE1">
        <w:rPr>
          <w:rFonts w:ascii="Arial" w:hAnsi="Arial" w:cs="Arial"/>
          <w:sz w:val="22"/>
          <w:szCs w:val="22"/>
        </w:rPr>
        <w:fldChar w:fldCharType="end"/>
      </w:r>
      <w:r w:rsidRPr="00555DE1">
        <w:rPr>
          <w:rFonts w:ascii="Arial" w:hAnsi="Arial" w:cs="Arial"/>
          <w:sz w:val="22"/>
          <w:szCs w:val="22"/>
        </w:rPr>
        <w:t>. Nevertheless, there are exceptions; for instance, phenobarbital's sodium salt dissolves more slowly than the weak acid itself</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{"citationID":"OJpSP99n","properties":{"formattedCitation":"[39]","plainCitation":"[39]","noteIndex":0},"citationItems":[{"id":1206,"uris":["http://zotero.org/users/16905564/items/E62SQ699"],"itemData":{"id":1206,"type":"article-journal","title":"Compatibility and Stability of Drug Products and Preparations","author":[{"family":"Villiers","given":"Melgardt","non-dropping-particle":"de"}],"issued":{"date-parts":[["2009"]]}}}],"schema":"https://github.com/citation-style-language/schema/raw/master/csl-citation.json"}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[39]</w:t>
      </w:r>
      <w:r w:rsidRPr="00555DE1">
        <w:rPr>
          <w:rFonts w:ascii="Arial" w:hAnsi="Arial" w:cs="Arial"/>
          <w:sz w:val="22"/>
          <w:szCs w:val="22"/>
        </w:rPr>
        <w:fldChar w:fldCharType="end"/>
      </w:r>
      <w:r w:rsidRPr="00555DE1">
        <w:rPr>
          <w:rFonts w:ascii="Arial" w:hAnsi="Arial" w:cs="Arial"/>
          <w:sz w:val="22"/>
          <w:szCs w:val="22"/>
        </w:rPr>
        <w:t>. A similar trend can be noted with weak base drugs, where strong acid salts like hydrochlorides and sulphates of weak bases such as epinephrine and tetracycline show differing dissolution rates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{"citationID":"XaDVbtpL","properties":{"formattedCitation":"[40]","plainCitation":"[40]","noteIndex":0},"citationItems":[{"id":1207,"uris":["http://zotero.org/users/16905564/items/HYNQ7LF5"],"itemData":{"id":1207,"type":"article-journal","container-title":"Chemical and Pharmaceutical Bulletin","ISSN":"0009-2363","issue":"6","journalAbbreviation":"Chemical and Pharmaceutical Bulletin","page":"1197-1204","publisher":"The Pharmaceutical Society of Japan","title":"A comparison of solubility characteristics of free bases and hydrochloride salts of tetracycline antibiotics in hydrochloric acid solutions","volume":"23","author":[{"family":"MIYAZAKI","given":"SHOZO"},{"family":"NAKANO","given":"MASAHIRO"},{"family":"ARITA","given":"TAKAICHI"}],"issued":{"date-parts":[["1975"]]}}}],"schema":"https://github.com/citation-style-language/schema/raw/master/csl-citation.json"}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[40]</w:t>
      </w:r>
      <w:r w:rsidRPr="00555DE1">
        <w:rPr>
          <w:rFonts w:ascii="Arial" w:hAnsi="Arial" w:cs="Arial"/>
          <w:sz w:val="22"/>
          <w:szCs w:val="22"/>
        </w:rPr>
        <w:fldChar w:fldCharType="end"/>
      </w:r>
      <w:r w:rsidRPr="00555DE1">
        <w:rPr>
          <w:rFonts w:ascii="Arial" w:hAnsi="Arial" w:cs="Arial"/>
          <w:sz w:val="22"/>
          <w:szCs w:val="22"/>
        </w:rPr>
        <w:t>.</w:t>
      </w:r>
    </w:p>
    <w:p w14:paraId="06648F37" w14:textId="09FE1876" w:rsidR="002A4071" w:rsidRDefault="002A4071" w:rsidP="002A4071">
      <w:pPr>
        <w:pStyle w:val="Body"/>
        <w:rPr>
          <w:rFonts w:ascii="Arial" w:hAnsi="Arial" w:cs="Arial"/>
          <w:sz w:val="22"/>
          <w:szCs w:val="22"/>
        </w:rPr>
      </w:pPr>
      <w:r w:rsidRPr="00555DE1">
        <w:rPr>
          <w:rFonts w:ascii="Arial" w:hAnsi="Arial" w:cs="Arial"/>
          <w:sz w:val="22"/>
          <w:szCs w:val="22"/>
        </w:rPr>
        <w:t xml:space="preserve">Several factors influence how salt formation can enhance a drug's solubility formation. These factors include the thermodynamically </w:t>
      </w:r>
      <w:r w:rsidR="00053739" w:rsidRPr="00555DE1">
        <w:rPr>
          <w:rFonts w:ascii="Arial" w:hAnsi="Arial" w:cs="Arial"/>
          <w:sz w:val="22"/>
          <w:szCs w:val="22"/>
        </w:rPr>
        <w:t>favorable</w:t>
      </w:r>
      <w:r w:rsidRPr="00555DE1">
        <w:rPr>
          <w:rFonts w:ascii="Arial" w:hAnsi="Arial" w:cs="Arial"/>
          <w:sz w:val="22"/>
          <w:szCs w:val="22"/>
        </w:rPr>
        <w:t xml:space="preserve"> aqueous solvation of the cations or anions involved in forming the salt of the active moiety, differences in the energies of the salt crystal lattice, and the influence of the salt on the resulting pH</w:t>
      </w:r>
      <w:r w:rsidR="00F03336" w:rsidRPr="00555DE1">
        <w:rPr>
          <w:rFonts w:ascii="Arial" w:hAnsi="Arial" w:cs="Arial"/>
          <w:sz w:val="22"/>
          <w:szCs w:val="22"/>
        </w:rPr>
        <w:t>.</w:t>
      </w:r>
      <w:r w:rsidRPr="00555DE1">
        <w:rPr>
          <w:rFonts w:ascii="Arial" w:hAnsi="Arial" w:cs="Arial"/>
          <w:sz w:val="22"/>
          <w:szCs w:val="22"/>
        </w:rPr>
        <w:t xml:space="preserve"> </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{"citationID":"J8YfbPjj","properties":{"formattedCitation":"[41], [42]","plainCitation":"[41], [42]","noteIndex":0},"citationItems":[{"id":1209,"uris":["http://zotero.org/users/16905564/items/SN2BCCHS"],"itemData":{"id":1209,"type":"article-journal","container-title":"Molecules","ISSN":"1420-3049","issue":"7","journalAbbreviation":"Molecules","page":"1719","publisher":"MDPI","title":"Salts of therapeutic agents: chemical, physicochemical, and biological considerations","volume":"23","author":[{"family":"Gupta","given":"Deepak"},{"family":"Bhatia","given":"Deepak"},{"family":"Dave","given":"Vivek"},{"family":"Sutariya","given":"Vijaykumar"},{"family":"Varghese Gupta","given":"Sheeba"}],"issued":{"date-parts":[["2018"]]}}},{"id":1210,"uris":["http://zotero.org/users/16905564/items/A83VT878"],"itemData":{"id":1210,"type":"article-journal","container-title":"Advanced drug delivery reviews","ISSN":"0169-409X","issue":"7","journalAbbreviation":"Advanced drug delivery reviews","page":"603-616","publisher":"Elsevier","title":"Salt formation to improve drug solubility","volume":"59","author":[{"family":"Serajuddin","given":"Abu TM"}],"issued":{"date-parts":[["2007"]]}}}],"schema":"https://github.com/citation-style-language/schema/raw/master/csl-citation.json"}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[41], [42]</w:t>
      </w:r>
      <w:r w:rsidRPr="00555DE1">
        <w:rPr>
          <w:rFonts w:ascii="Arial" w:hAnsi="Arial" w:cs="Arial"/>
          <w:sz w:val="22"/>
          <w:szCs w:val="22"/>
        </w:rPr>
        <w:fldChar w:fldCharType="end"/>
      </w:r>
      <w:r w:rsidRPr="00555DE1">
        <w:rPr>
          <w:rFonts w:ascii="Arial" w:hAnsi="Arial" w:cs="Arial"/>
          <w:sz w:val="22"/>
          <w:szCs w:val="22"/>
        </w:rPr>
        <w:t xml:space="preserve">. Moreover, even if salt formation does not directly enhance the drug's solubility, it typically </w:t>
      </w:r>
      <w:r w:rsidR="00E05720" w:rsidRPr="00555DE1">
        <w:rPr>
          <w:rFonts w:ascii="Arial" w:hAnsi="Arial" w:cs="Arial"/>
          <w:sz w:val="22"/>
          <w:szCs w:val="22"/>
        </w:rPr>
        <w:t>increases the dissolution rate by altering</w:t>
      </w:r>
      <w:r w:rsidRPr="00555DE1">
        <w:rPr>
          <w:rFonts w:ascii="Arial" w:hAnsi="Arial" w:cs="Arial"/>
          <w:sz w:val="22"/>
          <w:szCs w:val="22"/>
        </w:rPr>
        <w:t xml:space="preserve"> the pH of the thin diffusion layer surrounding the drug particles.</w:t>
      </w:r>
    </w:p>
    <w:p w14:paraId="7A4DB6A5" w14:textId="77777777" w:rsidR="00D03F59" w:rsidRDefault="00D03F59" w:rsidP="002A4071">
      <w:pPr>
        <w:pStyle w:val="Body"/>
        <w:rPr>
          <w:rFonts w:ascii="Arial" w:hAnsi="Arial" w:cs="Arial"/>
          <w:sz w:val="22"/>
          <w:szCs w:val="22"/>
        </w:rPr>
      </w:pPr>
    </w:p>
    <w:p w14:paraId="3F0494F3" w14:textId="77777777" w:rsidR="00D03F59" w:rsidRDefault="00D03F59" w:rsidP="002A4071">
      <w:pPr>
        <w:pStyle w:val="Body"/>
        <w:rPr>
          <w:rFonts w:ascii="Arial" w:hAnsi="Arial" w:cs="Arial"/>
          <w:sz w:val="22"/>
          <w:szCs w:val="22"/>
        </w:rPr>
      </w:pPr>
    </w:p>
    <w:p w14:paraId="12056E6E" w14:textId="77777777" w:rsidR="00D03F59" w:rsidRPr="00555DE1" w:rsidRDefault="00D03F59" w:rsidP="002A4071">
      <w:pPr>
        <w:pStyle w:val="Body"/>
        <w:rPr>
          <w:rFonts w:ascii="Arial" w:hAnsi="Arial" w:cs="Arial"/>
          <w:sz w:val="22"/>
          <w:szCs w:val="22"/>
        </w:rPr>
      </w:pPr>
    </w:p>
    <w:p w14:paraId="5AD6D7CB"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2.3 Solid Phase Characteristics</w:t>
      </w:r>
    </w:p>
    <w:p w14:paraId="49E24C26" w14:textId="756A2AE7" w:rsidR="00053739" w:rsidRPr="00555DE1" w:rsidRDefault="002A4071" w:rsidP="002A4071">
      <w:pPr>
        <w:pStyle w:val="Body"/>
        <w:rPr>
          <w:rFonts w:ascii="Arial" w:hAnsi="Arial" w:cs="Arial"/>
          <w:sz w:val="22"/>
          <w:szCs w:val="22"/>
        </w:rPr>
      </w:pPr>
      <w:r w:rsidRPr="00555DE1">
        <w:rPr>
          <w:rFonts w:ascii="Arial" w:hAnsi="Arial" w:cs="Arial"/>
          <w:sz w:val="22"/>
          <w:szCs w:val="22"/>
        </w:rPr>
        <w:t>The properties of solid-phase drugs, such as amorphism, crystallinity, hydration state, and polymorphic structures, considerably affect their dissolution rates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{"citationID":"gY99v0OW","properties":{"formattedCitation":"[43], [44]","plainCitation":"[43], [44]","noteIndex":0},"citationItems":[{"id":1211,"uris":["http://zotero.org/users/16905564/items/IQLMWGZ4"],"itemData":{"id":1211,"type":"chapter","container-title":"Water-insoluble drug formulation","page":"575-612","publisher":"CRC Press","title":"Alteration of the solid state of the drug substances: polymorphs, solvates, and amorphous forms","author":[{"family":"Myrdal","given":"Paul B"},{"family":"Franklin","given":"Stephen J"},{"family":"Jozwiakowski","given":"Michael J"}],"issued":{"date-parts":[["2018"]]}}},{"id":1212,"uris":["http://zotero.org/users/16905564/items/UUNF4ZZ9"],"itemData":{"id":1212,"type":"article-journal","container-title":"Advanced drug delivery reviews","ISSN":"0169-409X","issue":"1","journalAbbreviation":"Advanced drug delivery reviews","page":"3-26","publisher":"Elsevier","title":"Crystalline solids","volume":"48","author":[{"family":"Vippagunta","given":"Sudha R"},{"family":"Brittain","given":"Harry G"},{"family":"Grant","given":"David JW"}],"issued":{"date-parts":[["2001"]]}}}],"schema":"https://github.com/citation-style-language/schema/raw/master/csl-citation.json"}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[43], [44]</w:t>
      </w:r>
      <w:r w:rsidRPr="00555DE1">
        <w:rPr>
          <w:rFonts w:ascii="Arial" w:hAnsi="Arial" w:cs="Arial"/>
          <w:sz w:val="22"/>
          <w:szCs w:val="22"/>
        </w:rPr>
        <w:fldChar w:fldCharType="end"/>
      </w:r>
      <w:r w:rsidRPr="00555DE1">
        <w:rPr>
          <w:rFonts w:ascii="Arial" w:hAnsi="Arial" w:cs="Arial"/>
          <w:sz w:val="22"/>
          <w:szCs w:val="22"/>
        </w:rPr>
        <w:t>. Anhydrous forms dissolve faster than hydrated ones because of their higher thermodynamic activity. Amorphous drug forms generally have quicker dissolution rates compared to crystalline forms, and variations in lattice energies among different polymorphs can lead to differences in solubility. Sometimes, the solubility of various polymorphic forms of a drug can vary considerably</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{"citationID":"IamfCeRd","properties":{"formattedCitation":"[45]","plainCitation":"[45]","noteIndex":0},"citationItems":[{"id":1213,"uris":["http://zotero.org/users/16905564/items/JWU5BCQC"],"itemData":{"id":1213,"type":"article-journal","container-title":"Advanced drug delivery reviews","ISSN":"0169-409X","issue":"3","journalAbbreviation":"Advanced drug delivery reviews","page":"335-347","publisher":"Elsevier","title":"Drug polymorphism and dosage form design: a practical perspective","volume":"56","author":[{"family":"Singhal","given":"Dharmendra"},{"family":"Curatolo","given":"William"}],"issued":{"date-parts":[["2004"]]}}}],"schema":"https://github.com/citation-style-language/schema/raw/master/csl-citation.json"}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[45]</w:t>
      </w:r>
      <w:r w:rsidRPr="00555DE1">
        <w:rPr>
          <w:rFonts w:ascii="Arial" w:hAnsi="Arial" w:cs="Arial"/>
          <w:sz w:val="22"/>
          <w:szCs w:val="22"/>
        </w:rPr>
        <w:fldChar w:fldCharType="end"/>
      </w:r>
      <w:r w:rsidRPr="00555DE1">
        <w:rPr>
          <w:rFonts w:ascii="Arial" w:hAnsi="Arial" w:cs="Arial"/>
          <w:sz w:val="22"/>
          <w:szCs w:val="22"/>
        </w:rPr>
        <w:t>. For example, amorphous forms can show solubility several hundred times greater than their crystalline counterparts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{"citationID":"u7Z7g0Dk","properties":{"formattedCitation":"[46], [47], [48]","plainCitation":"[46], [47], [48]","noteIndex":0},"citationItems":[{"id":1214,"uris":["http://zotero.org/users/16905564/items/JHGLVKB9"],"itemData":{"id":1214,"type":"article-journal","container-title":"Pharmaceutical development and technology","ISSN":"1083-7450","issue":"3","journalAbbreviation":"Pharmaceutical development and technology","page":"187-200","publisher":"Taylor &amp; Francis","title":"Aqueous solubility of crystalline and amorphous drugs: challenges in measurement","volume":"16","author":[{"family":"Murdande","given":"Sharad B"},{"family":"Pikal","given":"Michael J"},{"family":"Shanker","given":"Ravi M"},{"family":"Bogner","given":"Robin H"}],"issued":{"date-parts":[["2011"]]}}},{"id":1215,"uris":["http://zotero.org/users/16905564/items/HWLV7WU6"],"itemData":{"id":1215,"type":"article-journal","container-title":"Crystal Growth &amp; Design","ISSN":"1528-7483","issue":"7","journalAbbreviation":"Crystal Growth &amp; Design","page":"2662-2679","publisher":"ACS Publications","title":"Solubility advantage of amorphous drugs and pharmaceutical cocrystals","volume":"11","author":[{"family":"Babu","given":"N Jagadeesh"},{"family":"Nangia","given":"Ashwini"}],"issued":{"date-parts":[["2011"]]}}},{"id":1216,"uris":["http://zotero.org/users/16905564/items/E2YNK26M"],"itemData":{"id":1216,"type":"article-journal","container-title":"Journal of pharmaceutical sciences","ISSN":"0022-3549","issue":"3","journalAbbreviation":"Journal of pharmaceutical sciences","page":"1254-1264","publisher":"Wiley Online Library","title":"Solubility advantage of amorphous pharmaceuticals: I. A thermodynamic analysis","volume":"99","author":[{"family":"Murdande","given":"Sharad B"},{"family":"Pikal","given":"Michael J"},{"family":"Shanker","given":"Ravi M"},{"family":"Bogner","given":"Robin H"}],"issued":{"date-parts":[["2010"]]}}}],"schema":"https://github.com/citation-style-language/schema/raw/master/csl-citation.json"}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[46], [47], [48]</w:t>
      </w:r>
      <w:r w:rsidRPr="00555DE1">
        <w:rPr>
          <w:rFonts w:ascii="Arial" w:hAnsi="Arial" w:cs="Arial"/>
          <w:sz w:val="22"/>
          <w:szCs w:val="22"/>
        </w:rPr>
        <w:fldChar w:fldCharType="end"/>
      </w:r>
      <w:r w:rsidRPr="00555DE1">
        <w:rPr>
          <w:rFonts w:ascii="Arial" w:hAnsi="Arial" w:cs="Arial"/>
          <w:sz w:val="22"/>
          <w:szCs w:val="22"/>
        </w:rPr>
        <w:t>. These solubility differences can influence the in vivo dissolution of drug products, thereby affecting the absorption of oral medications.</w:t>
      </w:r>
    </w:p>
    <w:p w14:paraId="3F076637" w14:textId="77777777" w:rsidR="002A4071" w:rsidRPr="00555DE1" w:rsidRDefault="002A4071" w:rsidP="00752610">
      <w:pPr>
        <w:pStyle w:val="Body"/>
        <w:numPr>
          <w:ilvl w:val="1"/>
          <w:numId w:val="4"/>
        </w:numPr>
        <w:spacing w:after="0"/>
        <w:rPr>
          <w:rFonts w:ascii="Arial" w:hAnsi="Arial" w:cs="Arial"/>
          <w:b/>
          <w:sz w:val="22"/>
          <w:szCs w:val="22"/>
        </w:rPr>
      </w:pPr>
      <w:r w:rsidRPr="00555DE1">
        <w:rPr>
          <w:rFonts w:ascii="Arial" w:hAnsi="Arial" w:cs="Arial"/>
          <w:b/>
          <w:sz w:val="22"/>
          <w:szCs w:val="22"/>
        </w:rPr>
        <w:t>Drug Product Formulation Factors</w:t>
      </w:r>
    </w:p>
    <w:p w14:paraId="19E9279F" w14:textId="427D797D" w:rsidR="002A4071" w:rsidRPr="00555DE1" w:rsidRDefault="002A4071" w:rsidP="002A4071">
      <w:pPr>
        <w:pStyle w:val="Body"/>
        <w:rPr>
          <w:rFonts w:ascii="Arial" w:hAnsi="Arial" w:cs="Arial"/>
          <w:sz w:val="22"/>
          <w:szCs w:val="22"/>
        </w:rPr>
      </w:pPr>
      <w:r w:rsidRPr="00555DE1">
        <w:rPr>
          <w:rFonts w:ascii="Arial" w:hAnsi="Arial" w:cs="Arial"/>
          <w:sz w:val="22"/>
          <w:szCs w:val="22"/>
        </w:rPr>
        <w:t>The mix of various excipients can greatly influence the dissolution rate of a pure drug during manufacturing</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{"citationID":"xYScxzF6","properties":{"formattedCitation":"[49], [50], [51]","plainCitation":"[49], [50], [51]","noteIndex":0},"citationItems":[{"id":1217,"uris":["http://zotero.org/users/16905564/items/Y88A9EL8"],"itemData":{"id":1217,"type":"article-journal","container-title":"Current Pharmaceutical Design","ISSN":"1381-6128","issue":"40","journalAbbreviation":"Current Pharmaceutical Design","page":"5890-5899","publisher":"Bentham Science Publishers","title":"Impact of excipient variability on drug product processing and performance","volume":"21","author":[{"family":"Lay Peng Soh","given":"Josephine"},{"family":"Valeria Liew","given":"Celine"},{"family":"Wan Sia Heng","given":"Paul"}],"issued":{"date-parts":[["2015"]]}}},{"id":1218,"uris":["http://zotero.org/users/16905564/items/U98ZWFEA"],"itemData":{"id":1218,"type":"article-journal","container-title":"Pharmaceutical research","ISSN":"0724-8741","issue":"10","journalAbbreviation":"Pharmaceutical research","page":"2639-2659","publisher":"Springer","title":"Impact of excipient interactions on drug bioavailability from solid dosage forms","volume":"29","author":[{"family":"Panakanti","given":"Ravikiran"},{"family":"Narang","given":"Ajit S"}],"issued":{"date-parts":[["2012"]]}}},{"id":1223,"uris":["http://zotero.org/users/16905564/items/TSZJ4C4F"],"itemData":{"id":1223,"type":"article-journal","container-title":"Drug Development and Industrial Pharmacy","issue":"9","page":"1543-1550","title":"Does the performance of wet granulation and tablet hardness affect the drug dissolution profile of carvedilol in matrix tablets?","volume":"44","author":[{"family":"Darjan Košir,Tadej Ojsteršek &amp;Franc Vrečer","given":""}],"issued":{"date-parts":[["2018"]]}}}],"schema":"https://github.com/citation-style-language/schema/raw/master/csl-citation.json"}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[49], [50], [51]</w:t>
      </w:r>
      <w:r w:rsidRPr="00555DE1">
        <w:rPr>
          <w:rFonts w:ascii="Arial" w:hAnsi="Arial" w:cs="Arial"/>
          <w:sz w:val="22"/>
          <w:szCs w:val="22"/>
        </w:rPr>
        <w:fldChar w:fldCharType="end"/>
      </w:r>
      <w:r w:rsidRPr="00555DE1">
        <w:rPr>
          <w:rFonts w:ascii="Arial" w:hAnsi="Arial" w:cs="Arial"/>
          <w:sz w:val="22"/>
          <w:szCs w:val="22"/>
        </w:rPr>
        <w:t>. These excipients, such as diluents, dyes, binders, disintegrants, and lubricants, have varying effects on the dissolution rate depending on the dosage form. In immediate-release formulations, they are usually added to improve drug release or aid in solubilizing the drug substance</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{"citationID":"fbkUKIiJ","properties":{"formattedCitation":"[52], [53], [54]","plainCitation":"[52], [53], [54]","noteIndex":0},"citationItems":[{"id":1219,"uris":["http://zotero.org/users/16905564/items/LMJAWHNQ"],"itemData":{"id":1219,"type":"article-journal","container-title":"PharmaTutor","ISSN":"2347-7881","issue":"8","journalAbbreviation":"PharmaTutor","page":"95-109","title":"A review on immediate release drug delivery systems","volume":"2","author":[{"family":"Rahul","given":"Mohalkar"},{"family":"Patil","given":"S"},{"family":"Shetkar","given":"M"},{"family":"Chavan","given":"Dilip"},{"family":"Bhagwat","given":"Poul"}],"issued":{"date-parts":[["2014"]]}}},{"id":1220,"uris":["http://zotero.org/users/16905564/items/7VUHZL2A"],"itemData":{"id":1220,"type":"article-journal","container-title":"Journal of drug delivery &amp; therapeutics","issue":"2","journalAbbreviation":"Journal of drug delivery &amp; therapeutics","page":"155-161","title":"Immediate drug release dosage form: a review","volume":"3","author":[{"family":"Sandeep","given":"Nyol"},{"family":"Gupta","given":"MM"}],"issued":{"date-parts":[["2013"]]}}},{"id":1221,"uris":["http://zotero.org/users/16905564/items/L38T4UGM"],"itemData":{"id":1221,"type":"article-journal","container-title":"Pharmaceutics","ISSN":"1999-4923","issue":"5","journalAbbreviation":"Pharmaceutics","page":"393","publisher":"MDPI","title":"The role of functional excipients in solid oral dosage forms to overcome poor drug dissolution and bioavailability","volume":"12","author":[{"family":"Van der Merwe","given":"Jannes"},{"family":"Steenekamp","given":"Jan"},{"family":"Steyn","given":"Dewald"},{"family":"Hamman","given":"Josias"}],"issued":{"date-parts":[["2020"]]}}}],"schema":"https://github.com/citation-style-language/schema/raw/master/csl-citation.json"}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[52], [53], [54]</w:t>
      </w:r>
      <w:r w:rsidRPr="00555DE1">
        <w:rPr>
          <w:rFonts w:ascii="Arial" w:hAnsi="Arial" w:cs="Arial"/>
          <w:sz w:val="22"/>
          <w:szCs w:val="22"/>
        </w:rPr>
        <w:fldChar w:fldCharType="end"/>
      </w:r>
      <w:r w:rsidRPr="00555DE1">
        <w:rPr>
          <w:rFonts w:ascii="Arial" w:hAnsi="Arial" w:cs="Arial"/>
          <w:sz w:val="22"/>
          <w:szCs w:val="22"/>
        </w:rPr>
        <w:t>. For instance, disintegrants such as starch, known for its strong disintegration properties owing to its hydrophilic and swelling traits, are commonly included in formulations to enhance drug release</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{"citationID":"RQuvSE6b","properties":{"formattedCitation":"[55]","plainCitation":"[55]","noteIndex":0},"citationItems":[{"id":1222,"uris":["http://zotero.org/users/16905564/items/E8L4FMHE"],"itemData":{"id":1222,"type":"article-journal","container-title":"Pharmaceutical development and technology","ISSN":"1083-7450","issue":"6","journalAbbreviation":"Pharmaceutical development and technology","page":"763-774","publisher":"Taylor &amp; Francis","title":"A critical review on tablet disintegration","volume":"21","author":[{"family":"Quodbach","given":"Julian"},{"family":"Kleinebudde","given":"Peter"}],"issued":{"date-parts":[["2016"]]}}}],"schema":"https://github.com/citation-style-language/schema/raw/master/csl-citation.json"}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[55]</w:t>
      </w:r>
      <w:r w:rsidRPr="00555DE1">
        <w:rPr>
          <w:rFonts w:ascii="Arial" w:hAnsi="Arial" w:cs="Arial"/>
          <w:sz w:val="22"/>
          <w:szCs w:val="22"/>
        </w:rPr>
        <w:fldChar w:fldCharType="end"/>
      </w:r>
      <w:r w:rsidRPr="00555DE1">
        <w:rPr>
          <w:rFonts w:ascii="Arial" w:hAnsi="Arial" w:cs="Arial"/>
          <w:sz w:val="22"/>
          <w:szCs w:val="22"/>
        </w:rPr>
        <w:t>. This is achieved by facilitating water absorption into the compressed mass, thereby promoting the breakdown of compacted particles into granules or smaller fragments upon administration.</w:t>
      </w:r>
    </w:p>
    <w:p w14:paraId="3BE6AC2F" w14:textId="20D6E619" w:rsidR="00156F03" w:rsidRPr="00555DE1" w:rsidRDefault="002A4071" w:rsidP="002A4071">
      <w:pPr>
        <w:pStyle w:val="Body"/>
        <w:rPr>
          <w:rFonts w:ascii="Arial" w:hAnsi="Arial" w:cs="Arial"/>
          <w:sz w:val="22"/>
          <w:szCs w:val="22"/>
        </w:rPr>
      </w:pPr>
      <w:r w:rsidRPr="00555DE1">
        <w:rPr>
          <w:rFonts w:ascii="Arial" w:hAnsi="Arial" w:cs="Arial"/>
          <w:sz w:val="22"/>
          <w:szCs w:val="22"/>
        </w:rPr>
        <w:t>Incorporating a hydrophilic binder improves the dissolution rate of poorly soluble drugs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{"citationID":"C9cNV5Pu","properties":{"formattedCitation":"[56], [57]","plainCitation":"[56], [57]","noteIndex":0},"citationItems":[{"id":1224,"uris":["http://zotero.org/users/16905564/items/QN4727GI"],"itemData":{"id":1224,"type":"article-journal","abstract":"Background/Objectives: Rutin, a bioactive flavonol glycoside known for its antioxidant, anti-inflammatory, and anticancer activities, faces limited clinical application due to its poor aqueous solubility and low oral bioavailability. This study aimed to enhance the dissolution of rutin by preparing solid dispersions (SDs) using a fluid-bed coating system and formulating the resulting SDs into tablet dosage forms. Methods: Rutin was dissolved in methanol and sprayed onto various carriers, including lactose monohydrate, mannitol, microcrystalline cellulose, silicon dioxide, and calcium carbonate. Results: Among the carriers tested, lactose monohydrate produced the highest dissolution enhancement, achieving complete drug release within 15 min versus approximately 60% for free rutin. Further investigation into the effect of the rutin-to-lactose ratio on dissolution enhancement identified 1:10 as the most effective. Characterization by powder X-ray diffraction (PXRD) and differential scanning calorimetry (DSC) confirmed a marked reduction in rutin crystallinity, while scanning electron microscopy (SEM) revealed reduced particle size and successful adsorption onto the carrier. Fourier transformed infrared (FT-IR) analysis suggested hydrogen bonding interactions between rutin and lactose monohydrate, which contributed to improved dissolution. The optimal SD was incorporated into tablets containing 50 mg of rutin via wet granulation, and the inclusion of sodium lauryl sulfate further enhanced dissolution. Stability testing demonstrated that the optimized tablets maintained their dissolution profile after 6 months under accelerated conditions (40 °C and 75% RH). Conclusions: These findings indicate that fluid-bed coating is an effective approach for preparing SDs to improve the dissolution of rutin and may be extended to other natural polyphenolic compounds.","container-title":"Pharmaceutics","DOI":"10.3390/pharmaceutics17121559","ISSN":"1999-4923","issue":"12","page":"1559","title":"Improved Dissolution of Poorly Water-Soluble Rutin via Solid Dispersion Prepared Using a Fluid-Bed Coating System","volume":"17","author":[{"family":"Nguyen","given":"Hien V."},{"family":"Nguyen","given":"Nga T."},{"family":"Tran","given":"Huong K."},{"family":"Huynh","given":"Thuy T."},{"family":"Vo","given":"Vi H."},{"family":"Le","given":"Cuc T."},{"family":"Saha","given":"Tushar"}],"issued":{"date-parts":[["2025"]]}}},{"id":1225,"uris":["http://zotero.org/users/16905564/items/F4XXC2BC"],"itemData":{"id":1225,"type":"article-journal","container-title":"Int.J.Ph.Sci","title":"Dssolution enhancement of poorly Water-Soluble Drug (Raloxifene Hydrochloride) by using different Hydrophilic Excipients in Solid dosage form","author":[{"family":"Pathak Naveen, Kumar Anuj, Sahoo Sangram, Padhee Kumud","given":""}],"issued":{"date-parts":[["2011"]]}}}],"schema":"https://github.com/citation-style-language/schema/raw/master/csl-citation.json"}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[56], [57]</w:t>
      </w:r>
      <w:r w:rsidRPr="00555DE1">
        <w:rPr>
          <w:rFonts w:ascii="Arial" w:hAnsi="Arial" w:cs="Arial"/>
          <w:sz w:val="22"/>
          <w:szCs w:val="22"/>
        </w:rPr>
        <w:fldChar w:fldCharType="end"/>
      </w:r>
      <w:r w:rsidRPr="00555DE1">
        <w:rPr>
          <w:rFonts w:ascii="Arial" w:hAnsi="Arial" w:cs="Arial"/>
          <w:sz w:val="22"/>
          <w:szCs w:val="22"/>
        </w:rPr>
        <w:t xml:space="preserve">. However, excessive binder use may produce harder tablets and slower disintegration and dissolution rates. Furthermore, non-aqueous binders such as </w:t>
      </w:r>
      <w:proofErr w:type="spellStart"/>
      <w:r w:rsidRPr="00555DE1">
        <w:rPr>
          <w:rFonts w:ascii="Arial" w:hAnsi="Arial" w:cs="Arial"/>
          <w:sz w:val="22"/>
          <w:szCs w:val="22"/>
        </w:rPr>
        <w:t>ethylcellulose</w:t>
      </w:r>
      <w:proofErr w:type="spellEnd"/>
      <w:r w:rsidRPr="00555DE1">
        <w:rPr>
          <w:rFonts w:ascii="Arial" w:hAnsi="Arial" w:cs="Arial"/>
          <w:sz w:val="22"/>
          <w:szCs w:val="22"/>
        </w:rPr>
        <w:t xml:space="preserve"> can hinder drug dissolution. Lubricants, often hydrophobic (such as metallic stearates), can prolong tablet disintegration time by forming a water-repelling layer around granules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{"citationID":"gMLAD4El","properties":{"formattedCitation":"[58]","plainCitation":"[58]","noteIndex":0},"citationItems":[{"id":1226,"uris":["http://zotero.org/users/16905564/items/ML4RHB37"],"itemData":{"id":1226,"type":"article-journal","abstract":"Pharmaceutical tablets are manufactured through a series of batch steps finishing with compression into a form using a tablet press. Lubricants are added to the powder mixture prior to the tabletting step to ensure that the tablet is ejected properly from the press. The addition of lubricants also affects tablet properties and can affect the behavior of the powder mixture. The objective of this research was to investigate the effect of lubricants on powder flowability as flowability into the tablet press is critical. Four lubricants (magnesium stearate, magnesium silicate, stearic acid, and calcium stearate) were mixed, in varying amounts, with spray-dried lactose. In addition, magnesium stearate was also mixed with placebo granules from a high-shear granulator. Measurements based on avalanche behavior indicated flowability potential and dynamic density and were more sensitive to changes in the mixture and provided a more accurate and reproducible indication of flowability than traditional static measurements. Of the tested lubricants, magnesium stearate provided the best increase in flowability even in the low amounts commonly added in formulations.","container-title":"AAPS PharmSciTech","DOI":"10.1208/s12249-013-0007-5","ISSN":"1530-9932","issue":"3","journalAbbreviation":"AAPS PharmSciTech","page":"1158-1168","title":"The Effect of Lubricants on Powder Flowability for Pharmaceutical Application","URL":"https://doi.org/10.1208/s12249-013-0007-5","volume":"14","author":[{"family":"Morin","given":"Garett"},{"family":"Briens","given":"Lauren"}],"issued":{"date-parts":[["2013",9,1]]}}}],"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[58]</w:t>
      </w:r>
      <w:r w:rsidRPr="00555DE1">
        <w:rPr>
          <w:rFonts w:ascii="Arial" w:hAnsi="Arial" w:cs="Arial"/>
          <w:sz w:val="22"/>
          <w:szCs w:val="22"/>
        </w:rPr>
        <w:fldChar w:fldCharType="end"/>
      </w:r>
      <w:r w:rsidRPr="00555DE1">
        <w:rPr>
          <w:rFonts w:ascii="Arial" w:hAnsi="Arial" w:cs="Arial"/>
          <w:sz w:val="22"/>
          <w:szCs w:val="22"/>
        </w:rPr>
        <w:t xml:space="preserve">. This retarding effect significantly affects the dissolution rate of solid dosage forms. The amount and application method are critical to their effectiveness.  </w:t>
      </w:r>
    </w:p>
    <w:p w14:paraId="20A1B7DC" w14:textId="6D3F0699" w:rsidR="002A4071" w:rsidRPr="00555DE1" w:rsidRDefault="002A4071" w:rsidP="002A4071">
      <w:pPr>
        <w:pStyle w:val="Body"/>
        <w:rPr>
          <w:rFonts w:ascii="Arial" w:hAnsi="Arial" w:cs="Arial"/>
          <w:sz w:val="22"/>
          <w:szCs w:val="22"/>
        </w:rPr>
      </w:pPr>
      <w:r w:rsidRPr="00555DE1">
        <w:rPr>
          <w:rFonts w:ascii="Arial" w:hAnsi="Arial" w:cs="Arial"/>
          <w:sz w:val="22"/>
          <w:szCs w:val="22"/>
        </w:rPr>
        <w:t>In the case of modified-release drug products, specific excipients are carefully selected to control both the rate and extent of drug release from the formulation matrix, targeting delivery to specific sites within the gastrointestinal tract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{"citationID":"COqnsKgM","properties":{"formattedCitation":"[59]","plainCitation":"[59]","noteIndex":0},"citationItems":[{"id":1228,"uris":["http://zotero.org/users/16905564/items/Y9TV6M4V"],"itemData":{"id":1228,"type":"article-journal","container-title":"The AAPS journal","ISSN":"1550-7416","issue":"6","journalAbbreviation":"The AAPS journal","page":"1406-1417","publisher":"Springer","title":"Scientific and regulatory considerations in solid oral modified release drug product development","volume":"18","author":[{"family":"Li","given":"Min"},{"family":"Sander","given":"Sanna"},{"family":"Duan","given":"John"},{"family":"Rosencrance","given":"Susan"},{"family":"Miksinski","given":"Sarah Pope"},{"family":"Yu","given":"Lawrence"},{"family":"Seo","given":"Paul"},{"family":"Rege","given":"Bhagwant"}],"issued":{"date-parts":[["2016"]]}}}],"schema":"https://github.com/citation-style-language/schema/raw/master/csl-citation.json"}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[59]</w:t>
      </w:r>
      <w:r w:rsidRPr="00555DE1">
        <w:rPr>
          <w:rFonts w:ascii="Arial" w:hAnsi="Arial" w:cs="Arial"/>
          <w:sz w:val="22"/>
          <w:szCs w:val="22"/>
        </w:rPr>
        <w:fldChar w:fldCharType="end"/>
      </w:r>
      <w:r w:rsidRPr="00555DE1">
        <w:rPr>
          <w:rFonts w:ascii="Arial" w:hAnsi="Arial" w:cs="Arial"/>
          <w:sz w:val="22"/>
          <w:szCs w:val="22"/>
        </w:rPr>
        <w:t>. For example, in matrix-based formulations, the active ingredient is incorporated into a polymer matrix that controls drug release via mechanisms like swelling, diffusion, erosion, or their combination</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{"citationID":"ApxcyVxv","properties":{"formattedCitation":"[60], [61], [62], [63]","plainCitation":"[60], [61], [62], [63]","noteIndex":0},"citationItems":[{"id":1229,"uris":["http://zotero.org/users/16905564/items/5JMBKM2P"],"itemData":{"id":1229,"type":"article-journal","container-title":"American Journal of drug delivery","ISSN":"1175-9038","issue":"1","journalAbbreviation":"American Journal of drug delivery","page":"43-57","publisher":"Springer","title":"Factors affecting mechanism and kinetics of drug release from matrix-based oral controlled drug delivery systems","volume":"2","author":[{"family":"Varma","given":"Manthena VS"},{"family":"Kaushal","given":"Aditya M"},{"family":"Garg","given":"Alka"},{"family":"Garg","given":"Sanjay"}],"issued":{"date-parts":[["2004"]]}}},{"id":1230,"uris":["http://zotero.org/users/16905564/items/SGB79HTU"],"itemData":{"id":1230,"type":"chapter","container-title":"Innovative Pharmaceutical Excipients: Natural Sources","page":"249-298","publisher":"Springer","title":"Applications of natural polymers in controlled-release systems","author":[{"family":"Patne","given":"Akshata Yashwant"},{"family":"Akramuddaula","given":"Kazi"},{"family":"Patel","given":"Divyang"},{"family":"Suryawanshi","given":"Meghraj"},{"family":"Vinchurkar","given":"Kuldeep"}],"issued":{"date-parts":[["2025"]]}}},{"id":1231,"uris":["http://zotero.org/users/16905564/items/QZBCJE2M"],"itemData":{"id":1231,"type":"article-journal","container-title":"Pharmaceutical science &amp; technology today","ISSN":"1461-5347","issue":"6","journalAbbreviation":"Pharmaceutical science &amp; technology today","page":"198-204","publisher":"Elsevier","title":"Swellable matrices for controlled drug delivery: gel-layer behaviour, mechanisms and optimal performance","volume":"3","author":[{"family":"Colombo","given":"Paolo"},{"family":"Bettini","given":"Ruggero"},{"family":"Santi","given":"Patrizia"},{"family":"Peppas","given":"Nikolaos A"}],"issued":{"date-parts":[["2000"]]}}},{"id":1232,"uris":["http://zotero.org/users/16905564/items/3IK82BZZ"],"itemData":{"id":1232,"type":"article-journal","container-title":"Design of controlled release drug delivery systems","journalAbbreviation":"Design of controlled release drug delivery systems","page":"107-137","publisher":"McGraw-Hill: New York","title":"Diffusion-controlled drug delivery systems","author":[{"family":"Liu","given":"Puchun"},{"family":"Ju","given":"T"},{"family":"Qiu","given":"Y"}],"issued":{"date-parts":[["2006"]]}}}],"schema":"https://github.com/citation-style-language/schema/raw/master/csl-citation.json"}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[60], [61], [62], [63]</w:t>
      </w:r>
      <w:r w:rsidRPr="00555DE1">
        <w:rPr>
          <w:rFonts w:ascii="Arial" w:hAnsi="Arial" w:cs="Arial"/>
          <w:sz w:val="22"/>
          <w:szCs w:val="22"/>
        </w:rPr>
        <w:fldChar w:fldCharType="end"/>
      </w:r>
      <w:r w:rsidRPr="00555DE1">
        <w:rPr>
          <w:rFonts w:ascii="Arial" w:hAnsi="Arial" w:cs="Arial"/>
          <w:sz w:val="22"/>
          <w:szCs w:val="22"/>
        </w:rPr>
        <w:t>.</w:t>
      </w:r>
    </w:p>
    <w:p w14:paraId="50848D91" w14:textId="09903BBA" w:rsidR="002A4071" w:rsidRDefault="002A4071" w:rsidP="002A4071">
      <w:pPr>
        <w:pStyle w:val="Body"/>
        <w:rPr>
          <w:rFonts w:ascii="Arial" w:hAnsi="Arial" w:cs="Arial"/>
          <w:sz w:val="22"/>
          <w:szCs w:val="22"/>
        </w:rPr>
      </w:pPr>
      <w:r w:rsidRPr="00555DE1">
        <w:rPr>
          <w:rFonts w:ascii="Arial" w:hAnsi="Arial" w:cs="Arial"/>
          <w:sz w:val="22"/>
          <w:szCs w:val="22"/>
        </w:rPr>
        <w:t xml:space="preserve"> When designing these complex formulations, it is essential to account for the properties of release-modifying excipients, the physicochemical characteristics of the </w:t>
      </w:r>
      <w:r w:rsidRPr="00555DE1">
        <w:rPr>
          <w:rFonts w:ascii="Arial" w:hAnsi="Arial" w:cs="Arial"/>
          <w:sz w:val="22"/>
          <w:szCs w:val="22"/>
        </w:rPr>
        <w:lastRenderedPageBreak/>
        <w:t>API, interactions between the API and excipients, the selected release mechanism, and the target release profile.</w:t>
      </w:r>
    </w:p>
    <w:p w14:paraId="7473D3E7" w14:textId="77777777" w:rsidR="00D03F59" w:rsidRDefault="00D03F59" w:rsidP="002A4071">
      <w:pPr>
        <w:pStyle w:val="Body"/>
        <w:rPr>
          <w:rFonts w:ascii="Arial" w:hAnsi="Arial" w:cs="Arial"/>
          <w:sz w:val="22"/>
          <w:szCs w:val="22"/>
        </w:rPr>
      </w:pPr>
    </w:p>
    <w:p w14:paraId="6930C31C" w14:textId="77777777" w:rsidR="00D03F59" w:rsidRPr="00555DE1" w:rsidRDefault="00D03F59" w:rsidP="002A4071">
      <w:pPr>
        <w:pStyle w:val="Body"/>
        <w:rPr>
          <w:rFonts w:ascii="Arial" w:hAnsi="Arial" w:cs="Arial"/>
          <w:sz w:val="22"/>
          <w:szCs w:val="22"/>
        </w:rPr>
      </w:pPr>
    </w:p>
    <w:p w14:paraId="0837DE01" w14:textId="77777777" w:rsidR="002A4071" w:rsidRPr="00555DE1" w:rsidRDefault="002A4071" w:rsidP="00752610">
      <w:pPr>
        <w:pStyle w:val="Body"/>
        <w:numPr>
          <w:ilvl w:val="1"/>
          <w:numId w:val="4"/>
        </w:numPr>
        <w:spacing w:after="0"/>
        <w:rPr>
          <w:rFonts w:ascii="Arial" w:hAnsi="Arial" w:cs="Arial"/>
          <w:b/>
          <w:sz w:val="22"/>
          <w:szCs w:val="22"/>
        </w:rPr>
      </w:pPr>
      <w:r w:rsidRPr="00555DE1">
        <w:rPr>
          <w:rFonts w:ascii="Arial" w:hAnsi="Arial" w:cs="Arial"/>
          <w:b/>
          <w:sz w:val="22"/>
          <w:szCs w:val="22"/>
        </w:rPr>
        <w:t>Processing Factors</w:t>
      </w:r>
    </w:p>
    <w:p w14:paraId="624C762C" w14:textId="0FA23E7C" w:rsidR="002A4071" w:rsidRPr="00555DE1" w:rsidRDefault="002A4071" w:rsidP="002A4071">
      <w:pPr>
        <w:pStyle w:val="Body"/>
        <w:rPr>
          <w:rFonts w:ascii="Arial" w:hAnsi="Arial" w:cs="Arial"/>
          <w:sz w:val="22"/>
          <w:szCs w:val="22"/>
        </w:rPr>
      </w:pPr>
      <w:r w:rsidRPr="00555DE1">
        <w:rPr>
          <w:rFonts w:ascii="Arial" w:hAnsi="Arial" w:cs="Arial"/>
          <w:sz w:val="22"/>
          <w:szCs w:val="22"/>
        </w:rPr>
        <w:t>Granulation enlarges particles</w:t>
      </w:r>
      <w:r w:rsidR="00E05720" w:rsidRPr="00555DE1">
        <w:rPr>
          <w:rFonts w:ascii="Arial" w:hAnsi="Arial" w:cs="Arial"/>
          <w:sz w:val="22"/>
          <w:szCs w:val="22"/>
        </w:rPr>
        <w:t>, turning</w:t>
      </w:r>
      <w:r w:rsidRPr="00555DE1">
        <w:rPr>
          <w:rFonts w:ascii="Arial" w:hAnsi="Arial" w:cs="Arial"/>
          <w:sz w:val="22"/>
          <w:szCs w:val="22"/>
        </w:rPr>
        <w:t xml:space="preserve"> fine powders into granules, improving flow and reducing dusting, which helps with compression. It is also commonly known to increase the dissolution rates of drugs that are poorly soluble</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{"citationID":"9fD0HKGh","properties":{"formattedCitation":"[64]","plainCitation":"[64]","noteIndex":0},"citationItems":[{"id":1237,"uris":["http://zotero.org/users/16905564/items/BH3TJVA3"],"itemData":{"id":1237,"type":"article-journal","container-title":"International Journal of Health Research","ISSN":"1596-9819","issue":"2","journalAbbreviation":"International Journal of Health Research","title":"Dissolution enhancement of drugs. Part I: technologies and effect of carriers","volume":"2","author":[{"family":"Saharan","given":"V"},{"family":"Kukkar","given":"Vipin"},{"family":"Kataria","given":"Mahesh"},{"family":"Gera","given":"Manoj"},{"family":"Choudhury","given":"Pratim K"}],"issued":{"date-parts":[["2009"]]}}}],"schema":"https://github.com/citation-style-language/schema/raw/master/csl-citation.json"}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[64]</w:t>
      </w:r>
      <w:r w:rsidRPr="00555DE1">
        <w:rPr>
          <w:rFonts w:ascii="Arial" w:hAnsi="Arial" w:cs="Arial"/>
          <w:sz w:val="22"/>
          <w:szCs w:val="22"/>
        </w:rPr>
        <w:fldChar w:fldCharType="end"/>
      </w:r>
      <w:r w:rsidRPr="00555DE1">
        <w:rPr>
          <w:rFonts w:ascii="Arial" w:hAnsi="Arial" w:cs="Arial"/>
          <w:sz w:val="22"/>
          <w:szCs w:val="22"/>
        </w:rPr>
        <w:t>. Wet granulation is generally considered the preferred method. However, sodium salicylate tablets prepared by both wet granulation and direct compression show an exception, since the direct compression method results in a more complete and quicker dissolution</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{"citationID":"mLDJgK72","properties":{"formattedCitation":"[65]","plainCitation":"[65]","noteIndex":0},"citationItems":[{"id":1233,"uris":["http://zotero.org/users/16905564/items/P5K47L6U"],"itemData":{"id":1233,"type":"article-journal","container-title":"Journal of pharmaceutical sciences","ISSN":"0022-3549","issue":"4","journalAbbreviation":"Journal of pharmaceutical sciences","page":"498-504","publisher":"Wiley Online Library","title":"Dissolution of sodium salicylate from tablet matrices prepared by wet granulation and direct compression","volume":"56","author":[{"family":"Marlowe","given":"Edward"},{"family":"Shangraw","given":"Ralph F"}],"issued":{"date-parts":[["1967"]]}}}],"schema":"https://github.com/citation-style-language/schema/raw/master/csl-citation.json"}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[65]</w:t>
      </w:r>
      <w:r w:rsidRPr="00555DE1">
        <w:rPr>
          <w:rFonts w:ascii="Arial" w:hAnsi="Arial" w:cs="Arial"/>
          <w:sz w:val="22"/>
          <w:szCs w:val="22"/>
        </w:rPr>
        <w:fldChar w:fldCharType="end"/>
      </w:r>
      <w:r w:rsidRPr="00555DE1">
        <w:rPr>
          <w:rFonts w:ascii="Arial" w:hAnsi="Arial" w:cs="Arial"/>
          <w:sz w:val="22"/>
          <w:szCs w:val="22"/>
        </w:rPr>
        <w:t xml:space="preserve">. </w:t>
      </w:r>
    </w:p>
    <w:p w14:paraId="01344BCB" w14:textId="47204969" w:rsidR="002A4071" w:rsidRPr="00555DE1" w:rsidRDefault="002A4071" w:rsidP="002A4071">
      <w:pPr>
        <w:pStyle w:val="Body"/>
        <w:rPr>
          <w:rFonts w:ascii="Arial" w:hAnsi="Arial" w:cs="Arial"/>
          <w:sz w:val="22"/>
          <w:szCs w:val="22"/>
        </w:rPr>
      </w:pPr>
      <w:r w:rsidRPr="00555DE1">
        <w:rPr>
          <w:rFonts w:ascii="Arial" w:hAnsi="Arial" w:cs="Arial"/>
          <w:sz w:val="22"/>
          <w:szCs w:val="22"/>
        </w:rPr>
        <w:t>The tablet compression process significantly influences several characteristics, such as density, porosity, hardness, disintegration time, and ultimately, the dissolution of the tablet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{"citationID":"KE24zWTU","properties":{"formattedCitation":"[66]","plainCitation":"[66]","noteIndex":0},"citationItems":[{"id":1234,"uris":["http://zotero.org/users/16905564/items/QWFRB52X"],"itemData":{"id":1234,"type":"article-journal","container-title":"Polim. Med","issue":"1","journalAbbreviation":"Polim. Med","page":"27-33","title":"Relationship between compression pressure, mechanical strength and release properties of tablets","volume":"49","author":[{"family":"Adeleye","given":"Olutayo Ademola"}],"issued":{"date-parts":[["2019"]]}}}],"schema":"https://github.com/citation-style-language/schema/raw/master/csl-citation.json"}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[66]</w:t>
      </w:r>
      <w:r w:rsidRPr="00555DE1">
        <w:rPr>
          <w:rFonts w:ascii="Arial" w:hAnsi="Arial" w:cs="Arial"/>
          <w:sz w:val="22"/>
          <w:szCs w:val="22"/>
        </w:rPr>
        <w:fldChar w:fldCharType="end"/>
      </w:r>
      <w:r w:rsidRPr="00555DE1">
        <w:rPr>
          <w:rFonts w:ascii="Arial" w:hAnsi="Arial" w:cs="Arial"/>
          <w:sz w:val="22"/>
          <w:szCs w:val="22"/>
        </w:rPr>
        <w:t>.</w:t>
      </w:r>
      <w:r w:rsidR="00156F03" w:rsidRPr="00555DE1">
        <w:rPr>
          <w:rFonts w:ascii="Arial" w:hAnsi="Arial" w:cs="Arial"/>
          <w:sz w:val="22"/>
          <w:szCs w:val="22"/>
        </w:rPr>
        <w:t xml:space="preserve"> </w:t>
      </w:r>
      <w:r w:rsidRPr="00555DE1">
        <w:rPr>
          <w:rFonts w:ascii="Arial" w:hAnsi="Arial" w:cs="Arial"/>
          <w:sz w:val="22"/>
          <w:szCs w:val="22"/>
        </w:rPr>
        <w:t>In the initial scenario, using increased compression forces leads to higher tablet density and hardness, while decreasing porosity</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{"citationID":"jeXS4uPj","properties":{"formattedCitation":"[67], [68]","plainCitation":"[67], [68]","noteIndex":0},"citationItems":[{"id":1243,"uris":["http://zotero.org/users/16905564/items/6PHR99QD"],"itemData":{"id":1243,"type":"article-journal","container-title":"International journal of pharmaceutics","ISSN":"0378-5173","issue":"1-2","journalAbbreviation":"International journal of pharmaceutics","page":"95-106","publisher":"Elsevier","title":"Tablet strength, porosity, elasticity and solid state structure of tablets compressed at high loads","volume":"132","author":[{"family":"Adolfsson","given":"Åsa"},{"family":"Nyström","given":"Christer"}],"issued":{"date-parts":[["1996"]]}}},{"id":1244,"uris":["http://zotero.org/users/16905564/items/7TJVI78T"],"itemData":{"id":1244,"type":"article-journal","container-title":"International journal of pharmaceutics","ISSN":"0378-5173","issue":"1-2","journalAbbreviation":"International journal of pharmaceutics","page":"18-25","publisher":"Elsevier","title":"Application of face centred central composite design to optimise compression force and tablet diameter for the formulation of mechanically strong and fast disintegrating orodispersible tablets","volume":"430","author":[{"family":"Pabari","given":"Ritesh M"},{"family":"Ramtoola","given":"Zebunnissa"}],"issued":{"date-parts":[["2012"]]}}}],"schema":"https://github.com/citation-style-language/schema/raw/master/csl-citation.json"}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[67], [68]</w:t>
      </w:r>
      <w:r w:rsidRPr="00555DE1">
        <w:rPr>
          <w:rFonts w:ascii="Arial" w:hAnsi="Arial" w:cs="Arial"/>
          <w:sz w:val="22"/>
          <w:szCs w:val="22"/>
        </w:rPr>
        <w:fldChar w:fldCharType="end"/>
      </w:r>
      <w:r w:rsidRPr="00555DE1">
        <w:rPr>
          <w:rFonts w:ascii="Arial" w:hAnsi="Arial" w:cs="Arial"/>
          <w:sz w:val="22"/>
          <w:szCs w:val="22"/>
        </w:rPr>
        <w:t>. This change limits solvent permeability through the tablet, as the lubricant forms a more effective sealing layer. Typically, this also promotes stronger particle bonding, thereby decreasing the tablet's dissolution rate.</w:t>
      </w:r>
    </w:p>
    <w:p w14:paraId="5F8BA7A0" w14:textId="1BAA024B" w:rsidR="002A4071" w:rsidRPr="00555DE1" w:rsidRDefault="002A4071" w:rsidP="002A4071">
      <w:pPr>
        <w:pStyle w:val="Body"/>
        <w:rPr>
          <w:rFonts w:ascii="Arial" w:hAnsi="Arial" w:cs="Arial"/>
          <w:sz w:val="22"/>
          <w:szCs w:val="22"/>
        </w:rPr>
      </w:pPr>
      <w:r w:rsidRPr="00555DE1">
        <w:rPr>
          <w:rFonts w:ascii="Arial" w:hAnsi="Arial" w:cs="Arial"/>
          <w:sz w:val="22"/>
          <w:szCs w:val="22"/>
        </w:rPr>
        <w:t>In the second scenario, heightened compression forces may lead to the deformation, fragmentation, or breakage of drug particles into smaller pieces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{"citationID":"RhqS0R7e","properties":{"formattedCitation":"[69], [70]","plainCitation":"[69], [70]","noteIndex":0},"citationItems":[{"id":1245,"uris":["http://zotero.org/users/16905564/items/WRPIAAV9"],"itemData":{"id":1245,"type":"article-journal","container-title":"International journal of pharmaceutics","ISSN":"0378-5173","issue":"1-2","journalAbbreviation":"International journal of pharmaceutics","page":"253-261","publisher":"Elsevier","title":"Determining the compression behaviour of pharmaceutical powders from the force–distance compression profile","volume":"252","author":[{"family":"Antikainen","given":"Osmo"},{"family":"Yliruusi","given":"Jouko"}],"issued":{"date-parts":[["2003"]]}}},{"id":1248,"uris":["http://zotero.org/users/16905564/items/M9UHKKH4"],"itemData":{"id":1248,"type":"article-journal","container-title":"Pharmaceutical research","ISSN":"0724-8741","issue":"1","journalAbbreviation":"Pharmaceutical research","page":"111-124","publisher":"Springer","title":"Effect of particle size and compression force on compaction behavior and derived mathematical parameters of compressibility","volume":"24","author":[{"family":"Patel","given":"Sarsvatkumar"},{"family":"Kaushal","given":"Aditya Mohan"},{"family":"Bansal","given":"Arvind Kumar"}],"issued":{"date-parts":[["2007"]]}}}],"schema":"https://github.com/citation-style-language/schema/raw/master/csl-citation.json"}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[69], [70]</w:t>
      </w:r>
      <w:r w:rsidRPr="00555DE1">
        <w:rPr>
          <w:rFonts w:ascii="Arial" w:hAnsi="Arial" w:cs="Arial"/>
          <w:sz w:val="22"/>
          <w:szCs w:val="22"/>
        </w:rPr>
        <w:fldChar w:fldCharType="end"/>
      </w:r>
      <w:r w:rsidRPr="00555DE1">
        <w:rPr>
          <w:rFonts w:ascii="Arial" w:hAnsi="Arial" w:cs="Arial"/>
          <w:sz w:val="22"/>
          <w:szCs w:val="22"/>
        </w:rPr>
        <w:t>, or convert spherical granules into disc-shaped particles. This significantly boosts the tablet's effective surface area, thereby improving its dissolution rate.</w:t>
      </w:r>
      <w:r w:rsidR="00D03F59">
        <w:rPr>
          <w:rFonts w:ascii="Arial" w:hAnsi="Arial" w:cs="Arial"/>
          <w:sz w:val="22"/>
          <w:szCs w:val="22"/>
        </w:rPr>
        <w:t xml:space="preserve"> </w:t>
      </w:r>
      <w:r w:rsidRPr="00555DE1">
        <w:rPr>
          <w:rFonts w:ascii="Arial" w:hAnsi="Arial" w:cs="Arial"/>
          <w:sz w:val="22"/>
          <w:szCs w:val="22"/>
        </w:rPr>
        <w:t xml:space="preserve">Interactions during unit operations such as mixing, milling, blending, drying, and granulating can influence </w:t>
      </w:r>
      <w:r w:rsidR="00E05720" w:rsidRPr="00555DE1">
        <w:rPr>
          <w:rFonts w:ascii="Arial" w:hAnsi="Arial" w:cs="Arial"/>
          <w:sz w:val="22"/>
          <w:szCs w:val="22"/>
        </w:rPr>
        <w:t>tablet dissolution rates</w:t>
      </w:r>
      <w:r w:rsidRPr="00555DE1">
        <w:rPr>
          <w:rFonts w:ascii="Arial" w:hAnsi="Arial" w:cs="Arial"/>
          <w:sz w:val="22"/>
          <w:szCs w:val="22"/>
        </w:rPr>
        <w:t>. For instance, the dissolution of certain drugs depends on how long they are mixed with Mg-stearate. Additionally, longer mixing times can improve the dissolution rate</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{"citationID":"K5w2vhQk","properties":{"formattedCitation":"[71]","plainCitation":"[71]","noteIndex":0},"citationItems":[{"id":1250,"uris":["http://zotero.org/users/16905564/items/5Y6ULKN9"],"itemData":{"id":1250,"type":"article-journal","container-title":"European journal of pharmaceutics and biopharmaceutics","ISSN":"0939-6411","issue":"1","journalAbbreviation":"European journal of pharmaceutics and biopharmaceutics","page":"1-15","publisher":"Elsevier","title":"Lubrication in tablet formulations","volume":"75","author":[{"family":"Wang","given":"Jennifer"},{"family":"Wen","given":"Hong"},{"family":"Desai","given":"Divyakant"}],"issued":{"date-parts":[["2010"]]}}}],"schema":"https://github.com/citation-style-language/schema/raw/master/csl-citation.json"}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[71]</w:t>
      </w:r>
      <w:r w:rsidRPr="00555DE1">
        <w:rPr>
          <w:rFonts w:ascii="Arial" w:hAnsi="Arial" w:cs="Arial"/>
          <w:sz w:val="22"/>
          <w:szCs w:val="22"/>
        </w:rPr>
        <w:fldChar w:fldCharType="end"/>
      </w:r>
      <w:r w:rsidRPr="00555DE1">
        <w:rPr>
          <w:rFonts w:ascii="Arial" w:hAnsi="Arial" w:cs="Arial"/>
          <w:sz w:val="22"/>
          <w:szCs w:val="22"/>
        </w:rPr>
        <w:t xml:space="preserve">. </w:t>
      </w:r>
    </w:p>
    <w:p w14:paraId="0BAA8796"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2.6 Factors Relating to Dissolution Apparatus</w:t>
      </w:r>
    </w:p>
    <w:p w14:paraId="28202C88"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2.6.1 Agitation</w:t>
      </w:r>
    </w:p>
    <w:p w14:paraId="7559293B" w14:textId="27B7BE89" w:rsidR="002A4071" w:rsidRPr="00555DE1" w:rsidRDefault="002A4071" w:rsidP="002A4071">
      <w:pPr>
        <w:pStyle w:val="Body"/>
        <w:rPr>
          <w:rFonts w:ascii="Arial" w:hAnsi="Arial" w:cs="Arial"/>
          <w:sz w:val="22"/>
          <w:szCs w:val="22"/>
        </w:rPr>
      </w:pPr>
      <w:r w:rsidRPr="00555DE1">
        <w:rPr>
          <w:rFonts w:ascii="Arial" w:hAnsi="Arial" w:cs="Arial"/>
          <w:sz w:val="22"/>
          <w:szCs w:val="22"/>
        </w:rPr>
        <w:t>An important factor in the dissolution apparatus is the agitation speed. This speed creates a flow that constantly changes the interface between the liquid and solid phases, influencing the dissolution process. The relationship between agitation level and dissolution rate varies significantly because of several factors. These include the type of agitation used, flow characteristics (laminar or turbulent), stirrer design and shape, and the physicochemical properties of the solid material</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{"citationID":"HbXTHYIv","properties":{"formattedCitation":"[72]","plainCitation":"[72]","noteIndex":0},"citationItems":[{"id":1259,"uris":["http://zotero.org/users/16905564/items/WMJ88YGD"],"itemData":{"id":1259,"type":"article-journal","container-title":"Journal of pharmaceutical sciences","ISSN":"0022-3549","issue":"11","journalAbbreviation":"Journal of pharmaceutical sciences","page":"1039-1046","publisher":"Elsevier","title":"Effect of certain tablet formulation factors on dissolution rate of the active ingredient I: importance of using appropriate agitation intensities for in vitro dissolution rate measurements to reflect in vivo conditions","volume":"52","author":[{"family":"Levy","given":"Gerhard"}],"issued":{"date-parts":[["1963"]]}}}],"schema":"https://github.com/citation-style-language/schema/raw/master/csl-citation.json"}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[72]</w:t>
      </w:r>
      <w:r w:rsidRPr="00555DE1">
        <w:rPr>
          <w:rFonts w:ascii="Arial" w:hAnsi="Arial" w:cs="Arial"/>
          <w:sz w:val="22"/>
          <w:szCs w:val="22"/>
        </w:rPr>
        <w:fldChar w:fldCharType="end"/>
      </w:r>
      <w:r w:rsidRPr="00555DE1">
        <w:rPr>
          <w:rFonts w:ascii="Arial" w:hAnsi="Arial" w:cs="Arial"/>
          <w:sz w:val="22"/>
          <w:szCs w:val="22"/>
        </w:rPr>
        <w:t>. To ensure reliable and consistent results, it is important to prevent turbulence and sustain a reproducible laminar flow during dissolution. This generally requires using low agitation speeds. For example, 100 rpm is recommended for the basket method, while the paddle method should operate at speeds between 50 and 75 rpm to attain the desired dissolution rate. Additionally, the effect of vibration on dissolution test outcomes should also be taken into account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{"citationID":"2dGrp2Cm","properties":{"formattedCitation":"[72], [73], [74], [75]","plainCitation":"[72], [73], [74], [75]","noteIndex":0},"citationItems":[{"id":1259,"uris":["http://zotero.org/users/16905564/items/WMJ88YGD"],"itemData":{"id":1259,"type":"article-journal","container-title":"Journal of pharmaceutical sciences","ISSN":"0022-3549","issue":"11","journalAbbreviation":"Journal of pharmaceutical sciences","page":"1039-1046","publisher":"Elsevier","title":"Effect of certain tablet formulation factors on dissolution rate of the active ingredient I: importance of using appropriate agitation intensities for in vitro dissolution rate measurements to reflect in vivo conditions","volume":"52","author":[{"family":"Levy","given":"Gerhard"}],"issued":{"date-parts":[["1963"]]}}},{"id":1261,"uris":["http://zotero.org/users/16905564/items/VIPQLY63"],"itemData":{"id":1261,"type":"article-journal","container-title":"International journal of pharmaceutics","ISSN":"0378-5173","issue":"1","journalAbbreviation":"International journal of pharmaceutics","page":"119-129","publisher":"Elsevier","title":"Collaborative study on the development of a standard for evaluation of vibration levels for dissolution apparatus","volume":"175","author":[{"family":"Kaniwa","given":"N"},{"family":"Katori","given":"N"},{"family":"Aoyagi","given":"N"},{"family":"Ishigame","given":"N"},{"family":"Seta","given":"Y"},{"family":"Shinba","given":"T"},{"family":"Fujiwara","given":"K"},{"family":"Nakai","given":"T"},{"family":"Oda","given":"Y"},{"family":"Kojima","given":"S"}],"issued":{"date-parts":[["1998"]]}}},{"id":1262,"uris":["http://zotero.org/users/16905564/items/U5V5P2EN"],"itemData":{"id":1262,"type":"article-journal","container-title":"Dissolution Technologies","ISSN":"1521-298X","issue":"1","journalAbbreviation":"Dissolution Technologies","page":"29","title":"Why is vibration an issue for dissolution testing?","volume":"15","author":[{"family":"Burmicz","given":"John"}],"issued":{"date-parts":[["2008"]]}}},{"id":1263,"uris":["http://zotero.org/users/16905564/items/Z2CXXN82"],"itemData":{"id":1263,"type":"article-journal","container-title":"Aaps Pharmscitech","ISSN":"1530-9932","issue":"4","journalAbbreviation":"Aaps Pharmscitech","page":"759-766","publisher":"Springer","title":"Impact of vibration and agitation speed on dissolution of USP prednisone tablets RS and various IR tablet formulations","volume":"16","author":[{"family":"Seeger","given":"Nicole"},{"family":"Lange","given":"Sigrid"},{"family":"Klein","given":"Sandra"}],"issued":{"date-parts":[["2015"]]}}}],"schema":"https://github.com/citation-style-language/schema/raw/master/csl-citation.json"}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[72], [73], [74], [75]</w:t>
      </w:r>
      <w:r w:rsidRPr="00555DE1">
        <w:rPr>
          <w:rFonts w:ascii="Arial" w:hAnsi="Arial" w:cs="Arial"/>
          <w:sz w:val="22"/>
          <w:szCs w:val="22"/>
        </w:rPr>
        <w:fldChar w:fldCharType="end"/>
      </w:r>
      <w:r w:rsidRPr="00555DE1">
        <w:rPr>
          <w:rFonts w:ascii="Arial" w:hAnsi="Arial" w:cs="Arial"/>
          <w:sz w:val="22"/>
          <w:szCs w:val="22"/>
        </w:rPr>
        <w:t>.</w:t>
      </w:r>
    </w:p>
    <w:p w14:paraId="3E869DCE" w14:textId="77777777" w:rsidR="00D03F59" w:rsidRDefault="002A4071" w:rsidP="002A4071">
      <w:pPr>
        <w:pStyle w:val="Body"/>
        <w:rPr>
          <w:rFonts w:ascii="Arial" w:hAnsi="Arial" w:cs="Arial"/>
          <w:sz w:val="22"/>
          <w:szCs w:val="22"/>
        </w:rPr>
      </w:pPr>
      <w:r w:rsidRPr="00555DE1">
        <w:rPr>
          <w:rFonts w:ascii="Arial" w:hAnsi="Arial" w:cs="Arial"/>
          <w:sz w:val="22"/>
          <w:szCs w:val="22"/>
        </w:rPr>
        <w:lastRenderedPageBreak/>
        <w:t>Vibration can add extra energy to a system, such as a dissolution bath, potentially influencing experimental results. As a result, the United States Pharmacopoeia (USP) stipulates that "No part of the assembly, including the environment in which the assembly is placed, contributes significant motion, agitation, or vibration beyond that due to the smoothly rotating stirring element”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{"citationID":"gHX6t7be","properties":{"formattedCitation":"[76]","plainCitation":"[76]","noteIndex":0},"citationItems":[{"id":1264,"uris":["http://zotero.org/users/16905564/items/E2AHL3NZ"],"itemData":{"id":1264,"type":"chapter","container-title":"United States Pharmacopeial Convention","edition":"Eighth Supplement","title":"USP 23/NF","original-date":{"literal":"18Rockville, MD"}}}],"schema":"https://github.com/citation-style-language/schema/raw/master/csl-citation.json"}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[76]</w:t>
      </w:r>
      <w:r w:rsidRPr="00555DE1">
        <w:rPr>
          <w:rFonts w:ascii="Arial" w:hAnsi="Arial" w:cs="Arial"/>
          <w:sz w:val="22"/>
          <w:szCs w:val="22"/>
        </w:rPr>
        <w:fldChar w:fldCharType="end"/>
      </w:r>
      <w:r w:rsidRPr="00555DE1">
        <w:rPr>
          <w:rFonts w:ascii="Arial" w:hAnsi="Arial" w:cs="Arial"/>
          <w:sz w:val="22"/>
          <w:szCs w:val="22"/>
        </w:rPr>
        <w:t xml:space="preserve">. </w:t>
      </w:r>
    </w:p>
    <w:p w14:paraId="3C3C16DC" w14:textId="4D60BD54"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Therefore, </w:t>
      </w:r>
      <w:r w:rsidR="005E6243" w:rsidRPr="00555DE1">
        <w:rPr>
          <w:rFonts w:ascii="Arial" w:hAnsi="Arial" w:cs="Arial"/>
          <w:sz w:val="22"/>
          <w:szCs w:val="22"/>
        </w:rPr>
        <w:t>the environment around the dissolution apparatus must be</w:t>
      </w:r>
      <w:r w:rsidRPr="00555DE1">
        <w:rPr>
          <w:rFonts w:ascii="Arial" w:hAnsi="Arial" w:cs="Arial"/>
          <w:sz w:val="22"/>
          <w:szCs w:val="22"/>
        </w:rPr>
        <w:t xml:space="preserve"> designed to avoid significant vibrations during equipment calibration and routine dissolution testing.</w:t>
      </w:r>
    </w:p>
    <w:p w14:paraId="6845D1DB"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 xml:space="preserve">2.6.2 </w:t>
      </w:r>
      <w:r w:rsidRPr="00555DE1">
        <w:rPr>
          <w:rFonts w:ascii="Arial" w:hAnsi="Arial" w:cs="Arial"/>
          <w:b/>
          <w:bCs/>
          <w:sz w:val="22"/>
          <w:szCs w:val="22"/>
        </w:rPr>
        <w:t>Sampling Probe Position and Filter</w:t>
      </w:r>
    </w:p>
    <w:p w14:paraId="5990B9E4" w14:textId="134CF298" w:rsidR="002A4071" w:rsidRPr="00555DE1" w:rsidRDefault="002A4071" w:rsidP="002A4071">
      <w:pPr>
        <w:pStyle w:val="Body"/>
        <w:rPr>
          <w:rFonts w:ascii="Arial" w:hAnsi="Arial" w:cs="Arial"/>
          <w:sz w:val="22"/>
          <w:szCs w:val="22"/>
        </w:rPr>
      </w:pPr>
      <w:bookmarkStart w:id="1" w:name="page8"/>
      <w:bookmarkEnd w:id="1"/>
      <w:r w:rsidRPr="00555DE1">
        <w:rPr>
          <w:rFonts w:ascii="Arial" w:hAnsi="Arial" w:cs="Arial"/>
          <w:sz w:val="22"/>
          <w:szCs w:val="22"/>
        </w:rPr>
        <w:t xml:space="preserve">Almost all dissolution tests depend on sampled data for their results, making it essential to </w:t>
      </w:r>
      <w:proofErr w:type="spellStart"/>
      <w:r w:rsidRPr="00555DE1">
        <w:rPr>
          <w:rFonts w:ascii="Arial" w:hAnsi="Arial" w:cs="Arial"/>
          <w:sz w:val="22"/>
          <w:szCs w:val="22"/>
        </w:rPr>
        <w:t>minimise</w:t>
      </w:r>
      <w:proofErr w:type="spellEnd"/>
      <w:r w:rsidRPr="00555DE1">
        <w:rPr>
          <w:rFonts w:ascii="Arial" w:hAnsi="Arial" w:cs="Arial"/>
          <w:sz w:val="22"/>
          <w:szCs w:val="22"/>
        </w:rPr>
        <w:t xml:space="preserve"> any factors that could compromise sample accuracy. Sampling errors frequently occur and often result in incorrect outcomes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{"citationID":"w8IALEVO","properties":{"formattedCitation":"[77]","plainCitation":"[77]","noteIndex":0},"citationItems":[{"id":1265,"uris":["http://zotero.org/users/16905564/items/KTKESMUK"],"itemData":{"id":1265,"type":"article-journal","container-title":"Dissolution technologies","ISSN":"1521-298X","issue":"4","journalAbbreviation":"Dissolution technologies","page":"190-203","publisher":"DISSOLUTION TECHNOLOGIES, INC 9 YORKRIDGE TRAIL, HOCKESSIN, DE 19707-9633 USA","title":"Dissolution method troubleshooting: an industry perspective","volume":"29","author":[{"family":"Mann","given":"James"},{"family":"Hermans","given":"Andre"},{"family":"Contrella","given":"Nathan"},{"family":"Nickerson","given":"Beverly"},{"family":"Coutant","given":"Carrie A"},{"family":"Jede","given":"Christian"},{"family":"Kao","given":"Shangming"},{"family":"Kou","given":"Dawen"},{"family":"Scheubel","given":"Emmanuel"},{"family":"Winge","given":"Fredrik"}],"issued":{"date-parts":[["2022"]]}}}],"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[77]</w:t>
      </w:r>
      <w:r w:rsidRPr="00555DE1">
        <w:rPr>
          <w:rFonts w:ascii="Arial" w:hAnsi="Arial" w:cs="Arial"/>
          <w:sz w:val="22"/>
          <w:szCs w:val="22"/>
        </w:rPr>
        <w:fldChar w:fldCharType="end"/>
      </w:r>
      <w:r w:rsidRPr="00555DE1">
        <w:rPr>
          <w:rFonts w:ascii="Arial" w:hAnsi="Arial" w:cs="Arial"/>
          <w:sz w:val="22"/>
          <w:szCs w:val="22"/>
        </w:rPr>
        <w:t>. Selecting the right sampling position is vital and depends on the type of sampling probe used.</w:t>
      </w:r>
    </w:p>
    <w:p w14:paraId="203838EC" w14:textId="20C62668" w:rsidR="002A4071" w:rsidRPr="00555DE1" w:rsidRDefault="002A4071" w:rsidP="002A4071">
      <w:pPr>
        <w:pStyle w:val="Body"/>
        <w:rPr>
          <w:rFonts w:ascii="Arial" w:hAnsi="Arial" w:cs="Arial"/>
          <w:sz w:val="22"/>
          <w:szCs w:val="22"/>
        </w:rPr>
      </w:pPr>
      <w:r w:rsidRPr="00555DE1">
        <w:rPr>
          <w:rFonts w:ascii="Arial" w:hAnsi="Arial" w:cs="Arial"/>
          <w:sz w:val="22"/>
          <w:szCs w:val="22"/>
        </w:rPr>
        <w:t>In tests that use baskets, the sampling location plays a particularly important role, as a concentration gradient typically exists between the bottom of the vessel and the stirring element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{"citationID":"AhmB6QhT","properties":{"formattedCitation":"[78]","plainCitation":"[78]","noteIndex":0},"citationItems":[{"id":1266,"uris":["http://zotero.org/users/16905564/items/AG32AJFE"],"itemData":{"id":1266,"type":"article-journal","publisher":"Creators","title":"Back to Basics: Dissolution Testing 2: The Rotating Basket Method (Apparatus 1)","URL":"https://www.agilent.com/Library/articlereprints/Public/Back_to_Basics2.pdf?srsltid=AfmBOoqSV8YuJtQoc-vSlJeAHaGAbHCM65gYBHQOOiurLWVUsE9CfimY","author":[{"family":"G. Bryan Crist and R. B. Walker","given":""}]}}],"schema":"https://github.com/citation-style-language/schema/raw/master/csl-citation.json"}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[78]</w:t>
      </w:r>
      <w:r w:rsidRPr="00555DE1">
        <w:rPr>
          <w:rFonts w:ascii="Arial" w:hAnsi="Arial" w:cs="Arial"/>
          <w:sz w:val="22"/>
          <w:szCs w:val="22"/>
        </w:rPr>
        <w:fldChar w:fldCharType="end"/>
      </w:r>
      <w:r w:rsidRPr="00555DE1">
        <w:rPr>
          <w:rFonts w:ascii="Arial" w:hAnsi="Arial" w:cs="Arial"/>
          <w:sz w:val="22"/>
          <w:szCs w:val="22"/>
        </w:rPr>
        <w:t xml:space="preserve">. Conversely, in tests </w:t>
      </w:r>
      <w:r w:rsidR="00E05720" w:rsidRPr="00555DE1">
        <w:rPr>
          <w:rFonts w:ascii="Arial" w:hAnsi="Arial" w:cs="Arial"/>
          <w:sz w:val="22"/>
          <w:szCs w:val="22"/>
        </w:rPr>
        <w:t>with paddles, the effect is less pronounced, as the additional agitation yields</w:t>
      </w:r>
      <w:r w:rsidRPr="00555DE1">
        <w:rPr>
          <w:rFonts w:ascii="Arial" w:hAnsi="Arial" w:cs="Arial"/>
          <w:sz w:val="22"/>
          <w:szCs w:val="22"/>
        </w:rPr>
        <w:t xml:space="preserve"> a more uniform flow profile.</w:t>
      </w:r>
    </w:p>
    <w:p w14:paraId="3361F03B" w14:textId="134C2306" w:rsidR="002A4071" w:rsidRPr="00555DE1" w:rsidRDefault="002A4071" w:rsidP="002A4071">
      <w:pPr>
        <w:pStyle w:val="Body"/>
        <w:rPr>
          <w:rFonts w:ascii="Arial" w:hAnsi="Arial" w:cs="Arial"/>
          <w:sz w:val="22"/>
          <w:szCs w:val="22"/>
        </w:rPr>
      </w:pPr>
      <w:r w:rsidRPr="00555DE1">
        <w:rPr>
          <w:rFonts w:ascii="Arial" w:hAnsi="Arial" w:cs="Arial"/>
          <w:sz w:val="22"/>
          <w:szCs w:val="22"/>
        </w:rPr>
        <w:t>Based on USP guidelines, the best sampling point is roughly midway between the basket or paddle and the dissolution medium, with at least 1 cm distance from the flask's wall. Particulate buildup on the surface during sampling can cause significant errors in the dissolution test. It's also important to ensure that the filter material is thoroughly saturated with the drug through repeated passes to prevent unnoticed drug losses during sampling.</w:t>
      </w:r>
    </w:p>
    <w:p w14:paraId="4F49D1E9" w14:textId="77777777" w:rsidR="002A4071" w:rsidRPr="00555DE1" w:rsidRDefault="002A4071" w:rsidP="00752610">
      <w:pPr>
        <w:pStyle w:val="Body"/>
        <w:numPr>
          <w:ilvl w:val="1"/>
          <w:numId w:val="5"/>
        </w:numPr>
        <w:spacing w:after="0"/>
        <w:rPr>
          <w:rFonts w:ascii="Arial" w:hAnsi="Arial" w:cs="Arial"/>
          <w:b/>
          <w:sz w:val="22"/>
          <w:szCs w:val="22"/>
        </w:rPr>
      </w:pPr>
      <w:r w:rsidRPr="00555DE1">
        <w:rPr>
          <w:rFonts w:ascii="Arial" w:hAnsi="Arial" w:cs="Arial"/>
          <w:b/>
          <w:sz w:val="22"/>
          <w:szCs w:val="22"/>
        </w:rPr>
        <w:t>Factors Relating to Dissolution Test Parameters</w:t>
      </w:r>
    </w:p>
    <w:p w14:paraId="5E06C69D" w14:textId="77777777" w:rsidR="002A4071" w:rsidRPr="00555DE1" w:rsidRDefault="002A4071" w:rsidP="00752610">
      <w:pPr>
        <w:pStyle w:val="Body"/>
        <w:numPr>
          <w:ilvl w:val="2"/>
          <w:numId w:val="5"/>
        </w:numPr>
        <w:spacing w:after="0"/>
        <w:rPr>
          <w:rFonts w:ascii="Arial" w:hAnsi="Arial" w:cs="Arial"/>
          <w:b/>
          <w:sz w:val="22"/>
          <w:szCs w:val="22"/>
        </w:rPr>
      </w:pPr>
      <w:r w:rsidRPr="00555DE1">
        <w:rPr>
          <w:rFonts w:ascii="Arial" w:hAnsi="Arial" w:cs="Arial"/>
          <w:b/>
          <w:sz w:val="22"/>
          <w:szCs w:val="22"/>
        </w:rPr>
        <w:t>Temperature</w:t>
      </w:r>
    </w:p>
    <w:p w14:paraId="442F6849" w14:textId="603496E7" w:rsidR="00156F03" w:rsidRPr="00555DE1" w:rsidRDefault="002A4071" w:rsidP="002A4071">
      <w:pPr>
        <w:pStyle w:val="Body"/>
        <w:rPr>
          <w:rFonts w:ascii="Arial" w:hAnsi="Arial" w:cs="Arial"/>
          <w:sz w:val="22"/>
          <w:szCs w:val="22"/>
        </w:rPr>
      </w:pPr>
      <w:r w:rsidRPr="00555DE1">
        <w:rPr>
          <w:rFonts w:ascii="Arial" w:hAnsi="Arial" w:cs="Arial"/>
          <w:sz w:val="22"/>
          <w:szCs w:val="22"/>
        </w:rPr>
        <w:t>The dissolution process is strongly influenced by temperature, making precise temperature control crucial during dissolution testing</w:t>
      </w:r>
      <w:r w:rsidR="00F51BA8"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{"citationID":"6P64IyAQ","properties":{"formattedCitation":"[79]","plainCitation":"[79]","noteIndex":0},"citationItems":[{"id":1295,"uris":["http://zotero.org/users/16905564/items/3EZX8GPN"],"itemData":{"id":1295,"type":"article-journal","container-title":"Dissolution Technologies","issue":"3","journalAbbreviation":"Dissolution Technologies","page":"24-32","title":"Dissolution testing for poorly soluble drugs: a continuing perspective","volume":"17","author":[{"family":"Gowthamarajan","given":"K"},{"family":"Singh","given":"Sachin Kumar"}],"issued":{"date-parts":[["2010"]]}}}],"schema":"https://github.com/citation-style-language/schema/raw/master/csl-citation.json"} </w:instrText>
      </w:r>
      <w:r w:rsidR="00F51BA8" w:rsidRPr="00555DE1">
        <w:rPr>
          <w:rFonts w:ascii="Arial" w:hAnsi="Arial" w:cs="Arial"/>
          <w:sz w:val="22"/>
          <w:szCs w:val="22"/>
        </w:rPr>
        <w:fldChar w:fldCharType="separate"/>
      </w:r>
      <w:r w:rsidR="00655B07" w:rsidRPr="00555DE1">
        <w:rPr>
          <w:rFonts w:ascii="Arial" w:hAnsi="Arial" w:cs="Arial"/>
          <w:sz w:val="22"/>
          <w:szCs w:val="22"/>
        </w:rPr>
        <w:t>[79]</w:t>
      </w:r>
      <w:r w:rsidR="00F51BA8" w:rsidRPr="00555DE1">
        <w:rPr>
          <w:rFonts w:ascii="Arial" w:hAnsi="Arial" w:cs="Arial"/>
          <w:sz w:val="22"/>
          <w:szCs w:val="22"/>
        </w:rPr>
        <w:fldChar w:fldCharType="end"/>
      </w:r>
      <w:r w:rsidRPr="00555DE1">
        <w:rPr>
          <w:rFonts w:ascii="Arial" w:hAnsi="Arial" w:cs="Arial"/>
          <w:sz w:val="22"/>
          <w:szCs w:val="22"/>
        </w:rPr>
        <w:t xml:space="preserve">. To assess the dissolution of oral dosage forms and suppositories, a stable temperature of </w:t>
      </w:r>
      <w:r w:rsidR="00E05720" w:rsidRPr="00555DE1">
        <w:rPr>
          <w:rFonts w:ascii="Arial" w:hAnsi="Arial" w:cs="Arial"/>
          <w:sz w:val="22"/>
          <w:szCs w:val="22"/>
        </w:rPr>
        <w:t xml:space="preserve">37 °C ± 0.5 °C </w:t>
      </w:r>
      <w:r w:rsidRPr="00555DE1">
        <w:rPr>
          <w:rFonts w:ascii="Arial" w:hAnsi="Arial" w:cs="Arial"/>
          <w:sz w:val="22"/>
          <w:szCs w:val="22"/>
        </w:rPr>
        <w:t xml:space="preserve">is usually maintained. Conversely, topical preparations </w:t>
      </w:r>
      <w:r w:rsidR="00E05720" w:rsidRPr="00555DE1">
        <w:rPr>
          <w:rFonts w:ascii="Arial" w:hAnsi="Arial" w:cs="Arial"/>
          <w:sz w:val="22"/>
          <w:szCs w:val="22"/>
        </w:rPr>
        <w:t>are typically</w:t>
      </w:r>
      <w:r w:rsidRPr="00555DE1">
        <w:rPr>
          <w:rFonts w:ascii="Arial" w:hAnsi="Arial" w:cs="Arial"/>
          <w:sz w:val="22"/>
          <w:szCs w:val="22"/>
        </w:rPr>
        <w:t xml:space="preserve"> tested at lower temperatures, such as </w:t>
      </w:r>
      <w:r w:rsidR="005E6243" w:rsidRPr="00555DE1">
        <w:rPr>
          <w:rFonts w:ascii="Arial" w:hAnsi="Arial" w:cs="Arial"/>
          <w:sz w:val="22"/>
          <w:szCs w:val="22"/>
        </w:rPr>
        <w:t>25 °C or 30 °C</w:t>
      </w:r>
      <w:r w:rsidRPr="00555DE1">
        <w:rPr>
          <w:rFonts w:ascii="Arial" w:hAnsi="Arial" w:cs="Arial"/>
          <w:sz w:val="22"/>
          <w:szCs w:val="22"/>
        </w:rPr>
        <w:t xml:space="preserve">. Increasing the temperature </w:t>
      </w:r>
      <w:r w:rsidR="00E05720" w:rsidRPr="00555DE1">
        <w:rPr>
          <w:rFonts w:ascii="Arial" w:hAnsi="Arial" w:cs="Arial"/>
          <w:sz w:val="22"/>
          <w:szCs w:val="22"/>
        </w:rPr>
        <w:t>increases the solubility of solids and produces a positive heat of solution, meaning</w:t>
      </w:r>
      <w:r w:rsidRPr="00555DE1">
        <w:rPr>
          <w:rFonts w:ascii="Arial" w:hAnsi="Arial" w:cs="Arial"/>
          <w:sz w:val="22"/>
          <w:szCs w:val="22"/>
        </w:rPr>
        <w:t xml:space="preserve"> energy is released during dissolution.</w:t>
      </w:r>
    </w:p>
    <w:p w14:paraId="44FE4F40" w14:textId="426BF9E4"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 A positive heat of solution indicates that the energy gained from forming solute-solvent bonds exceeds the energy required to break solute-solute bonds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{"citationID":"hv3PCAJH","properties":{"formattedCitation":"[80]","plainCitation":"[80]","noteIndex":0},"citationItems":[{"id":1268,"uris":["http://zotero.org/users/16905564/items/5YG3I442"],"itemData":{"id":1268,"type":"article-journal","container-title":"Journal of Thermal Analysis and Calorimetry","ISSN":"1388-6150","issue":"7","journalAbbreviation":"Journal of Thermal Analysis and Calorimetry","page":"5419-5432","publisher":"Springer","title":"Molar dissolution enthalpies of some sodium sulfonamides in water and normal saline solution at several temperatures","volume":"150","author":[{"family":"Rodríguez","given":"Gerson A"},{"family":"Martínez","given":"Fleming"},{"family":"Vargas","given":"Edgar F"}],"issued":{"date-parts":[["2025"]]}}}],"schema":"https://github.com/citation-style-language/schema/raw/master/csl-citation.json"}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[80]</w:t>
      </w:r>
      <w:r w:rsidRPr="00555DE1">
        <w:rPr>
          <w:rFonts w:ascii="Arial" w:hAnsi="Arial" w:cs="Arial"/>
          <w:sz w:val="22"/>
          <w:szCs w:val="22"/>
        </w:rPr>
        <w:fldChar w:fldCharType="end"/>
      </w:r>
      <w:r w:rsidRPr="00555DE1">
        <w:rPr>
          <w:rFonts w:ascii="Arial" w:hAnsi="Arial" w:cs="Arial"/>
          <w:sz w:val="22"/>
          <w:szCs w:val="22"/>
        </w:rPr>
        <w:t>. As a result, solid substances tend to dissolve more quickly when the system's temperature increases. Therefore, in vitro dissolution studies are commonly conducted at 37°C to replicate body temperature and in vivo dissolution conditions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{"citationID":"HldjNS4b","properties":{"formattedCitation":"[81]","plainCitation":"[81]","noteIndex":0},"citationItems":[{"id":1269,"uris":["http://zotero.org/users/16905564/items/3Q5ZAZ3B"],"itemData":{"id":1269,"type":"article-journal","container-title":"International Journal of Pharmaceutics","ISSN":"0378-5173","issue":"2","journalAbbreviation":"International Journal of Pharmaceutics","page":"131-143","publisher":"Elsevier","title":"Dissolution testing for sustained or controlled release oral dosage forms and correlation with in vivo data: challenges and opportunities","volume":"140","author":[{"family":"Zahirul","given":"M"},{"family":"Khan","given":"I"}],"issued":{"date-parts":[["1996"]]}}}],"schema":"https://github.com/citation-style-language/schema/raw/master/csl-citation.json"}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[81]</w:t>
      </w:r>
      <w:r w:rsidRPr="00555DE1">
        <w:rPr>
          <w:rFonts w:ascii="Arial" w:hAnsi="Arial" w:cs="Arial"/>
          <w:sz w:val="22"/>
          <w:szCs w:val="22"/>
        </w:rPr>
        <w:fldChar w:fldCharType="end"/>
      </w:r>
      <w:r w:rsidRPr="00555DE1">
        <w:rPr>
          <w:rFonts w:ascii="Arial" w:hAnsi="Arial" w:cs="Arial"/>
          <w:sz w:val="22"/>
          <w:szCs w:val="22"/>
        </w:rPr>
        <w:t>.</w:t>
      </w:r>
    </w:p>
    <w:p w14:paraId="6B331866" w14:textId="77777777" w:rsidR="002A4071" w:rsidRPr="00555DE1" w:rsidRDefault="002A4071" w:rsidP="00752610">
      <w:pPr>
        <w:pStyle w:val="Body"/>
        <w:numPr>
          <w:ilvl w:val="2"/>
          <w:numId w:val="5"/>
        </w:numPr>
        <w:spacing w:after="0"/>
        <w:rPr>
          <w:rFonts w:ascii="Arial" w:hAnsi="Arial" w:cs="Arial"/>
          <w:b/>
          <w:sz w:val="22"/>
          <w:szCs w:val="22"/>
        </w:rPr>
      </w:pPr>
      <w:r w:rsidRPr="00555DE1">
        <w:rPr>
          <w:rFonts w:ascii="Arial" w:hAnsi="Arial" w:cs="Arial"/>
          <w:b/>
          <w:sz w:val="22"/>
          <w:szCs w:val="22"/>
        </w:rPr>
        <w:t>Dissolution Medium</w:t>
      </w:r>
    </w:p>
    <w:p w14:paraId="223BEC34" w14:textId="004FDF5E" w:rsidR="002A4071" w:rsidRPr="00555DE1" w:rsidRDefault="005E6243" w:rsidP="002A4071">
      <w:pPr>
        <w:pStyle w:val="Body"/>
        <w:rPr>
          <w:rFonts w:ascii="Arial" w:hAnsi="Arial" w:cs="Arial"/>
          <w:sz w:val="22"/>
          <w:szCs w:val="22"/>
        </w:rPr>
      </w:pPr>
      <w:r w:rsidRPr="00555DE1">
        <w:rPr>
          <w:rFonts w:ascii="Arial" w:hAnsi="Arial" w:cs="Arial"/>
          <w:sz w:val="22"/>
          <w:szCs w:val="22"/>
        </w:rPr>
        <w:t>Several factors influence dissolution</w:t>
      </w:r>
      <w:r w:rsidR="002A4071" w:rsidRPr="00555DE1">
        <w:rPr>
          <w:rFonts w:ascii="Arial" w:hAnsi="Arial" w:cs="Arial"/>
          <w:sz w:val="22"/>
          <w:szCs w:val="22"/>
        </w:rPr>
        <w:t xml:space="preserve">. For drugs with low solubility, a greater amount of fluid is needed for full dissolution. To balance the concentration gradient and maintain sink conditions, the drug's concentration in the dissolution medium should </w:t>
      </w:r>
      <w:r w:rsidR="002A4071" w:rsidRPr="00555DE1">
        <w:rPr>
          <w:rFonts w:ascii="Arial" w:hAnsi="Arial" w:cs="Arial"/>
          <w:sz w:val="22"/>
          <w:szCs w:val="22"/>
        </w:rPr>
        <w:lastRenderedPageBreak/>
        <w:t xml:space="preserve">stay below 10% of its maximum solubility in that medium. Typically, about 1 </w:t>
      </w:r>
      <w:proofErr w:type="spellStart"/>
      <w:r w:rsidR="002A4071" w:rsidRPr="00555DE1">
        <w:rPr>
          <w:rFonts w:ascii="Arial" w:hAnsi="Arial" w:cs="Arial"/>
          <w:sz w:val="22"/>
          <w:szCs w:val="22"/>
        </w:rPr>
        <w:t>litre</w:t>
      </w:r>
      <w:proofErr w:type="spellEnd"/>
      <w:r w:rsidR="002A4071" w:rsidRPr="00555DE1">
        <w:rPr>
          <w:rFonts w:ascii="Arial" w:hAnsi="Arial" w:cs="Arial"/>
          <w:sz w:val="22"/>
          <w:szCs w:val="22"/>
        </w:rPr>
        <w:t xml:space="preserve"> suffices for most drugs to uphold sink conditions. However, certain insoluble drugs create challenges in handling the large volume of dissolution medium required to achieve these conditions</w:t>
      </w:r>
      <w:r w:rsidR="002A4071"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{"citationID":"vtQExgnF","properties":{"formattedCitation":"[82]","plainCitation":"[82]","noteIndex":0},"citationItems":[{"id":1270,"uris":["http://zotero.org/users/16905564/items/U6VXRMTT"],"itemData":{"id":1270,"type":"article-journal","container-title":"The AAPS Journal","ISSN":"1550-7416","issue":"1","journalAbbreviation":"The AAPS Journal","page":"11","publisher":"Springer","title":"Challenges and strategies for solubility measurements and dissolution method development for amorphous solid dispersion formulations","volume":"25","author":[{"family":"Hermans","given":"Andre"},{"family":"Milsmann","given":"Johanna"},{"family":"Li","given":"Hanlin"},{"family":"Jede","given":"Christian"},{"family":"Moir","given":"Andrea"},{"family":"Hens","given":"Bart"},{"family":"Morgado","given":"James"},{"family":"Wu","given":"Tian"},{"family":"Cohen","given":"Michael"}],"issued":{"date-parts":[["2022"]]}}}],"schema":"https://github.com/citation-style-language/schema/raw/master/csl-citation.json"} </w:instrText>
      </w:r>
      <w:r w:rsidR="002A4071" w:rsidRPr="00555DE1">
        <w:rPr>
          <w:rFonts w:ascii="Arial" w:hAnsi="Arial" w:cs="Arial"/>
          <w:sz w:val="22"/>
          <w:szCs w:val="22"/>
        </w:rPr>
        <w:fldChar w:fldCharType="separate"/>
      </w:r>
      <w:r w:rsidR="00655B07" w:rsidRPr="00555DE1">
        <w:rPr>
          <w:rFonts w:ascii="Arial" w:hAnsi="Arial" w:cs="Arial"/>
          <w:sz w:val="22"/>
          <w:szCs w:val="22"/>
        </w:rPr>
        <w:t>[82]</w:t>
      </w:r>
      <w:r w:rsidR="002A4071" w:rsidRPr="00555DE1">
        <w:rPr>
          <w:rFonts w:ascii="Arial" w:hAnsi="Arial" w:cs="Arial"/>
          <w:sz w:val="22"/>
          <w:szCs w:val="22"/>
        </w:rPr>
        <w:fldChar w:fldCharType="end"/>
      </w:r>
      <w:r w:rsidR="002A4071" w:rsidRPr="00555DE1">
        <w:rPr>
          <w:rFonts w:ascii="Arial" w:hAnsi="Arial" w:cs="Arial"/>
          <w:sz w:val="22"/>
          <w:szCs w:val="22"/>
        </w:rPr>
        <w:t>.</w:t>
      </w:r>
    </w:p>
    <w:p w14:paraId="6FE15723" w14:textId="6B86B466" w:rsidR="002A4071" w:rsidRPr="00555DE1" w:rsidRDefault="002A4071" w:rsidP="002A4071">
      <w:pPr>
        <w:pStyle w:val="Body"/>
        <w:rPr>
          <w:rFonts w:ascii="Arial" w:hAnsi="Arial" w:cs="Arial"/>
          <w:sz w:val="22"/>
          <w:szCs w:val="22"/>
        </w:rPr>
      </w:pPr>
      <w:r w:rsidRPr="00555DE1">
        <w:rPr>
          <w:rFonts w:ascii="Arial" w:hAnsi="Arial" w:cs="Arial"/>
          <w:sz w:val="22"/>
          <w:szCs w:val="22"/>
        </w:rPr>
        <w:t>The drug's solubility primarily determines its dissolution rate within the diffusion layer surrounding each dissolving particle. Specifically, the pH of this layer is crucial for weak electrolyte drugs, as it influences their solubility and, in turn, their dissolution rate. For example, weakly acidic drugs tend to dissolve less readily in gastrointestinal fluids (pH 1–3) due to limited solubility in the diffusion layer. Elevating the pH in this region can improve their solubility, thereby increasing dissolution rates in the GI tract. Moreover, viscosity significantly affects the dissolution test, introducing variability and uncertainty that further complicate the hydrodynamics involved in the USP 2 method apparatus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{"citationID":"RisdnaYF","properties":{"formattedCitation":"[83]","plainCitation":"[83]","noteIndex":0},"citationItems":[{"id":1271,"uris":["http://zotero.org/users/16905564/items/Y9CY994V"],"itemData":{"id":1271,"type":"article-journal","container-title":"International journal of pharmaceutics","ISSN":"0378-5173","issue":"1","journalAbbreviation":"International journal of pharmaceutics","page":"362-373","publisher":"Elsevier","title":"Understanding the impact of media viscosity on dissolution of a highly water soluble drug within a USP 2 mini vessel dissolution apparatus using an optical planar induced fluorescence (PLIF) method","volume":"495","author":[{"family":"Stamatopoulos","given":"Konstantinos"},{"family":"Batchelor","given":"Hannah K"},{"family":"Alberini","given":"Federico"},{"family":"Ramsay","given":"John"},{"family":"Simmons","given":"Mark JH"}],"issued":{"date-parts":[["2015"]]}}}],"schema":"https://github.com/citation-style-language/schema/raw/master/csl-citation.json"}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[83]</w:t>
      </w:r>
      <w:r w:rsidRPr="00555DE1">
        <w:rPr>
          <w:rFonts w:ascii="Arial" w:hAnsi="Arial" w:cs="Arial"/>
          <w:sz w:val="22"/>
          <w:szCs w:val="22"/>
        </w:rPr>
        <w:fldChar w:fldCharType="end"/>
      </w:r>
      <w:r w:rsidRPr="00555DE1">
        <w:rPr>
          <w:rFonts w:ascii="Arial" w:hAnsi="Arial" w:cs="Arial"/>
          <w:sz w:val="22"/>
          <w:szCs w:val="22"/>
        </w:rPr>
        <w:t xml:space="preserve">. </w:t>
      </w:r>
    </w:p>
    <w:p w14:paraId="32D8C829" w14:textId="77777777" w:rsidR="002A4071" w:rsidRPr="00555DE1" w:rsidRDefault="002A4071" w:rsidP="00752610">
      <w:pPr>
        <w:pStyle w:val="Body"/>
        <w:numPr>
          <w:ilvl w:val="2"/>
          <w:numId w:val="5"/>
        </w:numPr>
        <w:spacing w:after="0"/>
        <w:rPr>
          <w:rFonts w:ascii="Arial" w:hAnsi="Arial" w:cs="Arial"/>
          <w:b/>
          <w:sz w:val="22"/>
          <w:szCs w:val="22"/>
        </w:rPr>
      </w:pPr>
      <w:r w:rsidRPr="00555DE1">
        <w:rPr>
          <w:rFonts w:ascii="Arial" w:hAnsi="Arial" w:cs="Arial"/>
          <w:b/>
          <w:iCs/>
          <w:sz w:val="22"/>
          <w:szCs w:val="22"/>
        </w:rPr>
        <w:t>Surfactants</w:t>
      </w:r>
    </w:p>
    <w:p w14:paraId="7758E5E9" w14:textId="64AD2664" w:rsidR="00DB4E72" w:rsidRPr="00555DE1" w:rsidRDefault="002A4071" w:rsidP="002A4071">
      <w:pPr>
        <w:pStyle w:val="Body"/>
        <w:rPr>
          <w:rFonts w:ascii="Arial" w:hAnsi="Arial" w:cs="Arial"/>
          <w:sz w:val="22"/>
          <w:szCs w:val="22"/>
        </w:rPr>
      </w:pPr>
      <w:r w:rsidRPr="00555DE1">
        <w:rPr>
          <w:rFonts w:ascii="Arial" w:hAnsi="Arial" w:cs="Arial"/>
          <w:sz w:val="22"/>
          <w:szCs w:val="22"/>
        </w:rPr>
        <w:t>Adding a surfactant to a solid dosage form effectively increases the drug release rate. This improvement is usually because the surfactant enhances the formulation's hydrophilicity, which helps the drug dissolve more easily</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{"citationID":"GvsmBstb","properties":{"formattedCitation":"[84]","plainCitation":"[84]","noteIndex":0},"citationItems":[{"id":1272,"uris":["http://zotero.org/users/16905564/items/26MH9WJ2"],"itemData":{"id":1272,"type":"article-journal","container-title":"Drug Development and Industrial Pharmacy","ISSN":"0363-9045","issue":"6","journalAbbreviation":"Drug Development and Industrial Pharmacy","page":"951-962","publisher":"Taylor &amp; Francis","title":"Role of surfactant on drug release from tablets","volume":"16","author":[{"family":"Heng","given":"Paul WS"},{"family":"Wan","given":"Lucy SC"},{"family":"Ang","given":"Teresa SH"}],"issued":{"date-parts":[["1990"]]}}}],"schema":"https://github.com/citation-style-language/schema/raw/master/csl-citation.json"}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[84]</w:t>
      </w:r>
      <w:r w:rsidRPr="00555DE1">
        <w:rPr>
          <w:rFonts w:ascii="Arial" w:hAnsi="Arial" w:cs="Arial"/>
          <w:sz w:val="22"/>
          <w:szCs w:val="22"/>
        </w:rPr>
        <w:fldChar w:fldCharType="end"/>
      </w:r>
      <w:r w:rsidRPr="00555DE1">
        <w:rPr>
          <w:rFonts w:ascii="Arial" w:hAnsi="Arial" w:cs="Arial"/>
          <w:sz w:val="22"/>
          <w:szCs w:val="22"/>
        </w:rPr>
        <w:t>. Different mechanisms contribute to the increased dissolution rate. For example, lowering interfacial tension decreases the solvent's contact angle on the solid surface, thereby improving the wetting of drug particles and allowing the solvent to penetrate the dosage form more effectively.</w:t>
      </w:r>
    </w:p>
    <w:p w14:paraId="02D2960F" w14:textId="2814D916" w:rsidR="00156F03" w:rsidRPr="00555DE1" w:rsidRDefault="002A4071" w:rsidP="002A4071">
      <w:pPr>
        <w:pStyle w:val="Body"/>
        <w:rPr>
          <w:rFonts w:ascii="Arial" w:hAnsi="Arial" w:cs="Arial"/>
          <w:sz w:val="22"/>
          <w:szCs w:val="22"/>
        </w:rPr>
      </w:pPr>
      <w:r w:rsidRPr="00555DE1">
        <w:rPr>
          <w:rFonts w:ascii="Arial" w:hAnsi="Arial" w:cs="Arial"/>
          <w:sz w:val="22"/>
          <w:szCs w:val="22"/>
        </w:rPr>
        <w:t>Once the surfactant concentration exceeds its critical micelle concentration (CMC, typically between 0.05% and 0.10% for most surfactants), micelles form, trapping the drugs within them</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{"citationID":"YW37XPr9","properties":{"formattedCitation":"[85]","plainCitation":"[85]","noteIndex":0},"citationItems":[{"id":1274,"uris":["http://zotero.org/users/16905564/items/YYBS7GKM"],"itemData":{"id":1274,"type":"article-journal","container-title":"International Scholarly Research Notices","ISSN":"2356-7872","issue":"1","journalAbbreviation":"International Scholarly Research Notices","page":"195727","publisher":"Wiley Online Library","title":"Drug solubility: importance and enhancement techniques","volume":"2012","author":[{"family":"Savjani","given":"Ketan T"},{"family":"Gajjar","given":"Anuradha K"},{"family":"Savjani","given":"Jignasa K"}],"issued":{"date-parts":[["2012"]]}}}],"schema":"https://github.com/citation-style-language/schema/raw/master/csl-citation.json"}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[85]</w:t>
      </w:r>
      <w:r w:rsidRPr="00555DE1">
        <w:rPr>
          <w:rFonts w:ascii="Arial" w:hAnsi="Arial" w:cs="Arial"/>
          <w:sz w:val="22"/>
          <w:szCs w:val="22"/>
        </w:rPr>
        <w:fldChar w:fldCharType="end"/>
      </w:r>
      <w:r w:rsidRPr="00555DE1">
        <w:rPr>
          <w:rFonts w:ascii="Arial" w:hAnsi="Arial" w:cs="Arial"/>
          <w:sz w:val="22"/>
          <w:szCs w:val="22"/>
        </w:rPr>
        <w:t xml:space="preserve">. Common surfactants like sodium </w:t>
      </w:r>
      <w:r w:rsidR="005E6243" w:rsidRPr="00555DE1">
        <w:rPr>
          <w:rFonts w:ascii="Arial" w:hAnsi="Arial" w:cs="Arial"/>
          <w:sz w:val="22"/>
          <w:szCs w:val="22"/>
        </w:rPr>
        <w:t>lauryl poloxamers</w:t>
      </w:r>
      <w:r w:rsidRPr="00555DE1">
        <w:rPr>
          <w:rFonts w:ascii="Arial" w:hAnsi="Arial" w:cs="Arial"/>
          <w:sz w:val="22"/>
          <w:szCs w:val="22"/>
        </w:rPr>
        <w:t xml:space="preserve"> and d-α-tocopherol polyethylene glycol succinate(TPGS) are often used to ensure sink conditions and facilitate rapid dissolution during in vitro method development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{"citationID":"BpC2PhPg","properties":{"formattedCitation":"[86], [87], [88]","plainCitation":"[86], [87], [88]","noteIndex":0},"citationItems":[{"id":1277,"uris":["http://zotero.org/users/16905564/items/4DGX8GBG"],"itemData":{"id":1277,"type":"article-journal","container-title":"International journal of pharmaceutics","ISSN":"0378-5173","issue":"1-2","journalAbbreviation":"International journal of pharmaceutics","page":"139-147","publisher":"Elsevier","title":"A systematic evaluation of dual functionality of sodium lauryl sulfate as a tablet lubricant and wetting enhancer","volume":"552","author":[{"family":"Dun","given":"Jiangnan"},{"family":"Osei-Yeboah","given":"Frederick"},{"family":"Boulas","given":"Pierre"},{"family":"Lin","given":"Yiqing"},{"family":"Sun","given":"Changquan Calvin"}],"issued":{"date-parts":[["2018"]]}}},{"id":1278,"uris":["http://zotero.org/users/16905564/items/76Y5L6D3"],"itemData":{"id":1278,"type":"article-journal","container-title":"Journal of molecular liquids","ISSN":"0167-7322","journalAbbreviation":"Journal of molecular liquids","page":"410-414","publisher":"Elsevier","title":"Solubilization of drugs using sodium lauryl sulfate: Experimental data and modeling","volume":"268","author":[{"family":"Alizadeh","given":"Mohammad Norouz"},{"family":"Shayanfar","given":"Ali"},{"family":"Jouyban","given":"Abolghasem"}],"issued":{"date-parts":[["2018"]]}}},{"id":1279,"uris":["http://zotero.org/users/16905564/items/I3LNBBLG"],"itemData":{"id":1279,"type":"article-journal","container-title":"European journal of pharmaceutical sciences","ISSN":"0928-0987","issue":"4-5","journalAbbreviation":"European journal of pharmaceutical sciences","page":"445-453","publisher":"Elsevier","title":"Enhanced oral paclitaxel absorption with vitamin E-TPGS: effect on solubility and permeability in vitro, in situ and in vivo","volume":"25","author":[{"family":"Varma","given":"Manthena VS"},{"family":"Panchagnula","given":"Ramesh"}],"issued":{"date-parts":[["2005"]]}}}],"schema":"https://github.com/citation-style-language/schema/raw/master/csl-citation.json"}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[86], [87], [88]</w:t>
      </w:r>
      <w:r w:rsidRPr="00555DE1">
        <w:rPr>
          <w:rFonts w:ascii="Arial" w:hAnsi="Arial" w:cs="Arial"/>
          <w:sz w:val="22"/>
          <w:szCs w:val="22"/>
        </w:rPr>
        <w:fldChar w:fldCharType="end"/>
      </w:r>
      <w:r w:rsidRPr="00555DE1">
        <w:rPr>
          <w:rFonts w:ascii="Arial" w:hAnsi="Arial" w:cs="Arial"/>
          <w:sz w:val="22"/>
          <w:szCs w:val="22"/>
        </w:rPr>
        <w:t xml:space="preserve">. In general, nonionic surfactants demonstrate greater surface activity and </w:t>
      </w:r>
      <w:r w:rsidR="00DB4E72" w:rsidRPr="00555DE1">
        <w:rPr>
          <w:rFonts w:ascii="Arial" w:hAnsi="Arial" w:cs="Arial"/>
          <w:sz w:val="22"/>
          <w:szCs w:val="22"/>
        </w:rPr>
        <w:t>solubilizing</w:t>
      </w:r>
      <w:r w:rsidRPr="00555DE1">
        <w:rPr>
          <w:rFonts w:ascii="Arial" w:hAnsi="Arial" w:cs="Arial"/>
          <w:sz w:val="22"/>
          <w:szCs w:val="22"/>
        </w:rPr>
        <w:t xml:space="preserve"> power compared to their ionic </w:t>
      </w:r>
      <w:r w:rsidR="005E6243" w:rsidRPr="00555DE1">
        <w:rPr>
          <w:rFonts w:ascii="Arial" w:hAnsi="Arial" w:cs="Arial"/>
          <w:sz w:val="22"/>
          <w:szCs w:val="22"/>
        </w:rPr>
        <w:t>surfactant counterparts.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{"citationID":"471b599x","properties":{"formattedCitation":"[89], [90]","plainCitation":"[89], [90]","noteIndex":0},"citationItems":[{"id":1275,"uris":["http://zotero.org/users/16905564/items/QW8L7UT4"],"itemData":{"id":1275,"type":"article-journal","container-title":"Journal of Chemical &amp; Engineering Data","ISSN":"0021-9568","issue":"6","journalAbbreviation":"Journal of Chemical &amp; Engineering Data","page":"1271-1277","publisher":"ACS Publications","title":"Solubilization capabilities of some cationic, anionic, and nonionic surfactants toward the poorly water-soluble antibiotic drug erythromycin","volume":"53","author":[{"family":"Bhat","given":"Parvaiz Ahmad"},{"family":"Dar","given":"Aijaz Ahmad"},{"family":"Rather","given":"Ghulam Mohammad"}],"issued":{"date-parts":[["2008"]]}}},{"id":1276,"uris":["http://zotero.org/users/16905564/items/QUV99CCW"],"itemData":{"id":1276,"type":"article-journal","container-title":"Journal of Pharmaceutical Sciences","ISSN":"0022-3549","issue":"10","journalAbbreviation":"Journal of Pharmaceutical Sciences","page":"1529-1531","publisher":"Wiley Online Library","title":"Comparison of the solubilizing capacities of ionic and nonionic surfactants for camphor","volume":"54","author":[{"family":"Bjaastad","given":"Steven G"},{"family":"Hall","given":"Nathan A"},{"family":"Thakkar","given":"Arvind L"}],"issued":{"date-parts":[["1965"]]}}}],"schema":"https://github.com/citation-style-language/schema/raw/master/csl-citation.json"}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[89], [90]</w:t>
      </w:r>
      <w:r w:rsidRPr="00555DE1">
        <w:rPr>
          <w:rFonts w:ascii="Arial" w:hAnsi="Arial" w:cs="Arial"/>
          <w:sz w:val="22"/>
          <w:szCs w:val="22"/>
        </w:rPr>
        <w:fldChar w:fldCharType="end"/>
      </w:r>
      <w:r w:rsidRPr="00555DE1">
        <w:rPr>
          <w:rFonts w:ascii="Arial" w:hAnsi="Arial" w:cs="Arial"/>
          <w:sz w:val="22"/>
          <w:szCs w:val="22"/>
        </w:rPr>
        <w:t>.</w:t>
      </w:r>
    </w:p>
    <w:p w14:paraId="64C6C304" w14:textId="25684994" w:rsidR="005E2360" w:rsidRPr="00555DE1" w:rsidRDefault="002A4071" w:rsidP="00053739">
      <w:pPr>
        <w:pStyle w:val="Body"/>
        <w:rPr>
          <w:rFonts w:ascii="Arial" w:hAnsi="Arial" w:cs="Arial"/>
          <w:sz w:val="22"/>
          <w:szCs w:val="22"/>
        </w:rPr>
      </w:pPr>
      <w:r w:rsidRPr="00555DE1">
        <w:rPr>
          <w:rFonts w:ascii="Arial" w:hAnsi="Arial" w:cs="Arial"/>
          <w:sz w:val="22"/>
          <w:szCs w:val="22"/>
        </w:rPr>
        <w:t xml:space="preserve"> Undissociated drugs may bind more readily to anionic surfactant micelles, increasing their solubility. Additionally, the dissolution profiles of poorly soluble acidic drugs can vary greatly depending on the surfactant type used in the medium. The choice of surfactant in the dissolution medium plays a crucial role in shaping the dissolution profiles of these poorly soluble drugs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{"citationID":"VcYKKT2U","properties":{"formattedCitation":"[91]","plainCitation":"[91]","noteIndex":0},"citationItems":[{"id":1280,"uris":["http://zotero.org/users/16905564/items/J9HHJSZJ"],"itemData":{"id":1280,"type":"article-journal","container-title":"International journal of pharmaceutics","ISSN":"0378-5173","issue":"1-2","journalAbbreviation":"International journal of pharmaceutics","page":"35-41","publisher":"Elsevier","title":"The effects of surfactants on the dissolution profiles of poorly water-soluble acidic drugs","volume":"321","author":[{"family":"Park","given":"Sung-Hyun"},{"family":"Choi","given":"Hoo-Kyun"}],"issued":{"date-parts":[["2006"]]}}}],"schema":"https://github.com/citation-style-language/schema/raw/master/csl-citation.json"}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[91]</w:t>
      </w:r>
      <w:r w:rsidRPr="00555DE1">
        <w:rPr>
          <w:rFonts w:ascii="Arial" w:hAnsi="Arial" w:cs="Arial"/>
          <w:sz w:val="22"/>
          <w:szCs w:val="22"/>
        </w:rPr>
        <w:fldChar w:fldCharType="end"/>
      </w:r>
      <w:r w:rsidRPr="00555DE1">
        <w:rPr>
          <w:rFonts w:ascii="Arial" w:hAnsi="Arial" w:cs="Arial"/>
          <w:sz w:val="22"/>
          <w:szCs w:val="22"/>
        </w:rPr>
        <w:t>.</w:t>
      </w:r>
    </w:p>
    <w:p w14:paraId="7124DD09" w14:textId="77777777" w:rsidR="002A4071" w:rsidRPr="00555DE1" w:rsidRDefault="002A4071" w:rsidP="00D03F59">
      <w:pPr>
        <w:pStyle w:val="Body"/>
        <w:numPr>
          <w:ilvl w:val="0"/>
          <w:numId w:val="3"/>
        </w:numPr>
        <w:spacing w:after="0"/>
        <w:jc w:val="left"/>
        <w:rPr>
          <w:rFonts w:ascii="Arial" w:hAnsi="Arial" w:cs="Arial"/>
          <w:b/>
          <w:sz w:val="22"/>
          <w:szCs w:val="22"/>
        </w:rPr>
      </w:pPr>
      <w:r w:rsidRPr="00555DE1">
        <w:rPr>
          <w:rFonts w:ascii="Arial" w:hAnsi="Arial" w:cs="Arial"/>
          <w:b/>
          <w:sz w:val="22"/>
          <w:szCs w:val="22"/>
        </w:rPr>
        <w:t>The Dissolution Apparatus</w:t>
      </w:r>
    </w:p>
    <w:p w14:paraId="2E40A8EB" w14:textId="39FB406E" w:rsidR="002A4071" w:rsidRDefault="002A4071" w:rsidP="002A4071">
      <w:pPr>
        <w:pStyle w:val="Body"/>
        <w:rPr>
          <w:rFonts w:ascii="Arial" w:hAnsi="Arial" w:cs="Arial"/>
          <w:sz w:val="22"/>
          <w:szCs w:val="22"/>
        </w:rPr>
      </w:pPr>
      <w:r w:rsidRPr="00555DE1">
        <w:rPr>
          <w:rFonts w:ascii="Arial" w:hAnsi="Arial" w:cs="Arial"/>
          <w:sz w:val="22"/>
          <w:szCs w:val="22"/>
        </w:rPr>
        <w:t xml:space="preserve">The United States </w:t>
      </w:r>
      <w:r w:rsidR="00B25607" w:rsidRPr="00555DE1">
        <w:rPr>
          <w:rFonts w:ascii="Arial" w:hAnsi="Arial" w:cs="Arial"/>
          <w:sz w:val="22"/>
          <w:szCs w:val="22"/>
        </w:rPr>
        <w:t>Pharmacopoeia</w:t>
      </w:r>
      <w:r w:rsidRPr="00555DE1">
        <w:rPr>
          <w:rFonts w:ascii="Arial" w:hAnsi="Arial" w:cs="Arial"/>
          <w:sz w:val="22"/>
          <w:szCs w:val="22"/>
        </w:rPr>
        <w:t xml:space="preserve"> (USP) monographs establish specific dissolution testing requirements for oral drug products, using approved apparatus that match the described dosage forms</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{"citationID":"G8EBsWbq","properties":{"formattedCitation":"[92]","plainCitation":"[92]","noteIndex":0},"citationItems":[{"id":1281,"uris":["http://zotero.org/users/16905564/items/X22CK5B6"],"itemData":{"id":1281,"type":"article-journal","container-title":"Pharmaceutical research","ISSN":"0724-8741","issue":"10","journalAbbreviation":"Pharmaceutical research","page":"983-987","publisher":"Springer","title":"The development of USP dissolution and drug release standards","volume":"7","author":[{"family":"Cohen","given":"Jordan L"},{"family":"Hubert","given":"Barbara B"},{"family":"Leeson","given":"Lewis J"},{"family":"Rhodes","given":"Christopher T"},{"family":"Robinson","given":"Joseph R"},{"family":"Roseman","given":"Theodore J"},{"family":"Shefter","given":"Eli"}],"issued":{"date-parts":[["1990"]]}}}],"schema":"https://github.com/citation-style-language/schema/raw/master/csl-citation.json"}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[92]</w:t>
      </w:r>
      <w:r w:rsidRPr="00555DE1">
        <w:rPr>
          <w:rFonts w:ascii="Arial" w:hAnsi="Arial" w:cs="Arial"/>
          <w:sz w:val="22"/>
          <w:szCs w:val="22"/>
        </w:rPr>
        <w:fldChar w:fldCharType="end"/>
      </w:r>
      <w:r w:rsidRPr="00555DE1">
        <w:rPr>
          <w:rFonts w:ascii="Arial" w:hAnsi="Arial" w:cs="Arial"/>
          <w:sz w:val="22"/>
          <w:szCs w:val="22"/>
        </w:rPr>
        <w:t>. The USP details seven types of dissolution apparatus, with the basket method (Apparatus 1) and the paddle method (Apparatus 2) being the most commonly used. Known for their simplicity, reliability, and adherence to established standards, these methods are widely accepted worldwide. They enable dissolution testing of various drug products, including capsules and creams, in accordance with USP specifications. The selection of the apparatus is based on how the dosage form performs within the in vitro testing system.</w:t>
      </w:r>
    </w:p>
    <w:p w14:paraId="42EB58C6" w14:textId="77777777" w:rsidR="00D03F59" w:rsidRDefault="00D03F59" w:rsidP="002A4071">
      <w:pPr>
        <w:pStyle w:val="Body"/>
        <w:rPr>
          <w:rFonts w:ascii="Arial" w:hAnsi="Arial" w:cs="Arial"/>
          <w:sz w:val="22"/>
          <w:szCs w:val="22"/>
        </w:rPr>
      </w:pPr>
    </w:p>
    <w:p w14:paraId="3AD8CEB9" w14:textId="77777777" w:rsidR="00D03F59" w:rsidRDefault="00D03F59" w:rsidP="002A4071">
      <w:pPr>
        <w:pStyle w:val="Body"/>
        <w:rPr>
          <w:rFonts w:ascii="Arial" w:hAnsi="Arial" w:cs="Arial"/>
          <w:sz w:val="22"/>
          <w:szCs w:val="22"/>
        </w:rPr>
      </w:pPr>
    </w:p>
    <w:p w14:paraId="750A81BC" w14:textId="77777777" w:rsidR="00D03F59" w:rsidRPr="00555DE1" w:rsidRDefault="00D03F59" w:rsidP="002A4071">
      <w:pPr>
        <w:pStyle w:val="Body"/>
        <w:rPr>
          <w:rFonts w:ascii="Arial" w:hAnsi="Arial" w:cs="Arial"/>
          <w:sz w:val="22"/>
          <w:szCs w:val="22"/>
        </w:rPr>
      </w:pPr>
    </w:p>
    <w:p w14:paraId="019D0296" w14:textId="77777777" w:rsidR="002A4071" w:rsidRPr="00555DE1" w:rsidRDefault="002A4071" w:rsidP="002A4071">
      <w:pPr>
        <w:pStyle w:val="Body"/>
        <w:spacing w:after="0"/>
        <w:rPr>
          <w:rFonts w:ascii="Arial" w:hAnsi="Arial" w:cs="Arial"/>
          <w:b/>
          <w:bCs/>
          <w:sz w:val="22"/>
          <w:szCs w:val="22"/>
        </w:rPr>
      </w:pPr>
      <w:r w:rsidRPr="00555DE1">
        <w:rPr>
          <w:rFonts w:ascii="Arial" w:hAnsi="Arial" w:cs="Arial"/>
          <w:b/>
          <w:bCs/>
          <w:sz w:val="22"/>
          <w:szCs w:val="22"/>
        </w:rPr>
        <w:t xml:space="preserve">4. </w:t>
      </w:r>
      <w:r w:rsidRPr="00555DE1">
        <w:rPr>
          <w:rFonts w:ascii="Arial" w:hAnsi="Arial" w:cs="Arial"/>
          <w:b/>
          <w:bCs/>
          <w:i/>
          <w:iCs/>
          <w:sz w:val="22"/>
          <w:szCs w:val="22"/>
        </w:rPr>
        <w:t>In-Vitro</w:t>
      </w:r>
      <w:r w:rsidRPr="00555DE1">
        <w:rPr>
          <w:rFonts w:ascii="Arial" w:hAnsi="Arial" w:cs="Arial"/>
          <w:b/>
          <w:bCs/>
          <w:sz w:val="22"/>
          <w:szCs w:val="22"/>
        </w:rPr>
        <w:t xml:space="preserve"> </w:t>
      </w:r>
      <w:r w:rsidRPr="00555DE1">
        <w:rPr>
          <w:rFonts w:ascii="Arial" w:hAnsi="Arial" w:cs="Arial"/>
          <w:b/>
          <w:bCs/>
          <w:i/>
          <w:iCs/>
          <w:sz w:val="22"/>
          <w:szCs w:val="22"/>
        </w:rPr>
        <w:t>In-Vivo</w:t>
      </w:r>
      <w:r w:rsidRPr="00555DE1">
        <w:rPr>
          <w:rFonts w:ascii="Arial" w:hAnsi="Arial" w:cs="Arial"/>
          <w:b/>
          <w:bCs/>
          <w:sz w:val="22"/>
          <w:szCs w:val="22"/>
        </w:rPr>
        <w:t xml:space="preserve"> Correlation</w:t>
      </w:r>
    </w:p>
    <w:p w14:paraId="7F78E558" w14:textId="07CD5FCE" w:rsidR="002A4071" w:rsidRPr="00555DE1" w:rsidRDefault="002A4071" w:rsidP="002A4071">
      <w:pPr>
        <w:pStyle w:val="Body"/>
        <w:rPr>
          <w:rFonts w:ascii="Arial" w:hAnsi="Arial" w:cs="Arial"/>
          <w:sz w:val="22"/>
          <w:szCs w:val="22"/>
        </w:rPr>
      </w:pPr>
      <w:r w:rsidRPr="00555DE1">
        <w:rPr>
          <w:rFonts w:ascii="Arial" w:hAnsi="Arial" w:cs="Arial"/>
          <w:sz w:val="22"/>
          <w:szCs w:val="22"/>
        </w:rPr>
        <w:t xml:space="preserve">A primary aim in pharmaceutical drug development for dosage forms is to gain a thorough understanding of both in vivo and in vitro performance. A significant challenge in biopharmaceutical research is linking in vitro </w:t>
      </w:r>
      <w:r w:rsidR="00B25607" w:rsidRPr="00555DE1">
        <w:rPr>
          <w:rFonts w:ascii="Arial" w:hAnsi="Arial" w:cs="Arial"/>
          <w:sz w:val="22"/>
          <w:szCs w:val="22"/>
        </w:rPr>
        <w:t xml:space="preserve">drug-release data across </w:t>
      </w:r>
      <w:r w:rsidRPr="00555DE1">
        <w:rPr>
          <w:rFonts w:ascii="Arial" w:hAnsi="Arial" w:cs="Arial"/>
          <w:sz w:val="22"/>
          <w:szCs w:val="22"/>
        </w:rPr>
        <w:t>formulations to in vivo drug profiles. The US FDA defines in-vitro in-vivo correlation (IVIVC) as "a predictive mathematical model describing the relationship between an in-vitro property of a dosage form and an in-vivo response</w:t>
      </w:r>
      <w:r w:rsidR="0085718D" w:rsidRPr="00555DE1">
        <w:rPr>
          <w:rFonts w:ascii="Arial" w:hAnsi="Arial" w:cs="Arial"/>
          <w:sz w:val="22"/>
          <w:szCs w:val="22"/>
        </w:rPr>
        <w:t>”</w:t>
      </w:r>
      <w:r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{"citationID":"KIwq6Sd8","properties":{"formattedCitation":"[93]","plainCitation":"[93]","noteIndex":0},"citationItems":[{"id":1283,"uris":["http://zotero.org/users/16905564/items/IB5GBWDR"],"itemData":{"id":1283,"type":"article-journal","container-title":"Dissolution Technologies","ISSN":"1521-298X","issue":"2","journalAbbreviation":"Dissolution Technologies","page":"19-23","publisher":"Dissolution Technologies, Inc.","title":"In vitro--in vivo correlation: Shades on some non-conventional dosage forms","volume":"22","author":[{"family":"Barakat","given":"Abdulwahab"},{"family":"Kramer","given":"Johannes"},{"family":"Souza Cristiane","given":"Carvalho","non-dropping-particle":"de"},{"family":"Lehr","given":"Claus-Michael"}],"issued":{"date-parts":[["2015"]]}}}],"schema":"https://github.com/citation-style-language/schema/raw/master/csl-citation.json"} </w:instrText>
      </w:r>
      <w:r w:rsidRPr="00555DE1">
        <w:rPr>
          <w:rFonts w:ascii="Arial" w:hAnsi="Arial" w:cs="Arial"/>
          <w:sz w:val="22"/>
          <w:szCs w:val="22"/>
        </w:rPr>
        <w:fldChar w:fldCharType="separate"/>
      </w:r>
      <w:r w:rsidR="00655B07" w:rsidRPr="00555DE1">
        <w:rPr>
          <w:rFonts w:ascii="Arial" w:hAnsi="Arial" w:cs="Arial"/>
          <w:sz w:val="22"/>
          <w:szCs w:val="22"/>
        </w:rPr>
        <w:t>[93]</w:t>
      </w:r>
      <w:r w:rsidRPr="00555DE1">
        <w:rPr>
          <w:rFonts w:ascii="Arial" w:hAnsi="Arial" w:cs="Arial"/>
          <w:sz w:val="22"/>
          <w:szCs w:val="22"/>
        </w:rPr>
        <w:fldChar w:fldCharType="end"/>
      </w:r>
      <w:r w:rsidR="0085718D" w:rsidRPr="00555DE1">
        <w:rPr>
          <w:rFonts w:ascii="Arial" w:hAnsi="Arial" w:cs="Arial"/>
          <w:sz w:val="22"/>
          <w:szCs w:val="22"/>
        </w:rPr>
        <w:t xml:space="preserve">. </w:t>
      </w:r>
      <w:r w:rsidRPr="00555DE1">
        <w:rPr>
          <w:rFonts w:ascii="Arial" w:hAnsi="Arial" w:cs="Arial"/>
          <w:sz w:val="22"/>
          <w:szCs w:val="22"/>
        </w:rPr>
        <w:t>Typically, the in vitro profile involves drug dissolution, release rates, and extent, whereas the in vivo response concerns plasma drug concentration or the total amount of drug entering systemic circulation.</w:t>
      </w:r>
      <w:r w:rsidR="002379C3" w:rsidRPr="00555DE1">
        <w:rPr>
          <w:rFonts w:ascii="Arial" w:hAnsi="Arial" w:cs="Arial"/>
          <w:sz w:val="22"/>
          <w:szCs w:val="22"/>
        </w:rPr>
        <w:t xml:space="preserve"> </w:t>
      </w:r>
    </w:p>
    <w:p w14:paraId="57137512" w14:textId="77777777" w:rsidR="002379C3" w:rsidRPr="00555DE1" w:rsidRDefault="002A4071" w:rsidP="002379C3">
      <w:pPr>
        <w:pStyle w:val="Body"/>
        <w:rPr>
          <w:rFonts w:ascii="Arial" w:hAnsi="Arial" w:cs="Arial"/>
          <w:sz w:val="22"/>
          <w:szCs w:val="22"/>
        </w:rPr>
      </w:pPr>
      <w:r w:rsidRPr="00555DE1">
        <w:rPr>
          <w:rFonts w:ascii="Arial" w:hAnsi="Arial" w:cs="Arial"/>
          <w:sz w:val="22"/>
          <w:szCs w:val="22"/>
        </w:rPr>
        <w:t>Understanding both in vitro and in vivo drug performances is a crucial goal in pharmaceutical product development. With advancements in the development and application of IVIVC, in vivo drug performance can be anticipated from its in vitro drug release profile</w:t>
      </w:r>
      <w:r w:rsidR="00125420" w:rsidRPr="00555DE1">
        <w:rPr>
          <w:rFonts w:ascii="Arial" w:hAnsi="Arial" w:cs="Arial"/>
          <w:sz w:val="22"/>
          <w:szCs w:val="22"/>
        </w:rPr>
        <w:fldChar w:fldCharType="begin"/>
      </w:r>
      <w:r w:rsidR="00655B07" w:rsidRPr="00555DE1">
        <w:rPr>
          <w:rFonts w:ascii="Arial" w:hAnsi="Arial" w:cs="Arial"/>
          <w:sz w:val="22"/>
          <w:szCs w:val="22"/>
        </w:rPr>
        <w:instrText xml:space="preserve"> ADDIN ZOTERO_ITEM CSL_CITATION {"citationID":"mUdlw4Dc","properties":{"formattedCitation":"[94]","plainCitation":"[94]","noteIndex":0},"citationItems":[{"id":1297,"uris":["http://zotero.org/users/16905564/items/LZBWMN3U"],"itemData":{"id":1297,"type":"article-journal","container-title":"The AAPS journal","ISSN":"1550-7416","issue":"6","journalAbbreviation":"The AAPS journal","page":"1379-1390","publisher":"Springer","title":"Regulatory experience with in vivo in vitro correlations (IVIVC) in new drug applications","volume":"18","author":[{"family":"Suarez-Sharp","given":"Sandra"},{"family":"Li","given":"Min"},{"family":"Duan","given":"John"},{"family":"Shah","given":"Heta"},{"family":"Seo","given":"Paul"}],"issued":{"date-parts":[["2016"]]}}}],"schema":"https://github.com/citation-style-language/schema/raw/master/csl-citation.json"} </w:instrText>
      </w:r>
      <w:r w:rsidR="00125420" w:rsidRPr="00555DE1">
        <w:rPr>
          <w:rFonts w:ascii="Arial" w:hAnsi="Arial" w:cs="Arial"/>
          <w:sz w:val="22"/>
          <w:szCs w:val="22"/>
        </w:rPr>
        <w:fldChar w:fldCharType="separate"/>
      </w:r>
      <w:r w:rsidR="00655B07" w:rsidRPr="00555DE1">
        <w:rPr>
          <w:rFonts w:ascii="Arial" w:hAnsi="Arial" w:cs="Arial"/>
          <w:sz w:val="22"/>
          <w:szCs w:val="22"/>
        </w:rPr>
        <w:t>[94]</w:t>
      </w:r>
      <w:r w:rsidR="00125420" w:rsidRPr="00555DE1">
        <w:rPr>
          <w:rFonts w:ascii="Arial" w:hAnsi="Arial" w:cs="Arial"/>
          <w:sz w:val="22"/>
          <w:szCs w:val="22"/>
        </w:rPr>
        <w:fldChar w:fldCharType="end"/>
      </w:r>
      <w:r w:rsidRPr="00555DE1">
        <w:rPr>
          <w:rFonts w:ascii="Arial" w:hAnsi="Arial" w:cs="Arial"/>
          <w:sz w:val="22"/>
          <w:szCs w:val="22"/>
        </w:rPr>
        <w:t xml:space="preserve">. </w:t>
      </w:r>
      <w:r w:rsidR="002379C3" w:rsidRPr="00555DE1">
        <w:rPr>
          <w:rFonts w:ascii="Arial" w:hAnsi="Arial" w:cs="Arial"/>
          <w:sz w:val="22"/>
          <w:szCs w:val="22"/>
        </w:rPr>
        <w:t xml:space="preserve">IVIVC plays a crucial role in the drug discovery and development process. These models can reliably predict in vivo drug behavior from in vitro data, such as dissolution profiles. Their applications include assessing pharmacokinetic properties, ensuring quality, supporting pharmacovigilance, and aiding in the formulation and scaling up of suitable drug products. </w:t>
      </w:r>
    </w:p>
    <w:p w14:paraId="3CA5601D" w14:textId="132CAF03" w:rsidR="003D4527" w:rsidRPr="00555DE1" w:rsidRDefault="00164B2E" w:rsidP="003D4527">
      <w:pPr>
        <w:pStyle w:val="Body"/>
        <w:rPr>
          <w:rFonts w:ascii="Arial" w:hAnsi="Arial" w:cs="Arial"/>
          <w:sz w:val="22"/>
          <w:szCs w:val="22"/>
        </w:rPr>
      </w:pPr>
      <w:r w:rsidRPr="00555DE1">
        <w:rPr>
          <w:rFonts w:ascii="Arial" w:hAnsi="Arial" w:cs="Arial"/>
          <w:sz w:val="22"/>
          <w:szCs w:val="22"/>
        </w:rPr>
        <w:t xml:space="preserve">Generally, as shown in Figure 2, any dissolution test can be </w:t>
      </w:r>
      <w:r w:rsidR="005E6243" w:rsidRPr="00555DE1">
        <w:rPr>
          <w:rFonts w:ascii="Arial" w:hAnsi="Arial" w:cs="Arial"/>
          <w:sz w:val="22"/>
          <w:szCs w:val="22"/>
        </w:rPr>
        <w:t>categorized into four groups</w:t>
      </w:r>
      <w:r w:rsidRPr="00555DE1">
        <w:rPr>
          <w:rFonts w:ascii="Arial" w:hAnsi="Arial" w:cs="Arial"/>
          <w:sz w:val="22"/>
          <w:szCs w:val="22"/>
        </w:rPr>
        <w:t xml:space="preserve">. First, bioequivalent products may exhibit similar dissolution profiles (I). Second, bioequivalent products may display different dissolution profiles (II). Third, </w:t>
      </w:r>
      <w:proofErr w:type="spellStart"/>
      <w:r w:rsidR="005E6243" w:rsidRPr="00555DE1">
        <w:rPr>
          <w:rFonts w:ascii="Arial" w:hAnsi="Arial" w:cs="Arial"/>
          <w:sz w:val="22"/>
          <w:szCs w:val="22"/>
        </w:rPr>
        <w:t>bioinequivalent</w:t>
      </w:r>
      <w:proofErr w:type="spellEnd"/>
      <w:r w:rsidR="005E6243" w:rsidRPr="00555DE1">
        <w:rPr>
          <w:rFonts w:ascii="Arial" w:hAnsi="Arial" w:cs="Arial"/>
          <w:sz w:val="22"/>
          <w:szCs w:val="22"/>
        </w:rPr>
        <w:t xml:space="preserve"> products may exhibit</w:t>
      </w:r>
      <w:r w:rsidRPr="00555DE1">
        <w:rPr>
          <w:rFonts w:ascii="Arial" w:hAnsi="Arial" w:cs="Arial"/>
          <w:sz w:val="22"/>
          <w:szCs w:val="22"/>
        </w:rPr>
        <w:t xml:space="preserve"> similar dissolution profiles (III). Finally, </w:t>
      </w:r>
      <w:r w:rsidR="005E6243" w:rsidRPr="00555DE1">
        <w:rPr>
          <w:rFonts w:ascii="Arial" w:hAnsi="Arial" w:cs="Arial"/>
          <w:sz w:val="22"/>
          <w:szCs w:val="22"/>
        </w:rPr>
        <w:t>bio inequivalent</w:t>
      </w:r>
      <w:r w:rsidRPr="00555DE1">
        <w:rPr>
          <w:rFonts w:ascii="Arial" w:hAnsi="Arial" w:cs="Arial"/>
          <w:sz w:val="22"/>
          <w:szCs w:val="22"/>
        </w:rPr>
        <w:t xml:space="preserve"> products may have different dissolution profiles (IV). In this context, outcome IV should be regarded as discriminatory, and the test should be classified as a discriminatory test.</w:t>
      </w:r>
    </w:p>
    <w:p w14:paraId="5C034B4B" w14:textId="2F200634" w:rsidR="002A4071" w:rsidRPr="00555DE1" w:rsidRDefault="00AA040B" w:rsidP="00D03F59">
      <w:pPr>
        <w:pStyle w:val="Body"/>
        <w:rPr>
          <w:rFonts w:ascii="Arial" w:hAnsi="Arial" w:cs="Arial"/>
          <w:sz w:val="22"/>
          <w:szCs w:val="22"/>
        </w:rPr>
      </w:pPr>
      <w:r w:rsidRPr="00555DE1">
        <w:rPr>
          <w:rFonts w:ascii="Arial" w:hAnsi="Arial" w:cs="Arial"/>
          <w:noProof/>
          <w:sz w:val="22"/>
          <w:szCs w:val="22"/>
        </w:rPr>
        <w:drawing>
          <wp:inline distT="0" distB="0" distL="0" distR="0" wp14:anchorId="079CA834" wp14:editId="118EC425">
            <wp:extent cx="4479769" cy="2425700"/>
            <wp:effectExtent l="0" t="0" r="0" b="0"/>
            <wp:docPr id="693622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0563" cy="2431545"/>
                    </a:xfrm>
                    <a:prstGeom prst="rect">
                      <a:avLst/>
                    </a:prstGeom>
                    <a:noFill/>
                  </pic:spPr>
                </pic:pic>
              </a:graphicData>
            </a:graphic>
          </wp:inline>
        </w:drawing>
      </w:r>
    </w:p>
    <w:p w14:paraId="5D5B6170" w14:textId="315D8E9C" w:rsidR="00AA040B" w:rsidRPr="00AA040B" w:rsidRDefault="00AA040B" w:rsidP="00AA040B">
      <w:pPr>
        <w:pStyle w:val="Body"/>
        <w:rPr>
          <w:rFonts w:ascii="Arial" w:hAnsi="Arial" w:cs="Arial"/>
          <w:sz w:val="22"/>
          <w:szCs w:val="22"/>
        </w:rPr>
      </w:pPr>
      <w:r w:rsidRPr="00555DE1">
        <w:rPr>
          <w:rFonts w:ascii="Arial" w:hAnsi="Arial" w:cs="Arial"/>
          <w:b/>
          <w:bCs/>
          <w:sz w:val="22"/>
          <w:szCs w:val="22"/>
        </w:rPr>
        <w:lastRenderedPageBreak/>
        <w:t xml:space="preserve">Figure 2: </w:t>
      </w:r>
      <w:r w:rsidRPr="00555DE1">
        <w:rPr>
          <w:rFonts w:ascii="Arial" w:hAnsi="Arial" w:cs="Arial"/>
          <w:sz w:val="22"/>
          <w:szCs w:val="22"/>
        </w:rPr>
        <w:t>Potential testing outcome scenarios, depicted as drug dissolution profiles, for products exhibiting in vivo similar (bioequivalent) and dissimilar (</w:t>
      </w:r>
      <w:proofErr w:type="spellStart"/>
      <w:r w:rsidR="005E6243" w:rsidRPr="00555DE1">
        <w:rPr>
          <w:rFonts w:ascii="Arial" w:hAnsi="Arial" w:cs="Arial"/>
          <w:sz w:val="22"/>
          <w:szCs w:val="22"/>
        </w:rPr>
        <w:t>bioinequivalent</w:t>
      </w:r>
      <w:proofErr w:type="spellEnd"/>
      <w:r w:rsidRPr="00555DE1">
        <w:rPr>
          <w:rFonts w:ascii="Arial" w:hAnsi="Arial" w:cs="Arial"/>
          <w:sz w:val="22"/>
          <w:szCs w:val="22"/>
        </w:rPr>
        <w:t xml:space="preserve">) release </w:t>
      </w:r>
      <w:r w:rsidR="007C7E2B" w:rsidRPr="00555DE1">
        <w:rPr>
          <w:rFonts w:ascii="Arial" w:hAnsi="Arial" w:cs="Arial"/>
          <w:sz w:val="22"/>
          <w:szCs w:val="22"/>
        </w:rPr>
        <w:t>profiles</w:t>
      </w:r>
      <w:r w:rsidRPr="00555DE1">
        <w:rPr>
          <w:rFonts w:ascii="Arial" w:hAnsi="Arial" w:cs="Arial"/>
          <w:sz w:val="22"/>
          <w:szCs w:val="22"/>
        </w:rPr>
        <w:t>.</w:t>
      </w:r>
    </w:p>
    <w:p w14:paraId="050705F5" w14:textId="32B77953" w:rsidR="00164B2E" w:rsidRPr="00555DE1" w:rsidRDefault="00EE6CDA" w:rsidP="00164B2E">
      <w:pPr>
        <w:pStyle w:val="Body"/>
        <w:rPr>
          <w:rFonts w:ascii="Arial" w:hAnsi="Arial" w:cs="Arial"/>
          <w:sz w:val="22"/>
          <w:szCs w:val="22"/>
        </w:rPr>
      </w:pPr>
      <w:r w:rsidRPr="00555DE1">
        <w:rPr>
          <w:rFonts w:ascii="Arial" w:hAnsi="Arial" w:cs="Arial"/>
          <w:sz w:val="22"/>
          <w:szCs w:val="22"/>
        </w:rPr>
        <w:t xml:space="preserve"> A discriminatory dissolution test effectively distinguishes products based on their expected in vivo performance. Since dissolution is frequently correlated with bioavailability through IVIVC, similar dissolution profiles between a test and reference product usually suggest bioequivalence, whereas different profiles may indicate potential </w:t>
      </w:r>
      <w:proofErr w:type="spellStart"/>
      <w:r w:rsidRPr="00555DE1">
        <w:rPr>
          <w:rFonts w:ascii="Arial" w:hAnsi="Arial" w:cs="Arial"/>
          <w:sz w:val="22"/>
          <w:szCs w:val="22"/>
        </w:rPr>
        <w:t>bioinequivalence</w:t>
      </w:r>
      <w:proofErr w:type="spellEnd"/>
      <w:r w:rsidR="001A29D5" w:rsidRPr="00555DE1">
        <w:rPr>
          <w:rFonts w:ascii="Arial" w:hAnsi="Arial" w:cs="Arial"/>
          <w:sz w:val="22"/>
          <w:szCs w:val="22"/>
        </w:rPr>
        <w:fldChar w:fldCharType="begin"/>
      </w:r>
      <w:r w:rsidR="001A29D5" w:rsidRPr="00555DE1">
        <w:rPr>
          <w:rFonts w:ascii="Arial" w:hAnsi="Arial" w:cs="Arial"/>
          <w:sz w:val="22"/>
          <w:szCs w:val="22"/>
        </w:rPr>
        <w:instrText xml:space="preserve"> ADDIN ZOTERO_ITEM CSL_CITATION {"citationID":"QRFWq2qf","properties":{"formattedCitation":"[95]","plainCitation":"[95]","noteIndex":0},"citationItems":[{"id":1308,"uris":["http://zotero.org/users/16905564/items/DPERHWKN"],"itemData":{"id":1308,"type":"article-journal","container-title":"Pharm. Technol","journalAbbreviation":"Pharm. Technol","page":"56-65","title":"Dissolution testing of poorly soluble compounds","volume":"28","author":[{"family":"Brown","given":"Cynthia K"},{"family":"Chokshi","given":"Hitesh P"},{"family":"Nickerson","given":"Beverly"},{"family":"Reed","given":"Robert A"},{"family":"Rohrs","given":"Brian R"},{"family":"Shah","given":"Pankaj A"}],"issued":{"date-parts":[["2004"]]}}}],"schema":"https://github.com/citation-style-language/schema/raw/master/csl-citation.json"} </w:instrText>
      </w:r>
      <w:r w:rsidR="001A29D5" w:rsidRPr="00555DE1">
        <w:rPr>
          <w:rFonts w:ascii="Arial" w:hAnsi="Arial" w:cs="Arial"/>
          <w:sz w:val="22"/>
          <w:szCs w:val="22"/>
        </w:rPr>
        <w:fldChar w:fldCharType="separate"/>
      </w:r>
      <w:r w:rsidR="001A29D5" w:rsidRPr="00555DE1">
        <w:rPr>
          <w:rFonts w:ascii="Arial" w:hAnsi="Arial" w:cs="Arial"/>
          <w:sz w:val="22"/>
          <w:szCs w:val="22"/>
        </w:rPr>
        <w:t>[95]</w:t>
      </w:r>
      <w:r w:rsidR="001A29D5" w:rsidRPr="00555DE1">
        <w:rPr>
          <w:rFonts w:ascii="Arial" w:hAnsi="Arial" w:cs="Arial"/>
          <w:sz w:val="22"/>
          <w:szCs w:val="22"/>
        </w:rPr>
        <w:fldChar w:fldCharType="end"/>
      </w:r>
      <w:r w:rsidRPr="00555DE1">
        <w:rPr>
          <w:rFonts w:ascii="Arial" w:hAnsi="Arial" w:cs="Arial"/>
          <w:sz w:val="22"/>
          <w:szCs w:val="22"/>
        </w:rPr>
        <w:t xml:space="preserve">. However, genuine discrimination is not just about observing differences in in vitro curves—it requires that dissimilar dissolution profiles correspond to dissimilar in vivo outcomes. </w:t>
      </w:r>
    </w:p>
    <w:p w14:paraId="09C1D52D" w14:textId="101EAB69" w:rsidR="00156F03" w:rsidRPr="00555DE1" w:rsidRDefault="00164B2E" w:rsidP="001A29D5">
      <w:pPr>
        <w:pStyle w:val="Body"/>
        <w:rPr>
          <w:rFonts w:ascii="Arial" w:hAnsi="Arial" w:cs="Arial"/>
          <w:sz w:val="22"/>
          <w:szCs w:val="22"/>
        </w:rPr>
      </w:pPr>
      <w:r w:rsidRPr="00164B2E">
        <w:rPr>
          <w:rFonts w:ascii="Arial" w:hAnsi="Arial" w:cs="Arial"/>
          <w:sz w:val="22"/>
          <w:szCs w:val="22"/>
        </w:rPr>
        <w:t xml:space="preserve">A test is considered discriminatory only when it produces similar profiles for bioequivalent products and distinct profiles for </w:t>
      </w:r>
      <w:proofErr w:type="spellStart"/>
      <w:r w:rsidRPr="00164B2E">
        <w:rPr>
          <w:rFonts w:ascii="Arial" w:hAnsi="Arial" w:cs="Arial"/>
          <w:sz w:val="22"/>
          <w:szCs w:val="22"/>
        </w:rPr>
        <w:t>bioinequivalent</w:t>
      </w:r>
      <w:proofErr w:type="spellEnd"/>
      <w:r w:rsidRPr="00164B2E">
        <w:rPr>
          <w:rFonts w:ascii="Arial" w:hAnsi="Arial" w:cs="Arial"/>
          <w:sz w:val="22"/>
          <w:szCs w:val="22"/>
        </w:rPr>
        <w:t xml:space="preserve"> ones. If dissolution differences appear without corresponding in vivo differences, the method is over-discriminating and unsuitable; conversely, if it fails to detect meaningful in vivo differences, it is under-discriminating</w:t>
      </w:r>
      <w:r w:rsidR="00520746" w:rsidRPr="00555DE1">
        <w:rPr>
          <w:rFonts w:ascii="Arial" w:hAnsi="Arial" w:cs="Arial"/>
          <w:sz w:val="22"/>
          <w:szCs w:val="22"/>
        </w:rPr>
        <w:fldChar w:fldCharType="begin"/>
      </w:r>
      <w:r w:rsidR="00520746" w:rsidRPr="00555DE1">
        <w:rPr>
          <w:rFonts w:ascii="Arial" w:hAnsi="Arial" w:cs="Arial"/>
          <w:sz w:val="22"/>
          <w:szCs w:val="22"/>
        </w:rPr>
        <w:instrText xml:space="preserve"> ADDIN ZOTERO_ITEM CSL_CITATION {"citationID":"UCLF393j","properties":{"formattedCitation":"[96]","plainCitation":"[96]","noteIndex":0},"citationItems":[{"id":1309,"uris":["http://zotero.org/users/16905564/items/PRZS2QVI"],"itemData":{"id":1309,"type":"article-journal","container-title":"Dissolution Technol","issue":"4","journalAbbreviation":"Dissolution Technol","page":"18-23","title":"Developing discriminatory drug dissolution tests and profiles: Some thoughts for consideration on the concept and its interpretation","volume":"13","author":[{"family":"Qureshi","given":"Saeed A"}],"issued":{"date-parts":[["2006"]]}}}],"schema":"https://github.com/citation-style-language/schema/raw/master/csl-citation.json"} </w:instrText>
      </w:r>
      <w:r w:rsidR="00520746" w:rsidRPr="00555DE1">
        <w:rPr>
          <w:rFonts w:ascii="Arial" w:hAnsi="Arial" w:cs="Arial"/>
          <w:sz w:val="22"/>
          <w:szCs w:val="22"/>
        </w:rPr>
        <w:fldChar w:fldCharType="separate"/>
      </w:r>
      <w:r w:rsidR="00520746" w:rsidRPr="00555DE1">
        <w:rPr>
          <w:rFonts w:ascii="Arial" w:hAnsi="Arial" w:cs="Arial"/>
          <w:sz w:val="22"/>
          <w:szCs w:val="22"/>
        </w:rPr>
        <w:t>[96]</w:t>
      </w:r>
      <w:r w:rsidR="00520746" w:rsidRPr="00555DE1">
        <w:rPr>
          <w:rFonts w:ascii="Arial" w:hAnsi="Arial" w:cs="Arial"/>
          <w:sz w:val="22"/>
          <w:szCs w:val="22"/>
        </w:rPr>
        <w:fldChar w:fldCharType="end"/>
      </w:r>
      <w:r w:rsidRPr="00164B2E">
        <w:rPr>
          <w:rFonts w:ascii="Arial" w:hAnsi="Arial" w:cs="Arial"/>
          <w:sz w:val="22"/>
          <w:szCs w:val="22"/>
        </w:rPr>
        <w:t xml:space="preserve">. Therefore, the discriminatory power of a dissolution method must be grounded in physiological relevance and reflect formulation attributes, release mechanisms, and gastrointestinal conditions. Without a demonstrated in vivo link, dissolution testing serves merely as a quality-control tool rather than as a predictive, </w:t>
      </w:r>
      <w:r w:rsidR="00520746" w:rsidRPr="00555DE1">
        <w:rPr>
          <w:rFonts w:ascii="Arial" w:hAnsi="Arial" w:cs="Arial"/>
          <w:sz w:val="22"/>
          <w:szCs w:val="22"/>
        </w:rPr>
        <w:t>bio-pharmaceutically</w:t>
      </w:r>
      <w:r w:rsidRPr="00164B2E">
        <w:rPr>
          <w:rFonts w:ascii="Arial" w:hAnsi="Arial" w:cs="Arial"/>
          <w:sz w:val="22"/>
          <w:szCs w:val="22"/>
        </w:rPr>
        <w:t xml:space="preserve"> meaningful assessment.</w:t>
      </w:r>
    </w:p>
    <w:p w14:paraId="7B772DD0" w14:textId="1F682F0F" w:rsidR="00156F03" w:rsidRPr="00555DE1" w:rsidRDefault="002A4071" w:rsidP="002379C3">
      <w:pPr>
        <w:pStyle w:val="Body"/>
        <w:rPr>
          <w:rFonts w:ascii="Arial" w:hAnsi="Arial" w:cs="Arial"/>
          <w:sz w:val="22"/>
          <w:szCs w:val="22"/>
        </w:rPr>
      </w:pPr>
      <w:r w:rsidRPr="00555DE1">
        <w:rPr>
          <w:rFonts w:ascii="Arial" w:hAnsi="Arial" w:cs="Arial"/>
          <w:sz w:val="22"/>
          <w:szCs w:val="22"/>
        </w:rPr>
        <w:t xml:space="preserve"> When seeking biowaivers for changes in drug manufacturing, IVIVC can substitute for certain in vivo studies if safety and efficacy are sufficiently demonstrated. Recently, IVIVC has been incorporated into the Quality by Design (</w:t>
      </w:r>
      <w:proofErr w:type="spellStart"/>
      <w:r w:rsidRPr="00555DE1">
        <w:rPr>
          <w:rFonts w:ascii="Arial" w:hAnsi="Arial" w:cs="Arial"/>
          <w:sz w:val="22"/>
          <w:szCs w:val="22"/>
        </w:rPr>
        <w:t>QbD</w:t>
      </w:r>
      <w:proofErr w:type="spellEnd"/>
      <w:r w:rsidRPr="00555DE1">
        <w:rPr>
          <w:rFonts w:ascii="Arial" w:hAnsi="Arial" w:cs="Arial"/>
          <w:sz w:val="22"/>
          <w:szCs w:val="22"/>
        </w:rPr>
        <w:t>) framework to define clinically relevant specifications for drug products, with dissolution serving as the key endpoint</w:t>
      </w:r>
      <w:r w:rsidRPr="00555DE1">
        <w:rPr>
          <w:rFonts w:ascii="Arial" w:hAnsi="Arial" w:cs="Arial"/>
          <w:sz w:val="22"/>
          <w:szCs w:val="22"/>
        </w:rPr>
        <w:fldChar w:fldCharType="begin"/>
      </w:r>
      <w:r w:rsidR="00520746" w:rsidRPr="00555DE1">
        <w:rPr>
          <w:rFonts w:ascii="Arial" w:hAnsi="Arial" w:cs="Arial"/>
          <w:sz w:val="22"/>
          <w:szCs w:val="22"/>
        </w:rPr>
        <w:instrText xml:space="preserve"> ADDIN ZOTERO_ITEM CSL_CITATION {"citationID":"gDaILeBo","properties":{"formattedCitation":"[97]","plainCitation":"[97]","noteIndex":0},"citationItems":[{"id":1285,"uris":["http://zotero.org/users/16905564/items/4TNX2UQE"],"itemData":{"id":1285,"type":"article-journal","container-title":"Journal of Angiotherapy","issue":"1","journalAbbreviation":"Journal of Angiotherapy","page":"1-16","publisher":"Eman Research Publishing LLC, USA","title":"Advanced Dissolution Testing for Novel Drug Formulations: Challenges, Emerging Methods, and Regulatory Perspectives","volume":"9","author":[{"family":"Lutfor","given":"Mohammad"},{"family":"Al","given":"Md"},{"family":"Nadarkhani","given":"Faranak"},{"family":"Nezab","given":"Md"}],"issued":{"date-parts":[["2025"]]}}}],"schema":"https://github.com/citation-style-language/schema/raw/master/csl-citation.json"} </w:instrText>
      </w:r>
      <w:r w:rsidRPr="00555DE1">
        <w:rPr>
          <w:rFonts w:ascii="Arial" w:hAnsi="Arial" w:cs="Arial"/>
          <w:sz w:val="22"/>
          <w:szCs w:val="22"/>
        </w:rPr>
        <w:fldChar w:fldCharType="separate"/>
      </w:r>
      <w:r w:rsidR="00520746" w:rsidRPr="00555DE1">
        <w:rPr>
          <w:rFonts w:ascii="Arial" w:hAnsi="Arial" w:cs="Arial"/>
          <w:sz w:val="22"/>
          <w:szCs w:val="22"/>
        </w:rPr>
        <w:t>[97]</w:t>
      </w:r>
      <w:r w:rsidRPr="00555DE1">
        <w:rPr>
          <w:rFonts w:ascii="Arial" w:hAnsi="Arial" w:cs="Arial"/>
          <w:sz w:val="22"/>
          <w:szCs w:val="22"/>
        </w:rPr>
        <w:fldChar w:fldCharType="end"/>
      </w:r>
      <w:r w:rsidRPr="00555DE1">
        <w:rPr>
          <w:rFonts w:ascii="Arial" w:hAnsi="Arial" w:cs="Arial"/>
          <w:sz w:val="22"/>
          <w:szCs w:val="22"/>
        </w:rPr>
        <w:t>.</w:t>
      </w:r>
      <w:r w:rsidR="00D03F59">
        <w:rPr>
          <w:rFonts w:ascii="Arial" w:hAnsi="Arial" w:cs="Arial"/>
          <w:sz w:val="22"/>
          <w:szCs w:val="22"/>
        </w:rPr>
        <w:t xml:space="preserve"> </w:t>
      </w:r>
      <w:r w:rsidRPr="00555DE1">
        <w:rPr>
          <w:rFonts w:ascii="Arial" w:hAnsi="Arial" w:cs="Arial"/>
          <w:sz w:val="22"/>
          <w:szCs w:val="22"/>
        </w:rPr>
        <w:t>Additionally, IVIVC can assist in establishing dissolution specifications</w:t>
      </w:r>
      <w:r w:rsidRPr="00555DE1">
        <w:rPr>
          <w:rFonts w:ascii="Arial" w:hAnsi="Arial" w:cs="Arial"/>
          <w:sz w:val="22"/>
          <w:szCs w:val="22"/>
        </w:rPr>
        <w:fldChar w:fldCharType="begin"/>
      </w:r>
      <w:r w:rsidR="00520746" w:rsidRPr="00555DE1">
        <w:rPr>
          <w:rFonts w:ascii="Arial" w:hAnsi="Arial" w:cs="Arial"/>
          <w:sz w:val="22"/>
          <w:szCs w:val="22"/>
        </w:rPr>
        <w:instrText xml:space="preserve"> ADDIN ZOTERO_ITEM CSL_CITATION {"citationID":"4srirket","properties":{"formattedCitation":"[98]","plainCitation":"[98]","noteIndex":0},"citationItems":[{"id":1286,"uris":["http://zotero.org/users/16905564/items/8GSLWAPB"],"itemData":{"id":1286,"type":"article-journal","container-title":"The AAPS journal","ISSN":"1550-7416","issue":"6","journalAbbreviation":"The AAPS journal","page":"1379-1390","publisher":"Springer","title":"Regulatory experience with in vivo in vitro correlations (IVIVC) in new drug applications","volume":"18","author":[{"family":"Suarez-Sharp","given":"Sandra"},{"family":"Li","given":"Min"},{"family":"Duan","given":"John"},{"family":"Shah","given":"Heta"},{"family":"Seo","given":"Paul"}],"issued":{"date-parts":[["2016"]]}}}],"schema":"https://github.com/citation-style-language/schema/raw/master/csl-citation.json"} </w:instrText>
      </w:r>
      <w:r w:rsidRPr="00555DE1">
        <w:rPr>
          <w:rFonts w:ascii="Arial" w:hAnsi="Arial" w:cs="Arial"/>
          <w:sz w:val="22"/>
          <w:szCs w:val="22"/>
        </w:rPr>
        <w:fldChar w:fldCharType="separate"/>
      </w:r>
      <w:r w:rsidR="00520746" w:rsidRPr="00555DE1">
        <w:rPr>
          <w:rFonts w:ascii="Arial" w:hAnsi="Arial" w:cs="Arial"/>
          <w:sz w:val="22"/>
          <w:szCs w:val="22"/>
        </w:rPr>
        <w:t>[98]</w:t>
      </w:r>
      <w:r w:rsidRPr="00555DE1">
        <w:rPr>
          <w:rFonts w:ascii="Arial" w:hAnsi="Arial" w:cs="Arial"/>
          <w:sz w:val="22"/>
          <w:szCs w:val="22"/>
        </w:rPr>
        <w:fldChar w:fldCharType="end"/>
      </w:r>
      <w:r w:rsidRPr="00555DE1">
        <w:rPr>
          <w:rFonts w:ascii="Arial" w:hAnsi="Arial" w:cs="Arial"/>
          <w:sz w:val="22"/>
          <w:szCs w:val="22"/>
        </w:rPr>
        <w:t>. Examples include justifying changes in reinforcing strength, minor formulation adjustments, modifications to the manufacturing site, and ensuring batch-to-batch quality control</w:t>
      </w:r>
      <w:r w:rsidR="002379C3" w:rsidRPr="00555DE1">
        <w:rPr>
          <w:rFonts w:ascii="Arial" w:hAnsi="Arial" w:cs="Arial"/>
          <w:sz w:val="22"/>
          <w:szCs w:val="22"/>
        </w:rPr>
        <w:t>.</w:t>
      </w:r>
    </w:p>
    <w:p w14:paraId="47DE3C4C" w14:textId="6952F05C" w:rsidR="00680F50" w:rsidRPr="00555DE1" w:rsidRDefault="002A4071" w:rsidP="00680F50">
      <w:pPr>
        <w:pStyle w:val="Body"/>
        <w:spacing w:after="0"/>
        <w:rPr>
          <w:rFonts w:ascii="Arial" w:hAnsi="Arial" w:cs="Arial"/>
          <w:sz w:val="22"/>
          <w:szCs w:val="22"/>
        </w:rPr>
      </w:pPr>
      <w:r w:rsidRPr="00555DE1">
        <w:rPr>
          <w:rFonts w:ascii="Arial" w:hAnsi="Arial" w:cs="Arial"/>
          <w:sz w:val="22"/>
          <w:szCs w:val="22"/>
        </w:rPr>
        <w:t>Regulatory agencies recommend using an IVIVC model for most modified-release dosage forms. The primary benefit of IVIVC is its ability to evaluate in vivo absorption changes arising from in vitro dissolution variations, even when only minor differences exist in a pharmaceutical formulation</w:t>
      </w:r>
      <w:r w:rsidRPr="00555DE1">
        <w:rPr>
          <w:rFonts w:ascii="Arial" w:hAnsi="Arial" w:cs="Arial"/>
          <w:sz w:val="22"/>
          <w:szCs w:val="22"/>
        </w:rPr>
        <w:fldChar w:fldCharType="begin"/>
      </w:r>
      <w:r w:rsidR="00520746" w:rsidRPr="00555DE1">
        <w:rPr>
          <w:rFonts w:ascii="Arial" w:hAnsi="Arial" w:cs="Arial"/>
          <w:sz w:val="22"/>
          <w:szCs w:val="22"/>
        </w:rPr>
        <w:instrText xml:space="preserve"> ADDIN ZOTERO_ITEM CSL_CITATION {"citationID":"s2hr0zvc","properties":{"formattedCitation":"[99]","plainCitation":"[99]","noteIndex":0},"citationItems":[{"id":1287,"uris":["http://zotero.org/users/16905564/items/IGY99PD2"],"itemData":{"id":1287,"type":"article-journal","container-title":"International journal of pharmaceutics","ISSN":"0378-5173","issue":"1","journalAbbreviation":"International journal of pharmaceutics","page":"142-148","publisher":"Elsevier","title":"In vitro–in vivo correlation: Perspectives on model development","volume":"418","author":[{"family":"Lu","given":"Ying"},{"family":"Kim","given":"Sungwon"},{"family":"Park","given":"Kinam"}],"issued":{"date-parts":[["2011"]]}}}],"schema":"https://github.com/citation-style-language/schema/raw/master/csl-citation.json"} </w:instrText>
      </w:r>
      <w:r w:rsidRPr="00555DE1">
        <w:rPr>
          <w:rFonts w:ascii="Arial" w:hAnsi="Arial" w:cs="Arial"/>
          <w:sz w:val="22"/>
          <w:szCs w:val="22"/>
        </w:rPr>
        <w:fldChar w:fldCharType="separate"/>
      </w:r>
      <w:r w:rsidR="00520746" w:rsidRPr="00555DE1">
        <w:rPr>
          <w:rFonts w:ascii="Arial" w:hAnsi="Arial" w:cs="Arial"/>
          <w:sz w:val="22"/>
          <w:szCs w:val="22"/>
        </w:rPr>
        <w:t>[99]</w:t>
      </w:r>
      <w:r w:rsidRPr="00555DE1">
        <w:rPr>
          <w:rFonts w:ascii="Arial" w:hAnsi="Arial" w:cs="Arial"/>
          <w:sz w:val="22"/>
          <w:szCs w:val="22"/>
        </w:rPr>
        <w:fldChar w:fldCharType="end"/>
      </w:r>
      <w:r w:rsidRPr="00555DE1">
        <w:rPr>
          <w:rFonts w:ascii="Arial" w:hAnsi="Arial" w:cs="Arial"/>
          <w:sz w:val="22"/>
          <w:szCs w:val="22"/>
        </w:rPr>
        <w:t xml:space="preserve">. After selecting a validated IVIVC model, it can </w:t>
      </w:r>
      <w:r w:rsidR="0085718D" w:rsidRPr="00555DE1">
        <w:rPr>
          <w:rFonts w:ascii="Arial" w:hAnsi="Arial" w:cs="Arial"/>
          <w:sz w:val="22"/>
          <w:szCs w:val="22"/>
        </w:rPr>
        <w:t>predict bioavailability and bioequivalence (BA/BE) from</w:t>
      </w:r>
      <w:r w:rsidRPr="00555DE1">
        <w:rPr>
          <w:rFonts w:ascii="Arial" w:hAnsi="Arial" w:cs="Arial"/>
          <w:sz w:val="22"/>
          <w:szCs w:val="22"/>
        </w:rPr>
        <w:t xml:space="preserve"> existing in vitro data. This allows dissolution test results to be used as the needed information without conducting human bioequivalence studies</w:t>
      </w:r>
      <w:r w:rsidRPr="00555DE1">
        <w:rPr>
          <w:rFonts w:ascii="Arial" w:hAnsi="Arial" w:cs="Arial"/>
          <w:sz w:val="22"/>
          <w:szCs w:val="22"/>
        </w:rPr>
        <w:fldChar w:fldCharType="begin"/>
      </w:r>
      <w:r w:rsidR="00520746" w:rsidRPr="00555DE1">
        <w:rPr>
          <w:rFonts w:ascii="Arial" w:hAnsi="Arial" w:cs="Arial"/>
          <w:sz w:val="22"/>
          <w:szCs w:val="22"/>
        </w:rPr>
        <w:instrText xml:space="preserve"> ADDIN ZOTERO_ITEM CSL_CITATION {"citationID":"EfhBwvfH","properties":{"formattedCitation":"[100]","plainCitation":"[100]","noteIndex":0},"citationItems":[{"id":1288,"uris":["http://zotero.org/users/16905564/items/M6PY5MA8"],"itemData":{"id":1288,"type":"book","ISBN":"1-119-63460-1","publisher":"John Wiley &amp; Sons","title":"Pharmaceutical Dissolution Testing, Bioavailability, and Bioequivalence: Science, Applications, and Beyond","author":[{"family":"Banakar","given":"Umesh V"}],"issued":{"date-parts":[["2022"]]}}}],"schema":"https://github.com/citation-style-language/schema/raw/master/csl-citation.json"} </w:instrText>
      </w:r>
      <w:r w:rsidRPr="00555DE1">
        <w:rPr>
          <w:rFonts w:ascii="Arial" w:hAnsi="Arial" w:cs="Arial"/>
          <w:sz w:val="22"/>
          <w:szCs w:val="22"/>
        </w:rPr>
        <w:fldChar w:fldCharType="separate"/>
      </w:r>
      <w:r w:rsidR="00520746" w:rsidRPr="00555DE1">
        <w:rPr>
          <w:rFonts w:ascii="Arial" w:hAnsi="Arial" w:cs="Arial"/>
          <w:sz w:val="22"/>
          <w:szCs w:val="22"/>
        </w:rPr>
        <w:t>[100]</w:t>
      </w:r>
      <w:r w:rsidRPr="00555DE1">
        <w:rPr>
          <w:rFonts w:ascii="Arial" w:hAnsi="Arial" w:cs="Arial"/>
          <w:sz w:val="22"/>
          <w:szCs w:val="22"/>
        </w:rPr>
        <w:fldChar w:fldCharType="end"/>
      </w:r>
      <w:r w:rsidRPr="00555DE1">
        <w:rPr>
          <w:rFonts w:ascii="Arial" w:hAnsi="Arial" w:cs="Arial"/>
          <w:sz w:val="22"/>
          <w:szCs w:val="22"/>
        </w:rPr>
        <w:t>.</w:t>
      </w:r>
    </w:p>
    <w:p w14:paraId="513341E5" w14:textId="77777777" w:rsidR="00680F50" w:rsidRPr="00555DE1" w:rsidRDefault="00680F50" w:rsidP="00680F50">
      <w:pPr>
        <w:pStyle w:val="Body"/>
        <w:spacing w:after="0"/>
        <w:rPr>
          <w:rFonts w:ascii="Arial" w:hAnsi="Arial" w:cs="Arial"/>
          <w:sz w:val="22"/>
          <w:szCs w:val="22"/>
        </w:rPr>
      </w:pPr>
    </w:p>
    <w:p w14:paraId="4B8C170D" w14:textId="77777777" w:rsidR="007B44F9" w:rsidRDefault="00554367" w:rsidP="0036375D">
      <w:pPr>
        <w:pStyle w:val="Body"/>
        <w:spacing w:after="0"/>
        <w:rPr>
          <w:rFonts w:ascii="Arial" w:hAnsi="Arial" w:cs="Arial"/>
          <w:sz w:val="22"/>
          <w:szCs w:val="22"/>
        </w:rPr>
      </w:pPr>
      <w:r w:rsidRPr="00555DE1">
        <w:rPr>
          <w:rFonts w:ascii="Arial" w:hAnsi="Arial" w:cs="Arial"/>
          <w:sz w:val="22"/>
          <w:szCs w:val="22"/>
        </w:rPr>
        <w:t>Regulatory bodies throughout the US and Europe consider IVIVC essential for biowaiver approvals, enabling pharmaceutical firms to bypass expensive in vivo studies for new formulations. Validated IVIVC models streamline drug approval by cutting down both the time and expenses associated with clinical trials</w:t>
      </w:r>
      <w:r w:rsidRPr="00555DE1">
        <w:rPr>
          <w:rFonts w:ascii="Arial" w:hAnsi="Arial" w:cs="Arial"/>
          <w:sz w:val="22"/>
          <w:szCs w:val="22"/>
        </w:rPr>
        <w:fldChar w:fldCharType="begin"/>
      </w:r>
      <w:r w:rsidR="00520746" w:rsidRPr="00555DE1">
        <w:rPr>
          <w:rFonts w:ascii="Arial" w:hAnsi="Arial" w:cs="Arial"/>
          <w:sz w:val="22"/>
          <w:szCs w:val="22"/>
        </w:rPr>
        <w:instrText xml:space="preserve"> ADDIN ZOTERO_ITEM CSL_CITATION {"citationID":"8ZZGq6fQ","properties":{"formattedCitation":"[101], [102]","plainCitation":"[101], [102]","noteIndex":0},"citationItems":[{"id":1299,"uris":["http://zotero.org/users/16905564/items/DWIRMUXK"],"itemData":{"id":1299,"type":"article-journal","container-title":"World Journal of Advanced Research and Reviews","issue":"2","journalAbbreviation":"World Journal of Advanced Research and Reviews","page":"2311-2328","title":"In vivo–In Vitro correlation (IVIVC) in drug development: bridging preclinical and clinical outcomes for regulatory approvals","volume":"22","author":[{"family":"Patel","given":"Rohankumar"},{"family":"Patel","given":"Ankur"}],"issued":{"date-parts":[["2024"]]}}},{"id":1300,"uris":["http://zotero.org/users/16905564/items/ZIUJ4VKR"],"itemData":{"id":1300,"type":"article-journal","container-title":"Journal of Angiotherapy","issue":"1","journalAbbreviation":"Journal of Angiotherapy","page":"1-16","publisher":"Eman Research Publishing LLC, USA","title":"Advanced Dissolution Testing for Novel Drug Formulations: Challenges, Emerging Methods, and Regulatory Perspectives","volume":"9","author":[{"family":"Lutfor","given":"Mohammad"},{"family":"Al","given":"Md"},{"family":"Nadarkhani","given":"Faranak"},{"family":"Nezab","given":"Md"}],"issued":{"date-parts":[["2025"]]}}}],"schema":"https://github.com/citation-style-language/schema/raw/master/csl-citation.json"} </w:instrText>
      </w:r>
      <w:r w:rsidRPr="00555DE1">
        <w:rPr>
          <w:rFonts w:ascii="Arial" w:hAnsi="Arial" w:cs="Arial"/>
          <w:sz w:val="22"/>
          <w:szCs w:val="22"/>
        </w:rPr>
        <w:fldChar w:fldCharType="separate"/>
      </w:r>
      <w:r w:rsidR="00520746" w:rsidRPr="00555DE1">
        <w:rPr>
          <w:rFonts w:ascii="Arial" w:hAnsi="Arial" w:cs="Arial"/>
          <w:sz w:val="22"/>
          <w:szCs w:val="22"/>
        </w:rPr>
        <w:t>[101], [102]</w:t>
      </w:r>
      <w:r w:rsidRPr="00555DE1">
        <w:rPr>
          <w:rFonts w:ascii="Arial" w:hAnsi="Arial" w:cs="Arial"/>
          <w:sz w:val="22"/>
          <w:szCs w:val="22"/>
        </w:rPr>
        <w:fldChar w:fldCharType="end"/>
      </w:r>
      <w:r w:rsidRPr="00555DE1">
        <w:rPr>
          <w:rFonts w:ascii="Arial" w:hAnsi="Arial" w:cs="Arial"/>
          <w:sz w:val="22"/>
          <w:szCs w:val="22"/>
        </w:rPr>
        <w:t>.</w:t>
      </w:r>
      <w:r w:rsidR="0036375D" w:rsidRPr="00555DE1">
        <w:rPr>
          <w:rFonts w:ascii="Arial" w:hAnsi="Arial" w:cs="Arial"/>
          <w:sz w:val="22"/>
          <w:szCs w:val="22"/>
        </w:rPr>
        <w:t xml:space="preserve"> </w:t>
      </w:r>
    </w:p>
    <w:p w14:paraId="0AC8F9B6" w14:textId="77777777" w:rsidR="007B44F9" w:rsidRDefault="007B44F9" w:rsidP="0036375D">
      <w:pPr>
        <w:pStyle w:val="Body"/>
        <w:spacing w:after="0"/>
        <w:rPr>
          <w:rFonts w:ascii="Arial" w:hAnsi="Arial" w:cs="Arial"/>
          <w:sz w:val="22"/>
          <w:szCs w:val="22"/>
        </w:rPr>
      </w:pPr>
    </w:p>
    <w:p w14:paraId="5FC67C75" w14:textId="426C3077" w:rsidR="002A4071" w:rsidRPr="00555DE1" w:rsidRDefault="001A5499" w:rsidP="0036375D">
      <w:pPr>
        <w:pStyle w:val="Body"/>
        <w:spacing w:after="0"/>
        <w:rPr>
          <w:rFonts w:ascii="Arial" w:hAnsi="Arial" w:cs="Arial"/>
          <w:sz w:val="22"/>
          <w:szCs w:val="22"/>
        </w:rPr>
      </w:pPr>
      <w:r w:rsidRPr="00555DE1">
        <w:rPr>
          <w:rFonts w:ascii="Arial" w:hAnsi="Arial" w:cs="Arial"/>
          <w:sz w:val="22"/>
          <w:szCs w:val="22"/>
        </w:rPr>
        <w:t xml:space="preserve">Validation of an analytical method is designed to assess the dissolution profile of products or verify </w:t>
      </w:r>
      <w:proofErr w:type="spellStart"/>
      <w:r w:rsidRPr="00555DE1">
        <w:rPr>
          <w:rFonts w:ascii="Arial" w:hAnsi="Arial" w:cs="Arial"/>
          <w:sz w:val="22"/>
          <w:szCs w:val="22"/>
        </w:rPr>
        <w:t>pharmacopoeial</w:t>
      </w:r>
      <w:proofErr w:type="spellEnd"/>
      <w:r w:rsidRPr="00555DE1">
        <w:rPr>
          <w:rFonts w:ascii="Arial" w:hAnsi="Arial" w:cs="Arial"/>
          <w:sz w:val="22"/>
          <w:szCs w:val="22"/>
        </w:rPr>
        <w:t xml:space="preserve"> compliance for dosage forms. The method should demonstrate scientific robustness, ensuring accurate, precise, and reproducible results and, most importantly, guaranteeing acceptable drug product quality. Essentially, this analytical method must prove its ability to accurately classify two </w:t>
      </w:r>
      <w:r w:rsidRPr="00555DE1">
        <w:rPr>
          <w:rFonts w:ascii="Arial" w:hAnsi="Arial" w:cs="Arial"/>
          <w:sz w:val="22"/>
          <w:szCs w:val="22"/>
        </w:rPr>
        <w:lastRenderedPageBreak/>
        <w:t>dissolution profiles as similar or to confirm that drug products meet pharmacopoeia standards.</w:t>
      </w:r>
    </w:p>
    <w:p w14:paraId="07BAC24D" w14:textId="77777777" w:rsidR="0036375D" w:rsidRPr="00555DE1" w:rsidRDefault="0036375D" w:rsidP="002A4071">
      <w:pPr>
        <w:pStyle w:val="Body"/>
        <w:spacing w:after="0"/>
        <w:rPr>
          <w:rFonts w:ascii="Arial" w:hAnsi="Arial" w:cs="Arial"/>
          <w:b/>
          <w:bCs/>
          <w:sz w:val="22"/>
          <w:szCs w:val="22"/>
        </w:rPr>
      </w:pPr>
    </w:p>
    <w:p w14:paraId="555E1BCD" w14:textId="77777777" w:rsidR="00097DFB" w:rsidRPr="00555DE1" w:rsidRDefault="00097DFB" w:rsidP="002A4071">
      <w:pPr>
        <w:pStyle w:val="Body"/>
        <w:spacing w:after="0"/>
        <w:rPr>
          <w:rFonts w:ascii="Arial" w:hAnsi="Arial" w:cs="Arial"/>
          <w:b/>
          <w:bCs/>
          <w:sz w:val="22"/>
          <w:szCs w:val="22"/>
        </w:rPr>
      </w:pPr>
    </w:p>
    <w:p w14:paraId="5CA189D7" w14:textId="1D36AB80" w:rsidR="002A4071" w:rsidRPr="00555DE1" w:rsidRDefault="002A4071" w:rsidP="002A4071">
      <w:pPr>
        <w:pStyle w:val="Body"/>
        <w:spacing w:after="0"/>
        <w:rPr>
          <w:rFonts w:ascii="Arial" w:hAnsi="Arial" w:cs="Arial"/>
          <w:b/>
          <w:bCs/>
          <w:sz w:val="22"/>
          <w:szCs w:val="22"/>
        </w:rPr>
      </w:pPr>
      <w:r w:rsidRPr="00555DE1">
        <w:rPr>
          <w:rFonts w:ascii="Arial" w:hAnsi="Arial" w:cs="Arial"/>
          <w:b/>
          <w:bCs/>
          <w:sz w:val="22"/>
          <w:szCs w:val="22"/>
        </w:rPr>
        <w:t>Conclusion</w:t>
      </w:r>
    </w:p>
    <w:p w14:paraId="30C80DDC" w14:textId="7AF91CA0" w:rsidR="00E52D7D" w:rsidRPr="00E52D7D" w:rsidRDefault="00E52D7D" w:rsidP="00E52D7D">
      <w:pPr>
        <w:pStyle w:val="Body"/>
        <w:rPr>
          <w:rFonts w:ascii="Arial" w:hAnsi="Arial" w:cs="Arial"/>
          <w:sz w:val="22"/>
          <w:szCs w:val="22"/>
        </w:rPr>
      </w:pPr>
      <w:r w:rsidRPr="00555DE1">
        <w:rPr>
          <w:rFonts w:ascii="Arial" w:hAnsi="Arial" w:cs="Arial"/>
          <w:sz w:val="22"/>
          <w:szCs w:val="22"/>
        </w:rPr>
        <w:t xml:space="preserve">Dissolution testing plays a vital role in pharmaceutical development by revealing how active pharmaceutical ingredients are released from solid dosage forms. </w:t>
      </w:r>
      <w:r w:rsidR="005E6243" w:rsidRPr="00555DE1">
        <w:rPr>
          <w:rFonts w:ascii="Arial" w:hAnsi="Arial" w:cs="Arial"/>
          <w:sz w:val="22"/>
          <w:szCs w:val="22"/>
        </w:rPr>
        <w:t>Understanding the physicochemical properties of APIs, excipients, and finished products is key to ensuring consistent drug quality, therapeutic efficacy, and regulatory compliance</w:t>
      </w:r>
      <w:r w:rsidRPr="00555DE1">
        <w:rPr>
          <w:rFonts w:ascii="Arial" w:hAnsi="Arial" w:cs="Arial"/>
          <w:sz w:val="22"/>
          <w:szCs w:val="22"/>
        </w:rPr>
        <w:t xml:space="preserve">. The models discussed—such as the Noyes–Whitney equation, the </w:t>
      </w:r>
      <w:proofErr w:type="spellStart"/>
      <w:r w:rsidRPr="00555DE1">
        <w:rPr>
          <w:rFonts w:ascii="Arial" w:hAnsi="Arial" w:cs="Arial"/>
          <w:sz w:val="22"/>
          <w:szCs w:val="22"/>
        </w:rPr>
        <w:t>Danckwerts</w:t>
      </w:r>
      <w:proofErr w:type="spellEnd"/>
      <w:r w:rsidRPr="00555DE1">
        <w:rPr>
          <w:rFonts w:ascii="Arial" w:hAnsi="Arial" w:cs="Arial"/>
          <w:sz w:val="22"/>
          <w:szCs w:val="22"/>
        </w:rPr>
        <w:t xml:space="preserve"> model, the interfacial barrier model, and the Higuchi model—provide important frameworks for understanding the mechanisms governing drug dissolution.</w:t>
      </w:r>
    </w:p>
    <w:p w14:paraId="05C87064" w14:textId="766A3B14" w:rsidR="00E52D7D" w:rsidRPr="00E52D7D" w:rsidRDefault="00E52D7D" w:rsidP="00E52D7D">
      <w:pPr>
        <w:pStyle w:val="Body"/>
        <w:rPr>
          <w:rFonts w:ascii="Arial" w:hAnsi="Arial" w:cs="Arial"/>
          <w:sz w:val="22"/>
          <w:szCs w:val="22"/>
        </w:rPr>
      </w:pPr>
      <w:r w:rsidRPr="00555DE1">
        <w:rPr>
          <w:rFonts w:ascii="Arial" w:hAnsi="Arial" w:cs="Arial"/>
          <w:sz w:val="22"/>
          <w:szCs w:val="22"/>
        </w:rPr>
        <w:t xml:space="preserve">Drug dissolution is affected by various factors, including the physicochemical properties of the drug substance, formulation composition, manufacturing processes, </w:t>
      </w:r>
      <w:r w:rsidR="005E6243" w:rsidRPr="00555DE1">
        <w:rPr>
          <w:rFonts w:ascii="Arial" w:hAnsi="Arial" w:cs="Arial"/>
          <w:sz w:val="22"/>
          <w:szCs w:val="22"/>
        </w:rPr>
        <w:t>dissolution apparatus conditions</w:t>
      </w:r>
      <w:r w:rsidRPr="00555DE1">
        <w:rPr>
          <w:rFonts w:ascii="Arial" w:hAnsi="Arial" w:cs="Arial"/>
          <w:sz w:val="22"/>
          <w:szCs w:val="22"/>
        </w:rPr>
        <w:t>, and experimental parameters such as temperature, medium composition, and agitation speed. Proper control of these variables, along with suitable sink conditions, is crucial for producing reliable, physiologically relevant dissolution data.</w:t>
      </w:r>
    </w:p>
    <w:p w14:paraId="758C5A08" w14:textId="2E826F79" w:rsidR="00E52D7D" w:rsidRPr="00555DE1" w:rsidRDefault="00D03F59" w:rsidP="00E52D7D">
      <w:pPr>
        <w:pStyle w:val="Body"/>
        <w:rPr>
          <w:rFonts w:ascii="Arial" w:hAnsi="Arial" w:cs="Arial"/>
          <w:sz w:val="22"/>
          <w:szCs w:val="22"/>
        </w:rPr>
      </w:pPr>
      <w:r>
        <w:rPr>
          <w:rFonts w:ascii="Arial" w:hAnsi="Arial" w:cs="Arial"/>
          <w:sz w:val="22"/>
          <w:szCs w:val="22"/>
        </w:rPr>
        <w:t>Furthermore, integrating dissolution studies with the Biopharmaceutical Classification System and in-vitro–in-vivo correlation models has improved the predictive power of dissolution testing in drug development. These approaches assist in bioequivalence assessment, simplify regulatory approval, and support more efficient and cost-effective pharmaceutical development. Dissolution testing remains a crucial tool for maintaining the quality, performance, and therapeutic consistency of oral pharmaceutical products.</w:t>
      </w:r>
    </w:p>
    <w:p w14:paraId="1A599110" w14:textId="77777777" w:rsidR="00555DE1" w:rsidRPr="00E52D7D" w:rsidRDefault="00555DE1" w:rsidP="00E52D7D">
      <w:pPr>
        <w:pStyle w:val="Body"/>
        <w:rPr>
          <w:rFonts w:ascii="Arial" w:hAnsi="Arial" w:cs="Arial"/>
          <w:sz w:val="22"/>
          <w:szCs w:val="22"/>
        </w:rPr>
      </w:pPr>
    </w:p>
    <w:p w14:paraId="10781DBD" w14:textId="77777777" w:rsidR="002A4071" w:rsidRPr="00555DE1" w:rsidRDefault="002A4071" w:rsidP="002A4071">
      <w:pPr>
        <w:pStyle w:val="Body"/>
        <w:spacing w:after="0"/>
        <w:rPr>
          <w:rFonts w:ascii="Arial" w:hAnsi="Arial" w:cs="Arial"/>
          <w:sz w:val="22"/>
          <w:szCs w:val="22"/>
        </w:rPr>
      </w:pPr>
    </w:p>
    <w:p w14:paraId="23B72947" w14:textId="77777777" w:rsidR="005D7C8E" w:rsidRPr="00555DE1" w:rsidRDefault="00761A10" w:rsidP="00761A10">
      <w:pPr>
        <w:pStyle w:val="Body"/>
        <w:rPr>
          <w:rFonts w:ascii="Arial" w:hAnsi="Arial" w:cs="Arial"/>
          <w:b/>
          <w:bCs/>
          <w:sz w:val="22"/>
          <w:szCs w:val="22"/>
        </w:rPr>
      </w:pPr>
      <w:r w:rsidRPr="00555DE1">
        <w:rPr>
          <w:rFonts w:ascii="Arial" w:hAnsi="Arial" w:cs="Arial"/>
          <w:b/>
          <w:bCs/>
          <w:sz w:val="22"/>
          <w:szCs w:val="22"/>
        </w:rPr>
        <w:t>Competing interests</w:t>
      </w:r>
    </w:p>
    <w:p w14:paraId="44B74376" w14:textId="433250F7" w:rsidR="00761A10" w:rsidRPr="00555DE1" w:rsidRDefault="002E664B" w:rsidP="00761A10">
      <w:pPr>
        <w:pStyle w:val="Body"/>
        <w:rPr>
          <w:rFonts w:ascii="Arial" w:hAnsi="Arial" w:cs="Arial"/>
          <w:b/>
          <w:bCs/>
          <w:sz w:val="22"/>
          <w:szCs w:val="22"/>
        </w:rPr>
      </w:pPr>
      <w:r w:rsidRPr="00555DE1">
        <w:rPr>
          <w:rFonts w:ascii="Arial" w:hAnsi="Arial" w:cs="Arial"/>
          <w:sz w:val="22"/>
          <w:szCs w:val="22"/>
        </w:rPr>
        <w:t>The author</w:t>
      </w:r>
      <w:r w:rsidR="00C97135" w:rsidRPr="00555DE1">
        <w:rPr>
          <w:rFonts w:ascii="Arial" w:hAnsi="Arial" w:cs="Arial"/>
          <w:sz w:val="22"/>
          <w:szCs w:val="22"/>
        </w:rPr>
        <w:t xml:space="preserve"> declared that no competing interests exist.</w:t>
      </w:r>
    </w:p>
    <w:p w14:paraId="45A3E853" w14:textId="7141157A" w:rsidR="00761A10" w:rsidRPr="00555DE1" w:rsidRDefault="00761A10" w:rsidP="00761A10">
      <w:pPr>
        <w:pStyle w:val="Body"/>
        <w:rPr>
          <w:rFonts w:ascii="Arial" w:hAnsi="Arial" w:cs="Arial"/>
          <w:b/>
          <w:bCs/>
          <w:sz w:val="22"/>
          <w:szCs w:val="22"/>
        </w:rPr>
      </w:pPr>
      <w:r w:rsidRPr="00555DE1">
        <w:rPr>
          <w:rFonts w:ascii="Arial" w:hAnsi="Arial" w:cs="Arial"/>
          <w:b/>
          <w:bCs/>
          <w:sz w:val="22"/>
          <w:szCs w:val="22"/>
        </w:rPr>
        <w:t xml:space="preserve">Ethical approval </w:t>
      </w:r>
    </w:p>
    <w:p w14:paraId="3C14858E" w14:textId="77777777" w:rsidR="002A4071" w:rsidRPr="00555DE1" w:rsidRDefault="00C97135" w:rsidP="002A4071">
      <w:pPr>
        <w:pStyle w:val="Body"/>
        <w:rPr>
          <w:rFonts w:ascii="Arial" w:hAnsi="Arial" w:cs="Arial"/>
          <w:sz w:val="22"/>
          <w:szCs w:val="22"/>
        </w:rPr>
      </w:pPr>
      <w:r w:rsidRPr="00555DE1">
        <w:rPr>
          <w:rFonts w:ascii="Arial" w:hAnsi="Arial" w:cs="Arial"/>
          <w:sz w:val="22"/>
          <w:szCs w:val="22"/>
        </w:rPr>
        <w:t>Not applicable</w:t>
      </w:r>
    </w:p>
    <w:p w14:paraId="4436183A" w14:textId="77777777" w:rsidR="003423B3" w:rsidRPr="00555DE1" w:rsidRDefault="003423B3" w:rsidP="003423B3">
      <w:pPr>
        <w:rPr>
          <w:rFonts w:ascii="Arial" w:eastAsia="Calibri" w:hAnsi="Arial" w:cs="Arial"/>
          <w:b/>
          <w:bCs/>
          <w:kern w:val="2"/>
          <w:sz w:val="22"/>
          <w:szCs w:val="22"/>
        </w:rPr>
      </w:pPr>
      <w:bookmarkStart w:id="2" w:name="_Hlk198031404"/>
      <w:bookmarkStart w:id="3" w:name="_Hlk219125673"/>
      <w:r w:rsidRPr="00555DE1">
        <w:rPr>
          <w:rFonts w:ascii="Arial" w:eastAsia="Calibri" w:hAnsi="Arial" w:cs="Arial"/>
          <w:b/>
          <w:bCs/>
          <w:kern w:val="2"/>
          <w:sz w:val="22"/>
          <w:szCs w:val="22"/>
        </w:rPr>
        <w:t>Disclaimer (Artificial intelligence)</w:t>
      </w:r>
    </w:p>
    <w:p w14:paraId="6A4C4322" w14:textId="77777777" w:rsidR="003423B3" w:rsidRPr="00555DE1" w:rsidRDefault="003423B3" w:rsidP="003423B3">
      <w:pPr>
        <w:rPr>
          <w:rFonts w:ascii="Arial" w:eastAsia="Calibri" w:hAnsi="Arial" w:cs="Arial"/>
          <w:kern w:val="2"/>
          <w:sz w:val="22"/>
          <w:szCs w:val="22"/>
        </w:rPr>
      </w:pPr>
    </w:p>
    <w:p w14:paraId="0AB855EF" w14:textId="525486E4" w:rsidR="003423B3" w:rsidRPr="00555DE1" w:rsidRDefault="00916D71" w:rsidP="003423B3">
      <w:pPr>
        <w:rPr>
          <w:rFonts w:ascii="Arial" w:eastAsia="Calibri" w:hAnsi="Arial" w:cs="Arial"/>
          <w:kern w:val="2"/>
          <w:sz w:val="22"/>
          <w:szCs w:val="22"/>
        </w:rPr>
      </w:pPr>
      <w:r>
        <w:rPr>
          <w:rFonts w:ascii="Arial" w:eastAsia="Calibri" w:hAnsi="Arial" w:cs="Arial"/>
          <w:kern w:val="2"/>
          <w:sz w:val="22"/>
          <w:szCs w:val="22"/>
        </w:rPr>
        <w:t xml:space="preserve">The author declares that no generative AI tools, including Large Language Models (ChatGPT, COPILOT, etc.) and text-to-image generators, were used in writing or editing this manuscript. </w:t>
      </w:r>
    </w:p>
    <w:bookmarkEnd w:id="2"/>
    <w:bookmarkEnd w:id="3"/>
    <w:p w14:paraId="7A546469" w14:textId="77777777" w:rsidR="005D7C8E" w:rsidRPr="00555DE1" w:rsidRDefault="005D7C8E" w:rsidP="002A4071">
      <w:pPr>
        <w:pStyle w:val="Body"/>
        <w:rPr>
          <w:rFonts w:ascii="Arial" w:hAnsi="Arial" w:cs="Arial"/>
          <w:sz w:val="22"/>
          <w:szCs w:val="22"/>
        </w:rPr>
      </w:pPr>
    </w:p>
    <w:p w14:paraId="71BB2A30" w14:textId="77777777" w:rsidR="00053739" w:rsidRPr="00555DE1" w:rsidRDefault="00053739" w:rsidP="002A4071">
      <w:pPr>
        <w:pStyle w:val="Body"/>
        <w:rPr>
          <w:rFonts w:ascii="Arial" w:hAnsi="Arial" w:cs="Arial"/>
          <w:sz w:val="22"/>
          <w:szCs w:val="22"/>
        </w:rPr>
      </w:pPr>
    </w:p>
    <w:p w14:paraId="34835312" w14:textId="77777777" w:rsidR="00053739" w:rsidRPr="00555DE1" w:rsidRDefault="00053739" w:rsidP="002A4071">
      <w:pPr>
        <w:pStyle w:val="Body"/>
        <w:rPr>
          <w:rFonts w:ascii="Arial" w:hAnsi="Arial" w:cs="Arial"/>
          <w:sz w:val="22"/>
          <w:szCs w:val="22"/>
        </w:rPr>
      </w:pPr>
    </w:p>
    <w:p w14:paraId="5AD562F2" w14:textId="77777777" w:rsidR="00053739" w:rsidRPr="00555DE1" w:rsidRDefault="00053739" w:rsidP="002A4071">
      <w:pPr>
        <w:pStyle w:val="Body"/>
        <w:rPr>
          <w:rFonts w:ascii="Arial" w:hAnsi="Arial" w:cs="Arial"/>
          <w:sz w:val="22"/>
          <w:szCs w:val="22"/>
        </w:rPr>
      </w:pPr>
    </w:p>
    <w:p w14:paraId="129D0975" w14:textId="77777777" w:rsidR="002A4071" w:rsidRPr="00555DE1" w:rsidRDefault="002A4071" w:rsidP="002A4071">
      <w:pPr>
        <w:pStyle w:val="Body"/>
        <w:rPr>
          <w:rFonts w:ascii="Arial" w:hAnsi="Arial" w:cs="Arial"/>
          <w:b/>
          <w:sz w:val="22"/>
          <w:szCs w:val="22"/>
        </w:rPr>
      </w:pPr>
      <w:r w:rsidRPr="00555DE1">
        <w:rPr>
          <w:rFonts w:ascii="Arial" w:hAnsi="Arial" w:cs="Arial"/>
          <w:b/>
          <w:sz w:val="22"/>
          <w:szCs w:val="22"/>
        </w:rPr>
        <w:t>References</w:t>
      </w:r>
    </w:p>
    <w:p w14:paraId="32BA018D" w14:textId="77777777" w:rsidR="00520746" w:rsidRPr="00555DE1" w:rsidRDefault="002A4071" w:rsidP="00520746">
      <w:pPr>
        <w:pStyle w:val="Bibliography"/>
        <w:rPr>
          <w:sz w:val="22"/>
          <w:szCs w:val="22"/>
        </w:rPr>
      </w:pPr>
      <w:r w:rsidRPr="00555DE1">
        <w:rPr>
          <w:rFonts w:ascii="Arial" w:hAnsi="Arial" w:cs="Arial"/>
          <w:sz w:val="22"/>
          <w:szCs w:val="22"/>
        </w:rPr>
        <w:fldChar w:fldCharType="begin"/>
      </w:r>
      <w:r w:rsidR="009E41E0" w:rsidRPr="00555DE1">
        <w:rPr>
          <w:rFonts w:ascii="Arial" w:hAnsi="Arial" w:cs="Arial"/>
          <w:sz w:val="22"/>
          <w:szCs w:val="22"/>
        </w:rPr>
        <w:instrText xml:space="preserve"> ADDIN ZOTERO_BIBL {"uncited":[],"omitted":[],"custom":[]} CSL_BIBLIOGRAPHY </w:instrText>
      </w:r>
      <w:r w:rsidRPr="00555DE1">
        <w:rPr>
          <w:rFonts w:ascii="Arial" w:hAnsi="Arial" w:cs="Arial"/>
          <w:sz w:val="22"/>
          <w:szCs w:val="22"/>
        </w:rPr>
        <w:fldChar w:fldCharType="separate"/>
      </w:r>
      <w:r w:rsidR="00520746" w:rsidRPr="00555DE1">
        <w:rPr>
          <w:sz w:val="22"/>
          <w:szCs w:val="22"/>
        </w:rPr>
        <w:t>[1]</w:t>
      </w:r>
      <w:r w:rsidR="00520746" w:rsidRPr="00555DE1">
        <w:rPr>
          <w:sz w:val="22"/>
          <w:szCs w:val="22"/>
        </w:rPr>
        <w:tab/>
        <w:t xml:space="preserve">S.S. Anacleto, M.M.C. Borges, H. L. de Oliveira, A. R. Vicente, E. C. de Figueiredo, M.A.L. de Oliveira, B.J.P. Borges, M.A. de Oliveira, W.S. Borges KBB., “Evaluation of physicochemical properties as supporting information on quality control of raw materials and veterinary pharmaceutical formulations.,” </w:t>
      </w:r>
      <w:r w:rsidR="00520746" w:rsidRPr="00555DE1">
        <w:rPr>
          <w:i/>
          <w:iCs/>
          <w:sz w:val="22"/>
          <w:szCs w:val="22"/>
        </w:rPr>
        <w:t>J Pharm Anal</w:t>
      </w:r>
      <w:r w:rsidR="00520746" w:rsidRPr="00555DE1">
        <w:rPr>
          <w:sz w:val="22"/>
          <w:szCs w:val="22"/>
        </w:rPr>
        <w:t>, no. 8, pp. 168–75, 2018.</w:t>
      </w:r>
    </w:p>
    <w:p w14:paraId="24DA5DFC" w14:textId="77777777" w:rsidR="00520746" w:rsidRPr="00555DE1" w:rsidRDefault="00520746" w:rsidP="00520746">
      <w:pPr>
        <w:pStyle w:val="Bibliography"/>
        <w:rPr>
          <w:sz w:val="22"/>
          <w:szCs w:val="22"/>
        </w:rPr>
      </w:pPr>
      <w:r w:rsidRPr="00555DE1">
        <w:rPr>
          <w:sz w:val="22"/>
          <w:szCs w:val="22"/>
        </w:rPr>
        <w:t>[2]</w:t>
      </w:r>
      <w:r w:rsidRPr="00555DE1">
        <w:rPr>
          <w:sz w:val="22"/>
          <w:szCs w:val="22"/>
        </w:rPr>
        <w:tab/>
        <w:t xml:space="preserve">G L Amidon, V P Shah, and J R Crison, “A theoretical basis for a biopharmaceutic drug classification: the correlation of in vitro drug product dissolution and in vivo bioavailability.,” </w:t>
      </w:r>
      <w:r w:rsidRPr="00555DE1">
        <w:rPr>
          <w:i/>
          <w:iCs/>
          <w:sz w:val="22"/>
          <w:szCs w:val="22"/>
        </w:rPr>
        <w:t>Pharm Res</w:t>
      </w:r>
      <w:r w:rsidRPr="00555DE1">
        <w:rPr>
          <w:sz w:val="22"/>
          <w:szCs w:val="22"/>
        </w:rPr>
        <w:t>, vol. 12, no. 3, pp. 413–20, 1995, doi: 10.1023/a:1016212804288.</w:t>
      </w:r>
    </w:p>
    <w:p w14:paraId="68544544" w14:textId="77777777" w:rsidR="00520746" w:rsidRPr="00555DE1" w:rsidRDefault="00520746" w:rsidP="00520746">
      <w:pPr>
        <w:pStyle w:val="Bibliography"/>
        <w:rPr>
          <w:sz w:val="22"/>
          <w:szCs w:val="22"/>
        </w:rPr>
      </w:pPr>
      <w:r w:rsidRPr="00555DE1">
        <w:rPr>
          <w:sz w:val="22"/>
          <w:szCs w:val="22"/>
        </w:rPr>
        <w:t>[3]</w:t>
      </w:r>
      <w:r w:rsidRPr="00555DE1">
        <w:rPr>
          <w:sz w:val="22"/>
          <w:szCs w:val="22"/>
        </w:rPr>
        <w:tab/>
        <w:t xml:space="preserve">Ghadi R, Dand N., “BCS class IV drugs: Highly notorious candidates for formulation development.,” </w:t>
      </w:r>
      <w:r w:rsidRPr="00555DE1">
        <w:rPr>
          <w:i/>
          <w:iCs/>
          <w:sz w:val="22"/>
          <w:szCs w:val="22"/>
        </w:rPr>
        <w:t>J. Controlled Release</w:t>
      </w:r>
      <w:r w:rsidRPr="00555DE1">
        <w:rPr>
          <w:sz w:val="22"/>
          <w:szCs w:val="22"/>
        </w:rPr>
        <w:t>, vol. 248, pp. 71–95, 2017, doi: 10.1016/j.jconrel.2017.01.014.</w:t>
      </w:r>
    </w:p>
    <w:p w14:paraId="03F22ECD" w14:textId="77777777" w:rsidR="00520746" w:rsidRPr="00555DE1" w:rsidRDefault="00520746" w:rsidP="00520746">
      <w:pPr>
        <w:pStyle w:val="Bibliography"/>
        <w:rPr>
          <w:sz w:val="22"/>
          <w:szCs w:val="22"/>
        </w:rPr>
      </w:pPr>
      <w:r w:rsidRPr="00555DE1">
        <w:rPr>
          <w:sz w:val="22"/>
          <w:szCs w:val="22"/>
        </w:rPr>
        <w:t>[4]</w:t>
      </w:r>
      <w:r w:rsidRPr="00555DE1">
        <w:rPr>
          <w:sz w:val="22"/>
          <w:szCs w:val="22"/>
        </w:rPr>
        <w:tab/>
        <w:t xml:space="preserve">Jack Cook, Yunhui Henry Wu, and William Addicks, “Application of the biopharmaceutical classification system in clinical drug development--an industrial view,” </w:t>
      </w:r>
      <w:r w:rsidRPr="00555DE1">
        <w:rPr>
          <w:i/>
          <w:iCs/>
          <w:sz w:val="22"/>
          <w:szCs w:val="22"/>
        </w:rPr>
        <w:t>AAPS J</w:t>
      </w:r>
      <w:r w:rsidRPr="00555DE1">
        <w:rPr>
          <w:sz w:val="22"/>
          <w:szCs w:val="22"/>
        </w:rPr>
        <w:t>, vol. 10, no. 2, pp. 306–10, 2008, doi: 10.1208/s12248-008-9036-5.</w:t>
      </w:r>
    </w:p>
    <w:p w14:paraId="7CFA33EE" w14:textId="77777777" w:rsidR="00520746" w:rsidRPr="00555DE1" w:rsidRDefault="00520746" w:rsidP="00520746">
      <w:pPr>
        <w:pStyle w:val="Bibliography"/>
        <w:rPr>
          <w:sz w:val="22"/>
          <w:szCs w:val="22"/>
        </w:rPr>
      </w:pPr>
      <w:r w:rsidRPr="00555DE1">
        <w:rPr>
          <w:sz w:val="22"/>
          <w:szCs w:val="22"/>
        </w:rPr>
        <w:t>[5]</w:t>
      </w:r>
      <w:r w:rsidRPr="00555DE1">
        <w:rPr>
          <w:sz w:val="22"/>
          <w:szCs w:val="22"/>
        </w:rPr>
        <w:tab/>
        <w:t xml:space="preserve">Zhu, H. and Yuen, C., “Influence of water activity in organic solvent plus water mixtures on the nature of the crystallizing phase. 1. Theophylline,” </w:t>
      </w:r>
      <w:r w:rsidRPr="00555DE1">
        <w:rPr>
          <w:i/>
          <w:iCs/>
          <w:sz w:val="22"/>
          <w:szCs w:val="22"/>
        </w:rPr>
        <w:t>Int. J Pharm Sci</w:t>
      </w:r>
      <w:r w:rsidRPr="00555DE1">
        <w:rPr>
          <w:sz w:val="22"/>
          <w:szCs w:val="22"/>
        </w:rPr>
        <w:t>, vol. 135, pp. 151–160, 1996, doi: 10.1016/0378-5173(95)04466-3.</w:t>
      </w:r>
    </w:p>
    <w:p w14:paraId="25A719EA" w14:textId="77777777" w:rsidR="00520746" w:rsidRPr="00555DE1" w:rsidRDefault="00520746" w:rsidP="00520746">
      <w:pPr>
        <w:pStyle w:val="Bibliography"/>
        <w:rPr>
          <w:sz w:val="22"/>
          <w:szCs w:val="22"/>
        </w:rPr>
      </w:pPr>
      <w:r w:rsidRPr="00555DE1">
        <w:rPr>
          <w:sz w:val="22"/>
          <w:szCs w:val="22"/>
        </w:rPr>
        <w:t>[6]</w:t>
      </w:r>
      <w:r w:rsidRPr="00555DE1">
        <w:rPr>
          <w:sz w:val="22"/>
          <w:szCs w:val="22"/>
        </w:rPr>
        <w:tab/>
        <w:t xml:space="preserve">Vippagunta, S.R, Brittain, H.G., and Grant DJ, “Crystalline solids.,” </w:t>
      </w:r>
      <w:r w:rsidRPr="00555DE1">
        <w:rPr>
          <w:i/>
          <w:iCs/>
          <w:sz w:val="22"/>
          <w:szCs w:val="22"/>
        </w:rPr>
        <w:t>Adv Drug Deliv Rev</w:t>
      </w:r>
      <w:r w:rsidRPr="00555DE1">
        <w:rPr>
          <w:sz w:val="22"/>
          <w:szCs w:val="22"/>
        </w:rPr>
        <w:t>, vol. 48, pp. 3–26, 2001.</w:t>
      </w:r>
    </w:p>
    <w:p w14:paraId="1699E194" w14:textId="77777777" w:rsidR="00520746" w:rsidRPr="00555DE1" w:rsidRDefault="00520746" w:rsidP="00520746">
      <w:pPr>
        <w:pStyle w:val="Bibliography"/>
        <w:rPr>
          <w:sz w:val="22"/>
          <w:szCs w:val="22"/>
        </w:rPr>
      </w:pPr>
      <w:r w:rsidRPr="00555DE1">
        <w:rPr>
          <w:sz w:val="22"/>
          <w:szCs w:val="22"/>
        </w:rPr>
        <w:t>[7]</w:t>
      </w:r>
      <w:r w:rsidRPr="00555DE1">
        <w:rPr>
          <w:sz w:val="22"/>
          <w:szCs w:val="22"/>
        </w:rPr>
        <w:tab/>
        <w:t xml:space="preserve">L. Allen and H. C. Ansel, </w:t>
      </w:r>
      <w:r w:rsidRPr="00555DE1">
        <w:rPr>
          <w:i/>
          <w:iCs/>
          <w:sz w:val="22"/>
          <w:szCs w:val="22"/>
        </w:rPr>
        <w:t>Ansel’s pharmaceutical dosage forms and drug delivery systems</w:t>
      </w:r>
      <w:r w:rsidRPr="00555DE1">
        <w:rPr>
          <w:sz w:val="22"/>
          <w:szCs w:val="22"/>
        </w:rPr>
        <w:t>. Lippincott Williams &amp; Wilkins, 2013.</w:t>
      </w:r>
    </w:p>
    <w:p w14:paraId="286FADC1" w14:textId="77777777" w:rsidR="00520746" w:rsidRPr="00555DE1" w:rsidRDefault="00520746" w:rsidP="00520746">
      <w:pPr>
        <w:pStyle w:val="Bibliography"/>
        <w:rPr>
          <w:sz w:val="22"/>
          <w:szCs w:val="22"/>
        </w:rPr>
      </w:pPr>
      <w:r w:rsidRPr="00555DE1">
        <w:rPr>
          <w:sz w:val="22"/>
          <w:szCs w:val="22"/>
        </w:rPr>
        <w:t>[8]</w:t>
      </w:r>
      <w:r w:rsidRPr="00555DE1">
        <w:rPr>
          <w:sz w:val="22"/>
          <w:szCs w:val="22"/>
        </w:rPr>
        <w:tab/>
        <w:t xml:space="preserve">S. Zumbühl, “Solvents, Solvation, Solubilization and Solution: The Solubility of Materials,” in </w:t>
      </w:r>
      <w:r w:rsidRPr="00555DE1">
        <w:rPr>
          <w:i/>
          <w:iCs/>
          <w:sz w:val="22"/>
          <w:szCs w:val="22"/>
        </w:rPr>
        <w:t>Solvents, Solvation, Solubilization and Solution: The Solubility of Materials</w:t>
      </w:r>
      <w:r w:rsidRPr="00555DE1">
        <w:rPr>
          <w:sz w:val="22"/>
          <w:szCs w:val="22"/>
        </w:rPr>
        <w:t>, HDW Publications Bern, 2019.</w:t>
      </w:r>
    </w:p>
    <w:p w14:paraId="5F69876C" w14:textId="77777777" w:rsidR="00520746" w:rsidRPr="00555DE1" w:rsidRDefault="00520746" w:rsidP="00520746">
      <w:pPr>
        <w:pStyle w:val="Bibliography"/>
        <w:rPr>
          <w:sz w:val="22"/>
          <w:szCs w:val="22"/>
        </w:rPr>
      </w:pPr>
      <w:r w:rsidRPr="00555DE1">
        <w:rPr>
          <w:sz w:val="22"/>
          <w:szCs w:val="22"/>
        </w:rPr>
        <w:t>[9]</w:t>
      </w:r>
      <w:r w:rsidRPr="00555DE1">
        <w:rPr>
          <w:sz w:val="22"/>
          <w:szCs w:val="22"/>
        </w:rPr>
        <w:tab/>
        <w:t xml:space="preserve">Aulton, M. E., </w:t>
      </w:r>
      <w:r w:rsidRPr="00555DE1">
        <w:rPr>
          <w:i/>
          <w:iCs/>
          <w:sz w:val="22"/>
          <w:szCs w:val="22"/>
        </w:rPr>
        <w:t>The Design and Manufacture of Medicines</w:t>
      </w:r>
      <w:r w:rsidRPr="00555DE1">
        <w:rPr>
          <w:sz w:val="22"/>
          <w:szCs w:val="22"/>
        </w:rPr>
        <w:t>, 5th ed. UNITED KINGDOM: Elsevier, 2017.</w:t>
      </w:r>
    </w:p>
    <w:p w14:paraId="6E7D30EB" w14:textId="77777777" w:rsidR="00520746" w:rsidRPr="00555DE1" w:rsidRDefault="00520746" w:rsidP="00520746">
      <w:pPr>
        <w:pStyle w:val="Bibliography"/>
        <w:rPr>
          <w:sz w:val="22"/>
          <w:szCs w:val="22"/>
        </w:rPr>
      </w:pPr>
      <w:r w:rsidRPr="00555DE1">
        <w:rPr>
          <w:sz w:val="22"/>
          <w:szCs w:val="22"/>
        </w:rPr>
        <w:t>[10]</w:t>
      </w:r>
      <w:r w:rsidRPr="00555DE1">
        <w:rPr>
          <w:sz w:val="22"/>
          <w:szCs w:val="22"/>
        </w:rPr>
        <w:tab/>
        <w:t xml:space="preserve">P. Macheras, A. Iliadis, and G. Melagraki, “A reaction limited in vivo dissolution model for the study of drug absorption: towards a new paradigm for the biopharmaceutic classification of drugs,” </w:t>
      </w:r>
      <w:r w:rsidRPr="00555DE1">
        <w:rPr>
          <w:i/>
          <w:iCs/>
          <w:sz w:val="22"/>
          <w:szCs w:val="22"/>
        </w:rPr>
        <w:t>Eur. J. Pharm. Sci.</w:t>
      </w:r>
      <w:r w:rsidRPr="00555DE1">
        <w:rPr>
          <w:sz w:val="22"/>
          <w:szCs w:val="22"/>
        </w:rPr>
        <w:t>, vol. 117, pp. 98–106, 2018.</w:t>
      </w:r>
    </w:p>
    <w:p w14:paraId="53CA9CC8" w14:textId="77777777" w:rsidR="00520746" w:rsidRPr="00555DE1" w:rsidRDefault="00520746" w:rsidP="00520746">
      <w:pPr>
        <w:pStyle w:val="Bibliography"/>
        <w:rPr>
          <w:sz w:val="22"/>
          <w:szCs w:val="22"/>
        </w:rPr>
      </w:pPr>
      <w:r w:rsidRPr="00555DE1">
        <w:rPr>
          <w:sz w:val="22"/>
          <w:szCs w:val="22"/>
        </w:rPr>
        <w:t>[11]</w:t>
      </w:r>
      <w:r w:rsidRPr="00555DE1">
        <w:rPr>
          <w:sz w:val="22"/>
          <w:szCs w:val="22"/>
        </w:rPr>
        <w:tab/>
        <w:t xml:space="preserve">Danckwerts PV., “Significance of liquid-film coefficients in gas absorption.,” </w:t>
      </w:r>
      <w:r w:rsidRPr="00555DE1">
        <w:rPr>
          <w:i/>
          <w:iCs/>
          <w:sz w:val="22"/>
          <w:szCs w:val="22"/>
        </w:rPr>
        <w:t>Ind Eng Chem</w:t>
      </w:r>
      <w:r w:rsidRPr="00555DE1">
        <w:rPr>
          <w:sz w:val="22"/>
          <w:szCs w:val="22"/>
        </w:rPr>
        <w:t>, vol. 43, pp. 1460–1467, 1951, doi: 10.1021/ie50498a055.</w:t>
      </w:r>
    </w:p>
    <w:p w14:paraId="1EED96C6" w14:textId="77777777" w:rsidR="00520746" w:rsidRPr="00555DE1" w:rsidRDefault="00520746" w:rsidP="00520746">
      <w:pPr>
        <w:pStyle w:val="Bibliography"/>
        <w:rPr>
          <w:sz w:val="22"/>
          <w:szCs w:val="22"/>
        </w:rPr>
      </w:pPr>
      <w:r w:rsidRPr="00555DE1">
        <w:rPr>
          <w:sz w:val="22"/>
          <w:szCs w:val="22"/>
        </w:rPr>
        <w:t>[12]</w:t>
      </w:r>
      <w:r w:rsidRPr="00555DE1">
        <w:rPr>
          <w:sz w:val="22"/>
          <w:szCs w:val="22"/>
        </w:rPr>
        <w:tab/>
        <w:t xml:space="preserve">A. Dokoumetzidis, V. Papadopoulou, G. Valsami, and P. Macheras, “Development of a reaction-limited model of dissolution: Application to official dissolution tests experiments,” </w:t>
      </w:r>
      <w:r w:rsidRPr="00555DE1">
        <w:rPr>
          <w:i/>
          <w:iCs/>
          <w:sz w:val="22"/>
          <w:szCs w:val="22"/>
        </w:rPr>
        <w:t>Int. J. Pharm.</w:t>
      </w:r>
      <w:r w:rsidRPr="00555DE1">
        <w:rPr>
          <w:sz w:val="22"/>
          <w:szCs w:val="22"/>
        </w:rPr>
        <w:t>, vol. 355, no. 1–2, pp. 114–125, 2008.</w:t>
      </w:r>
    </w:p>
    <w:p w14:paraId="1BBDF5E9" w14:textId="77777777" w:rsidR="00520746" w:rsidRPr="00555DE1" w:rsidRDefault="00520746" w:rsidP="00520746">
      <w:pPr>
        <w:pStyle w:val="Bibliography"/>
        <w:rPr>
          <w:sz w:val="22"/>
          <w:szCs w:val="22"/>
        </w:rPr>
      </w:pPr>
      <w:r w:rsidRPr="00555DE1">
        <w:rPr>
          <w:sz w:val="22"/>
          <w:szCs w:val="22"/>
        </w:rPr>
        <w:t>[13]</w:t>
      </w:r>
      <w:r w:rsidRPr="00555DE1">
        <w:rPr>
          <w:sz w:val="22"/>
          <w:szCs w:val="22"/>
        </w:rPr>
        <w:tab/>
        <w:t xml:space="preserve">Siepmann, J., &amp; Siepmann, F. J. I. J. O. P., “Mathematical modeling of drug dissolution.,” </w:t>
      </w:r>
      <w:r w:rsidRPr="00555DE1">
        <w:rPr>
          <w:i/>
          <w:iCs/>
          <w:sz w:val="22"/>
          <w:szCs w:val="22"/>
        </w:rPr>
        <w:t>Int. J. Pharm.</w:t>
      </w:r>
      <w:r w:rsidRPr="00555DE1">
        <w:rPr>
          <w:sz w:val="22"/>
          <w:szCs w:val="22"/>
        </w:rPr>
        <w:t>, vol. 1, pp. 12–24, 2013.</w:t>
      </w:r>
    </w:p>
    <w:p w14:paraId="618FA629" w14:textId="77777777" w:rsidR="00520746" w:rsidRPr="00555DE1" w:rsidRDefault="00520746" w:rsidP="00520746">
      <w:pPr>
        <w:pStyle w:val="Bibliography"/>
        <w:rPr>
          <w:sz w:val="22"/>
          <w:szCs w:val="22"/>
        </w:rPr>
      </w:pPr>
      <w:r w:rsidRPr="00555DE1">
        <w:rPr>
          <w:sz w:val="22"/>
          <w:szCs w:val="22"/>
        </w:rPr>
        <w:t>[14]</w:t>
      </w:r>
      <w:r w:rsidRPr="00555DE1">
        <w:rPr>
          <w:sz w:val="22"/>
          <w:szCs w:val="22"/>
        </w:rPr>
        <w:tab/>
        <w:t xml:space="preserve">D. Hörter and J. Dressman, “Influence of physicochemical properties on dissolution of drugs in the gastrointestinal tract,” </w:t>
      </w:r>
      <w:r w:rsidRPr="00555DE1">
        <w:rPr>
          <w:i/>
          <w:iCs/>
          <w:sz w:val="22"/>
          <w:szCs w:val="22"/>
        </w:rPr>
        <w:t>Adv. Drug Deliv. Rev.</w:t>
      </w:r>
      <w:r w:rsidRPr="00555DE1">
        <w:rPr>
          <w:sz w:val="22"/>
          <w:szCs w:val="22"/>
        </w:rPr>
        <w:t>, vol. 46, no. 1–3, pp. 75–87, 2001.</w:t>
      </w:r>
    </w:p>
    <w:p w14:paraId="5EE66DC6" w14:textId="77777777" w:rsidR="00520746" w:rsidRPr="00555DE1" w:rsidRDefault="00520746" w:rsidP="00520746">
      <w:pPr>
        <w:pStyle w:val="Bibliography"/>
        <w:rPr>
          <w:sz w:val="22"/>
          <w:szCs w:val="22"/>
        </w:rPr>
      </w:pPr>
      <w:r w:rsidRPr="00555DE1">
        <w:rPr>
          <w:sz w:val="22"/>
          <w:szCs w:val="22"/>
        </w:rPr>
        <w:lastRenderedPageBreak/>
        <w:t>[15]</w:t>
      </w:r>
      <w:r w:rsidRPr="00555DE1">
        <w:rPr>
          <w:sz w:val="22"/>
          <w:szCs w:val="22"/>
        </w:rPr>
        <w:tab/>
        <w:t xml:space="preserve">M. Navas-Bachiller, T. Persoons, and D. M. D’Arcy, “Exploring bulk volume, particle size and particle motion definitions to increase the predictive ability of in vitro dissolution simulations,” </w:t>
      </w:r>
      <w:r w:rsidRPr="00555DE1">
        <w:rPr>
          <w:i/>
          <w:iCs/>
          <w:sz w:val="22"/>
          <w:szCs w:val="22"/>
        </w:rPr>
        <w:t>Eur. J. Pharm. Sci.</w:t>
      </w:r>
      <w:r w:rsidRPr="00555DE1">
        <w:rPr>
          <w:sz w:val="22"/>
          <w:szCs w:val="22"/>
        </w:rPr>
        <w:t>, vol. 174, p. 106185, 2022.</w:t>
      </w:r>
    </w:p>
    <w:p w14:paraId="490E40F0" w14:textId="77777777" w:rsidR="00520746" w:rsidRPr="00555DE1" w:rsidRDefault="00520746" w:rsidP="00520746">
      <w:pPr>
        <w:pStyle w:val="Bibliography"/>
        <w:rPr>
          <w:sz w:val="22"/>
          <w:szCs w:val="22"/>
        </w:rPr>
      </w:pPr>
      <w:r w:rsidRPr="00555DE1">
        <w:rPr>
          <w:sz w:val="22"/>
          <w:szCs w:val="22"/>
        </w:rPr>
        <w:t>[16]</w:t>
      </w:r>
      <w:r w:rsidRPr="00555DE1">
        <w:rPr>
          <w:sz w:val="22"/>
          <w:szCs w:val="22"/>
        </w:rPr>
        <w:tab/>
        <w:t xml:space="preserve">S. Achuthan, B. J. Chung, P. Ghosh, V. Rangachari, and A. Vaidya, “A modified Stokes-Einstein equation for A β aggregation,” </w:t>
      </w:r>
      <w:r w:rsidRPr="00555DE1">
        <w:rPr>
          <w:i/>
          <w:iCs/>
          <w:sz w:val="22"/>
          <w:szCs w:val="22"/>
        </w:rPr>
        <w:t>BMC Bioinformatics</w:t>
      </w:r>
      <w:r w:rsidRPr="00555DE1">
        <w:rPr>
          <w:sz w:val="22"/>
          <w:szCs w:val="22"/>
        </w:rPr>
        <w:t>, vol. 12, no. Suppl 10, p. S13, 2011.</w:t>
      </w:r>
    </w:p>
    <w:p w14:paraId="42DE0244" w14:textId="77777777" w:rsidR="00520746" w:rsidRPr="00555DE1" w:rsidRDefault="00520746" w:rsidP="00520746">
      <w:pPr>
        <w:pStyle w:val="Bibliography"/>
        <w:rPr>
          <w:sz w:val="22"/>
          <w:szCs w:val="22"/>
        </w:rPr>
      </w:pPr>
      <w:r w:rsidRPr="00555DE1">
        <w:rPr>
          <w:sz w:val="22"/>
          <w:szCs w:val="22"/>
        </w:rPr>
        <w:t>[17]</w:t>
      </w:r>
      <w:r w:rsidRPr="00555DE1">
        <w:rPr>
          <w:sz w:val="22"/>
          <w:szCs w:val="22"/>
        </w:rPr>
        <w:tab/>
        <w:t xml:space="preserve">A. Dokoumetzidis, V. Papadopoulou, and P. Macheras, “Analysis of dissolution data using modified versions of Noyes–Whitney equation and the Weibull function,” </w:t>
      </w:r>
      <w:r w:rsidRPr="00555DE1">
        <w:rPr>
          <w:i/>
          <w:iCs/>
          <w:sz w:val="22"/>
          <w:szCs w:val="22"/>
        </w:rPr>
        <w:t>Pharm. Res.</w:t>
      </w:r>
      <w:r w:rsidRPr="00555DE1">
        <w:rPr>
          <w:sz w:val="22"/>
          <w:szCs w:val="22"/>
        </w:rPr>
        <w:t>, vol. 23, no. 2, pp. 256–261, 2006.</w:t>
      </w:r>
    </w:p>
    <w:p w14:paraId="5A09C4B1" w14:textId="77777777" w:rsidR="00520746" w:rsidRPr="00555DE1" w:rsidRDefault="00520746" w:rsidP="00520746">
      <w:pPr>
        <w:pStyle w:val="Bibliography"/>
        <w:rPr>
          <w:sz w:val="22"/>
          <w:szCs w:val="22"/>
        </w:rPr>
      </w:pPr>
      <w:r w:rsidRPr="00555DE1">
        <w:rPr>
          <w:sz w:val="22"/>
          <w:szCs w:val="22"/>
        </w:rPr>
        <w:t>[18]</w:t>
      </w:r>
      <w:r w:rsidRPr="00555DE1">
        <w:rPr>
          <w:sz w:val="22"/>
          <w:szCs w:val="22"/>
        </w:rPr>
        <w:tab/>
        <w:t xml:space="preserve">N. Maclean, I. Khadra, J. Mann, A. Abbott, H. Mead, and D. Markl, “Formulation-dependent stability mechanisms affecting dissolution performance of directly compressed griseofulvin tablets,” </w:t>
      </w:r>
      <w:r w:rsidRPr="00555DE1">
        <w:rPr>
          <w:i/>
          <w:iCs/>
          <w:sz w:val="22"/>
          <w:szCs w:val="22"/>
        </w:rPr>
        <w:t>Int. J. Pharm.</w:t>
      </w:r>
      <w:r w:rsidRPr="00555DE1">
        <w:rPr>
          <w:sz w:val="22"/>
          <w:szCs w:val="22"/>
        </w:rPr>
        <w:t>, vol. 631, p. 122473, 2023.</w:t>
      </w:r>
    </w:p>
    <w:p w14:paraId="43CB99E9" w14:textId="77777777" w:rsidR="00520746" w:rsidRPr="00555DE1" w:rsidRDefault="00520746" w:rsidP="00520746">
      <w:pPr>
        <w:pStyle w:val="Bibliography"/>
        <w:rPr>
          <w:sz w:val="22"/>
          <w:szCs w:val="22"/>
        </w:rPr>
      </w:pPr>
      <w:r w:rsidRPr="00555DE1">
        <w:rPr>
          <w:sz w:val="22"/>
          <w:szCs w:val="22"/>
        </w:rPr>
        <w:t>[19]</w:t>
      </w:r>
      <w:r w:rsidRPr="00555DE1">
        <w:rPr>
          <w:sz w:val="22"/>
          <w:szCs w:val="22"/>
        </w:rPr>
        <w:tab/>
        <w:t xml:space="preserve">D. Desai, B. Rubitski, J. Bergum, and S. Varia, “Effects of different types of lactose and disintegrant on dissolution stability of hydrochlorothiazide capsule formulations,” </w:t>
      </w:r>
      <w:r w:rsidRPr="00555DE1">
        <w:rPr>
          <w:i/>
          <w:iCs/>
          <w:sz w:val="22"/>
          <w:szCs w:val="22"/>
        </w:rPr>
        <w:t>Int. J. Pharm.</w:t>
      </w:r>
      <w:r w:rsidRPr="00555DE1">
        <w:rPr>
          <w:sz w:val="22"/>
          <w:szCs w:val="22"/>
        </w:rPr>
        <w:t>, vol. 110, no. 3, pp. 257–265, 1994.</w:t>
      </w:r>
    </w:p>
    <w:p w14:paraId="74DC50CA" w14:textId="77777777" w:rsidR="00520746" w:rsidRPr="00555DE1" w:rsidRDefault="00520746" w:rsidP="00520746">
      <w:pPr>
        <w:pStyle w:val="Bibliography"/>
        <w:rPr>
          <w:sz w:val="22"/>
          <w:szCs w:val="22"/>
        </w:rPr>
      </w:pPr>
      <w:r w:rsidRPr="00555DE1">
        <w:rPr>
          <w:sz w:val="22"/>
          <w:szCs w:val="22"/>
        </w:rPr>
        <w:t>[20]</w:t>
      </w:r>
      <w:r w:rsidRPr="00555DE1">
        <w:rPr>
          <w:sz w:val="22"/>
          <w:szCs w:val="22"/>
        </w:rPr>
        <w:tab/>
        <w:t>M. A. Hassoun, “Development of in vitro dissolution tests for orally inhaled products,” Institute of Pharmaceutical Science, 2018.</w:t>
      </w:r>
    </w:p>
    <w:p w14:paraId="43144AB8" w14:textId="77777777" w:rsidR="00520746" w:rsidRPr="00555DE1" w:rsidRDefault="00520746" w:rsidP="00520746">
      <w:pPr>
        <w:pStyle w:val="Bibliography"/>
        <w:rPr>
          <w:sz w:val="22"/>
          <w:szCs w:val="22"/>
        </w:rPr>
      </w:pPr>
      <w:r w:rsidRPr="00555DE1">
        <w:rPr>
          <w:sz w:val="22"/>
          <w:szCs w:val="22"/>
        </w:rPr>
        <w:t>[21]</w:t>
      </w:r>
      <w:r w:rsidRPr="00555DE1">
        <w:rPr>
          <w:sz w:val="22"/>
          <w:szCs w:val="22"/>
        </w:rPr>
        <w:tab/>
        <w:t xml:space="preserve">C. G. Wilson, W. Weitschies, and J. Butler, “Gastrointestinal transit and drug absorption,” in </w:t>
      </w:r>
      <w:r w:rsidRPr="00555DE1">
        <w:rPr>
          <w:i/>
          <w:iCs/>
          <w:sz w:val="22"/>
          <w:szCs w:val="22"/>
        </w:rPr>
        <w:t>Oral Drug Absorption</w:t>
      </w:r>
      <w:r w:rsidRPr="00555DE1">
        <w:rPr>
          <w:sz w:val="22"/>
          <w:szCs w:val="22"/>
        </w:rPr>
        <w:t>, CRC Press, 2016, pp. 57–81.</w:t>
      </w:r>
    </w:p>
    <w:p w14:paraId="7C836010" w14:textId="77777777" w:rsidR="00520746" w:rsidRPr="00555DE1" w:rsidRDefault="00520746" w:rsidP="00520746">
      <w:pPr>
        <w:pStyle w:val="Bibliography"/>
        <w:rPr>
          <w:sz w:val="22"/>
          <w:szCs w:val="22"/>
        </w:rPr>
      </w:pPr>
      <w:r w:rsidRPr="00555DE1">
        <w:rPr>
          <w:sz w:val="22"/>
          <w:szCs w:val="22"/>
        </w:rPr>
        <w:t>[22]</w:t>
      </w:r>
      <w:r w:rsidRPr="00555DE1">
        <w:rPr>
          <w:sz w:val="22"/>
          <w:szCs w:val="22"/>
        </w:rPr>
        <w:tab/>
        <w:t xml:space="preserve">Hao Yang, “Optimizing Absorption: Strategies in Formulation Design and Bioavailability Assessment,” </w:t>
      </w:r>
      <w:r w:rsidRPr="00555DE1">
        <w:rPr>
          <w:i/>
          <w:iCs/>
          <w:sz w:val="22"/>
          <w:szCs w:val="22"/>
        </w:rPr>
        <w:t>J. Formul. Sci. Bioavailab.</w:t>
      </w:r>
      <w:r w:rsidRPr="00555DE1">
        <w:rPr>
          <w:sz w:val="22"/>
          <w:szCs w:val="22"/>
        </w:rPr>
        <w:t>, vol. 08:01, 2024, no. 01, 2024, doi: 10.37421/2577-0543.2024.8.193.</w:t>
      </w:r>
    </w:p>
    <w:p w14:paraId="5709433E" w14:textId="77777777" w:rsidR="00520746" w:rsidRPr="00555DE1" w:rsidRDefault="00520746" w:rsidP="00520746">
      <w:pPr>
        <w:pStyle w:val="Bibliography"/>
        <w:rPr>
          <w:sz w:val="22"/>
          <w:szCs w:val="22"/>
        </w:rPr>
      </w:pPr>
      <w:r w:rsidRPr="00555DE1">
        <w:rPr>
          <w:sz w:val="22"/>
          <w:szCs w:val="22"/>
        </w:rPr>
        <w:t>[23]</w:t>
      </w:r>
      <w:r w:rsidRPr="00555DE1">
        <w:rPr>
          <w:sz w:val="22"/>
          <w:szCs w:val="22"/>
        </w:rPr>
        <w:tab/>
        <w:t xml:space="preserve">S. S. Hate, S. A. Thompson, and A. B. Singaraju, “Impact of sink conditions on drug release behavior of controlled-release formulations,” </w:t>
      </w:r>
      <w:r w:rsidRPr="00555DE1">
        <w:rPr>
          <w:i/>
          <w:iCs/>
          <w:sz w:val="22"/>
          <w:szCs w:val="22"/>
        </w:rPr>
        <w:t>J. Pharm. Sci.</w:t>
      </w:r>
      <w:r w:rsidRPr="00555DE1">
        <w:rPr>
          <w:sz w:val="22"/>
          <w:szCs w:val="22"/>
        </w:rPr>
        <w:t>, vol. 114, no. 1, pp. 520–529, 2025.</w:t>
      </w:r>
    </w:p>
    <w:p w14:paraId="19657E10" w14:textId="77777777" w:rsidR="00520746" w:rsidRPr="00555DE1" w:rsidRDefault="00520746" w:rsidP="00520746">
      <w:pPr>
        <w:pStyle w:val="Bibliography"/>
        <w:rPr>
          <w:sz w:val="22"/>
          <w:szCs w:val="22"/>
        </w:rPr>
      </w:pPr>
      <w:r w:rsidRPr="00555DE1">
        <w:rPr>
          <w:sz w:val="22"/>
          <w:szCs w:val="22"/>
        </w:rPr>
        <w:t>[24]</w:t>
      </w:r>
      <w:r w:rsidRPr="00555DE1">
        <w:rPr>
          <w:sz w:val="22"/>
          <w:szCs w:val="22"/>
        </w:rPr>
        <w:tab/>
        <w:t xml:space="preserve">Mohamed Rizwan I, Damodharan N, “Mathematical Modelling of Dissolution Kinetics in Dosage forms,” </w:t>
      </w:r>
      <w:r w:rsidRPr="00555DE1">
        <w:rPr>
          <w:i/>
          <w:iCs/>
          <w:sz w:val="22"/>
          <w:szCs w:val="22"/>
        </w:rPr>
        <w:t>Res. J Pharm Tech</w:t>
      </w:r>
      <w:r w:rsidRPr="00555DE1">
        <w:rPr>
          <w:sz w:val="22"/>
          <w:szCs w:val="22"/>
        </w:rPr>
        <w:t>, vol. 13, no. 3, pp. 1339–1345, 2020, doi: 10.5958/0974-360X.2020.00247.4.</w:t>
      </w:r>
    </w:p>
    <w:p w14:paraId="65A1EBCD" w14:textId="77777777" w:rsidR="00520746" w:rsidRPr="00555DE1" w:rsidRDefault="00520746" w:rsidP="00520746">
      <w:pPr>
        <w:pStyle w:val="Bibliography"/>
        <w:rPr>
          <w:sz w:val="22"/>
          <w:szCs w:val="22"/>
        </w:rPr>
      </w:pPr>
      <w:r w:rsidRPr="00555DE1">
        <w:rPr>
          <w:sz w:val="22"/>
          <w:szCs w:val="22"/>
        </w:rPr>
        <w:t>[25]</w:t>
      </w:r>
      <w:r w:rsidRPr="00555DE1">
        <w:rPr>
          <w:sz w:val="22"/>
          <w:szCs w:val="22"/>
        </w:rPr>
        <w:tab/>
        <w:t xml:space="preserve">Yuan Gao , Brian Glennon , Yunliang He , Philip Donnellan, “Dissolution Kinetics of a BCS Class II Active Pharmaceutical Ingredient: Diffusion-Based Model Validation and Prediction,” </w:t>
      </w:r>
      <w:r w:rsidRPr="00555DE1">
        <w:rPr>
          <w:i/>
          <w:iCs/>
          <w:sz w:val="22"/>
          <w:szCs w:val="22"/>
        </w:rPr>
        <w:t>ACS Omega</w:t>
      </w:r>
      <w:r w:rsidRPr="00555DE1">
        <w:rPr>
          <w:sz w:val="22"/>
          <w:szCs w:val="22"/>
        </w:rPr>
        <w:t>, vol. 19, no. 6, pp. 8056–8067, 2021, doi: 10.1021/acsomega.0c05558.</w:t>
      </w:r>
    </w:p>
    <w:p w14:paraId="0FDFF5F6" w14:textId="77777777" w:rsidR="00520746" w:rsidRPr="00555DE1" w:rsidRDefault="00520746" w:rsidP="00520746">
      <w:pPr>
        <w:pStyle w:val="Bibliography"/>
        <w:rPr>
          <w:sz w:val="22"/>
          <w:szCs w:val="22"/>
        </w:rPr>
      </w:pPr>
      <w:r w:rsidRPr="00555DE1">
        <w:rPr>
          <w:sz w:val="22"/>
          <w:szCs w:val="22"/>
        </w:rPr>
        <w:t>[26]</w:t>
      </w:r>
      <w:r w:rsidRPr="00555DE1">
        <w:rPr>
          <w:sz w:val="22"/>
          <w:szCs w:val="22"/>
        </w:rPr>
        <w:tab/>
        <w:t>“Systems for controlled drug delivery and delivery mechanisms.”</w:t>
      </w:r>
    </w:p>
    <w:p w14:paraId="1DEB93B8" w14:textId="77777777" w:rsidR="00520746" w:rsidRPr="00555DE1" w:rsidRDefault="00520746" w:rsidP="00520746">
      <w:pPr>
        <w:pStyle w:val="Bibliography"/>
        <w:rPr>
          <w:sz w:val="22"/>
          <w:szCs w:val="22"/>
        </w:rPr>
      </w:pPr>
      <w:r w:rsidRPr="00555DE1">
        <w:rPr>
          <w:sz w:val="22"/>
          <w:szCs w:val="22"/>
        </w:rPr>
        <w:t>[27]</w:t>
      </w:r>
      <w:r w:rsidRPr="00555DE1">
        <w:rPr>
          <w:sz w:val="22"/>
          <w:szCs w:val="22"/>
        </w:rPr>
        <w:tab/>
        <w:t xml:space="preserve">Daniel Markl , J Axel Zeitler, “A Review of Disintegration Mechanisms and Measurement Techniques,” </w:t>
      </w:r>
      <w:r w:rsidRPr="00555DE1">
        <w:rPr>
          <w:i/>
          <w:iCs/>
          <w:sz w:val="22"/>
          <w:szCs w:val="22"/>
        </w:rPr>
        <w:t>Pharm Res</w:t>
      </w:r>
      <w:r w:rsidRPr="00555DE1">
        <w:rPr>
          <w:sz w:val="22"/>
          <w:szCs w:val="22"/>
        </w:rPr>
        <w:t>, vol. 34, no. 5, pp. 890–917, doi: 10.1007/s11095-017-2129-z.</w:t>
      </w:r>
    </w:p>
    <w:p w14:paraId="718EB9E8" w14:textId="77777777" w:rsidR="00520746" w:rsidRPr="00555DE1" w:rsidRDefault="00520746" w:rsidP="00520746">
      <w:pPr>
        <w:pStyle w:val="Bibliography"/>
        <w:rPr>
          <w:sz w:val="22"/>
          <w:szCs w:val="22"/>
        </w:rPr>
      </w:pPr>
      <w:r w:rsidRPr="00555DE1">
        <w:rPr>
          <w:sz w:val="22"/>
          <w:szCs w:val="22"/>
        </w:rPr>
        <w:t>[28]</w:t>
      </w:r>
      <w:r w:rsidRPr="00555DE1">
        <w:rPr>
          <w:sz w:val="22"/>
          <w:szCs w:val="22"/>
        </w:rPr>
        <w:tab/>
        <w:t xml:space="preserve">Y. Pal, P. K. Deb, S. Bandopadhyay, N. Bandyopadhyay, and R. K. Tekade, “Role of physicochemical parameters on drug absorption and their implications in pharmaceutical product development,” in </w:t>
      </w:r>
      <w:r w:rsidRPr="00555DE1">
        <w:rPr>
          <w:i/>
          <w:iCs/>
          <w:sz w:val="22"/>
          <w:szCs w:val="22"/>
        </w:rPr>
        <w:t>Dosage form design considerations</w:t>
      </w:r>
      <w:r w:rsidRPr="00555DE1">
        <w:rPr>
          <w:sz w:val="22"/>
          <w:szCs w:val="22"/>
        </w:rPr>
        <w:t>, Elsevier, 2018, pp. 85–116.</w:t>
      </w:r>
    </w:p>
    <w:p w14:paraId="0B7EDEBD" w14:textId="77777777" w:rsidR="00520746" w:rsidRPr="00555DE1" w:rsidRDefault="00520746" w:rsidP="00520746">
      <w:pPr>
        <w:pStyle w:val="Bibliography"/>
        <w:rPr>
          <w:sz w:val="22"/>
          <w:szCs w:val="22"/>
        </w:rPr>
      </w:pPr>
      <w:r w:rsidRPr="00555DE1">
        <w:rPr>
          <w:sz w:val="22"/>
          <w:szCs w:val="22"/>
        </w:rPr>
        <w:t>[29]</w:t>
      </w:r>
      <w:r w:rsidRPr="00555DE1">
        <w:rPr>
          <w:sz w:val="22"/>
          <w:szCs w:val="22"/>
        </w:rPr>
        <w:tab/>
        <w:t xml:space="preserve">Ketan T Savjani , Anuradha K Gajjar, Jignasa K Savjani, “Drug Solubility: Importance and Enhancement Techniques,” </w:t>
      </w:r>
      <w:r w:rsidRPr="00555DE1">
        <w:rPr>
          <w:i/>
          <w:iCs/>
          <w:sz w:val="22"/>
          <w:szCs w:val="22"/>
        </w:rPr>
        <w:t>ISRN Pharm</w:t>
      </w:r>
      <w:r w:rsidRPr="00555DE1">
        <w:rPr>
          <w:sz w:val="22"/>
          <w:szCs w:val="22"/>
        </w:rPr>
        <w:t>, 2012, doi: 10.5402/2012/195727.</w:t>
      </w:r>
    </w:p>
    <w:p w14:paraId="1D33AA0A" w14:textId="77777777" w:rsidR="00520746" w:rsidRPr="00555DE1" w:rsidRDefault="00520746" w:rsidP="00520746">
      <w:pPr>
        <w:pStyle w:val="Bibliography"/>
        <w:rPr>
          <w:sz w:val="22"/>
          <w:szCs w:val="22"/>
        </w:rPr>
      </w:pPr>
      <w:r w:rsidRPr="00555DE1">
        <w:rPr>
          <w:sz w:val="22"/>
          <w:szCs w:val="22"/>
        </w:rPr>
        <w:t>[30]</w:t>
      </w:r>
      <w:r w:rsidRPr="00555DE1">
        <w:rPr>
          <w:sz w:val="22"/>
          <w:szCs w:val="22"/>
        </w:rPr>
        <w:tab/>
        <w:t xml:space="preserve">D. C. Vimalson, “Techniques to enhance solubility of hydrophobic drugs: an overview,” </w:t>
      </w:r>
      <w:r w:rsidRPr="00555DE1">
        <w:rPr>
          <w:i/>
          <w:iCs/>
          <w:sz w:val="22"/>
          <w:szCs w:val="22"/>
        </w:rPr>
        <w:t>Asian J. Pharm. AJP</w:t>
      </w:r>
      <w:r w:rsidRPr="00555DE1">
        <w:rPr>
          <w:sz w:val="22"/>
          <w:szCs w:val="22"/>
        </w:rPr>
        <w:t>, vol. 10, no. 2, 2016.</w:t>
      </w:r>
    </w:p>
    <w:p w14:paraId="620F1002" w14:textId="77777777" w:rsidR="00520746" w:rsidRPr="00555DE1" w:rsidRDefault="00520746" w:rsidP="00520746">
      <w:pPr>
        <w:pStyle w:val="Bibliography"/>
        <w:rPr>
          <w:sz w:val="22"/>
          <w:szCs w:val="22"/>
        </w:rPr>
      </w:pPr>
      <w:r w:rsidRPr="00555DE1">
        <w:rPr>
          <w:sz w:val="22"/>
          <w:szCs w:val="22"/>
        </w:rPr>
        <w:lastRenderedPageBreak/>
        <w:t>[31]</w:t>
      </w:r>
      <w:r w:rsidRPr="00555DE1">
        <w:rPr>
          <w:sz w:val="22"/>
          <w:szCs w:val="22"/>
        </w:rPr>
        <w:tab/>
        <w:t xml:space="preserve">L. Kumari </w:t>
      </w:r>
      <w:r w:rsidRPr="00555DE1">
        <w:rPr>
          <w:i/>
          <w:iCs/>
          <w:sz w:val="22"/>
          <w:szCs w:val="22"/>
        </w:rPr>
        <w:t>et al.</w:t>
      </w:r>
      <w:r w:rsidRPr="00555DE1">
        <w:rPr>
          <w:sz w:val="22"/>
          <w:szCs w:val="22"/>
        </w:rPr>
        <w:t xml:space="preserve">, “Advancement in solubilization approaches: a step towards bioavailability enhancement of poorly soluble drugs,” </w:t>
      </w:r>
      <w:r w:rsidRPr="00555DE1">
        <w:rPr>
          <w:i/>
          <w:iCs/>
          <w:sz w:val="22"/>
          <w:szCs w:val="22"/>
        </w:rPr>
        <w:t>Life</w:t>
      </w:r>
      <w:r w:rsidRPr="00555DE1">
        <w:rPr>
          <w:sz w:val="22"/>
          <w:szCs w:val="22"/>
        </w:rPr>
        <w:t>, vol. 13, no. 5, p. 1099, 2023.</w:t>
      </w:r>
    </w:p>
    <w:p w14:paraId="76E5F66A" w14:textId="77777777" w:rsidR="00520746" w:rsidRPr="00555DE1" w:rsidRDefault="00520746" w:rsidP="00520746">
      <w:pPr>
        <w:pStyle w:val="Bibliography"/>
        <w:rPr>
          <w:sz w:val="22"/>
          <w:szCs w:val="22"/>
        </w:rPr>
      </w:pPr>
      <w:r w:rsidRPr="00555DE1">
        <w:rPr>
          <w:sz w:val="22"/>
          <w:szCs w:val="22"/>
        </w:rPr>
        <w:t>[32]</w:t>
      </w:r>
      <w:r w:rsidRPr="00555DE1">
        <w:rPr>
          <w:sz w:val="22"/>
          <w:szCs w:val="22"/>
        </w:rPr>
        <w:tab/>
        <w:t xml:space="preserve">Vaishnavi B. Borgaonkar , Chetan M. Jain, Amit R. Jaiswal, Poonam Irache, Achal H. Yelane and Hanuman P. Tattu, “A review on solubility enhancement technique for pharmaceutical drugs,” </w:t>
      </w:r>
      <w:r w:rsidRPr="00555DE1">
        <w:rPr>
          <w:i/>
          <w:iCs/>
          <w:sz w:val="22"/>
          <w:szCs w:val="22"/>
        </w:rPr>
        <w:t>GSC Biol. Pharm. Sci.</w:t>
      </w:r>
      <w:r w:rsidRPr="00555DE1">
        <w:rPr>
          <w:sz w:val="22"/>
          <w:szCs w:val="22"/>
        </w:rPr>
        <w:t>, vol. 26, no. 2, pp. 239–253, 2024, doi: 10.30574/gscbps.2024.26.2.0069.</w:t>
      </w:r>
    </w:p>
    <w:p w14:paraId="6F2B2A9B" w14:textId="77777777" w:rsidR="00520746" w:rsidRPr="00555DE1" w:rsidRDefault="00520746" w:rsidP="00520746">
      <w:pPr>
        <w:pStyle w:val="Bibliography"/>
        <w:rPr>
          <w:sz w:val="22"/>
          <w:szCs w:val="22"/>
        </w:rPr>
      </w:pPr>
      <w:r w:rsidRPr="00555DE1">
        <w:rPr>
          <w:sz w:val="22"/>
          <w:szCs w:val="22"/>
        </w:rPr>
        <w:t>[33]</w:t>
      </w:r>
      <w:r w:rsidRPr="00555DE1">
        <w:rPr>
          <w:sz w:val="22"/>
          <w:szCs w:val="22"/>
        </w:rPr>
        <w:tab/>
        <w:t xml:space="preserve">Seskhen G., “Impact of Surfactants on Drug Release during Dissolution Testing. 16: 09-10,” </w:t>
      </w:r>
      <w:r w:rsidRPr="00555DE1">
        <w:rPr>
          <w:i/>
          <w:iCs/>
          <w:sz w:val="22"/>
          <w:szCs w:val="22"/>
        </w:rPr>
        <w:t>Pharma Lett</w:t>
      </w:r>
      <w:r w:rsidRPr="00555DE1">
        <w:rPr>
          <w:sz w:val="22"/>
          <w:szCs w:val="22"/>
        </w:rPr>
        <w:t>, vol. 16, pp. 9–10, 2024, doi: 10.37532/dpl.2024.16.09.</w:t>
      </w:r>
    </w:p>
    <w:p w14:paraId="660E5DF0" w14:textId="77777777" w:rsidR="00520746" w:rsidRPr="00555DE1" w:rsidRDefault="00520746" w:rsidP="00520746">
      <w:pPr>
        <w:pStyle w:val="Bibliography"/>
        <w:rPr>
          <w:sz w:val="22"/>
          <w:szCs w:val="22"/>
        </w:rPr>
      </w:pPr>
      <w:r w:rsidRPr="00555DE1">
        <w:rPr>
          <w:sz w:val="22"/>
          <w:szCs w:val="22"/>
        </w:rPr>
        <w:t>[34]</w:t>
      </w:r>
      <w:r w:rsidRPr="00555DE1">
        <w:rPr>
          <w:sz w:val="22"/>
          <w:szCs w:val="22"/>
        </w:rPr>
        <w:tab/>
        <w:t xml:space="preserve">J. O. Morales, A. B. Watts, and J. T. McConville, “Mechanical particle-size reduction techniques,” in </w:t>
      </w:r>
      <w:r w:rsidRPr="00555DE1">
        <w:rPr>
          <w:i/>
          <w:iCs/>
          <w:sz w:val="22"/>
          <w:szCs w:val="22"/>
        </w:rPr>
        <w:t>Formulating poorly water soluble drugs</w:t>
      </w:r>
      <w:r w:rsidRPr="00555DE1">
        <w:rPr>
          <w:sz w:val="22"/>
          <w:szCs w:val="22"/>
        </w:rPr>
        <w:t>, Springer, 2016, pp. 165–213.</w:t>
      </w:r>
    </w:p>
    <w:p w14:paraId="5036B41A" w14:textId="77777777" w:rsidR="00520746" w:rsidRPr="00555DE1" w:rsidRDefault="00520746" w:rsidP="00520746">
      <w:pPr>
        <w:pStyle w:val="Bibliography"/>
        <w:rPr>
          <w:sz w:val="22"/>
          <w:szCs w:val="22"/>
        </w:rPr>
      </w:pPr>
      <w:r w:rsidRPr="00555DE1">
        <w:rPr>
          <w:sz w:val="22"/>
          <w:szCs w:val="22"/>
        </w:rPr>
        <w:t>[35]</w:t>
      </w:r>
      <w:r w:rsidRPr="00555DE1">
        <w:rPr>
          <w:sz w:val="22"/>
          <w:szCs w:val="22"/>
        </w:rPr>
        <w:tab/>
        <w:t xml:space="preserve">S. Jain, N. Patel, and S. Lin, “Solubility and dissolution enhancement strategies: current understanding and recent trends,” </w:t>
      </w:r>
      <w:r w:rsidRPr="00555DE1">
        <w:rPr>
          <w:i/>
          <w:iCs/>
          <w:sz w:val="22"/>
          <w:szCs w:val="22"/>
        </w:rPr>
        <w:t>Drug Dev. Ind. Pharm.</w:t>
      </w:r>
      <w:r w:rsidRPr="00555DE1">
        <w:rPr>
          <w:sz w:val="22"/>
          <w:szCs w:val="22"/>
        </w:rPr>
        <w:t>, vol. 41, no. 6, pp. 875–887, 2015.</w:t>
      </w:r>
    </w:p>
    <w:p w14:paraId="5DA82335" w14:textId="77777777" w:rsidR="00520746" w:rsidRPr="00555DE1" w:rsidRDefault="00520746" w:rsidP="00520746">
      <w:pPr>
        <w:pStyle w:val="Bibliography"/>
        <w:rPr>
          <w:sz w:val="22"/>
          <w:szCs w:val="22"/>
        </w:rPr>
      </w:pPr>
      <w:r w:rsidRPr="00555DE1">
        <w:rPr>
          <w:sz w:val="22"/>
          <w:szCs w:val="22"/>
        </w:rPr>
        <w:t>[36]</w:t>
      </w:r>
      <w:r w:rsidRPr="00555DE1">
        <w:rPr>
          <w:sz w:val="22"/>
          <w:szCs w:val="22"/>
        </w:rPr>
        <w:tab/>
        <w:t xml:space="preserve">O. I. Corrigan, “Salt forms: pharmaceutical aspects,” </w:t>
      </w:r>
      <w:r w:rsidRPr="00555DE1">
        <w:rPr>
          <w:i/>
          <w:iCs/>
          <w:sz w:val="22"/>
          <w:szCs w:val="22"/>
        </w:rPr>
        <w:t>Encycl. Pharm. Technol. Inf. Healthc. N. Y.</w:t>
      </w:r>
      <w:r w:rsidRPr="00555DE1">
        <w:rPr>
          <w:sz w:val="22"/>
          <w:szCs w:val="22"/>
        </w:rPr>
        <w:t>, vol. 3177, 2006.</w:t>
      </w:r>
    </w:p>
    <w:p w14:paraId="165B9953" w14:textId="77777777" w:rsidR="00520746" w:rsidRPr="00555DE1" w:rsidRDefault="00520746" w:rsidP="00520746">
      <w:pPr>
        <w:pStyle w:val="Bibliography"/>
        <w:rPr>
          <w:sz w:val="22"/>
          <w:szCs w:val="22"/>
        </w:rPr>
      </w:pPr>
      <w:r w:rsidRPr="00555DE1">
        <w:rPr>
          <w:sz w:val="22"/>
          <w:szCs w:val="22"/>
        </w:rPr>
        <w:t>[37]</w:t>
      </w:r>
      <w:r w:rsidRPr="00555DE1">
        <w:rPr>
          <w:sz w:val="22"/>
          <w:szCs w:val="22"/>
        </w:rPr>
        <w:tab/>
        <w:t xml:space="preserve">J. T. Rubino, “Solubilities and solid state properties of the sodium salts of drugs,” </w:t>
      </w:r>
      <w:r w:rsidRPr="00555DE1">
        <w:rPr>
          <w:i/>
          <w:iCs/>
          <w:sz w:val="22"/>
          <w:szCs w:val="22"/>
        </w:rPr>
        <w:t>J. Pharm. Sci.</w:t>
      </w:r>
      <w:r w:rsidRPr="00555DE1">
        <w:rPr>
          <w:sz w:val="22"/>
          <w:szCs w:val="22"/>
        </w:rPr>
        <w:t>, vol. 78, no. 6, pp. 485–489, 1989.</w:t>
      </w:r>
    </w:p>
    <w:p w14:paraId="5315BC4C" w14:textId="77777777" w:rsidR="00520746" w:rsidRPr="00555DE1" w:rsidRDefault="00520746" w:rsidP="00520746">
      <w:pPr>
        <w:pStyle w:val="Bibliography"/>
        <w:rPr>
          <w:sz w:val="22"/>
          <w:szCs w:val="22"/>
        </w:rPr>
      </w:pPr>
      <w:r w:rsidRPr="00555DE1">
        <w:rPr>
          <w:sz w:val="22"/>
          <w:szCs w:val="22"/>
        </w:rPr>
        <w:t>[38]</w:t>
      </w:r>
      <w:r w:rsidRPr="00555DE1">
        <w:rPr>
          <w:sz w:val="22"/>
          <w:szCs w:val="22"/>
        </w:rPr>
        <w:tab/>
        <w:t xml:space="preserve">S. S. Bharate, “Modulation of biopharmaceutical properties of acidic drugs using cationic counterions: A critical analysis of FDA-approved pharmaceutical salts,” </w:t>
      </w:r>
      <w:r w:rsidRPr="00555DE1">
        <w:rPr>
          <w:i/>
          <w:iCs/>
          <w:sz w:val="22"/>
          <w:szCs w:val="22"/>
        </w:rPr>
        <w:t>Int. J. Pharm.</w:t>
      </w:r>
      <w:r w:rsidRPr="00555DE1">
        <w:rPr>
          <w:sz w:val="22"/>
          <w:szCs w:val="22"/>
        </w:rPr>
        <w:t>, vol. 607, p. 120993, 2021.</w:t>
      </w:r>
    </w:p>
    <w:p w14:paraId="03E5A3D4" w14:textId="77777777" w:rsidR="00520746" w:rsidRPr="00555DE1" w:rsidRDefault="00520746" w:rsidP="00520746">
      <w:pPr>
        <w:pStyle w:val="Bibliography"/>
        <w:rPr>
          <w:sz w:val="22"/>
          <w:szCs w:val="22"/>
        </w:rPr>
      </w:pPr>
      <w:r w:rsidRPr="00555DE1">
        <w:rPr>
          <w:sz w:val="22"/>
          <w:szCs w:val="22"/>
        </w:rPr>
        <w:t>[39]</w:t>
      </w:r>
      <w:r w:rsidRPr="00555DE1">
        <w:rPr>
          <w:sz w:val="22"/>
          <w:szCs w:val="22"/>
        </w:rPr>
        <w:tab/>
        <w:t>M. de Villiers, “Compatibility and Stability of Drug Products and Preparations,” 2009.</w:t>
      </w:r>
    </w:p>
    <w:p w14:paraId="1BCAA4EE" w14:textId="77777777" w:rsidR="00520746" w:rsidRPr="00555DE1" w:rsidRDefault="00520746" w:rsidP="00520746">
      <w:pPr>
        <w:pStyle w:val="Bibliography"/>
        <w:rPr>
          <w:sz w:val="22"/>
          <w:szCs w:val="22"/>
        </w:rPr>
      </w:pPr>
      <w:r w:rsidRPr="00555DE1">
        <w:rPr>
          <w:sz w:val="22"/>
          <w:szCs w:val="22"/>
        </w:rPr>
        <w:t>[40]</w:t>
      </w:r>
      <w:r w:rsidRPr="00555DE1">
        <w:rPr>
          <w:sz w:val="22"/>
          <w:szCs w:val="22"/>
        </w:rPr>
        <w:tab/>
        <w:t xml:space="preserve">S. MIYAZAKI, M. NAKANO, and T. ARITA, “A comparison of solubility characteristics of free bases and hydrochloride salts of tetracycline antibiotics in hydrochloric acid solutions,” </w:t>
      </w:r>
      <w:r w:rsidRPr="00555DE1">
        <w:rPr>
          <w:i/>
          <w:iCs/>
          <w:sz w:val="22"/>
          <w:szCs w:val="22"/>
        </w:rPr>
        <w:t>Chem. Pharm. Bull. (Tokyo)</w:t>
      </w:r>
      <w:r w:rsidRPr="00555DE1">
        <w:rPr>
          <w:sz w:val="22"/>
          <w:szCs w:val="22"/>
        </w:rPr>
        <w:t>, vol. 23, no. 6, pp. 1197–1204, 1975.</w:t>
      </w:r>
    </w:p>
    <w:p w14:paraId="4825F8AE" w14:textId="77777777" w:rsidR="00520746" w:rsidRPr="00555DE1" w:rsidRDefault="00520746" w:rsidP="00520746">
      <w:pPr>
        <w:pStyle w:val="Bibliography"/>
        <w:rPr>
          <w:sz w:val="22"/>
          <w:szCs w:val="22"/>
        </w:rPr>
      </w:pPr>
      <w:r w:rsidRPr="00555DE1">
        <w:rPr>
          <w:sz w:val="22"/>
          <w:szCs w:val="22"/>
        </w:rPr>
        <w:t>[41]</w:t>
      </w:r>
      <w:r w:rsidRPr="00555DE1">
        <w:rPr>
          <w:sz w:val="22"/>
          <w:szCs w:val="22"/>
        </w:rPr>
        <w:tab/>
        <w:t xml:space="preserve">D. Gupta, D. Bhatia, V. Dave, V. Sutariya, and S. Varghese Gupta, “Salts of therapeutic agents: chemical, physicochemical, and biological considerations,” </w:t>
      </w:r>
      <w:r w:rsidRPr="00555DE1">
        <w:rPr>
          <w:i/>
          <w:iCs/>
          <w:sz w:val="22"/>
          <w:szCs w:val="22"/>
        </w:rPr>
        <w:t>Molecules</w:t>
      </w:r>
      <w:r w:rsidRPr="00555DE1">
        <w:rPr>
          <w:sz w:val="22"/>
          <w:szCs w:val="22"/>
        </w:rPr>
        <w:t>, vol. 23, no. 7, p. 1719, 2018.</w:t>
      </w:r>
    </w:p>
    <w:p w14:paraId="73C20A38" w14:textId="77777777" w:rsidR="00520746" w:rsidRPr="00555DE1" w:rsidRDefault="00520746" w:rsidP="00520746">
      <w:pPr>
        <w:pStyle w:val="Bibliography"/>
        <w:rPr>
          <w:sz w:val="22"/>
          <w:szCs w:val="22"/>
        </w:rPr>
      </w:pPr>
      <w:r w:rsidRPr="00555DE1">
        <w:rPr>
          <w:sz w:val="22"/>
          <w:szCs w:val="22"/>
        </w:rPr>
        <w:t>[42]</w:t>
      </w:r>
      <w:r w:rsidRPr="00555DE1">
        <w:rPr>
          <w:sz w:val="22"/>
          <w:szCs w:val="22"/>
        </w:rPr>
        <w:tab/>
        <w:t xml:space="preserve">A. T. Serajuddin, “Salt formation to improve drug solubility,” </w:t>
      </w:r>
      <w:r w:rsidRPr="00555DE1">
        <w:rPr>
          <w:i/>
          <w:iCs/>
          <w:sz w:val="22"/>
          <w:szCs w:val="22"/>
        </w:rPr>
        <w:t>Adv. Drug Deliv. Rev.</w:t>
      </w:r>
      <w:r w:rsidRPr="00555DE1">
        <w:rPr>
          <w:sz w:val="22"/>
          <w:szCs w:val="22"/>
        </w:rPr>
        <w:t>, vol. 59, no. 7, pp. 603–616, 2007.</w:t>
      </w:r>
    </w:p>
    <w:p w14:paraId="760EEC78" w14:textId="77777777" w:rsidR="00520746" w:rsidRPr="00555DE1" w:rsidRDefault="00520746" w:rsidP="00520746">
      <w:pPr>
        <w:pStyle w:val="Bibliography"/>
        <w:rPr>
          <w:sz w:val="22"/>
          <w:szCs w:val="22"/>
        </w:rPr>
      </w:pPr>
      <w:r w:rsidRPr="00555DE1">
        <w:rPr>
          <w:sz w:val="22"/>
          <w:szCs w:val="22"/>
        </w:rPr>
        <w:t>[43]</w:t>
      </w:r>
      <w:r w:rsidRPr="00555DE1">
        <w:rPr>
          <w:sz w:val="22"/>
          <w:szCs w:val="22"/>
        </w:rPr>
        <w:tab/>
        <w:t xml:space="preserve">P. B. Myrdal, S. J. Franklin, and M. J. Jozwiakowski, “Alteration of the solid state of the drug substances: polymorphs, solvates, and amorphous forms,” in </w:t>
      </w:r>
      <w:r w:rsidRPr="00555DE1">
        <w:rPr>
          <w:i/>
          <w:iCs/>
          <w:sz w:val="22"/>
          <w:szCs w:val="22"/>
        </w:rPr>
        <w:t>Water-insoluble drug formulation</w:t>
      </w:r>
      <w:r w:rsidRPr="00555DE1">
        <w:rPr>
          <w:sz w:val="22"/>
          <w:szCs w:val="22"/>
        </w:rPr>
        <w:t>, CRC Press, 2018, pp. 575–612.</w:t>
      </w:r>
    </w:p>
    <w:p w14:paraId="3592A79D" w14:textId="77777777" w:rsidR="00520746" w:rsidRPr="00555DE1" w:rsidRDefault="00520746" w:rsidP="00520746">
      <w:pPr>
        <w:pStyle w:val="Bibliography"/>
        <w:rPr>
          <w:sz w:val="22"/>
          <w:szCs w:val="22"/>
        </w:rPr>
      </w:pPr>
      <w:r w:rsidRPr="00555DE1">
        <w:rPr>
          <w:sz w:val="22"/>
          <w:szCs w:val="22"/>
        </w:rPr>
        <w:t>[44]</w:t>
      </w:r>
      <w:r w:rsidRPr="00555DE1">
        <w:rPr>
          <w:sz w:val="22"/>
          <w:szCs w:val="22"/>
        </w:rPr>
        <w:tab/>
        <w:t xml:space="preserve">S. R. Vippagunta, H. G. Brittain, and D. J. Grant, “Crystalline solids,” </w:t>
      </w:r>
      <w:r w:rsidRPr="00555DE1">
        <w:rPr>
          <w:i/>
          <w:iCs/>
          <w:sz w:val="22"/>
          <w:szCs w:val="22"/>
        </w:rPr>
        <w:t>Adv. Drug Deliv. Rev.</w:t>
      </w:r>
      <w:r w:rsidRPr="00555DE1">
        <w:rPr>
          <w:sz w:val="22"/>
          <w:szCs w:val="22"/>
        </w:rPr>
        <w:t>, vol. 48, no. 1, pp. 3–26, 2001.</w:t>
      </w:r>
    </w:p>
    <w:p w14:paraId="5634FACA" w14:textId="77777777" w:rsidR="00520746" w:rsidRPr="00555DE1" w:rsidRDefault="00520746" w:rsidP="00520746">
      <w:pPr>
        <w:pStyle w:val="Bibliography"/>
        <w:rPr>
          <w:sz w:val="22"/>
          <w:szCs w:val="22"/>
        </w:rPr>
      </w:pPr>
      <w:r w:rsidRPr="00555DE1">
        <w:rPr>
          <w:sz w:val="22"/>
          <w:szCs w:val="22"/>
        </w:rPr>
        <w:t>[45]</w:t>
      </w:r>
      <w:r w:rsidRPr="00555DE1">
        <w:rPr>
          <w:sz w:val="22"/>
          <w:szCs w:val="22"/>
        </w:rPr>
        <w:tab/>
        <w:t xml:space="preserve">D. Singhal and W. Curatolo, “Drug polymorphism and dosage form design: a practical perspective,” </w:t>
      </w:r>
      <w:r w:rsidRPr="00555DE1">
        <w:rPr>
          <w:i/>
          <w:iCs/>
          <w:sz w:val="22"/>
          <w:szCs w:val="22"/>
        </w:rPr>
        <w:t>Adv. Drug Deliv. Rev.</w:t>
      </w:r>
      <w:r w:rsidRPr="00555DE1">
        <w:rPr>
          <w:sz w:val="22"/>
          <w:szCs w:val="22"/>
        </w:rPr>
        <w:t>, vol. 56, no. 3, pp. 335–347, 2004.</w:t>
      </w:r>
    </w:p>
    <w:p w14:paraId="4985FF88" w14:textId="77777777" w:rsidR="00520746" w:rsidRPr="00555DE1" w:rsidRDefault="00520746" w:rsidP="00520746">
      <w:pPr>
        <w:pStyle w:val="Bibliography"/>
        <w:rPr>
          <w:sz w:val="22"/>
          <w:szCs w:val="22"/>
        </w:rPr>
      </w:pPr>
      <w:r w:rsidRPr="00555DE1">
        <w:rPr>
          <w:sz w:val="22"/>
          <w:szCs w:val="22"/>
        </w:rPr>
        <w:t>[46]</w:t>
      </w:r>
      <w:r w:rsidRPr="00555DE1">
        <w:rPr>
          <w:sz w:val="22"/>
          <w:szCs w:val="22"/>
        </w:rPr>
        <w:tab/>
        <w:t xml:space="preserve">S. B. Murdande, M. J. Pikal, R. M. Shanker, and R. H. Bogner, “Aqueous solubility of crystalline and amorphous drugs: challenges in measurement,” </w:t>
      </w:r>
      <w:r w:rsidRPr="00555DE1">
        <w:rPr>
          <w:i/>
          <w:iCs/>
          <w:sz w:val="22"/>
          <w:szCs w:val="22"/>
        </w:rPr>
        <w:t>Pharm. Dev. Technol.</w:t>
      </w:r>
      <w:r w:rsidRPr="00555DE1">
        <w:rPr>
          <w:sz w:val="22"/>
          <w:szCs w:val="22"/>
        </w:rPr>
        <w:t>, vol. 16, no. 3, pp. 187–200, 2011.</w:t>
      </w:r>
    </w:p>
    <w:p w14:paraId="34A8F0AE" w14:textId="77777777" w:rsidR="00520746" w:rsidRPr="00555DE1" w:rsidRDefault="00520746" w:rsidP="00520746">
      <w:pPr>
        <w:pStyle w:val="Bibliography"/>
        <w:rPr>
          <w:sz w:val="22"/>
          <w:szCs w:val="22"/>
        </w:rPr>
      </w:pPr>
      <w:r w:rsidRPr="00555DE1">
        <w:rPr>
          <w:sz w:val="22"/>
          <w:szCs w:val="22"/>
        </w:rPr>
        <w:t>[47]</w:t>
      </w:r>
      <w:r w:rsidRPr="00555DE1">
        <w:rPr>
          <w:sz w:val="22"/>
          <w:szCs w:val="22"/>
        </w:rPr>
        <w:tab/>
        <w:t xml:space="preserve">N. J. Babu and A. Nangia, “Solubility advantage of amorphous drugs and pharmaceutical cocrystals,” </w:t>
      </w:r>
      <w:r w:rsidRPr="00555DE1">
        <w:rPr>
          <w:i/>
          <w:iCs/>
          <w:sz w:val="22"/>
          <w:szCs w:val="22"/>
        </w:rPr>
        <w:t>Cryst. Growth Des.</w:t>
      </w:r>
      <w:r w:rsidRPr="00555DE1">
        <w:rPr>
          <w:sz w:val="22"/>
          <w:szCs w:val="22"/>
        </w:rPr>
        <w:t>, vol. 11, no. 7, pp. 2662–2679, 2011.</w:t>
      </w:r>
    </w:p>
    <w:p w14:paraId="502608BE" w14:textId="77777777" w:rsidR="00520746" w:rsidRPr="00555DE1" w:rsidRDefault="00520746" w:rsidP="00520746">
      <w:pPr>
        <w:pStyle w:val="Bibliography"/>
        <w:rPr>
          <w:sz w:val="22"/>
          <w:szCs w:val="22"/>
        </w:rPr>
      </w:pPr>
      <w:r w:rsidRPr="00555DE1">
        <w:rPr>
          <w:sz w:val="22"/>
          <w:szCs w:val="22"/>
        </w:rPr>
        <w:lastRenderedPageBreak/>
        <w:t>[48]</w:t>
      </w:r>
      <w:r w:rsidRPr="00555DE1">
        <w:rPr>
          <w:sz w:val="22"/>
          <w:szCs w:val="22"/>
        </w:rPr>
        <w:tab/>
        <w:t xml:space="preserve">S. B. Murdande, M. J. Pikal, R. M. Shanker, and R. H. Bogner, “Solubility advantage of amorphous pharmaceuticals: I. A thermodynamic analysis,” </w:t>
      </w:r>
      <w:r w:rsidRPr="00555DE1">
        <w:rPr>
          <w:i/>
          <w:iCs/>
          <w:sz w:val="22"/>
          <w:szCs w:val="22"/>
        </w:rPr>
        <w:t>J. Pharm. Sci.</w:t>
      </w:r>
      <w:r w:rsidRPr="00555DE1">
        <w:rPr>
          <w:sz w:val="22"/>
          <w:szCs w:val="22"/>
        </w:rPr>
        <w:t>, vol. 99, no. 3, pp. 1254–1264, 2010.</w:t>
      </w:r>
    </w:p>
    <w:p w14:paraId="5E2A5071" w14:textId="77777777" w:rsidR="00520746" w:rsidRPr="00555DE1" w:rsidRDefault="00520746" w:rsidP="00520746">
      <w:pPr>
        <w:pStyle w:val="Bibliography"/>
        <w:rPr>
          <w:sz w:val="22"/>
          <w:szCs w:val="22"/>
        </w:rPr>
      </w:pPr>
      <w:r w:rsidRPr="00555DE1">
        <w:rPr>
          <w:sz w:val="22"/>
          <w:szCs w:val="22"/>
        </w:rPr>
        <w:t>[49]</w:t>
      </w:r>
      <w:r w:rsidRPr="00555DE1">
        <w:rPr>
          <w:sz w:val="22"/>
          <w:szCs w:val="22"/>
        </w:rPr>
        <w:tab/>
        <w:t xml:space="preserve">J. Lay Peng Soh, C. Valeria Liew, and P. Wan Sia Heng, “Impact of excipient variability on drug product processing and performance,” </w:t>
      </w:r>
      <w:r w:rsidRPr="00555DE1">
        <w:rPr>
          <w:i/>
          <w:iCs/>
          <w:sz w:val="22"/>
          <w:szCs w:val="22"/>
        </w:rPr>
        <w:t>Curr. Pharm. Des.</w:t>
      </w:r>
      <w:r w:rsidRPr="00555DE1">
        <w:rPr>
          <w:sz w:val="22"/>
          <w:szCs w:val="22"/>
        </w:rPr>
        <w:t>, vol. 21, no. 40, pp. 5890–5899, 2015.</w:t>
      </w:r>
    </w:p>
    <w:p w14:paraId="185CDCB7" w14:textId="77777777" w:rsidR="00520746" w:rsidRPr="00555DE1" w:rsidRDefault="00520746" w:rsidP="00520746">
      <w:pPr>
        <w:pStyle w:val="Bibliography"/>
        <w:rPr>
          <w:sz w:val="22"/>
          <w:szCs w:val="22"/>
        </w:rPr>
      </w:pPr>
      <w:r w:rsidRPr="00555DE1">
        <w:rPr>
          <w:sz w:val="22"/>
          <w:szCs w:val="22"/>
        </w:rPr>
        <w:t>[50]</w:t>
      </w:r>
      <w:r w:rsidRPr="00555DE1">
        <w:rPr>
          <w:sz w:val="22"/>
          <w:szCs w:val="22"/>
        </w:rPr>
        <w:tab/>
        <w:t xml:space="preserve">R. Panakanti and A. S. Narang, “Impact of excipient interactions on drug bioavailability from solid dosage forms,” </w:t>
      </w:r>
      <w:r w:rsidRPr="00555DE1">
        <w:rPr>
          <w:i/>
          <w:iCs/>
          <w:sz w:val="22"/>
          <w:szCs w:val="22"/>
        </w:rPr>
        <w:t>Pharm. Res.</w:t>
      </w:r>
      <w:r w:rsidRPr="00555DE1">
        <w:rPr>
          <w:sz w:val="22"/>
          <w:szCs w:val="22"/>
        </w:rPr>
        <w:t>, vol. 29, no. 10, pp. 2639–2659, 2012.</w:t>
      </w:r>
    </w:p>
    <w:p w14:paraId="3D8C0DE8" w14:textId="77777777" w:rsidR="00520746" w:rsidRPr="00555DE1" w:rsidRDefault="00520746" w:rsidP="00520746">
      <w:pPr>
        <w:pStyle w:val="Bibliography"/>
        <w:rPr>
          <w:sz w:val="22"/>
          <w:szCs w:val="22"/>
        </w:rPr>
      </w:pPr>
      <w:r w:rsidRPr="00555DE1">
        <w:rPr>
          <w:sz w:val="22"/>
          <w:szCs w:val="22"/>
        </w:rPr>
        <w:t>[51]</w:t>
      </w:r>
      <w:r w:rsidRPr="00555DE1">
        <w:rPr>
          <w:sz w:val="22"/>
          <w:szCs w:val="22"/>
        </w:rPr>
        <w:tab/>
        <w:t xml:space="preserve">Darjan Košir,Tadej Ojsteršek &amp;Franc Vrečer, “Does the performance of wet granulation and tablet hardness affect the drug dissolution profile of carvedilol in matrix tablets?,” </w:t>
      </w:r>
      <w:r w:rsidRPr="00555DE1">
        <w:rPr>
          <w:i/>
          <w:iCs/>
          <w:sz w:val="22"/>
          <w:szCs w:val="22"/>
        </w:rPr>
        <w:t>Drug Dev. Ind. Pharm.</w:t>
      </w:r>
      <w:r w:rsidRPr="00555DE1">
        <w:rPr>
          <w:sz w:val="22"/>
          <w:szCs w:val="22"/>
        </w:rPr>
        <w:t>, vol. 44, no. 9, pp. 1543–1550, 2018.</w:t>
      </w:r>
    </w:p>
    <w:p w14:paraId="40FE4450" w14:textId="77777777" w:rsidR="00520746" w:rsidRPr="00555DE1" w:rsidRDefault="00520746" w:rsidP="00520746">
      <w:pPr>
        <w:pStyle w:val="Bibliography"/>
        <w:rPr>
          <w:sz w:val="22"/>
          <w:szCs w:val="22"/>
        </w:rPr>
      </w:pPr>
      <w:r w:rsidRPr="00555DE1">
        <w:rPr>
          <w:sz w:val="22"/>
          <w:szCs w:val="22"/>
        </w:rPr>
        <w:t>[52]</w:t>
      </w:r>
      <w:r w:rsidRPr="00555DE1">
        <w:rPr>
          <w:sz w:val="22"/>
          <w:szCs w:val="22"/>
        </w:rPr>
        <w:tab/>
        <w:t xml:space="preserve">M. Rahul, S. Patil, M. Shetkar, D. Chavan, and P. Bhagwat, “A review on immediate release drug delivery systems,” </w:t>
      </w:r>
      <w:r w:rsidRPr="00555DE1">
        <w:rPr>
          <w:i/>
          <w:iCs/>
          <w:sz w:val="22"/>
          <w:szCs w:val="22"/>
        </w:rPr>
        <w:t>PharmaTutor</w:t>
      </w:r>
      <w:r w:rsidRPr="00555DE1">
        <w:rPr>
          <w:sz w:val="22"/>
          <w:szCs w:val="22"/>
        </w:rPr>
        <w:t>, vol. 2, no. 8, pp. 95–109, 2014.</w:t>
      </w:r>
    </w:p>
    <w:p w14:paraId="758F9264" w14:textId="77777777" w:rsidR="00520746" w:rsidRPr="00555DE1" w:rsidRDefault="00520746" w:rsidP="00520746">
      <w:pPr>
        <w:pStyle w:val="Bibliography"/>
        <w:rPr>
          <w:sz w:val="22"/>
          <w:szCs w:val="22"/>
        </w:rPr>
      </w:pPr>
      <w:r w:rsidRPr="00555DE1">
        <w:rPr>
          <w:sz w:val="22"/>
          <w:szCs w:val="22"/>
        </w:rPr>
        <w:t>[53]</w:t>
      </w:r>
      <w:r w:rsidRPr="00555DE1">
        <w:rPr>
          <w:sz w:val="22"/>
          <w:szCs w:val="22"/>
        </w:rPr>
        <w:tab/>
        <w:t xml:space="preserve">N. Sandeep and M. Gupta, “Immediate drug release dosage form: a review,” </w:t>
      </w:r>
      <w:r w:rsidRPr="00555DE1">
        <w:rPr>
          <w:i/>
          <w:iCs/>
          <w:sz w:val="22"/>
          <w:szCs w:val="22"/>
        </w:rPr>
        <w:t>J. Drug Deliv. Ther.</w:t>
      </w:r>
      <w:r w:rsidRPr="00555DE1">
        <w:rPr>
          <w:sz w:val="22"/>
          <w:szCs w:val="22"/>
        </w:rPr>
        <w:t>, vol. 3, no. 2, pp. 155–161, 2013.</w:t>
      </w:r>
    </w:p>
    <w:p w14:paraId="1FF004A9" w14:textId="77777777" w:rsidR="00520746" w:rsidRPr="00555DE1" w:rsidRDefault="00520746" w:rsidP="00520746">
      <w:pPr>
        <w:pStyle w:val="Bibliography"/>
        <w:rPr>
          <w:sz w:val="22"/>
          <w:szCs w:val="22"/>
        </w:rPr>
      </w:pPr>
      <w:r w:rsidRPr="00555DE1">
        <w:rPr>
          <w:sz w:val="22"/>
          <w:szCs w:val="22"/>
        </w:rPr>
        <w:t>[54]</w:t>
      </w:r>
      <w:r w:rsidRPr="00555DE1">
        <w:rPr>
          <w:sz w:val="22"/>
          <w:szCs w:val="22"/>
        </w:rPr>
        <w:tab/>
        <w:t xml:space="preserve">J. Van der Merwe, J. Steenekamp, D. Steyn, and J. Hamman, “The role of functional excipients in solid oral dosage forms to overcome poor drug dissolution and bioavailability,” </w:t>
      </w:r>
      <w:r w:rsidRPr="00555DE1">
        <w:rPr>
          <w:i/>
          <w:iCs/>
          <w:sz w:val="22"/>
          <w:szCs w:val="22"/>
        </w:rPr>
        <w:t>Pharmaceutics</w:t>
      </w:r>
      <w:r w:rsidRPr="00555DE1">
        <w:rPr>
          <w:sz w:val="22"/>
          <w:szCs w:val="22"/>
        </w:rPr>
        <w:t>, vol. 12, no. 5, p. 393, 2020.</w:t>
      </w:r>
    </w:p>
    <w:p w14:paraId="55EF8476" w14:textId="77777777" w:rsidR="00520746" w:rsidRPr="00555DE1" w:rsidRDefault="00520746" w:rsidP="00520746">
      <w:pPr>
        <w:pStyle w:val="Bibliography"/>
        <w:rPr>
          <w:sz w:val="22"/>
          <w:szCs w:val="22"/>
        </w:rPr>
      </w:pPr>
      <w:r w:rsidRPr="00555DE1">
        <w:rPr>
          <w:sz w:val="22"/>
          <w:szCs w:val="22"/>
        </w:rPr>
        <w:t>[55]</w:t>
      </w:r>
      <w:r w:rsidRPr="00555DE1">
        <w:rPr>
          <w:sz w:val="22"/>
          <w:szCs w:val="22"/>
        </w:rPr>
        <w:tab/>
        <w:t xml:space="preserve">J. Quodbach and P. Kleinebudde, “A critical review on tablet disintegration,” </w:t>
      </w:r>
      <w:r w:rsidRPr="00555DE1">
        <w:rPr>
          <w:i/>
          <w:iCs/>
          <w:sz w:val="22"/>
          <w:szCs w:val="22"/>
        </w:rPr>
        <w:t>Pharm. Dev. Technol.</w:t>
      </w:r>
      <w:r w:rsidRPr="00555DE1">
        <w:rPr>
          <w:sz w:val="22"/>
          <w:szCs w:val="22"/>
        </w:rPr>
        <w:t>, vol. 21, no. 6, pp. 763–774, 2016.</w:t>
      </w:r>
    </w:p>
    <w:p w14:paraId="60B97E21" w14:textId="77777777" w:rsidR="00520746" w:rsidRPr="00555DE1" w:rsidRDefault="00520746" w:rsidP="00520746">
      <w:pPr>
        <w:pStyle w:val="Bibliography"/>
        <w:rPr>
          <w:sz w:val="22"/>
          <w:szCs w:val="22"/>
        </w:rPr>
      </w:pPr>
      <w:r w:rsidRPr="00555DE1">
        <w:rPr>
          <w:sz w:val="22"/>
          <w:szCs w:val="22"/>
        </w:rPr>
        <w:t>[56]</w:t>
      </w:r>
      <w:r w:rsidRPr="00555DE1">
        <w:rPr>
          <w:sz w:val="22"/>
          <w:szCs w:val="22"/>
        </w:rPr>
        <w:tab/>
        <w:t xml:space="preserve">H. V. Nguyen </w:t>
      </w:r>
      <w:r w:rsidRPr="00555DE1">
        <w:rPr>
          <w:i/>
          <w:iCs/>
          <w:sz w:val="22"/>
          <w:szCs w:val="22"/>
        </w:rPr>
        <w:t>et al.</w:t>
      </w:r>
      <w:r w:rsidRPr="00555DE1">
        <w:rPr>
          <w:sz w:val="22"/>
          <w:szCs w:val="22"/>
        </w:rPr>
        <w:t xml:space="preserve">, “Improved Dissolution of Poorly Water-Soluble Rutin via Solid Dispersion Prepared Using a Fluid-Bed Coating System,” </w:t>
      </w:r>
      <w:r w:rsidRPr="00555DE1">
        <w:rPr>
          <w:i/>
          <w:iCs/>
          <w:sz w:val="22"/>
          <w:szCs w:val="22"/>
        </w:rPr>
        <w:t>Pharmaceutics</w:t>
      </w:r>
      <w:r w:rsidRPr="00555DE1">
        <w:rPr>
          <w:sz w:val="22"/>
          <w:szCs w:val="22"/>
        </w:rPr>
        <w:t>, vol. 17, no. 12, p. 1559, 2025, doi: 10.3390/pharmaceutics17121559.</w:t>
      </w:r>
    </w:p>
    <w:p w14:paraId="47289AF8" w14:textId="77777777" w:rsidR="00520746" w:rsidRPr="00555DE1" w:rsidRDefault="00520746" w:rsidP="00520746">
      <w:pPr>
        <w:pStyle w:val="Bibliography"/>
        <w:rPr>
          <w:sz w:val="22"/>
          <w:szCs w:val="22"/>
        </w:rPr>
      </w:pPr>
      <w:r w:rsidRPr="00555DE1">
        <w:rPr>
          <w:sz w:val="22"/>
          <w:szCs w:val="22"/>
        </w:rPr>
        <w:t>[57]</w:t>
      </w:r>
      <w:r w:rsidRPr="00555DE1">
        <w:rPr>
          <w:sz w:val="22"/>
          <w:szCs w:val="22"/>
        </w:rPr>
        <w:tab/>
        <w:t xml:space="preserve">Pathak Naveen, Kumar Anuj, Sahoo Sangram, Padhee Kumud, “Dssolution enhancement of poorly Water-Soluble Drug (Raloxifene Hydrochloride) by using different Hydrophilic Excipients in Solid dosage form,” </w:t>
      </w:r>
      <w:r w:rsidRPr="00555DE1">
        <w:rPr>
          <w:i/>
          <w:iCs/>
          <w:sz w:val="22"/>
          <w:szCs w:val="22"/>
        </w:rPr>
        <w:t>Int.J.Ph.Sci</w:t>
      </w:r>
      <w:r w:rsidRPr="00555DE1">
        <w:rPr>
          <w:sz w:val="22"/>
          <w:szCs w:val="22"/>
        </w:rPr>
        <w:t>, 2011.</w:t>
      </w:r>
    </w:p>
    <w:p w14:paraId="7BCDF3E8" w14:textId="77777777" w:rsidR="00520746" w:rsidRPr="00555DE1" w:rsidRDefault="00520746" w:rsidP="00520746">
      <w:pPr>
        <w:pStyle w:val="Bibliography"/>
        <w:rPr>
          <w:sz w:val="22"/>
          <w:szCs w:val="22"/>
        </w:rPr>
      </w:pPr>
      <w:r w:rsidRPr="00555DE1">
        <w:rPr>
          <w:sz w:val="22"/>
          <w:szCs w:val="22"/>
        </w:rPr>
        <w:t>[58]</w:t>
      </w:r>
      <w:r w:rsidRPr="00555DE1">
        <w:rPr>
          <w:sz w:val="22"/>
          <w:szCs w:val="22"/>
        </w:rPr>
        <w:tab/>
        <w:t xml:space="preserve">G. Morin and L. Briens, “The Effect of Lubricants on Powder Flowability for Pharmaceutical Application,” </w:t>
      </w:r>
      <w:r w:rsidRPr="00555DE1">
        <w:rPr>
          <w:i/>
          <w:iCs/>
          <w:sz w:val="22"/>
          <w:szCs w:val="22"/>
        </w:rPr>
        <w:t>AAPS PharmSciTech</w:t>
      </w:r>
      <w:r w:rsidRPr="00555DE1">
        <w:rPr>
          <w:sz w:val="22"/>
          <w:szCs w:val="22"/>
        </w:rPr>
        <w:t>, vol. 14, no. 3, pp. 1158–1168, Sep. 2013, doi: 10.1208/s12249-013-0007-5.</w:t>
      </w:r>
    </w:p>
    <w:p w14:paraId="271306FD" w14:textId="77777777" w:rsidR="00520746" w:rsidRPr="00555DE1" w:rsidRDefault="00520746" w:rsidP="00520746">
      <w:pPr>
        <w:pStyle w:val="Bibliography"/>
        <w:rPr>
          <w:sz w:val="22"/>
          <w:szCs w:val="22"/>
        </w:rPr>
      </w:pPr>
      <w:r w:rsidRPr="00555DE1">
        <w:rPr>
          <w:sz w:val="22"/>
          <w:szCs w:val="22"/>
        </w:rPr>
        <w:t>[59]</w:t>
      </w:r>
      <w:r w:rsidRPr="00555DE1">
        <w:rPr>
          <w:sz w:val="22"/>
          <w:szCs w:val="22"/>
        </w:rPr>
        <w:tab/>
        <w:t xml:space="preserve">M. Li </w:t>
      </w:r>
      <w:r w:rsidRPr="00555DE1">
        <w:rPr>
          <w:i/>
          <w:iCs/>
          <w:sz w:val="22"/>
          <w:szCs w:val="22"/>
        </w:rPr>
        <w:t>et al.</w:t>
      </w:r>
      <w:r w:rsidRPr="00555DE1">
        <w:rPr>
          <w:sz w:val="22"/>
          <w:szCs w:val="22"/>
        </w:rPr>
        <w:t xml:space="preserve">, “Scientific and regulatory considerations in solid oral modified release drug product development,” </w:t>
      </w:r>
      <w:r w:rsidRPr="00555DE1">
        <w:rPr>
          <w:i/>
          <w:iCs/>
          <w:sz w:val="22"/>
          <w:szCs w:val="22"/>
        </w:rPr>
        <w:t>AAPS J.</w:t>
      </w:r>
      <w:r w:rsidRPr="00555DE1">
        <w:rPr>
          <w:sz w:val="22"/>
          <w:szCs w:val="22"/>
        </w:rPr>
        <w:t>, vol. 18, no. 6, pp. 1406–1417, 2016.</w:t>
      </w:r>
    </w:p>
    <w:p w14:paraId="1FFFED8E" w14:textId="77777777" w:rsidR="00520746" w:rsidRPr="00555DE1" w:rsidRDefault="00520746" w:rsidP="00520746">
      <w:pPr>
        <w:pStyle w:val="Bibliography"/>
        <w:rPr>
          <w:sz w:val="22"/>
          <w:szCs w:val="22"/>
        </w:rPr>
      </w:pPr>
      <w:r w:rsidRPr="00555DE1">
        <w:rPr>
          <w:sz w:val="22"/>
          <w:szCs w:val="22"/>
        </w:rPr>
        <w:t>[60]</w:t>
      </w:r>
      <w:r w:rsidRPr="00555DE1">
        <w:rPr>
          <w:sz w:val="22"/>
          <w:szCs w:val="22"/>
        </w:rPr>
        <w:tab/>
        <w:t xml:space="preserve">M. V. Varma, A. M. Kaushal, A. Garg, and S. Garg, “Factors affecting mechanism and kinetics of drug release from matrix-based oral controlled drug delivery systems,” </w:t>
      </w:r>
      <w:r w:rsidRPr="00555DE1">
        <w:rPr>
          <w:i/>
          <w:iCs/>
          <w:sz w:val="22"/>
          <w:szCs w:val="22"/>
        </w:rPr>
        <w:t>Am. J. Drug Deliv.</w:t>
      </w:r>
      <w:r w:rsidRPr="00555DE1">
        <w:rPr>
          <w:sz w:val="22"/>
          <w:szCs w:val="22"/>
        </w:rPr>
        <w:t>, vol. 2, no. 1, pp. 43–57, 2004.</w:t>
      </w:r>
    </w:p>
    <w:p w14:paraId="38492BAA" w14:textId="77777777" w:rsidR="00520746" w:rsidRPr="00555DE1" w:rsidRDefault="00520746" w:rsidP="00520746">
      <w:pPr>
        <w:pStyle w:val="Bibliography"/>
        <w:rPr>
          <w:sz w:val="22"/>
          <w:szCs w:val="22"/>
        </w:rPr>
      </w:pPr>
      <w:r w:rsidRPr="00555DE1">
        <w:rPr>
          <w:sz w:val="22"/>
          <w:szCs w:val="22"/>
        </w:rPr>
        <w:t>[61]</w:t>
      </w:r>
      <w:r w:rsidRPr="00555DE1">
        <w:rPr>
          <w:sz w:val="22"/>
          <w:szCs w:val="22"/>
        </w:rPr>
        <w:tab/>
        <w:t xml:space="preserve">A. Y. Patne, K. Akramuddaula, D. Patel, M. Suryawanshi, and K. Vinchurkar, “Applications of natural polymers in controlled-release systems,” in </w:t>
      </w:r>
      <w:r w:rsidRPr="00555DE1">
        <w:rPr>
          <w:i/>
          <w:iCs/>
          <w:sz w:val="22"/>
          <w:szCs w:val="22"/>
        </w:rPr>
        <w:t>Innovative Pharmaceutical Excipients: Natural Sources</w:t>
      </w:r>
      <w:r w:rsidRPr="00555DE1">
        <w:rPr>
          <w:sz w:val="22"/>
          <w:szCs w:val="22"/>
        </w:rPr>
        <w:t>, Springer, 2025, pp. 249–298.</w:t>
      </w:r>
    </w:p>
    <w:p w14:paraId="6A1CF2BF" w14:textId="77777777" w:rsidR="00520746" w:rsidRPr="00555DE1" w:rsidRDefault="00520746" w:rsidP="00520746">
      <w:pPr>
        <w:pStyle w:val="Bibliography"/>
        <w:rPr>
          <w:sz w:val="22"/>
          <w:szCs w:val="22"/>
        </w:rPr>
      </w:pPr>
      <w:r w:rsidRPr="00555DE1">
        <w:rPr>
          <w:sz w:val="22"/>
          <w:szCs w:val="22"/>
        </w:rPr>
        <w:t>[62]</w:t>
      </w:r>
      <w:r w:rsidRPr="00555DE1">
        <w:rPr>
          <w:sz w:val="22"/>
          <w:szCs w:val="22"/>
        </w:rPr>
        <w:tab/>
        <w:t xml:space="preserve">P. Colombo, R. Bettini, P. Santi, and N. A. Peppas, “Swellable matrices for controlled drug delivery: gel-layer behaviour, mechanisms and optimal performance,” </w:t>
      </w:r>
      <w:r w:rsidRPr="00555DE1">
        <w:rPr>
          <w:i/>
          <w:iCs/>
          <w:sz w:val="22"/>
          <w:szCs w:val="22"/>
        </w:rPr>
        <w:t>Pharm. Sci. Technol. Today</w:t>
      </w:r>
      <w:r w:rsidRPr="00555DE1">
        <w:rPr>
          <w:sz w:val="22"/>
          <w:szCs w:val="22"/>
        </w:rPr>
        <w:t>, vol. 3, no. 6, pp. 198–204, 2000.</w:t>
      </w:r>
    </w:p>
    <w:p w14:paraId="739968FE" w14:textId="77777777" w:rsidR="00520746" w:rsidRPr="00555DE1" w:rsidRDefault="00520746" w:rsidP="00520746">
      <w:pPr>
        <w:pStyle w:val="Bibliography"/>
        <w:rPr>
          <w:sz w:val="22"/>
          <w:szCs w:val="22"/>
        </w:rPr>
      </w:pPr>
      <w:r w:rsidRPr="00555DE1">
        <w:rPr>
          <w:sz w:val="22"/>
          <w:szCs w:val="22"/>
        </w:rPr>
        <w:t>[63]</w:t>
      </w:r>
      <w:r w:rsidRPr="00555DE1">
        <w:rPr>
          <w:sz w:val="22"/>
          <w:szCs w:val="22"/>
        </w:rPr>
        <w:tab/>
        <w:t xml:space="preserve">P. Liu, T. Ju, and Y. Qiu, “Diffusion-controlled drug delivery systems,” </w:t>
      </w:r>
      <w:r w:rsidRPr="00555DE1">
        <w:rPr>
          <w:i/>
          <w:iCs/>
          <w:sz w:val="22"/>
          <w:szCs w:val="22"/>
        </w:rPr>
        <w:t>Des. Control. Release Drug Deliv. Syst.</w:t>
      </w:r>
      <w:r w:rsidRPr="00555DE1">
        <w:rPr>
          <w:sz w:val="22"/>
          <w:szCs w:val="22"/>
        </w:rPr>
        <w:t>, pp. 107–137, 2006.</w:t>
      </w:r>
    </w:p>
    <w:p w14:paraId="5F5DCFC8" w14:textId="77777777" w:rsidR="00520746" w:rsidRPr="00555DE1" w:rsidRDefault="00520746" w:rsidP="00520746">
      <w:pPr>
        <w:pStyle w:val="Bibliography"/>
        <w:rPr>
          <w:sz w:val="22"/>
          <w:szCs w:val="22"/>
        </w:rPr>
      </w:pPr>
      <w:r w:rsidRPr="00555DE1">
        <w:rPr>
          <w:sz w:val="22"/>
          <w:szCs w:val="22"/>
        </w:rPr>
        <w:t>[64]</w:t>
      </w:r>
      <w:r w:rsidRPr="00555DE1">
        <w:rPr>
          <w:sz w:val="22"/>
          <w:szCs w:val="22"/>
        </w:rPr>
        <w:tab/>
        <w:t xml:space="preserve">V. Saharan, V. Kukkar, M. Kataria, M. Gera, and P. K. Choudhury, “Dissolution enhancement of drugs. Part I: technologies and effect of carriers,” </w:t>
      </w:r>
      <w:r w:rsidRPr="00555DE1">
        <w:rPr>
          <w:i/>
          <w:iCs/>
          <w:sz w:val="22"/>
          <w:szCs w:val="22"/>
        </w:rPr>
        <w:t>Int. J. Health Res.</w:t>
      </w:r>
      <w:r w:rsidRPr="00555DE1">
        <w:rPr>
          <w:sz w:val="22"/>
          <w:szCs w:val="22"/>
        </w:rPr>
        <w:t>, vol. 2, no. 2, 2009.</w:t>
      </w:r>
    </w:p>
    <w:p w14:paraId="2CF92112" w14:textId="77777777" w:rsidR="00520746" w:rsidRPr="00555DE1" w:rsidRDefault="00520746" w:rsidP="00520746">
      <w:pPr>
        <w:pStyle w:val="Bibliography"/>
        <w:rPr>
          <w:sz w:val="22"/>
          <w:szCs w:val="22"/>
        </w:rPr>
      </w:pPr>
      <w:r w:rsidRPr="00555DE1">
        <w:rPr>
          <w:sz w:val="22"/>
          <w:szCs w:val="22"/>
        </w:rPr>
        <w:lastRenderedPageBreak/>
        <w:t>[65]</w:t>
      </w:r>
      <w:r w:rsidRPr="00555DE1">
        <w:rPr>
          <w:sz w:val="22"/>
          <w:szCs w:val="22"/>
        </w:rPr>
        <w:tab/>
        <w:t xml:space="preserve">E. Marlowe and R. F. Shangraw, “Dissolution of sodium salicylate from tablet matrices prepared by wet granulation and direct compression,” </w:t>
      </w:r>
      <w:r w:rsidRPr="00555DE1">
        <w:rPr>
          <w:i/>
          <w:iCs/>
          <w:sz w:val="22"/>
          <w:szCs w:val="22"/>
        </w:rPr>
        <w:t>J. Pharm. Sci.</w:t>
      </w:r>
      <w:r w:rsidRPr="00555DE1">
        <w:rPr>
          <w:sz w:val="22"/>
          <w:szCs w:val="22"/>
        </w:rPr>
        <w:t>, vol. 56, no. 4, pp. 498–504, 1967.</w:t>
      </w:r>
    </w:p>
    <w:p w14:paraId="6C767B37" w14:textId="77777777" w:rsidR="00520746" w:rsidRPr="00555DE1" w:rsidRDefault="00520746" w:rsidP="00520746">
      <w:pPr>
        <w:pStyle w:val="Bibliography"/>
        <w:rPr>
          <w:sz w:val="22"/>
          <w:szCs w:val="22"/>
        </w:rPr>
      </w:pPr>
      <w:r w:rsidRPr="00555DE1">
        <w:rPr>
          <w:sz w:val="22"/>
          <w:szCs w:val="22"/>
        </w:rPr>
        <w:t>[66]</w:t>
      </w:r>
      <w:r w:rsidRPr="00555DE1">
        <w:rPr>
          <w:sz w:val="22"/>
          <w:szCs w:val="22"/>
        </w:rPr>
        <w:tab/>
        <w:t xml:space="preserve">O. A. Adeleye, “Relationship between compression pressure, mechanical strength and release properties of tablets,” </w:t>
      </w:r>
      <w:r w:rsidRPr="00555DE1">
        <w:rPr>
          <w:i/>
          <w:iCs/>
          <w:sz w:val="22"/>
          <w:szCs w:val="22"/>
        </w:rPr>
        <w:t>Polim Med</w:t>
      </w:r>
      <w:r w:rsidRPr="00555DE1">
        <w:rPr>
          <w:sz w:val="22"/>
          <w:szCs w:val="22"/>
        </w:rPr>
        <w:t>, vol. 49, no. 1, pp. 27–33, 2019.</w:t>
      </w:r>
    </w:p>
    <w:p w14:paraId="1861D85B" w14:textId="77777777" w:rsidR="00520746" w:rsidRPr="00555DE1" w:rsidRDefault="00520746" w:rsidP="00520746">
      <w:pPr>
        <w:pStyle w:val="Bibliography"/>
        <w:rPr>
          <w:sz w:val="22"/>
          <w:szCs w:val="22"/>
        </w:rPr>
      </w:pPr>
      <w:r w:rsidRPr="00555DE1">
        <w:rPr>
          <w:sz w:val="22"/>
          <w:szCs w:val="22"/>
        </w:rPr>
        <w:t>[67]</w:t>
      </w:r>
      <w:r w:rsidRPr="00555DE1">
        <w:rPr>
          <w:sz w:val="22"/>
          <w:szCs w:val="22"/>
        </w:rPr>
        <w:tab/>
        <w:t xml:space="preserve">Å. Adolfsson and C. Nyström, “Tablet strength, porosity, elasticity and solid state structure of tablets compressed at high loads,” </w:t>
      </w:r>
      <w:r w:rsidRPr="00555DE1">
        <w:rPr>
          <w:i/>
          <w:iCs/>
          <w:sz w:val="22"/>
          <w:szCs w:val="22"/>
        </w:rPr>
        <w:t>Int. J. Pharm.</w:t>
      </w:r>
      <w:r w:rsidRPr="00555DE1">
        <w:rPr>
          <w:sz w:val="22"/>
          <w:szCs w:val="22"/>
        </w:rPr>
        <w:t>, vol. 132, no. 1–2, pp. 95–106, 1996.</w:t>
      </w:r>
    </w:p>
    <w:p w14:paraId="7CB5D9C5" w14:textId="77777777" w:rsidR="00520746" w:rsidRPr="00555DE1" w:rsidRDefault="00520746" w:rsidP="00520746">
      <w:pPr>
        <w:pStyle w:val="Bibliography"/>
        <w:rPr>
          <w:sz w:val="22"/>
          <w:szCs w:val="22"/>
        </w:rPr>
      </w:pPr>
      <w:r w:rsidRPr="00555DE1">
        <w:rPr>
          <w:sz w:val="22"/>
          <w:szCs w:val="22"/>
        </w:rPr>
        <w:t>[68]</w:t>
      </w:r>
      <w:r w:rsidRPr="00555DE1">
        <w:rPr>
          <w:sz w:val="22"/>
          <w:szCs w:val="22"/>
        </w:rPr>
        <w:tab/>
        <w:t xml:space="preserve">R. M. Pabari and Z. Ramtoola, “Application of face centred central composite design to optimise compression force and tablet diameter for the formulation of mechanically strong and fast disintegrating orodispersible tablets,” </w:t>
      </w:r>
      <w:r w:rsidRPr="00555DE1">
        <w:rPr>
          <w:i/>
          <w:iCs/>
          <w:sz w:val="22"/>
          <w:szCs w:val="22"/>
        </w:rPr>
        <w:t>Int. J. Pharm.</w:t>
      </w:r>
      <w:r w:rsidRPr="00555DE1">
        <w:rPr>
          <w:sz w:val="22"/>
          <w:szCs w:val="22"/>
        </w:rPr>
        <w:t>, vol. 430, no. 1–2, pp. 18–25, 2012.</w:t>
      </w:r>
    </w:p>
    <w:p w14:paraId="67705C0A" w14:textId="77777777" w:rsidR="00520746" w:rsidRPr="00555DE1" w:rsidRDefault="00520746" w:rsidP="00520746">
      <w:pPr>
        <w:pStyle w:val="Bibliography"/>
        <w:rPr>
          <w:sz w:val="22"/>
          <w:szCs w:val="22"/>
        </w:rPr>
      </w:pPr>
      <w:r w:rsidRPr="00555DE1">
        <w:rPr>
          <w:sz w:val="22"/>
          <w:szCs w:val="22"/>
        </w:rPr>
        <w:t>[69]</w:t>
      </w:r>
      <w:r w:rsidRPr="00555DE1">
        <w:rPr>
          <w:sz w:val="22"/>
          <w:szCs w:val="22"/>
        </w:rPr>
        <w:tab/>
        <w:t xml:space="preserve">O. Antikainen and J. Yliruusi, “Determining the compression behaviour of pharmaceutical powders from the force–distance compression profile,” </w:t>
      </w:r>
      <w:r w:rsidRPr="00555DE1">
        <w:rPr>
          <w:i/>
          <w:iCs/>
          <w:sz w:val="22"/>
          <w:szCs w:val="22"/>
        </w:rPr>
        <w:t>Int. J. Pharm.</w:t>
      </w:r>
      <w:r w:rsidRPr="00555DE1">
        <w:rPr>
          <w:sz w:val="22"/>
          <w:szCs w:val="22"/>
        </w:rPr>
        <w:t>, vol. 252, no. 1–2, pp. 253–261, 2003.</w:t>
      </w:r>
    </w:p>
    <w:p w14:paraId="5C87E70A" w14:textId="77777777" w:rsidR="00520746" w:rsidRPr="00555DE1" w:rsidRDefault="00520746" w:rsidP="00520746">
      <w:pPr>
        <w:pStyle w:val="Bibliography"/>
        <w:rPr>
          <w:sz w:val="22"/>
          <w:szCs w:val="22"/>
        </w:rPr>
      </w:pPr>
      <w:r w:rsidRPr="00555DE1">
        <w:rPr>
          <w:sz w:val="22"/>
          <w:szCs w:val="22"/>
        </w:rPr>
        <w:t>[70]</w:t>
      </w:r>
      <w:r w:rsidRPr="00555DE1">
        <w:rPr>
          <w:sz w:val="22"/>
          <w:szCs w:val="22"/>
        </w:rPr>
        <w:tab/>
        <w:t xml:space="preserve">S. Patel, A. M. Kaushal, and A. K. Bansal, “Effect of particle size and compression force on compaction behavior and derived mathematical parameters of compressibility,” </w:t>
      </w:r>
      <w:r w:rsidRPr="00555DE1">
        <w:rPr>
          <w:i/>
          <w:iCs/>
          <w:sz w:val="22"/>
          <w:szCs w:val="22"/>
        </w:rPr>
        <w:t>Pharm. Res.</w:t>
      </w:r>
      <w:r w:rsidRPr="00555DE1">
        <w:rPr>
          <w:sz w:val="22"/>
          <w:szCs w:val="22"/>
        </w:rPr>
        <w:t>, vol. 24, no. 1, pp. 111–124, 2007.</w:t>
      </w:r>
    </w:p>
    <w:p w14:paraId="64B74AB0" w14:textId="77777777" w:rsidR="00520746" w:rsidRPr="00555DE1" w:rsidRDefault="00520746" w:rsidP="00520746">
      <w:pPr>
        <w:pStyle w:val="Bibliography"/>
        <w:rPr>
          <w:sz w:val="22"/>
          <w:szCs w:val="22"/>
        </w:rPr>
      </w:pPr>
      <w:r w:rsidRPr="00555DE1">
        <w:rPr>
          <w:sz w:val="22"/>
          <w:szCs w:val="22"/>
        </w:rPr>
        <w:t>[71]</w:t>
      </w:r>
      <w:r w:rsidRPr="00555DE1">
        <w:rPr>
          <w:sz w:val="22"/>
          <w:szCs w:val="22"/>
        </w:rPr>
        <w:tab/>
        <w:t xml:space="preserve">J. Wang, H. Wen, and D. Desai, “Lubrication in tablet formulations,” </w:t>
      </w:r>
      <w:r w:rsidRPr="00555DE1">
        <w:rPr>
          <w:i/>
          <w:iCs/>
          <w:sz w:val="22"/>
          <w:szCs w:val="22"/>
        </w:rPr>
        <w:t>Eur. J. Pharm. Biopharm.</w:t>
      </w:r>
      <w:r w:rsidRPr="00555DE1">
        <w:rPr>
          <w:sz w:val="22"/>
          <w:szCs w:val="22"/>
        </w:rPr>
        <w:t>, vol. 75, no. 1, pp. 1–15, 2010.</w:t>
      </w:r>
    </w:p>
    <w:p w14:paraId="66B93CE5" w14:textId="77777777" w:rsidR="00520746" w:rsidRPr="00555DE1" w:rsidRDefault="00520746" w:rsidP="00520746">
      <w:pPr>
        <w:pStyle w:val="Bibliography"/>
        <w:rPr>
          <w:sz w:val="22"/>
          <w:szCs w:val="22"/>
        </w:rPr>
      </w:pPr>
      <w:r w:rsidRPr="00555DE1">
        <w:rPr>
          <w:sz w:val="22"/>
          <w:szCs w:val="22"/>
        </w:rPr>
        <w:t>[72]</w:t>
      </w:r>
      <w:r w:rsidRPr="00555DE1">
        <w:rPr>
          <w:sz w:val="22"/>
          <w:szCs w:val="22"/>
        </w:rPr>
        <w:tab/>
        <w:t xml:space="preserve">G. Levy, “Effect of certain tablet formulation factors on dissolution rate of the active ingredient I: importance of using appropriate agitation intensities for in vitro dissolution rate measurements to reflect in vivo conditions,” </w:t>
      </w:r>
      <w:r w:rsidRPr="00555DE1">
        <w:rPr>
          <w:i/>
          <w:iCs/>
          <w:sz w:val="22"/>
          <w:szCs w:val="22"/>
        </w:rPr>
        <w:t>J. Pharm. Sci.</w:t>
      </w:r>
      <w:r w:rsidRPr="00555DE1">
        <w:rPr>
          <w:sz w:val="22"/>
          <w:szCs w:val="22"/>
        </w:rPr>
        <w:t>, vol. 52, no. 11, pp. 1039–1046, 1963.</w:t>
      </w:r>
    </w:p>
    <w:p w14:paraId="6B61F9CD" w14:textId="77777777" w:rsidR="00520746" w:rsidRPr="00555DE1" w:rsidRDefault="00520746" w:rsidP="00520746">
      <w:pPr>
        <w:pStyle w:val="Bibliography"/>
        <w:rPr>
          <w:sz w:val="22"/>
          <w:szCs w:val="22"/>
        </w:rPr>
      </w:pPr>
      <w:r w:rsidRPr="00555DE1">
        <w:rPr>
          <w:sz w:val="22"/>
          <w:szCs w:val="22"/>
        </w:rPr>
        <w:t>[73]</w:t>
      </w:r>
      <w:r w:rsidRPr="00555DE1">
        <w:rPr>
          <w:sz w:val="22"/>
          <w:szCs w:val="22"/>
        </w:rPr>
        <w:tab/>
        <w:t xml:space="preserve">N. Kaniwa </w:t>
      </w:r>
      <w:r w:rsidRPr="00555DE1">
        <w:rPr>
          <w:i/>
          <w:iCs/>
          <w:sz w:val="22"/>
          <w:szCs w:val="22"/>
        </w:rPr>
        <w:t>et al.</w:t>
      </w:r>
      <w:r w:rsidRPr="00555DE1">
        <w:rPr>
          <w:sz w:val="22"/>
          <w:szCs w:val="22"/>
        </w:rPr>
        <w:t xml:space="preserve">, “Collaborative study on the development of a standard for evaluation of vibration levels for dissolution apparatus,” </w:t>
      </w:r>
      <w:r w:rsidRPr="00555DE1">
        <w:rPr>
          <w:i/>
          <w:iCs/>
          <w:sz w:val="22"/>
          <w:szCs w:val="22"/>
        </w:rPr>
        <w:t>Int. J. Pharm.</w:t>
      </w:r>
      <w:r w:rsidRPr="00555DE1">
        <w:rPr>
          <w:sz w:val="22"/>
          <w:szCs w:val="22"/>
        </w:rPr>
        <w:t>, vol. 175, no. 1, pp. 119–129, 1998.</w:t>
      </w:r>
    </w:p>
    <w:p w14:paraId="28B91ACB" w14:textId="77777777" w:rsidR="00520746" w:rsidRPr="00555DE1" w:rsidRDefault="00520746" w:rsidP="00520746">
      <w:pPr>
        <w:pStyle w:val="Bibliography"/>
        <w:rPr>
          <w:sz w:val="22"/>
          <w:szCs w:val="22"/>
        </w:rPr>
      </w:pPr>
      <w:r w:rsidRPr="00555DE1">
        <w:rPr>
          <w:sz w:val="22"/>
          <w:szCs w:val="22"/>
        </w:rPr>
        <w:t>[74]</w:t>
      </w:r>
      <w:r w:rsidRPr="00555DE1">
        <w:rPr>
          <w:sz w:val="22"/>
          <w:szCs w:val="22"/>
        </w:rPr>
        <w:tab/>
        <w:t xml:space="preserve">J. Burmicz, “Why is vibration an issue for dissolution testing?,” </w:t>
      </w:r>
      <w:r w:rsidRPr="00555DE1">
        <w:rPr>
          <w:i/>
          <w:iCs/>
          <w:sz w:val="22"/>
          <w:szCs w:val="22"/>
        </w:rPr>
        <w:t>Dissolution Technol.</w:t>
      </w:r>
      <w:r w:rsidRPr="00555DE1">
        <w:rPr>
          <w:sz w:val="22"/>
          <w:szCs w:val="22"/>
        </w:rPr>
        <w:t>, vol. 15, no. 1, p. 29, 2008.</w:t>
      </w:r>
    </w:p>
    <w:p w14:paraId="6045B82F" w14:textId="77777777" w:rsidR="00520746" w:rsidRPr="00555DE1" w:rsidRDefault="00520746" w:rsidP="00520746">
      <w:pPr>
        <w:pStyle w:val="Bibliography"/>
        <w:rPr>
          <w:sz w:val="22"/>
          <w:szCs w:val="22"/>
        </w:rPr>
      </w:pPr>
      <w:r w:rsidRPr="00555DE1">
        <w:rPr>
          <w:sz w:val="22"/>
          <w:szCs w:val="22"/>
        </w:rPr>
        <w:t>[75]</w:t>
      </w:r>
      <w:r w:rsidRPr="00555DE1">
        <w:rPr>
          <w:sz w:val="22"/>
          <w:szCs w:val="22"/>
        </w:rPr>
        <w:tab/>
        <w:t xml:space="preserve">N. Seeger, S. Lange, and S. Klein, “Impact of vibration and agitation speed on dissolution of USP prednisone tablets RS and various IR tablet formulations,” </w:t>
      </w:r>
      <w:r w:rsidRPr="00555DE1">
        <w:rPr>
          <w:i/>
          <w:iCs/>
          <w:sz w:val="22"/>
          <w:szCs w:val="22"/>
        </w:rPr>
        <w:t>Aaps Pharmscitech</w:t>
      </w:r>
      <w:r w:rsidRPr="00555DE1">
        <w:rPr>
          <w:sz w:val="22"/>
          <w:szCs w:val="22"/>
        </w:rPr>
        <w:t>, vol. 16, no. 4, pp. 759–766, 2015.</w:t>
      </w:r>
    </w:p>
    <w:p w14:paraId="6DB7C621" w14:textId="77777777" w:rsidR="00520746" w:rsidRPr="00555DE1" w:rsidRDefault="00520746" w:rsidP="00520746">
      <w:pPr>
        <w:pStyle w:val="Bibliography"/>
        <w:rPr>
          <w:sz w:val="22"/>
          <w:szCs w:val="22"/>
        </w:rPr>
      </w:pPr>
      <w:r w:rsidRPr="00555DE1">
        <w:rPr>
          <w:sz w:val="22"/>
          <w:szCs w:val="22"/>
        </w:rPr>
        <w:t>[76]</w:t>
      </w:r>
      <w:r w:rsidRPr="00555DE1">
        <w:rPr>
          <w:sz w:val="22"/>
          <w:szCs w:val="22"/>
        </w:rPr>
        <w:tab/>
        <w:t xml:space="preserve">“USP 23/NF,” in </w:t>
      </w:r>
      <w:r w:rsidRPr="00555DE1">
        <w:rPr>
          <w:i/>
          <w:iCs/>
          <w:sz w:val="22"/>
          <w:szCs w:val="22"/>
        </w:rPr>
        <w:t>United States Pharmacopeial Convention</w:t>
      </w:r>
      <w:r w:rsidRPr="00555DE1">
        <w:rPr>
          <w:sz w:val="22"/>
          <w:szCs w:val="22"/>
        </w:rPr>
        <w:t>, Eighth Supplement.</w:t>
      </w:r>
    </w:p>
    <w:p w14:paraId="3E38BEC6" w14:textId="77777777" w:rsidR="00520746" w:rsidRPr="00555DE1" w:rsidRDefault="00520746" w:rsidP="00520746">
      <w:pPr>
        <w:pStyle w:val="Bibliography"/>
        <w:rPr>
          <w:sz w:val="22"/>
          <w:szCs w:val="22"/>
        </w:rPr>
      </w:pPr>
      <w:r w:rsidRPr="00555DE1">
        <w:rPr>
          <w:sz w:val="22"/>
          <w:szCs w:val="22"/>
        </w:rPr>
        <w:t>[77]</w:t>
      </w:r>
      <w:r w:rsidRPr="00555DE1">
        <w:rPr>
          <w:sz w:val="22"/>
          <w:szCs w:val="22"/>
        </w:rPr>
        <w:tab/>
        <w:t xml:space="preserve">J. Mann </w:t>
      </w:r>
      <w:r w:rsidRPr="00555DE1">
        <w:rPr>
          <w:i/>
          <w:iCs/>
          <w:sz w:val="22"/>
          <w:szCs w:val="22"/>
        </w:rPr>
        <w:t>et al.</w:t>
      </w:r>
      <w:r w:rsidRPr="00555DE1">
        <w:rPr>
          <w:sz w:val="22"/>
          <w:szCs w:val="22"/>
        </w:rPr>
        <w:t xml:space="preserve">, “Dissolution method troubleshooting: an industry perspective,” </w:t>
      </w:r>
      <w:r w:rsidRPr="00555DE1">
        <w:rPr>
          <w:i/>
          <w:iCs/>
          <w:sz w:val="22"/>
          <w:szCs w:val="22"/>
        </w:rPr>
        <w:t>Dissolution Technol.</w:t>
      </w:r>
      <w:r w:rsidRPr="00555DE1">
        <w:rPr>
          <w:sz w:val="22"/>
          <w:szCs w:val="22"/>
        </w:rPr>
        <w:t>, vol. 29, no. 4, pp. 190–203, 2022.</w:t>
      </w:r>
    </w:p>
    <w:p w14:paraId="767235DD" w14:textId="77777777" w:rsidR="00372EA8" w:rsidRPr="00555DE1" w:rsidRDefault="00372EA8" w:rsidP="00372EA8">
      <w:pPr>
        <w:rPr>
          <w:sz w:val="22"/>
          <w:szCs w:val="22"/>
        </w:rPr>
      </w:pPr>
    </w:p>
    <w:p w14:paraId="21FB833B" w14:textId="77777777" w:rsidR="00520746" w:rsidRPr="00555DE1" w:rsidRDefault="00520746" w:rsidP="00520746">
      <w:pPr>
        <w:pStyle w:val="Bibliography"/>
        <w:rPr>
          <w:sz w:val="22"/>
          <w:szCs w:val="22"/>
        </w:rPr>
      </w:pPr>
      <w:r w:rsidRPr="00555DE1">
        <w:rPr>
          <w:sz w:val="22"/>
          <w:szCs w:val="22"/>
        </w:rPr>
        <w:t>[78]</w:t>
      </w:r>
      <w:r w:rsidRPr="00555DE1">
        <w:rPr>
          <w:sz w:val="22"/>
          <w:szCs w:val="22"/>
        </w:rPr>
        <w:tab/>
        <w:t>G. Bryan Crist and R. B. Walker, “Back to Basics: Dissolution Testing 2: The Rotating Basket Method (Apparatus 1)”, [Online]. Available: https://www.agilent.com/Library/articlereprints/Public/Back_to_Basics2.pdf?srsltid=AfmBOoqSV8YuJtQoc-vSlJeAHaGAbHCM65gYBHQOOiurLWVUsE9CfimY</w:t>
      </w:r>
    </w:p>
    <w:p w14:paraId="48E624FB" w14:textId="77777777" w:rsidR="00520746" w:rsidRPr="00555DE1" w:rsidRDefault="00520746" w:rsidP="00520746">
      <w:pPr>
        <w:pStyle w:val="Bibliography"/>
        <w:rPr>
          <w:sz w:val="22"/>
          <w:szCs w:val="22"/>
        </w:rPr>
      </w:pPr>
      <w:r w:rsidRPr="00555DE1">
        <w:rPr>
          <w:sz w:val="22"/>
          <w:szCs w:val="22"/>
        </w:rPr>
        <w:t>[79]</w:t>
      </w:r>
      <w:r w:rsidRPr="00555DE1">
        <w:rPr>
          <w:sz w:val="22"/>
          <w:szCs w:val="22"/>
        </w:rPr>
        <w:tab/>
        <w:t xml:space="preserve">K. Gowthamarajan and S. K. Singh, “Dissolution testing for poorly soluble drugs: a continuing perspective,” </w:t>
      </w:r>
      <w:r w:rsidRPr="00555DE1">
        <w:rPr>
          <w:i/>
          <w:iCs/>
          <w:sz w:val="22"/>
          <w:szCs w:val="22"/>
        </w:rPr>
        <w:t>Dissolution Technol.</w:t>
      </w:r>
      <w:r w:rsidRPr="00555DE1">
        <w:rPr>
          <w:sz w:val="22"/>
          <w:szCs w:val="22"/>
        </w:rPr>
        <w:t>, vol. 17, no. 3, pp. 24–32, 2010.</w:t>
      </w:r>
    </w:p>
    <w:p w14:paraId="40259404" w14:textId="77777777" w:rsidR="00520746" w:rsidRPr="00555DE1" w:rsidRDefault="00520746" w:rsidP="00520746">
      <w:pPr>
        <w:pStyle w:val="Bibliography"/>
        <w:rPr>
          <w:sz w:val="22"/>
          <w:szCs w:val="22"/>
        </w:rPr>
      </w:pPr>
      <w:r w:rsidRPr="00555DE1">
        <w:rPr>
          <w:sz w:val="22"/>
          <w:szCs w:val="22"/>
        </w:rPr>
        <w:t>[80]</w:t>
      </w:r>
      <w:r w:rsidRPr="00555DE1">
        <w:rPr>
          <w:sz w:val="22"/>
          <w:szCs w:val="22"/>
        </w:rPr>
        <w:tab/>
        <w:t xml:space="preserve">G. A. Rodríguez, F. Martínez, and E. F. Vargas, “Molar dissolution enthalpies of some sodium sulfonamides in water and normal saline solution at several temperatures,” </w:t>
      </w:r>
      <w:r w:rsidRPr="00555DE1">
        <w:rPr>
          <w:i/>
          <w:iCs/>
          <w:sz w:val="22"/>
          <w:szCs w:val="22"/>
        </w:rPr>
        <w:t>J. Therm. Anal. Calorim.</w:t>
      </w:r>
      <w:r w:rsidRPr="00555DE1">
        <w:rPr>
          <w:sz w:val="22"/>
          <w:szCs w:val="22"/>
        </w:rPr>
        <w:t>, vol. 150, no. 7, pp. 5419–5432, 2025.</w:t>
      </w:r>
    </w:p>
    <w:p w14:paraId="7CAC2754" w14:textId="77777777" w:rsidR="00520746" w:rsidRPr="00555DE1" w:rsidRDefault="00520746" w:rsidP="00520746">
      <w:pPr>
        <w:pStyle w:val="Bibliography"/>
        <w:rPr>
          <w:sz w:val="22"/>
          <w:szCs w:val="22"/>
        </w:rPr>
      </w:pPr>
      <w:r w:rsidRPr="00555DE1">
        <w:rPr>
          <w:sz w:val="22"/>
          <w:szCs w:val="22"/>
        </w:rPr>
        <w:lastRenderedPageBreak/>
        <w:t>[81]</w:t>
      </w:r>
      <w:r w:rsidRPr="00555DE1">
        <w:rPr>
          <w:sz w:val="22"/>
          <w:szCs w:val="22"/>
        </w:rPr>
        <w:tab/>
        <w:t xml:space="preserve">M. Zahirul and I. Khan, “Dissolution testing for sustained or controlled release oral dosage forms and correlation with in vivo data: challenges and opportunities,” </w:t>
      </w:r>
      <w:r w:rsidRPr="00555DE1">
        <w:rPr>
          <w:i/>
          <w:iCs/>
          <w:sz w:val="22"/>
          <w:szCs w:val="22"/>
        </w:rPr>
        <w:t>Int. J. Pharm.</w:t>
      </w:r>
      <w:r w:rsidRPr="00555DE1">
        <w:rPr>
          <w:sz w:val="22"/>
          <w:szCs w:val="22"/>
        </w:rPr>
        <w:t>, vol. 140, no. 2, pp. 131–143, 1996.</w:t>
      </w:r>
    </w:p>
    <w:p w14:paraId="736DC576" w14:textId="77777777" w:rsidR="00520746" w:rsidRPr="00555DE1" w:rsidRDefault="00520746" w:rsidP="00520746">
      <w:pPr>
        <w:pStyle w:val="Bibliography"/>
        <w:rPr>
          <w:sz w:val="22"/>
          <w:szCs w:val="22"/>
        </w:rPr>
      </w:pPr>
      <w:r w:rsidRPr="00555DE1">
        <w:rPr>
          <w:sz w:val="22"/>
          <w:szCs w:val="22"/>
        </w:rPr>
        <w:t>[82]</w:t>
      </w:r>
      <w:r w:rsidRPr="00555DE1">
        <w:rPr>
          <w:sz w:val="22"/>
          <w:szCs w:val="22"/>
        </w:rPr>
        <w:tab/>
        <w:t xml:space="preserve">A. Hermans </w:t>
      </w:r>
      <w:r w:rsidRPr="00555DE1">
        <w:rPr>
          <w:i/>
          <w:iCs/>
          <w:sz w:val="22"/>
          <w:szCs w:val="22"/>
        </w:rPr>
        <w:t>et al.</w:t>
      </w:r>
      <w:r w:rsidRPr="00555DE1">
        <w:rPr>
          <w:sz w:val="22"/>
          <w:szCs w:val="22"/>
        </w:rPr>
        <w:t xml:space="preserve">, “Challenges and strategies for solubility measurements and dissolution method development for amorphous solid dispersion formulations,” </w:t>
      </w:r>
      <w:r w:rsidRPr="00555DE1">
        <w:rPr>
          <w:i/>
          <w:iCs/>
          <w:sz w:val="22"/>
          <w:szCs w:val="22"/>
        </w:rPr>
        <w:t>AAPS J.</w:t>
      </w:r>
      <w:r w:rsidRPr="00555DE1">
        <w:rPr>
          <w:sz w:val="22"/>
          <w:szCs w:val="22"/>
        </w:rPr>
        <w:t>, vol. 25, no. 1, p. 11, 2022.</w:t>
      </w:r>
    </w:p>
    <w:p w14:paraId="553D3B20" w14:textId="77777777" w:rsidR="00520746" w:rsidRPr="00555DE1" w:rsidRDefault="00520746" w:rsidP="00520746">
      <w:pPr>
        <w:pStyle w:val="Bibliography"/>
        <w:rPr>
          <w:sz w:val="22"/>
          <w:szCs w:val="22"/>
        </w:rPr>
      </w:pPr>
      <w:r w:rsidRPr="00555DE1">
        <w:rPr>
          <w:sz w:val="22"/>
          <w:szCs w:val="22"/>
        </w:rPr>
        <w:t>[83]</w:t>
      </w:r>
      <w:r w:rsidRPr="00555DE1">
        <w:rPr>
          <w:sz w:val="22"/>
          <w:szCs w:val="22"/>
        </w:rPr>
        <w:tab/>
        <w:t xml:space="preserve">K. Stamatopoulos, H. K. Batchelor, F. Alberini, J. Ramsay, and M. J. Simmons, “Understanding the impact of media viscosity on dissolution of a highly water soluble drug within a USP 2 mini vessel dissolution apparatus using an optical planar induced fluorescence (PLIF) method,” </w:t>
      </w:r>
      <w:r w:rsidRPr="00555DE1">
        <w:rPr>
          <w:i/>
          <w:iCs/>
          <w:sz w:val="22"/>
          <w:szCs w:val="22"/>
        </w:rPr>
        <w:t>Int. J. Pharm.</w:t>
      </w:r>
      <w:r w:rsidRPr="00555DE1">
        <w:rPr>
          <w:sz w:val="22"/>
          <w:szCs w:val="22"/>
        </w:rPr>
        <w:t>, vol. 495, no. 1, pp. 362–373, 2015.</w:t>
      </w:r>
    </w:p>
    <w:p w14:paraId="29120CD3" w14:textId="77777777" w:rsidR="00520746" w:rsidRPr="00555DE1" w:rsidRDefault="00520746" w:rsidP="00520746">
      <w:pPr>
        <w:pStyle w:val="Bibliography"/>
        <w:rPr>
          <w:sz w:val="22"/>
          <w:szCs w:val="22"/>
        </w:rPr>
      </w:pPr>
      <w:r w:rsidRPr="00555DE1">
        <w:rPr>
          <w:sz w:val="22"/>
          <w:szCs w:val="22"/>
        </w:rPr>
        <w:t>[84]</w:t>
      </w:r>
      <w:r w:rsidRPr="00555DE1">
        <w:rPr>
          <w:sz w:val="22"/>
          <w:szCs w:val="22"/>
        </w:rPr>
        <w:tab/>
        <w:t xml:space="preserve">P. W. Heng, L. S. Wan, and T. S. Ang, “Role of surfactant on drug release from tablets,” </w:t>
      </w:r>
      <w:r w:rsidRPr="00555DE1">
        <w:rPr>
          <w:i/>
          <w:iCs/>
          <w:sz w:val="22"/>
          <w:szCs w:val="22"/>
        </w:rPr>
        <w:t>Drug Dev. Ind. Pharm.</w:t>
      </w:r>
      <w:r w:rsidRPr="00555DE1">
        <w:rPr>
          <w:sz w:val="22"/>
          <w:szCs w:val="22"/>
        </w:rPr>
        <w:t>, vol. 16, no. 6, pp. 951–962, 1990.</w:t>
      </w:r>
    </w:p>
    <w:p w14:paraId="3482B818" w14:textId="77777777" w:rsidR="00520746" w:rsidRPr="00555DE1" w:rsidRDefault="00520746" w:rsidP="00520746">
      <w:pPr>
        <w:pStyle w:val="Bibliography"/>
        <w:rPr>
          <w:sz w:val="22"/>
          <w:szCs w:val="22"/>
        </w:rPr>
      </w:pPr>
      <w:r w:rsidRPr="00555DE1">
        <w:rPr>
          <w:sz w:val="22"/>
          <w:szCs w:val="22"/>
        </w:rPr>
        <w:t>[85]</w:t>
      </w:r>
      <w:r w:rsidRPr="00555DE1">
        <w:rPr>
          <w:sz w:val="22"/>
          <w:szCs w:val="22"/>
        </w:rPr>
        <w:tab/>
        <w:t xml:space="preserve">K. T. Savjani, A. K. Gajjar, and J. K. Savjani, “Drug solubility: importance and enhancement techniques,” </w:t>
      </w:r>
      <w:r w:rsidRPr="00555DE1">
        <w:rPr>
          <w:i/>
          <w:iCs/>
          <w:sz w:val="22"/>
          <w:szCs w:val="22"/>
        </w:rPr>
        <w:t>Int. Sch. Res. Not.</w:t>
      </w:r>
      <w:r w:rsidRPr="00555DE1">
        <w:rPr>
          <w:sz w:val="22"/>
          <w:szCs w:val="22"/>
        </w:rPr>
        <w:t>, vol. 2012, no. 1, p. 195727, 2012.</w:t>
      </w:r>
    </w:p>
    <w:p w14:paraId="15DD4876" w14:textId="77777777" w:rsidR="00520746" w:rsidRPr="00555DE1" w:rsidRDefault="00520746" w:rsidP="00520746">
      <w:pPr>
        <w:pStyle w:val="Bibliography"/>
        <w:rPr>
          <w:sz w:val="22"/>
          <w:szCs w:val="22"/>
        </w:rPr>
      </w:pPr>
      <w:r w:rsidRPr="00555DE1">
        <w:rPr>
          <w:sz w:val="22"/>
          <w:szCs w:val="22"/>
        </w:rPr>
        <w:t>[86]</w:t>
      </w:r>
      <w:r w:rsidRPr="00555DE1">
        <w:rPr>
          <w:sz w:val="22"/>
          <w:szCs w:val="22"/>
        </w:rPr>
        <w:tab/>
        <w:t xml:space="preserve">J. Dun, F. Osei-Yeboah, P. Boulas, Y. Lin, and C. C. Sun, “A systematic evaluation of dual functionality of sodium lauryl sulfate as a tablet lubricant and wetting enhancer,” </w:t>
      </w:r>
      <w:r w:rsidRPr="00555DE1">
        <w:rPr>
          <w:i/>
          <w:iCs/>
          <w:sz w:val="22"/>
          <w:szCs w:val="22"/>
        </w:rPr>
        <w:t>Int. J. Pharm.</w:t>
      </w:r>
      <w:r w:rsidRPr="00555DE1">
        <w:rPr>
          <w:sz w:val="22"/>
          <w:szCs w:val="22"/>
        </w:rPr>
        <w:t>, vol. 552, no. 1–2, pp. 139–147, 2018.</w:t>
      </w:r>
    </w:p>
    <w:p w14:paraId="6531A53E" w14:textId="77777777" w:rsidR="00520746" w:rsidRPr="00555DE1" w:rsidRDefault="00520746" w:rsidP="00520746">
      <w:pPr>
        <w:pStyle w:val="Bibliography"/>
        <w:rPr>
          <w:sz w:val="22"/>
          <w:szCs w:val="22"/>
        </w:rPr>
      </w:pPr>
      <w:r w:rsidRPr="00555DE1">
        <w:rPr>
          <w:sz w:val="22"/>
          <w:szCs w:val="22"/>
        </w:rPr>
        <w:t>[87]</w:t>
      </w:r>
      <w:r w:rsidRPr="00555DE1">
        <w:rPr>
          <w:sz w:val="22"/>
          <w:szCs w:val="22"/>
        </w:rPr>
        <w:tab/>
        <w:t xml:space="preserve">M. N. Alizadeh, A. Shayanfar, and A. Jouyban, “Solubilization of drugs using sodium lauryl sulfate: Experimental data and modeling,” </w:t>
      </w:r>
      <w:r w:rsidRPr="00555DE1">
        <w:rPr>
          <w:i/>
          <w:iCs/>
          <w:sz w:val="22"/>
          <w:szCs w:val="22"/>
        </w:rPr>
        <w:t>J. Mol. Liq.</w:t>
      </w:r>
      <w:r w:rsidRPr="00555DE1">
        <w:rPr>
          <w:sz w:val="22"/>
          <w:szCs w:val="22"/>
        </w:rPr>
        <w:t>, vol. 268, pp. 410–414, 2018.</w:t>
      </w:r>
    </w:p>
    <w:p w14:paraId="3C9D1537" w14:textId="77777777" w:rsidR="00520746" w:rsidRPr="00555DE1" w:rsidRDefault="00520746" w:rsidP="00520746">
      <w:pPr>
        <w:pStyle w:val="Bibliography"/>
        <w:rPr>
          <w:sz w:val="22"/>
          <w:szCs w:val="22"/>
        </w:rPr>
      </w:pPr>
      <w:r w:rsidRPr="00555DE1">
        <w:rPr>
          <w:sz w:val="22"/>
          <w:szCs w:val="22"/>
        </w:rPr>
        <w:t>[88]</w:t>
      </w:r>
      <w:r w:rsidRPr="00555DE1">
        <w:rPr>
          <w:sz w:val="22"/>
          <w:szCs w:val="22"/>
        </w:rPr>
        <w:tab/>
        <w:t xml:space="preserve">M. V. Varma and R. Panchagnula, “Enhanced oral paclitaxel absorption with vitamin E-TPGS: effect on solubility and permeability in vitro, in situ and in vivo,” </w:t>
      </w:r>
      <w:r w:rsidRPr="00555DE1">
        <w:rPr>
          <w:i/>
          <w:iCs/>
          <w:sz w:val="22"/>
          <w:szCs w:val="22"/>
        </w:rPr>
        <w:t>Eur. J. Pharm. Sci.</w:t>
      </w:r>
      <w:r w:rsidRPr="00555DE1">
        <w:rPr>
          <w:sz w:val="22"/>
          <w:szCs w:val="22"/>
        </w:rPr>
        <w:t>, vol. 25, no. 4–5, pp. 445–453, 2005.</w:t>
      </w:r>
    </w:p>
    <w:p w14:paraId="7143A2B7" w14:textId="77777777" w:rsidR="00520746" w:rsidRPr="00555DE1" w:rsidRDefault="00520746" w:rsidP="00520746">
      <w:pPr>
        <w:pStyle w:val="Bibliography"/>
        <w:rPr>
          <w:sz w:val="22"/>
          <w:szCs w:val="22"/>
        </w:rPr>
      </w:pPr>
      <w:r w:rsidRPr="00555DE1">
        <w:rPr>
          <w:sz w:val="22"/>
          <w:szCs w:val="22"/>
        </w:rPr>
        <w:t>[89]</w:t>
      </w:r>
      <w:r w:rsidRPr="00555DE1">
        <w:rPr>
          <w:sz w:val="22"/>
          <w:szCs w:val="22"/>
        </w:rPr>
        <w:tab/>
        <w:t xml:space="preserve">P. A. Bhat, A. A. Dar, and G. M. Rather, “Solubilization capabilities of some cationic, anionic, and nonionic surfactants toward the poorly water-soluble antibiotic drug erythromycin,” </w:t>
      </w:r>
      <w:r w:rsidRPr="00555DE1">
        <w:rPr>
          <w:i/>
          <w:iCs/>
          <w:sz w:val="22"/>
          <w:szCs w:val="22"/>
        </w:rPr>
        <w:t>J. Chem. Eng. Data</w:t>
      </w:r>
      <w:r w:rsidRPr="00555DE1">
        <w:rPr>
          <w:sz w:val="22"/>
          <w:szCs w:val="22"/>
        </w:rPr>
        <w:t>, vol. 53, no. 6, pp. 1271–1277, 2008.</w:t>
      </w:r>
    </w:p>
    <w:p w14:paraId="4AC6281D" w14:textId="77777777" w:rsidR="00520746" w:rsidRPr="00555DE1" w:rsidRDefault="00520746" w:rsidP="00520746">
      <w:pPr>
        <w:pStyle w:val="Bibliography"/>
        <w:rPr>
          <w:sz w:val="22"/>
          <w:szCs w:val="22"/>
        </w:rPr>
      </w:pPr>
      <w:r w:rsidRPr="00555DE1">
        <w:rPr>
          <w:sz w:val="22"/>
          <w:szCs w:val="22"/>
        </w:rPr>
        <w:t>[90]</w:t>
      </w:r>
      <w:r w:rsidRPr="00555DE1">
        <w:rPr>
          <w:sz w:val="22"/>
          <w:szCs w:val="22"/>
        </w:rPr>
        <w:tab/>
        <w:t xml:space="preserve">S. G. Bjaastad, N. A. Hall, and A. L. Thakkar, “Comparison of the solubilizing capacities of ionic and nonionic surfactants for camphor,” </w:t>
      </w:r>
      <w:r w:rsidRPr="00555DE1">
        <w:rPr>
          <w:i/>
          <w:iCs/>
          <w:sz w:val="22"/>
          <w:szCs w:val="22"/>
        </w:rPr>
        <w:t>J. Pharm. Sci.</w:t>
      </w:r>
      <w:r w:rsidRPr="00555DE1">
        <w:rPr>
          <w:sz w:val="22"/>
          <w:szCs w:val="22"/>
        </w:rPr>
        <w:t>, vol. 54, no. 10, pp. 1529–1531, 1965.</w:t>
      </w:r>
    </w:p>
    <w:p w14:paraId="2EFDAE16" w14:textId="77777777" w:rsidR="00520746" w:rsidRPr="00555DE1" w:rsidRDefault="00520746" w:rsidP="00520746">
      <w:pPr>
        <w:pStyle w:val="Bibliography"/>
        <w:rPr>
          <w:sz w:val="22"/>
          <w:szCs w:val="22"/>
        </w:rPr>
      </w:pPr>
      <w:r w:rsidRPr="00555DE1">
        <w:rPr>
          <w:sz w:val="22"/>
          <w:szCs w:val="22"/>
        </w:rPr>
        <w:t>[91]</w:t>
      </w:r>
      <w:r w:rsidRPr="00555DE1">
        <w:rPr>
          <w:sz w:val="22"/>
          <w:szCs w:val="22"/>
        </w:rPr>
        <w:tab/>
        <w:t xml:space="preserve">S.-H. Park and H.-K. Choi, “The effects of surfactants on the dissolution profiles of poorly water-soluble acidic drugs,” </w:t>
      </w:r>
      <w:r w:rsidRPr="00555DE1">
        <w:rPr>
          <w:i/>
          <w:iCs/>
          <w:sz w:val="22"/>
          <w:szCs w:val="22"/>
        </w:rPr>
        <w:t>Int. J. Pharm.</w:t>
      </w:r>
      <w:r w:rsidRPr="00555DE1">
        <w:rPr>
          <w:sz w:val="22"/>
          <w:szCs w:val="22"/>
        </w:rPr>
        <w:t>, vol. 321, no. 1–2, pp. 35–41, 2006.</w:t>
      </w:r>
    </w:p>
    <w:p w14:paraId="550C5BC1" w14:textId="77777777" w:rsidR="00520746" w:rsidRPr="00555DE1" w:rsidRDefault="00520746" w:rsidP="00520746">
      <w:pPr>
        <w:pStyle w:val="Bibliography"/>
        <w:rPr>
          <w:sz w:val="22"/>
          <w:szCs w:val="22"/>
        </w:rPr>
      </w:pPr>
      <w:r w:rsidRPr="00555DE1">
        <w:rPr>
          <w:sz w:val="22"/>
          <w:szCs w:val="22"/>
        </w:rPr>
        <w:t>[92]</w:t>
      </w:r>
      <w:r w:rsidRPr="00555DE1">
        <w:rPr>
          <w:sz w:val="22"/>
          <w:szCs w:val="22"/>
        </w:rPr>
        <w:tab/>
        <w:t xml:space="preserve">J. L. Cohen </w:t>
      </w:r>
      <w:r w:rsidRPr="00555DE1">
        <w:rPr>
          <w:i/>
          <w:iCs/>
          <w:sz w:val="22"/>
          <w:szCs w:val="22"/>
        </w:rPr>
        <w:t>et al.</w:t>
      </w:r>
      <w:r w:rsidRPr="00555DE1">
        <w:rPr>
          <w:sz w:val="22"/>
          <w:szCs w:val="22"/>
        </w:rPr>
        <w:t xml:space="preserve">, “The development of USP dissolution and drug release standards,” </w:t>
      </w:r>
      <w:r w:rsidRPr="00555DE1">
        <w:rPr>
          <w:i/>
          <w:iCs/>
          <w:sz w:val="22"/>
          <w:szCs w:val="22"/>
        </w:rPr>
        <w:t>Pharm. Res.</w:t>
      </w:r>
      <w:r w:rsidRPr="00555DE1">
        <w:rPr>
          <w:sz w:val="22"/>
          <w:szCs w:val="22"/>
        </w:rPr>
        <w:t>, vol. 7, no. 10, pp. 983–987, 1990.</w:t>
      </w:r>
    </w:p>
    <w:p w14:paraId="5628EC2E" w14:textId="77777777" w:rsidR="00520746" w:rsidRPr="00555DE1" w:rsidRDefault="00520746" w:rsidP="00520746">
      <w:pPr>
        <w:pStyle w:val="Bibliography"/>
        <w:rPr>
          <w:sz w:val="22"/>
          <w:szCs w:val="22"/>
        </w:rPr>
      </w:pPr>
      <w:r w:rsidRPr="00555DE1">
        <w:rPr>
          <w:sz w:val="22"/>
          <w:szCs w:val="22"/>
        </w:rPr>
        <w:t>[93]</w:t>
      </w:r>
      <w:r w:rsidRPr="00555DE1">
        <w:rPr>
          <w:sz w:val="22"/>
          <w:szCs w:val="22"/>
        </w:rPr>
        <w:tab/>
        <w:t xml:space="preserve">A. Barakat, J. Kramer, C. de Souza Cristiane, and C.-M. Lehr, “In vitro--in vivo correlation: Shades on some non-conventional dosage forms,” </w:t>
      </w:r>
      <w:r w:rsidRPr="00555DE1">
        <w:rPr>
          <w:i/>
          <w:iCs/>
          <w:sz w:val="22"/>
          <w:szCs w:val="22"/>
        </w:rPr>
        <w:t>Dissolution Technol.</w:t>
      </w:r>
      <w:r w:rsidRPr="00555DE1">
        <w:rPr>
          <w:sz w:val="22"/>
          <w:szCs w:val="22"/>
        </w:rPr>
        <w:t>, vol. 22, no. 2, pp. 19–23, 2015.</w:t>
      </w:r>
    </w:p>
    <w:p w14:paraId="7AF97E38" w14:textId="77777777" w:rsidR="00520746" w:rsidRPr="00555DE1" w:rsidRDefault="00520746" w:rsidP="00520746">
      <w:pPr>
        <w:pStyle w:val="Bibliography"/>
        <w:rPr>
          <w:sz w:val="22"/>
          <w:szCs w:val="22"/>
        </w:rPr>
      </w:pPr>
      <w:r w:rsidRPr="00555DE1">
        <w:rPr>
          <w:sz w:val="22"/>
          <w:szCs w:val="22"/>
        </w:rPr>
        <w:t>[94]</w:t>
      </w:r>
      <w:r w:rsidRPr="00555DE1">
        <w:rPr>
          <w:sz w:val="22"/>
          <w:szCs w:val="22"/>
        </w:rPr>
        <w:tab/>
        <w:t xml:space="preserve">S. Suarez-Sharp, M. Li, J. Duan, H. Shah, and P. Seo, “Regulatory experience with in vivo in vitro correlations (IVIVC) in new drug applications,” </w:t>
      </w:r>
      <w:r w:rsidRPr="00555DE1">
        <w:rPr>
          <w:i/>
          <w:iCs/>
          <w:sz w:val="22"/>
          <w:szCs w:val="22"/>
        </w:rPr>
        <w:t>AAPS J.</w:t>
      </w:r>
      <w:r w:rsidRPr="00555DE1">
        <w:rPr>
          <w:sz w:val="22"/>
          <w:szCs w:val="22"/>
        </w:rPr>
        <w:t>, vol. 18, no. 6, pp. 1379–1390, 2016.</w:t>
      </w:r>
    </w:p>
    <w:p w14:paraId="506C1E8F" w14:textId="77777777" w:rsidR="00520746" w:rsidRPr="00555DE1" w:rsidRDefault="00520746" w:rsidP="00520746">
      <w:pPr>
        <w:pStyle w:val="Bibliography"/>
        <w:rPr>
          <w:sz w:val="22"/>
          <w:szCs w:val="22"/>
        </w:rPr>
      </w:pPr>
      <w:r w:rsidRPr="00555DE1">
        <w:rPr>
          <w:sz w:val="22"/>
          <w:szCs w:val="22"/>
        </w:rPr>
        <w:t>[95]</w:t>
      </w:r>
      <w:r w:rsidRPr="00555DE1">
        <w:rPr>
          <w:sz w:val="22"/>
          <w:szCs w:val="22"/>
        </w:rPr>
        <w:tab/>
        <w:t xml:space="preserve">C. K. Brown, H. P. Chokshi, B. Nickerson, R. A. Reed, B. R. Rohrs, and P. A. Shah, “Dissolution testing of poorly soluble compounds,” </w:t>
      </w:r>
      <w:r w:rsidRPr="00555DE1">
        <w:rPr>
          <w:i/>
          <w:iCs/>
          <w:sz w:val="22"/>
          <w:szCs w:val="22"/>
        </w:rPr>
        <w:t>Pharm Technol</w:t>
      </w:r>
      <w:r w:rsidRPr="00555DE1">
        <w:rPr>
          <w:sz w:val="22"/>
          <w:szCs w:val="22"/>
        </w:rPr>
        <w:t>, vol. 28, pp. 56–65, 2004.</w:t>
      </w:r>
    </w:p>
    <w:p w14:paraId="5EDD234C" w14:textId="77777777" w:rsidR="00520746" w:rsidRPr="00555DE1" w:rsidRDefault="00520746" w:rsidP="00520746">
      <w:pPr>
        <w:pStyle w:val="Bibliography"/>
        <w:rPr>
          <w:sz w:val="22"/>
          <w:szCs w:val="22"/>
        </w:rPr>
      </w:pPr>
      <w:r w:rsidRPr="00555DE1">
        <w:rPr>
          <w:sz w:val="22"/>
          <w:szCs w:val="22"/>
        </w:rPr>
        <w:lastRenderedPageBreak/>
        <w:t>[96]</w:t>
      </w:r>
      <w:r w:rsidRPr="00555DE1">
        <w:rPr>
          <w:sz w:val="22"/>
          <w:szCs w:val="22"/>
        </w:rPr>
        <w:tab/>
        <w:t xml:space="preserve">S. A. Qureshi, “Developing discriminatory drug dissolution tests and profiles: Some thoughts for consideration on the concept and its interpretation,” </w:t>
      </w:r>
      <w:r w:rsidRPr="00555DE1">
        <w:rPr>
          <w:i/>
          <w:iCs/>
          <w:sz w:val="22"/>
          <w:szCs w:val="22"/>
        </w:rPr>
        <w:t>Dissolution Technol</w:t>
      </w:r>
      <w:r w:rsidRPr="00555DE1">
        <w:rPr>
          <w:sz w:val="22"/>
          <w:szCs w:val="22"/>
        </w:rPr>
        <w:t>, vol. 13, no. 4, pp. 18–23, 2006.</w:t>
      </w:r>
    </w:p>
    <w:p w14:paraId="64A00229" w14:textId="77777777" w:rsidR="00520746" w:rsidRPr="00555DE1" w:rsidRDefault="00520746" w:rsidP="00520746">
      <w:pPr>
        <w:pStyle w:val="Bibliography"/>
        <w:rPr>
          <w:sz w:val="22"/>
          <w:szCs w:val="22"/>
        </w:rPr>
      </w:pPr>
      <w:r w:rsidRPr="00555DE1">
        <w:rPr>
          <w:sz w:val="22"/>
          <w:szCs w:val="22"/>
        </w:rPr>
        <w:t>[97]</w:t>
      </w:r>
      <w:r w:rsidRPr="00555DE1">
        <w:rPr>
          <w:sz w:val="22"/>
          <w:szCs w:val="22"/>
        </w:rPr>
        <w:tab/>
        <w:t xml:space="preserve">M. Lutfor, M. Al, F. Nadarkhani, and M. Nezab, “Advanced Dissolution Testing for Novel Drug Formulations: Challenges, Emerging Methods, and Regulatory Perspectives,” </w:t>
      </w:r>
      <w:r w:rsidRPr="00555DE1">
        <w:rPr>
          <w:i/>
          <w:iCs/>
          <w:sz w:val="22"/>
          <w:szCs w:val="22"/>
        </w:rPr>
        <w:t>J. Angiother.</w:t>
      </w:r>
      <w:r w:rsidRPr="00555DE1">
        <w:rPr>
          <w:sz w:val="22"/>
          <w:szCs w:val="22"/>
        </w:rPr>
        <w:t>, vol. 9, no. 1, pp. 1–16, 2025.</w:t>
      </w:r>
    </w:p>
    <w:p w14:paraId="697FB9C8" w14:textId="77777777" w:rsidR="00520746" w:rsidRPr="00555DE1" w:rsidRDefault="00520746" w:rsidP="00520746">
      <w:pPr>
        <w:pStyle w:val="Bibliography"/>
        <w:rPr>
          <w:sz w:val="22"/>
          <w:szCs w:val="22"/>
        </w:rPr>
      </w:pPr>
      <w:r w:rsidRPr="00555DE1">
        <w:rPr>
          <w:sz w:val="22"/>
          <w:szCs w:val="22"/>
        </w:rPr>
        <w:t>[98]</w:t>
      </w:r>
      <w:r w:rsidRPr="00555DE1">
        <w:rPr>
          <w:sz w:val="22"/>
          <w:szCs w:val="22"/>
        </w:rPr>
        <w:tab/>
        <w:t xml:space="preserve">S. Suarez-Sharp, M. Li, J. Duan, H. Shah, and P. Seo, “Regulatory experience with in vivo in vitro correlations (IVIVC) in new drug applications,” </w:t>
      </w:r>
      <w:r w:rsidRPr="00555DE1">
        <w:rPr>
          <w:i/>
          <w:iCs/>
          <w:sz w:val="22"/>
          <w:szCs w:val="22"/>
        </w:rPr>
        <w:t>AAPS J.</w:t>
      </w:r>
      <w:r w:rsidRPr="00555DE1">
        <w:rPr>
          <w:sz w:val="22"/>
          <w:szCs w:val="22"/>
        </w:rPr>
        <w:t>, vol. 18, no. 6, pp. 1379–1390, 2016.</w:t>
      </w:r>
    </w:p>
    <w:p w14:paraId="64071428" w14:textId="77777777" w:rsidR="00520746" w:rsidRPr="00555DE1" w:rsidRDefault="00520746" w:rsidP="00520746">
      <w:pPr>
        <w:pStyle w:val="Bibliography"/>
        <w:rPr>
          <w:sz w:val="22"/>
          <w:szCs w:val="22"/>
        </w:rPr>
      </w:pPr>
      <w:r w:rsidRPr="00555DE1">
        <w:rPr>
          <w:sz w:val="22"/>
          <w:szCs w:val="22"/>
        </w:rPr>
        <w:t>[99]</w:t>
      </w:r>
      <w:r w:rsidRPr="00555DE1">
        <w:rPr>
          <w:sz w:val="22"/>
          <w:szCs w:val="22"/>
        </w:rPr>
        <w:tab/>
        <w:t xml:space="preserve">Y. Lu, S. Kim, and K. Park, “In vitro–in vivo correlation: Perspectives on model development,” </w:t>
      </w:r>
      <w:r w:rsidRPr="00555DE1">
        <w:rPr>
          <w:i/>
          <w:iCs/>
          <w:sz w:val="22"/>
          <w:szCs w:val="22"/>
        </w:rPr>
        <w:t>Int. J. Pharm.</w:t>
      </w:r>
      <w:r w:rsidRPr="00555DE1">
        <w:rPr>
          <w:sz w:val="22"/>
          <w:szCs w:val="22"/>
        </w:rPr>
        <w:t>, vol. 418, no. 1, pp. 142–148, 2011.</w:t>
      </w:r>
    </w:p>
    <w:p w14:paraId="7E9D2EF3" w14:textId="77777777" w:rsidR="00520746" w:rsidRPr="00555DE1" w:rsidRDefault="00520746" w:rsidP="00520746">
      <w:pPr>
        <w:pStyle w:val="Bibliography"/>
        <w:rPr>
          <w:sz w:val="22"/>
          <w:szCs w:val="22"/>
        </w:rPr>
      </w:pPr>
      <w:r w:rsidRPr="00555DE1">
        <w:rPr>
          <w:sz w:val="22"/>
          <w:szCs w:val="22"/>
        </w:rPr>
        <w:t>[100]</w:t>
      </w:r>
      <w:r w:rsidRPr="00555DE1">
        <w:rPr>
          <w:sz w:val="22"/>
          <w:szCs w:val="22"/>
        </w:rPr>
        <w:tab/>
        <w:t xml:space="preserve">U. V. Banakar, </w:t>
      </w:r>
      <w:r w:rsidRPr="00555DE1">
        <w:rPr>
          <w:i/>
          <w:iCs/>
          <w:sz w:val="22"/>
          <w:szCs w:val="22"/>
        </w:rPr>
        <w:t>Pharmaceutical Dissolution Testing, Bioavailability, and Bioequivalence: Science, Applications, and Beyond</w:t>
      </w:r>
      <w:r w:rsidRPr="00555DE1">
        <w:rPr>
          <w:sz w:val="22"/>
          <w:szCs w:val="22"/>
        </w:rPr>
        <w:t>. John Wiley &amp; Sons, 2022.</w:t>
      </w:r>
    </w:p>
    <w:p w14:paraId="6F1F1A1C" w14:textId="77777777" w:rsidR="00520746" w:rsidRPr="00555DE1" w:rsidRDefault="00520746" w:rsidP="00520746">
      <w:pPr>
        <w:pStyle w:val="Bibliography"/>
        <w:rPr>
          <w:sz w:val="22"/>
          <w:szCs w:val="22"/>
        </w:rPr>
      </w:pPr>
      <w:r w:rsidRPr="00555DE1">
        <w:rPr>
          <w:sz w:val="22"/>
          <w:szCs w:val="22"/>
        </w:rPr>
        <w:t>[101]</w:t>
      </w:r>
      <w:r w:rsidRPr="00555DE1">
        <w:rPr>
          <w:sz w:val="22"/>
          <w:szCs w:val="22"/>
        </w:rPr>
        <w:tab/>
        <w:t xml:space="preserve">R. Patel and A. Patel, “In vivo–In Vitro correlation (IVIVC) in drug development: bridging preclinical and clinical outcomes for regulatory approvals,” </w:t>
      </w:r>
      <w:r w:rsidRPr="00555DE1">
        <w:rPr>
          <w:i/>
          <w:iCs/>
          <w:sz w:val="22"/>
          <w:szCs w:val="22"/>
        </w:rPr>
        <w:t>World J. Adv. Res. Rev.</w:t>
      </w:r>
      <w:r w:rsidRPr="00555DE1">
        <w:rPr>
          <w:sz w:val="22"/>
          <w:szCs w:val="22"/>
        </w:rPr>
        <w:t>, vol. 22, no. 2, pp. 2311–2328, 2024.</w:t>
      </w:r>
    </w:p>
    <w:p w14:paraId="17398B80" w14:textId="77777777" w:rsidR="00520746" w:rsidRPr="00555DE1" w:rsidRDefault="00520746" w:rsidP="00520746">
      <w:pPr>
        <w:pStyle w:val="Bibliography"/>
        <w:rPr>
          <w:sz w:val="22"/>
          <w:szCs w:val="22"/>
        </w:rPr>
      </w:pPr>
      <w:r w:rsidRPr="00555DE1">
        <w:rPr>
          <w:sz w:val="22"/>
          <w:szCs w:val="22"/>
        </w:rPr>
        <w:t>[102]</w:t>
      </w:r>
      <w:r w:rsidRPr="00555DE1">
        <w:rPr>
          <w:sz w:val="22"/>
          <w:szCs w:val="22"/>
        </w:rPr>
        <w:tab/>
        <w:t xml:space="preserve">M. Lutfor, M. Al, F. Nadarkhani, and M. Nezab, “Advanced Dissolution Testing for Novel Drug Formulations: Challenges, Emerging Methods, and Regulatory Perspectives,” </w:t>
      </w:r>
      <w:r w:rsidRPr="00555DE1">
        <w:rPr>
          <w:i/>
          <w:iCs/>
          <w:sz w:val="22"/>
          <w:szCs w:val="22"/>
        </w:rPr>
        <w:t>J. Angiother.</w:t>
      </w:r>
      <w:r w:rsidRPr="00555DE1">
        <w:rPr>
          <w:sz w:val="22"/>
          <w:szCs w:val="22"/>
        </w:rPr>
        <w:t>, vol. 9, no. 1, pp. 1–16, 2025.</w:t>
      </w:r>
    </w:p>
    <w:p w14:paraId="5557260B" w14:textId="7526D80B" w:rsidR="00790ADA" w:rsidRPr="00555DE1" w:rsidRDefault="002A4071" w:rsidP="00441B6F">
      <w:pPr>
        <w:pStyle w:val="Body"/>
        <w:spacing w:after="0"/>
        <w:rPr>
          <w:rFonts w:ascii="Arial" w:hAnsi="Arial" w:cs="Arial"/>
          <w:sz w:val="22"/>
          <w:szCs w:val="22"/>
        </w:rPr>
      </w:pPr>
      <w:r w:rsidRPr="00555DE1">
        <w:rPr>
          <w:rFonts w:ascii="Arial" w:hAnsi="Arial" w:cs="Arial"/>
          <w:sz w:val="22"/>
          <w:szCs w:val="22"/>
        </w:rPr>
        <w:fldChar w:fldCharType="end"/>
      </w:r>
    </w:p>
    <w:sectPr w:rsidR="00790ADA" w:rsidRPr="00555DE1" w:rsidSect="0062102B">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13A9" w14:textId="77777777" w:rsidR="00813B47" w:rsidRDefault="00813B47" w:rsidP="00C37E61">
      <w:r>
        <w:separator/>
      </w:r>
    </w:p>
  </w:endnote>
  <w:endnote w:type="continuationSeparator" w:id="0">
    <w:p w14:paraId="233B082A" w14:textId="77777777" w:rsidR="00813B47" w:rsidRDefault="00813B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BBA2" w14:textId="77777777" w:rsidR="0062102B" w:rsidRDefault="00621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F362" w14:textId="77777777" w:rsidR="0062102B" w:rsidRDefault="00621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843B" w14:textId="77777777" w:rsidR="009E048A" w:rsidRDefault="009E048A">
    <w:pPr>
      <w:pStyle w:val="Footer"/>
      <w:rPr>
        <w:rFonts w:ascii="Arial" w:hAnsi="Arial" w:cs="Arial"/>
        <w:sz w:val="16"/>
      </w:rPr>
    </w:pPr>
  </w:p>
  <w:p w14:paraId="082B970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4E18AD" w14:textId="77777777" w:rsidR="009E048A" w:rsidRDefault="009E048A">
    <w:pPr>
      <w:pStyle w:val="Footer"/>
      <w:rPr>
        <w:rFonts w:ascii="Arial" w:hAnsi="Arial" w:cs="Arial"/>
        <w:sz w:val="16"/>
      </w:rPr>
    </w:pPr>
  </w:p>
  <w:p w14:paraId="4E15679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8EBD" w14:textId="77777777" w:rsidR="00761A10" w:rsidRPr="00C37E61" w:rsidRDefault="00761A1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4CDE0" w14:textId="77777777" w:rsidR="00813B47" w:rsidRDefault="00813B47" w:rsidP="00C37E61">
      <w:r>
        <w:separator/>
      </w:r>
    </w:p>
  </w:footnote>
  <w:footnote w:type="continuationSeparator" w:id="0">
    <w:p w14:paraId="2863483D" w14:textId="77777777" w:rsidR="00813B47" w:rsidRDefault="00813B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0D12" w14:textId="2D73F9BD" w:rsidR="0062102B" w:rsidRDefault="00C521BA">
    <w:pPr>
      <w:pStyle w:val="Header"/>
    </w:pPr>
    <w:r>
      <w:rPr>
        <w:noProof/>
      </w:rPr>
      <w:pict w14:anchorId="2AC39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CB64" w14:textId="00B0494A" w:rsidR="0062102B" w:rsidRDefault="00C521BA">
    <w:pPr>
      <w:pStyle w:val="Header"/>
    </w:pPr>
    <w:r>
      <w:rPr>
        <w:noProof/>
      </w:rPr>
      <w:pict w14:anchorId="7CC73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0184D" w14:textId="02C46E1C" w:rsidR="00296529" w:rsidRPr="00296529" w:rsidRDefault="00C521BA" w:rsidP="00296529">
    <w:pPr>
      <w:ind w:left="2160"/>
      <w:jc w:val="center"/>
      <w:rPr>
        <w:rFonts w:ascii="Times New Roman" w:eastAsia="Calibri" w:hAnsi="Times New Roman"/>
        <w:i/>
        <w:sz w:val="18"/>
        <w:szCs w:val="22"/>
      </w:rPr>
    </w:pPr>
    <w:r>
      <w:rPr>
        <w:noProof/>
      </w:rPr>
      <w:pict w14:anchorId="3AFC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012F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9729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22CD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413D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D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83E9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31BBA" w14:textId="6329B756" w:rsidR="0062102B" w:rsidRDefault="00C521BA">
    <w:pPr>
      <w:pStyle w:val="Header"/>
    </w:pPr>
    <w:r>
      <w:rPr>
        <w:noProof/>
      </w:rPr>
      <w:pict w14:anchorId="5A720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76BA" w14:textId="56EF019D" w:rsidR="0062102B" w:rsidRDefault="00C521BA">
    <w:pPr>
      <w:pStyle w:val="Header"/>
    </w:pPr>
    <w:r>
      <w:rPr>
        <w:noProof/>
      </w:rPr>
      <w:pict w14:anchorId="10B6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E984" w14:textId="577CF3B9" w:rsidR="0062102B" w:rsidRDefault="00C521BA">
    <w:pPr>
      <w:pStyle w:val="Header"/>
    </w:pPr>
    <w:r>
      <w:rPr>
        <w:noProof/>
      </w:rPr>
      <w:pict w14:anchorId="2CD73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55D0D"/>
    <w:multiLevelType w:val="multilevel"/>
    <w:tmpl w:val="1A70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035F4"/>
    <w:multiLevelType w:val="multilevel"/>
    <w:tmpl w:val="08BC7CE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4312D6"/>
    <w:multiLevelType w:val="multilevel"/>
    <w:tmpl w:val="38BE4F72"/>
    <w:lvl w:ilvl="0">
      <w:start w:val="1"/>
      <w:numFmt w:val="decimal"/>
      <w:lvlText w:val="%1."/>
      <w:lvlJc w:val="left"/>
      <w:pPr>
        <w:ind w:left="720" w:hanging="360"/>
      </w:pPr>
      <w:rPr>
        <w:rFonts w:hint="default"/>
        <w:color w:val="222222"/>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1A75A6"/>
    <w:multiLevelType w:val="multilevel"/>
    <w:tmpl w:val="6AB29E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3C1B"/>
    <w:rsid w:val="00030174"/>
    <w:rsid w:val="0004579C"/>
    <w:rsid w:val="00053739"/>
    <w:rsid w:val="000653DE"/>
    <w:rsid w:val="00097DFB"/>
    <w:rsid w:val="000A47FA"/>
    <w:rsid w:val="000A65D3"/>
    <w:rsid w:val="000B1E33"/>
    <w:rsid w:val="000D689F"/>
    <w:rsid w:val="000E7B7B"/>
    <w:rsid w:val="000E7D62"/>
    <w:rsid w:val="00103357"/>
    <w:rsid w:val="00123C9F"/>
    <w:rsid w:val="00125420"/>
    <w:rsid w:val="00126190"/>
    <w:rsid w:val="00130F17"/>
    <w:rsid w:val="001320BF"/>
    <w:rsid w:val="0014424D"/>
    <w:rsid w:val="00156F03"/>
    <w:rsid w:val="00163BC4"/>
    <w:rsid w:val="00164B2E"/>
    <w:rsid w:val="00191062"/>
    <w:rsid w:val="00192B72"/>
    <w:rsid w:val="001A29D5"/>
    <w:rsid w:val="001A29D8"/>
    <w:rsid w:val="001A5499"/>
    <w:rsid w:val="001A5CAA"/>
    <w:rsid w:val="001B0427"/>
    <w:rsid w:val="001D3A51"/>
    <w:rsid w:val="001D7967"/>
    <w:rsid w:val="001E10D2"/>
    <w:rsid w:val="001E25B4"/>
    <w:rsid w:val="001E44FE"/>
    <w:rsid w:val="00200595"/>
    <w:rsid w:val="00204835"/>
    <w:rsid w:val="00231920"/>
    <w:rsid w:val="0023195C"/>
    <w:rsid w:val="002379C3"/>
    <w:rsid w:val="0024282C"/>
    <w:rsid w:val="002460DC"/>
    <w:rsid w:val="00250985"/>
    <w:rsid w:val="002556F6"/>
    <w:rsid w:val="00283105"/>
    <w:rsid w:val="00284C4C"/>
    <w:rsid w:val="00287E68"/>
    <w:rsid w:val="00296529"/>
    <w:rsid w:val="002A4071"/>
    <w:rsid w:val="002A463C"/>
    <w:rsid w:val="002B27FB"/>
    <w:rsid w:val="002B685A"/>
    <w:rsid w:val="002C3CB5"/>
    <w:rsid w:val="002C57D2"/>
    <w:rsid w:val="002E0D56"/>
    <w:rsid w:val="002E664B"/>
    <w:rsid w:val="00315186"/>
    <w:rsid w:val="0033343E"/>
    <w:rsid w:val="003423B3"/>
    <w:rsid w:val="003512C2"/>
    <w:rsid w:val="0036204B"/>
    <w:rsid w:val="0036375D"/>
    <w:rsid w:val="00371FB6"/>
    <w:rsid w:val="00372EA8"/>
    <w:rsid w:val="003763C1"/>
    <w:rsid w:val="00376BBE"/>
    <w:rsid w:val="0039224F"/>
    <w:rsid w:val="003A1F2E"/>
    <w:rsid w:val="003A43A4"/>
    <w:rsid w:val="003A7E18"/>
    <w:rsid w:val="003C4C86"/>
    <w:rsid w:val="003C6258"/>
    <w:rsid w:val="003D4527"/>
    <w:rsid w:val="003E2860"/>
    <w:rsid w:val="003E2904"/>
    <w:rsid w:val="00401927"/>
    <w:rsid w:val="0041027F"/>
    <w:rsid w:val="00412475"/>
    <w:rsid w:val="00423789"/>
    <w:rsid w:val="00437921"/>
    <w:rsid w:val="00440F43"/>
    <w:rsid w:val="00441B6F"/>
    <w:rsid w:val="00446221"/>
    <w:rsid w:val="00450E62"/>
    <w:rsid w:val="004539DB"/>
    <w:rsid w:val="00471A80"/>
    <w:rsid w:val="004D305E"/>
    <w:rsid w:val="004D4277"/>
    <w:rsid w:val="004F59A0"/>
    <w:rsid w:val="00502516"/>
    <w:rsid w:val="00505F06"/>
    <w:rsid w:val="00506828"/>
    <w:rsid w:val="00520746"/>
    <w:rsid w:val="0053056E"/>
    <w:rsid w:val="00554367"/>
    <w:rsid w:val="00554FDA"/>
    <w:rsid w:val="00555DE1"/>
    <w:rsid w:val="00561D75"/>
    <w:rsid w:val="005671C9"/>
    <w:rsid w:val="005C784C"/>
    <w:rsid w:val="005D17F6"/>
    <w:rsid w:val="005D2042"/>
    <w:rsid w:val="005D7678"/>
    <w:rsid w:val="005D7C8E"/>
    <w:rsid w:val="005E2360"/>
    <w:rsid w:val="005E5539"/>
    <w:rsid w:val="005E6243"/>
    <w:rsid w:val="00602BF5"/>
    <w:rsid w:val="00617FDD"/>
    <w:rsid w:val="0062102B"/>
    <w:rsid w:val="00633614"/>
    <w:rsid w:val="00633F68"/>
    <w:rsid w:val="00636EB2"/>
    <w:rsid w:val="006375B8"/>
    <w:rsid w:val="00655B07"/>
    <w:rsid w:val="0066510A"/>
    <w:rsid w:val="00673F9F"/>
    <w:rsid w:val="00680F50"/>
    <w:rsid w:val="00686953"/>
    <w:rsid w:val="00687DEA"/>
    <w:rsid w:val="00687E67"/>
    <w:rsid w:val="006967F7"/>
    <w:rsid w:val="006A250C"/>
    <w:rsid w:val="006B21D3"/>
    <w:rsid w:val="006B57D0"/>
    <w:rsid w:val="006C0502"/>
    <w:rsid w:val="006D30FF"/>
    <w:rsid w:val="006D6940"/>
    <w:rsid w:val="006F11EC"/>
    <w:rsid w:val="006F2B94"/>
    <w:rsid w:val="006F6E5F"/>
    <w:rsid w:val="0070082C"/>
    <w:rsid w:val="007369E6"/>
    <w:rsid w:val="00746E59"/>
    <w:rsid w:val="00752610"/>
    <w:rsid w:val="00754C9A"/>
    <w:rsid w:val="0075599A"/>
    <w:rsid w:val="0076111E"/>
    <w:rsid w:val="00761A10"/>
    <w:rsid w:val="00761D52"/>
    <w:rsid w:val="0077749E"/>
    <w:rsid w:val="00790ADA"/>
    <w:rsid w:val="007931B6"/>
    <w:rsid w:val="007B44F9"/>
    <w:rsid w:val="007C7E2B"/>
    <w:rsid w:val="007D2288"/>
    <w:rsid w:val="007E088F"/>
    <w:rsid w:val="007F7B32"/>
    <w:rsid w:val="00804BC2"/>
    <w:rsid w:val="00813B47"/>
    <w:rsid w:val="0081431A"/>
    <w:rsid w:val="0083216F"/>
    <w:rsid w:val="00845810"/>
    <w:rsid w:val="0085718D"/>
    <w:rsid w:val="00860000"/>
    <w:rsid w:val="00863BD3"/>
    <w:rsid w:val="008641ED"/>
    <w:rsid w:val="0086638C"/>
    <w:rsid w:val="00866D66"/>
    <w:rsid w:val="008671C6"/>
    <w:rsid w:val="00875803"/>
    <w:rsid w:val="008B459E"/>
    <w:rsid w:val="008C7360"/>
    <w:rsid w:val="008E13AE"/>
    <w:rsid w:val="008E1506"/>
    <w:rsid w:val="008E710C"/>
    <w:rsid w:val="008F69D6"/>
    <w:rsid w:val="00902823"/>
    <w:rsid w:val="00915CA6"/>
    <w:rsid w:val="00916D71"/>
    <w:rsid w:val="00927834"/>
    <w:rsid w:val="009500A6"/>
    <w:rsid w:val="00957C18"/>
    <w:rsid w:val="009659BA"/>
    <w:rsid w:val="00983040"/>
    <w:rsid w:val="009A4F96"/>
    <w:rsid w:val="009B3FB9"/>
    <w:rsid w:val="009C2465"/>
    <w:rsid w:val="009C394E"/>
    <w:rsid w:val="009D35A0"/>
    <w:rsid w:val="009D7EB7"/>
    <w:rsid w:val="009E048A"/>
    <w:rsid w:val="009E08E9"/>
    <w:rsid w:val="009E1053"/>
    <w:rsid w:val="009E3DB9"/>
    <w:rsid w:val="009E41E0"/>
    <w:rsid w:val="009E6E35"/>
    <w:rsid w:val="009F0EDA"/>
    <w:rsid w:val="00A03B96"/>
    <w:rsid w:val="00A05B19"/>
    <w:rsid w:val="00A1134E"/>
    <w:rsid w:val="00A24E7E"/>
    <w:rsid w:val="00A258C3"/>
    <w:rsid w:val="00A347C0"/>
    <w:rsid w:val="00A51431"/>
    <w:rsid w:val="00A539AD"/>
    <w:rsid w:val="00A8672A"/>
    <w:rsid w:val="00A94063"/>
    <w:rsid w:val="00AA040B"/>
    <w:rsid w:val="00AA6219"/>
    <w:rsid w:val="00AA74E0"/>
    <w:rsid w:val="00AB60B9"/>
    <w:rsid w:val="00AB703F"/>
    <w:rsid w:val="00AC224A"/>
    <w:rsid w:val="00AC6BB8"/>
    <w:rsid w:val="00AE008F"/>
    <w:rsid w:val="00B01FCD"/>
    <w:rsid w:val="00B1776C"/>
    <w:rsid w:val="00B25607"/>
    <w:rsid w:val="00B52583"/>
    <w:rsid w:val="00B52896"/>
    <w:rsid w:val="00B93CDA"/>
    <w:rsid w:val="00B95236"/>
    <w:rsid w:val="00B96BD9"/>
    <w:rsid w:val="00BA1B01"/>
    <w:rsid w:val="00BA2641"/>
    <w:rsid w:val="00BB37AA"/>
    <w:rsid w:val="00BC53A0"/>
    <w:rsid w:val="00BD2396"/>
    <w:rsid w:val="00BE62AD"/>
    <w:rsid w:val="00BF121F"/>
    <w:rsid w:val="00BF1F80"/>
    <w:rsid w:val="00C166EF"/>
    <w:rsid w:val="00C17EB0"/>
    <w:rsid w:val="00C27F5F"/>
    <w:rsid w:val="00C30A0F"/>
    <w:rsid w:val="00C37E61"/>
    <w:rsid w:val="00C521BA"/>
    <w:rsid w:val="00C70F1B"/>
    <w:rsid w:val="00C71A47"/>
    <w:rsid w:val="00C7464C"/>
    <w:rsid w:val="00C85588"/>
    <w:rsid w:val="00C97135"/>
    <w:rsid w:val="00CD6755"/>
    <w:rsid w:val="00CD6856"/>
    <w:rsid w:val="00CD68D3"/>
    <w:rsid w:val="00CE0089"/>
    <w:rsid w:val="00CE3F11"/>
    <w:rsid w:val="00CE793C"/>
    <w:rsid w:val="00CF193C"/>
    <w:rsid w:val="00D03F59"/>
    <w:rsid w:val="00D173F1"/>
    <w:rsid w:val="00D608F0"/>
    <w:rsid w:val="00D74CB0"/>
    <w:rsid w:val="00D8295D"/>
    <w:rsid w:val="00DB2A45"/>
    <w:rsid w:val="00DB4E72"/>
    <w:rsid w:val="00DC2A65"/>
    <w:rsid w:val="00DE15F0"/>
    <w:rsid w:val="00DE5663"/>
    <w:rsid w:val="00DE78AA"/>
    <w:rsid w:val="00DF261A"/>
    <w:rsid w:val="00E053D0"/>
    <w:rsid w:val="00E05720"/>
    <w:rsid w:val="00E15994"/>
    <w:rsid w:val="00E3114E"/>
    <w:rsid w:val="00E31A70"/>
    <w:rsid w:val="00E35B02"/>
    <w:rsid w:val="00E52D7D"/>
    <w:rsid w:val="00E66496"/>
    <w:rsid w:val="00E66B35"/>
    <w:rsid w:val="00E66E10"/>
    <w:rsid w:val="00E769F6"/>
    <w:rsid w:val="00E81FF7"/>
    <w:rsid w:val="00E8407C"/>
    <w:rsid w:val="00E84F3C"/>
    <w:rsid w:val="00EA012C"/>
    <w:rsid w:val="00EC6A55"/>
    <w:rsid w:val="00ED0288"/>
    <w:rsid w:val="00EE52CB"/>
    <w:rsid w:val="00EE6CDA"/>
    <w:rsid w:val="00EF581D"/>
    <w:rsid w:val="00EF7FD8"/>
    <w:rsid w:val="00F03336"/>
    <w:rsid w:val="00F06F59"/>
    <w:rsid w:val="00F15E49"/>
    <w:rsid w:val="00F17988"/>
    <w:rsid w:val="00F469F0"/>
    <w:rsid w:val="00F51BA8"/>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437DC"/>
  <w15:docId w15:val="{5B16D006-9FED-4EBC-A946-44AC12E9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2A4071"/>
    <w:pPr>
      <w:keepNext/>
      <w:keepLines/>
      <w:spacing w:before="4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2A4071"/>
    <w:pPr>
      <w:tabs>
        <w:tab w:val="left" w:pos="504"/>
      </w:tabs>
      <w:ind w:left="504" w:hanging="504"/>
    </w:pPr>
  </w:style>
  <w:style w:type="table" w:styleId="ListTable6Colorful">
    <w:name w:val="List Table 6 Colorful"/>
    <w:basedOn w:val="TableNormal"/>
    <w:uiPriority w:val="51"/>
    <w:rsid w:val="002A40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qFormat/>
    <w:rsid w:val="002A4071"/>
    <w:rPr>
      <w:rFonts w:eastAsiaTheme="majorEastAsia" w:cstheme="majorBidi"/>
      <w:b/>
      <w:sz w:val="24"/>
      <w:szCs w:val="24"/>
    </w:rPr>
  </w:style>
  <w:style w:type="paragraph" w:styleId="ListParagraph">
    <w:name w:val="List Paragraph"/>
    <w:basedOn w:val="Normal"/>
    <w:uiPriority w:val="34"/>
    <w:qFormat/>
    <w:rsid w:val="002A4071"/>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2A4071"/>
    <w:rPr>
      <w:color w:val="808080"/>
    </w:rPr>
  </w:style>
  <w:style w:type="paragraph" w:styleId="NormalWeb">
    <w:name w:val="Normal (Web)"/>
    <w:basedOn w:val="Normal"/>
    <w:uiPriority w:val="99"/>
    <w:unhideWhenUsed/>
    <w:rsid w:val="002A4071"/>
    <w:pPr>
      <w:spacing w:after="160" w:line="259" w:lineRule="auto"/>
    </w:pPr>
    <w:rPr>
      <w:rFonts w:ascii="Times New Roman" w:eastAsiaTheme="minorHAnsi" w:hAnsi="Times New Roman"/>
      <w:sz w:val="24"/>
      <w:szCs w:val="24"/>
    </w:rPr>
  </w:style>
  <w:style w:type="table" w:styleId="ListTable3">
    <w:name w:val="List Table 3"/>
    <w:basedOn w:val="TableNormal"/>
    <w:uiPriority w:val="48"/>
    <w:rsid w:val="002A4071"/>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5">
    <w:name w:val="Plain Table 5"/>
    <w:basedOn w:val="TableNormal"/>
    <w:uiPriority w:val="45"/>
    <w:rsid w:val="002A4071"/>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2A4071"/>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3">
    <w:name w:val="List Table 6 Colorful Accent 3"/>
    <w:basedOn w:val="TableNormal"/>
    <w:uiPriority w:val="51"/>
    <w:rsid w:val="002A4071"/>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1">
    <w:name w:val="List Table 2 Accent 1"/>
    <w:basedOn w:val="TableNormal"/>
    <w:uiPriority w:val="47"/>
    <w:rsid w:val="002A4071"/>
    <w:rPr>
      <w:rFonts w:asciiTheme="minorHAnsi" w:eastAsiaTheme="minorHAnsi" w:hAnsiTheme="minorHAnsi" w:cstheme="minorBidi"/>
      <w:sz w:val="22"/>
      <w:szCs w:val="22"/>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6">
    <w:name w:val="List Table 1 Light Accent 6"/>
    <w:basedOn w:val="TableNormal"/>
    <w:uiPriority w:val="46"/>
    <w:rsid w:val="002A4071"/>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1">
    <w:name w:val="List Table 6 Colorful Accent 1"/>
    <w:basedOn w:val="TableNormal"/>
    <w:uiPriority w:val="51"/>
    <w:rsid w:val="002A4071"/>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atex-mathml">
    <w:name w:val="katex-mathml"/>
    <w:basedOn w:val="DefaultParagraphFont"/>
    <w:rsid w:val="00C521BA"/>
  </w:style>
  <w:style w:type="character" w:customStyle="1" w:styleId="mord">
    <w:name w:val="mord"/>
    <w:basedOn w:val="DefaultParagraphFont"/>
    <w:rsid w:val="00C521BA"/>
  </w:style>
  <w:style w:type="character" w:customStyle="1" w:styleId="mrel">
    <w:name w:val="mrel"/>
    <w:basedOn w:val="DefaultParagraphFont"/>
    <w:rsid w:val="00C521BA"/>
  </w:style>
  <w:style w:type="character" w:customStyle="1" w:styleId="vlist-s">
    <w:name w:val="vlist-s"/>
    <w:basedOn w:val="DefaultParagraphFont"/>
    <w:rsid w:val="00C5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98185138">
      <w:bodyDiv w:val="1"/>
      <w:marLeft w:val="0"/>
      <w:marRight w:val="0"/>
      <w:marTop w:val="0"/>
      <w:marBottom w:val="0"/>
      <w:divBdr>
        <w:top w:val="none" w:sz="0" w:space="0" w:color="auto"/>
        <w:left w:val="none" w:sz="0" w:space="0" w:color="auto"/>
        <w:bottom w:val="none" w:sz="0" w:space="0" w:color="auto"/>
        <w:right w:val="none" w:sz="0" w:space="0" w:color="auto"/>
      </w:divBdr>
    </w:div>
    <w:div w:id="1535389799">
      <w:bodyDiv w:val="1"/>
      <w:marLeft w:val="0"/>
      <w:marRight w:val="0"/>
      <w:marTop w:val="0"/>
      <w:marBottom w:val="0"/>
      <w:divBdr>
        <w:top w:val="none" w:sz="0" w:space="0" w:color="auto"/>
        <w:left w:val="none" w:sz="0" w:space="0" w:color="auto"/>
        <w:bottom w:val="none" w:sz="0" w:space="0" w:color="auto"/>
        <w:right w:val="none" w:sz="0" w:space="0" w:color="auto"/>
      </w:divBdr>
    </w:div>
    <w:div w:id="164523769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5713-D727-406C-B92D-EB1403DB9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543</TotalTime>
  <Pages>25</Pages>
  <Words>9050</Words>
  <Characters>133184</Characters>
  <Application>Microsoft Office Word</Application>
  <DocSecurity>0</DocSecurity>
  <Lines>1109</Lines>
  <Paragraphs>283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141951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6</cp:revision>
  <cp:lastPrinted>1999-07-06T11:00:00Z</cp:lastPrinted>
  <dcterms:created xsi:type="dcterms:W3CDTF">2026-03-03T14:40:00Z</dcterms:created>
  <dcterms:modified xsi:type="dcterms:W3CDTF">2026-03-14T12:24:00Z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366f384e-74c2-44d2-a371-a6a1733d29ee</vt:lpwstr>
  </property>
  <property fmtid="{D5CDD505-2E9C-101B-9397-08002B2CF9AE}" pid="3" name="ZOTERO_PREF_1">
    <vt:lpwstr>&lt;data data-version="3" zotero-version="7.0.32"&gt;&lt;session id="aW9DjT7Z"/&gt;&lt;style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