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DE793" w14:textId="77777777" w:rsidR="00B40BF3" w:rsidRPr="003C414E" w:rsidRDefault="00B40BF3" w:rsidP="00B40BF3">
      <w:pPr>
        <w:rPr>
          <w:rFonts w:ascii="Times New Roman" w:hAnsi="Times New Roman" w:cs="Times New Roman"/>
          <w:b/>
          <w:bCs/>
          <w:lang w:val="en-GB"/>
        </w:rPr>
      </w:pPr>
      <w:r>
        <w:rPr>
          <w:rFonts w:ascii="Times New Roman" w:hAnsi="Times New Roman" w:cs="Times New Roman"/>
          <w:b/>
          <w:bCs/>
        </w:rPr>
        <w:t>Review Article</w:t>
      </w:r>
    </w:p>
    <w:p w14:paraId="795F0817" w14:textId="297698EB" w:rsidR="003C414E" w:rsidRDefault="003C414E" w:rsidP="003C414E">
      <w:pPr>
        <w:rPr>
          <w:rFonts w:ascii="Times New Roman" w:hAnsi="Times New Roman" w:cs="Times New Roman"/>
          <w:b/>
          <w:bCs/>
        </w:rPr>
      </w:pPr>
      <w:r w:rsidRPr="003C414E">
        <w:rPr>
          <w:rFonts w:ascii="Times New Roman" w:hAnsi="Times New Roman" w:cs="Times New Roman"/>
          <w:b/>
          <w:bCs/>
        </w:rPr>
        <w:t>Integrative Exposome Modeling of Agrochemical Risks in U.S. Farmers</w:t>
      </w:r>
    </w:p>
    <w:p w14:paraId="11B9B62D" w14:textId="03AC175B" w:rsidR="0067575F" w:rsidRPr="003C414E" w:rsidRDefault="0067575F" w:rsidP="003C414E">
      <w:pPr>
        <w:rPr>
          <w:rFonts w:ascii="Times New Roman" w:hAnsi="Times New Roman" w:cs="Times New Roman"/>
        </w:rPr>
      </w:pPr>
      <w:r w:rsidRPr="003C414E">
        <w:rPr>
          <w:rFonts w:ascii="Times New Roman" w:hAnsi="Times New Roman" w:cs="Times New Roman"/>
          <w:b/>
          <w:bCs/>
        </w:rPr>
        <w:t>Abstract</w:t>
      </w:r>
    </w:p>
    <w:p w14:paraId="77EE37CC" w14:textId="778D927D" w:rsidR="00A65AD7" w:rsidRPr="00A65AD7" w:rsidRDefault="00A65AD7" w:rsidP="00A65AD7">
      <w:pPr>
        <w:jc w:val="both"/>
        <w:rPr>
          <w:rFonts w:ascii="Times New Roman" w:hAnsi="Times New Roman" w:cs="Times New Roman"/>
        </w:rPr>
      </w:pPr>
      <w:r w:rsidRPr="00A65AD7">
        <w:rPr>
          <w:rFonts w:ascii="Times New Roman" w:hAnsi="Times New Roman" w:cs="Times New Roman"/>
        </w:rPr>
        <w:t>Farmers in the United States experience sustained exposure to agrochemicals through occupational, environmental, residential, and dietary pathways. These exposures are typically low dose, cumulative, and heterogeneous, yet traditional risk assessment approaches continue to emphasize single chemicals and short-term exposure windows. Such paradigms are poorly suited to capture the complex, mixture-based exposure environments encountered in agriculture or to explain observed patterns of chronic disease, including cancer, neurodegenerative disorders, and cardiometabolic conditions, among farming populations.</w:t>
      </w:r>
      <w:r>
        <w:rPr>
          <w:rFonts w:ascii="Times New Roman" w:hAnsi="Times New Roman" w:cs="Times New Roman"/>
        </w:rPr>
        <w:t xml:space="preserve"> </w:t>
      </w:r>
      <w:r w:rsidRPr="00A65AD7">
        <w:rPr>
          <w:rFonts w:ascii="Times New Roman" w:hAnsi="Times New Roman" w:cs="Times New Roman"/>
        </w:rPr>
        <w:t>This review synthesizes current evidence on agrochemical-related chronic disease risk through the lens of the exposome, a framework that encompasses the totality of environmental exposures across the life course and their internal biological correlates. We examine major classes of agrochemicals used in U.S. farming systems, dominant exposure pathways, and disease outcomes characterized by long latency and multi-morbidity. Particular attention is given to integrative modeling approaches that combine spatial exposure estimation, biomonitoring, and mixture-aware statistical or computational methods to reconstruct cumulative exposure and internal dose.</w:t>
      </w:r>
      <w:r>
        <w:rPr>
          <w:rFonts w:ascii="Times New Roman" w:hAnsi="Times New Roman" w:cs="Times New Roman"/>
        </w:rPr>
        <w:t xml:space="preserve"> </w:t>
      </w:r>
      <w:r w:rsidRPr="00A65AD7">
        <w:rPr>
          <w:rFonts w:ascii="Times New Roman" w:hAnsi="Times New Roman" w:cs="Times New Roman"/>
        </w:rPr>
        <w:t>Our synthesis highlights that, while these integrative methods offer substantial promise for capturing real-world agricultural exposure complexity, their broader application remains constrained by persistent methodological challenges, including exposure misclassification, temporal mismatches between biomarkers and disease onset, confounding by co-exposures, and fragmented environmental and health data systems. Addressing these barriers is essential for translating exposome science into actionable public health evidence.</w:t>
      </w:r>
      <w:r>
        <w:rPr>
          <w:rFonts w:ascii="Times New Roman" w:hAnsi="Times New Roman" w:cs="Times New Roman"/>
        </w:rPr>
        <w:t xml:space="preserve"> </w:t>
      </w:r>
      <w:r w:rsidRPr="00A65AD7">
        <w:rPr>
          <w:rFonts w:ascii="Times New Roman" w:hAnsi="Times New Roman" w:cs="Times New Roman"/>
        </w:rPr>
        <w:t>By bridging environmental contamination with chronic disease risk through integrative exposome modeling, this review underscores the need to move beyond single-agent frameworks toward cumulative, life-course–informed risk assessment. Embedding these approaches into regulatory science and surveillance systems is critical for identifying exposure mixtures driving multi-morbidity patterns and for developing more equitable, preventive strategies to protect vulnerable agricultural communities.</w:t>
      </w:r>
    </w:p>
    <w:p w14:paraId="25F3AF06" w14:textId="77777777" w:rsidR="0067575F" w:rsidRPr="0067575F" w:rsidRDefault="0067575F" w:rsidP="00B5799D">
      <w:pPr>
        <w:jc w:val="both"/>
        <w:rPr>
          <w:rFonts w:ascii="Times New Roman" w:hAnsi="Times New Roman" w:cs="Times New Roman"/>
          <w:b/>
          <w:bCs/>
        </w:rPr>
      </w:pPr>
      <w:r w:rsidRPr="0067575F">
        <w:rPr>
          <w:rFonts w:ascii="Times New Roman" w:hAnsi="Times New Roman" w:cs="Times New Roman"/>
          <w:b/>
          <w:bCs/>
        </w:rPr>
        <w:t>Keywords</w:t>
      </w:r>
      <w:r w:rsidRPr="00B5799D">
        <w:rPr>
          <w:rFonts w:ascii="Times New Roman" w:hAnsi="Times New Roman" w:cs="Times New Roman"/>
          <w:b/>
          <w:bCs/>
        </w:rPr>
        <w:t xml:space="preserve">: </w:t>
      </w:r>
      <w:r w:rsidRPr="0067575F">
        <w:rPr>
          <w:rFonts w:ascii="Times New Roman" w:hAnsi="Times New Roman" w:cs="Times New Roman"/>
        </w:rPr>
        <w:t>Exposome; Agrochemicals; Farmers; Chronic disease; Occupational health; Environmental exposure modeling; Pesticides</w:t>
      </w:r>
    </w:p>
    <w:p w14:paraId="108E3161" w14:textId="77777777" w:rsidR="00427B82" w:rsidRPr="00427B82" w:rsidRDefault="00427B82" w:rsidP="00B5799D">
      <w:pPr>
        <w:jc w:val="both"/>
        <w:rPr>
          <w:rFonts w:ascii="Times New Roman" w:hAnsi="Times New Roman" w:cs="Times New Roman"/>
          <w:b/>
          <w:bCs/>
        </w:rPr>
      </w:pPr>
      <w:r w:rsidRPr="00427B82">
        <w:rPr>
          <w:rFonts w:ascii="Times New Roman" w:hAnsi="Times New Roman" w:cs="Times New Roman"/>
          <w:b/>
          <w:bCs/>
        </w:rPr>
        <w:t>1. Introduction: Framing Agrochemical Exposure as an Exposome Problem</w:t>
      </w:r>
    </w:p>
    <w:p w14:paraId="3A09128E"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Agricultural production in the United States relies heavily on the sustained use of agrochemicals, including herbicides, insecticides, and fungicides, to maintain crop yields and economic viability. While these inputs are integral to modern farming systems, they also constitute a major source of chronic occupational and environmental exposure for farmers and their families. Unlike acute toxic events, agrochemical exposures in agricultural populations are typically low dose, repetitive, and sustained over decades, occurring through multiple pathways such as dermal contact, inhalation of </w:t>
      </w:r>
      <w:r w:rsidRPr="00427B82">
        <w:rPr>
          <w:rFonts w:ascii="Times New Roman" w:hAnsi="Times New Roman" w:cs="Times New Roman"/>
        </w:rPr>
        <w:lastRenderedPageBreak/>
        <w:t>aerosols and dust, contaminated water sources, and dietary intake. This exposure profile aligns closely with a life course risk model in which cumulative and interacting exposures shape long term health outcomes</w:t>
      </w:r>
      <w:r w:rsidR="00FC4E16">
        <w:rPr>
          <w:rFonts w:ascii="Times New Roman" w:hAnsi="Times New Roman" w:cs="Times New Roman"/>
        </w:rPr>
        <w:fldChar w:fldCharType="begin"/>
      </w:r>
      <w:r w:rsidR="00FC4E16">
        <w:rPr>
          <w:rFonts w:ascii="Times New Roman" w:hAnsi="Times New Roman" w:cs="Times New Roman"/>
        </w:rPr>
        <w:instrText xml:space="preserve"> ADDIN ZOTERO_ITEM CSL_CITATION {"citationID":"34onu77S","properties":{"formattedCitation":"(1\\uc0\\u8211{}3)","plainCitation":"(1–3)","noteIndex":0},"citationItems":[{"id":15010,"uris":["http://zotero.org/users/16652950/items/JPRSIJIX"],"itemData":{"id":15010,"type":"article-journal","abstract":"Pesticides are very important in modern agriculture, protecting crops against pests and diseases to ensure food safety. However, the use of pesticides...","container-title":"Foods","DOI":"10.3390/foods14071128","ISSN":"2304-8158","issue":"7","language":"en","license":"http://creativecommons.org/licenses/by/3.0/","note":"Company: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publisher","source":"www.mdpi.com","title":"With or Without You?—A Critical Review on Pesticides in Food","title-short":"With or Without You?","URL":"https://www.mdpi.com/2304-8158/14/7/1128","volume":"14","author":[{"family":"Lazarević-Pašti","given":"Tamara"},{"family":"Milanković","given":"Vedran"},{"family":"Tasić","given":"Tamara"},{"family":"Petrović","given":"Sandra"},{"family":"Leskovac","given":"Andreja"}],"accessed":{"date-parts":[["2026",2,19]]},"issued":{"date-parts":[["2025",3,24]]}}},{"id":13186,"uris":["http://zotero.org/users/16652950/items/SQQ5MVSC"],"itemData":{"id":13186,"type":"article-journal","abstract":"Chemicals used for storage majorly possess insecticidal activities – deterring destructive insect pests and microorganisms from stored agricultural produce. Despite the controversy about their safety, local farmers and agro-wholesalers still predominantly use these chemicals in developing countries, especially Africa, to ensure an all-year supply of agriproducts. These chemicals could have short- or long-term effects. Despite the state-of-the-art knowledge, factors such as poor education and awareness, limited agricultural subventions, quests for cheap chemicals, over-dosage, and many more are the possible reasons for these toxic chemicals' setback and persistent use in developing countries. This paper provides an up-to-date review of the environmental and ecological effects, as well as the health impacts arising from the indiscriminate use of toxic chemicals in agriproducts. Existing data link pesticides to endocrine disruption, genetic mutations, neurological dysfunction, and other metabolic disorders, apart from the myriad of acute effects. Finally, this study recommended several naturally sourced preservatives as viable alternatives to chemical counterparts and emphasized the invaluable role of education and awareness programs in mitigating the use in developing nations for a sustainable society.","container-title":"Heliyon","DOI":"10.1016/j.heliyon.2023.e15173","ISSN":"2405-8440","issue":"4","journalAbbreviation":"Heliyon","page":"e15173","source":"ScienceDirect","title":"Widespread use of toxic agrochemicals and pesticides for agricultural products storage in Africa and developing countries: Possible panacea for ecotoxicology and health implications","title-short":"Widespread use of toxic agrochemicals and pesticides for agricultural products storage in Africa and developing countries","volume":"9","author":[{"family":"Anaduaka","given":"Emeka Godwin"},{"family":"Uchendu","given":"Nene Orizu"},{"family":"Asomadu","given":"Rita Onyekachukwu"},{"family":"Ezugwu","given":"Arinze Linus"},{"family":"Okeke","given":"Emmanuel Sunday"},{"family":"Chidike Ezeorba","given":"Timothy Prince"}],"issued":{"date-parts":[["2023",4,1]]}}},{"id":13340,"uris":["http://zotero.org/users/16652950/items/38U4I6QG"],"itemData":{"id":13340,"type":"article-journal","container-title":"The Journal of Peasant Studies","DOI":"10.1080/03066150.2025.2549340","ISSN":"0306-6150","note":"publisher: Routledge","page":"1-31","source":"tandfonline.com (Atypon)","title":"Pesticides and food sovereignty: (dis)connections and challenges for agrarian movements","title-short":"Pesticides and food sovereignty","author":[{"family":"Castro-Vargas","given":"Soledad"},{"family":"Hernández Rodríguez","given":"Carol"},{"family":"Navas","given":"Grettel"},{"family":"Castañón Ballivián","given":"Enrique"},{"family":"Xu","given":"Yunan"},{"family":"Marini","given":"Daniela Ayelén"}],"issued":{"date-parts":[["2025",10,2]]}}}],"schema":"https://github.com/citation-style-language/schema/raw/master/csl-citation.json"} </w:instrText>
      </w:r>
      <w:r w:rsidR="00FC4E16">
        <w:rPr>
          <w:rFonts w:ascii="Times New Roman" w:hAnsi="Times New Roman" w:cs="Times New Roman"/>
        </w:rPr>
        <w:fldChar w:fldCharType="separate"/>
      </w:r>
      <w:r w:rsidR="00FC4E16" w:rsidRPr="00FC4E16">
        <w:rPr>
          <w:rFonts w:ascii="Times New Roman" w:hAnsi="Times New Roman" w:cs="Times New Roman"/>
          <w:kern w:val="0"/>
        </w:rPr>
        <w:t>(1–3)</w:t>
      </w:r>
      <w:r w:rsidR="00FC4E16">
        <w:rPr>
          <w:rFonts w:ascii="Times New Roman" w:hAnsi="Times New Roman" w:cs="Times New Roman"/>
        </w:rPr>
        <w:fldChar w:fldCharType="end"/>
      </w:r>
      <w:r w:rsidRPr="00427B82">
        <w:rPr>
          <w:rFonts w:ascii="Times New Roman" w:hAnsi="Times New Roman" w:cs="Times New Roman"/>
        </w:rPr>
        <w:t>.</w:t>
      </w:r>
    </w:p>
    <w:p w14:paraId="0919B3E5"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Epidemiologic evidence consistently indicates that U.S. farming populations experience elevated risks of several chronic diseases, including certain cancers such as </w:t>
      </w:r>
      <w:proofErr w:type="spellStart"/>
      <w:r w:rsidRPr="00427B82">
        <w:rPr>
          <w:rFonts w:ascii="Times New Roman" w:hAnsi="Times New Roman" w:cs="Times New Roman"/>
        </w:rPr>
        <w:t>non Hodgkin</w:t>
      </w:r>
      <w:proofErr w:type="spellEnd"/>
      <w:r w:rsidRPr="00427B82">
        <w:rPr>
          <w:rFonts w:ascii="Times New Roman" w:hAnsi="Times New Roman" w:cs="Times New Roman"/>
        </w:rPr>
        <w:t xml:space="preserve"> lymphoma and prostate cancer, neurodegenerative disorders including Parkinson’s disease, and cardiometabolic conditions such as diabetes and hypertension</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{"citationID":"HfUnsFQf","properties":{"formattedCitation":"(4)","plainCitation":"(4)","noteIndex":0},"citationItems":[{"id":15012,"uris":["http://zotero.org/users/16652950/items/FX7EFFKR"],"itemData":{"id":15012,"type":"article-journal","abstract":"Preventing Chronic Disease (PCD) is a peer-reviewed electronic journal established by the National Center for Chronic Disease Prevention and Health Promotion. PCD provides an open exchange of information and knowledge among researchers, practitioners, policy makers, and others who strive to improve the health of the public through chronic disease prevention.","container-title":"Preventing Chronic Disease","DOI":"10.5888/pcd21.230267","ISSN":"1545-1151","journalAbbreviation":"Prev. Chronic Dis.","language":"en-us","source":"www.cdc.gov","title":"Chronic Disease Prevalence in the US: Sociodemographic and Geographic Variations by Zip Code Tabulation Area","title-short":"Chronic Disease Prevalence in the US","URL":"https://www.cdc.gov/pcd/issues/2024/23_0267.htm","volume":"21","author":[{"family":"Benavidez","given":"Gabriel A."}],"accessed":{"date-parts":[["2026",2,19]]},"issued":{"date-parts":[["2024"]]}}}],"schema":"https://github.com/citation-style-language/schema/raw/master/csl-citation.json"}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(4)</w:t>
      </w:r>
      <w:r w:rsidR="00D16A45">
        <w:rPr>
          <w:rFonts w:ascii="Times New Roman" w:hAnsi="Times New Roman" w:cs="Times New Roman"/>
        </w:rPr>
        <w:fldChar w:fldCharType="end"/>
      </w:r>
      <w:r w:rsidRPr="00427B82">
        <w:rPr>
          <w:rFonts w:ascii="Times New Roman" w:hAnsi="Times New Roman" w:cs="Times New Roman"/>
        </w:rPr>
        <w:t>. However, these associations are often heterogeneous and difficult to interpret, reflecting the complexity of agricultural exposure environments. Farmers are rarely exposed to a single chemical in isolation. Instead, they encounter mixtures of agrochemicals alongside other occupational, environmental, and social stressors that may jointly influence disease risk.</w:t>
      </w:r>
    </w:p>
    <w:p w14:paraId="3A1717A8"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 xml:space="preserve">Traditional exposure assessment approaches in environmental and occupational health have struggled to fully capture this complexity. Many studies focus on individual agents or chemical classes, rely on cross sectional or retrospective designs, and use proxy measures of exposure such as job titles or </w:t>
      </w:r>
      <w:proofErr w:type="spellStart"/>
      <w:r w:rsidRPr="00427B82">
        <w:rPr>
          <w:rFonts w:ascii="Times New Roman" w:hAnsi="Times New Roman" w:cs="Times New Roman"/>
        </w:rPr>
        <w:t>self reported</w:t>
      </w:r>
      <w:proofErr w:type="spellEnd"/>
      <w:r w:rsidRPr="00427B82">
        <w:rPr>
          <w:rFonts w:ascii="Times New Roman" w:hAnsi="Times New Roman" w:cs="Times New Roman"/>
        </w:rPr>
        <w:t xml:space="preserve"> use. These methods are limited in their ability to account for cumulative exposure, temporal variability, biological uptake, and interactions among multiple exposures. As a result, they may underestimate true risk or fail to identify vulnerable subgroups within farming populations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n0uTsTI6","properties":{"formattedCitation":"(5)","plainCitation":"(5)","noteIndex":0},"citationItems":[{"id":15015,"uris":["http://zotero.org/users/16652950/items/ZLJKKD8K"],"itemData":{"id":15015,"type":"article-journal","abstract":"undefined","container-title":"Toxics","DOI":"10.3390/toxics12110778","ISSN":"2305-6304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Occupational Exposure to Chemical Agents and Health Challenges I—What Message Can Bring to Regulatory Science?","URL":"https://www.mdpi.com/2305-6304/12/11/778","volume":"12","author":[{"family":"Ladeira","given":"Carina"}],"accessed":{"date-parts":[["2026",2,19]]},"issued":{"date-parts":[["2024",10,24]]}}}],"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(5)</w:t>
      </w:r>
      <w:r w:rsidR="00D16A45">
        <w:rPr>
          <w:rFonts w:ascii="Times New Roman" w:hAnsi="Times New Roman" w:cs="Times New Roman"/>
        </w:rPr>
        <w:fldChar w:fldCharType="end"/>
      </w:r>
      <w:r w:rsidRPr="00427B82">
        <w:rPr>
          <w:rFonts w:ascii="Times New Roman" w:hAnsi="Times New Roman" w:cs="Times New Roman"/>
        </w:rPr>
        <w:t>.</w:t>
      </w:r>
    </w:p>
    <w:p w14:paraId="22F35C1A"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The exposome framework offers a unifying conceptual and methodological approach to address these limitations. By encompassing the totality of environmental exposures across the life course and linking them to internal biological responses, the exposome moves beyond single chemical epidemiology toward a systems level understanding of disease etiology. Integrative exposome modeling, which combines environmental data, biomonitoring, spatial analysis, and advanced statistical or computational methods, is particularly well suited to agricultural contexts characterized by complex and dynamic exposure profiles.</w:t>
      </w:r>
    </w:p>
    <w:p w14:paraId="6D2123A4" w14:textId="77777777" w:rsidR="00427B82" w:rsidRPr="00427B82" w:rsidRDefault="00427B82" w:rsidP="00B5799D">
      <w:pPr>
        <w:jc w:val="both"/>
        <w:rPr>
          <w:rFonts w:ascii="Times New Roman" w:hAnsi="Times New Roman" w:cs="Times New Roman"/>
        </w:rPr>
      </w:pPr>
      <w:r w:rsidRPr="00427B82">
        <w:rPr>
          <w:rFonts w:ascii="Times New Roman" w:hAnsi="Times New Roman" w:cs="Times New Roman"/>
        </w:rPr>
        <w:t>This review synthesizes current evidence and modeling approaches for integrating agrochemical exposures into exposome based chronic disease risk assessment among U.S. farmers.</w:t>
      </w:r>
    </w:p>
    <w:p w14:paraId="2B612E62"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 Agrochemical Exposures in U.S. Farming Systems</w:t>
      </w:r>
    </w:p>
    <w:p w14:paraId="4A3D3D58"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Agrochemical use is a defining feature of contemporary U.S. agriculture and represents one of the most complex exposure environments in occupational health. Farmers are routinely exposed to diverse chemical agents that vary in toxicity, persistence, and biological activity. These exposures rarely occur in isolation and are shaped by farming practices, crop type, geography, and regulatory history, creating heterogeneous exposure profiles across agricultural regions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{"citationID":"CMJ8dE9D","properties":{"formattedCitation":"(6)","plainCitation":"(6)","noteIndex":0},"citationItems":[{"id":13293,"uris":["http://zotero.org/users/16652950/items/EWAJ2Q55"],"itemData":{"id":13293,"type":"article-journal","abstract":"Pesticides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(6)</w:t>
      </w:r>
      <w:r w:rsidR="00D16A45">
        <w:rPr>
          <w:rFonts w:ascii="Times New Roman" w:hAnsi="Times New Roman" w:cs="Times New Roman"/>
        </w:rPr>
        <w:fldChar w:fldCharType="end"/>
      </w:r>
      <w:r w:rsidRPr="00477F9B">
        <w:rPr>
          <w:rFonts w:ascii="Times New Roman" w:hAnsi="Times New Roman" w:cs="Times New Roman"/>
        </w:rPr>
        <w:t>.</w:t>
      </w:r>
    </w:p>
    <w:p w14:paraId="2A672758"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2.1 Major Classes of Agrochemicals</w:t>
      </w:r>
    </w:p>
    <w:p w14:paraId="525D34A8"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Herbicides constitute the largest share of agrochemical use in the United States, with compounds such as glyphosate widely applied across row crops, orchards, and pasture systems. Their extensive </w:t>
      </w:r>
      <w:r w:rsidRPr="00477F9B">
        <w:rPr>
          <w:rFonts w:ascii="Times New Roman" w:hAnsi="Times New Roman" w:cs="Times New Roman"/>
        </w:rPr>
        <w:lastRenderedPageBreak/>
        <w:t xml:space="preserve">use has raised concerns about chronic </w:t>
      </w:r>
      <w:proofErr w:type="gramStart"/>
      <w:r w:rsidRPr="00477F9B">
        <w:rPr>
          <w:rFonts w:ascii="Times New Roman" w:hAnsi="Times New Roman" w:cs="Times New Roman"/>
        </w:rPr>
        <w:t>low level</w:t>
      </w:r>
      <w:proofErr w:type="gramEnd"/>
      <w:r w:rsidRPr="00477F9B">
        <w:rPr>
          <w:rFonts w:ascii="Times New Roman" w:hAnsi="Times New Roman" w:cs="Times New Roman"/>
        </w:rPr>
        <w:t xml:space="preserve"> exposure, particularly given repeated seasonal applications and environmental persistence in soil and water. Insecticides, including organophosphates and neonicotinoids, are commonly used to control pest populations but are also associated with neurotoxic and endocrine effects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{"citationID":"hA2ydQzD","properties":{"formattedCitation":"(7)","plainCitation":"(7)","noteIndex":0},"citationItems":[{"id":15001,"uris":["http://zotero.org/users/16652950/items/ZYET7WS4"],"itemData":{"id":15001,"type":"article-journal","abstract":"Pesticides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practices.","container-title":"Heliyon","DOI":"10.1016/j.heliyon.2024.e29128","ISSN":"2405-8440","issue":"7","journalAbbreviation":"Heliyon","page":"e29128","source":"ScienceDirect","title":"Pesticides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H."},{"family":"Hussain","given":"Sohail"}],"issued":{"date-parts":[["2024",4,15]]}}}],"schema":"https://github.com/citation-style-language/schema/raw/master/csl-citation.json"}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(7)</w:t>
      </w:r>
      <w:r w:rsidR="00D16A45">
        <w:rPr>
          <w:rFonts w:ascii="Times New Roman" w:hAnsi="Times New Roman" w:cs="Times New Roman"/>
        </w:rPr>
        <w:fldChar w:fldCharType="end"/>
      </w:r>
      <w:r w:rsidRPr="00477F9B">
        <w:rPr>
          <w:rFonts w:ascii="Times New Roman" w:hAnsi="Times New Roman" w:cs="Times New Roman"/>
        </w:rPr>
        <w:t>. Although the use of some highly toxic organophosphates has declined, legacy exposure and continued use of related compounds remain relevant in certain farming contexts. Fungicides, often applied preventively and in combination with other chemicals, add another layer of exposure complexity, particularly in fruit, vegetable, and specialty crop production. In addition, legacy compounds such as organochlorines, though banned for decades, persist in agricultural soils and sediments, contributing to long term background exposure through environmental reservoirs</w:t>
      </w:r>
      <w:r w:rsidR="00D16A45">
        <w:rPr>
          <w:rFonts w:ascii="Times New Roman" w:hAnsi="Times New Roman" w:cs="Times New Roman"/>
        </w:rPr>
        <w:fldChar w:fldCharType="begin"/>
      </w:r>
      <w:r w:rsidR="00D16A45">
        <w:rPr>
          <w:rFonts w:ascii="Times New Roman" w:hAnsi="Times New Roman" w:cs="Times New Roman"/>
        </w:rPr>
        <w:instrText xml:space="preserve"> ADDIN ZOTERO_ITEM CSL_CITATION {"citationID":"cwMvJ7lM","properties":{"formattedCitation":"(8)","plainCitation":"(8)","noteIndex":0},"citationItems":[{"id":13355,"uris":["http://zotero.org/users/16652950/items/PYMXKRSJ"],"itemData":{"id":13355,"type":"article-journal","abstract":"One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rsidR="00D16A45">
        <w:rPr>
          <w:rFonts w:ascii="Times New Roman" w:hAnsi="Times New Roman" w:cs="Times New Roman"/>
        </w:rPr>
        <w:fldChar w:fldCharType="separate"/>
      </w:r>
      <w:r w:rsidR="00D16A45" w:rsidRPr="00D16A45">
        <w:rPr>
          <w:rFonts w:ascii="Times New Roman" w:hAnsi="Times New Roman" w:cs="Times New Roman"/>
        </w:rPr>
        <w:t>(8)</w:t>
      </w:r>
      <w:r w:rsidR="00D16A45">
        <w:rPr>
          <w:rFonts w:ascii="Times New Roman" w:hAnsi="Times New Roman" w:cs="Times New Roman"/>
        </w:rPr>
        <w:fldChar w:fldCharType="end"/>
      </w:r>
      <w:r w:rsidRPr="00477F9B">
        <w:rPr>
          <w:rFonts w:ascii="Times New Roman" w:hAnsi="Times New Roman" w:cs="Times New Roman"/>
        </w:rPr>
        <w:t>.</w:t>
      </w:r>
    </w:p>
    <w:p w14:paraId="5CB9FB21"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2.2 Exposure Pathways</w:t>
      </w:r>
    </w:p>
    <w:p w14:paraId="65E4029E"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Occupational exposure remains the primary route for farmers and agricultural workers. Activities such as mixing and loading formulations, equipment calibration, spraying, and field </w:t>
      </w:r>
      <w:proofErr w:type="spellStart"/>
      <w:r w:rsidRPr="00477F9B">
        <w:rPr>
          <w:rFonts w:ascii="Times New Roman" w:hAnsi="Times New Roman" w:cs="Times New Roman"/>
        </w:rPr>
        <w:t>re entry</w:t>
      </w:r>
      <w:proofErr w:type="spellEnd"/>
      <w:r w:rsidRPr="00477F9B">
        <w:rPr>
          <w:rFonts w:ascii="Times New Roman" w:hAnsi="Times New Roman" w:cs="Times New Roman"/>
        </w:rPr>
        <w:t xml:space="preserve"> following application are associated with direct dermal and inhalation exposure. Environmental pathways further extend exposure beyond the worksite</w:t>
      </w:r>
      <w:r w:rsidR="00292C56">
        <w:rPr>
          <w:rFonts w:ascii="Times New Roman" w:hAnsi="Times New Roman" w:cs="Times New Roman"/>
        </w:rPr>
        <w:fldChar w:fldCharType="begin"/>
      </w:r>
      <w:r w:rsidR="00292C56">
        <w:rPr>
          <w:rFonts w:ascii="Times New Roman" w:hAnsi="Times New Roman" w:cs="Times New Roman"/>
        </w:rPr>
        <w:instrText xml:space="preserve"> ADDIN ZOTERO_ITEM CSL_CITATION {"citationID":"BNtysgTm","properties":{"formattedCitation":"(9)","plainCitation":"(9)","noteIndex":0},"citationItems":[{"id":15017,"uris":["http://zotero.org/users/16652950/items/RD8DRDF9"],"itemData":{"id":15017,"type":"article-journal","abstract":"Background\nLong-term exposure to pesticides is often assessed using semi-quantitative models. To improve these models, a better understanding of how occupational factors determine exposure (e.g., as estimated by biomonitoring) would be valuable.\nMethods\nUrine samples were collected from pesticide applicators in Malaysia, Uganda, and the UK during mixing/application days (and also during non-application days in Uganda). Samples were collected pre- and post-activity on the same day and analysed for biomarkers of active ingredients (AIs), including synthetic pyrethroids (via the metabolite 3-phenoxybenzoic acid [3-PBA]) and glyphosate, as well as creatinine. We performed multilevel Tobit regression models for each study to assess the relationship between exposure modifying factors (e.g., mixing/application of AI, duration of activity, personal protective equipment [PPE]) and urinary biomarkers of exposure.\nResults\nFrom the Malaysia, Uganda, and UK studies, 81, 84, and 106 study participants provided 162, 384 and 212 urine samples, respectively. Pyrethroid use on the sampling day was most common in Malaysia (n = 38; 47%), and glyphosate use was most prevalent in the UK (n = 93; 88%). Median pre- and post-activity 3-PBA concentrations were similar, with higher median concentrations post-compared to pre-activity for glyphosate samples in the UK (1.7 to 0.5 μg/L) and Uganda (7.6 to 0.8 μg/L) (glyphosate was not used in the Malaysia study). There was evidence from individual studies that higher urinary biomarker concentrations were associated with mixing/application of the AI on the day of urine sampling, longer duration of mixing/application, lower PPE protection, and less education/literacy, but no factor was consistently associated with exposure across biomarkers in the three studies.\nConclusions\nOur results suggest a need for AI-specific interpretation of exposure modifying factors as the relevance of exposure routes, levels of detection, and farming systems/practices may be very context and AI-specific.","container-title":"Environmental Research","DOI":"10.1016/j.envres.2023.117651","ISSN":"0013-9351","journalAbbreviation":"Environmental Research","page":"117651","source":"ScienceDirect","title":"Factors influencing occupational exposure to pyrethroids and glyphosate: An analysis of urinary biomarkers in Malaysia, Uganda and the United Kingdom","title-short":"Factors influencing occupational exposure to pyrethroids and glyphosate","volume":"242","author":[{"family":"Mueller","given":"William"},{"family":"Jones","given":"Kate"},{"family":"Fuhrimann","given":"Samuel"},{"family":"Ahmad","given":"Zulkhairul Naim Bin Sidek"},{"family":"Sams","given":"Craig"},{"family":"Harding","given":"Anne-Helen"},{"family":"Povey","given":"Andrew"},{"family":"Atuhaire","given":"Aggrey"},{"family":"Basinas","given":"Ioannis"},{"family":"Tongeren","given":"Martie","non-dropping-particle":"van"},{"family":"Kromhout","given":"Hans"},{"family":"Galea","given":"Karen S."}],"issued":{"date-parts":[["2024",2,1]]}}}],"schema":"https://github.com/citation-style-language/schema/raw/master/csl-citation.json"} </w:instrText>
      </w:r>
      <w:r w:rsidR="00292C56">
        <w:rPr>
          <w:rFonts w:ascii="Times New Roman" w:hAnsi="Times New Roman" w:cs="Times New Roman"/>
        </w:rPr>
        <w:fldChar w:fldCharType="separate"/>
      </w:r>
      <w:r w:rsidR="00292C56" w:rsidRPr="00292C56">
        <w:rPr>
          <w:rFonts w:ascii="Times New Roman" w:hAnsi="Times New Roman" w:cs="Times New Roman"/>
        </w:rPr>
        <w:t>(9)</w:t>
      </w:r>
      <w:r w:rsidR="00292C56">
        <w:rPr>
          <w:rFonts w:ascii="Times New Roman" w:hAnsi="Times New Roman" w:cs="Times New Roman"/>
        </w:rPr>
        <w:fldChar w:fldCharType="end"/>
      </w:r>
      <w:r w:rsidRPr="00477F9B">
        <w:rPr>
          <w:rFonts w:ascii="Times New Roman" w:hAnsi="Times New Roman" w:cs="Times New Roman"/>
        </w:rPr>
        <w:t>. Spray drift, volatilization, and runoff can contaminate nearby soils, surface waters, and groundwater, particularly in regions reliant on private wells. Residential and para occupational exposure occurs when chemicals are transported into homes on clothing, skin, or equipment, affecting household members who are not directly involved in farm work. Dietary exposure also contributes to the overall burden, as farmers may consume produce grown on treated land or drink water affected by agricultural runoff</w:t>
      </w:r>
      <w:r w:rsidR="00292C56">
        <w:rPr>
          <w:rFonts w:ascii="Times New Roman" w:hAnsi="Times New Roman" w:cs="Times New Roman"/>
        </w:rPr>
        <w:fldChar w:fldCharType="begin"/>
      </w:r>
      <w:r w:rsidR="00292C56">
        <w:rPr>
          <w:rFonts w:ascii="Times New Roman" w:hAnsi="Times New Roman" w:cs="Times New Roman"/>
        </w:rPr>
        <w:instrText xml:space="preserve"> ADDIN ZOTERO_ITEM CSL_CITATION {"citationID":"fFIpFKke","properties":{"formattedCitation":"(9,10)","plainCitation":"(9,10)","noteIndex":0},"citationItems":[{"id":15017,"uris":["http://zotero.org/users/16652950/items/RD8DRDF9"],"itemData":{"id":15017,"type":"article-journal","abstract":"Background\nLong-term exposure to pesticides is often assessed using semi-quantitative models. To improve these models, a better understanding of how occupational factors determine exposure (e.g., as estimated by biomonitoring) would be valuable.\nMethods\nUrine samples were collected from pesticide applicators in Malaysia, Uganda, and the UK during mixing/application days (and also during non-application days in Uganda). Samples were collected pre- and post-activity on the same day and analysed for biomarkers of active ingredients (AIs), including synthetic pyrethroids (via the metabolite 3-phenoxybenzoic acid [3-PBA]) and glyphosate, as well as creatinine. We performed multilevel Tobit regression models for each study to assess the relationship between exposure modifying factors (e.g., mixing/application of AI, duration of activity, personal protective equipment [PPE]) and urinary biomarkers of exposure.\nResults\nFrom the Malaysia, Uganda, and UK studies, 81, 84, and 106 study participants provided 162, 384 and 212 urine samples, respectively. Pyrethroid use on the sampling day was most common in Malaysia (n = 38; 47%), and glyphosate use was most prevalent in the UK (n = 93; 88%). Median pre- and post-activity 3-PBA concentrations were similar, with higher median concentrations post-compared to pre-activity for glyphosate samples in the UK (1.7 to 0.5 μg/L) and Uganda (7.6 to 0.8 μg/L) (glyphosate was not used in the Malaysia study). There was evidence from individual studies that higher urinary biomarker concentrations were associated with mixing/application of the AI on the day of urine sampling, longer duration of mixing/application, lower PPE protection, and less education/literacy, but no factor was consistently associated with exposure across biomarkers in the three studies.\nConclusions\nOur results suggest a need for AI-specific interpretation of exposure modifying factors as the relevance of exposure routes, levels of detection, and farming systems/practices may be very context and AI-specific.","container-title":"Environmental Research","DOI":"10.1016/j.envres.2023.117651","ISSN":"0013-9351","journalAbbreviation":"Environmental Research","page":"117651","source":"ScienceDirect","title":"Factors influencing occupational exposure to pyrethroids and glyphosate: An analysis of urinary biomarkers in Malaysia, Uganda and the United Kingdom","title-short":"Factors influencing occupational exposure to pyrethroids and glyphosate","volume":"242","author":[{"family":"Mueller","given":"William"},{"family":"Jones","given":"Kate"},{"family":"Fuhrimann","given":"Samuel"},{"family":"Ahmad","given":"Zulkhairul Naim Bin Sidek"},{"family":"Sams","given":"Craig"},{"family":"Harding","given":"Anne-Helen"},{"family":"Povey","given":"Andrew"},{"family":"Atuhaire","given":"Aggrey"},{"family":"Basinas","given":"Ioannis"},{"family":"Tongeren","given":"Martie","non-dropping-particle":"van"},{"family":"Kromhout","given":"Hans"},{"family":"Galea","given":"Karen S."}],"issued":{"date-parts":[["2024",2,1]]}}},{"id":13312,"uris":["http://zotero.org/users/16652950/items/ZSWHZD3Y"],"itemData":{"id":13312,"type":"article-journal","abstract":"Pesticides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Tri"},{"family":"Sadler","given":"Ross"},{"family":"Connell","given":"Des"}],"issued":{"date-parts":[["2022",6,19]]}}}],"schema":"https://github.com/citation-style-language/schema/raw/master/csl-citation.json"} </w:instrText>
      </w:r>
      <w:r w:rsidR="00292C56">
        <w:rPr>
          <w:rFonts w:ascii="Times New Roman" w:hAnsi="Times New Roman" w:cs="Times New Roman"/>
        </w:rPr>
        <w:fldChar w:fldCharType="separate"/>
      </w:r>
      <w:r w:rsidR="00292C56" w:rsidRPr="00292C56">
        <w:rPr>
          <w:rFonts w:ascii="Times New Roman" w:hAnsi="Times New Roman" w:cs="Times New Roman"/>
        </w:rPr>
        <w:t>(9,10)</w:t>
      </w:r>
      <w:r w:rsidR="00292C56">
        <w:rPr>
          <w:rFonts w:ascii="Times New Roman" w:hAnsi="Times New Roman" w:cs="Times New Roman"/>
        </w:rPr>
        <w:fldChar w:fldCharType="end"/>
      </w:r>
      <w:r w:rsidRPr="00477F9B">
        <w:rPr>
          <w:rFonts w:ascii="Times New Roman" w:hAnsi="Times New Roman" w:cs="Times New Roman"/>
        </w:rPr>
        <w:t>.</w:t>
      </w:r>
    </w:p>
    <w:p w14:paraId="77455B3C"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2.3 Temporal and Spatial Variability</w:t>
      </w:r>
    </w:p>
    <w:p w14:paraId="3ACA05F5" w14:textId="77777777" w:rsidR="00477F9B" w:rsidRPr="00477F9B" w:rsidRDefault="00477F9B" w:rsidP="00B5799D">
      <w:pPr>
        <w:jc w:val="both"/>
        <w:rPr>
          <w:rFonts w:ascii="Times New Roman" w:hAnsi="Times New Roman" w:cs="Times New Roman"/>
        </w:rPr>
      </w:pPr>
      <w:r w:rsidRPr="00477F9B">
        <w:rPr>
          <w:rFonts w:ascii="Times New Roman" w:hAnsi="Times New Roman" w:cs="Times New Roman"/>
        </w:rPr>
        <w:t>Agrochemical exposures are highly variable over time and space. Application intensity often follows seasonal patterns linked to planting and pest cycles, resulting in episodic peaks superimposed on chronic background exposure. Spatial variability is driven by regional differences in crop production, climate, and pest pressure, leading to distinct chemical mixtures across agricultural landscapes</w:t>
      </w:r>
      <w:r w:rsidR="00E966A1">
        <w:rPr>
          <w:rFonts w:ascii="Times New Roman" w:hAnsi="Times New Roman" w:cs="Times New Roman"/>
        </w:rPr>
        <w:fldChar w:fldCharType="begin"/>
      </w:r>
      <w:r w:rsidR="00E966A1">
        <w:rPr>
          <w:rFonts w:ascii="Times New Roman" w:hAnsi="Times New Roman" w:cs="Times New Roman"/>
        </w:rPr>
        <w:instrText xml:space="preserve"> ADDIN ZOTERO_ITEM CSL_CITATION {"citationID":"OH9Bb99T","properties":{"formattedCitation":"(11)","plainCitation":"(11)","noteIndex":0},"citationItems":[{"id":15020,"uris":["http://zotero.org/users/16652950/items/WKCZGX9D"],"itemData":{"id":15020,"type":"article-journal","abstract":"This study was conducted in the Kilombero Valley Ramsar Site (KVRS), the largest low-altitude freshwater wetland in East Africa to: (i) determine pesticide contamination of soil, water, and sediment at different seasonal weather conditions (ii) critically analyze the seasonal and spatial ecological impacts of pesticide contaminations under tropical weather conditions (iii) estimate the potential environmental risks from pesticide exposure based on analytical data.Surface sediments, soil and water samples were collected from sugarcane, teak and rice plantations of the KVRS during the dry (January 2012) and the rainy (March-April 2013) seasons. Samples were screened for 97 different types of pesticide residues using and LC-MS and HPLC-MS. Physical-chemical properties of the sediment and soil samples and meteorological data were analyzed. 92% of soil and sediment samples had relatively low OM content ( 60 km/hr, humidity &gt; 80% were recorded. Frequency of detection and concentration of pesticides residues depended on seasons. For the dry season sampling, glyphosate/AMPA (0.01-0.55 µg / g), and diuron (0.026-1.7 µg / g) were mostly detected in the sediment and soils. Monuron (1.28-3. 9 µg/ L) and propoxur (0.05-0.6 µg / L) were mostly detected in the rainy seasons (water and sediments). Glyphosate was above limit of detection in the dry season water samples indicating that its emission into the water system may have been directly through application. Maximum diuron concentrations in water were &gt; 30 times higher than the estimated predicted no-effect concentration (PNEC) value (0.054 µg / L) indicating a risk to aquatic community. Calculated pore water concentrations (0.992-0.081 µg/ L), exceeded the estimated PNEC values during the dry season, indicating a risk to benthic organisms. Detection of pesticide is influenced by application, environmental factors and the timing of sampling. Further research is recommended to increase our knowledge on soil-water-sediment interactions in the tropics with regard to pesticides.","container-title":"Frontiers in Environmental Science","DOI":"10.3389/fenvs.2021.599814","ISSN":"2296-665X","journalAbbreviation":"Front. Environ. Sci.","language":"English","note":"publisher: Frontiers","source":"Frontiers","title":"Seasonal and Spatial Detection of Pesticide Residues Under Various Weather Conditions of Agricultural Areas of the Kilombero Valley Ramsar Site, Tanzania","URL":"https://www.frontiersin.org/journals/environmental-science/articles/10.3389/fenvs.2021.599814/full","volume":"9","author":[{"family":"Materu","given":"Silvia F."},{"family":"Heise","given":"Susanne"},{"family":"Urban","given":"Brigitte"}],"accessed":{"date-parts":[["2026",2,19]]},"issued":{"date-parts":[["2021",3,9]]}}}],"schema":"https://github.com/citation-style-language/schema/raw/master/csl-citation.json"} </w:instrText>
      </w:r>
      <w:r w:rsidR="00E966A1">
        <w:rPr>
          <w:rFonts w:ascii="Times New Roman" w:hAnsi="Times New Roman" w:cs="Times New Roman"/>
        </w:rPr>
        <w:fldChar w:fldCharType="separate"/>
      </w:r>
      <w:r w:rsidR="00E966A1" w:rsidRPr="00E966A1">
        <w:rPr>
          <w:rFonts w:ascii="Times New Roman" w:hAnsi="Times New Roman" w:cs="Times New Roman"/>
        </w:rPr>
        <w:t>(11)</w:t>
      </w:r>
      <w:r w:rsidR="00E966A1">
        <w:rPr>
          <w:rFonts w:ascii="Times New Roman" w:hAnsi="Times New Roman" w:cs="Times New Roman"/>
        </w:rPr>
        <w:fldChar w:fldCharType="end"/>
      </w:r>
      <w:r w:rsidRPr="00477F9B">
        <w:rPr>
          <w:rFonts w:ascii="Times New Roman" w:hAnsi="Times New Roman" w:cs="Times New Roman"/>
        </w:rPr>
        <w:t>. Over the long term, repeated low dose exposures accumulate across the farming life course, interacting with aging, changing practices, and environmental conditions. This combination of temporal fluctuation and spatial heterogeneity underscores the need for exposure models that reflect real world farming systems rather than simplified or static assumptions.</w:t>
      </w:r>
    </w:p>
    <w:p w14:paraId="735356E7"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 Chronic Disease Outcomes Linked to Agrochemical Exposure</w:t>
      </w:r>
    </w:p>
    <w:p w14:paraId="5F39C005" w14:textId="34D0AF5C" w:rsidR="00477F9B" w:rsidRPr="00477F9B" w:rsidRDefault="00477F9B" w:rsidP="00B5799D">
      <w:pPr>
        <w:jc w:val="both"/>
        <w:rPr>
          <w:rFonts w:ascii="Times New Roman" w:hAnsi="Times New Roman" w:cs="Times New Roman"/>
        </w:rPr>
      </w:pPr>
      <w:r w:rsidRPr="00477F9B">
        <w:rPr>
          <w:rFonts w:ascii="Times New Roman" w:hAnsi="Times New Roman" w:cs="Times New Roman"/>
        </w:rPr>
        <w:t>A substantial body of epidemiologic and toxicologic research has examined the relationship between agrochemical exposure and chronic disease in agricultural populations</w:t>
      </w:r>
      <w:r w:rsidR="00647867">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{"citationID":"7idgXhxb","properties":{"formattedCitation":"(12)","plainCitation":"(12)","noteIndex":0},"citationItems":[{"id":16001,"uris":["http://zotero.org/users/16652950/items/EE46C8MI"],"itemData":{"id":16001,"type":"article-journal","abstract":"Agrochemical exposure is a pervasive occupational hazard in U.S. agriculture, where farmers experience repeated and often cumulative contact with pesticides, herbicides, and related chemical agents over extended working lifetimes. Epidemiologic studies have long raised concerns about elevated risks of certain adult cancers in farming populations, yet conventional analytic approaches frequently struggle to capture the complexity of exposure patterns, prolonged latency periods, and interacting occupational and environmental risk factors. In recent years, predictive modeling has emerged as a valuable framework for integrating heterogeneous exposure data and improving cancer risk estimation in agricultural settings. This narrative review synthesizes the literature on predictive modeling approaches used to examine relationships between agrochemical exposure and adult cancer risk among U.S. farmers. Emphasis is placed on exposure assessment strategies, including cumulative and time-varying metrics, the application of traditional statistical and machine learning models, and the cancer outcomes most commonly evaluated. Across studies, models that incorporate multidimensional exposure information consistently demonstrate greater predictive utility than those relying on simplified or binary exposure indicators. Machine learning approaches often achieve improved predictive performance in high-dimensional exposure contexts, although limitations related to interpretability, validation, and generalizability remain. Overall, the evidence suggests that predictive modeling can meaningfully advance understanding of agrochemical-related cancer risk when applied with methodological rigor and transparency. Strengthening exposure data integration, enhancing model explainability, and prioritizing external validation will be essential for translating predictive insights into effective occupational health surveillance, targeted cancer prevention strategies, and evidence-based policy decisions for U.S. farming populations.","container-title":"Journal of Medicine and Health Research","DOI":"10.56557/jomahr/2026/v11i110211","ISSN":"2456-9178","issue":"1","language":"en","page":"100-113","source":"ikprress.org","title":"Predictive Modeling of Agrochemical Exposure and Adult Cancer Risk in U.S. Farmers: A Narrative Review","title-short":"Predictive Modeling of Agrochemical Exposure and Adult Cancer Risk in U.S. Farmers","volume":"11","author":[{"family":"Egbuchiem","given":"Alex Nnanyelugo"},{"family":"Owusu","given":"Antwi Edmond"},{"family":"Fosua","given":"Buabeng Victoria"}],"issued":{"date-parts":[["2026",1,30]]}}}],"schema":"https://github.com/citation-style-language/schema/raw/master/csl-citation.json"} </w:instrText>
      </w:r>
      <w:r w:rsidR="00647867">
        <w:rPr>
          <w:rFonts w:ascii="Times New Roman" w:hAnsi="Times New Roman" w:cs="Times New Roman"/>
        </w:rPr>
        <w:fldChar w:fldCharType="separate"/>
      </w:r>
      <w:r w:rsidR="00647867" w:rsidRPr="00647867">
        <w:rPr>
          <w:rFonts w:ascii="Times New Roman" w:hAnsi="Times New Roman" w:cs="Times New Roman"/>
        </w:rPr>
        <w:t>(12)</w:t>
      </w:r>
      <w:r w:rsidR="00647867">
        <w:rPr>
          <w:rFonts w:ascii="Times New Roman" w:hAnsi="Times New Roman" w:cs="Times New Roman"/>
        </w:rPr>
        <w:fldChar w:fldCharType="end"/>
      </w:r>
      <w:r w:rsidRPr="00477F9B">
        <w:rPr>
          <w:rFonts w:ascii="Times New Roman" w:hAnsi="Times New Roman" w:cs="Times New Roman"/>
        </w:rPr>
        <w:t>. While findings vary across studies, consistent patterns have emerged across several disease domains, reflecting the long latency, biological complexity, and cumulative nature of exposure in farming systems. These characteristics challenge traditional causal inference and underscore the value of exposome based approaches that can accommodate heterogeneity and multi morbidity</w:t>
      </w:r>
      <w:r w:rsidR="00E966A1">
        <w:rPr>
          <w:rFonts w:ascii="Times New Roman" w:hAnsi="Times New Roman" w:cs="Times New Roman"/>
        </w:rPr>
        <w:fldChar w:fldCharType="begin"/>
      </w:r>
      <w:r w:rsidR="00E966A1">
        <w:rPr>
          <w:rFonts w:ascii="Times New Roman" w:hAnsi="Times New Roman" w:cs="Times New Roman"/>
        </w:rPr>
        <w:instrText xml:space="preserve"> ADDIN ZOTERO_ITEM CSL_CITATION {"citationID":"cgGCUtwl","properties":{"formattedCitation":"(6)","plainCitation":"(6)","noteIndex":0},"citationItems":[{"id":13293,"uris":["http://zotero.org/users/16652950/items/EWAJ2Q55"],"itemData":{"id":13293,"type":"article-journal","abstract":"Pesticides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E966A1">
        <w:rPr>
          <w:rFonts w:ascii="Times New Roman" w:hAnsi="Times New Roman" w:cs="Times New Roman"/>
        </w:rPr>
        <w:fldChar w:fldCharType="separate"/>
      </w:r>
      <w:r w:rsidR="00E966A1" w:rsidRPr="00E966A1">
        <w:rPr>
          <w:rFonts w:ascii="Times New Roman" w:hAnsi="Times New Roman" w:cs="Times New Roman"/>
        </w:rPr>
        <w:t>(6)</w:t>
      </w:r>
      <w:r w:rsidR="00E966A1">
        <w:rPr>
          <w:rFonts w:ascii="Times New Roman" w:hAnsi="Times New Roman" w:cs="Times New Roman"/>
        </w:rPr>
        <w:fldChar w:fldCharType="end"/>
      </w:r>
      <w:r w:rsidRPr="00477F9B">
        <w:rPr>
          <w:rFonts w:ascii="Times New Roman" w:hAnsi="Times New Roman" w:cs="Times New Roman"/>
        </w:rPr>
        <w:t>.</w:t>
      </w:r>
    </w:p>
    <w:p w14:paraId="4588736E"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lastRenderedPageBreak/>
        <w:t>3.1 Cancer</w:t>
      </w:r>
    </w:p>
    <w:p w14:paraId="1EC12738" w14:textId="5390D1C9"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Cancer has been one of the most extensively studied health outcomes in relation to agrochemical exposure. Elevated risks of </w:t>
      </w:r>
      <w:proofErr w:type="spellStart"/>
      <w:proofErr w:type="gramStart"/>
      <w:r w:rsidRPr="00477F9B">
        <w:rPr>
          <w:rFonts w:ascii="Times New Roman" w:hAnsi="Times New Roman" w:cs="Times New Roman"/>
        </w:rPr>
        <w:t>non Hodgkin</w:t>
      </w:r>
      <w:proofErr w:type="spellEnd"/>
      <w:proofErr w:type="gramEnd"/>
      <w:r w:rsidRPr="00477F9B">
        <w:rPr>
          <w:rFonts w:ascii="Times New Roman" w:hAnsi="Times New Roman" w:cs="Times New Roman"/>
        </w:rPr>
        <w:t xml:space="preserve"> lymphoma have been reported among farmers and pesticide applicators, with associations observed for several herbicides and insecticides. Prostate cancer has also been linked to long term pesticide exposure, particularly among individuals with intensive or prolonged use histories. Hematologic malignancies, including leukemia and multiple myeloma, have been associated with both current use and historical exposure to certain chemical classes</w:t>
      </w:r>
      <w:r w:rsidR="0053220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{"citationID":"4HO8Z0zt","properties":{"formattedCitation":"(6,13)","plainCitation":"(6,13)","noteIndex":0},"citationItems":[{"id":13293,"uris":["http://zotero.org/users/16652950/items/EWAJ2Q55"],"itemData":{"id":13293,"type":"article-journal","abstract":"Pesticides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Kumar"}],"issued":{"date-parts":[["2024",12,1]]}}},{"id":15022,"uris":["http://zotero.org/users/16652950/items/74HI9RC2"],"itemData":{"id":15022,"type":"article-journal","abstract":"The aim was to identify the scope of the epidemiology literature reviewed regarding the risk of cancer as related to occupational exposure to pesticides and to compare regulatory toxicity results where feasible.","container-title":"International Archives of Occupational and Environmental Health","DOI":"10.1007/s00420-020-01638-y","ISSN":"1432-1246","issue":"5","journalAbbreviation":"Int Arch Occup Environ Health","language":"en","page":"945-957","source":"Springer Link","title":"Cancer and occupational exposure to pesticides: an umbrella review","title-short":"Cancer and occupational exposure to pesticides","volume":"94","author":[{"family":"Burns","given":"Carol J."},{"family":"Juberg","given":"Daland R."}],"issued":{"date-parts":[["2021",7,1]]}}}],"schema":"https://github.com/citation-style-language/schema/raw/master/csl-citation.json"} </w:instrText>
      </w:r>
      <w:r w:rsidR="00532208">
        <w:rPr>
          <w:rFonts w:ascii="Times New Roman" w:hAnsi="Times New Roman" w:cs="Times New Roman"/>
        </w:rPr>
        <w:fldChar w:fldCharType="separate"/>
      </w:r>
      <w:r w:rsidR="00647867" w:rsidRPr="00647867">
        <w:rPr>
          <w:rFonts w:ascii="Times New Roman" w:hAnsi="Times New Roman" w:cs="Times New Roman"/>
        </w:rPr>
        <w:t>(6,13)</w:t>
      </w:r>
      <w:r w:rsidR="00532208">
        <w:rPr>
          <w:rFonts w:ascii="Times New Roman" w:hAnsi="Times New Roman" w:cs="Times New Roman"/>
        </w:rPr>
        <w:fldChar w:fldCharType="end"/>
      </w:r>
      <w:r w:rsidRPr="00477F9B">
        <w:rPr>
          <w:rFonts w:ascii="Times New Roman" w:hAnsi="Times New Roman" w:cs="Times New Roman"/>
        </w:rPr>
        <w:t>. These cancers are characterized by long induction periods, making it difficult to link disease onset to specific exposure windows using conventional study designs. Variation in chemical mixtures, genetic susceptibility, and co exposures further contributes to inconsistent findings across studies, highlighting the need for integrative frameworks that capture cumulative and interacting risks</w:t>
      </w:r>
      <w:r w:rsidR="0053220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{"citationID":"0ODONMy3","properties":{"formattedCitation":"(14)","plainCitation":"(14)","noteIndex":0},"citationItems":[{"id":15024,"uris":["http://zotero.org/users/16652950/items/4DSFW69U"],"itemData":{"id":15024,"type":"article-journal","abstract":"Lung cancer remains the leading cause of cancer mortality worldwide, with tobacco smoke and radon exposure being the primary risk factors. The interaction between these two factors has been described as sub-multiplicative, but a better understanding is needed of how they jointly contribute to lung carcinogenesis. In this context, a comprehensive analysis of current knowledge regarding the effects of radon and tobacco smoke on lung cancer was conducted using a computational approach. Information on this co-exposure was extracted and clustered from databases, particularly the literature, using the text mining tool AOP-helpFinder and other artificial intelligence (AI) resources. The collected information was then organized into Aggregate Exposure Pathway (AEP) and Adverse Outcome Pathways (AOP) models. AEPs and AOPs represent analytical concepts useful for assessing the potential risks associated with exposure to various stressors. AOPs provide a structured framework to organize knowledge of essential Key Events (KEs) from a Molecular Initiating Event (MIE) to an Adverse Outcome (AO) at an organism or population level, while AEPs model exposures from the initial source of the stressor to the internal exposure site within the target organism, situated upstream of the AOP. Combining these frameworks offered an integrated method for knowledge consolidation of radon and tobacco smoke, detailing the association from the environment to a mechanistic level, and highlighting specific differences between the two stressors in DNA damage, mutational profiles, and histological types. This approach also identified gaps in understanding joint exposure, particularly the lack of mechanistic studies on the precise role of certain KEs such as inflammation, as well as the need for studies that more closely replicate real-world exposure conditions. In conclusion, this study demonstrates the potential of AI and machine learning tools in developing alternative toxicological models. It highlights the complex interaction between radon and tobacco smoke and encourages collaboration among scientific communities to conduct future studies aiming to fully understand the mechanisms associated with this co-exposure.","container-title":"Frontiers in Public Health","DOI":"10.3389/fpubh.2025.1571290","ISSN":"2296-2565","journalAbbreviation":"Front. Public Health","language":"English","note":"publisher: Frontiers","source":"Frontiers","title":"Comprehensive computational analysis via Adverse Outcome Pathways and Aggregate Exposure Pathways in exploring synergistic effects from radon and tobacco smoke on lung cancer","URL":"https://www.frontiersin.org/journals/public-health/articles/10.3389/fpubh.2025.1571290/full","volume":"13","author":[{"family":"Jaylet","given":"Thomas"},{"family":"Chauhan","given":"Vinita"},{"family":"Mezquita","given":"Laura"},{"family":"Boroumand","given":"Nadia"},{"family":"Laurent","given":"Olivier"},{"family":"Elihn","given":"Karine"},{"family":"Lundholm","given":"Lovisa"},{"family":"Armant","given":"Olivier"},{"family":"Audouze","given":"Karine"}],"accessed":{"date-parts":[["2026",2,19]]},"issued":{"date-parts":[["2025",7,31]]}}}],"schema":"https://github.com/citation-style-language/schema/raw/master/csl-citation.json"} </w:instrText>
      </w:r>
      <w:r w:rsidR="00532208">
        <w:rPr>
          <w:rFonts w:ascii="Times New Roman" w:hAnsi="Times New Roman" w:cs="Times New Roman"/>
        </w:rPr>
        <w:fldChar w:fldCharType="separate"/>
      </w:r>
      <w:r w:rsidR="00647867" w:rsidRPr="00647867">
        <w:rPr>
          <w:rFonts w:ascii="Times New Roman" w:hAnsi="Times New Roman" w:cs="Times New Roman"/>
        </w:rPr>
        <w:t>(14)</w:t>
      </w:r>
      <w:r w:rsidR="00532208">
        <w:rPr>
          <w:rFonts w:ascii="Times New Roman" w:hAnsi="Times New Roman" w:cs="Times New Roman"/>
        </w:rPr>
        <w:fldChar w:fldCharType="end"/>
      </w:r>
      <w:r w:rsidRPr="00477F9B">
        <w:rPr>
          <w:rFonts w:ascii="Times New Roman" w:hAnsi="Times New Roman" w:cs="Times New Roman"/>
        </w:rPr>
        <w:t>.</w:t>
      </w:r>
    </w:p>
    <w:p w14:paraId="730A442A"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3.2 Neurological and Neurodegenerative Disorders</w:t>
      </w:r>
    </w:p>
    <w:p w14:paraId="6BE601A1" w14:textId="38FDD2F0" w:rsidR="00477F9B" w:rsidRPr="00477F9B" w:rsidRDefault="00477F9B" w:rsidP="00B5799D">
      <w:pPr>
        <w:jc w:val="both"/>
        <w:rPr>
          <w:rFonts w:ascii="Times New Roman" w:hAnsi="Times New Roman" w:cs="Times New Roman"/>
        </w:rPr>
      </w:pPr>
      <w:r w:rsidRPr="00477F9B">
        <w:rPr>
          <w:rFonts w:ascii="Times New Roman" w:hAnsi="Times New Roman" w:cs="Times New Roman"/>
        </w:rPr>
        <w:t>Neurological outcomes represent another critical domain of concern. Parkinson’s disease has shown one of the most consistent associations with agricultural pesticide exposure, with both occupational and environmental pathways implicated. Experimental studies support biological plausibility through mechanisms involving mitochondrial dysfunction, oxidative stress, and dopaminergic neuron damage</w:t>
      </w:r>
      <w:r w:rsidR="00E72A4A">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{"citationID":"ehGWvkzh","properties":{"formattedCitation":"(15,16)","plainCitation":"(15,16)","noteIndex":0},"citationItems":[{"id":15026,"uris":["http://zotero.org/users/16652950/items/SAQWJBVI"],"itemData":{"id":15026,"type":"article-journal","abstract":"The age‐standardized prevalence of Parkinson's disease (PD) has increased substantially over the years and is expected to increase further. This emphasizes the need to identify modifiable risk factors of PD, which could form a logical entry point for the prevention of PD. The World Health Organization (WHO) has recommended reducing exposure to specific environmental factors that have been reported to be associated with PD, in particular pesticides, trichloroethylene (TCE), and air pollution. In this review we critically evaluate the epidemiological and biological evidence on the associations of these factors with PD and review evidence on whether these putative associations are causal. We conclude that when considered in isolation, it is difficult to determine whether these associations are causal, in large part because of the decades‐long lag between relevant exposures and the incidence of manifest PD. However, when considered in tandem with evidence from complementary research lines (such as animal models), it is increasingly likely that these associations reflect harmful causal effects. Fundamentally, whilst we highlight some evidence gaps that require further attention, we believe the current evidence base is sufficiently strong enough to support our call for stronger policy action. © 2024 The Author(s). Movement Disorders published by Wiley Periodicals LLC on behalf of International Parkinson and Movement Disorder Society.","container-title":"Movement Disorders","DOI":"10.1002/mds.30067","ISSN":"0885-3185","issue":"2","journalAbbreviation":"Mov Disord","note":"PMID: 39601461\nPMCID: PMC11832802","page":"204-221","source":"PubMed Central","title":"Environmental Risk Factors for Parkinson's Disease: A Critical Review and Policy Implications","title-short":"Environmental Risk Factors for Parkinson's Disease","volume":"40","author":[{"family":"Atterling Brolin","given":"Kajsa"},{"family":"Schaeffer","given":"Eva"},{"family":"Kuri","given":"Ashvin"},{"family":"Rumrich","given":"Isabell Katharina"},{"family":"Schumacher Schuh","given":"Artur Francisco"},{"family":"Darweesh","given":"Sirwan K.L."},{"family":"Kaasinen","given":"Valtteri"},{"family":"Tolppanen","given":"Anna‐Maija"},{"family":"Chahine","given":"Lana M."},{"family":"Noyce","given":"Alastair J."}],"issued":{"date-parts":[["2025",2]]}}},{"id":15028,"uris":["http://zotero.org/users/16652950/items/Y7283T5W"],"itemData":{"id":15028,"type":"article-journal","abstract":"Despite being acknowledged globally as one of the primary environmental pollutants, pesticides appear as one of the toxic compounds that are available purposefully to be used in controlling pests and vectors, especially in agricultural areas [1]. Nevertheless, pesticides have been discovered to be associated with a broad scope of pathologies, especially with Parkinson’s disease (PD) Most previous studies could not determine a significant positive relationship due to the discrepancies in their methodologies. Based on data published by the Department of Statistics Malaysia, the proportion of citizens with PD in Malaysia is anticipated to grow five-fold by 2040, from an estimated 20,000 to 120,000 cases [2].\n&amp;nbsp;\nHence, this study is employed to deliver an up-to-date systematic review and meta-analysis regarding pesticide exposure and PD which will be based on the highest quality of evidence along with a broader extent of study designs that encompass cohort, case-control and cross-sectional studies to identify the significant link between them. The objective of this study was to find out whether there is an increased risk of PD among adults with occupational exposure to pesticides and to determine the pesticides that are associated with PD.\n&amp;nbsp;\n&amp;nbsp;\nIn formulating the research question, the P (population) E (exposure) C (control) O (outcome) model was used. The search was done from databases such as Google Scholar, Pubmed and Science Direct. The key points used were as followed: “occupational” OR “professional” OR “work-related” OR “job-related” OR/AND “pesticidal” OR “pesticide's” OR “pesticides” OR “pesticide” AND “Parkinson disease” OR “Parkinsons disease” OR “Parkinson's disease” OR “Parkinson” OR “Parkinsons” OR “Parkinson’s”. Meta-analysis was directed by utilizing the Review Manager 5 software to inspect the data regarding work-related pesticide acquaintance and the development of Parkinson’s disease based on all included studies of selected characteristics.\n&amp;nbsp;\nThe systematic review encompassed 26 studies where 23 of them displayed a significant association between occupational exposures to pesticides that increased the risk of developing PD. The meta-analysis also supported the hypothesis of this study where work-related pesticide acquaintance showed 89% higher odds to develop PD [OR = 1.89, 95% CI (1.63 to 2.20)]. For specific types of pesticides, organophosphorus contact revealed the strongest association with 89% higher odds [OR = 1.89, 95% CI (1.35 to 2.64)] followed by insecticides contact with 86% higher odds [OR = 1.57, 95% CI (1.58 to 1.92)], organochlorine exposure with 71% higher odds [OR = 1.71, 95% CI (1.21 to 2.41)], fungicides acquaintance at 42% higher odds [OR = 1.42, 95% CI (1.33 to 1.51)] and herbicides contact with 23% higher odds [OR = 1.23, 95% CI (1.03 to 1.46)] to establish PD (Table 1).\nOverall, occupational pesticide contact exhibited an increased risk of PD with organophosphorus displaying the strongest association among other specific types of pesticide. The theory concerning the specific kind of pesticides that can lead to PD is inconsistent where it is immensely dependent upon their mechanism of toxicity and chemical composition as well as its explicit biochemical passageways which up until this moment is not yet being fully understood. Hence, the result of this study can supplement advanced knowledge in the literature where it can be utilized to govern further studies and implementations in the future to improve the safety and health of the workers who are involved with pesticides’ application day to day as well as the health of the public. Therefore, a safer class of pesticides may also be invented consequently. On the other hand, it may also aid in future studies to find out the specific biomarkers or reliable tools which can measure the causal relationship between pesticides’ acquaintance and PD more accurately. Thus, the forthcoming studies that can count on more unbiased and quantifiable approaches regarding the evaluation of pesticides’ acquaintance and PD must be fostered.\n&amp;nbsp;","container-title":"Asian Journal of Medicine and Biomedicine","DOI":"10.37231/ajmb.2022.6.S1.521","ISSN":"2600-8173","issue":"S1","language":"en","license":"Copyright (c) 2022 Asian Journal of Medicine and Biomedicine","page":"43-44","source":"journal.unisza.edu.my","title":"Association Between Occupational Toxicity Exposure to Pesticides and Parkinson’s Disease Among Adults: Systematic Review and Meta-Analysis","title-short":"Association Between Occupational Toxicity Exposure to Pesticides and Parkinson’s Disease Among Adults","volume":"6","author":[{"family":"Yahya","given":"Nur Adriana Aqirah"},{"family":"Meramat","given":"Asheila AK"}],"issued":{"date-parts":[["2022",11,4]]}}}],"schema":"https://github.com/citation-style-language/schema/raw/master/csl-citation.json"} </w:instrText>
      </w:r>
      <w:r w:rsidR="00E72A4A">
        <w:rPr>
          <w:rFonts w:ascii="Times New Roman" w:hAnsi="Times New Roman" w:cs="Times New Roman"/>
        </w:rPr>
        <w:fldChar w:fldCharType="separate"/>
      </w:r>
      <w:r w:rsidR="00647867" w:rsidRPr="00647867">
        <w:rPr>
          <w:rFonts w:ascii="Times New Roman" w:hAnsi="Times New Roman" w:cs="Times New Roman"/>
        </w:rPr>
        <w:t>(15,16)</w:t>
      </w:r>
      <w:r w:rsidR="00E72A4A">
        <w:rPr>
          <w:rFonts w:ascii="Times New Roman" w:hAnsi="Times New Roman" w:cs="Times New Roman"/>
        </w:rPr>
        <w:fldChar w:fldCharType="end"/>
      </w:r>
      <w:r w:rsidRPr="00477F9B">
        <w:rPr>
          <w:rFonts w:ascii="Times New Roman" w:hAnsi="Times New Roman" w:cs="Times New Roman"/>
        </w:rPr>
        <w:t>. Beyond clinically diagnosed disease, evidence suggests that chronic agrochemical exposure may contribute to subclinical neurological effects and accelerated cognitive decline. These outcomes often emerge gradually and may coexist with other chronic conditions, complicating attribution and diagnosis.</w:t>
      </w:r>
    </w:p>
    <w:p w14:paraId="71D97FC9"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3.3 Metabolic and Cardiovascular Disease</w:t>
      </w:r>
    </w:p>
    <w:p w14:paraId="40083D6D" w14:textId="2B2F5E0A" w:rsidR="00477F9B" w:rsidRDefault="00477F9B" w:rsidP="00B5799D">
      <w:pPr>
        <w:jc w:val="both"/>
        <w:rPr>
          <w:rFonts w:ascii="Times New Roman" w:hAnsi="Times New Roman" w:cs="Times New Roman"/>
        </w:rPr>
      </w:pPr>
      <w:r w:rsidRPr="00477F9B">
        <w:rPr>
          <w:rFonts w:ascii="Times New Roman" w:hAnsi="Times New Roman" w:cs="Times New Roman"/>
        </w:rPr>
        <w:t>Growing evidence links agrochemical exposure to metabolic and cardiovascular disorders, including diabetes, hypertension, and atherosclerosis. Certain pesticides have been shown to disrupt glucose metabolism, lipid regulation, and inflammatory pathways, which are central to cardiometabolic health. In farming populations, these conditions frequently coexist with other chronic diseases, increasing overall morbidity. The multifactorial nature of metabolic and cardiovascular disease, influenced by lifestyle, socioeconomic factors, and environmental exposures, makes it difficult to isolate single causal agents, reinforcing the relevance of multi exposure modeling</w:t>
      </w:r>
      <w:r w:rsidR="002A1533">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{"citationID":"cb6Pe7if","properties":{"formattedCitation":"(17)","plainCitation":"(17)","noteIndex":0},"citationItems":[{"id":15030,"uris":["http://zotero.org/users/16652950/items/M3L8F4XG"],"itemData":{"id":15030,"type":"article-journal","abstract":"Endocrine-disrupting chemicals (EDCs) are exogenous compounds that interfere with hormone action, and growing evidence suggests that human exposure to certain EDCs may increase the risk of obesity, type 2 diabetes mellitus (T2DM), and cardiovascular disease (CVD). To clarify the impact of EDC exposure on cardiometabolic health, we conducted a review of the literature (2005–2025) to identify both human epidemiological studies and animal mechanistic studies. In this narrative review, we primarily summarize the existing human epidemiological evidence on the cardiometabolic effects of EDCs, while also considering mechanistic insights, including selected animal studies, to illustrate biological plausibility. Key findings indicate that EDC exposures are consistently associated with elevated risks of cardiometabolic conditions. Notably, prenatal and early-life EDC exposures appear to increase susceptibility to obesity, impaired glucose metabolism, and cardiovascular dysfunction later in life, while adult exposures are linked to a higher incidence of metabolic syndrome, type 2 diabetes, and related cardiovascular complications. In conclusion, this review underscores EDC exposure as a significant environmental risk factor for cardiometabolic disease. Accordingly, strengthening regulatory policies to reduce human exposure to these chemicals—alongside further research into underlying mechanisms—may be crucial for improving cardiometabolic health outcomes.","container-title":"Cardiovascular Diabetology","DOI":"10.1186/s12933-025-02938-8","ISSN":"1475-2840","issue":"1","journalAbbreviation":"Cardiovasc Diabetol","language":"en","page":"381","source":"Springer Link","title":"Endocrine-disrupting chemicals exposure: cardiometabolic health risk in humans","title-short":"Endocrine-disrupting chemicals exposure","volume":"24","author":[{"family":"Ma","given":"Cheng-Xu"},{"family":"Ma","given":"Xiao-Ni"},{"family":"Li","given":"Hong-Li"},{"family":"Mauricio","given":"Dídac"},{"family":"Fu","given":"Song-Bo"}],"issued":{"date-parts":[["2025",10,1]]}}}],"schema":"https://github.com/citation-style-language/schema/raw/master/csl-citation.json"} </w:instrText>
      </w:r>
      <w:r w:rsidR="002A1533">
        <w:rPr>
          <w:rFonts w:ascii="Times New Roman" w:hAnsi="Times New Roman" w:cs="Times New Roman"/>
        </w:rPr>
        <w:fldChar w:fldCharType="separate"/>
      </w:r>
      <w:r w:rsidR="00647867" w:rsidRPr="00647867">
        <w:rPr>
          <w:rFonts w:ascii="Times New Roman" w:hAnsi="Times New Roman" w:cs="Times New Roman"/>
        </w:rPr>
        <w:t>(17)</w:t>
      </w:r>
      <w:r w:rsidR="002A1533">
        <w:rPr>
          <w:rFonts w:ascii="Times New Roman" w:hAnsi="Times New Roman" w:cs="Times New Roman"/>
        </w:rPr>
        <w:fldChar w:fldCharType="end"/>
      </w:r>
      <w:r w:rsidRPr="00477F9B">
        <w:rPr>
          <w:rFonts w:ascii="Times New Roman" w:hAnsi="Times New Roman" w:cs="Times New Roman"/>
        </w:rPr>
        <w:t>.</w:t>
      </w:r>
    </w:p>
    <w:p w14:paraId="17295EBC" w14:textId="3774778D" w:rsidR="00D473F7" w:rsidRPr="00477F9B" w:rsidRDefault="00D473F7" w:rsidP="00B5799D">
      <w:pPr>
        <w:jc w:val="both"/>
        <w:rPr>
          <w:rFonts w:ascii="Times New Roman" w:hAnsi="Times New Roman" w:cs="Times New Roman"/>
        </w:rPr>
      </w:pPr>
      <w:r w:rsidRPr="00D473F7">
        <w:rPr>
          <w:rFonts w:ascii="Times New Roman" w:hAnsi="Times New Roman" w:cs="Times New Roman"/>
        </w:rPr>
        <w:t>Systems-level disruptions of metabolic regulation by environmental exposures are increasingly recognized across diverse contexts, including microbiome-mediated and inflammatory pathways</w:t>
      </w:r>
      <w:r>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{"citationID":"pHE8XSHX","properties":{"formattedCitation":"(18)","plainCitation":"(18)","noteIndex":0},"citationItems":[{"id":14397,"uris":["http://zotero.org/users/16652950/items/QJQ8Y4JC"],"itemData":{"id":14397,"type":"article-journal","abstract":"Diabetes is increasing rapidly across Africa, where individuals in low-income areas are found to develop the disease at younger ages and lower body mass indices than those in high-income regions. Traditional metabolic risk factors explain only part of this trend, prompting growing interest in the role of chronic infections as contributors to dysglycemia. Persistent exposure to pathogens such as HIV, tuberculosis, hepatitis C virus, Helicobacter pylori, periodontal bacteria, cytomegalovirus, and parasitic organisms remains widespread in the region. These infections may influence glucose metabolism through sustained low-grade inflammation, immune-mediated pancreatic injury, alterations in gut microbial composition, and treatment-related metabolic effects. This narrative review synthesizes current evidence on the infectious determinants of metabolic dysfunction, with a focus on pathogens of high relevance in African settings. The strongest epidemiological signals link HIV infection and antiretroviral therapy exposure, chronic hepatitis C virus infection, and tuberculosis with impaired glucose regulation. Evidence for H. pylori, periodontal disease, and parasitic infections is emerging, but the findings are less consistent. African studies support the plausibility of infection-related metabolic disturbances, although most available investigations are crosssectional, which limits causal inference. Laboratory and mechanistic research remains sparse, and diagnostic variability further constrains interpretation. The review highlights several clinical implications, including the value of incorporating glycemic screening into HIV and tuberculosis programs, the need to consider metabolic effects when selecting antimicrobial therapies, and the importance of integrating lifestyle counselling into chronic infection care. Strengthening longitudinal research, improving diagnostic standardization, and developing integrated infectious disease-non-communicable disease care models will be essential for addressing the intertwined burdens of infection and diabetes in Africa. Understanding how chronic pathogens interact with metabolic pathways may help refine prevention strategies and promote earlier detection of dysglycemia in high-risk populations.","container-title":"Cureus","DOI":"10.7759/cureus.99923","ISSN":"2168-8184","language":"en","source":"DOI.org (Crossref)","title":"Chronic Infections and Diabetes in Africa: A Narrative Review of Pathogen-Associated Metabolic Risk","title-short":"Chronic Infections and Diabetes in Africa","URL":"https://www.cureus.com/articles/445229-chronic-infections-and-diabetes-in-africa-a-narrative-review-of-pathogen-associated-metabolic-risk","author":[{"family":"Lawal","given":"Olabisi P"},{"family":"Ebiala","given":"Fortune I"},{"family":"Abayomi","given":"Modinat"},{"family":"Okeoma","given":"Obiageri Ihuarulam"},{"family":"Amankwah","given":"Nana Ama Aduma"},{"family":"Patrick","given":"John O"},{"family":"Eguakun","given":"Queeneth"},{"family":"Olaniyi","given":"Aliyu O"}],"accessed":{"date-parts":[["2026",2,5]]},"issued":{"date-parts":[["2025",12,23]]}}}],"schema":"https://github.com/citation-style-language/schema/raw/master/csl-citation.json"} </w:instrText>
      </w:r>
      <w:r>
        <w:rPr>
          <w:rFonts w:ascii="Times New Roman" w:hAnsi="Times New Roman" w:cs="Times New Roman"/>
        </w:rPr>
        <w:fldChar w:fldCharType="separate"/>
      </w:r>
      <w:r w:rsidR="00647867" w:rsidRPr="00647867">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t xml:space="preserve">. </w:t>
      </w:r>
    </w:p>
    <w:p w14:paraId="2924077F" w14:textId="77777777" w:rsidR="00477F9B" w:rsidRPr="00477F9B" w:rsidRDefault="00477F9B" w:rsidP="00B5799D">
      <w:pPr>
        <w:jc w:val="both"/>
        <w:rPr>
          <w:rFonts w:ascii="Times New Roman" w:hAnsi="Times New Roman" w:cs="Times New Roman"/>
          <w:b/>
          <w:bCs/>
        </w:rPr>
      </w:pPr>
      <w:r w:rsidRPr="00477F9B">
        <w:rPr>
          <w:rFonts w:ascii="Times New Roman" w:hAnsi="Times New Roman" w:cs="Times New Roman"/>
          <w:b/>
          <w:bCs/>
        </w:rPr>
        <w:t>3.4 Reproductive and Developmental Effects</w:t>
      </w:r>
    </w:p>
    <w:p w14:paraId="66406BA0" w14:textId="287572F9" w:rsidR="00477F9B" w:rsidRPr="00477F9B" w:rsidRDefault="00477F9B" w:rsidP="00B5799D">
      <w:pPr>
        <w:jc w:val="both"/>
        <w:rPr>
          <w:rFonts w:ascii="Times New Roman" w:hAnsi="Times New Roman" w:cs="Times New Roman"/>
        </w:rPr>
      </w:pPr>
      <w:r w:rsidRPr="00477F9B">
        <w:rPr>
          <w:rFonts w:ascii="Times New Roman" w:hAnsi="Times New Roman" w:cs="Times New Roman"/>
        </w:rPr>
        <w:t xml:space="preserve">Although less frequently studied in adult farmers, reproductive and developmental effects provide important insight into endocrine and intergenerational pathways of harm. Agrochemicals with </w:t>
      </w:r>
      <w:r w:rsidRPr="00477F9B">
        <w:rPr>
          <w:rFonts w:ascii="Times New Roman" w:hAnsi="Times New Roman" w:cs="Times New Roman"/>
        </w:rPr>
        <w:lastRenderedPageBreak/>
        <w:t>endocrine disrupting properties have been linked to altered reproductive function and adverse developmental outcomes. Emerging evidence suggests that early life or parental exposure may influence disease susceptibility later in life, raising concerns about intergenerational risk transmission</w:t>
      </w:r>
      <w:r w:rsidR="000121C3">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{"citationID":"Hyv2pic5","properties":{"formattedCitation":"(19)","plainCitation":"(19)","noteIndex":0},"citationItems":[{"id":15032,"uris":["http://zotero.org/users/16652950/items/ZC7WAS63"],"itemData":{"id":15032,"type":"article-journal","abstract":"Global pesticide use has increased significantly over the past decade, leading to greater exposure to contaminants and associated health risks. Endocrine-disrupting pesticides have gained attention due to their strong association with human reproductive impairments and rising global infertility rates. In Costa Rica, studies have reported reduced fertility among agricultural workers and a higher prevalence of male infertility in regions with intensive pesticide use. However, the prioritization of pesticides detected in human fluids, based on their potential impact on reproductive health, has not been conducted. Here, analyzing human biomonitoring studies in the country over the last 25 years, 13 pesticides were identified and prioritized. Mancozeb ranked highest (14.8%), followed by dieldrin (12.1%) and chlorothalonil (12.0%). Eight criteria were used for prioritization, with non-carcinogenic risk, reported reproductive effects, and endocrine disruptor classification as key factors. This comprehensive approach highlights how multiple criteria collectively inform pesticide prioritization in relation to reproductive health risks. The findings indicated that while Costa Rica is a regional leader in pesticide biomonitoring, significant gaps remain, including limited data on unstudied pesticides and general population exposures. Establishing robust biomonitoring programs and public health surveillance systems to generate updated data and support evidence-based prevention policies is recommended. Additionally, the results of this study provide a valuable framework for guiding future research on the potential effects of pesticide mixtures.","container-title":"Environmental Monitoring and Assessment","DOI":"10.1007/s10661-025-14011-8","ISSN":"0167-6369","issue":"5","journalAbbreviation":"Environ Monit Assess","note":"PMID: 40237939\nPMCID: PMC12003610","page":"559","source":"PubMed Central","title":"Endocrine-disrupting pesticide exposure relevant to reproductive health: a case study from Costa Rica","title-short":"Endocrine-disrupting pesticide exposure relevant to reproductive health","volume":"197","author":[{"family":"Apú","given":"Navilla"},{"family":"Rommes","given":"François"},{"family":"Alvarado-Arias","given":"Maricruz"},{"family":"Méndez-Rivera","given":"Michael"},{"family":"Lizano-Fallas","given":"Verónica"}],"issued":{"date-parts":[["2025"]]}}}],"schema":"https://github.com/citation-style-language/schema/raw/master/csl-citation.json"} </w:instrText>
      </w:r>
      <w:r w:rsidR="000121C3">
        <w:rPr>
          <w:rFonts w:ascii="Times New Roman" w:hAnsi="Times New Roman" w:cs="Times New Roman"/>
        </w:rPr>
        <w:fldChar w:fldCharType="separate"/>
      </w:r>
      <w:r w:rsidR="00647867" w:rsidRPr="00647867">
        <w:rPr>
          <w:rFonts w:ascii="Times New Roman" w:hAnsi="Times New Roman" w:cs="Times New Roman"/>
        </w:rPr>
        <w:t>(19)</w:t>
      </w:r>
      <w:r w:rsidR="000121C3">
        <w:rPr>
          <w:rFonts w:ascii="Times New Roman" w:hAnsi="Times New Roman" w:cs="Times New Roman"/>
        </w:rPr>
        <w:fldChar w:fldCharType="end"/>
      </w:r>
      <w:r w:rsidRPr="00477F9B">
        <w:rPr>
          <w:rFonts w:ascii="Times New Roman" w:hAnsi="Times New Roman" w:cs="Times New Roman"/>
        </w:rPr>
        <w:t>. Together, these diverse outcomes illustrate how heterogeneity, latency, and overlapping disease processes justify a comprehensive exposome based approach to chronic disease risk assessment in agricultural populations.</w:t>
      </w:r>
    </w:p>
    <w:p w14:paraId="506DC6D2"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 The Exposome Framework in Agricultural Health Research</w:t>
      </w:r>
    </w:p>
    <w:p w14:paraId="1E713D22"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The exposome framework was developed to address the gap between complex environmental exposures and chronic disease etiology by capturing the totality of </w:t>
      </w:r>
      <w:proofErr w:type="spellStart"/>
      <w:proofErr w:type="gramStart"/>
      <w:r w:rsidRPr="005C3A0C">
        <w:rPr>
          <w:rFonts w:ascii="Times New Roman" w:hAnsi="Times New Roman" w:cs="Times New Roman"/>
        </w:rPr>
        <w:t>non genetic</w:t>
      </w:r>
      <w:proofErr w:type="spellEnd"/>
      <w:proofErr w:type="gramEnd"/>
      <w:r w:rsidRPr="005C3A0C">
        <w:rPr>
          <w:rFonts w:ascii="Times New Roman" w:hAnsi="Times New Roman" w:cs="Times New Roman"/>
        </w:rPr>
        <w:t xml:space="preserve"> influences on health across the life course. In agricultural settings, where exposure environments are dynamic and multifaceted, this framework provides a coherent structure for integrating diverse data streams that extend beyond single chemical assessment.</w:t>
      </w:r>
    </w:p>
    <w:p w14:paraId="794308D4"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4.1 Defining the Exposome</w:t>
      </w:r>
    </w:p>
    <w:p w14:paraId="1BB6B829" w14:textId="6A8590A8" w:rsidR="005C3A0C" w:rsidRPr="005C3A0C" w:rsidRDefault="005C3A0C" w:rsidP="00B5799D">
      <w:pPr>
        <w:jc w:val="both"/>
        <w:rPr>
          <w:rFonts w:ascii="Times New Roman" w:hAnsi="Times New Roman" w:cs="Times New Roman"/>
        </w:rPr>
      </w:pPr>
      <w:r w:rsidRPr="005C3A0C">
        <w:rPr>
          <w:rFonts w:ascii="Times New Roman" w:hAnsi="Times New Roman" w:cs="Times New Roman"/>
        </w:rPr>
        <w:t>The exposome encompasses all environmental exposures experienced by an individual from conception onward and is commonly described across complementary domains. The external exposome includes chemical exposures such as pesticides, metals, and air contaminants, as well as physical factors including climate and noise, and social dimensions such as socioeconomic conditions and work organization. Within this domain, a distinction is often made between the general external exposome, which reflects broader environmental and societal contexts, and the specific external exposome, which captures more direct and localized exposures such as occupational chemical use or contaminated drinking water. The internal exposome refers to biological responses and internalized exposures that can be measured through high resolution molecular profiling, including metabolomics, proteomics, epigenomics, and other omics based indicators</w:t>
      </w:r>
      <w:r w:rsidR="00A728A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{"citationID":"hpULGhpU","properties":{"formattedCitation":"(20)","plainCitation":"(20)","noteIndex":0},"citationItems":[{"id":15035,"uris":["http://zotero.org/users/16652950/items/AR7258C5"],"itemData":{"id":15035,"type":"article-journal","abstract":"Simple SummaryPeople in low- and middle-income countries face a higher risk of developing cancer owing to exposure to harmful environmental and infect...","container-title":"Cancers","DOI":"10.3390/cancers17152537","ISSN":"2072-6694","issue":"15","language":"en","license":"http://creativecommons.org/licenses/by/3.0/","note":"Company: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Exposome Perspective: Environmental and Infectious Agents as Drivers of Cancer Disparities in Low- and Middle-Income Countries","title-short":"The Exposome Perspective","URL":"https://www.mdpi.com/2072-6694/17/15/2537","volume":"17","author":[{"family":"Dlamini","given":"Zodwa"},{"family":"Alaouna","given":"Mohammed"},{"family":"Marutha","given":"Tebogo"},{"family":"Mkhize-Kwitshana","given":"Zilungile"},{"family":"Mbodi","given":"Langanani"},{"family":"Chauke-Malinga","given":"Nkhensani"},{"family":"Luvhengo","given":"Thifhelimbil E."},{"family":"Marima","given":"Rahaba"},{"family":"Hull","given":"Rodney"},{"family":"Skepu","given":"Amanda"},{"family":"Ntwasa","given":"Monde"},{"family":"Duarte","given":"Raquel"},{"family":"Damane","given":"Botle Precious"},{"family":"Mosoane","given":"Benny"},{"family":"Mbatha","given":"Sikhumbuzo"},{"family":"Phakathi","given":"Boitumelo"},{"family":"Khaba","given":"Moshawa"},{"family":"Chokwe","given":"Ramakwana Christinah"},{"family":"Edge","given":"Jenny"},{"family":"Mbita","given":"Zukile"},{"family":"Khanyile","given":"Richard"},{"family":"Molefi","given":"Thulo"}],"accessed":{"date-parts":[["2026",2,19]]},"issued":{"date-parts":[["2025",7,31]]}}}],"schema":"https://github.com/citation-style-language/schema/raw/master/csl-citation.json"} </w:instrText>
      </w:r>
      <w:r w:rsidR="00A728A8">
        <w:rPr>
          <w:rFonts w:ascii="Times New Roman" w:hAnsi="Times New Roman" w:cs="Times New Roman"/>
        </w:rPr>
        <w:fldChar w:fldCharType="separate"/>
      </w:r>
      <w:r w:rsidR="00647867" w:rsidRPr="00647867">
        <w:rPr>
          <w:rFonts w:ascii="Times New Roman" w:hAnsi="Times New Roman" w:cs="Times New Roman"/>
        </w:rPr>
        <w:t>(20)</w:t>
      </w:r>
      <w:r w:rsidR="00A728A8">
        <w:rPr>
          <w:rFonts w:ascii="Times New Roman" w:hAnsi="Times New Roman" w:cs="Times New Roman"/>
        </w:rPr>
        <w:fldChar w:fldCharType="end"/>
      </w:r>
      <w:r w:rsidRPr="005C3A0C">
        <w:rPr>
          <w:rFonts w:ascii="Times New Roman" w:hAnsi="Times New Roman" w:cs="Times New Roman"/>
        </w:rPr>
        <w:t>. These internal markers provide insight into biological pathways linking external exposures to disease processes.</w:t>
      </w:r>
    </w:p>
    <w:p w14:paraId="4BC3BC35"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4.2 Why Farming Is an Exposome Relevant Occupation</w:t>
      </w:r>
    </w:p>
    <w:p w14:paraId="2F1829C0" w14:textId="7D97A56F" w:rsidR="005C3A0C" w:rsidRPr="005C3A0C" w:rsidRDefault="005C3A0C" w:rsidP="00B5799D">
      <w:pPr>
        <w:jc w:val="both"/>
        <w:rPr>
          <w:rFonts w:ascii="Times New Roman" w:hAnsi="Times New Roman" w:cs="Times New Roman"/>
        </w:rPr>
      </w:pPr>
      <w:r w:rsidRPr="005C3A0C">
        <w:rPr>
          <w:rFonts w:ascii="Times New Roman" w:hAnsi="Times New Roman" w:cs="Times New Roman"/>
        </w:rPr>
        <w:t>Farming is particularly well suited to an exposome based perspective because of the diversity and persistence of exposures encountered over time. Agricultural work involves contact with complex mixtures of agrochemicals that vary by crop, season, and region, resulting in substantial exposure heterogeneity. These chemical exposures interact with physical stressors such as heat, ultraviolet radiation, and particulate matter, as well as social and economic pressures related to labor intensity, market volatility, and access to health care</w:t>
      </w:r>
      <w:r w:rsidR="00A728A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{"citationID":"4o0jP52Q","properties":{"formattedCitation":"(21)","plainCitation":"(21)","noteIndex":0},"citationItems":[{"id":15037,"uris":["http://zotero.org/users/16652950/items/QPS76GBP"],"itemData":{"id":15037,"type":"article-journal","abstract":"Background\nFarm work entails a heterogeneous mixture of exposures that vary considerably across farms and farmers. Farm work is associated with various health outcomes, both adverse and beneficial. One mechanism by which farming exposures can impact health is through the microbiome, including the indoor home environment microbiome. It is unknown how individual occupational exposures shape the microbial composition in workers’ homes.\nObjectives\nWe investigated associations between farm work activities, including specific tasks and pesticide use, and the indoor microbiome in the homes of 468 male farmers.\nMethods\nParticipants were licensed pesticide applicators, mostly farmers, enrolled in the Agricultural Lung Health Study from 2008 to 2011. Vacuumed dust from participants’ bedrooms underwent whole-genome shotgun sequencing for indoor microbiome assessment. Using questionnaire data, we evaluated 6 farm work tasks (processing of either hay, silage, animal feed, fertilizer, or soy/grains, and cleaning grain bins) and 19 pesticide ingredients currently used in the past year, plus 7 banned persistent pesticide ingredients ever used.\nResults\nAll 6 work tasks were associated with increased microbial diversity levels, with a positive dose-response for the total number of tasks performed (P = 0.001). All tasks were associated with altered microbial compositions (weighted UniFrac P = 0.001) and with higher abundance of specific microbes, including soil-based commensal microbes such as Haloterrigena. Among the 19 pesticides, current use of glyphosate and past use of lindane were associated with increased microbial diversity (P = 0.02–0.04). Ten currently used pesticides and all 7 banned pesticides were associated with altered microbial composition (P = 0.001–0.04). Six pesticides were associated with differential abundance of certain microbes.\nDiscussion\nDifferent farm activities and exposures can uniquely impact the dust microbiome inside homes. Our work suggests that changes to the home microbiome could serve as one pathway for how occupational exposures impact the health of workers and their cohabitating family members, offering possible future intervention targets.","container-title":"Environmental Research","DOI":"10.1016/j.envres.2023.117819","ISSN":"0013-9351","journalAbbreviation":"Environmental Research","page":"117819","source":"ScienceDirect","title":"Occupational farm work activities influence workers’ indoor home microbiome","volume":"243","author":[{"family":"Dalton","given":"Kathryn R."},{"family":"Lee","given":"Mikyeong"},{"family":"Wang","given":"Ziyue"},{"family":"Zhao","given":"Shanshan"},{"family":"Parks","given":"Christine G."},{"family":"Beane-Freeman","given":"Laura E."},{"family":"Motsinger-Reif","given":"Alison A."},{"family":"London","given":"Stephanie J."}],"issued":{"date-parts":[["2024",2,15]]}}}],"schema":"https://github.com/citation-style-language/schema/raw/master/csl-citation.json"} </w:instrText>
      </w:r>
      <w:r w:rsidR="00A728A8">
        <w:rPr>
          <w:rFonts w:ascii="Times New Roman" w:hAnsi="Times New Roman" w:cs="Times New Roman"/>
        </w:rPr>
        <w:fldChar w:fldCharType="separate"/>
      </w:r>
      <w:r w:rsidR="00647867" w:rsidRPr="00647867">
        <w:rPr>
          <w:rFonts w:ascii="Times New Roman" w:hAnsi="Times New Roman" w:cs="Times New Roman"/>
        </w:rPr>
        <w:t>(21)</w:t>
      </w:r>
      <w:r w:rsidR="00A728A8">
        <w:rPr>
          <w:rFonts w:ascii="Times New Roman" w:hAnsi="Times New Roman" w:cs="Times New Roman"/>
        </w:rPr>
        <w:fldChar w:fldCharType="end"/>
      </w:r>
      <w:r w:rsidRPr="005C3A0C">
        <w:rPr>
          <w:rFonts w:ascii="Times New Roman" w:hAnsi="Times New Roman" w:cs="Times New Roman"/>
        </w:rPr>
        <w:t>. Importantly, farming exposures often begin early in life, sometimes in childhood or adolescence, and continue across decades, leading to cumulative exposure trajectories that align with life course models of chronic disease. Climate variability and evolving agricultural policies further shape exposure patterns by influencing chemical use practices and environmental dispersion.</w:t>
      </w:r>
    </w:p>
    <w:p w14:paraId="4D068530"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4.3 Limitations of Current Exposome Applications</w:t>
      </w:r>
    </w:p>
    <w:p w14:paraId="0E30657F" w14:textId="1C93B93E" w:rsidR="005C3A0C" w:rsidRPr="005C3A0C" w:rsidRDefault="005C3A0C" w:rsidP="00B5799D">
      <w:pPr>
        <w:jc w:val="both"/>
        <w:rPr>
          <w:rFonts w:ascii="Times New Roman" w:hAnsi="Times New Roman" w:cs="Times New Roman"/>
        </w:rPr>
      </w:pPr>
      <w:r w:rsidRPr="005C3A0C">
        <w:rPr>
          <w:rFonts w:ascii="Times New Roman" w:hAnsi="Times New Roman" w:cs="Times New Roman"/>
        </w:rPr>
        <w:lastRenderedPageBreak/>
        <w:t>Despite its conceptual strengths, the application of the exposome framework in agricultural health research remains limited. One major challenge is data sparsity in rural settings, where environmental monitoring networks and biomonitoring infrastructure are less developed than in urban areas. In addition, farmers are underrepresented in large population based exposome cohorts, which often focus on urban or general populations</w:t>
      </w:r>
      <w:r w:rsidR="00556005">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{"citationID":"W0gB45qp","properties":{"formattedCitation":"(22)","plainCitation":"(22)","noteIndex":0},"citationItems":[{"id":15040,"uris":["http://zotero.org/users/16652950/items/FPF8NYVY"],"itemData":{"id":15040,"type":"article-journal","abstract":"Environmental exposures and their health impacts can vary substantially between urban and rural areas. However, different methods for classifying these areas could lead to inconsistencies in environmental exposure and health studies, which are often overlooked. We constructed different urban/rural classification systems based on multiple population-based (e.g., total population, population density, and commuting) and built-environment-based (e.g., nighttime light intensity, building density, road density, distance to urban centers, point of interest density, and urban area coverage) indicators and various classification schemes. These classification systems were applied to Virginia and West Virginia, United States. We compared differences in urban/rural spatial patterns, demographic compositions, and exposures of particulate matter (PM2.5), greenspace, and land surface temperature using these urban/rural classification systems to understand their impacts on environmental exposure and health research. Our findings reveal clear differences in spatial patterns and demographic compositions across various systems. We also observed that different systems can lead to changes in the magnitude and direction of urban/rural disparities in environmental exposure assessment. Addressing the complexities in delineating urbanicity and rurality may include careful consideration of classification systems to reflect those aspects of urbanicity and rurality that are relevant to the research question or the use of multiple, complementary systems.,","container-title":"Environmental science &amp; technology","DOI":"10.1021/acs.est.4c06942","ISSN":"0013-936X","issue":"43","journalAbbreviation":"Environ Sci Technol","note":"PMID: 39412270\nPMCID: PMC11627196","page":"19178-19188","source":"PubMed Central","title":"Delineating Urbanicity and Rurality: Impact on Environmental Exposure Assessment","title-short":"Delineating Urbanicity and Rurality","volume":"58","author":[{"family":"Song","given":"Yimeng"},{"family":"Deziel","given":"Nicole C."},{"family":"Bell","given":"Michelle L."}],"issued":{"date-parts":[["2024",10,29]]}}}],"schema":"https://github.com/citation-style-language/schema/raw/master/csl-citation.json"} </w:instrText>
      </w:r>
      <w:r w:rsidR="00556005">
        <w:rPr>
          <w:rFonts w:ascii="Times New Roman" w:hAnsi="Times New Roman" w:cs="Times New Roman"/>
        </w:rPr>
        <w:fldChar w:fldCharType="separate"/>
      </w:r>
      <w:r w:rsidR="00647867" w:rsidRPr="00647867">
        <w:rPr>
          <w:rFonts w:ascii="Times New Roman" w:hAnsi="Times New Roman" w:cs="Times New Roman"/>
        </w:rPr>
        <w:t>(22)</w:t>
      </w:r>
      <w:r w:rsidR="00556005">
        <w:rPr>
          <w:rFonts w:ascii="Times New Roman" w:hAnsi="Times New Roman" w:cs="Times New Roman"/>
        </w:rPr>
        <w:fldChar w:fldCharType="end"/>
      </w:r>
      <w:r w:rsidRPr="005C3A0C">
        <w:rPr>
          <w:rFonts w:ascii="Times New Roman" w:hAnsi="Times New Roman" w:cs="Times New Roman"/>
        </w:rPr>
        <w:t>. This underrepresentation restricts the generalizability of findings and limits the ability to capture agriculture specific exposure profiles. Addressing these gaps is essential for translating exposome science into meaningful risk assessment and prevention strategies for farming communities.</w:t>
      </w:r>
    </w:p>
    <w:p w14:paraId="71B2718E"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 Integrative Modeling Approaches for Agrochemical Exposomes</w:t>
      </w:r>
    </w:p>
    <w:p w14:paraId="65BB4C2B" w14:textId="245F5038" w:rsidR="00342700" w:rsidRPr="00B5799D" w:rsidRDefault="005C3A0C" w:rsidP="00B5799D">
      <w:pPr>
        <w:jc w:val="both"/>
        <w:rPr>
          <w:rFonts w:ascii="Times New Roman" w:hAnsi="Times New Roman" w:cs="Times New Roman"/>
        </w:rPr>
      </w:pPr>
      <w:r w:rsidRPr="005C3A0C">
        <w:rPr>
          <w:rFonts w:ascii="Times New Roman" w:hAnsi="Times New Roman" w:cs="Times New Roman"/>
        </w:rPr>
        <w:t>Integrative modeling is central to operationalizing the exposome framework in agricultural health research. Because agrochemical exposures are heterogeneous, episodic, and cumulative, no single data source or analytic method is sufficient to characterize risk. Instead, effective exposome modeling requires the coordinated use of environmental data, biomonitoring, and advanced statistical or computational approaches that can accommodate complexity while remaining interpretable for public health application</w:t>
      </w:r>
      <w:r w:rsidR="00AD4B42">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{"citationID":"NjcPDLIu","properties":{"formattedCitation":"(23)","plainCitation":"(23)","noteIndex":0},"citationItems":[{"id":15043,"uris":["http://zotero.org/users/16652950/items/9K8DVB57"],"itemData":{"id":15043,"type":"article-journal","abstract":"The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 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 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Health","note":"PMID: 39211902\nPMCID: PMC11359557","page":"1376609","source":"PubMed Central","title":"Integrating the exposome and one health approach to national health surveillance: an opportunity for Latin American countries in health preventive management","title-short":"Integrating the exposome and one health approach to national health surveillance","volume":"12","author":[{"family":"Matus","given":"Patricia"},{"family":"Urquidi","given":"Cinthya"},{"family":"Cárcamo","given":"Marcela"},{"family":"Vidal","given":"Veronica"}],"issued":{"date-parts":[["2024",8,14]]}}}],"schema":"https://github.com/citation-style-language/schema/raw/master/csl-citation.json"} </w:instrText>
      </w:r>
      <w:r w:rsidR="00AD4B42">
        <w:rPr>
          <w:rFonts w:ascii="Times New Roman" w:hAnsi="Times New Roman" w:cs="Times New Roman"/>
        </w:rPr>
        <w:fldChar w:fldCharType="separate"/>
      </w:r>
      <w:r w:rsidR="00647867" w:rsidRPr="00647867">
        <w:rPr>
          <w:rFonts w:ascii="Times New Roman" w:hAnsi="Times New Roman" w:cs="Times New Roman"/>
        </w:rPr>
        <w:t>(23)</w:t>
      </w:r>
      <w:r w:rsidR="00AD4B42">
        <w:rPr>
          <w:rFonts w:ascii="Times New Roman" w:hAnsi="Times New Roman" w:cs="Times New Roman"/>
        </w:rPr>
        <w:fldChar w:fldCharType="end"/>
      </w:r>
      <w:r w:rsidRPr="005C3A0C">
        <w:rPr>
          <w:rFonts w:ascii="Times New Roman" w:hAnsi="Times New Roman" w:cs="Times New Roman"/>
        </w:rPr>
        <w:t>.</w:t>
      </w:r>
      <w:r w:rsidR="00342700" w:rsidRPr="00B5799D">
        <w:rPr>
          <w:rFonts w:ascii="Times New Roman" w:hAnsi="Times New Roman" w:cs="Times New Roman"/>
        </w:rPr>
        <w:t xml:space="preserve"> </w:t>
      </w:r>
      <w:r w:rsidR="00342700" w:rsidRPr="00B5799D">
        <w:rPr>
          <w:rFonts w:ascii="Times New Roman" w:hAnsi="Times New Roman" w:cs="Times New Roman"/>
          <w:b/>
          <w:bCs/>
        </w:rPr>
        <w:t>Figure 1</w:t>
      </w:r>
      <w:r w:rsidR="00342700" w:rsidRPr="00B5799D">
        <w:rPr>
          <w:rFonts w:ascii="Times New Roman" w:hAnsi="Times New Roman" w:cs="Times New Roman"/>
        </w:rPr>
        <w:t xml:space="preserve"> illustrates an integrated pipeline linking agrochemical exposure assessment with biomonitoring and exposome-based modeling to characterize chronic disease risk in U.S. farming populations.</w:t>
      </w:r>
    </w:p>
    <w:p w14:paraId="5D6609ED" w14:textId="77777777" w:rsidR="00342700" w:rsidRPr="00B5799D" w:rsidRDefault="00342700" w:rsidP="00B5799D">
      <w:pPr>
        <w:jc w:val="both"/>
        <w:rPr>
          <w:rFonts w:ascii="Times New Roman" w:hAnsi="Times New Roman" w:cs="Times New Roman"/>
        </w:rPr>
      </w:pPr>
      <w:r w:rsidRPr="00B5799D">
        <w:rPr>
          <w:rFonts w:ascii="Times New Roman" w:hAnsi="Times New Roman" w:cs="Times New Roman"/>
          <w:noProof/>
        </w:rPr>
        <w:drawing>
          <wp:inline distT="0" distB="0" distL="0" distR="0" wp14:anchorId="4359BA23" wp14:editId="64469772">
            <wp:extent cx="5943600" cy="3962400"/>
            <wp:effectExtent l="0" t="0" r="0" b="0"/>
            <wp:docPr id="159037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73301" name="Picture 15903733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E97B00D" w14:textId="77777777" w:rsidR="00342700" w:rsidRPr="00342700" w:rsidRDefault="00342700" w:rsidP="00B5799D">
      <w:pPr>
        <w:jc w:val="both"/>
        <w:rPr>
          <w:rFonts w:ascii="Times New Roman" w:hAnsi="Times New Roman" w:cs="Times New Roman"/>
        </w:rPr>
      </w:pPr>
      <w:r w:rsidRPr="00B5799D">
        <w:rPr>
          <w:rFonts w:ascii="Times New Roman" w:hAnsi="Times New Roman" w:cs="Times New Roman"/>
        </w:rPr>
        <w:lastRenderedPageBreak/>
        <w:t xml:space="preserve">Fig </w:t>
      </w:r>
      <w:proofErr w:type="gramStart"/>
      <w:r w:rsidRPr="00B5799D">
        <w:rPr>
          <w:rFonts w:ascii="Times New Roman" w:hAnsi="Times New Roman" w:cs="Times New Roman"/>
        </w:rPr>
        <w:t>1:</w:t>
      </w:r>
      <w:r w:rsidRPr="00342700">
        <w:rPr>
          <w:rFonts w:ascii="Times New Roman" w:hAnsi="Times New Roman" w:cs="Times New Roman"/>
        </w:rPr>
        <w:t>Schematic</w:t>
      </w:r>
      <w:proofErr w:type="gramEnd"/>
      <w:r w:rsidRPr="00342700">
        <w:rPr>
          <w:rFonts w:ascii="Times New Roman" w:hAnsi="Times New Roman" w:cs="Times New Roman"/>
        </w:rPr>
        <w:t xml:space="preserve"> overview of an exposome-based pipeline integrating environmental exposure modeling, biomonitoring, and analytical approaches to assess chronic disease risk from agrochemical exposure.</w:t>
      </w:r>
    </w:p>
    <w:p w14:paraId="0C49AC3B"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5.1 Exposure Modeling</w:t>
      </w:r>
    </w:p>
    <w:p w14:paraId="01610E2E" w14:textId="5382C926"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Environmental exposure modeling provides the foundation for estimating agrochemical contact in farming systems. Geographic information </w:t>
      </w:r>
      <w:proofErr w:type="gramStart"/>
      <w:r w:rsidRPr="005C3A0C">
        <w:rPr>
          <w:rFonts w:ascii="Times New Roman" w:hAnsi="Times New Roman" w:cs="Times New Roman"/>
        </w:rPr>
        <w:t>system based</w:t>
      </w:r>
      <w:proofErr w:type="gramEnd"/>
      <w:r w:rsidRPr="005C3A0C">
        <w:rPr>
          <w:rFonts w:ascii="Times New Roman" w:hAnsi="Times New Roman" w:cs="Times New Roman"/>
        </w:rPr>
        <w:t xml:space="preserve"> models are widely used to link pesticide application records with spatial data on land use, crop type, and residential or occupational locations. These models enable the estimation of </w:t>
      </w:r>
      <w:proofErr w:type="gramStart"/>
      <w:r w:rsidRPr="005C3A0C">
        <w:rPr>
          <w:rFonts w:ascii="Times New Roman" w:hAnsi="Times New Roman" w:cs="Times New Roman"/>
        </w:rPr>
        <w:t>proximity based</w:t>
      </w:r>
      <w:proofErr w:type="gramEnd"/>
      <w:r w:rsidRPr="005C3A0C">
        <w:rPr>
          <w:rFonts w:ascii="Times New Roman" w:hAnsi="Times New Roman" w:cs="Times New Roman"/>
        </w:rPr>
        <w:t xml:space="preserve"> exposure and allow for the reconstruction of historical exposure patterns over time. Drift and dispersion models further refine exposure estimates by accounting for factors such as application method, weather conditions, and chemical properties that influence airborne transport and off target deposition. Together, these approaches help capture both direct occupational exposure and indirect environmental pathways</w:t>
      </w:r>
      <w:r w:rsidR="00F7047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{"citationID":"4Bo9LL82","properties":{"formattedCitation":"(24)","plainCitation":"(24)","noteIndex":0},"citationItems":[{"id":15046,"uris":["http://zotero.org/users/16652950/items/BBTN8SC8"],"itemData":{"id":15046,"type":"article-journal","abstract":"The global increase in pesticide use has raised concerns about its impact on biodiversity, ecosystems, and human health, in particular of people living near agricultural areas. This study explores the assessment of pesticide exposure and risks to residents at a high spatial granularity using plant protection product data. Our objective was to develop an indicator to monitor pesticide risk levels faced by residents in France by integrating spatial datasets and exposure assessment methodologies. Using spatialized pesticide sales data based on crop authorizations, we mapped potential pesticide loads at the parcel level. This map, combined with population distribution data, allowed us to develop an indicator for monitoring residential pesticide exposures. Our findings indicate that, on average, 13% of people in France may be exposed to various levels of pesticides due to their proximity to treated crops. This indicator demonstrates the usefulness of granular pesticide sales data in monitoring exposure and can support risk reduction strategies, helping to identify regions where efforts towards sustainable farming should concentrate.","container-title":"Scientific Reports","DOI":"10.1038/s41598-025-96928-1","ISSN":"2045-2322","issue":"1","journalAbbreviation":"Sci Rep","language":"en","license":"2025 The European, 2025","note":"publisher: Nature Publishing Group","page":"16785","source":"www.nature.com","title":"Development of a spatial risk indicator for monitoring residential pesticide exposure in agricultural areas","volume":"15","author":[{"family":"Galimberti","given":"Francesco"},{"family":"Bopp","given":"Stephanie K."},{"family":"Carletti","given":"Alessandro"},{"family":"Catarino","given":"Rui"},{"family":"Claverie","given":"Martin"},{"family":"Florio","given":"Pietro"},{"family":"Ippolito","given":"Alessio"},{"family":"Jones","given":"Arwyn"},{"family":"Marchetto","given":"Flavio"},{"family":"Olvedy","given":"Michael"},{"family":"Pistocchi","given":"Alberto"},{"family":"Verhegghen","given":"Astrid"},{"family":"Velde","given":"Marijn","non-dropping-particle":"van der"},{"family":"Vieira","given":"Diana"},{"family":"Andrimont","given":"Raphaël","non-dropping-particle":"d’"}],"issued":{"date-parts":[["2025",5,27]]}}}],"schema":"https://github.com/citation-style-language/schema/raw/master/csl-citation.json"} </w:instrText>
      </w:r>
      <w:r w:rsidR="00F70478">
        <w:rPr>
          <w:rFonts w:ascii="Times New Roman" w:hAnsi="Times New Roman" w:cs="Times New Roman"/>
        </w:rPr>
        <w:fldChar w:fldCharType="separate"/>
      </w:r>
      <w:r w:rsidR="00647867" w:rsidRPr="00647867">
        <w:rPr>
          <w:rFonts w:ascii="Times New Roman" w:hAnsi="Times New Roman" w:cs="Times New Roman"/>
        </w:rPr>
        <w:t>(24)</w:t>
      </w:r>
      <w:r w:rsidR="00F70478">
        <w:rPr>
          <w:rFonts w:ascii="Times New Roman" w:hAnsi="Times New Roman" w:cs="Times New Roman"/>
        </w:rPr>
        <w:fldChar w:fldCharType="end"/>
      </w:r>
      <w:r w:rsidRPr="005C3A0C">
        <w:rPr>
          <w:rFonts w:ascii="Times New Roman" w:hAnsi="Times New Roman" w:cs="Times New Roman"/>
        </w:rPr>
        <w:t>.</w:t>
      </w:r>
    </w:p>
    <w:p w14:paraId="0369BDC7"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To move beyond single chemical assessment, cumulative exposure indices are increasingly applied. These indices aggregate exposure across multiple compounds, application events, or time periods, providing a summary measure of overall burden. While such indices inevitably involve assumptions, they offer a pragmatic means of representing long term exposure in epidemiologic analyses and serve as a bridge between detailed environmental modeling and health outcome data.</w:t>
      </w:r>
    </w:p>
    <w:p w14:paraId="0AA21E37"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5.2 Biomonitoring and Internal Dose Modeling</w:t>
      </w:r>
    </w:p>
    <w:p w14:paraId="086DD552" w14:textId="7998899C"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Biomonitoring plays a critical role in linking external exposure estimates to internal dose. Measurements of urinary metabolites are commonly used to assess recent exposure to many pesticides and can reflect absorbed dose across multiple routes. Blood based biomarkers offer insight into circulating levels of parent compounds or persistent metabolites, while hair samples provide a </w:t>
      </w:r>
      <w:proofErr w:type="gramStart"/>
      <w:r w:rsidRPr="005C3A0C">
        <w:rPr>
          <w:rFonts w:ascii="Times New Roman" w:hAnsi="Times New Roman" w:cs="Times New Roman"/>
        </w:rPr>
        <w:t>longer term</w:t>
      </w:r>
      <w:proofErr w:type="gramEnd"/>
      <w:r w:rsidRPr="005C3A0C">
        <w:rPr>
          <w:rFonts w:ascii="Times New Roman" w:hAnsi="Times New Roman" w:cs="Times New Roman"/>
        </w:rPr>
        <w:t xml:space="preserve"> record of exposure and may be particularly useful for capturing seasonal or chronic patterns. Each matrix has distinct strengths and limitations, and their combined use can improve exposure characterization</w:t>
      </w:r>
      <w:r w:rsidR="00F70478">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{"citationID":"YhiJvW24","properties":{"formattedCitation":"(25)","plainCitation":"(25)","noteIndex":0},"citationItems":[{"id":15048,"uris":["http://zotero.org/users/16652950/items/HCBUCHW6"],"itemData":{"id":15048,"type":"article-journal","abstract":"Biomonitoring allows for the assessment of internal exposure to various pesticides and metabolites. Following PRISMA guidelines, this systematic review aims to summarise innovative biomonitoring techniques for assessing pesticide exposure in agricultural workers, their advantages and limitations, and their applicability. The search of the Medline/PubMed, ScienceDirect, Scopus, and Web of Science databases identified 14 articles dealing with new techniques for biomonitoring pesticide exposure in agricultural workers. These new methodologies have identified several biomarkers associated with exposure to organophosphates. Most of the included studies combine and/or improve traditional methods to overcome their limitations. This leads to more sensitive, specific, and precise techniques with lower detection and quantification limits. Therefore, it is necessary to thoroughly analyse and test new biomonitoring methods for assessing pesticide exposure. These techniques can complement qualitative risk assessments and aid in developing strategies to protect public health and the environment.","container-title":"Toxics","DOI":"10.3390/toxics13020104","ISSN":"2305-6304","issue":"2","journalAbbreviation":"Toxics","note":"PMID: 39997919\nPMCID: PMC11861711","page":"104","source":"PubMed Central","title":"New Methodologies and Techniques for Biomonitoring Pesticide Exposure in Agricultural Workers: A Systematic Review","title-short":"New Methodologies and Techniques for Biomonitoring Pesticide Exposure in Agricultural Workers","volume":"13","author":[{"family":"Moreira","given":"Andreia"},{"family":"Guedes","given":"Joana"},{"family":"Vieira da Silva","given":"Manuela"}],"issued":{"date-parts":[["2025",1,28]]}}}],"schema":"https://github.com/citation-style-language/schema/raw/master/csl-citation.json"} </w:instrText>
      </w:r>
      <w:r w:rsidR="00F70478">
        <w:rPr>
          <w:rFonts w:ascii="Times New Roman" w:hAnsi="Times New Roman" w:cs="Times New Roman"/>
        </w:rPr>
        <w:fldChar w:fldCharType="separate"/>
      </w:r>
      <w:r w:rsidR="00647867" w:rsidRPr="00647867">
        <w:rPr>
          <w:rFonts w:ascii="Times New Roman" w:hAnsi="Times New Roman" w:cs="Times New Roman"/>
        </w:rPr>
        <w:t>(25)</w:t>
      </w:r>
      <w:r w:rsidR="00F70478">
        <w:rPr>
          <w:rFonts w:ascii="Times New Roman" w:hAnsi="Times New Roman" w:cs="Times New Roman"/>
        </w:rPr>
        <w:fldChar w:fldCharType="end"/>
      </w:r>
      <w:r w:rsidRPr="005C3A0C">
        <w:rPr>
          <w:rFonts w:ascii="Times New Roman" w:hAnsi="Times New Roman" w:cs="Times New Roman"/>
        </w:rPr>
        <w:t>.</w:t>
      </w:r>
    </w:p>
    <w:p w14:paraId="789D5ADF" w14:textId="21FC5718"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A major challenge in internal dose modeling is the short biological </w:t>
      </w:r>
      <w:proofErr w:type="spellStart"/>
      <w:r w:rsidRPr="005C3A0C">
        <w:rPr>
          <w:rFonts w:ascii="Times New Roman" w:hAnsi="Times New Roman" w:cs="Times New Roman"/>
        </w:rPr>
        <w:t>half life</w:t>
      </w:r>
      <w:proofErr w:type="spellEnd"/>
      <w:r w:rsidRPr="005C3A0C">
        <w:rPr>
          <w:rFonts w:ascii="Times New Roman" w:hAnsi="Times New Roman" w:cs="Times New Roman"/>
        </w:rPr>
        <w:t xml:space="preserve"> of many agrochemicals, which complicates the interpretation of single time point measurements. Temporal variability, influenced by application cycles and individual behaviors, can lead to exposure misclassification if not properly addressed. Repeated sampling, integration with environmental models, and the use of toxicokinetic information can partially mitigate these limitations and strengthen inference</w:t>
      </w:r>
      <w:r w:rsidR="00AC1C3C">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{"citationID":"orjgkDOy","properties":{"formattedCitation":"(26)","plainCitation":"(26)","noteIndex":0},"citationItems":[{"id":15051,"uris":["http://zotero.org/users/16652950/items/EBCWG3XG"],"itemData":{"id":15051,"type":"article-journal","abstract":"Much evidence on the adverse health effects of endocrine-disrupting chemicals (EDCs) has accumulated during recent decades. EDCs are commonly found in...","container-title":"Toxics","DOI":"10.3390/toxics10040181","ISSN":"2305-6304","issue":"4","language":"en","license":"http://creativecommons.org/licenses/by/3.0/","note":"Company: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publisher","source":"www.mdpi.com","title":"Diurnal Variation in Biomarkers of Exposure to Endocrine-Disrupting Chemicals and Their Association with Oxidative Damage in Norwegian Adults: The EuroMix Study","title-short":"Diurnal Variation in Biomarkers of Exposure to Endocrine-Disrupting Chemicals and Their Association with Oxidative Damage in Norwegian Adults","URL":"https://www.mdpi.com/2305-6304/10/4/181","volume":"10","author":[{"family":"Abimbola","given":"Samuel Olushola"},{"family":"Xeni","given":"Christina"},{"family":"Sakhi","given":"Amrit Kaur"},{"family":"Heibati","given":"Behzad"},{"family":"Husøy","given":"Trine"},{"family":"Dirven","given":"Hubert"},{"family":"Makris","given":"Konstantinos C."}],"accessed":{"date-parts":[["2026",2,19]]},"issued":{"date-parts":[["2022",4,6]]}}}],"schema":"https://github.com/citation-style-language/schema/raw/master/csl-citation.json"} </w:instrText>
      </w:r>
      <w:r w:rsidR="00AC1C3C">
        <w:rPr>
          <w:rFonts w:ascii="Times New Roman" w:hAnsi="Times New Roman" w:cs="Times New Roman"/>
        </w:rPr>
        <w:fldChar w:fldCharType="separate"/>
      </w:r>
      <w:r w:rsidR="00647867" w:rsidRPr="00647867">
        <w:rPr>
          <w:rFonts w:ascii="Times New Roman" w:hAnsi="Times New Roman" w:cs="Times New Roman"/>
        </w:rPr>
        <w:t>(26)</w:t>
      </w:r>
      <w:r w:rsidR="00AC1C3C">
        <w:rPr>
          <w:rFonts w:ascii="Times New Roman" w:hAnsi="Times New Roman" w:cs="Times New Roman"/>
        </w:rPr>
        <w:fldChar w:fldCharType="end"/>
      </w:r>
      <w:r w:rsidRPr="005C3A0C">
        <w:rPr>
          <w:rFonts w:ascii="Times New Roman" w:hAnsi="Times New Roman" w:cs="Times New Roman"/>
        </w:rPr>
        <w:t>.</w:t>
      </w:r>
    </w:p>
    <w:p w14:paraId="47B4163A"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5.3 Statistical and Computational Approaches</w:t>
      </w:r>
    </w:p>
    <w:p w14:paraId="62C58CCE" w14:textId="24EACE7C"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High dimensional exposure data require analytic methods capable of handling correlation and interaction among multiple agents. Multi pollutant regression models provide a straightforward extension of traditional approaches but may struggle with collinearity. Bayesian hierarchical models offer greater flexibility by allowing for the incorporation of prior knowledge and the </w:t>
      </w:r>
      <w:r w:rsidRPr="005C3A0C">
        <w:rPr>
          <w:rFonts w:ascii="Times New Roman" w:hAnsi="Times New Roman" w:cs="Times New Roman"/>
        </w:rPr>
        <w:lastRenderedPageBreak/>
        <w:t>estimation of uncertainty across multiple levels of exposure and outcome data. Mixture modeling techniques, such as weighted quantile sum regression and Bayesian kernel machine regression, are increasingly used to identify influential components of complex exposure mixtures while accounting for joint effects</w:t>
      </w:r>
      <w:r w:rsidR="007D2B6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{"citationID":"QtJUDwfG","properties":{"formattedCitation":"(27)","plainCitation":"(27)","noteIndex":0},"citationItems":[{"id":15053,"uris":["http://zotero.org/users/16652950/items/Y4LQFD7H"],"itemData":{"id":15053,"type":"article-journal","abstract":"Biochar, which is a high-carbon biomass pyrolysis byproduct, has considerable potential in environmental remediation, serving as a soil conditioner, a carbon sequestration substrate, and a wastewater treatment agent. Nevertheless, for its effective and safe application, thorough assessment techniques must be employed to analyze and measure the presence of potential risks like organic pollutants, metallic toxicants, and volatile organic compounds (VOCs). This research presents an automated framework based on artificial intelligence (AI), designed to evaluate the quality of biochar in real-time and enhance its environmental sustainability. The proposed system leverages data from the publicly available database to create biochar safety models for prediction. The system consists of three separate models: a classification model to evaluate the safety of biochar according to its chemical makeup, a regression model to estimate quantified levels of heavy metals, and a time series model to predict VOC emissions under different environmental conditions, facilitating evaluation of potential air quality effects. Performance results show that the Random Forest Regression model achieved a low Mean Squared Error (MSE) of 0.0046 and a strong R2 score of 0.9549, indicating high reliability in predicting heavy metal content, while the Random Forest Classifier achieved an external validation accuracy of 96.7%. The efficacy of the LSTM-based time series model in real-time environmental monitoring was demonstrated by the Mean Absolute Percentage Error (MAPE) accuracy of 87.14% in predicting VOC emissions. The multi-model system permits ongoing, precise monitoring while drastically minimizing human interaction and related errors. The AI models developed show great efficacy in classifying biochar safety, estimating the content of heavy metals, and estimating VOC emissions at future times. The system improves evaluation accuracy, operational efficiency, and production optimization while reducing disposal expenses and environmental hazards. This study provides a new contribution by integrating classification, regression, and time series analysis in one automated quality assessment system for biochar. It presents a scalable and smart solution that can be applied across environmental and industrial applications, enabling the wider integration of AI technologies into sustainable material management and environmental monitoring.","container-title":"Frontiers in Soil Science","DOI":"10.3389/fsoil.2025.1661097","ISSN":"2673-8619","journalAbbreviation":"Front. Soil Sci.","language":"English","note":"publisher: Frontiers","source":"Frontiers","title":"Integrating classification, regression, and time series models to assess biochar safety, optimize pollutant removal, and predict environmental impacts","URL":"https://www.frontiersin.org/journals/soil-science/articles/10.3389/fsoil.2025.1661097/full","volume":"5","author":[{"family":"Roy","given":"Shreyashi Deb"},{"family":"Khekare","given":"Ganesh"},{"family":"Chhajed","given":"Sejal"},{"family":"Victor","given":"Adrine Sharon"}],"accessed":{"date-parts":[["2026",2,19]]},"issued":{"date-parts":[["2025",9,23]]}}}],"schema":"https://github.com/citation-style-language/schema/raw/master/csl-citation.json"} </w:instrText>
      </w:r>
      <w:r w:rsidR="007D2B69">
        <w:rPr>
          <w:rFonts w:ascii="Times New Roman" w:hAnsi="Times New Roman" w:cs="Times New Roman"/>
        </w:rPr>
        <w:fldChar w:fldCharType="separate"/>
      </w:r>
      <w:r w:rsidR="00647867" w:rsidRPr="00647867">
        <w:rPr>
          <w:rFonts w:ascii="Times New Roman" w:hAnsi="Times New Roman" w:cs="Times New Roman"/>
        </w:rPr>
        <w:t>(27)</w:t>
      </w:r>
      <w:r w:rsidR="007D2B69">
        <w:rPr>
          <w:rFonts w:ascii="Times New Roman" w:hAnsi="Times New Roman" w:cs="Times New Roman"/>
        </w:rPr>
        <w:fldChar w:fldCharType="end"/>
      </w:r>
      <w:r w:rsidRPr="005C3A0C">
        <w:rPr>
          <w:rFonts w:ascii="Times New Roman" w:hAnsi="Times New Roman" w:cs="Times New Roman"/>
        </w:rPr>
        <w:t>.</w:t>
      </w:r>
    </w:p>
    <w:p w14:paraId="4FB79D97" w14:textId="627AD74C" w:rsidR="005C3A0C" w:rsidRPr="005C3A0C" w:rsidRDefault="005C3A0C" w:rsidP="00B5799D">
      <w:pPr>
        <w:jc w:val="both"/>
        <w:rPr>
          <w:rFonts w:ascii="Times New Roman" w:hAnsi="Times New Roman" w:cs="Times New Roman"/>
        </w:rPr>
      </w:pPr>
      <w:r w:rsidRPr="005C3A0C">
        <w:rPr>
          <w:rFonts w:ascii="Times New Roman" w:hAnsi="Times New Roman" w:cs="Times New Roman"/>
        </w:rPr>
        <w:t>Machine learning approaches have also gained attention for their ability to process large and complex datasets. These methods can uncover nonlinear relationships and interaction patterns that may be missed by conventional models. However, their use in exposome research requires careful attention to interpretability and validation to ensure relevance for risk assessment</w:t>
      </w:r>
      <w:r w:rsidR="007D2B6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{"citationID":"zC5JOMQ2","properties":{"formattedCitation":"(28)","plainCitation":"(28)","noteIndex":0},"citationItems":[{"id":15074,"uris":["http://zotero.org/users/16652950/items/SU8PT7EI"],"itemData":{"id":15074,"type":"article-journal","abstract":"Mathematical modeling plays a central role in infectious disease epidemiology, shaping outbreak response strategies and informing public health policy. The COVID-19 pandemic demonstrated the value of these models but also exposed persistent limitations related to data fragility, lack of transparency, limited stakeholder engagement, and insufficient consideration of social and political contexts. Rather than critiquing modeling as a discipline, this perspective argues for a reorientation of infectious disease modeling toward a more responsive, equity-centered, and participatory paradigm. We propose a conceptual framework built on three interrelated principles: adaptability through real-time data integration, transparency via open-source and reproducible practices, and relevance through interdisciplinary and co-produced model design. Drawing on illustrative examples from COVID-19 and dengue control efforts, we highlight how integrating behavioral dynamics, local knowledge, and policy feedback can improve model usefulness and public trust. Reconceptualizing models as dynamic systems of inquiry rather than static forecasting tools can enhance decision-making and promote more equitable and effective responses to future public health emergencies.","container-title":"Global Journal of Epidemiology and Infectious Disease","ISSN":"2770-8675","language":"en","license":"Copyright (c) 2025 Global Journal of Epidemiology and Infectious Disease","page":"43-53","source":"www.scipublications.com","title":"Reimagining Mathematical Modeling for a Responsive and Integrated Future in Infectious Disease Epidemiology","author":[{"family":"Lawal","given":"Olabisi Promise"},{"family":"Okeh","given":"Debra Ukamaka"},{"family":"Ezeamii","given":"Patra Chisom"},{"family":"Olowookere","given":"Adepeju Kafayat"},{"family":"Muhammed","given":"Ismaila"},{"family":"Ugwu","given":"Chukwuebuka Victor"},{"family":"Ayo-ige","given":"Ayodele Blessing"}],"issued":{"date-parts":[["2025",12,22]]}}}],"schema":"https://github.com/citation-style-language/schema/raw/master/csl-citation.json"} </w:instrText>
      </w:r>
      <w:r w:rsidR="007D2B69">
        <w:rPr>
          <w:rFonts w:ascii="Times New Roman" w:hAnsi="Times New Roman" w:cs="Times New Roman"/>
        </w:rPr>
        <w:fldChar w:fldCharType="separate"/>
      </w:r>
      <w:r w:rsidR="00647867" w:rsidRPr="00647867">
        <w:rPr>
          <w:rFonts w:ascii="Times New Roman" w:hAnsi="Times New Roman" w:cs="Times New Roman"/>
        </w:rPr>
        <w:t>(28)</w:t>
      </w:r>
      <w:r w:rsidR="007D2B69">
        <w:rPr>
          <w:rFonts w:ascii="Times New Roman" w:hAnsi="Times New Roman" w:cs="Times New Roman"/>
        </w:rPr>
        <w:fldChar w:fldCharType="end"/>
      </w:r>
      <w:r w:rsidRPr="005C3A0C">
        <w:rPr>
          <w:rFonts w:ascii="Times New Roman" w:hAnsi="Times New Roman" w:cs="Times New Roman"/>
        </w:rPr>
        <w:t>.</w:t>
      </w:r>
    </w:p>
    <w:p w14:paraId="52259321"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5.4 Linking Exposure to Disease Risk</w:t>
      </w:r>
    </w:p>
    <w:p w14:paraId="068A3AB3" w14:textId="29C63792" w:rsidR="001E3DE4" w:rsidRPr="001E3DE4" w:rsidRDefault="005C3A0C" w:rsidP="00B5799D">
      <w:pPr>
        <w:jc w:val="both"/>
        <w:rPr>
          <w:rFonts w:ascii="Times New Roman" w:hAnsi="Times New Roman" w:cs="Times New Roman"/>
        </w:rPr>
      </w:pPr>
      <w:r w:rsidRPr="005C3A0C">
        <w:rPr>
          <w:rFonts w:ascii="Times New Roman" w:hAnsi="Times New Roman" w:cs="Times New Roman"/>
        </w:rPr>
        <w:t>The final step in integrative modeling involves linking exposure estimates to chronic disease outcomes. Mediation and interaction analyses can help disentangle biological pathways and identify effect modifiers such as age, sex, or genetic susceptibility. Time varying exposure outcome frameworks are particularly important in agricultural contexts, where exposure intensity fluctuates and disease latency is long</w:t>
      </w:r>
      <w:r w:rsidR="000C62A4">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{"citationID":"AFv4X5DB","properties":{"formattedCitation":"(29)","plainCitation":"(29)","noteIndex":0},"citationItems":[{"id":15266,"uris":["http://zotero.org/users/16652950/items/BKBZBJ4Q"],"itemData":{"id":15266,"type":"article-journal","abstract":"Liquid biopsies have developed as a revolutionary technique in cancer diagnosis, treatment evaluation, and the detection of therapeutic resistance. Unlike traditional tissue biopsies, which are invasive and limited to a single temporal analysis, liquid biopsies offer a non-invasive, real-time evaluation of tumour dynamics through the analysis of biomarkers such as circulating tumour DNA (ctDNA), circulating tumour cells (CTCs), exosomes, and microRNAs. This approach enables continuous monitoring of tumour advancement, allowing for the early detection of cancer, the tracking of minimal residual disease, and the identification of emerging resistance mutations. As cancers advance and acquire resistance to therapies, liquid biopsy provides critical information that enables clinicians to customise treatment strategies and improve outcomes. Despite challenges such as sensitivity limitations in early-stage cancers and the necessity for standardised testing protocols, technological advancements, including next-generation sequencing (NGS), CRISPR, and AI-driven analytics, are enhancing the precision and accessibility of liquid biopsies. Through ongoing validation and cost-reduction efforts, liquid biopsies are set to become essential to precision oncology, offering a transformative approach to cancer therapy that could improve patient outcomes and foster equitable healthcare globally.","container-title":"Oncology, Nuclear Medicine and Transplantology","DOI":"10.63946/onmt/17244","ISSN":"3105-8760","issue":"1","language":"english","note":"publisher: Australasia Publishing Group","page":"onmt006","source":"www.onmtjournal.org","title":"The Role of Liquid Biopsies in Tracking Tumor Evolution and Overcoming Therapeutic Resistance in Cancer","volume":"1","author":[{"family":"Oladosu","given":"Tosin Ayodeji"},{"family":"Okafor","given":"Chinaecherem Peace"},{"family":"Nwosu","given":"Patrick Chinazam"},{"family":"Ibukunoluwa","given":"Ayo Ebunolorun"},{"family":"Monica","given":"Uduh Ifeoma"},{"family":"Aderanti","given":"Tosin Abiodun"}],"issued":{"date-parts":[["2025",10,8]]}}}],"schema":"https://github.com/citation-style-language/schema/raw/master/csl-citation.json"} </w:instrText>
      </w:r>
      <w:r w:rsidR="000C62A4">
        <w:rPr>
          <w:rFonts w:ascii="Times New Roman" w:hAnsi="Times New Roman" w:cs="Times New Roman"/>
        </w:rPr>
        <w:fldChar w:fldCharType="separate"/>
      </w:r>
      <w:r w:rsidR="00647867" w:rsidRPr="00647867">
        <w:rPr>
          <w:rFonts w:ascii="Times New Roman" w:hAnsi="Times New Roman" w:cs="Times New Roman"/>
        </w:rPr>
        <w:t>(29)</w:t>
      </w:r>
      <w:r w:rsidR="000C62A4">
        <w:rPr>
          <w:rFonts w:ascii="Times New Roman" w:hAnsi="Times New Roman" w:cs="Times New Roman"/>
        </w:rPr>
        <w:fldChar w:fldCharType="end"/>
      </w:r>
      <w:r w:rsidRPr="005C3A0C">
        <w:rPr>
          <w:rFonts w:ascii="Times New Roman" w:hAnsi="Times New Roman" w:cs="Times New Roman"/>
        </w:rPr>
        <w:t>. Together, these approaches enable a more nuanced and realistic assessment of how agrochemical exposomes contribute to chronic disease risk over the farming life course</w:t>
      </w:r>
      <w:r w:rsidR="00E57636">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{"citationID":"vzpgp396","properties":{"formattedCitation":"(30)","plainCitation":"(30)","noteIndex":0},"citationItems":[{"id":15055,"uris":["http://zotero.org/users/16652950/items/6JLVYJXG"],"itemData":{"id":15055,"type":"article-journal","abstract":"Life course epidemiology seeks to understand the intricate relationships between risk factors and health outcomes across different stages of life to inform prevention and intervention strategies to optimize health throughout the lifespan. However, extant evidence has predominantly been based on separate analyses of data from individual birth cohorts or panel studies, which may not be sufficient to unravel the complex interplay of risk and health across different contexts. We highlight the importance of a multi-study perspective that enables researchers to: (a) Compare and contrast findings from different contexts and populations, which can help identify generalizable patterns and context-specific factors; (b) Examine the robustness of associations and the potential for effect modification by factors such as age, sex, and socioeconomic status; and (c) Improve statistical power and precision by pooling data from multiple studies, thereby allowing for the investigation of rare exposures and outcomes. This integrative framework combines the advantages of multi-study data with a life course perspective to guide research in understanding life course risk and resilience on adult health outcomes by: (a) Encouraging the use of harmonized measures across studies to facilitate comparisons and synthesis of findings; (b) Promoting the adoption of advanced analytical techniques that can accommodate the complexities of multi-study, longitudinal data; and (c) Fostering collaboration between researchers, data repositories, and funding agencies to support the integration of longitudinal data from diverse sources. An integrative approach can help inform the development of individualized risk scores and personalized interventions to promote health and well-being at various life stages.","container-title":"Discover Social Science and Health","DOI":"10.1007/s44155-023-00044-2","ISSN":"2731-0469","issue":"1","journalAbbreviation":"Discov Soc Sci Health","note":"PMID: 37469576\nPMCID: PMC10352429","page":"14","source":"PubMed Central","title":"An integrative approach for the analysis of risk and health across the life course: challenges, innovations, and opportunities for life course research","title-short":"An integrative approach for the analysis of risk and health across the life course","volume":"3","author":[{"family":"Zuber","given":"Sascha"},{"family":"Bechtiger","given":"Laura"},{"family":"Bodelet","given":"Julien Stéphane"},{"family":"Golin","given":"Marta"},{"family":"Heumann","given":"Jens"},{"family":"Kim","given":"Jung Hyun"},{"family":"Klee","given":"Matthias"},{"family":"Mur","given":"Jure"},{"family":"Noll","given":"Jennie"},{"family":"Voll","given":"Stacey"},{"family":"O’Keefe","given":"Patrick"},{"family":"Steinhoff","given":"Annekatrin"},{"family":"Zölitz","given":"Ulf"},{"family":"Muniz-Terrera","given":"Graciela"},{"family":"Shanahan","given":"Lilly"},{"family":"Shanahan","given":"Michael J."},{"family":"Hofer","given":"Scott M."}],"issued":{"date-parts":[["2023"]]}}}],"schema":"https://github.com/citation-style-language/schema/raw/master/csl-citation.json"} </w:instrText>
      </w:r>
      <w:r w:rsidR="00E57636">
        <w:rPr>
          <w:rFonts w:ascii="Times New Roman" w:hAnsi="Times New Roman" w:cs="Times New Roman"/>
        </w:rPr>
        <w:fldChar w:fldCharType="separate"/>
      </w:r>
      <w:r w:rsidR="00647867" w:rsidRPr="00647867">
        <w:rPr>
          <w:rFonts w:ascii="Times New Roman" w:hAnsi="Times New Roman" w:cs="Times New Roman"/>
        </w:rPr>
        <w:t>(30)</w:t>
      </w:r>
      <w:r w:rsidR="00E57636">
        <w:rPr>
          <w:rFonts w:ascii="Times New Roman" w:hAnsi="Times New Roman" w:cs="Times New Roman"/>
        </w:rPr>
        <w:fldChar w:fldCharType="end"/>
      </w:r>
      <w:r w:rsidRPr="005C3A0C">
        <w:rPr>
          <w:rFonts w:ascii="Times New Roman" w:hAnsi="Times New Roman" w:cs="Times New Roman"/>
        </w:rPr>
        <w:t>.</w:t>
      </w:r>
      <w:r w:rsidR="001E3DE4" w:rsidRPr="00B5799D">
        <w:rPr>
          <w:rFonts w:ascii="Times New Roman" w:hAnsi="Times New Roman" w:cs="Times New Roman"/>
        </w:rPr>
        <w:t xml:space="preserve"> </w:t>
      </w:r>
      <w:r w:rsidR="001E3DE4" w:rsidRPr="001E3DE4">
        <w:rPr>
          <w:rFonts w:ascii="Times New Roman" w:hAnsi="Times New Roman" w:cs="Times New Roman"/>
        </w:rPr>
        <w:t>Table 1 summarizes key analytical approaches used in agrochemical exposome research, highlighting their distinct roles and methodological limitations.</w:t>
      </w:r>
    </w:p>
    <w:p w14:paraId="7FFA931B"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Table 1. Key Modeling Approaches in Agrochemical Exposome Research and Their Analytical Trade-offs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7"/>
        <w:gridCol w:w="2220"/>
        <w:gridCol w:w="2870"/>
        <w:gridCol w:w="2343"/>
      </w:tblGrid>
      <w:tr w:rsidR="001E3DE4" w:rsidRPr="001E3DE4" w14:paraId="72DDAFA5" w14:textId="77777777" w:rsidTr="001E3DE4">
        <w:trPr>
          <w:tblHeader/>
          <w:tblCellSpacing w:w="15" w:type="dxa"/>
        </w:trPr>
        <w:tc>
          <w:tcPr>
            <w:tcW w:w="0" w:type="auto"/>
            <w:vAlign w:val="center"/>
            <w:hideMark/>
          </w:tcPr>
          <w:p w14:paraId="4AEA67D9"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Approach</w:t>
            </w:r>
          </w:p>
        </w:tc>
        <w:tc>
          <w:tcPr>
            <w:tcW w:w="0" w:type="auto"/>
            <w:vAlign w:val="center"/>
            <w:hideMark/>
          </w:tcPr>
          <w:p w14:paraId="1D9EBF2F"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Primary Role in Exposome Analysis</w:t>
            </w:r>
          </w:p>
        </w:tc>
        <w:tc>
          <w:tcPr>
            <w:tcW w:w="0" w:type="auto"/>
            <w:vAlign w:val="center"/>
            <w:hideMark/>
          </w:tcPr>
          <w:p w14:paraId="6E192F42"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Distinct Contribution</w:t>
            </w:r>
          </w:p>
        </w:tc>
        <w:tc>
          <w:tcPr>
            <w:tcW w:w="0" w:type="auto"/>
            <w:vAlign w:val="center"/>
            <w:hideMark/>
          </w:tcPr>
          <w:p w14:paraId="5736F83A" w14:textId="77777777" w:rsidR="001E3DE4" w:rsidRPr="001E3DE4" w:rsidRDefault="001E3DE4" w:rsidP="00B5799D">
            <w:pPr>
              <w:jc w:val="both"/>
              <w:rPr>
                <w:rFonts w:ascii="Times New Roman" w:hAnsi="Times New Roman" w:cs="Times New Roman"/>
                <w:b/>
                <w:bCs/>
              </w:rPr>
            </w:pPr>
            <w:r w:rsidRPr="001E3DE4">
              <w:rPr>
                <w:rFonts w:ascii="Times New Roman" w:hAnsi="Times New Roman" w:cs="Times New Roman"/>
                <w:b/>
                <w:bCs/>
              </w:rPr>
              <w:t>Key Limitation to Address</w:t>
            </w:r>
          </w:p>
        </w:tc>
      </w:tr>
      <w:tr w:rsidR="001E3DE4" w:rsidRPr="001E3DE4" w14:paraId="6F7B108C" w14:textId="77777777" w:rsidTr="001E3DE4">
        <w:trPr>
          <w:tblCellSpacing w:w="15" w:type="dxa"/>
        </w:trPr>
        <w:tc>
          <w:tcPr>
            <w:tcW w:w="0" w:type="auto"/>
            <w:vAlign w:val="center"/>
            <w:hideMark/>
          </w:tcPr>
          <w:p w14:paraId="3DA84055"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GIS-based exposure models</w:t>
            </w:r>
          </w:p>
        </w:tc>
        <w:tc>
          <w:tcPr>
            <w:tcW w:w="0" w:type="auto"/>
            <w:vAlign w:val="center"/>
            <w:hideMark/>
          </w:tcPr>
          <w:p w14:paraId="7AB8CC3A"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Spatial reconstruction of pesticide use</w:t>
            </w:r>
          </w:p>
        </w:tc>
        <w:tc>
          <w:tcPr>
            <w:tcW w:w="0" w:type="auto"/>
            <w:vAlign w:val="center"/>
            <w:hideMark/>
          </w:tcPr>
          <w:p w14:paraId="1E7FB4A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Captures geographic heterogeneity and historical application patterns</w:t>
            </w:r>
          </w:p>
        </w:tc>
        <w:tc>
          <w:tcPr>
            <w:tcW w:w="0" w:type="auto"/>
            <w:vAlign w:val="center"/>
            <w:hideMark/>
          </w:tcPr>
          <w:p w14:paraId="244112C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Limited representation of individual behaviors</w:t>
            </w:r>
          </w:p>
        </w:tc>
      </w:tr>
      <w:tr w:rsidR="001E3DE4" w:rsidRPr="001E3DE4" w14:paraId="261532F6" w14:textId="77777777" w:rsidTr="001E3DE4">
        <w:trPr>
          <w:tblCellSpacing w:w="15" w:type="dxa"/>
        </w:trPr>
        <w:tc>
          <w:tcPr>
            <w:tcW w:w="0" w:type="auto"/>
            <w:vAlign w:val="center"/>
            <w:hideMark/>
          </w:tcPr>
          <w:p w14:paraId="5F36AF09"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Drift and dispersion models</w:t>
            </w:r>
          </w:p>
        </w:tc>
        <w:tc>
          <w:tcPr>
            <w:tcW w:w="0" w:type="auto"/>
            <w:vAlign w:val="center"/>
            <w:hideMark/>
          </w:tcPr>
          <w:p w14:paraId="4FE5E6E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Estimation of off-target exposure</w:t>
            </w:r>
          </w:p>
        </w:tc>
        <w:tc>
          <w:tcPr>
            <w:tcW w:w="0" w:type="auto"/>
            <w:vAlign w:val="center"/>
            <w:hideMark/>
          </w:tcPr>
          <w:p w14:paraId="41D8F93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Incorporates meteorology and application method variability</w:t>
            </w:r>
          </w:p>
        </w:tc>
        <w:tc>
          <w:tcPr>
            <w:tcW w:w="0" w:type="auto"/>
            <w:vAlign w:val="center"/>
            <w:hideMark/>
          </w:tcPr>
          <w:p w14:paraId="3BDCF0F8"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Sensitive to parameter assumptions</w:t>
            </w:r>
          </w:p>
        </w:tc>
      </w:tr>
      <w:tr w:rsidR="001E3DE4" w:rsidRPr="001E3DE4" w14:paraId="7F6127A1" w14:textId="77777777" w:rsidTr="001E3DE4">
        <w:trPr>
          <w:tblCellSpacing w:w="15" w:type="dxa"/>
        </w:trPr>
        <w:tc>
          <w:tcPr>
            <w:tcW w:w="0" w:type="auto"/>
            <w:vAlign w:val="center"/>
            <w:hideMark/>
          </w:tcPr>
          <w:p w14:paraId="1650CB2E"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Cumulative exposure indices</w:t>
            </w:r>
          </w:p>
        </w:tc>
        <w:tc>
          <w:tcPr>
            <w:tcW w:w="0" w:type="auto"/>
            <w:vAlign w:val="center"/>
            <w:hideMark/>
          </w:tcPr>
          <w:p w14:paraId="348F65F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Long-term exposure summarization</w:t>
            </w:r>
          </w:p>
        </w:tc>
        <w:tc>
          <w:tcPr>
            <w:tcW w:w="0" w:type="auto"/>
            <w:vAlign w:val="center"/>
            <w:hideMark/>
          </w:tcPr>
          <w:p w14:paraId="7C46E4A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Enables life-course exposure representation</w:t>
            </w:r>
          </w:p>
        </w:tc>
        <w:tc>
          <w:tcPr>
            <w:tcW w:w="0" w:type="auto"/>
            <w:vAlign w:val="center"/>
            <w:hideMark/>
          </w:tcPr>
          <w:p w14:paraId="46BDEE06"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Simplifies toxicity differences across agents</w:t>
            </w:r>
          </w:p>
        </w:tc>
      </w:tr>
      <w:tr w:rsidR="001E3DE4" w:rsidRPr="001E3DE4" w14:paraId="64531600" w14:textId="77777777" w:rsidTr="001E3DE4">
        <w:trPr>
          <w:tblCellSpacing w:w="15" w:type="dxa"/>
        </w:trPr>
        <w:tc>
          <w:tcPr>
            <w:tcW w:w="0" w:type="auto"/>
            <w:vAlign w:val="center"/>
            <w:hideMark/>
          </w:tcPr>
          <w:p w14:paraId="4D3A485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Urinary biomonitoring</w:t>
            </w:r>
          </w:p>
        </w:tc>
        <w:tc>
          <w:tcPr>
            <w:tcW w:w="0" w:type="auto"/>
            <w:vAlign w:val="center"/>
            <w:hideMark/>
          </w:tcPr>
          <w:p w14:paraId="4FF53CF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Short-term internal dose estimation</w:t>
            </w:r>
          </w:p>
        </w:tc>
        <w:tc>
          <w:tcPr>
            <w:tcW w:w="0" w:type="auto"/>
            <w:vAlign w:val="center"/>
            <w:hideMark/>
          </w:tcPr>
          <w:p w14:paraId="0E2FCA83"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Reflects absorbed exposure across routes</w:t>
            </w:r>
          </w:p>
        </w:tc>
        <w:tc>
          <w:tcPr>
            <w:tcW w:w="0" w:type="auto"/>
            <w:vAlign w:val="center"/>
            <w:hideMark/>
          </w:tcPr>
          <w:p w14:paraId="5A78B8B6"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Narrow temporal exposure window</w:t>
            </w:r>
          </w:p>
        </w:tc>
      </w:tr>
      <w:tr w:rsidR="001E3DE4" w:rsidRPr="001E3DE4" w14:paraId="51F83C4E" w14:textId="77777777" w:rsidTr="001E3DE4">
        <w:trPr>
          <w:tblCellSpacing w:w="15" w:type="dxa"/>
        </w:trPr>
        <w:tc>
          <w:tcPr>
            <w:tcW w:w="0" w:type="auto"/>
            <w:vAlign w:val="center"/>
            <w:hideMark/>
          </w:tcPr>
          <w:p w14:paraId="627FEFD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lastRenderedPageBreak/>
              <w:t>Blood biomarkers</w:t>
            </w:r>
          </w:p>
        </w:tc>
        <w:tc>
          <w:tcPr>
            <w:tcW w:w="0" w:type="auto"/>
            <w:vAlign w:val="center"/>
            <w:hideMark/>
          </w:tcPr>
          <w:p w14:paraId="611FFB6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Systemic exposure assessment</w:t>
            </w:r>
          </w:p>
        </w:tc>
        <w:tc>
          <w:tcPr>
            <w:tcW w:w="0" w:type="auto"/>
            <w:vAlign w:val="center"/>
            <w:hideMark/>
          </w:tcPr>
          <w:p w14:paraId="22FC1CB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Indicates circulating or persistent compounds</w:t>
            </w:r>
          </w:p>
        </w:tc>
        <w:tc>
          <w:tcPr>
            <w:tcW w:w="0" w:type="auto"/>
            <w:vAlign w:val="center"/>
            <w:hideMark/>
          </w:tcPr>
          <w:p w14:paraId="3CE5ABAF"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Invasive; limited temporal resolution</w:t>
            </w:r>
          </w:p>
        </w:tc>
      </w:tr>
      <w:tr w:rsidR="001E3DE4" w:rsidRPr="001E3DE4" w14:paraId="07EEF8CB" w14:textId="77777777" w:rsidTr="001E3DE4">
        <w:trPr>
          <w:tblCellSpacing w:w="15" w:type="dxa"/>
        </w:trPr>
        <w:tc>
          <w:tcPr>
            <w:tcW w:w="0" w:type="auto"/>
            <w:vAlign w:val="center"/>
            <w:hideMark/>
          </w:tcPr>
          <w:p w14:paraId="3B2E4D1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Hair biomarkers</w:t>
            </w:r>
          </w:p>
        </w:tc>
        <w:tc>
          <w:tcPr>
            <w:tcW w:w="0" w:type="auto"/>
            <w:vAlign w:val="center"/>
            <w:hideMark/>
          </w:tcPr>
          <w:p w14:paraId="7A50FDAA"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Chronic exposure reconstruction</w:t>
            </w:r>
          </w:p>
        </w:tc>
        <w:tc>
          <w:tcPr>
            <w:tcW w:w="0" w:type="auto"/>
            <w:vAlign w:val="center"/>
            <w:hideMark/>
          </w:tcPr>
          <w:p w14:paraId="1020627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Integrates exposure over months</w:t>
            </w:r>
          </w:p>
        </w:tc>
        <w:tc>
          <w:tcPr>
            <w:tcW w:w="0" w:type="auto"/>
            <w:vAlign w:val="center"/>
            <w:hideMark/>
          </w:tcPr>
          <w:p w14:paraId="456D29F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Lack of standardized protocols</w:t>
            </w:r>
          </w:p>
        </w:tc>
      </w:tr>
      <w:tr w:rsidR="001E3DE4" w:rsidRPr="001E3DE4" w14:paraId="7EB47B1F" w14:textId="77777777" w:rsidTr="001E3DE4">
        <w:trPr>
          <w:tblCellSpacing w:w="15" w:type="dxa"/>
        </w:trPr>
        <w:tc>
          <w:tcPr>
            <w:tcW w:w="0" w:type="auto"/>
            <w:vAlign w:val="center"/>
            <w:hideMark/>
          </w:tcPr>
          <w:p w14:paraId="75CB28F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Multi-pollutant regression</w:t>
            </w:r>
          </w:p>
        </w:tc>
        <w:tc>
          <w:tcPr>
            <w:tcW w:w="0" w:type="auto"/>
            <w:vAlign w:val="center"/>
            <w:hideMark/>
          </w:tcPr>
          <w:p w14:paraId="0DF02FF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Exposure–outcome association testing</w:t>
            </w:r>
          </w:p>
        </w:tc>
        <w:tc>
          <w:tcPr>
            <w:tcW w:w="0" w:type="auto"/>
            <w:vAlign w:val="center"/>
            <w:hideMark/>
          </w:tcPr>
          <w:p w14:paraId="526C6667"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Familiar interpretation for epidemiology</w:t>
            </w:r>
          </w:p>
        </w:tc>
        <w:tc>
          <w:tcPr>
            <w:tcW w:w="0" w:type="auto"/>
            <w:vAlign w:val="center"/>
            <w:hideMark/>
          </w:tcPr>
          <w:p w14:paraId="23A1513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Vulnerable to collinearity</w:t>
            </w:r>
          </w:p>
        </w:tc>
      </w:tr>
      <w:tr w:rsidR="001E3DE4" w:rsidRPr="001E3DE4" w14:paraId="2779CB13" w14:textId="77777777" w:rsidTr="001E3DE4">
        <w:trPr>
          <w:tblCellSpacing w:w="15" w:type="dxa"/>
        </w:trPr>
        <w:tc>
          <w:tcPr>
            <w:tcW w:w="0" w:type="auto"/>
            <w:vAlign w:val="center"/>
            <w:hideMark/>
          </w:tcPr>
          <w:p w14:paraId="6CE4488C"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Bayesian hierarchical models</w:t>
            </w:r>
          </w:p>
        </w:tc>
        <w:tc>
          <w:tcPr>
            <w:tcW w:w="0" w:type="auto"/>
            <w:vAlign w:val="center"/>
            <w:hideMark/>
          </w:tcPr>
          <w:p w14:paraId="0CC01F78"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Complex exposure structure modeling</w:t>
            </w:r>
          </w:p>
        </w:tc>
        <w:tc>
          <w:tcPr>
            <w:tcW w:w="0" w:type="auto"/>
            <w:vAlign w:val="center"/>
            <w:hideMark/>
          </w:tcPr>
          <w:p w14:paraId="4183F4C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Explicit uncertainty quantification</w:t>
            </w:r>
          </w:p>
        </w:tc>
        <w:tc>
          <w:tcPr>
            <w:tcW w:w="0" w:type="auto"/>
            <w:vAlign w:val="center"/>
            <w:hideMark/>
          </w:tcPr>
          <w:p w14:paraId="7E51E98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Computational intensity</w:t>
            </w:r>
          </w:p>
        </w:tc>
      </w:tr>
      <w:tr w:rsidR="001E3DE4" w:rsidRPr="001E3DE4" w14:paraId="714BBF7B" w14:textId="77777777" w:rsidTr="001E3DE4">
        <w:trPr>
          <w:tblCellSpacing w:w="15" w:type="dxa"/>
        </w:trPr>
        <w:tc>
          <w:tcPr>
            <w:tcW w:w="0" w:type="auto"/>
            <w:vAlign w:val="center"/>
            <w:hideMark/>
          </w:tcPr>
          <w:p w14:paraId="06704D54"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Mixture models (WQS, BKMR)</w:t>
            </w:r>
          </w:p>
        </w:tc>
        <w:tc>
          <w:tcPr>
            <w:tcW w:w="0" w:type="auto"/>
            <w:vAlign w:val="center"/>
            <w:hideMark/>
          </w:tcPr>
          <w:p w14:paraId="1D53568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Identification of influential mixtures</w:t>
            </w:r>
          </w:p>
        </w:tc>
        <w:tc>
          <w:tcPr>
            <w:tcW w:w="0" w:type="auto"/>
            <w:vAlign w:val="center"/>
            <w:hideMark/>
          </w:tcPr>
          <w:p w14:paraId="212C1A32"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Estimates joint effects of correlated agents</w:t>
            </w:r>
          </w:p>
        </w:tc>
        <w:tc>
          <w:tcPr>
            <w:tcW w:w="0" w:type="auto"/>
            <w:vAlign w:val="center"/>
            <w:hideMark/>
          </w:tcPr>
          <w:p w14:paraId="33F5A1C5"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Requires large sample sizes</w:t>
            </w:r>
          </w:p>
        </w:tc>
      </w:tr>
      <w:tr w:rsidR="001E3DE4" w:rsidRPr="001E3DE4" w14:paraId="0667D792" w14:textId="77777777" w:rsidTr="001E3DE4">
        <w:trPr>
          <w:tblCellSpacing w:w="15" w:type="dxa"/>
        </w:trPr>
        <w:tc>
          <w:tcPr>
            <w:tcW w:w="0" w:type="auto"/>
            <w:vAlign w:val="center"/>
            <w:hideMark/>
          </w:tcPr>
          <w:p w14:paraId="01FDC561"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Machine learning methods</w:t>
            </w:r>
          </w:p>
        </w:tc>
        <w:tc>
          <w:tcPr>
            <w:tcW w:w="0" w:type="auto"/>
            <w:vAlign w:val="center"/>
            <w:hideMark/>
          </w:tcPr>
          <w:p w14:paraId="7F89B8BB"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Pattern detection in high-dimensional data</w:t>
            </w:r>
          </w:p>
        </w:tc>
        <w:tc>
          <w:tcPr>
            <w:tcW w:w="0" w:type="auto"/>
            <w:vAlign w:val="center"/>
            <w:hideMark/>
          </w:tcPr>
          <w:p w14:paraId="6180DB5D"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Captures nonlinearity and interactions</w:t>
            </w:r>
          </w:p>
        </w:tc>
        <w:tc>
          <w:tcPr>
            <w:tcW w:w="0" w:type="auto"/>
            <w:vAlign w:val="center"/>
            <w:hideMark/>
          </w:tcPr>
          <w:p w14:paraId="276C7240" w14:textId="77777777" w:rsidR="001E3DE4" w:rsidRPr="001E3DE4" w:rsidRDefault="001E3DE4" w:rsidP="00B5799D">
            <w:pPr>
              <w:jc w:val="both"/>
              <w:rPr>
                <w:rFonts w:ascii="Times New Roman" w:hAnsi="Times New Roman" w:cs="Times New Roman"/>
              </w:rPr>
            </w:pPr>
            <w:r w:rsidRPr="001E3DE4">
              <w:rPr>
                <w:rFonts w:ascii="Times New Roman" w:hAnsi="Times New Roman" w:cs="Times New Roman"/>
              </w:rPr>
              <w:t>Interpretability constraints</w:t>
            </w:r>
          </w:p>
        </w:tc>
      </w:tr>
    </w:tbl>
    <w:p w14:paraId="58C5B91B" w14:textId="77777777" w:rsidR="001E3DE4" w:rsidRPr="005C3A0C" w:rsidRDefault="001E3DE4" w:rsidP="00B5799D">
      <w:pPr>
        <w:jc w:val="both"/>
        <w:rPr>
          <w:rFonts w:ascii="Times New Roman" w:hAnsi="Times New Roman" w:cs="Times New Roman"/>
        </w:rPr>
      </w:pPr>
    </w:p>
    <w:p w14:paraId="345B1C13"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 Methodological Challenges and Sources of Uncertainty</w:t>
      </w:r>
    </w:p>
    <w:p w14:paraId="2650C185" w14:textId="77777777" w:rsidR="005C3A0C" w:rsidRPr="005C3A0C" w:rsidRDefault="005C3A0C" w:rsidP="00B5799D">
      <w:pPr>
        <w:jc w:val="both"/>
        <w:rPr>
          <w:rFonts w:ascii="Times New Roman" w:hAnsi="Times New Roman" w:cs="Times New Roman"/>
        </w:rPr>
      </w:pPr>
      <w:r w:rsidRPr="005C3A0C">
        <w:rPr>
          <w:rFonts w:ascii="Times New Roman" w:hAnsi="Times New Roman" w:cs="Times New Roman"/>
        </w:rPr>
        <w:t>Despite advances in exposome science and integrative modeling, substantial methodological challenges remain in assessing chronic disease risk from agrochemical exposure in farming populations. These challenges introduce uncertainty at multiple stages of analysis and must be explicitly acknowledged to ensure balanced interpretation and credible inference.</w:t>
      </w:r>
    </w:p>
    <w:p w14:paraId="031CE323"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6.1 Exposure Misclassification</w:t>
      </w:r>
    </w:p>
    <w:p w14:paraId="064264B3" w14:textId="34203C1E"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Exposure misclassification is a persistent concern in agricultural health research. Many farmers rely on private wells for drinking water, and contamination levels can vary considerably across small geographic areas and over time. Infrequent or absent monitoring of these water sources limits the ability to accurately characterize long term ingestion exposure. In addition, not all relevant agrochemicals or their transformation products are routinely measured, leading to unmeasured or poorly characterized contaminants that may contribute to health risk. Reliance on </w:t>
      </w:r>
      <w:proofErr w:type="spellStart"/>
      <w:r w:rsidRPr="005C3A0C">
        <w:rPr>
          <w:rFonts w:ascii="Times New Roman" w:hAnsi="Times New Roman" w:cs="Times New Roman"/>
        </w:rPr>
        <w:t>self reported</w:t>
      </w:r>
      <w:proofErr w:type="spellEnd"/>
      <w:r w:rsidRPr="005C3A0C">
        <w:rPr>
          <w:rFonts w:ascii="Times New Roman" w:hAnsi="Times New Roman" w:cs="Times New Roman"/>
        </w:rPr>
        <w:t xml:space="preserve"> pesticide use histories further introduces recall bias, particularly in studies that require participants to reconstruct exposure patterns over many years</w:t>
      </w:r>
      <w:r w:rsidR="00FD5C9D">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{"citationID":"aRqSTU8v","properties":{"formattedCitation":"(31,32)","plainCitation":"(31,32)","noteIndex":0},"citationItems":[{"id":14930,"uris":["http://zotero.org/users/16652950/items/I6QXF3D9"],"itemData":{"id":14930,"type":"article-journal","abstract":"We describe drinking water sources and water quality for a large agricultural cohort. We used questionnaire data from the Agricultural Health Study (N = 89,655), a cohort of licensed pesticide applicators and their spouses in Iowa (IA) and North Carolina (NC), to ascertain drinking water source at enrollment (1993–1997). For users of public water supplies (PWS), we linked participants’ geocoded addresses to contaminant monitoring data [five haloacetic acids (HAA5), total trihalomethanes (TTHM), and nitrate-nitrogen (NO3-N)]. We estimated private well nitrate levels using random forest models accounting for well depth, soil characteristics, nitrogen inputs, and other predictors. We assigned drinking water source for 84% (N = 74,919) of participants. Among these, 69% of IA and 75% of NC participants used private wells; 27% in IA and 21% in NC used PWS. Median PWS nitrate concentrations (NO3-N) were higher in IA [0.9 mg/L, interquartile range (IQR): 0.4–3.1 mg/L] than NC (0.1 mg/L, IQR: 0.1–0.2 mg/L), while median HAA5 and TTHM concentrations were higher in NC (HAA5: 11.9 µg/L, IQR: 5.5–33.4 µg/L; TTHM: 37.7 µg/L, IQR: 10.7–54.7 µg/L) than IA (HAA5: 5.0 µg/L, IQR: 3.7–10.7 µg/L; TTHM: 13.0 µg/L, IQR: 4.2–32.4 µg/L). Private well nitrate concentrations in IA (1.5 mg/L, IQR: 0.8–4.9 mg/L) and NC (1.9 mg/L, IQR: 1.4–2.5 mg/L) were higher than PWS. More private wells in IA (12%) exceeded 10 mg/L NO3-N (regulatory limit for PWS) than NC (&lt;1%). Due to the proximity of their drinking water sources to farms, agricultural communities may be exposed to elevated nitrate levels.","container-title":"Environmental Epidemiology","DOI":"10.1097/EE9.0000000000000210","ISSN":"2474-7882","issue":"3","journalAbbreviation":"Environ Epidemiol","note":"PMID: 35702502\nPMCID: PMC9187174","page":"e210","source":"PubMed Central","title":"Drinking water sources and water quality in a prospective agricultural cohort","volume":"6","author":[{"family":"Manley","given":"Cherrel K."},{"family":"Spaur","given":"Maya"},{"family":"Madrigal","given":"Jessica M."},{"family":"Fisher","given":"Jared A."},{"family":"Jones","given":"Rena R."},{"family":"Parks","given":"Christine G."},{"family":"Hofmann","given":"Jonathan N."},{"family":"Sandler","given":"Dale P."},{"family":"Beane Freeman","given":"Laura"},{"family":"Ward","given":"Mary H."}],"issued":{"date-parts":[["2022",5,25]]}}},{"id":15058,"uris":["http://zotero.org/users/16652950/items/QEQ6JI4K"],"itemData":{"id":15058,"type":"article-journal","abstract":"Arsenic contamination in the drinking water of Nepal, particularly in the Terai region, poses a serious public health challenge, as groundwater serves as the primary water source for millions of peoples. This study investigates the prevalence, sources, and consequences of arsenic contamination, employing recent data and scientific analyses. Chronic exposure to arsenic is associated with severe health complications, including skin lesions, various forms of cancer, and cardiovascular diseases, disproportionately affecting vulnerable populations. Despite ongoing efforts to mitigate arsenic exposure, challenges remain in the effective identification and management of contaminated sources. Beyond water contamination, arsenic accumulates in soil and crops, jeopardizing food safety. While traditional mapping methods are expensive, machine learning offers cost-effective, high-resolution solutions. Portable field kits enable rapid arsenic detection in drinking water, but proper disposal of filtration waste remains a challenge. Iron-based biosand filters present a viable interim solution to comply with the arsenic standards set by the Government of Nepal, while also effectively eliminating bacteria and viruses. Nevertheless, the establishment of sustainable groundwater treatment systems for clustered communities in the Terai region is imperative. This paper shows the necessity for comprehensive testing, enhanced public awareness, and sustainable water management practices to safeguard public health in Nepal.","container-title":"World Water Policy","DOI":"10.1002/wwp2.70008","ISSN":"2639-541X","issue":"3","language":"en","license":"© 2025 Policy Studies Organization.","note":"_eprint: https://onlinelibrary.wiley.com/doi/pdf/10.1002/wwp2.70008","page":"871-888","source":"Wiley Online Library","title":"Groundwater Arsenic Contamination in Nepal","volume":"11","author":[{"family":"Aryal","given":"Mahendra"}],"issued":{"date-parts":[["2025"]]}}}],"schema":"https://github.com/citation-style-language/schema/raw/master/csl-citation.json"} </w:instrText>
      </w:r>
      <w:r w:rsidR="00FD5C9D">
        <w:rPr>
          <w:rFonts w:ascii="Times New Roman" w:hAnsi="Times New Roman" w:cs="Times New Roman"/>
        </w:rPr>
        <w:fldChar w:fldCharType="separate"/>
      </w:r>
      <w:r w:rsidR="00647867" w:rsidRPr="00647867">
        <w:rPr>
          <w:rFonts w:ascii="Times New Roman" w:hAnsi="Times New Roman" w:cs="Times New Roman"/>
        </w:rPr>
        <w:t>(31,32)</w:t>
      </w:r>
      <w:r w:rsidR="00FD5C9D">
        <w:rPr>
          <w:rFonts w:ascii="Times New Roman" w:hAnsi="Times New Roman" w:cs="Times New Roman"/>
        </w:rPr>
        <w:fldChar w:fldCharType="end"/>
      </w:r>
      <w:r w:rsidRPr="005C3A0C">
        <w:rPr>
          <w:rFonts w:ascii="Times New Roman" w:hAnsi="Times New Roman" w:cs="Times New Roman"/>
        </w:rPr>
        <w:t>. Even when application records are available, they may not fully capture individual behaviors, protective practices, or secondary exposure routes, all of which influence internal dose.</w:t>
      </w:r>
    </w:p>
    <w:p w14:paraId="3C1DD63C"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lastRenderedPageBreak/>
        <w:t>6.2 Temporal Mismatch</w:t>
      </w:r>
    </w:p>
    <w:p w14:paraId="5FB096E6" w14:textId="7EFAA621" w:rsidR="005C3A0C" w:rsidRPr="005C3A0C" w:rsidRDefault="005C3A0C" w:rsidP="00B5799D">
      <w:pPr>
        <w:jc w:val="both"/>
        <w:rPr>
          <w:rFonts w:ascii="Times New Roman" w:hAnsi="Times New Roman" w:cs="Times New Roman"/>
        </w:rPr>
      </w:pPr>
      <w:r w:rsidRPr="005C3A0C">
        <w:rPr>
          <w:rFonts w:ascii="Times New Roman" w:hAnsi="Times New Roman" w:cs="Times New Roman"/>
        </w:rPr>
        <w:t>A fundamental challenge in linking agrochemical exposure to chronic disease lies in the temporal mismatch between exposure assessment and disease manifestation. Many chronic conditions associated with pesticide exposure, including cancer and neurodegenerative disorders, develop over decades. In contrast, commonly used biomarkers often reflect recent exposure over days or weeks. This disconnect complicates efforts to identify etiologically relevant exposure windows and increases the risk of misclassification. Although environmental modeling and historical reconstruction can extend exposure estimates backward in time, uncertainty remains regarding cumulative dose and critical periods of susceptibility</w:t>
      </w:r>
      <w:r w:rsidR="0075243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{"citationID":"VIeGqlQu","properties":{"formattedCitation":"(33)","plainCitation":"(33)","noteIndex":0},"citationItems":[{"id":13347,"uris":["http://zotero.org/users/16652950/items/76TD6SI6"],"itemData":{"id":13347,"type":"article-journal","abstract":"The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rsidR="00752439">
        <w:rPr>
          <w:rFonts w:ascii="Times New Roman" w:hAnsi="Times New Roman" w:cs="Times New Roman"/>
        </w:rPr>
        <w:fldChar w:fldCharType="separate"/>
      </w:r>
      <w:r w:rsidR="00647867" w:rsidRPr="00647867">
        <w:rPr>
          <w:rFonts w:ascii="Times New Roman" w:hAnsi="Times New Roman" w:cs="Times New Roman"/>
        </w:rPr>
        <w:t>(33)</w:t>
      </w:r>
      <w:r w:rsidR="00752439">
        <w:rPr>
          <w:rFonts w:ascii="Times New Roman" w:hAnsi="Times New Roman" w:cs="Times New Roman"/>
        </w:rPr>
        <w:fldChar w:fldCharType="end"/>
      </w:r>
      <w:r w:rsidRPr="005C3A0C">
        <w:rPr>
          <w:rFonts w:ascii="Times New Roman" w:hAnsi="Times New Roman" w:cs="Times New Roman"/>
        </w:rPr>
        <w:t>.</w:t>
      </w:r>
    </w:p>
    <w:p w14:paraId="1499E1AE"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6.3 Confounding and Effect Modification</w:t>
      </w:r>
    </w:p>
    <w:p w14:paraId="6E7387CE" w14:textId="490EFBDC" w:rsidR="005C3A0C" w:rsidRPr="005C3A0C" w:rsidRDefault="005C3A0C" w:rsidP="00B5799D">
      <w:pPr>
        <w:jc w:val="both"/>
        <w:rPr>
          <w:rFonts w:ascii="Times New Roman" w:hAnsi="Times New Roman" w:cs="Times New Roman"/>
        </w:rPr>
      </w:pPr>
      <w:r w:rsidRPr="005C3A0C">
        <w:rPr>
          <w:rFonts w:ascii="Times New Roman" w:hAnsi="Times New Roman" w:cs="Times New Roman"/>
        </w:rPr>
        <w:t xml:space="preserve">Farming populations are exposed to a range of </w:t>
      </w:r>
      <w:proofErr w:type="spellStart"/>
      <w:proofErr w:type="gramStart"/>
      <w:r w:rsidRPr="005C3A0C">
        <w:rPr>
          <w:rFonts w:ascii="Times New Roman" w:hAnsi="Times New Roman" w:cs="Times New Roman"/>
        </w:rPr>
        <w:t>non chemical</w:t>
      </w:r>
      <w:proofErr w:type="spellEnd"/>
      <w:proofErr w:type="gramEnd"/>
      <w:r w:rsidRPr="005C3A0C">
        <w:rPr>
          <w:rFonts w:ascii="Times New Roman" w:hAnsi="Times New Roman" w:cs="Times New Roman"/>
        </w:rPr>
        <w:t xml:space="preserve"> factors that can confound or modify observed associations. Socioeconomic status influences access to health care, diagnostic practices, and baseline disease risk, while also shaping exposure patterns through farm size, crop choice, and labor intensity. Co exposures such as diesel exhaust from farm machinery, organic dusts, and zoonotic agents introduce additional complexity, as these agents may independently affect chronic disease risk or interact with agrochemicals. Genetic susceptibility and individual differences in metabolism further modify exposure response relationships, contributing to heterogeneity in observed outcomes</w:t>
      </w:r>
      <w:r w:rsidR="0075243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{"citationID":"q8HbT4GG","properties":{"formattedCitation":"(34)","plainCitation":"(34)","noteIndex":0},"citationItems":[{"id":15060,"uris":["http://zotero.org/users/16652950/items/Y6IRNHLI"],"itemData":{"id":15060,"type":"article-journal","abstract":"Non-communicable diseases (NCDs) pose a global health challenge, leading to substantial morbidity, mortality, and economic strain. Our review underscores the escalating incidence of NCDs worldwide and highlights the potential of regenerative agriculture (RA) products in mitigating these diseases. We also explore the efficacy of dietary interventions in NCD management and prevention, emphasizing the superiority of plant-based diets over those high in processed foods and red meat. Examining the role of the gut microbiome in various diseases, including liver disorders, allergies, metabolic syndrome, inflammatory bowel disease, and colon cancer, we find compelling evidence implicating its influence on disease development. Notably, dietary modifications can positively affect the gut microbiome, fostering a symbiotic relationship with the host and making this a critical strategy in disease prevention and treatment. Investigating agricultural practices, we identify parallels between soil/plant and human microbiome studies, suggesting a crucial link between soil health, plant- and animal-derived food quality, and human well-being. Conventional/Industrial agriculture (IA) practices, characterized in part by use of chemical inputs, have adverse effects on soil microbiome diversity, food quality, and ecosystems. In contrast, RA prioritizes soil health through natural processes, and includes avoiding synthetic inputs, crop rotation, and integrating livestock. Emerging evidence suggests that food from RA systems surpasses IA-produced food in quality and nutritional value. Recognizing the interconnection between human, plant, and soil microbiomes, promoting RA-produced foods emerges as a strategy to improve human health and environmental sustainability. By mitigating climate change impacts through carbon sequestration and water cycling, RA offers dual benefits for human and planetary health and well-being. Emphasizing the pivotal role of diet and agricultural practices in combating NCDs and addressing environmental concerns, the adoption of regional RA systems becomes imperative. Increasing RA integration into local food systems can enhance food quality, availability, and affordability while safeguarding human health and the planet's future.","container-title":"One Health","DOI":"10.1016/j.onehlt.2024.100734","ISSN":"2352-7714","journalAbbreviation":"One Health","page":"100734","source":"ScienceDirect","title":"Food for thought: Making the case for food produced via regenerative agriculture in the battle against non-communicable chronic diseases (NCDs)","title-short":"Food for thought","volume":"18","author":[{"family":"Ramkumar","given":"Davendra"},{"family":"Marty","given":"Aileen"},{"family":"Ramkumar","given":"Japhia"},{"family":"Rosencranz","given":"Holly"},{"family":"Vedantham","given":"Radhika"},{"family":"Goldman","given":"Modan"},{"family":"Meyer","given":"Erin"},{"family":"Steinmetz","given":"Jasia"},{"family":"Weckle","given":"Amy"},{"family":"Bloedorn","given":"Kelly"},{"family":"Rosier","given":"Carl"}],"issued":{"date-parts":[["2024",6,1]]}}}],"schema":"https://github.com/citation-style-language/schema/raw/master/csl-citation.json"} </w:instrText>
      </w:r>
      <w:r w:rsidR="00752439">
        <w:rPr>
          <w:rFonts w:ascii="Times New Roman" w:hAnsi="Times New Roman" w:cs="Times New Roman"/>
        </w:rPr>
        <w:fldChar w:fldCharType="separate"/>
      </w:r>
      <w:r w:rsidR="00647867" w:rsidRPr="00647867">
        <w:rPr>
          <w:rFonts w:ascii="Times New Roman" w:hAnsi="Times New Roman" w:cs="Times New Roman"/>
        </w:rPr>
        <w:t>(34)</w:t>
      </w:r>
      <w:r w:rsidR="00752439">
        <w:rPr>
          <w:rFonts w:ascii="Times New Roman" w:hAnsi="Times New Roman" w:cs="Times New Roman"/>
        </w:rPr>
        <w:fldChar w:fldCharType="end"/>
      </w:r>
      <w:r w:rsidRPr="005C3A0C">
        <w:rPr>
          <w:rFonts w:ascii="Times New Roman" w:hAnsi="Times New Roman" w:cs="Times New Roman"/>
        </w:rPr>
        <w:t>.</w:t>
      </w:r>
    </w:p>
    <w:p w14:paraId="612DE17F" w14:textId="77777777" w:rsidR="005C3A0C" w:rsidRPr="005C3A0C" w:rsidRDefault="005C3A0C" w:rsidP="00B5799D">
      <w:pPr>
        <w:jc w:val="both"/>
        <w:rPr>
          <w:rFonts w:ascii="Times New Roman" w:hAnsi="Times New Roman" w:cs="Times New Roman"/>
          <w:b/>
          <w:bCs/>
        </w:rPr>
      </w:pPr>
      <w:r w:rsidRPr="005C3A0C">
        <w:rPr>
          <w:rFonts w:ascii="Times New Roman" w:hAnsi="Times New Roman" w:cs="Times New Roman"/>
          <w:b/>
          <w:bCs/>
        </w:rPr>
        <w:t>6.4 Data Integration Barriers</w:t>
      </w:r>
    </w:p>
    <w:p w14:paraId="3830A220" w14:textId="54430F73" w:rsidR="005C3A0C" w:rsidRPr="005C3A0C" w:rsidRDefault="005C3A0C" w:rsidP="00B5799D">
      <w:pPr>
        <w:jc w:val="both"/>
        <w:rPr>
          <w:rFonts w:ascii="Times New Roman" w:hAnsi="Times New Roman" w:cs="Times New Roman"/>
        </w:rPr>
      </w:pPr>
      <w:r w:rsidRPr="005C3A0C">
        <w:rPr>
          <w:rFonts w:ascii="Times New Roman" w:hAnsi="Times New Roman" w:cs="Times New Roman"/>
        </w:rPr>
        <w:t>Integrative exposome research depends on the ability to link environmental, biological, and clinical datasets, yet such integration is often hindered by practical and structural barriers. Environmental monitoring data may lack spatial resolution or temporal alignment with health records, while biomonitoring data are frequently limited to small subsets of study populations. Differences in data formats, privacy constraints, and institutional silos further impede comprehensive analysis. Addressing these integration challenges is essential for reducing uncertainty and advancing robust exposome based risk assessment in agricultural health research</w:t>
      </w:r>
      <w:r w:rsidR="0075243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{"citationID":"kw77wCKs","properties":{"formattedCitation":"(23,35)","plainCitation":"(23,35)","noteIndex":0},"citationItems":[{"id":15043,"uris":["http://zotero.org/users/16652950/items/9K8DVB57"],"itemData":{"id":15043,"type":"article-journal","abstract":"The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 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 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Health","note":"PMID: 39211902\nPMCID: PMC11359557","page":"1376609","source":"PubMed Central","title":"Integrating the exposome and one health approach to national health surveillance: an opportunity for Latin American countries in health preventive management","title-short":"Integrating the exposome and one health approach to national health surveillance","volume":"12","author":[{"family":"Matus","given":"Patricia"},{"family":"Urquidi","given":"Cinthya"},{"family":"Cárcamo","given":"Marcela"},{"family":"Vidal","given":"Veronica"}],"issued":{"date-parts":[["2024",8,14]]}}},{"id":14956,"uris":["http://zotero.org/users/16652950/items/QR7HH7VX"],"itemData":{"id":14956,"type":"article-journal","abstract":"The human exposome (the cumulative measure of environmental exposures across the life course) offers a critical complement to genomics in deciphering the multifactorial origins of complex diseases. Exposome-wide association studies (ExWAS) represent an emerging class of high-dimensional epidemiological analyses designed to systematically assess associations between diverse environmental exposures and health outcomes. However, ExWAS requires advanced computational standards and tools capable of handling exposure complexity, temporal variability, co-exposure correlation, and multi-omics data integration. This review synthesizes current computational methodologies and platforms for ExWAS, highlighting recent advances in statistical modeling, exposure quantification, and bioinformatics tools. We conducted a PRISMA-ScR-guided scoping review across PubMed, Scopus, and Web of Science (2010–2025), with dual-reviewer screening in Rayyan, standardized data charting, and SWiM-aligned narrative synthesis. We explore multivariable and mixture modeling approaches (e.g., weighted quantile sum regression, Bayesian kernel machine regression), integration of external and internal exposome domains, and the application of longitudinal designs and environmental risk scoring. Key platforms such as the rexposome suite, exposomeShiny, and the integrative INTEGRA framework are examined for their role in operationalizing exposomic analyses at population scale. We also discuss the importance of data standardization, including exposure ontologies, harmonization protocols, and federated data infrastructure supporting cross-cohort analyses. Moreover, we discuss how computational exposomics can elucidate mechanistic pathways linking environmental exposures to disease, particularly when integrated with transcriptomic and metabolomic data. Finally, we outline future directions for the field, including genome–exposome integration, AI-driven causal inference, and translational pipelines for regulatory and clinical implementation. Beyond listing methods, we assess computational maturity and reproducibility (open licensing, containerization, federation readiness) and connect standards + tools to ExWAS workflows and translation. Computationally mature and mechanistically anchored, ExWAS are poised to become central tools in precision environmental health, enhancing the interpretability of genome–environment interactions and the predictive power of integrated omics frameworks.","container-title":"Environment International","DOI":"10.1016/j.envint.2026.110117","ISSN":"0160-4120","journalAbbreviation":"Environment International","page":"110117","source":"ScienceDirect","title":"Computational standards and tools for exposome-wide association studies linking the human exposome with health outcomes","volume":"208","author":[{"family":"Sarigiannis","given":"Dimosthenis"},{"family":"Anesti","given":"Ourania"},{"family":"Papaioannou","given":"Nafsika"},{"family":"Karakoltzidis","given":"Achilleas"},{"family":"Karakitsios","given":"Spyros"}],"issued":{"date-parts":[["2026",2,1]]}}}],"schema":"https://github.com/citation-style-language/schema/raw/master/csl-citation.json"} </w:instrText>
      </w:r>
      <w:r w:rsidR="00752439">
        <w:rPr>
          <w:rFonts w:ascii="Times New Roman" w:hAnsi="Times New Roman" w:cs="Times New Roman"/>
        </w:rPr>
        <w:fldChar w:fldCharType="separate"/>
      </w:r>
      <w:r w:rsidR="00647867" w:rsidRPr="00647867">
        <w:rPr>
          <w:rFonts w:ascii="Times New Roman" w:hAnsi="Times New Roman" w:cs="Times New Roman"/>
        </w:rPr>
        <w:t>(23,35)</w:t>
      </w:r>
      <w:r w:rsidR="00752439">
        <w:rPr>
          <w:rFonts w:ascii="Times New Roman" w:hAnsi="Times New Roman" w:cs="Times New Roman"/>
        </w:rPr>
        <w:fldChar w:fldCharType="end"/>
      </w:r>
      <w:r w:rsidRPr="005C3A0C">
        <w:rPr>
          <w:rFonts w:ascii="Times New Roman" w:hAnsi="Times New Roman" w:cs="Times New Roman"/>
        </w:rPr>
        <w:t>.</w:t>
      </w:r>
    </w:p>
    <w:p w14:paraId="3CC86910" w14:textId="77777777" w:rsidR="00CF5293" w:rsidRPr="00CF5293" w:rsidRDefault="00CF5293" w:rsidP="00B5799D">
      <w:pPr>
        <w:jc w:val="both"/>
        <w:rPr>
          <w:rFonts w:ascii="Times New Roman" w:hAnsi="Times New Roman" w:cs="Times New Roman"/>
          <w:b/>
          <w:bCs/>
        </w:rPr>
      </w:pPr>
      <w:r w:rsidRPr="00CF5293">
        <w:rPr>
          <w:rFonts w:ascii="Times New Roman" w:hAnsi="Times New Roman" w:cs="Times New Roman"/>
          <w:b/>
          <w:bCs/>
        </w:rPr>
        <w:t>7. Implications for Policy, Surveillance, and Risk Assessment</w:t>
      </w:r>
    </w:p>
    <w:p w14:paraId="6F735091" w14:textId="77777777" w:rsidR="00F520F5" w:rsidRPr="00B5799D" w:rsidRDefault="00F520F5" w:rsidP="00B5799D">
      <w:pPr>
        <w:jc w:val="both"/>
        <w:rPr>
          <w:rFonts w:ascii="Times New Roman" w:hAnsi="Times New Roman" w:cs="Times New Roman"/>
        </w:rPr>
      </w:pPr>
      <w:r w:rsidRPr="00F520F5">
        <w:rPr>
          <w:rFonts w:ascii="Times New Roman" w:hAnsi="Times New Roman" w:cs="Times New Roman"/>
        </w:rPr>
        <w:t>Integrative exposome modeling shifts the assessment of agrochemical exposure from isolated hazards to cumulative, systems-level risk, with important implications for regulation, surveillance, and prevention in agricultural health. In farming environments characterized by long-term, multi-pathway exposure, this perspective better reflects real-world conditions and strengthens the relevance of environmental health evidence for decision making.</w:t>
      </w:r>
    </w:p>
    <w:p w14:paraId="35E6CF00" w14:textId="77777777" w:rsidR="00274E24" w:rsidRPr="00274E24" w:rsidRDefault="00F520F5" w:rsidP="00B5799D">
      <w:pPr>
        <w:jc w:val="both"/>
        <w:rPr>
          <w:rFonts w:ascii="Times New Roman" w:hAnsi="Times New Roman" w:cs="Times New Roman"/>
        </w:rPr>
      </w:pPr>
      <w:r w:rsidRPr="00B5799D">
        <w:rPr>
          <w:rFonts w:ascii="Times New Roman" w:hAnsi="Times New Roman" w:cs="Times New Roman"/>
          <w:b/>
          <w:bCs/>
          <w:noProof/>
        </w:rPr>
        <w:lastRenderedPageBreak/>
        <w:drawing>
          <wp:inline distT="0" distB="0" distL="0" distR="0" wp14:anchorId="032CDC3D" wp14:editId="6B09D23F">
            <wp:extent cx="5943600" cy="3962400"/>
            <wp:effectExtent l="0" t="0" r="0" b="0"/>
            <wp:docPr id="151950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2397" name="Picture 15195023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F520F5">
        <w:rPr>
          <w:rFonts w:ascii="Times New Roman" w:hAnsi="Times New Roman" w:cs="Times New Roman"/>
        </w:rPr>
        <w:t xml:space="preserve">Figure </w:t>
      </w:r>
      <w:r w:rsidRPr="00B5799D">
        <w:rPr>
          <w:rFonts w:ascii="Times New Roman" w:hAnsi="Times New Roman" w:cs="Times New Roman"/>
        </w:rPr>
        <w:t>2</w:t>
      </w:r>
      <w:r w:rsidR="00274E24" w:rsidRPr="00B5799D">
        <w:rPr>
          <w:rFonts w:ascii="Times New Roman" w:hAnsi="Times New Roman" w:cs="Times New Roman"/>
        </w:rPr>
        <w:t xml:space="preserve">: </w:t>
      </w:r>
      <w:r w:rsidR="00274E24" w:rsidRPr="00274E24">
        <w:rPr>
          <w:rFonts w:ascii="Times New Roman" w:hAnsi="Times New Roman" w:cs="Times New Roman"/>
        </w:rPr>
        <w:t>Conceptual framework illustrating how cumulative agrochemical exposures, characterized through exposome-based modeling, can be translated into regulatory evaluation, public health surveillance, and preventive interventions in agricultural populations.</w:t>
      </w:r>
    </w:p>
    <w:p w14:paraId="72A00472" w14:textId="77777777" w:rsidR="00274E24" w:rsidRPr="00F520F5" w:rsidRDefault="00274E24" w:rsidP="00B5799D">
      <w:pPr>
        <w:jc w:val="both"/>
        <w:rPr>
          <w:rFonts w:ascii="Times New Roman" w:hAnsi="Times New Roman" w:cs="Times New Roman"/>
          <w:b/>
          <w:bCs/>
        </w:rPr>
      </w:pPr>
    </w:p>
    <w:p w14:paraId="7FD77442" w14:textId="17F70870" w:rsidR="00F520F5" w:rsidRPr="00F520F5" w:rsidRDefault="00F520F5" w:rsidP="00B5799D">
      <w:pPr>
        <w:jc w:val="both"/>
        <w:rPr>
          <w:rFonts w:ascii="Times New Roman" w:hAnsi="Times New Roman" w:cs="Times New Roman"/>
        </w:rPr>
      </w:pPr>
      <w:r w:rsidRPr="00F520F5">
        <w:rPr>
          <w:rFonts w:ascii="Times New Roman" w:hAnsi="Times New Roman" w:cs="Times New Roman"/>
        </w:rPr>
        <w:t>From a regulatory perspective, exposome-based evidence highlights persistent blind spots in current oversight mechanisms. Private drinking water wells, which supply a substantial proportion of rural households, remain largely outside routine federal monitoring despite their susceptibility to agrochemical contamination. In addition, regulatory risk assessments continue to focus primarily on individual chemicals, with limited incorporation of cumulative or mixture-based effects. Integrative exposure metrics derived from exposome modeling provide a scientific basis for aligning regulatory evaluation with the complexity of agricultural exposure environments</w:t>
      </w:r>
      <w:r w:rsidR="00325FAB">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{"citationID":"QQtLAa2Y","properties":{"formattedCitation":"(36)","plainCitation":"(36)","noteIndex":0},"citationItems":[{"id":13255,"uris":["http://zotero.org/users/16652950/items/3IUUVX7L"],"itemData":{"id":13255,"type":"article-journal","abstract":"Background\nUnderstanding, characterizing, and quantifying human exposures to environmental chemicals is critical to protect public health. Exposure assessments are key to determining risks to the general population and for specific subpopulations given that exposures differ between groups. Exposure data are also important for understanding where interventions, including public policies, should be targeted and the extent to which interventions have been successful. In this review, we aim to show how inadequacies in exposure assessments conducted by polluting industries or regulatory agencies have led to downplaying or disregarding exposure concerns raised by communities; that underestimates of exposure can lead regulatory agencies to conclude that unacceptable risks are, instead, acceptable, allowing pollutants to go unregulated; and that researchers, risk assessors, and policy makers need to better understand the issues that have affected exposure assessments and how appropriate use of exposure data can contribute to health-protective decisions.\n\nMethods\nWe describe current approaches used by regulatory agencies to estimate human exposures to environmental chemicals, including approaches to address limitations in exposure data. We then illustrate how some exposure assessments have been used to reach flawed conclusions about environmental chemicals and make recommendations for improvements.\n\nResults\nExposure data are important for communities, public health advocates, scientists, policy makers, and other groups to understand the extent of environmental exposures in diverse populations. We identify four areas where exposure assessments need to be improved due to systemic sources of error or uncertainty in exposure assessments and illustrate these areas with examples. These include: (1) an inability of regulatory agencies to keep pace with the increasing number of chemicals registered for use or assess their exposures, as well as complications added by use of ‘confidential business information’ which reduce available exposure data; (2) the failure to keep assessments up-to-date; (3) how inadequate assumptions about human behaviors and co-exposures contribute to underestimates of exposure; and (4) that insufficient models of toxicokinetics similarly affect exposure estimates.\n\nConclusion\nWe identified key issues that impact capacity to conduct scientifically robust exposure assessments. These issues must be addressed with scientific or policy approaches to improve estimates of exposure and protect public health.","container-title":"Environmental Health","DOI":"10.1186/s12940-022-00917-0","ISSN":"1476-069X","issue":"Suppl 1","journalAbbreviation":"Environ Health","note":"PMID: 36635700\nPMCID: PMC9835264","page":"121","source":"PubMed Central","title":"Addressing systemic problems with exposure assessments to protect the public’s health","volume":"21","author":[{"family":"Vandenberg","given":"Laura N."},{"family":"Rayasam","given":"Swati D. G."},{"family":"Axelrad","given":"Daniel A."},{"family":"Bennett","given":"Deborah H."},{"family":"Brown","given":"Phil"},{"family":"Carignan","given":"Courtney C."},{"family":"Chartres","given":"Nicholas"},{"family":"Diamond","given":"Miriam L."},{"family":"Joglekar","given":"Rashmi"},{"family":"Shamasunder","given":"Bhavna"},{"family":"Shrader-Frechette","given":"Kristin"},{"family":"Subra","given":"Wilma A."},{"family":"Zarker","given":"Ken"},{"family":"Woodruff","given":"Tracey J."}],"issued":{"date-parts":[["2023",1,12]]}}}],"schema":"https://github.com/citation-style-language/schema/raw/master/csl-citation.json"} </w:instrText>
      </w:r>
      <w:r w:rsidR="00325FAB">
        <w:rPr>
          <w:rFonts w:ascii="Times New Roman" w:hAnsi="Times New Roman" w:cs="Times New Roman"/>
        </w:rPr>
        <w:fldChar w:fldCharType="separate"/>
      </w:r>
      <w:r w:rsidR="00647867" w:rsidRPr="00647867">
        <w:rPr>
          <w:rFonts w:ascii="Times New Roman" w:hAnsi="Times New Roman" w:cs="Times New Roman"/>
        </w:rPr>
        <w:t>(36)</w:t>
      </w:r>
      <w:r w:rsidR="00325FAB">
        <w:rPr>
          <w:rFonts w:ascii="Times New Roman" w:hAnsi="Times New Roman" w:cs="Times New Roman"/>
        </w:rPr>
        <w:fldChar w:fldCharType="end"/>
      </w:r>
      <w:r w:rsidRPr="00F520F5">
        <w:rPr>
          <w:rFonts w:ascii="Times New Roman" w:hAnsi="Times New Roman" w:cs="Times New Roman"/>
        </w:rPr>
        <w:t>.</w:t>
      </w:r>
    </w:p>
    <w:p w14:paraId="07940915" w14:textId="3A976E00" w:rsidR="00F520F5" w:rsidRPr="00F520F5" w:rsidRDefault="00F520F5" w:rsidP="00B5799D">
      <w:pPr>
        <w:jc w:val="both"/>
        <w:rPr>
          <w:rFonts w:ascii="Times New Roman" w:hAnsi="Times New Roman" w:cs="Times New Roman"/>
        </w:rPr>
      </w:pPr>
      <w:r w:rsidRPr="00F520F5">
        <w:rPr>
          <w:rFonts w:ascii="Times New Roman" w:hAnsi="Times New Roman" w:cs="Times New Roman"/>
        </w:rPr>
        <w:t>Public health surveillance similarly benefits from an exposome-informed approach. Conventional surveillance systems tend to be reactive, relying on diagnosed disease outcomes rather than upstream indicators of risk. By combining spatial exposure models with targeted biomonitoring, surveillance efforts can identify elevated exposure profiles and emerging risks earlier in the disease trajectory</w:t>
      </w:r>
      <w:r w:rsidR="003D33A6">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{"citationID":"mZC1leZC","properties":{"formattedCitation":"(37)","plainCitation":"(37)","noteIndex":0},"citationItems":[{"id":8689,"uris":["http://zotero.org/users/16652950/items/5WLYPCUW"],"itemData":{"id":8689,"type":"article-journal","abstract":"Hospital-acquired infections (HAIs) continue to be one of the biggest problems for modern healthcare systems, and the problem is getting worse because antimicrobial resistance (AMR) is on the rise. Antibiotics that used to work are quickly losing their effectiveness, which is giving rise to highly adaptable bacteria in clinical settings and turning routine procedures into high-risk situations. This publication examines the intersection of healthcare-associated infections (HAIs) and antimicrobial resistance (AMR) within the framework of smart surveillance—digital, data-driven systems engineered to identify, predict, and disrupt the spread of infections in real time. We examine the historical development of infection surveillance, analyze the epidemiological burden and resistance mechanisms contributing to a covert pandemic, and assess emerging technologies such as electronic health record integration, machine-learning analytics, genomic sequencing, and Internet of Things (IoT) sensor networks. These new ideas give us new ways to prevent infections before they happen, but they also bring up difficult moral, legal, and social problems about privacy, fairness, and governance. We contend that intelligent surveillance should be integrated into comprehensive infection prevention frameworks and antimicrobial stewardship initiatives to establish resilient hospitals. By combining predictive analytics with basic IPC procedures, ethical monitoring, and giving workers more autonomy, healthcare organizations may turn passive surveillance into active defense. In the end, winning the war against HAIs will depend not just on cutting-edge technology, but also on how it is used with care, honesty, and openness.","container-title":"Australian Journal of Biomedical Research","DOI":"10.63946/aubiomed/16759","ISSN":"3083-4708","issue":"1","language":"english","note":"publisher: Australasia Publishing Group","page":"aubm002","source":"www.aubiomed.org","title":"Hospital-Acquired Infections in the Age of Antimicrobial Resistance and Smart Surveillance","volume":"1","author":[{"family":"Lawal","given":"Olabisi"},{"family":"Orenolu","given":"Idris Olumide"},{"family":"Ajobiewe","given":"Morayo Anne"},{"family":"Forson","given":"Kwesi Akonu Adom Mensah"},{"family":"Agu","given":"Ujunwa Favour"},{"family":"Fidelix","given":"Moses Emmanuel"},{"family":"Madugba","given":"Frances Chinaechekwa"},{"family":"Obi","given":"Lenin Ifeanyi"}],"issued":{"date-parts":[["2025",8,16]]}}}],"schema":"https://github.com/citation-style-language/schema/raw/master/csl-citation.json"} </w:instrText>
      </w:r>
      <w:r w:rsidR="003D33A6">
        <w:rPr>
          <w:rFonts w:ascii="Times New Roman" w:hAnsi="Times New Roman" w:cs="Times New Roman"/>
        </w:rPr>
        <w:fldChar w:fldCharType="separate"/>
      </w:r>
      <w:r w:rsidR="00647867" w:rsidRPr="00647867">
        <w:rPr>
          <w:rFonts w:ascii="Times New Roman" w:hAnsi="Times New Roman" w:cs="Times New Roman"/>
        </w:rPr>
        <w:t>(37)</w:t>
      </w:r>
      <w:r w:rsidR="003D33A6">
        <w:rPr>
          <w:rFonts w:ascii="Times New Roman" w:hAnsi="Times New Roman" w:cs="Times New Roman"/>
        </w:rPr>
        <w:fldChar w:fldCharType="end"/>
      </w:r>
      <w:r w:rsidRPr="00F520F5">
        <w:rPr>
          <w:rFonts w:ascii="Times New Roman" w:hAnsi="Times New Roman" w:cs="Times New Roman"/>
        </w:rPr>
        <w:t>. This supports more strategic allocation of monitoring resources and strengthens the capacity for early intervention in high-risk farming communities</w:t>
      </w:r>
      <w:r w:rsidR="00325FAB">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{"citationID":"wMiRAh6F","properties":{"formattedCitation":"(38)","plainCitation":"(38)","noteIndex":0},"citationItems":[{"id":15063,"uris":["http://zotero.org/users/16652950/items/WAI5MDDE"],"itemData":{"id":15063,"type":"article-journal","abstract":"The exposome approach, emphasizing lifelong environmental exposures, is a holistic framework exploring the intricate interplay between genetics and the environment in shaping health outcomes. Complementing this, the one health approach recognizes the interconnectedness of human and ecological health within a shared ecosystem, extending to planetary health, which encompasses the entire planet. Integrating Disease Surveillance Systems with exposome, one health, and planetary health signifies a paradigm shift in health management, fostering a comprehensive public health framework.This publication advocates for combining traditional health surveillance with exposome and one health/planetary health approach, proposing a three-step approach: ecological analysis, territorial intervention in identified issues, and an analytical phase for assessing interventions. Particularly relevant for Latin American countries facing a double burden of diseases, integrating the exposome into traditional health surveillance proves cost-effective by leveraging existing data and environmental measurements.In conclusion, the integration of exposome and one health approaches into traditional health surveillance presents a robust framework for monitoring population health, especially in regions like Latin America with complex health challenges. This innovative approach enables tailored interventions, disease outbreak predictions, and a holistic understanding of the intricate links between human health and the environment, offering substantial benefits for public health and disease prevention despite existing challenges.","container-title":"Frontiers in Public Health","DOI":"10.3389/fpubh.2024.1376609","ISSN":"2296-2565","journalAbbreviation":"Front. Public Health","language":"English","note":"publisher: Frontiers","source":"Frontiers","title":"Integrating the exposome and one health approach to national health surveillance: an opportunity for Latin American countries in health preventive management","title-short":"Integrating the exposome and one health approach to national health surveillance","URL":"https://www.frontiersin.org/journals/public-health/articles/10.3389/fpubh.2024.1376609/full","volume":"12","author":[{"family":"Matus","given":"Patricia"},{"family":"Urquidi","given":"Cinthya"},{"family":"Cárcamo","given":"Marcela"},{"family":"Vidal","given":"Veronica"}],"accessed":{"date-parts":[["2026",2,19]]},"issued":{"date-parts":[["2024",8,14]]}}}],"schema":"https://github.com/citation-style-language/schema/raw/master/csl-citation.json"} </w:instrText>
      </w:r>
      <w:r w:rsidR="00325FAB">
        <w:rPr>
          <w:rFonts w:ascii="Times New Roman" w:hAnsi="Times New Roman" w:cs="Times New Roman"/>
        </w:rPr>
        <w:fldChar w:fldCharType="separate"/>
      </w:r>
      <w:r w:rsidR="00647867" w:rsidRPr="00647867">
        <w:rPr>
          <w:rFonts w:ascii="Times New Roman" w:hAnsi="Times New Roman" w:cs="Times New Roman"/>
        </w:rPr>
        <w:t>(38)</w:t>
      </w:r>
      <w:r w:rsidR="00325FAB">
        <w:rPr>
          <w:rFonts w:ascii="Times New Roman" w:hAnsi="Times New Roman" w:cs="Times New Roman"/>
        </w:rPr>
        <w:fldChar w:fldCharType="end"/>
      </w:r>
      <w:r w:rsidRPr="00F520F5">
        <w:rPr>
          <w:rFonts w:ascii="Times New Roman" w:hAnsi="Times New Roman" w:cs="Times New Roman"/>
        </w:rPr>
        <w:t>.</w:t>
      </w:r>
    </w:p>
    <w:p w14:paraId="552D1CE8" w14:textId="15D3AA41" w:rsidR="00F520F5" w:rsidRPr="00F520F5" w:rsidRDefault="00F520F5" w:rsidP="00B5799D">
      <w:pPr>
        <w:jc w:val="both"/>
        <w:rPr>
          <w:rFonts w:ascii="Times New Roman" w:hAnsi="Times New Roman" w:cs="Times New Roman"/>
        </w:rPr>
      </w:pPr>
      <w:r w:rsidRPr="00F520F5">
        <w:rPr>
          <w:rFonts w:ascii="Times New Roman" w:hAnsi="Times New Roman" w:cs="Times New Roman"/>
        </w:rPr>
        <w:t xml:space="preserve">Exposome modeling also enables a shift in preventive public health from generalized guidance toward more targeted and context-specific strategies. Cumulative exposure profiles can be used to </w:t>
      </w:r>
      <w:r w:rsidRPr="00F520F5">
        <w:rPr>
          <w:rFonts w:ascii="Times New Roman" w:hAnsi="Times New Roman" w:cs="Times New Roman"/>
        </w:rPr>
        <w:lastRenderedPageBreak/>
        <w:t>stratify risk within agricultural populations, allowing interventions to be tailored to dominant exposure pathways, local environmental conditions, and farming practices</w:t>
      </w:r>
      <w:r w:rsidR="00E40749">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{"citationID":"A7Q9t69J","properties":{"formattedCitation":"(39)","plainCitation":"(39)","noteIndex":0},"citationItems":[{"id":13325,"uris":["http://zotero.org/users/16652950/items/N959267H"],"itemData":{"id":13325,"type":"article-journal","abstract":"Neurodegenerative diseases (NDs) such as Alzheimer's disease (AD) and Parkinson's disease (PD) are growing public health concerns worldwide, and their burden is particularly severe in low- and middle-income countries, including Nigeria. This perspective highlights the urgent need for tailored public health strategies to address the rising prevalence of these diseases, focusing on prevention, early detection, and management in the Nigerian context. With an aging population and limited healthcare infrastructure, Nigeria faces unique challenges in diagnosing and treating NDs. Cultural factors, such as stigma and misconceptions about cognitive decline, further complicate timely intervention. The paper explores the current public health strategies implemented to combat these diseases, including lifestyle modifications, national policy development, and public-private partnerships. It emphasizes the need for community-based programs, the integration of primary healthcare and neurology, and increased awareness to reduce the societal burden of NDs. Additionally, the manuscript discusses the essential role of training healthcare providers and the integration of traditional and modern medicine in enhancing care. It calls for a coordinated, culturally relevant approach to addressing the rising tide of neurodegenerative diseases in Nigeria, with recommendations for policy reform, healthcare system strengthening, and greater research investment.","container-title":"Journal of Public Health Research","DOI":"10.1177/22799036251350957","ISSN":"2279-9028","issue":"2","journalAbbreviation":"J Public Health Res","language":"eng","note":"PMID: 40567342\nPMCID: PMC12188034","page":"22799036251350957","source":"PubMed","title":"Building healthcare capacity for neurodegenerative disease management in Nigeria: Challenges and opportunities","title-short":"Building healthcare capacity for neurodegenerative disease management in Nigeria","volume":"14","author":[{"family":"Kelechi Wisdom","given":"Elechi"},{"family":"Soyemi","given":"Toluwalashe"},{"family":"Mayowa","given":"Shekoni"},{"family":"Ede","given":"Nwakaego Stephanie"},{"family":"Ubalaeze Solomon","given":"Elechi"},{"family":"Iloanusi","given":"Chukwuagoziem Augustine"},{"family":"Agbo","given":"Chinonyelum Emmanuel"},{"family":"Suzan Idogen","given":"Obehi"},{"family":"Augustine Ikechukwu","given":"Cletus"},{"family":"Clinton Ifeanyi","given":"Okechukwu"},{"family":"Akpowowo","given":"Christiana Komeno"},{"family":"Oyebola","given":"Farounbi Glory"},{"family":"Nndoumele","given":"Chidinma"},{"family":"Olabisi Promise","given":"Lawal"}],"issued":{"date-parts":[["2025",4]]}}}],"schema":"https://github.com/citation-style-language/schema/raw/master/csl-citation.json"} </w:instrText>
      </w:r>
      <w:r w:rsidR="00E40749">
        <w:rPr>
          <w:rFonts w:ascii="Times New Roman" w:hAnsi="Times New Roman" w:cs="Times New Roman"/>
        </w:rPr>
        <w:fldChar w:fldCharType="separate"/>
      </w:r>
      <w:r w:rsidR="00647867" w:rsidRPr="00647867">
        <w:rPr>
          <w:rFonts w:ascii="Times New Roman" w:hAnsi="Times New Roman" w:cs="Times New Roman"/>
        </w:rPr>
        <w:t>(39)</w:t>
      </w:r>
      <w:r w:rsidR="00E40749">
        <w:rPr>
          <w:rFonts w:ascii="Times New Roman" w:hAnsi="Times New Roman" w:cs="Times New Roman"/>
        </w:rPr>
        <w:fldChar w:fldCharType="end"/>
      </w:r>
      <w:r w:rsidRPr="00F520F5">
        <w:rPr>
          <w:rFonts w:ascii="Times New Roman" w:hAnsi="Times New Roman" w:cs="Times New Roman"/>
        </w:rPr>
        <w:t>. Such precision prevention approaches may include targeted well testing, exposure reduction initiatives, or enhanced clinical screening, thereby improving efficiency and equity</w:t>
      </w:r>
      <w:r w:rsidR="00CB2D3C">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{"citationID":"Vujxulec","properties":{"formattedCitation":"(40)","plainCitation":"(40)","noteIndex":0},"citationItems":[{"id":15065,"uris":["http://zotero.org/users/16652950/items/9BV6E7IX"],"itemData":{"id":15065,"type":"article-journal","abstract":"Aging and longevity are shaped by the exposome, a dynamic network of environmental, social, and biological factors. Understanding how these exposures ...","container-title":"Nutrients","DOI":"10.3390/nu17040722","ISSN":"2072-6643","issue":"4","language":"en","license":"http://creativecommons.org/licenses/by/3.0/","note":"Company: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Power of Environment: A Comprehensive Review of the Exposome’s Role in Healthy Aging, Longevity, and Preventive Medicine—Lessons from Blue Zones and Cilento","title-short":"The Power of Environment","URL":"https://www.mdpi.com/2072-6643/17/4/722","volume":"17","author":[{"family":"Aliberti","given":"Silvana Mirella"},{"family":"Capunzo","given":"Mario"}],"accessed":{"date-parts":[["2026",2,19]]},"issued":{"date-parts":[["2025",2,17]]}}}],"schema":"https://github.com/citation-style-language/schema/raw/master/csl-citation.json"} </w:instrText>
      </w:r>
      <w:r w:rsidR="00CB2D3C">
        <w:rPr>
          <w:rFonts w:ascii="Times New Roman" w:hAnsi="Times New Roman" w:cs="Times New Roman"/>
        </w:rPr>
        <w:fldChar w:fldCharType="separate"/>
      </w:r>
      <w:r w:rsidR="00647867" w:rsidRPr="00647867">
        <w:rPr>
          <w:rFonts w:ascii="Times New Roman" w:hAnsi="Times New Roman" w:cs="Times New Roman"/>
        </w:rPr>
        <w:t>(40)</w:t>
      </w:r>
      <w:r w:rsidR="00CB2D3C">
        <w:rPr>
          <w:rFonts w:ascii="Times New Roman" w:hAnsi="Times New Roman" w:cs="Times New Roman"/>
        </w:rPr>
        <w:fldChar w:fldCharType="end"/>
      </w:r>
      <w:r w:rsidRPr="00F520F5">
        <w:rPr>
          <w:rFonts w:ascii="Times New Roman" w:hAnsi="Times New Roman" w:cs="Times New Roman"/>
        </w:rPr>
        <w:t>.</w:t>
      </w:r>
    </w:p>
    <w:p w14:paraId="3EBAC58D" w14:textId="77777777" w:rsidR="00F520F5" w:rsidRPr="00F520F5" w:rsidRDefault="00F520F5" w:rsidP="00B5799D">
      <w:pPr>
        <w:jc w:val="both"/>
        <w:rPr>
          <w:rFonts w:ascii="Times New Roman" w:hAnsi="Times New Roman" w:cs="Times New Roman"/>
        </w:rPr>
      </w:pPr>
      <w:r w:rsidRPr="00F520F5">
        <w:rPr>
          <w:rFonts w:ascii="Times New Roman" w:hAnsi="Times New Roman" w:cs="Times New Roman"/>
        </w:rPr>
        <w:t>Together, these implications underscore the value of integrated environmental and occupational health strategies that prioritize anticipation over reaction. By embedding cumulative exposure science into regulation, surveillance, and prevention, exposome-based approaches offer a pathway toward more effective and equitable protection of farming populations.</w:t>
      </w:r>
    </w:p>
    <w:p w14:paraId="1E3980D3" w14:textId="77777777" w:rsidR="007C7A3C" w:rsidRPr="007C7A3C" w:rsidRDefault="007C7A3C" w:rsidP="00B5799D">
      <w:pPr>
        <w:jc w:val="both"/>
        <w:rPr>
          <w:rFonts w:ascii="Times New Roman" w:hAnsi="Times New Roman" w:cs="Times New Roman"/>
          <w:b/>
          <w:bCs/>
        </w:rPr>
      </w:pPr>
      <w:r w:rsidRPr="007C7A3C">
        <w:rPr>
          <w:rFonts w:ascii="Times New Roman" w:hAnsi="Times New Roman" w:cs="Times New Roman"/>
          <w:b/>
          <w:bCs/>
        </w:rPr>
        <w:t>8. Future Directions and Research Priorities</w:t>
      </w:r>
    </w:p>
    <w:p w14:paraId="1F0FE6E3"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Advancing exposome based assessment of agrochemical related chronic disease risk in farming populations will require coordinated methodological, infrastructural, and ethical progress. Future research must move beyond proof of concept studies toward integrated systems that generate evidence capable of informing prevention, regulation, and community level action.</w:t>
      </w:r>
    </w:p>
    <w:p w14:paraId="401949D6" w14:textId="40146066" w:rsidR="007C7A3C" w:rsidRPr="007C7A3C" w:rsidRDefault="007C7A3C" w:rsidP="00B5799D">
      <w:pPr>
        <w:jc w:val="both"/>
        <w:rPr>
          <w:rFonts w:ascii="Times New Roman" w:hAnsi="Times New Roman" w:cs="Times New Roman"/>
        </w:rPr>
      </w:pPr>
      <w:r w:rsidRPr="007C7A3C">
        <w:rPr>
          <w:rFonts w:ascii="Times New Roman" w:hAnsi="Times New Roman" w:cs="Times New Roman"/>
        </w:rPr>
        <w:t>A priority direction is the development of hybrid frameworks that combine environmental exposure modeling with biomonitoring. Integrating spatially resolved pesticide use data, drift modeling, and water contamination estimates with repeated biological measurements can improve reconstruction of cumulative exposure over time. Such approaches are particularly important in agricultural settings where reliance on short term biomarkers alone is insufficient to capture long latency disease processes. Hybrid designs also allow cross validation between modeled and measured exposures, strengthening confidence in risk estimates</w:t>
      </w:r>
      <w:r w:rsidR="005628ED">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{"citationID":"3Rn0751Q","properties":{"formattedCitation":"(41)","plainCitation":"(41)","noteIndex":0},"citationItems":[{"id":15067,"uris":["http://zotero.org/users/16652950/items/ZSRF9K4L"],"itemData":{"id":15067,"type":"article-journal","abstract":"The recently launched FoodSafeR initiative is a cooperative and coordinated approach to the identification, assessment, and management of emerging food security challenges and associated risks—both chemical and microbial. The FoodSafeR consortium includes global stakeholders across governmental, inter-governmental, academic and industrial institutions involved in food safety, research, and production. Consortium members have led in-depth discussions on identifying, assessing and managing chemical and microbial food safety issues resulting from climate change, emerging microbial and chemical contaminants, and evolving dietary preferences. Food safety research often is episodic in nature, increasing after a crisis and then decreasing when there are no major problems. Timely communications about and a central source containing data on previous outbreaks were identified as crucial issues to reduce the harm that could result from a food safety issue. In the course of the discussions, both new and old microbial and chemical hazards were identified for inclusion in a central database. The database could be used to develop artificial intelligence (AI) models to explain existing and predict emerging food safety risks. The FoodSafeR hub continuously collects and merges government, academic and private sector data to enable all stakeholders to better understand emerging risks, both chemical and microbial, and where they are found. As the database expands, climate change impacts on food safety can be documented and then integrated with public health data to rigorously assess the contributions of food safety to public health risks. The overall goal is to enhance global data sharing, improve food safety standards, and ensure the production of safe, accessible food for all populations thereby reducing the economic burden of foodborne illnesses, enhancing food security, and promoting sustainable food systems. The goal of this paper is to alert the global food safety community of the availability of this new resource and to provide information on the types of data it contains while encouraging others to contribute data that would broaden the information available and enable more timely and accurate identification of potential food safety issues throughout the world.","container-title":"Frontiers in Sustainable Food Systems","DOI":"10.3389/fsufs.2025.1646792","ISSN":"2571-581X","journalAbbreviation":"Front. Sustain. Food Syst.","language":"English","note":"publisher: Frontiers","source":"Frontiers","title":"A FoodSafeR perspective on emerging food safety hazards and associated risks","URL":"https://www.frontiersin.org/journals/sustainable-food-systems/articles/10.3389/fsufs.2025.1646792/full","volume":"9","author":[{"family":"Leslie","given":"John F."},{"family":"Ezekiel","given":"Chibundu N."},{"family":"Wagner","given":"Martin"},{"family":"Elliott","given":"Chris"},{"family":"McNerney","given":"Oonagh"},{"family":"Uyttendaele","given":"Mieke"},{"family":"Yongning","given":"Wu"},{"family":"Wang","given":"Songxue"},{"family":"Okoth","given":"Sheila"},{"family":"Lindsay","given":"James"},{"family":"Rawn","given":"Dorothea F. K."},{"family":"Chan","given":"Sheot Harn"},{"family":"Zhang","given":"Kai"},{"family":"Lattanzio","given":"Veronica M. T."},{"family":"Wu","given":"Felicia"},{"family":"Bandyopadhyay","given":"Ranajit"},{"family":"Dupouy","given":"Eleonora"},{"family":"Wearne","given":"Steve"},{"family":"Godefroy","given":"Samuel"},{"family":"Suman","given":"Michele"},{"family":"Krska","given":"Rudolf"}],"accessed":{"date-parts":[["2026",2,19]]},"issued":{"date-parts":[["2025",10,7]]}}}],"schema":"https://github.com/citation-style-language/schema/raw/master/csl-citation.json"} </w:instrText>
      </w:r>
      <w:r w:rsidR="005628ED">
        <w:rPr>
          <w:rFonts w:ascii="Times New Roman" w:hAnsi="Times New Roman" w:cs="Times New Roman"/>
        </w:rPr>
        <w:fldChar w:fldCharType="separate"/>
      </w:r>
      <w:r w:rsidR="00647867" w:rsidRPr="00647867">
        <w:rPr>
          <w:rFonts w:ascii="Times New Roman" w:hAnsi="Times New Roman" w:cs="Times New Roman"/>
        </w:rPr>
        <w:t>(41)</w:t>
      </w:r>
      <w:r w:rsidR="005628ED">
        <w:rPr>
          <w:rFonts w:ascii="Times New Roman" w:hAnsi="Times New Roman" w:cs="Times New Roman"/>
        </w:rPr>
        <w:fldChar w:fldCharType="end"/>
      </w:r>
      <w:r w:rsidRPr="007C7A3C">
        <w:rPr>
          <w:rFonts w:ascii="Times New Roman" w:hAnsi="Times New Roman" w:cs="Times New Roman"/>
        </w:rPr>
        <w:t>.</w:t>
      </w:r>
    </w:p>
    <w:p w14:paraId="25327980"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The growing use of machine learning offers new opportunities to analyze high dimensional exposome data, but future applications must emphasize interpretability alongside predictive performance. Explainable models are essential for identifying influential exposure mixtures, understanding biological pathways, and ensuring that findings can be translated into regulatory and public health contexts. Transparent analytic strategies will also support reproducibility and trust among stakeholders.</w:t>
      </w:r>
    </w:p>
    <w:p w14:paraId="1C6BE66A" w14:textId="36DD00C5" w:rsidR="007C7A3C" w:rsidRPr="007C7A3C" w:rsidRDefault="007C7A3C" w:rsidP="00B5799D">
      <w:pPr>
        <w:jc w:val="both"/>
        <w:rPr>
          <w:rFonts w:ascii="Times New Roman" w:hAnsi="Times New Roman" w:cs="Times New Roman"/>
        </w:rPr>
      </w:pPr>
      <w:r w:rsidRPr="007C7A3C">
        <w:rPr>
          <w:rFonts w:ascii="Times New Roman" w:hAnsi="Times New Roman" w:cs="Times New Roman"/>
        </w:rPr>
        <w:t>Longitudinal cohort studies focused on farmers and agricultural workers represent a critical research need. Existing cohorts remain limited in number and scope, and many lack repeated exposure or biomarker measurements across the life course. Long term follow up, beginning earlier in working life and extending into older age, would improve understanding of exposure trajectories, critical windows of susceptibility, and multi morbidity patterns</w:t>
      </w:r>
      <w:r w:rsidR="005628ED">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{"citationID":"zTGxG9ii","properties":{"formattedCitation":"(42)","plainCitation":"(42)","noteIndex":0},"citationItems":[{"id":15069,"uris":["http://zotero.org/users/16652950/items/9KK96UFL"],"itemData":{"id":15069,"type":"article-journal","abstract":"The worldwide rise of neurological and psychiatric conditions poses major challenges. However, current global research remains fragmented, dominated by limited cohorts and poorly integrated datasets that disconnect whole-body health, exposome, and brain health. Theories rarely unify brain measures with extracerebral factors or capture heterogeneity in individual trajectories. We introduce multimodal diversity, a non-linear, non-simplistic causal and ecological construct integrating data representation, whole-body and exposomic factors, and computational modeling to address this situated, embedded, and embodied complexity. This heuristic metamodel integrates global, multilevel data into personalized predictions fostering population inclusion, multimodal integration, diagnostic precision, and equitable, context-sensitive advances in brain health.","container-title":"Nature Communications","DOI":"10.1038/s41467-025-67448-3","ISSN":"2041-1723","issue":"1","journalAbbreviation":"Nat Commun","language":"en","license":"2025 The Author(s)","note":"publisher: Nature Publishing Group","page":"11078","source":"www.nature.com","title":"Computational whole-body-exposome models for global precision brain health","volume":"16","author":[{"family":"Ibáñez","given":"Agustín"},{"family":"Duran-Aniotz","given":"Claudia"},{"family":"Migeot","given":"Joaquín"},{"family":"Báez","given":"Sandra"},{"family":"Fittipaldi","given":"Sol"},{"family":"Coronel-Oliveros","given":"Carlos"},{"family":"Eyre","given":"Harris A."},{"family":"Udeh-Momoh","given":"Chinedu"},{"family":"Zetterberg","given":"Henrik"},{"family":"Alladi","given":"Suvarna"},{"family":"Sandi","given":"Carmen"},{"family":"Robertson","given":"Ian H."},{"family":"Franzen","given":"Sanne"},{"family":"Farombi","given":"Temitope"},{"family":"Montalvo Ortiz","given":"Janitza L."},{"family":"Seshadri","given":"Sudha"},{"family":"Court","given":"Felipe"},{"family":"Valdes-Sosa","given":"Pedro"},{"family":"Xu","given":"Jiayuan"},{"family":"Yu","given":"Chunshui"},{"family":"Grinberg","given":"Lea"},{"family":"Lawlor","given":"Brian"},{"family":"Sachdev","given":"Perminder S."},{"family":"Yaffe","given":"Kristine"},{"family":"Hachinski","given":"Vladimir"},{"family":"Friston","given":"Karl"},{"family":"Tagliazucchi","given":"Enzo"},{"family":"Santamaría-García","given":"Hernando"}],"issued":{"date-parts":[["2025",12,11]]}}}],"schema":"https://github.com/citation-style-language/schema/raw/master/csl-citation.json"} </w:instrText>
      </w:r>
      <w:r w:rsidR="005628ED">
        <w:rPr>
          <w:rFonts w:ascii="Times New Roman" w:hAnsi="Times New Roman" w:cs="Times New Roman"/>
        </w:rPr>
        <w:fldChar w:fldCharType="separate"/>
      </w:r>
      <w:r w:rsidR="00647867" w:rsidRPr="00647867">
        <w:rPr>
          <w:rFonts w:ascii="Times New Roman" w:hAnsi="Times New Roman" w:cs="Times New Roman"/>
        </w:rPr>
        <w:t>(42)</w:t>
      </w:r>
      <w:r w:rsidR="005628ED">
        <w:rPr>
          <w:rFonts w:ascii="Times New Roman" w:hAnsi="Times New Roman" w:cs="Times New Roman"/>
        </w:rPr>
        <w:fldChar w:fldCharType="end"/>
      </w:r>
      <w:r w:rsidRPr="007C7A3C">
        <w:rPr>
          <w:rFonts w:ascii="Times New Roman" w:hAnsi="Times New Roman" w:cs="Times New Roman"/>
        </w:rPr>
        <w:t>.</w:t>
      </w:r>
    </w:p>
    <w:p w14:paraId="72732BD9"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Integration of exposome research with climate and land use change is another emerging priority. Shifts in temperature, precipitation, and pest ecology are altering agrochemical use patterns and environmental transport, with implications for future exposure profiles. Models that incorporate these dynamics will be better positioned to anticipate emerging risks rather than solely documenting past harm.</w:t>
      </w:r>
    </w:p>
    <w:p w14:paraId="47661EA4" w14:textId="67E14A26" w:rsidR="007C7A3C" w:rsidRPr="007C7A3C" w:rsidRDefault="007C7A3C" w:rsidP="00B5799D">
      <w:pPr>
        <w:jc w:val="both"/>
        <w:rPr>
          <w:rFonts w:ascii="Times New Roman" w:hAnsi="Times New Roman" w:cs="Times New Roman"/>
        </w:rPr>
      </w:pPr>
      <w:r w:rsidRPr="007C7A3C">
        <w:rPr>
          <w:rFonts w:ascii="Times New Roman" w:hAnsi="Times New Roman" w:cs="Times New Roman"/>
        </w:rPr>
        <w:lastRenderedPageBreak/>
        <w:t>Finally, ethical considerations and data justice must be embedded in future research design. Farmers should be engaged as data stakeholders, with meaningful involvement in study governance, data interpretation, and dissemination of results. Transparent communication, protection of privacy, and equitable return of benefits are essential to ensure that exposome science supports, rather than exploits, agricultural communities</w:t>
      </w:r>
      <w:r w:rsidR="005628ED">
        <w:rPr>
          <w:rFonts w:ascii="Times New Roman" w:hAnsi="Times New Roman" w:cs="Times New Roman"/>
        </w:rPr>
        <w:fldChar w:fldCharType="begin"/>
      </w:r>
      <w:r w:rsidR="00647867">
        <w:rPr>
          <w:rFonts w:ascii="Times New Roman" w:hAnsi="Times New Roman" w:cs="Times New Roman"/>
        </w:rPr>
        <w:instrText xml:space="preserve"> ADDIN ZOTERO_ITEM CSL_CITATION {"citationID":"5co13Rga","properties":{"formattedCitation":"(43)","plainCitation":"(43)","noteIndex":0},"citationItems":[{"id":15071,"uris":["http://zotero.org/users/16652950/items/URIA4PJB"],"itemData":{"id":15071,"type":"article-journal","abstract":"Climate change is an anthropogenic phenomenon that is alarming scientists and non-scientists alike. The emission of greenhouse gases is causing the temperature of the earth to rise and this increase is accompanied by a multitude of climate change-induced environmental exposures with potential health impacts. Tracking human exposure has been a major research interest of scientists worldwide. This has led to the development of exposome studies that examine internal and external individual exposures over their lifetime and correlate them to health. The monitoring of health has also benefited from significant technological advances in the field of “omics” technologies that analyze physiological changes on the nucleic acid, protein, and metabolism levels, among others. In this review, we discuss various climate change-induced environmental exposures and their potential health implications. We also highlight the potential integration of the technological advancements in the fields of exposome tracking, climate monitoring, and omics technologies shedding light on important questions that need to be answered.","container-title":"Frontiers in Public Health","DOI":"10.3389/fpubh.2022.973000","ISSN":"2296-2565","journalAbbreviation":"Front Public Health","note":"PMID: 36211706\nPMCID: PMC9533016","page":"973000","source":"PubMed Central","title":"Climate change, human health, and the exposome: Utilizing OMIC technologies to navigate an era of uncertainty","title-short":"Climate change, human health, and the exposome","volume":"10","author":[{"family":"Abdelzaher","given":"Hana"},{"family":"Tawfik","given":"Sherouk M."},{"family":"Nour","given":"Ahmed"},{"family":"Abdelkader","given":"Sarah"},{"family":"Elbalkiny","given":"Shaimaa Tarek"},{"family":"Abdelkader","given":"Mohamed"},{"family":"Abbas","given":"Walaa A."},{"family":"Abdelnaser","given":"Anwar"}],"issued":{"date-parts":[["2022",9,21]]}}}],"schema":"https://github.com/citation-style-language/schema/raw/master/csl-citation.json"} </w:instrText>
      </w:r>
      <w:r w:rsidR="005628ED">
        <w:rPr>
          <w:rFonts w:ascii="Times New Roman" w:hAnsi="Times New Roman" w:cs="Times New Roman"/>
        </w:rPr>
        <w:fldChar w:fldCharType="separate"/>
      </w:r>
      <w:r w:rsidR="00647867" w:rsidRPr="00647867">
        <w:rPr>
          <w:rFonts w:ascii="Times New Roman" w:hAnsi="Times New Roman" w:cs="Times New Roman"/>
        </w:rPr>
        <w:t>(43)</w:t>
      </w:r>
      <w:r w:rsidR="005628ED">
        <w:rPr>
          <w:rFonts w:ascii="Times New Roman" w:hAnsi="Times New Roman" w:cs="Times New Roman"/>
        </w:rPr>
        <w:fldChar w:fldCharType="end"/>
      </w:r>
      <w:r w:rsidRPr="007C7A3C">
        <w:rPr>
          <w:rFonts w:ascii="Times New Roman" w:hAnsi="Times New Roman" w:cs="Times New Roman"/>
        </w:rPr>
        <w:t>.</w:t>
      </w:r>
    </w:p>
    <w:p w14:paraId="33B24854" w14:textId="77777777" w:rsidR="007C7A3C" w:rsidRPr="007C7A3C" w:rsidRDefault="007C7A3C" w:rsidP="00B5799D">
      <w:pPr>
        <w:jc w:val="both"/>
        <w:rPr>
          <w:rFonts w:ascii="Times New Roman" w:hAnsi="Times New Roman" w:cs="Times New Roman"/>
          <w:b/>
          <w:bCs/>
        </w:rPr>
      </w:pPr>
      <w:r w:rsidRPr="007C7A3C">
        <w:rPr>
          <w:rFonts w:ascii="Times New Roman" w:hAnsi="Times New Roman" w:cs="Times New Roman"/>
          <w:b/>
          <w:bCs/>
        </w:rPr>
        <w:t>9. Conclusion</w:t>
      </w:r>
    </w:p>
    <w:p w14:paraId="598D94AF"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 xml:space="preserve">Agrochemical exposure in U.S. farming systems represents a complex and enduring public health challenge that cannot be adequately addressed through single chemical or </w:t>
      </w:r>
      <w:proofErr w:type="gramStart"/>
      <w:r w:rsidRPr="007C7A3C">
        <w:rPr>
          <w:rFonts w:ascii="Times New Roman" w:hAnsi="Times New Roman" w:cs="Times New Roman"/>
        </w:rPr>
        <w:t>short term</w:t>
      </w:r>
      <w:proofErr w:type="gramEnd"/>
      <w:r w:rsidRPr="007C7A3C">
        <w:rPr>
          <w:rFonts w:ascii="Times New Roman" w:hAnsi="Times New Roman" w:cs="Times New Roman"/>
        </w:rPr>
        <w:t xml:space="preserve"> assessment approaches. Farmers experience cumulative, multi pathway exposures across the life course, with health effects that often emerge after long latency periods and manifest as overlapping chronic conditions. Exposome based modeling provides a critical bridge between environmental contamination and chronic disease risk by integrating diverse exposure sources, biological responses, and contextual factors into a coherent analytical framework.</w:t>
      </w:r>
    </w:p>
    <w:p w14:paraId="278DD312" w14:textId="77777777" w:rsidR="007C7A3C" w:rsidRPr="007C7A3C" w:rsidRDefault="007C7A3C" w:rsidP="00B5799D">
      <w:pPr>
        <w:jc w:val="both"/>
        <w:rPr>
          <w:rFonts w:ascii="Times New Roman" w:hAnsi="Times New Roman" w:cs="Times New Roman"/>
        </w:rPr>
      </w:pPr>
      <w:r w:rsidRPr="007C7A3C">
        <w:rPr>
          <w:rFonts w:ascii="Times New Roman" w:hAnsi="Times New Roman" w:cs="Times New Roman"/>
        </w:rPr>
        <w:t xml:space="preserve">By moving beyond reductionist exposure paradigms, integrative exposome approaches improve the capacity to identify high risk mixtures, vulnerable populations, and critical windows of susceptibility. This has direct implications for regulatory science, as cumulative and </w:t>
      </w:r>
      <w:proofErr w:type="gramStart"/>
      <w:r w:rsidRPr="007C7A3C">
        <w:rPr>
          <w:rFonts w:ascii="Times New Roman" w:hAnsi="Times New Roman" w:cs="Times New Roman"/>
        </w:rPr>
        <w:t>mixture based</w:t>
      </w:r>
      <w:proofErr w:type="gramEnd"/>
      <w:r w:rsidRPr="007C7A3C">
        <w:rPr>
          <w:rFonts w:ascii="Times New Roman" w:hAnsi="Times New Roman" w:cs="Times New Roman"/>
        </w:rPr>
        <w:t xml:space="preserve"> evidence can inform more realistic risk assessment and guide reforms that address long standing blind spots in agricultural oversight. Exposome informed surveillance and prevention strategies also offer pathways for earlier intervention, shifting the focus from downstream disease management to upstream risk reduction.</w:t>
      </w:r>
    </w:p>
    <w:p w14:paraId="06E716AF" w14:textId="33775CB4" w:rsidR="007C7A3C" w:rsidRDefault="007C7A3C" w:rsidP="00B5799D">
      <w:pPr>
        <w:jc w:val="both"/>
        <w:rPr>
          <w:rFonts w:ascii="Times New Roman" w:hAnsi="Times New Roman" w:cs="Times New Roman"/>
        </w:rPr>
      </w:pPr>
      <w:r w:rsidRPr="007C7A3C">
        <w:rPr>
          <w:rFonts w:ascii="Times New Roman" w:hAnsi="Times New Roman" w:cs="Times New Roman"/>
        </w:rPr>
        <w:t>Importantly, the application of exposome modeling in agricultural health has implications for health equity. Farming communities, particularly those reliant on private wells or operating in resource limited settings, have historically borne disproportionate environmental risks with limited institutional protection. Integrated environmental and occupational health strategies that recognize farmers as stakeholders rather than passive recipients of risk are essential for addressing these inequities. Together, these advances position exposome based research as a foundation for more preventive, equitable, and scientifically grounded protection of agricultural populations.</w:t>
      </w:r>
    </w:p>
    <w:p w14:paraId="052C2695" w14:textId="09D0D6A8" w:rsidR="00D02F29" w:rsidRDefault="00D02F29" w:rsidP="00B5799D">
      <w:pPr>
        <w:jc w:val="both"/>
        <w:rPr>
          <w:rFonts w:ascii="Times New Roman" w:hAnsi="Times New Roman" w:cs="Times New Roman"/>
        </w:rPr>
      </w:pPr>
    </w:p>
    <w:p w14:paraId="05E6F904" w14:textId="77777777" w:rsidR="00815A88" w:rsidRDefault="00815A88" w:rsidP="00815A88">
      <w:pPr>
        <w:spacing w:after="200" w:line="276" w:lineRule="auto"/>
        <w:rPr>
          <w:rFonts w:ascii="Times New Roman" w:eastAsia="Calibri" w:hAnsi="Times New Roman" w:cs="Times New Roman"/>
          <w:b/>
          <w:bCs/>
          <w:sz w:val="22"/>
          <w:szCs w:val="22"/>
          <w:highlight w:val="yellow"/>
          <w14:ligatures w14:val="none"/>
        </w:rPr>
      </w:pPr>
      <w:bookmarkStart w:id="0" w:name="_Hlk219125673"/>
    </w:p>
    <w:p w14:paraId="57D1D540" w14:textId="77777777" w:rsidR="00815A88" w:rsidRDefault="00815A88" w:rsidP="00815A88">
      <w:pPr>
        <w:spacing w:after="200" w:line="276" w:lineRule="auto"/>
        <w:rPr>
          <w:rFonts w:ascii="Times New Roman" w:eastAsia="Calibri" w:hAnsi="Times New Roman" w:cs="Times New Roman"/>
          <w:b/>
          <w:bCs/>
          <w:sz w:val="22"/>
          <w:szCs w:val="22"/>
          <w:highlight w:val="yellow"/>
          <w14:ligatures w14:val="none"/>
        </w:rPr>
      </w:pPr>
    </w:p>
    <w:p w14:paraId="172927F3" w14:textId="08EBC42E" w:rsidR="00815A88" w:rsidRPr="00815A88" w:rsidRDefault="00815A88" w:rsidP="00815A88">
      <w:pPr>
        <w:spacing w:after="200" w:line="276" w:lineRule="auto"/>
        <w:rPr>
          <w:rFonts w:ascii="Times New Roman" w:eastAsia="Calibri" w:hAnsi="Times New Roman" w:cs="Times New Roman"/>
          <w:b/>
          <w:bCs/>
          <w:sz w:val="22"/>
          <w:szCs w:val="22"/>
          <w:highlight w:val="yellow"/>
          <w14:ligatures w14:val="none"/>
        </w:rPr>
      </w:pPr>
      <w:r w:rsidRPr="00815A88">
        <w:rPr>
          <w:rFonts w:ascii="Times New Roman" w:eastAsia="Calibri" w:hAnsi="Times New Roman" w:cs="Times New Roman"/>
          <w:b/>
          <w:bCs/>
          <w:sz w:val="22"/>
          <w:szCs w:val="22"/>
          <w:highlight w:val="yellow"/>
          <w14:ligatures w14:val="none"/>
        </w:rPr>
        <w:t>Authors’ Contributions</w:t>
      </w:r>
    </w:p>
    <w:p w14:paraId="20EE6634" w14:textId="77777777" w:rsidR="00815A88" w:rsidRPr="00815A88" w:rsidRDefault="00815A88" w:rsidP="00815A88">
      <w:pPr>
        <w:spacing w:after="200" w:line="276" w:lineRule="auto"/>
        <w:rPr>
          <w:rFonts w:ascii="Times New Roman" w:eastAsia="Calibri" w:hAnsi="Times New Roman" w:cs="Times New Roman"/>
          <w:sz w:val="22"/>
          <w:szCs w:val="22"/>
          <w:highlight w:val="yellow"/>
          <w14:ligatures w14:val="none"/>
        </w:rPr>
      </w:pPr>
      <w:r w:rsidRPr="00815A88">
        <w:rPr>
          <w:rFonts w:ascii="Times New Roman" w:eastAsia="Calibri" w:hAnsi="Times New Roman" w:cs="Times New Roman"/>
          <w:b/>
          <w:bCs/>
          <w:sz w:val="22"/>
          <w:szCs w:val="22"/>
          <w:highlight w:val="yellow"/>
          <w14:ligatures w14:val="none"/>
        </w:rPr>
        <w:t xml:space="preserve">Alex </w:t>
      </w:r>
      <w:proofErr w:type="spellStart"/>
      <w:r w:rsidRPr="00815A88">
        <w:rPr>
          <w:rFonts w:ascii="Times New Roman" w:eastAsia="Calibri" w:hAnsi="Times New Roman" w:cs="Times New Roman"/>
          <w:b/>
          <w:bCs/>
          <w:sz w:val="22"/>
          <w:szCs w:val="22"/>
          <w:highlight w:val="yellow"/>
          <w14:ligatures w14:val="none"/>
        </w:rPr>
        <w:t>Nnanyelugo</w:t>
      </w:r>
      <w:proofErr w:type="spellEnd"/>
      <w:r w:rsidRPr="00815A88">
        <w:rPr>
          <w:rFonts w:ascii="Times New Roman" w:eastAsia="Calibri" w:hAnsi="Times New Roman" w:cs="Times New Roman"/>
          <w:b/>
          <w:bCs/>
          <w:sz w:val="22"/>
          <w:szCs w:val="22"/>
          <w:highlight w:val="yellow"/>
          <w14:ligatures w14:val="none"/>
        </w:rPr>
        <w:t xml:space="preserve"> </w:t>
      </w:r>
      <w:proofErr w:type="spellStart"/>
      <w:r w:rsidRPr="00815A88">
        <w:rPr>
          <w:rFonts w:ascii="Times New Roman" w:eastAsia="Calibri" w:hAnsi="Times New Roman" w:cs="Times New Roman"/>
          <w:b/>
          <w:bCs/>
          <w:sz w:val="22"/>
          <w:szCs w:val="22"/>
          <w:highlight w:val="yellow"/>
          <w14:ligatures w14:val="none"/>
        </w:rPr>
        <w:t>Egbuchiem</w:t>
      </w:r>
      <w:proofErr w:type="spellEnd"/>
      <w:r w:rsidRPr="00815A88">
        <w:rPr>
          <w:rFonts w:ascii="Times New Roman" w:eastAsia="Calibri" w:hAnsi="Times New Roman" w:cs="Times New Roman"/>
          <w:sz w:val="22"/>
          <w:szCs w:val="22"/>
          <w:highlight w:val="yellow"/>
          <w14:ligatures w14:val="none"/>
        </w:rPr>
        <w:t xml:space="preserve"> conceived the study, developed the conceptual framework, conducted the literature synthesis, and drafted the initial manuscript.</w:t>
      </w:r>
    </w:p>
    <w:p w14:paraId="74D392F5" w14:textId="77777777" w:rsidR="00815A88" w:rsidRPr="00815A88" w:rsidRDefault="00815A88" w:rsidP="00815A88">
      <w:pPr>
        <w:spacing w:after="200" w:line="276" w:lineRule="auto"/>
        <w:rPr>
          <w:rFonts w:ascii="Times New Roman" w:eastAsia="Calibri" w:hAnsi="Times New Roman" w:cs="Times New Roman"/>
          <w:sz w:val="22"/>
          <w:szCs w:val="22"/>
          <w:highlight w:val="yellow"/>
          <w14:ligatures w14:val="none"/>
        </w:rPr>
      </w:pPr>
      <w:r w:rsidRPr="00815A88">
        <w:rPr>
          <w:rFonts w:ascii="Times New Roman" w:eastAsia="Calibri" w:hAnsi="Times New Roman" w:cs="Times New Roman"/>
          <w:b/>
          <w:bCs/>
          <w:sz w:val="22"/>
          <w:szCs w:val="22"/>
          <w:highlight w:val="yellow"/>
          <w14:ligatures w14:val="none"/>
        </w:rPr>
        <w:lastRenderedPageBreak/>
        <w:t>Felix Donkor</w:t>
      </w:r>
      <w:r w:rsidRPr="00815A88">
        <w:rPr>
          <w:rFonts w:ascii="Times New Roman" w:eastAsia="Calibri" w:hAnsi="Times New Roman" w:cs="Times New Roman"/>
          <w:sz w:val="22"/>
          <w:szCs w:val="22"/>
          <w:highlight w:val="yellow"/>
          <w14:ligatures w14:val="none"/>
        </w:rPr>
        <w:t xml:space="preserve"> contributed to the methodological framing of the review, particularly in relation to analytical and modeling perspectives, and critically revised the manuscript for important intellectual content.</w:t>
      </w:r>
    </w:p>
    <w:p w14:paraId="73B9B870" w14:textId="77777777" w:rsidR="00815A88" w:rsidRPr="00815A88" w:rsidRDefault="00815A88" w:rsidP="00815A88">
      <w:pPr>
        <w:spacing w:after="200" w:line="276" w:lineRule="auto"/>
        <w:rPr>
          <w:rFonts w:ascii="Times New Roman" w:eastAsia="Calibri" w:hAnsi="Times New Roman" w:cs="Times New Roman"/>
          <w:sz w:val="22"/>
          <w:szCs w:val="22"/>
          <w:highlight w:val="yellow"/>
          <w14:ligatures w14:val="none"/>
        </w:rPr>
      </w:pPr>
      <w:proofErr w:type="spellStart"/>
      <w:r w:rsidRPr="00815A88">
        <w:rPr>
          <w:rFonts w:ascii="Times New Roman" w:eastAsia="Calibri" w:hAnsi="Times New Roman" w:cs="Times New Roman"/>
          <w:b/>
          <w:bCs/>
          <w:sz w:val="22"/>
          <w:szCs w:val="22"/>
          <w:highlight w:val="yellow"/>
          <w14:ligatures w14:val="none"/>
        </w:rPr>
        <w:t>Gifty</w:t>
      </w:r>
      <w:proofErr w:type="spellEnd"/>
      <w:r w:rsidRPr="00815A88">
        <w:rPr>
          <w:rFonts w:ascii="Times New Roman" w:eastAsia="Calibri" w:hAnsi="Times New Roman" w:cs="Times New Roman"/>
          <w:b/>
          <w:bCs/>
          <w:sz w:val="22"/>
          <w:szCs w:val="22"/>
          <w:highlight w:val="yellow"/>
          <w14:ligatures w14:val="none"/>
        </w:rPr>
        <w:t xml:space="preserve"> </w:t>
      </w:r>
      <w:proofErr w:type="spellStart"/>
      <w:r w:rsidRPr="00815A88">
        <w:rPr>
          <w:rFonts w:ascii="Times New Roman" w:eastAsia="Calibri" w:hAnsi="Times New Roman" w:cs="Times New Roman"/>
          <w:b/>
          <w:bCs/>
          <w:sz w:val="22"/>
          <w:szCs w:val="22"/>
          <w:highlight w:val="yellow"/>
          <w14:ligatures w14:val="none"/>
        </w:rPr>
        <w:t>Dudzilah</w:t>
      </w:r>
      <w:proofErr w:type="spellEnd"/>
      <w:r w:rsidRPr="00815A88">
        <w:rPr>
          <w:rFonts w:ascii="Times New Roman" w:eastAsia="Calibri" w:hAnsi="Times New Roman" w:cs="Times New Roman"/>
          <w:sz w:val="22"/>
          <w:szCs w:val="22"/>
          <w:highlight w:val="yellow"/>
          <w14:ligatures w14:val="none"/>
        </w:rPr>
        <w:t xml:space="preserve"> assisted with literature review, data synthesis, and contributed to the interpretation of key concepts related to environmental exposure assessment.</w:t>
      </w:r>
    </w:p>
    <w:p w14:paraId="36E58F35" w14:textId="77777777" w:rsidR="00815A88" w:rsidRPr="00815A88" w:rsidRDefault="00815A88" w:rsidP="00815A88">
      <w:pPr>
        <w:spacing w:after="200" w:line="276" w:lineRule="auto"/>
        <w:rPr>
          <w:rFonts w:ascii="Times New Roman" w:eastAsia="Calibri" w:hAnsi="Times New Roman" w:cs="Times New Roman"/>
          <w:sz w:val="22"/>
          <w:szCs w:val="22"/>
          <w:highlight w:val="yellow"/>
          <w14:ligatures w14:val="none"/>
        </w:rPr>
      </w:pPr>
      <w:proofErr w:type="spellStart"/>
      <w:r w:rsidRPr="00815A88">
        <w:rPr>
          <w:rFonts w:ascii="Times New Roman" w:eastAsia="Calibri" w:hAnsi="Times New Roman" w:cs="Times New Roman"/>
          <w:b/>
          <w:bCs/>
          <w:sz w:val="22"/>
          <w:szCs w:val="22"/>
          <w:highlight w:val="yellow"/>
          <w14:ligatures w14:val="none"/>
        </w:rPr>
        <w:t>Saerimam</w:t>
      </w:r>
      <w:proofErr w:type="spellEnd"/>
      <w:r w:rsidRPr="00815A88">
        <w:rPr>
          <w:rFonts w:ascii="Times New Roman" w:eastAsia="Calibri" w:hAnsi="Times New Roman" w:cs="Times New Roman"/>
          <w:b/>
          <w:bCs/>
          <w:sz w:val="22"/>
          <w:szCs w:val="22"/>
          <w:highlight w:val="yellow"/>
          <w14:ligatures w14:val="none"/>
        </w:rPr>
        <w:t xml:space="preserve"> </w:t>
      </w:r>
      <w:proofErr w:type="spellStart"/>
      <w:r w:rsidRPr="00815A88">
        <w:rPr>
          <w:rFonts w:ascii="Times New Roman" w:eastAsia="Calibri" w:hAnsi="Times New Roman" w:cs="Times New Roman"/>
          <w:b/>
          <w:bCs/>
          <w:sz w:val="22"/>
          <w:szCs w:val="22"/>
          <w:highlight w:val="yellow"/>
          <w14:ligatures w14:val="none"/>
        </w:rPr>
        <w:t>Nzunde</w:t>
      </w:r>
      <w:proofErr w:type="spellEnd"/>
      <w:r w:rsidRPr="00815A88">
        <w:rPr>
          <w:rFonts w:ascii="Times New Roman" w:eastAsia="Calibri" w:hAnsi="Times New Roman" w:cs="Times New Roman"/>
          <w:b/>
          <w:bCs/>
          <w:sz w:val="22"/>
          <w:szCs w:val="22"/>
          <w:highlight w:val="yellow"/>
          <w14:ligatures w14:val="none"/>
        </w:rPr>
        <w:t xml:space="preserve"> Markus</w:t>
      </w:r>
      <w:r w:rsidRPr="00815A88">
        <w:rPr>
          <w:rFonts w:ascii="Times New Roman" w:eastAsia="Calibri" w:hAnsi="Times New Roman" w:cs="Times New Roman"/>
          <w:sz w:val="22"/>
          <w:szCs w:val="22"/>
          <w:highlight w:val="yellow"/>
          <w14:ligatures w14:val="none"/>
        </w:rPr>
        <w:t xml:space="preserve"> contributed to the environmental health context of the study, assisted in literature validation, and participated in manuscript editing and revision.</w:t>
      </w:r>
    </w:p>
    <w:p w14:paraId="1FB3BB19" w14:textId="77777777" w:rsidR="00815A88" w:rsidRPr="00815A88" w:rsidRDefault="00815A88" w:rsidP="00815A88">
      <w:pPr>
        <w:spacing w:after="200" w:line="276" w:lineRule="auto"/>
        <w:rPr>
          <w:rFonts w:ascii="Times New Roman" w:eastAsia="Calibri" w:hAnsi="Times New Roman" w:cs="Times New Roman"/>
          <w:sz w:val="22"/>
          <w:szCs w:val="22"/>
          <w:highlight w:val="yellow"/>
          <w14:ligatures w14:val="none"/>
        </w:rPr>
      </w:pPr>
      <w:r w:rsidRPr="00815A88">
        <w:rPr>
          <w:rFonts w:ascii="Times New Roman" w:eastAsia="Calibri" w:hAnsi="Times New Roman" w:cs="Times New Roman"/>
          <w:sz w:val="22"/>
          <w:szCs w:val="22"/>
          <w:highlight w:val="yellow"/>
          <w14:ligatures w14:val="none"/>
        </w:rPr>
        <w:t>All authors reviewed, approved the final manuscript, and agree to be accountable for all aspects of the work.</w:t>
      </w:r>
    </w:p>
    <w:p w14:paraId="0B7BB76E" w14:textId="77777777" w:rsidR="00EE5600" w:rsidRPr="00EE5600" w:rsidRDefault="00EE5600" w:rsidP="00EE5600">
      <w:pPr>
        <w:spacing w:after="200" w:line="276" w:lineRule="auto"/>
        <w:rPr>
          <w:rFonts w:ascii="Times New Roman" w:eastAsia="Calibri" w:hAnsi="Times New Roman" w:cs="Times New Roman"/>
          <w:b/>
          <w:bCs/>
          <w:sz w:val="22"/>
          <w:szCs w:val="22"/>
          <w:highlight w:val="yellow"/>
          <w14:ligatures w14:val="none"/>
        </w:rPr>
      </w:pPr>
      <w:r w:rsidRPr="00EE5600">
        <w:rPr>
          <w:rFonts w:ascii="Times New Roman" w:eastAsia="Calibri" w:hAnsi="Times New Roman" w:cs="Times New Roman"/>
          <w:b/>
          <w:bCs/>
          <w:sz w:val="22"/>
          <w:szCs w:val="22"/>
          <w:highlight w:val="yellow"/>
          <w14:ligatures w14:val="none"/>
        </w:rPr>
        <w:t>Funding</w:t>
      </w:r>
    </w:p>
    <w:p w14:paraId="2438BF32" w14:textId="77777777" w:rsidR="00EE5600" w:rsidRPr="00EE5600" w:rsidRDefault="00EE5600" w:rsidP="00EE5600">
      <w:pPr>
        <w:spacing w:after="200" w:line="276" w:lineRule="auto"/>
        <w:rPr>
          <w:rFonts w:ascii="Times New Roman" w:eastAsia="Calibri" w:hAnsi="Times New Roman" w:cs="Times New Roman"/>
          <w:sz w:val="22"/>
          <w:szCs w:val="22"/>
          <w:highlight w:val="yellow"/>
          <w14:ligatures w14:val="none"/>
        </w:rPr>
      </w:pPr>
      <w:r w:rsidRPr="00EE5600">
        <w:rPr>
          <w:rFonts w:ascii="Times New Roman" w:eastAsia="Calibri" w:hAnsi="Times New Roman" w:cs="Times New Roman"/>
          <w:sz w:val="22"/>
          <w:szCs w:val="22"/>
          <w:highlight w:val="yellow"/>
          <w14:ligatures w14:val="none"/>
        </w:rPr>
        <w:t>The authors declare that no specific funding was received for this study from any funding agency in the public, commercial, or not-for-profit sectors.</w:t>
      </w:r>
    </w:p>
    <w:p w14:paraId="49D50D27" w14:textId="77777777" w:rsidR="00EE5600" w:rsidRPr="00EE5600" w:rsidRDefault="00EE5600" w:rsidP="00EE5600">
      <w:pPr>
        <w:spacing w:after="200" w:line="276" w:lineRule="auto"/>
        <w:rPr>
          <w:rFonts w:ascii="Times New Roman" w:eastAsia="Calibri" w:hAnsi="Times New Roman" w:cs="Times New Roman"/>
          <w:b/>
          <w:bCs/>
          <w:sz w:val="22"/>
          <w:szCs w:val="22"/>
          <w:highlight w:val="yellow"/>
          <w14:ligatures w14:val="none"/>
        </w:rPr>
      </w:pPr>
      <w:r w:rsidRPr="00EE5600">
        <w:rPr>
          <w:rFonts w:ascii="Times New Roman" w:eastAsia="Calibri" w:hAnsi="Times New Roman" w:cs="Times New Roman"/>
          <w:b/>
          <w:bCs/>
          <w:sz w:val="22"/>
          <w:szCs w:val="22"/>
          <w:highlight w:val="yellow"/>
          <w14:ligatures w14:val="none"/>
        </w:rPr>
        <w:t>Conflict of Interest</w:t>
      </w:r>
    </w:p>
    <w:p w14:paraId="0D667068" w14:textId="77777777" w:rsidR="00EE5600" w:rsidRPr="00EE5600" w:rsidRDefault="00EE5600" w:rsidP="00EE5600">
      <w:pPr>
        <w:spacing w:after="200" w:line="276" w:lineRule="auto"/>
        <w:rPr>
          <w:rFonts w:ascii="Times New Roman" w:eastAsia="Calibri" w:hAnsi="Times New Roman" w:cs="Times New Roman"/>
          <w:sz w:val="22"/>
          <w:szCs w:val="22"/>
          <w:highlight w:val="yellow"/>
          <w14:ligatures w14:val="none"/>
        </w:rPr>
      </w:pPr>
      <w:r w:rsidRPr="00EE5600">
        <w:rPr>
          <w:rFonts w:ascii="Times New Roman" w:eastAsia="Calibri" w:hAnsi="Times New Roman" w:cs="Times New Roman"/>
          <w:sz w:val="22"/>
          <w:szCs w:val="22"/>
          <w:highlight w:val="yellow"/>
          <w14:ligatures w14:val="none"/>
        </w:rPr>
        <w:t>The authors declare that they have no competing financial or non-financial interests related to this work.</w:t>
      </w:r>
    </w:p>
    <w:p w14:paraId="11906221" w14:textId="77777777" w:rsidR="00EE5600" w:rsidRPr="00EE5600" w:rsidRDefault="00EE5600" w:rsidP="00EE5600">
      <w:pPr>
        <w:spacing w:after="200" w:line="276" w:lineRule="auto"/>
        <w:rPr>
          <w:rFonts w:ascii="Times New Roman" w:eastAsia="Calibri" w:hAnsi="Times New Roman" w:cs="Times New Roman"/>
          <w:b/>
          <w:bCs/>
          <w:sz w:val="22"/>
          <w:szCs w:val="22"/>
          <w:highlight w:val="yellow"/>
          <w14:ligatures w14:val="none"/>
        </w:rPr>
      </w:pPr>
      <w:r w:rsidRPr="00EE5600">
        <w:rPr>
          <w:rFonts w:ascii="Times New Roman" w:eastAsia="Calibri" w:hAnsi="Times New Roman" w:cs="Times New Roman"/>
          <w:b/>
          <w:bCs/>
          <w:sz w:val="22"/>
          <w:szCs w:val="22"/>
          <w:highlight w:val="yellow"/>
          <w14:ligatures w14:val="none"/>
        </w:rPr>
        <w:t>Data Availability</w:t>
      </w:r>
    </w:p>
    <w:p w14:paraId="6B1146F4" w14:textId="77777777" w:rsidR="00EE5600" w:rsidRPr="00EE5600" w:rsidRDefault="00EE5600" w:rsidP="00EE5600">
      <w:pPr>
        <w:spacing w:after="200" w:line="276" w:lineRule="auto"/>
        <w:rPr>
          <w:rFonts w:ascii="Times New Roman" w:eastAsia="Calibri" w:hAnsi="Times New Roman" w:cs="Times New Roman"/>
          <w:sz w:val="22"/>
          <w:szCs w:val="22"/>
          <w:highlight w:val="yellow"/>
          <w14:ligatures w14:val="none"/>
        </w:rPr>
      </w:pPr>
      <w:r w:rsidRPr="00EE5600">
        <w:rPr>
          <w:rFonts w:ascii="Times New Roman" w:eastAsia="Calibri" w:hAnsi="Times New Roman" w:cs="Times New Roman"/>
          <w:sz w:val="22"/>
          <w:szCs w:val="22"/>
          <w:highlight w:val="yellow"/>
          <w14:ligatures w14:val="none"/>
        </w:rPr>
        <w:t>No new datasets were generated or analyzed during this study. All information discussed in this review is derived from previously published sources cited in the manuscript.</w:t>
      </w:r>
    </w:p>
    <w:p w14:paraId="62849986" w14:textId="77777777" w:rsidR="00EE5600" w:rsidRPr="00EE5600" w:rsidRDefault="00EE5600" w:rsidP="00EE5600">
      <w:pPr>
        <w:spacing w:after="200" w:line="276" w:lineRule="auto"/>
        <w:rPr>
          <w:rFonts w:ascii="Times New Roman" w:eastAsia="Calibri" w:hAnsi="Times New Roman" w:cs="Times New Roman"/>
          <w:b/>
          <w:bCs/>
          <w:sz w:val="22"/>
          <w:szCs w:val="22"/>
          <w:highlight w:val="yellow"/>
          <w14:ligatures w14:val="none"/>
        </w:rPr>
      </w:pPr>
      <w:r w:rsidRPr="00EE5600">
        <w:rPr>
          <w:rFonts w:ascii="Times New Roman" w:eastAsia="Calibri" w:hAnsi="Times New Roman" w:cs="Times New Roman"/>
          <w:b/>
          <w:bCs/>
          <w:sz w:val="22"/>
          <w:szCs w:val="22"/>
          <w:highlight w:val="yellow"/>
          <w14:ligatures w14:val="none"/>
        </w:rPr>
        <w:t>Acknowledgments</w:t>
      </w:r>
    </w:p>
    <w:p w14:paraId="140284F2" w14:textId="77777777" w:rsidR="00EE5600" w:rsidRPr="00EE5600" w:rsidRDefault="00EE5600" w:rsidP="00EE5600">
      <w:pPr>
        <w:spacing w:after="200" w:line="276" w:lineRule="auto"/>
        <w:rPr>
          <w:rFonts w:ascii="Times New Roman" w:eastAsia="Calibri" w:hAnsi="Times New Roman" w:cs="Times New Roman"/>
          <w:sz w:val="22"/>
          <w:szCs w:val="22"/>
          <w:highlight w:val="yellow"/>
          <w14:ligatures w14:val="none"/>
        </w:rPr>
      </w:pPr>
      <w:r w:rsidRPr="00EE5600">
        <w:rPr>
          <w:rFonts w:ascii="Times New Roman" w:eastAsia="Calibri" w:hAnsi="Times New Roman" w:cs="Times New Roman"/>
          <w:sz w:val="22"/>
          <w:szCs w:val="22"/>
          <w:highlight w:val="yellow"/>
          <w14:ligatures w14:val="none"/>
        </w:rPr>
        <w:t>The authors would like to thank colleagues and peers who provided valuable feedback during the preparation of this manuscript.</w:t>
      </w:r>
    </w:p>
    <w:p w14:paraId="02EE51DF" w14:textId="0F906892" w:rsidR="00EE5600" w:rsidRDefault="00EE5600" w:rsidP="00D02F29">
      <w:pPr>
        <w:spacing w:after="200" w:line="276" w:lineRule="auto"/>
        <w:rPr>
          <w:rFonts w:ascii="Times New Roman" w:eastAsia="Calibri" w:hAnsi="Times New Roman" w:cs="Times New Roman"/>
          <w:sz w:val="22"/>
          <w:szCs w:val="22"/>
          <w:highlight w:val="yellow"/>
          <w14:ligatures w14:val="none"/>
        </w:rPr>
      </w:pPr>
    </w:p>
    <w:p w14:paraId="0536B93B" w14:textId="77777777" w:rsidR="000B7B98" w:rsidRPr="00A64B05" w:rsidRDefault="000B7B98" w:rsidP="000B7B98">
      <w:pPr>
        <w:spacing w:after="200" w:line="276" w:lineRule="auto"/>
        <w:rPr>
          <w:rFonts w:ascii="Times New Roman" w:eastAsia="Calibri" w:hAnsi="Times New Roman" w:cs="Times New Roman"/>
          <w:b/>
          <w:bCs/>
          <w:sz w:val="22"/>
          <w:szCs w:val="22"/>
          <w:highlight w:val="yellow"/>
          <w14:ligatures w14:val="none"/>
        </w:rPr>
      </w:pPr>
      <w:r w:rsidRPr="00A64B05">
        <w:rPr>
          <w:rFonts w:ascii="Times New Roman" w:eastAsia="Calibri" w:hAnsi="Times New Roman" w:cs="Times New Roman"/>
          <w:b/>
          <w:bCs/>
          <w:sz w:val="22"/>
          <w:szCs w:val="22"/>
          <w:highlight w:val="yellow"/>
          <w14:ligatures w14:val="none"/>
        </w:rPr>
        <w:t xml:space="preserve">Disclaimer (Artificial intelligence) </w:t>
      </w:r>
    </w:p>
    <w:p w14:paraId="1F6CACBB" w14:textId="77777777" w:rsidR="000B7B98" w:rsidRDefault="000B7B98" w:rsidP="000B7B98">
      <w:pPr>
        <w:spacing w:after="200" w:line="276" w:lineRule="auto"/>
        <w:rPr>
          <w:rFonts w:ascii="Times New Roman" w:eastAsia="Calibri" w:hAnsi="Times New Roman" w:cs="Times New Roman"/>
          <w:sz w:val="22"/>
          <w:szCs w:val="22"/>
          <w:highlight w:val="yellow"/>
          <w14:ligatures w14:val="none"/>
        </w:rPr>
      </w:pPr>
      <w:r w:rsidRPr="00EE5600">
        <w:rPr>
          <w:rFonts w:ascii="Times New Roman" w:eastAsia="Calibri" w:hAnsi="Times New Roman" w:cs="Times New Roman"/>
          <w:sz w:val="22"/>
          <w:szCs w:val="22"/>
          <w:highlight w:val="yellow"/>
          <w14:ligatures w14:val="none"/>
        </w:rPr>
        <w:t>The authors declare that generative artificial intelligence (AI) tools were used solely to assist with language editing and improving clarity during manuscript preparation. The authors carefully reviewed and edited all AI-assisted content and take full responsibility for the accuracy, integrity, and originality of the final manuscript. No AI tools were used to generate or analyze data, interpret results, or produce scientific conclusions.</w:t>
      </w:r>
    </w:p>
    <w:p w14:paraId="32086B21" w14:textId="61275CFC" w:rsidR="000B7B98" w:rsidRPr="00EE5600" w:rsidRDefault="000B7B98" w:rsidP="00D02F29">
      <w:pPr>
        <w:spacing w:after="200" w:line="276" w:lineRule="auto"/>
        <w:rPr>
          <w:rFonts w:ascii="Times New Roman" w:eastAsia="Calibri" w:hAnsi="Times New Roman" w:cs="Times New Roman"/>
          <w:sz w:val="22"/>
          <w:szCs w:val="22"/>
          <w:highlight w:val="yellow"/>
          <w14:ligatures w14:val="none"/>
        </w:rPr>
      </w:pPr>
      <w:bookmarkStart w:id="1" w:name="_GoBack"/>
      <w:bookmarkEnd w:id="1"/>
    </w:p>
    <w:bookmarkEnd w:id="0"/>
    <w:p w14:paraId="2BC7AB2C" w14:textId="5104F885" w:rsidR="00D02F29" w:rsidRDefault="00D02F29" w:rsidP="00B5799D">
      <w:pPr>
        <w:jc w:val="both"/>
        <w:rPr>
          <w:rFonts w:ascii="Times New Roman" w:hAnsi="Times New Roman" w:cs="Times New Roman"/>
        </w:rPr>
      </w:pPr>
    </w:p>
    <w:p w14:paraId="46BEECD1" w14:textId="77777777" w:rsidR="00D02F29" w:rsidRDefault="00D02F29" w:rsidP="00B5799D">
      <w:pPr>
        <w:jc w:val="both"/>
        <w:rPr>
          <w:rFonts w:ascii="Times New Roman" w:hAnsi="Times New Roman" w:cs="Times New Roman"/>
        </w:rPr>
      </w:pPr>
    </w:p>
    <w:p w14:paraId="6A5DF371" w14:textId="77777777" w:rsidR="000F2DBA" w:rsidRPr="007C7A3C" w:rsidRDefault="000F2DBA" w:rsidP="00B5799D">
      <w:pPr>
        <w:jc w:val="both"/>
        <w:rPr>
          <w:rFonts w:ascii="Times New Roman" w:hAnsi="Times New Roman" w:cs="Times New Roman"/>
          <w:b/>
          <w:bCs/>
        </w:rPr>
      </w:pPr>
      <w:r w:rsidRPr="000F2DBA">
        <w:rPr>
          <w:rFonts w:ascii="Times New Roman" w:hAnsi="Times New Roman" w:cs="Times New Roman"/>
          <w:b/>
          <w:bCs/>
        </w:rPr>
        <w:t>REFERENCES</w:t>
      </w:r>
    </w:p>
    <w:p w14:paraId="315114E9" w14:textId="77777777" w:rsidR="00AD780F" w:rsidRDefault="00AD780F" w:rsidP="00B5799D">
      <w:pPr>
        <w:jc w:val="both"/>
        <w:rPr>
          <w:rFonts w:ascii="Times New Roman" w:hAnsi="Times New Roman" w:cs="Times New Roman"/>
        </w:rPr>
      </w:pPr>
    </w:p>
    <w:p w14:paraId="7D89B00D" w14:textId="77777777" w:rsidR="00647867" w:rsidRPr="00647867" w:rsidRDefault="000F2DBA" w:rsidP="00647867">
      <w:pPr>
        <w:pStyle w:val="Bibliography"/>
        <w:rPr>
          <w:rFonts w:ascii="Times New Roman" w:hAnsi="Times New Roman" w:cs="Times New Roman"/>
        </w:rPr>
      </w:pPr>
      <w:r>
        <w:fldChar w:fldCharType="begin"/>
      </w:r>
      <w:r>
        <w:instrText xml:space="preserve"> ADDIN ZOTERO_BIBL {"uncited":[],"omitted":[],"custom":[]} CSL_BIBLIOGRAPHY </w:instrText>
      </w:r>
      <w:r>
        <w:fldChar w:fldCharType="separate"/>
      </w:r>
      <w:r w:rsidR="00647867" w:rsidRPr="00647867">
        <w:rPr>
          <w:rFonts w:ascii="Times New Roman" w:hAnsi="Times New Roman" w:cs="Times New Roman"/>
        </w:rPr>
        <w:t>1.</w:t>
      </w:r>
      <w:r w:rsidR="00647867" w:rsidRPr="00647867">
        <w:rPr>
          <w:rFonts w:ascii="Times New Roman" w:hAnsi="Times New Roman" w:cs="Times New Roman"/>
        </w:rPr>
        <w:tab/>
        <w:t>Lazarević-Pašti T, Milanković V, Tasić T, Petrović S, Leskovac A. With or Without You?—A Critical Review on Pesticides in Food. Foods. 2025 Mar 24;14(7). doi:10.3390/foods14071128</w:t>
      </w:r>
    </w:p>
    <w:p w14:paraId="2633D34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w:t>
      </w:r>
      <w:r w:rsidRPr="00647867">
        <w:rPr>
          <w:rFonts w:ascii="Times New Roman" w:hAnsi="Times New Roman" w:cs="Times New Roman"/>
        </w:rPr>
        <w:tab/>
        <w:t>Anaduaka EG, Uchendu NO, Asomadu RO, Ezugwu AL, Okeke ES, Chidike Ezeorba TP. Widespread use of toxic agrochemicals and pesticides for agricultural products storage in Africa and developing countries: Possible panacea for ecotoxicology and health implications. Heliyon. 2023 Apr 1;9(4):e15173. doi:10.1016/j.heliyon.2023.e15173</w:t>
      </w:r>
    </w:p>
    <w:p w14:paraId="2D3CAAF3"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w:t>
      </w:r>
      <w:r w:rsidRPr="00647867">
        <w:rPr>
          <w:rFonts w:ascii="Times New Roman" w:hAnsi="Times New Roman" w:cs="Times New Roman"/>
        </w:rPr>
        <w:tab/>
        <w:t>Castro-Vargas S, Hernández Rodríguez C, Navas G, Castañón Ballivián E, Xu Y, Marini DA. Pesticides and food sovereignty: (dis)connections and challenges for agrarian movements. The Journal of Peasant Studies. 2025 Oct 2;1–31. doi:10.1080/03066150.2025.2549340</w:t>
      </w:r>
    </w:p>
    <w:p w14:paraId="0B76FE8D"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4.</w:t>
      </w:r>
      <w:r w:rsidRPr="00647867">
        <w:rPr>
          <w:rFonts w:ascii="Times New Roman" w:hAnsi="Times New Roman" w:cs="Times New Roman"/>
        </w:rPr>
        <w:tab/>
        <w:t>Benavidez GA. Chronic Disease Prevalence in the US: Sociodemographic and Geographic Variations by Zip Code Tabulation Area. Prev Chronic Dis. 2024;21. doi:10.5888/pcd21.230267</w:t>
      </w:r>
    </w:p>
    <w:p w14:paraId="6F102BA1"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5.</w:t>
      </w:r>
      <w:r w:rsidRPr="00647867">
        <w:rPr>
          <w:rFonts w:ascii="Times New Roman" w:hAnsi="Times New Roman" w:cs="Times New Roman"/>
        </w:rPr>
        <w:tab/>
        <w:t>Ladeira C. Environmental and Occupational Exposure to Chemical Agents and Health Challenges I—What Message Can Bring to Regulatory Science? Toxics. 2024 Oct 24;12(11). doi:10.3390/toxics12110778</w:t>
      </w:r>
    </w:p>
    <w:p w14:paraId="5A66B978"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6.</w:t>
      </w:r>
      <w:r w:rsidRPr="00647867">
        <w:rPr>
          <w:rFonts w:ascii="Times New Roman" w:hAnsi="Times New Roman" w:cs="Times New Roman"/>
        </w:rPr>
        <w:tab/>
        <w:t>Shekhar C, Khosya R, Thakur K, Mahajan D, Kumar R, Kumar S, et al. A systematic review of pesticide exposure, associated risks, and long-term human health impacts. Toxicology Reports. 2024 Dec 1;13:101840. doi:10.1016/j.toxrep.2024.101840</w:t>
      </w:r>
    </w:p>
    <w:p w14:paraId="31E625B5"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7.</w:t>
      </w:r>
      <w:r w:rsidRPr="00647867">
        <w:rPr>
          <w:rFonts w:ascii="Times New Roman" w:hAnsi="Times New Roman" w:cs="Times New Roman"/>
        </w:rPr>
        <w:tab/>
        <w:t>Ahmad MF, Ahmad FA, Alsayegh AA, Zeyaullah Md, AlShahrani AM, Muzammil K, et al. Pesticides impacts on human health and the environment with their mechanisms of action and possible countermeasures. Heliyon. 2024 Apr 15;10(7):e29128. doi:10.1016/j.heliyon.2024.e29128</w:t>
      </w:r>
    </w:p>
    <w:p w14:paraId="654166EB"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8.</w:t>
      </w:r>
      <w:r w:rsidRPr="00647867">
        <w:rPr>
          <w:rFonts w:ascii="Times New Roman" w:hAnsi="Times New Roman" w:cs="Times New Roman"/>
        </w:rPr>
        <w:tab/>
        <w:t>Baćmaga M, Wyszkowska J, Kucharski J. Environmental Implication of Herbicide Use. Molecules. 2024 Dec 18;29(24):5965. doi:10.3390/molecules29245965 PubMed PMID: 39770054; PubMed Central PMCID: PMC11677524.</w:t>
      </w:r>
    </w:p>
    <w:p w14:paraId="1916413B"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9.</w:t>
      </w:r>
      <w:r w:rsidRPr="00647867">
        <w:rPr>
          <w:rFonts w:ascii="Times New Roman" w:hAnsi="Times New Roman" w:cs="Times New Roman"/>
        </w:rPr>
        <w:tab/>
        <w:t>Mueller W, Jones K, Fuhrimann S, Ahmad ZNBS, Sams C, Harding AH, et al. Factors influencing occupational exposure to pyrethroids and glyphosate: An analysis of urinary biomarkers in Malaysia, Uganda and the United Kingdom. Environmental Research. 2024 Feb 1;242:117651. doi:10.1016/j.envres.2023.117651</w:t>
      </w:r>
    </w:p>
    <w:p w14:paraId="05D1319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10.</w:t>
      </w:r>
      <w:r w:rsidRPr="00647867">
        <w:rPr>
          <w:rFonts w:ascii="Times New Roman" w:hAnsi="Times New Roman" w:cs="Times New Roman"/>
        </w:rPr>
        <w:tab/>
        <w:t>Tudi M, Li H, Li H, Wang L, Lyu J, Yang L, et al. Exposure Routes and Health Risks Associated with Pesticide Application. Toxics. 2022 Jun 19;10(6):335. doi:10.3390/toxics10060335 PubMed PMID: 35736943; PubMed Central PMCID: PMC9231402.</w:t>
      </w:r>
    </w:p>
    <w:p w14:paraId="4567B6A2"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lastRenderedPageBreak/>
        <w:t>11.</w:t>
      </w:r>
      <w:r w:rsidRPr="00647867">
        <w:rPr>
          <w:rFonts w:ascii="Times New Roman" w:hAnsi="Times New Roman" w:cs="Times New Roman"/>
        </w:rPr>
        <w:tab/>
        <w:t>Materu SF, Heise S, Urban B. Seasonal and Spatial Detection of Pesticide Residues Under Various Weather Conditions of Agricultural Areas of the Kilombero Valley Ramsar Site, Tanzania. Front Environ Sci. 2021 Mar 9;9. doi:10.3389/fenvs.2021.599814</w:t>
      </w:r>
    </w:p>
    <w:p w14:paraId="36D643B6"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12.</w:t>
      </w:r>
      <w:r w:rsidRPr="00647867">
        <w:rPr>
          <w:rFonts w:ascii="Times New Roman" w:hAnsi="Times New Roman" w:cs="Times New Roman"/>
        </w:rPr>
        <w:tab/>
        <w:t>Egbuchiem AN, Owusu AE, Fosua BV. Predictive Modeling of Agrochemical Exposure and Adult Cancer Risk in U.S. Farmers: A Narrative Review. Journal of Medicine and Health Research. 2026 Jan 30;11(1):100–13. doi:10.56557/jomahr/2026/v11i110211</w:t>
      </w:r>
    </w:p>
    <w:p w14:paraId="54F0754F"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13.</w:t>
      </w:r>
      <w:r w:rsidRPr="00647867">
        <w:rPr>
          <w:rFonts w:ascii="Times New Roman" w:hAnsi="Times New Roman" w:cs="Times New Roman"/>
        </w:rPr>
        <w:tab/>
        <w:t>Burns CJ, Juberg DR. Cancer and occupational exposure to pesticides: an umbrella review. Int Arch Occup Environ Health. 2021 Jul 1;94(5):945–57. doi:10.1007/s00420-020-01638-y</w:t>
      </w:r>
    </w:p>
    <w:p w14:paraId="27D12986"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14.</w:t>
      </w:r>
      <w:r w:rsidRPr="00647867">
        <w:rPr>
          <w:rFonts w:ascii="Times New Roman" w:hAnsi="Times New Roman" w:cs="Times New Roman"/>
        </w:rPr>
        <w:tab/>
        <w:t>Jaylet T, Chauhan V, Mezquita L, Boroumand N, Laurent O, Elihn K, et al. Comprehensive computational analysis via Adverse Outcome Pathways and Aggregate Exposure Pathways in exploring synergistic effects from radon and tobacco smoke on lung cancer. Front Public Health. 2025 Jul 31;13. doi:10.3389/fpubh.2025.1571290</w:t>
      </w:r>
    </w:p>
    <w:p w14:paraId="1E32BAA5"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15.</w:t>
      </w:r>
      <w:r w:rsidRPr="00647867">
        <w:rPr>
          <w:rFonts w:ascii="Times New Roman" w:hAnsi="Times New Roman" w:cs="Times New Roman"/>
        </w:rPr>
        <w:tab/>
        <w:t>Atterling Brolin K, Schaeffer E, Kuri A, Rumrich IK, Schumacher Schuh AF, Darweesh SKL, et al. Environmental Risk Factors for Parkinson’s Disease: A Critical Review and Policy Implications. Mov Disord. 2025 Feb;40(2):204–21. doi:10.1002/mds.30067 PubMed PMID: 39601461; PubMed Central PMCID: PMC11832802.</w:t>
      </w:r>
    </w:p>
    <w:p w14:paraId="1B2F11ED"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16.</w:t>
      </w:r>
      <w:r w:rsidRPr="00647867">
        <w:rPr>
          <w:rFonts w:ascii="Times New Roman" w:hAnsi="Times New Roman" w:cs="Times New Roman"/>
        </w:rPr>
        <w:tab/>
        <w:t>Yahya NAA, Meramat AA. Association Between Occupational Toxicity Exposure to Pesticides and Parkinson’s Disease Among Adults: Systematic Review and Meta-Analysis. Asian Journal of Medicine and Biomedicine. 2022 Nov 4;6(S1):43–4. doi:10.37231/ajmb.2022.6.S1.521</w:t>
      </w:r>
    </w:p>
    <w:p w14:paraId="77CF7D99"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17.</w:t>
      </w:r>
      <w:r w:rsidRPr="00647867">
        <w:rPr>
          <w:rFonts w:ascii="Times New Roman" w:hAnsi="Times New Roman" w:cs="Times New Roman"/>
        </w:rPr>
        <w:tab/>
        <w:t>Ma CX, Ma XN, Li HL, Mauricio D, Fu SB. Endocrine-disrupting chemicals exposure: cardiometabolic health risk in humans. Cardiovasc Diabetol. 2025 Oct 1;24(1):381. doi:10.1186/s12933-025-02938-8</w:t>
      </w:r>
    </w:p>
    <w:p w14:paraId="6E1241E0"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18.</w:t>
      </w:r>
      <w:r w:rsidRPr="00647867">
        <w:rPr>
          <w:rFonts w:ascii="Times New Roman" w:hAnsi="Times New Roman" w:cs="Times New Roman"/>
        </w:rPr>
        <w:tab/>
        <w:t>Lawal OP, Ebiala FI, Abayomi M, Okeoma OI, Amankwah NAA, Patrick JO, et al. Chronic Infections and Diabetes in Africa: A Narrative Review of Pathogen-Associated Metabolic Risk. Cureus. 2025 Dec 23. doi:10.7759/cureus.99923</w:t>
      </w:r>
    </w:p>
    <w:p w14:paraId="4D7632C6"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19.</w:t>
      </w:r>
      <w:r w:rsidRPr="00647867">
        <w:rPr>
          <w:rFonts w:ascii="Times New Roman" w:hAnsi="Times New Roman" w:cs="Times New Roman"/>
        </w:rPr>
        <w:tab/>
        <w:t>Apú N, Rommes F, Alvarado-Arias M, Méndez-Rivera M, Lizano-Fallas V. Endocrine-disrupting pesticide exposure relevant to reproductive health: a case study from Costa Rica. Environ Monit Assess. 2025;197(5):559. doi:10.1007/s10661-025-14011-8 PubMed PMID: 40237939; PubMed Central PMCID: PMC12003610.</w:t>
      </w:r>
    </w:p>
    <w:p w14:paraId="4A86AE45"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20.</w:t>
      </w:r>
      <w:r w:rsidRPr="00647867">
        <w:rPr>
          <w:rFonts w:ascii="Times New Roman" w:hAnsi="Times New Roman" w:cs="Times New Roman"/>
        </w:rPr>
        <w:tab/>
        <w:t>Dlamini Z, Alaouna M, Marutha T, Mkhize-Kwitshana Z, Mbodi L, Chauke-Malinga N, et al. The Exposome Perspective: Environmental and Infectious Agents as Drivers of Cancer Disparities in Low- and Middle-Income Countries. Cancers. 2025 Jul 31;17(15). doi:10.3390/cancers17152537</w:t>
      </w:r>
    </w:p>
    <w:p w14:paraId="2BD86CD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21.</w:t>
      </w:r>
      <w:r w:rsidRPr="00647867">
        <w:rPr>
          <w:rFonts w:ascii="Times New Roman" w:hAnsi="Times New Roman" w:cs="Times New Roman"/>
        </w:rPr>
        <w:tab/>
        <w:t>Dalton KR, Lee M, Wang Z, Zhao S, Parks CG, Beane-Freeman LE, et al. Occupational farm work activities influence workers’ indoor home microbiome. Environmental Research. 2024 Feb 15;243:117819. doi:10.1016/j.envres.2023.117819</w:t>
      </w:r>
    </w:p>
    <w:p w14:paraId="28D3B9BD"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lastRenderedPageBreak/>
        <w:t>22.</w:t>
      </w:r>
      <w:r w:rsidRPr="00647867">
        <w:rPr>
          <w:rFonts w:ascii="Times New Roman" w:hAnsi="Times New Roman" w:cs="Times New Roman"/>
        </w:rPr>
        <w:tab/>
        <w:t>Song Y, Deziel NC, Bell ML. Delineating Urbanicity and Rurality: Impact on Environmental Exposure Assessment. Environ Sci Technol. 2024 Oct 29;58(43):19178–88. doi:10.1021/acs.est.4c06942 PubMed PMID: 39412270; PubMed Central PMCID: PMC11627196.</w:t>
      </w:r>
    </w:p>
    <w:p w14:paraId="5D894E6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23.</w:t>
      </w:r>
      <w:r w:rsidRPr="00647867">
        <w:rPr>
          <w:rFonts w:ascii="Times New Roman" w:hAnsi="Times New Roman" w:cs="Times New Roman"/>
        </w:rPr>
        <w:tab/>
        <w:t>Matus P, Urquidi C, Cárcamo M, Vidal V. Integrating the exposome and one health approach to national health surveillance: an opportunity for Latin American countries in health preventive management. Front Public Health. 2024 Aug 14;12:1376609. doi:10.3389/fpubh.2024.1376609 PubMed PMID: 39211902; PubMed Central PMCID: PMC11359557.</w:t>
      </w:r>
    </w:p>
    <w:p w14:paraId="77913E26"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24.</w:t>
      </w:r>
      <w:r w:rsidRPr="00647867">
        <w:rPr>
          <w:rFonts w:ascii="Times New Roman" w:hAnsi="Times New Roman" w:cs="Times New Roman"/>
        </w:rPr>
        <w:tab/>
        <w:t>Galimberti F, Bopp SK, Carletti A, Catarino R, Claverie M, Florio P, et al. Development of a spatial risk indicator for monitoring residential pesticide exposure in agricultural areas. Sci Rep. 2025 May 27;15(1):16785. doi:10.1038/s41598-025-96928-1</w:t>
      </w:r>
    </w:p>
    <w:p w14:paraId="1A0A2042"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25.</w:t>
      </w:r>
      <w:r w:rsidRPr="00647867">
        <w:rPr>
          <w:rFonts w:ascii="Times New Roman" w:hAnsi="Times New Roman" w:cs="Times New Roman"/>
        </w:rPr>
        <w:tab/>
        <w:t>Moreira A, Guedes J, Vieira da Silva M. New Methodologies and Techniques for Biomonitoring Pesticide Exposure in Agricultural Workers: A Systematic Review. Toxics. 2025 Jan 28;13(2):104. doi:10.3390/toxics13020104 PubMed PMID: 39997919; PubMed Central PMCID: PMC11861711.</w:t>
      </w:r>
    </w:p>
    <w:p w14:paraId="11843F8C"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26.</w:t>
      </w:r>
      <w:r w:rsidRPr="00647867">
        <w:rPr>
          <w:rFonts w:ascii="Times New Roman" w:hAnsi="Times New Roman" w:cs="Times New Roman"/>
        </w:rPr>
        <w:tab/>
        <w:t>Abimbola SO, Xeni C, Sakhi AK, Heibati B, Husøy T, Dirven H, et al. Diurnal Variation in Biomarkers of Exposure to Endocrine-Disrupting Chemicals and Their Association with Oxidative Damage in Norwegian Adults: The EuroMix Study. Toxics. 2022 Apr 6;10(4). doi:10.3390/toxics10040181</w:t>
      </w:r>
    </w:p>
    <w:p w14:paraId="1986A0D9"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27.</w:t>
      </w:r>
      <w:r w:rsidRPr="00647867">
        <w:rPr>
          <w:rFonts w:ascii="Times New Roman" w:hAnsi="Times New Roman" w:cs="Times New Roman"/>
        </w:rPr>
        <w:tab/>
        <w:t>Roy SD, Khekare G, Chhajed S, Victor AS. Integrating classification, regression, and time series models to assess biochar safety, optimize pollutant removal, and predict environmental impacts. Front Soil Sci. 2025 Sep 23;5. doi:10.3389/fsoil.2025.1661097</w:t>
      </w:r>
    </w:p>
    <w:p w14:paraId="5CD5672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28.</w:t>
      </w:r>
      <w:r w:rsidRPr="00647867">
        <w:rPr>
          <w:rFonts w:ascii="Times New Roman" w:hAnsi="Times New Roman" w:cs="Times New Roman"/>
        </w:rPr>
        <w:tab/>
        <w:t>Lawal OP, Okeh DU, Ezeamii PC, Olowookere AK, Muhammed I, Ugwu CV, et al. Reimagining Mathematical Modeling for a Responsive and Integrated Future in Infectious Disease Epidemiology. Global Journal of Epidemiology and Infectious Disease. 2025 Dec 22;43–53.</w:t>
      </w:r>
    </w:p>
    <w:p w14:paraId="01E2C6C5"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29.</w:t>
      </w:r>
      <w:r w:rsidRPr="00647867">
        <w:rPr>
          <w:rFonts w:ascii="Times New Roman" w:hAnsi="Times New Roman" w:cs="Times New Roman"/>
        </w:rPr>
        <w:tab/>
        <w:t>Oladosu TA, Okafor CP, Nwosu PC, Ibukunoluwa AE, Monica UI, Aderanti TA. The Role of Liquid Biopsies in Tracking Tumor Evolution and Overcoming Therapeutic Resistance in Cancer. Oncology, Nuclear Medicine and Transplantology. 2025 Oct 8;1(1):onmt006. doi:10.63946/onmt/17244</w:t>
      </w:r>
    </w:p>
    <w:p w14:paraId="73F01C40"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30.</w:t>
      </w:r>
      <w:r w:rsidRPr="00647867">
        <w:rPr>
          <w:rFonts w:ascii="Times New Roman" w:hAnsi="Times New Roman" w:cs="Times New Roman"/>
        </w:rPr>
        <w:tab/>
        <w:t>Zuber S, Bechtiger L, Bodelet JS, Golin M, Heumann J, Kim JH, et al. An integrative approach for the analysis of risk and health across the life course: challenges, innovations, and opportunities for life course research. Discov Soc Sci Health. 2023;3(1):14. doi:10.1007/s44155-023-00044-2 PubMed PMID: 37469576; PubMed Central PMCID: PMC10352429.</w:t>
      </w:r>
    </w:p>
    <w:p w14:paraId="5D78B54B"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31.</w:t>
      </w:r>
      <w:r w:rsidRPr="00647867">
        <w:rPr>
          <w:rFonts w:ascii="Times New Roman" w:hAnsi="Times New Roman" w:cs="Times New Roman"/>
        </w:rPr>
        <w:tab/>
        <w:t xml:space="preserve">Manley CK, Spaur M, Madrigal JM, Fisher JA, Jones RR, Parks CG, et al. Drinking water sources and water quality in a prospective agricultural cohort. Environ Epidemiol. 2022 May </w:t>
      </w:r>
      <w:r w:rsidRPr="00647867">
        <w:rPr>
          <w:rFonts w:ascii="Times New Roman" w:hAnsi="Times New Roman" w:cs="Times New Roman"/>
        </w:rPr>
        <w:lastRenderedPageBreak/>
        <w:t>25;6(3):e210. doi:10.1097/EE9.0000000000000210 PubMed PMID: 35702502; PubMed Central PMCID: PMC9187174.</w:t>
      </w:r>
    </w:p>
    <w:p w14:paraId="7ACFDA54"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32.</w:t>
      </w:r>
      <w:r w:rsidRPr="00647867">
        <w:rPr>
          <w:rFonts w:ascii="Times New Roman" w:hAnsi="Times New Roman" w:cs="Times New Roman"/>
        </w:rPr>
        <w:tab/>
        <w:t>Aryal M. Groundwater Arsenic Contamination in Nepal. World Water Policy. 2025;11(3):871–88. doi:10.1002/wwp2.70008</w:t>
      </w:r>
    </w:p>
    <w:p w14:paraId="12F7D1CA"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33.</w:t>
      </w:r>
      <w:r w:rsidRPr="00647867">
        <w:rPr>
          <w:rFonts w:ascii="Times New Roman" w:hAnsi="Times New Roman" w:cs="Times New Roman"/>
        </w:rPr>
        <w:tab/>
        <w:t>Muñoz-Bautista JM, Bernal-Mercado AT, Martínez-Cruz O, Burgos-Hernández A, López-Zavala AA, Ruiz-Cruz S, et al. Environmental and Health Impacts of Pesticides and Nanotechnology as an Alternative in Agriculture. Agronomy. 2025 Aug 2;15(8). doi:10.3390/agronomy15081878</w:t>
      </w:r>
    </w:p>
    <w:p w14:paraId="4837DCDE"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34.</w:t>
      </w:r>
      <w:r w:rsidRPr="00647867">
        <w:rPr>
          <w:rFonts w:ascii="Times New Roman" w:hAnsi="Times New Roman" w:cs="Times New Roman"/>
        </w:rPr>
        <w:tab/>
        <w:t>Ramkumar D, Marty A, Ramkumar J, Rosencranz H, Vedantham R, Goldman M, et al. Food for thought: Making the case for food produced via regenerative agriculture in the battle against non-communicable chronic diseases (NCDs). One Health. 2024 Jun 1;18:100734. doi:10.1016/j.onehlt.2024.100734</w:t>
      </w:r>
    </w:p>
    <w:p w14:paraId="22210A1D"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35.</w:t>
      </w:r>
      <w:r w:rsidRPr="00647867">
        <w:rPr>
          <w:rFonts w:ascii="Times New Roman" w:hAnsi="Times New Roman" w:cs="Times New Roman"/>
        </w:rPr>
        <w:tab/>
        <w:t>Sarigiannis D, Anesti O, Papaioannou N, Karakoltzidis A, Karakitsios S. Computational standards and tools for exposome-wide association studies linking the human exposome with health outcomes. Environment International. 2026 Feb 1;208:110117. doi:10.1016/j.envint.2026.110117</w:t>
      </w:r>
    </w:p>
    <w:p w14:paraId="688DCFBA"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36.</w:t>
      </w:r>
      <w:r w:rsidRPr="00647867">
        <w:rPr>
          <w:rFonts w:ascii="Times New Roman" w:hAnsi="Times New Roman" w:cs="Times New Roman"/>
        </w:rPr>
        <w:tab/>
        <w:t>Vandenberg LN, Rayasam SDG, Axelrad DA, Bennett DH, Brown P, Carignan CC, et al. Addressing systemic problems with exposure assessments to protect the public’s health. Environ Health. 2023 Jan 12;21(Suppl 1):121. doi:10.1186/s12940-022-00917-0 PubMed PMID: 36635700; PubMed Central PMCID: PMC9835264.</w:t>
      </w:r>
    </w:p>
    <w:p w14:paraId="23670091"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37.</w:t>
      </w:r>
      <w:r w:rsidRPr="00647867">
        <w:rPr>
          <w:rFonts w:ascii="Times New Roman" w:hAnsi="Times New Roman" w:cs="Times New Roman"/>
        </w:rPr>
        <w:tab/>
        <w:t>Lawal O, Orenolu IO, Ajobiewe MA, Forson KAAM, Agu UF, Fidelix ME, et al. Hospital-Acquired Infections in the Age of Antimicrobial Resistance and Smart Surveillance. Australian Journal of Biomedical Research. 2025 Aug 16;1(1):aubm002. doi:10.63946/aubiomed/16759</w:t>
      </w:r>
    </w:p>
    <w:p w14:paraId="418D8707"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38.</w:t>
      </w:r>
      <w:r w:rsidRPr="00647867">
        <w:rPr>
          <w:rFonts w:ascii="Times New Roman" w:hAnsi="Times New Roman" w:cs="Times New Roman"/>
        </w:rPr>
        <w:tab/>
        <w:t>Matus P, Urquidi C, Cárcamo M, Vidal V. Integrating the exposome and one health approach to national health surveillance: an opportunity for Latin American countries in health preventive management. Front Public Health. 2024 Aug 14;12. doi:10.3389/fpubh.2024.1376609</w:t>
      </w:r>
    </w:p>
    <w:p w14:paraId="6D81F4E7"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39.</w:t>
      </w:r>
      <w:r w:rsidRPr="00647867">
        <w:rPr>
          <w:rFonts w:ascii="Times New Roman" w:hAnsi="Times New Roman" w:cs="Times New Roman"/>
        </w:rPr>
        <w:tab/>
        <w:t>Kelechi Wisdom E, Soyemi T, Mayowa S, Ede NS, Ubalaeze Solomon E, Iloanusi CA, et al. Building healthcare capacity for neurodegenerative disease management in Nigeria: Challenges and opportunities. J Public Health Res. 2025 Apr;14(2):22799036251350957. doi:10.1177/22799036251350957 PubMed PMID: 40567342; PubMed Central PMCID: PMC12188034.</w:t>
      </w:r>
    </w:p>
    <w:p w14:paraId="2D9D2832"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40.</w:t>
      </w:r>
      <w:r w:rsidRPr="00647867">
        <w:rPr>
          <w:rFonts w:ascii="Times New Roman" w:hAnsi="Times New Roman" w:cs="Times New Roman"/>
        </w:rPr>
        <w:tab/>
        <w:t>Aliberti SM, Capunzo M. The Power of Environment: A Comprehensive Review of the Exposome’s Role in Healthy Aging, Longevity, and Preventive Medicine—Lessons from Blue Zones and Cilento. Nutrients. 2025 Feb 17;17(4). doi:10.3390/nu17040722</w:t>
      </w:r>
    </w:p>
    <w:p w14:paraId="011BDDC2"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lastRenderedPageBreak/>
        <w:t>41.</w:t>
      </w:r>
      <w:r w:rsidRPr="00647867">
        <w:rPr>
          <w:rFonts w:ascii="Times New Roman" w:hAnsi="Times New Roman" w:cs="Times New Roman"/>
        </w:rPr>
        <w:tab/>
        <w:t>Leslie JF, Ezekiel CN, Wagner M, Elliott C, McNerney O, Uyttendaele M, et al. A FoodSafeR perspective on emerging food safety hazards and associated risks. Front Sustain Food Syst. 2025 Oct 7;9. doi:10.3389/fsufs.2025.1646792</w:t>
      </w:r>
    </w:p>
    <w:p w14:paraId="25171BEB"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42.</w:t>
      </w:r>
      <w:r w:rsidRPr="00647867">
        <w:rPr>
          <w:rFonts w:ascii="Times New Roman" w:hAnsi="Times New Roman" w:cs="Times New Roman"/>
        </w:rPr>
        <w:tab/>
        <w:t>Ibáñez A, Duran-Aniotz C, Migeot J, Báez S, Fittipaldi S, Coronel-Oliveros C, et al. Computational whole-body-exposome models for global precision brain health. Nat Commun. 2025 Dec 11;16(1):11078. doi:10.1038/s41467-025-67448-3</w:t>
      </w:r>
    </w:p>
    <w:p w14:paraId="0296C1F2" w14:textId="77777777" w:rsidR="00647867" w:rsidRPr="00647867" w:rsidRDefault="00647867" w:rsidP="00647867">
      <w:pPr>
        <w:pStyle w:val="Bibliography"/>
        <w:rPr>
          <w:rFonts w:ascii="Times New Roman" w:hAnsi="Times New Roman" w:cs="Times New Roman"/>
        </w:rPr>
      </w:pPr>
      <w:r w:rsidRPr="00647867">
        <w:rPr>
          <w:rFonts w:ascii="Times New Roman" w:hAnsi="Times New Roman" w:cs="Times New Roman"/>
        </w:rPr>
        <w:t>43.</w:t>
      </w:r>
      <w:r w:rsidRPr="00647867">
        <w:rPr>
          <w:rFonts w:ascii="Times New Roman" w:hAnsi="Times New Roman" w:cs="Times New Roman"/>
        </w:rPr>
        <w:tab/>
        <w:t>Abdelzaher H, Tawfik SM, Nour A, Abdelkader S, Elbalkiny ST, Abdelkader M, et al. Climate change, human health, and the exposome: Utilizing OMIC technologies to navigate an era of uncertainty. Front Public Health. 2022 Sep 21;10:973000. doi:10.3389/fpubh.2022.973000 PubMed PMID: 36211706; PubMed Central PMCID: PMC9533016.</w:t>
      </w:r>
    </w:p>
    <w:p w14:paraId="2814DC72" w14:textId="0195D000" w:rsidR="000F2DBA" w:rsidRPr="00B5799D" w:rsidRDefault="000F2DBA" w:rsidP="00B5799D">
      <w:pPr>
        <w:jc w:val="both"/>
        <w:rPr>
          <w:rFonts w:ascii="Times New Roman" w:hAnsi="Times New Roman" w:cs="Times New Roman"/>
        </w:rPr>
      </w:pPr>
      <w:r>
        <w:rPr>
          <w:rFonts w:ascii="Times New Roman" w:hAnsi="Times New Roman" w:cs="Times New Roman"/>
        </w:rPr>
        <w:fldChar w:fldCharType="end"/>
      </w:r>
    </w:p>
    <w:sectPr w:rsidR="000F2DBA" w:rsidRPr="00B579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2F9CE" w14:textId="77777777" w:rsidR="001364AB" w:rsidRDefault="001364AB" w:rsidP="00302242">
      <w:pPr>
        <w:spacing w:after="0" w:line="240" w:lineRule="auto"/>
      </w:pPr>
      <w:r>
        <w:separator/>
      </w:r>
    </w:p>
  </w:endnote>
  <w:endnote w:type="continuationSeparator" w:id="0">
    <w:p w14:paraId="7BF58569" w14:textId="77777777" w:rsidR="001364AB" w:rsidRDefault="001364AB" w:rsidP="0030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078BD" w14:textId="77777777" w:rsidR="00302242" w:rsidRDefault="00302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06BA" w14:textId="77777777" w:rsidR="00302242" w:rsidRDefault="00302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0B5F0" w14:textId="77777777" w:rsidR="00302242" w:rsidRDefault="00302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7E635" w14:textId="77777777" w:rsidR="001364AB" w:rsidRDefault="001364AB" w:rsidP="00302242">
      <w:pPr>
        <w:spacing w:after="0" w:line="240" w:lineRule="auto"/>
      </w:pPr>
      <w:r>
        <w:separator/>
      </w:r>
    </w:p>
  </w:footnote>
  <w:footnote w:type="continuationSeparator" w:id="0">
    <w:p w14:paraId="4B20E7BD" w14:textId="77777777" w:rsidR="001364AB" w:rsidRDefault="001364AB" w:rsidP="00302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3093" w14:textId="3F7A1542" w:rsidR="00302242" w:rsidRDefault="001364AB">
    <w:pPr>
      <w:pStyle w:val="Header"/>
    </w:pPr>
    <w:r>
      <w:rPr>
        <w:noProof/>
      </w:rPr>
      <w:pict w14:anchorId="18A9A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D609F" w14:textId="3074932B" w:rsidR="00302242" w:rsidRDefault="001364AB">
    <w:pPr>
      <w:pStyle w:val="Header"/>
    </w:pPr>
    <w:r>
      <w:rPr>
        <w:noProof/>
      </w:rPr>
      <w:pict w14:anchorId="0190F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C35D" w14:textId="499BAECB" w:rsidR="00302242" w:rsidRDefault="001364AB">
    <w:pPr>
      <w:pStyle w:val="Header"/>
    </w:pPr>
    <w:r>
      <w:rPr>
        <w:noProof/>
      </w:rPr>
      <w:pict w14:anchorId="3D60E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627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75EC"/>
    <w:multiLevelType w:val="multilevel"/>
    <w:tmpl w:val="68D8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62370"/>
    <w:multiLevelType w:val="multilevel"/>
    <w:tmpl w:val="849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548E2"/>
    <w:multiLevelType w:val="multilevel"/>
    <w:tmpl w:val="A82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A0BEB"/>
    <w:multiLevelType w:val="multilevel"/>
    <w:tmpl w:val="D82C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B022B"/>
    <w:multiLevelType w:val="multilevel"/>
    <w:tmpl w:val="9AC4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F1765"/>
    <w:multiLevelType w:val="multilevel"/>
    <w:tmpl w:val="57F0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13B76"/>
    <w:multiLevelType w:val="multilevel"/>
    <w:tmpl w:val="98AA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52122"/>
    <w:multiLevelType w:val="multilevel"/>
    <w:tmpl w:val="83CC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34F79"/>
    <w:multiLevelType w:val="multilevel"/>
    <w:tmpl w:val="140C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75125"/>
    <w:multiLevelType w:val="multilevel"/>
    <w:tmpl w:val="92B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061CD"/>
    <w:multiLevelType w:val="multilevel"/>
    <w:tmpl w:val="95B2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922D0"/>
    <w:multiLevelType w:val="multilevel"/>
    <w:tmpl w:val="6310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86727"/>
    <w:multiLevelType w:val="multilevel"/>
    <w:tmpl w:val="3D9E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A2002"/>
    <w:multiLevelType w:val="multilevel"/>
    <w:tmpl w:val="6062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5241D"/>
    <w:multiLevelType w:val="multilevel"/>
    <w:tmpl w:val="36B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016E9"/>
    <w:multiLevelType w:val="multilevel"/>
    <w:tmpl w:val="58EE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76501"/>
    <w:multiLevelType w:val="multilevel"/>
    <w:tmpl w:val="683E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B712D"/>
    <w:multiLevelType w:val="multilevel"/>
    <w:tmpl w:val="5202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77E4D"/>
    <w:multiLevelType w:val="multilevel"/>
    <w:tmpl w:val="6A8C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452EF"/>
    <w:multiLevelType w:val="hybridMultilevel"/>
    <w:tmpl w:val="D606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21767"/>
    <w:multiLevelType w:val="multilevel"/>
    <w:tmpl w:val="F71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FD5533"/>
    <w:multiLevelType w:val="multilevel"/>
    <w:tmpl w:val="785C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8F0F8E"/>
    <w:multiLevelType w:val="multilevel"/>
    <w:tmpl w:val="C38A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5A1624"/>
    <w:multiLevelType w:val="multilevel"/>
    <w:tmpl w:val="4140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46A0B"/>
    <w:multiLevelType w:val="multilevel"/>
    <w:tmpl w:val="116E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D6036B"/>
    <w:multiLevelType w:val="multilevel"/>
    <w:tmpl w:val="C26C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070DB"/>
    <w:multiLevelType w:val="multilevel"/>
    <w:tmpl w:val="B786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444DF"/>
    <w:multiLevelType w:val="multilevel"/>
    <w:tmpl w:val="A060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861B68"/>
    <w:multiLevelType w:val="multilevel"/>
    <w:tmpl w:val="48BE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F4716"/>
    <w:multiLevelType w:val="multilevel"/>
    <w:tmpl w:val="C334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125DE"/>
    <w:multiLevelType w:val="multilevel"/>
    <w:tmpl w:val="F1CE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24B48"/>
    <w:multiLevelType w:val="multilevel"/>
    <w:tmpl w:val="B33C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81E92"/>
    <w:multiLevelType w:val="multilevel"/>
    <w:tmpl w:val="1A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BB3543"/>
    <w:multiLevelType w:val="multilevel"/>
    <w:tmpl w:val="27A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F3CDE"/>
    <w:multiLevelType w:val="multilevel"/>
    <w:tmpl w:val="ACBA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F1925"/>
    <w:multiLevelType w:val="multilevel"/>
    <w:tmpl w:val="876C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680072"/>
    <w:multiLevelType w:val="multilevel"/>
    <w:tmpl w:val="ADE0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
  </w:num>
  <w:num w:numId="3">
    <w:abstractNumId w:val="15"/>
  </w:num>
  <w:num w:numId="4">
    <w:abstractNumId w:val="34"/>
  </w:num>
  <w:num w:numId="5">
    <w:abstractNumId w:val="20"/>
  </w:num>
  <w:num w:numId="6">
    <w:abstractNumId w:val="25"/>
  </w:num>
  <w:num w:numId="7">
    <w:abstractNumId w:val="22"/>
  </w:num>
  <w:num w:numId="8">
    <w:abstractNumId w:val="21"/>
  </w:num>
  <w:num w:numId="9">
    <w:abstractNumId w:val="23"/>
  </w:num>
  <w:num w:numId="10">
    <w:abstractNumId w:val="7"/>
  </w:num>
  <w:num w:numId="11">
    <w:abstractNumId w:val="30"/>
  </w:num>
  <w:num w:numId="12">
    <w:abstractNumId w:val="0"/>
  </w:num>
  <w:num w:numId="13">
    <w:abstractNumId w:val="11"/>
  </w:num>
  <w:num w:numId="14">
    <w:abstractNumId w:val="1"/>
  </w:num>
  <w:num w:numId="15">
    <w:abstractNumId w:val="35"/>
  </w:num>
  <w:num w:numId="16">
    <w:abstractNumId w:val="16"/>
  </w:num>
  <w:num w:numId="17">
    <w:abstractNumId w:val="5"/>
  </w:num>
  <w:num w:numId="18">
    <w:abstractNumId w:val="36"/>
  </w:num>
  <w:num w:numId="19">
    <w:abstractNumId w:val="31"/>
  </w:num>
  <w:num w:numId="20">
    <w:abstractNumId w:val="27"/>
  </w:num>
  <w:num w:numId="21">
    <w:abstractNumId w:val="33"/>
  </w:num>
  <w:num w:numId="22">
    <w:abstractNumId w:val="18"/>
  </w:num>
  <w:num w:numId="23">
    <w:abstractNumId w:val="9"/>
  </w:num>
  <w:num w:numId="24">
    <w:abstractNumId w:val="3"/>
  </w:num>
  <w:num w:numId="25">
    <w:abstractNumId w:val="6"/>
  </w:num>
  <w:num w:numId="26">
    <w:abstractNumId w:val="26"/>
  </w:num>
  <w:num w:numId="27">
    <w:abstractNumId w:val="14"/>
  </w:num>
  <w:num w:numId="28">
    <w:abstractNumId w:val="29"/>
  </w:num>
  <w:num w:numId="29">
    <w:abstractNumId w:val="28"/>
  </w:num>
  <w:num w:numId="30">
    <w:abstractNumId w:val="13"/>
  </w:num>
  <w:num w:numId="31">
    <w:abstractNumId w:val="10"/>
  </w:num>
  <w:num w:numId="32">
    <w:abstractNumId w:val="4"/>
  </w:num>
  <w:num w:numId="33">
    <w:abstractNumId w:val="12"/>
  </w:num>
  <w:num w:numId="34">
    <w:abstractNumId w:val="24"/>
  </w:num>
  <w:num w:numId="35">
    <w:abstractNumId w:val="17"/>
  </w:num>
  <w:num w:numId="36">
    <w:abstractNumId w:val="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82"/>
    <w:rsid w:val="000121C3"/>
    <w:rsid w:val="000252AA"/>
    <w:rsid w:val="00026B52"/>
    <w:rsid w:val="0004444D"/>
    <w:rsid w:val="000939B2"/>
    <w:rsid w:val="000B7B98"/>
    <w:rsid w:val="000C62A4"/>
    <w:rsid w:val="000D2FB0"/>
    <w:rsid w:val="000F2DBA"/>
    <w:rsid w:val="001055A6"/>
    <w:rsid w:val="00126FEB"/>
    <w:rsid w:val="001364AB"/>
    <w:rsid w:val="001D5472"/>
    <w:rsid w:val="001E3DE4"/>
    <w:rsid w:val="00201C7F"/>
    <w:rsid w:val="00262E3F"/>
    <w:rsid w:val="00274E24"/>
    <w:rsid w:val="00292C56"/>
    <w:rsid w:val="002A1533"/>
    <w:rsid w:val="002E2617"/>
    <w:rsid w:val="002F6694"/>
    <w:rsid w:val="00301F84"/>
    <w:rsid w:val="00302242"/>
    <w:rsid w:val="0031532E"/>
    <w:rsid w:val="00325FAB"/>
    <w:rsid w:val="00332456"/>
    <w:rsid w:val="00342700"/>
    <w:rsid w:val="003C414E"/>
    <w:rsid w:val="003D33A6"/>
    <w:rsid w:val="00427B82"/>
    <w:rsid w:val="00477F9B"/>
    <w:rsid w:val="004A34FA"/>
    <w:rsid w:val="00532208"/>
    <w:rsid w:val="00556005"/>
    <w:rsid w:val="005628ED"/>
    <w:rsid w:val="00595EDA"/>
    <w:rsid w:val="005C3A0C"/>
    <w:rsid w:val="00647867"/>
    <w:rsid w:val="00667C53"/>
    <w:rsid w:val="0067575F"/>
    <w:rsid w:val="00697861"/>
    <w:rsid w:val="00752439"/>
    <w:rsid w:val="00793EC6"/>
    <w:rsid w:val="007C7A3C"/>
    <w:rsid w:val="007D2B69"/>
    <w:rsid w:val="00815A88"/>
    <w:rsid w:val="00892205"/>
    <w:rsid w:val="008D24E0"/>
    <w:rsid w:val="00981265"/>
    <w:rsid w:val="00A64B05"/>
    <w:rsid w:val="00A65AD7"/>
    <w:rsid w:val="00A728A8"/>
    <w:rsid w:val="00A84A25"/>
    <w:rsid w:val="00AC1C3C"/>
    <w:rsid w:val="00AD4B42"/>
    <w:rsid w:val="00AD780F"/>
    <w:rsid w:val="00B002F7"/>
    <w:rsid w:val="00B40BF3"/>
    <w:rsid w:val="00B56ABD"/>
    <w:rsid w:val="00B5799D"/>
    <w:rsid w:val="00BA0028"/>
    <w:rsid w:val="00C016CA"/>
    <w:rsid w:val="00C108B9"/>
    <w:rsid w:val="00C96063"/>
    <w:rsid w:val="00CA71D5"/>
    <w:rsid w:val="00CB2D3C"/>
    <w:rsid w:val="00CD7137"/>
    <w:rsid w:val="00CF5293"/>
    <w:rsid w:val="00D02F29"/>
    <w:rsid w:val="00D16A45"/>
    <w:rsid w:val="00D473F7"/>
    <w:rsid w:val="00E14BB3"/>
    <w:rsid w:val="00E40749"/>
    <w:rsid w:val="00E42B6C"/>
    <w:rsid w:val="00E57636"/>
    <w:rsid w:val="00E72A4A"/>
    <w:rsid w:val="00E966A1"/>
    <w:rsid w:val="00EC209A"/>
    <w:rsid w:val="00EE4476"/>
    <w:rsid w:val="00EE5600"/>
    <w:rsid w:val="00F520F5"/>
    <w:rsid w:val="00F70478"/>
    <w:rsid w:val="00F711F4"/>
    <w:rsid w:val="00FB0D9E"/>
    <w:rsid w:val="00FC4E16"/>
    <w:rsid w:val="00FD5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DB8508"/>
  <w15:chartTrackingRefBased/>
  <w15:docId w15:val="{6D031D9C-8F70-46FF-AF74-9EFC42EC8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7B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27B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7B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7B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7B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7B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B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B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B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B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27B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7B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7B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7B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7B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B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B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B82"/>
    <w:rPr>
      <w:rFonts w:eastAsiaTheme="majorEastAsia" w:cstheme="majorBidi"/>
      <w:color w:val="272727" w:themeColor="text1" w:themeTint="D8"/>
    </w:rPr>
  </w:style>
  <w:style w:type="paragraph" w:styleId="Title">
    <w:name w:val="Title"/>
    <w:basedOn w:val="Normal"/>
    <w:next w:val="Normal"/>
    <w:link w:val="TitleChar"/>
    <w:uiPriority w:val="10"/>
    <w:qFormat/>
    <w:rsid w:val="00427B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B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B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B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B82"/>
    <w:pPr>
      <w:spacing w:before="160"/>
      <w:jc w:val="center"/>
    </w:pPr>
    <w:rPr>
      <w:i/>
      <w:iCs/>
      <w:color w:val="404040" w:themeColor="text1" w:themeTint="BF"/>
    </w:rPr>
  </w:style>
  <w:style w:type="character" w:customStyle="1" w:styleId="QuoteChar">
    <w:name w:val="Quote Char"/>
    <w:basedOn w:val="DefaultParagraphFont"/>
    <w:link w:val="Quote"/>
    <w:uiPriority w:val="29"/>
    <w:rsid w:val="00427B82"/>
    <w:rPr>
      <w:i/>
      <w:iCs/>
      <w:color w:val="404040" w:themeColor="text1" w:themeTint="BF"/>
    </w:rPr>
  </w:style>
  <w:style w:type="paragraph" w:styleId="ListParagraph">
    <w:name w:val="List Paragraph"/>
    <w:basedOn w:val="Normal"/>
    <w:uiPriority w:val="34"/>
    <w:qFormat/>
    <w:rsid w:val="00427B82"/>
    <w:pPr>
      <w:ind w:left="720"/>
      <w:contextualSpacing/>
    </w:pPr>
  </w:style>
  <w:style w:type="character" w:styleId="IntenseEmphasis">
    <w:name w:val="Intense Emphasis"/>
    <w:basedOn w:val="DefaultParagraphFont"/>
    <w:uiPriority w:val="21"/>
    <w:qFormat/>
    <w:rsid w:val="00427B82"/>
    <w:rPr>
      <w:i/>
      <w:iCs/>
      <w:color w:val="2F5496" w:themeColor="accent1" w:themeShade="BF"/>
    </w:rPr>
  </w:style>
  <w:style w:type="paragraph" w:styleId="IntenseQuote">
    <w:name w:val="Intense Quote"/>
    <w:basedOn w:val="Normal"/>
    <w:next w:val="Normal"/>
    <w:link w:val="IntenseQuoteChar"/>
    <w:uiPriority w:val="30"/>
    <w:qFormat/>
    <w:rsid w:val="00427B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7B82"/>
    <w:rPr>
      <w:i/>
      <w:iCs/>
      <w:color w:val="2F5496" w:themeColor="accent1" w:themeShade="BF"/>
    </w:rPr>
  </w:style>
  <w:style w:type="character" w:styleId="IntenseReference">
    <w:name w:val="Intense Reference"/>
    <w:basedOn w:val="DefaultParagraphFont"/>
    <w:uiPriority w:val="32"/>
    <w:qFormat/>
    <w:rsid w:val="00427B82"/>
    <w:rPr>
      <w:b/>
      <w:bCs/>
      <w:smallCaps/>
      <w:color w:val="2F5496" w:themeColor="accent1" w:themeShade="BF"/>
      <w:spacing w:val="5"/>
    </w:rPr>
  </w:style>
  <w:style w:type="paragraph" w:styleId="NormalWeb">
    <w:name w:val="Normal (Web)"/>
    <w:basedOn w:val="Normal"/>
    <w:uiPriority w:val="99"/>
    <w:semiHidden/>
    <w:unhideWhenUsed/>
    <w:rsid w:val="00342700"/>
    <w:rPr>
      <w:rFonts w:ascii="Times New Roman" w:hAnsi="Times New Roman" w:cs="Times New Roman"/>
    </w:rPr>
  </w:style>
  <w:style w:type="paragraph" w:styleId="Bibliography">
    <w:name w:val="Bibliography"/>
    <w:basedOn w:val="Normal"/>
    <w:next w:val="Normal"/>
    <w:uiPriority w:val="37"/>
    <w:unhideWhenUsed/>
    <w:rsid w:val="000F2DBA"/>
    <w:pPr>
      <w:tabs>
        <w:tab w:val="left" w:pos="384"/>
      </w:tabs>
      <w:spacing w:after="240" w:line="240" w:lineRule="auto"/>
      <w:ind w:left="384" w:hanging="384"/>
    </w:pPr>
  </w:style>
  <w:style w:type="character" w:styleId="Hyperlink">
    <w:name w:val="Hyperlink"/>
    <w:basedOn w:val="DefaultParagraphFont"/>
    <w:uiPriority w:val="99"/>
    <w:unhideWhenUsed/>
    <w:rsid w:val="00FB0D9E"/>
    <w:rPr>
      <w:color w:val="0563C1" w:themeColor="hyperlink"/>
      <w:u w:val="single"/>
    </w:rPr>
  </w:style>
  <w:style w:type="character" w:styleId="UnresolvedMention">
    <w:name w:val="Unresolved Mention"/>
    <w:basedOn w:val="DefaultParagraphFont"/>
    <w:uiPriority w:val="99"/>
    <w:semiHidden/>
    <w:unhideWhenUsed/>
    <w:rsid w:val="00FB0D9E"/>
    <w:rPr>
      <w:color w:val="605E5C"/>
      <w:shd w:val="clear" w:color="auto" w:fill="E1DFDD"/>
    </w:rPr>
  </w:style>
  <w:style w:type="paragraph" w:styleId="Header">
    <w:name w:val="header"/>
    <w:basedOn w:val="Normal"/>
    <w:link w:val="HeaderChar"/>
    <w:uiPriority w:val="99"/>
    <w:unhideWhenUsed/>
    <w:rsid w:val="00302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242"/>
  </w:style>
  <w:style w:type="paragraph" w:styleId="Footer">
    <w:name w:val="footer"/>
    <w:basedOn w:val="Normal"/>
    <w:link w:val="FooterChar"/>
    <w:uiPriority w:val="99"/>
    <w:unhideWhenUsed/>
    <w:rsid w:val="00302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19</Pages>
  <Words>26031</Words>
  <Characters>148378</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1158</cp:lastModifiedBy>
  <cp:revision>85</cp:revision>
  <dcterms:created xsi:type="dcterms:W3CDTF">2026-02-19T04:34:00Z</dcterms:created>
  <dcterms:modified xsi:type="dcterms:W3CDTF">2026-03-10T09:18:00Z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id="t3zGZS1i"/&gt;&lt;style id="http://www.zotero.org/styles/nlm-citation-sequence" locale="en-US" hasBibliography="1" bibliographyStyleHasBeenSet="1"/&gt;&lt;prefs&gt;&lt;pref name="fieldType" value="Field"/&gt;&lt;/prefs&gt;</vt:lpwstr>
  </property>
  <property fmtid="{D5CDD505-2E9C-101B-9397-08002B2CF9AE}" pid="3" name="ZOTERO_PREF_2">
    <vt:lpwstr>&lt;/data&gt;</vt:lpwstr>
  </property>
</Properties>
</file>