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956B8" w14:textId="77777777" w:rsidR="006F6260" w:rsidRPr="00D73BA4" w:rsidRDefault="006F6260" w:rsidP="00C973B7">
      <w:pPr>
        <w:rPr>
          <w:rFonts w:ascii="Times New Roman" w:hAnsi="Times New Roman" w:cs="Times New Roman"/>
          <w:b/>
          <w:bCs/>
          <w:u w:val="single"/>
        </w:rPr>
      </w:pPr>
      <w:r w:rsidRPr="00D73BA4">
        <w:rPr>
          <w:rFonts w:ascii="Times New Roman" w:hAnsi="Times New Roman" w:cs="Times New Roman"/>
          <w:b/>
          <w:bCs/>
          <w:u w:val="single"/>
        </w:rPr>
        <w:t>Review Article</w:t>
      </w:r>
    </w:p>
    <w:p w14:paraId="0800C7AF" w14:textId="0D1414C4" w:rsidR="00C973B7" w:rsidRDefault="00C973B7" w:rsidP="00C973B7">
      <w:pPr>
        <w:rPr>
          <w:rFonts w:ascii="Times New Roman" w:hAnsi="Times New Roman" w:cs="Times New Roman"/>
          <w:b/>
          <w:bCs/>
        </w:rPr>
      </w:pPr>
      <w:r w:rsidRPr="0086305E">
        <w:rPr>
          <w:rFonts w:ascii="Times New Roman" w:hAnsi="Times New Roman" w:cs="Times New Roman"/>
          <w:b/>
          <w:bCs/>
        </w:rPr>
        <w:t>Modeling Agrochemical Contamination in Drinking Water and Chronic Disease Risk in U.S. Farmers</w:t>
      </w:r>
    </w:p>
    <w:p w14:paraId="3CCE156F" w14:textId="77777777" w:rsidR="00D73BA4" w:rsidRDefault="00D73BA4" w:rsidP="00C973B7">
      <w:pPr>
        <w:rPr>
          <w:rFonts w:ascii="Times New Roman" w:hAnsi="Times New Roman" w:cs="Times New Roman"/>
          <w:b/>
          <w:bCs/>
        </w:rPr>
      </w:pPr>
    </w:p>
    <w:p w14:paraId="6223877D" w14:textId="77777777" w:rsidR="00A56DFC" w:rsidRPr="00A56DFC" w:rsidRDefault="00A56DFC" w:rsidP="00A56DFC">
      <w:pPr>
        <w:pStyle w:val="ListParagraph"/>
        <w:rPr>
          <w:rFonts w:ascii="Times New Roman" w:hAnsi="Times New Roman" w:cs="Times New Roman"/>
          <w:b/>
          <w:bCs/>
        </w:rPr>
      </w:pPr>
    </w:p>
    <w:p w14:paraId="0811A460" w14:textId="77777777" w:rsidR="00591DA1" w:rsidRPr="00591DA1" w:rsidRDefault="00591DA1" w:rsidP="00591DA1">
      <w:pPr>
        <w:rPr>
          <w:rFonts w:ascii="Times New Roman" w:hAnsi="Times New Roman" w:cs="Times New Roman"/>
          <w:b/>
          <w:bCs/>
        </w:rPr>
      </w:pPr>
      <w:r w:rsidRPr="00591DA1">
        <w:rPr>
          <w:rFonts w:ascii="Times New Roman" w:hAnsi="Times New Roman" w:cs="Times New Roman"/>
          <w:b/>
          <w:bCs/>
        </w:rPr>
        <w:t>Abstract</w:t>
      </w:r>
    </w:p>
    <w:p w14:paraId="3D1FEAB1" w14:textId="69EF22AF" w:rsidR="0011218D" w:rsidRPr="0011218D" w:rsidRDefault="0011218D" w:rsidP="0011218D">
      <w:pPr>
        <w:rPr>
          <w:rFonts w:ascii="Times New Roman" w:hAnsi="Times New Roman" w:cs="Times New Roman"/>
        </w:rPr>
      </w:pPr>
      <w:r w:rsidRPr="0011218D">
        <w:rPr>
          <w:rFonts w:ascii="Times New Roman" w:hAnsi="Times New Roman" w:cs="Times New Roman"/>
        </w:rPr>
        <w:t>Agrochemical contamination of drinking water represents an underrecognized environmental health risk in agricultural communities, particularly among farmers who rely on private wells for long-term water consumption. Intensive use of pesticides, herbicides, and nitrogen-based fertilizers can lead to groundwater and surface water contamination through leaching, runoff, and subsurface transport, resulting in chronic low-level exposure. Existing monitoring and biomonitoring approaches are often insufficient to capture cumulative and historical exposure relevant to chronic disease development.</w:t>
      </w:r>
      <w:r>
        <w:rPr>
          <w:rFonts w:ascii="Times New Roman" w:hAnsi="Times New Roman" w:cs="Times New Roman"/>
        </w:rPr>
        <w:t xml:space="preserve"> </w:t>
      </w:r>
      <w:r w:rsidRPr="0011218D">
        <w:rPr>
          <w:rFonts w:ascii="Times New Roman" w:hAnsi="Times New Roman" w:cs="Times New Roman"/>
        </w:rPr>
        <w:t>This review synthesizes current modeling approaches used to estimate agrochemical contamination in drinking water and examines how these modeled exposures have been linked to chronic disease risk among farmers. Environmental fate and transport models, spatial and temporal exposure models, and emerging mixture-based frameworks are reviewed to illustrate how long-term drinking water exposure is reconstructed and applied in epidemiologic research. Evidence linking modeled exposure to cancer, neurologic, endocrine, metabolic, and renal outcomes is summarized, with attention to exposure duration, latency, and population-specific vulnerabilities.</w:t>
      </w:r>
      <w:r>
        <w:rPr>
          <w:rFonts w:ascii="Times New Roman" w:hAnsi="Times New Roman" w:cs="Times New Roman"/>
        </w:rPr>
        <w:t xml:space="preserve"> </w:t>
      </w:r>
      <w:r w:rsidRPr="0011218D">
        <w:rPr>
          <w:rFonts w:ascii="Times New Roman" w:hAnsi="Times New Roman" w:cs="Times New Roman"/>
        </w:rPr>
        <w:t>Overall, the literature indicates that drinking water is a critical and continuous exposure pathway contributing to chronic disease risk in farming populations, particularly where regulatory oversight of private wells is limited. Future research should prioritize integrated modeling–biomonitoring frameworks, improved mixture assessment, and the use of conceptual diagrams to clarify exposure mechanisms. Strengthening these approaches will support more effective surveillance, risk assessment, and preventive strategies aimed at protecting farmer health and reducing long-term disease burden.</w:t>
      </w:r>
    </w:p>
    <w:p w14:paraId="6205BAC4" w14:textId="3D6B5E26" w:rsidR="0011218D" w:rsidRPr="0011218D" w:rsidRDefault="0011218D" w:rsidP="0011218D">
      <w:pPr>
        <w:rPr>
          <w:rFonts w:ascii="Times New Roman" w:hAnsi="Times New Roman" w:cs="Times New Roman"/>
          <w:b/>
          <w:bCs/>
        </w:rPr>
      </w:pPr>
      <w:r w:rsidRPr="0011218D">
        <w:rPr>
          <w:rFonts w:ascii="Times New Roman" w:hAnsi="Times New Roman" w:cs="Times New Roman"/>
          <w:b/>
          <w:bCs/>
        </w:rPr>
        <w:t>Keywords</w:t>
      </w:r>
      <w:r>
        <w:rPr>
          <w:rFonts w:ascii="Times New Roman" w:hAnsi="Times New Roman" w:cs="Times New Roman"/>
          <w:b/>
          <w:bCs/>
        </w:rPr>
        <w:t xml:space="preserve">: </w:t>
      </w:r>
      <w:r w:rsidRPr="0011218D">
        <w:rPr>
          <w:rFonts w:ascii="Times New Roman" w:hAnsi="Times New Roman" w:cs="Times New Roman"/>
        </w:rPr>
        <w:t>Agrochemicals; Drinking water; Exposure modeling; Chronic disease; Farmers</w:t>
      </w:r>
    </w:p>
    <w:p w14:paraId="0DDC9801" w14:textId="77777777" w:rsidR="00401F54" w:rsidRPr="00591DA1" w:rsidRDefault="00401F54" w:rsidP="00591DA1">
      <w:pPr>
        <w:rPr>
          <w:rFonts w:ascii="Times New Roman" w:hAnsi="Times New Roman" w:cs="Times New Roman"/>
        </w:rPr>
      </w:pPr>
    </w:p>
    <w:p w14:paraId="5F321463" w14:textId="77777777" w:rsidR="00C3477C" w:rsidRPr="00C3477C" w:rsidRDefault="00C3477C" w:rsidP="00C3477C">
      <w:pPr>
        <w:rPr>
          <w:rFonts w:ascii="Times New Roman" w:hAnsi="Times New Roman" w:cs="Times New Roman"/>
          <w:b/>
          <w:bCs/>
        </w:rPr>
      </w:pPr>
      <w:r w:rsidRPr="00C3477C">
        <w:rPr>
          <w:rFonts w:ascii="Times New Roman" w:hAnsi="Times New Roman" w:cs="Times New Roman"/>
          <w:b/>
          <w:bCs/>
        </w:rPr>
        <w:t>1. Introduction</w:t>
      </w:r>
    </w:p>
    <w:p w14:paraId="1F44F41B" w14:textId="77777777" w:rsidR="00C3477C" w:rsidRPr="00C3477C" w:rsidRDefault="00C3477C" w:rsidP="00C3477C">
      <w:pPr>
        <w:rPr>
          <w:rFonts w:ascii="Times New Roman" w:hAnsi="Times New Roman" w:cs="Times New Roman"/>
          <w:b/>
          <w:bCs/>
        </w:rPr>
      </w:pPr>
      <w:r w:rsidRPr="00C3477C">
        <w:rPr>
          <w:rFonts w:ascii="Times New Roman" w:hAnsi="Times New Roman" w:cs="Times New Roman"/>
          <w:b/>
          <w:bCs/>
        </w:rPr>
        <w:t>1.1 Agrochemical Use in Modern Agriculture</w:t>
      </w:r>
    </w:p>
    <w:p w14:paraId="335576FE" w14:textId="77777777" w:rsidR="00C3477C" w:rsidRPr="00C3477C" w:rsidRDefault="00C3477C" w:rsidP="00C3477C">
      <w:pPr>
        <w:rPr>
          <w:rFonts w:ascii="Times New Roman" w:hAnsi="Times New Roman" w:cs="Times New Roman"/>
        </w:rPr>
      </w:pPr>
      <w:r w:rsidRPr="00C3477C">
        <w:rPr>
          <w:rFonts w:ascii="Times New Roman" w:hAnsi="Times New Roman" w:cs="Times New Roman"/>
        </w:rPr>
        <w:t xml:space="preserve">Agrochemicals refer to chemical substances used in agriculture to enhance crop productivity and protect plants from pests, weeds, and disease. These substances include herbicides, insecticides, fungicides, and synthetic fertilizers. Modern U.S. agriculture relies heavily on these inputs to sustain crop yields, ensure food security, and maintain economic viability across diverse </w:t>
      </w:r>
      <w:r w:rsidRPr="00C3477C">
        <w:rPr>
          <w:rFonts w:ascii="Times New Roman" w:hAnsi="Times New Roman" w:cs="Times New Roman"/>
        </w:rPr>
        <w:lastRenderedPageBreak/>
        <w:t>cropping systems. Millions of kilograms of active ingredients are applied annually, with intensity varying by crop type, region, and season (1,2).</w:t>
      </w:r>
    </w:p>
    <w:p w14:paraId="70C2B72D" w14:textId="77777777" w:rsidR="00C3477C" w:rsidRPr="00C3477C" w:rsidRDefault="00C3477C" w:rsidP="00C3477C">
      <w:pPr>
        <w:rPr>
          <w:rFonts w:ascii="Times New Roman" w:hAnsi="Times New Roman" w:cs="Times New Roman"/>
        </w:rPr>
      </w:pPr>
      <w:r w:rsidRPr="00C3477C">
        <w:rPr>
          <w:rFonts w:ascii="Times New Roman" w:hAnsi="Times New Roman" w:cs="Times New Roman"/>
        </w:rPr>
        <w:t>Despite their agronomic benefits, agrochemicals raise environmental and public health concerns. Following application, these compounds may persist in soil, migrate beyond treated fields, and enter surrounding ecosystems. Agrochemicals can contaminate groundwater and surface water through leaching, runoff, spray drift, and subsurface drainage (3). Their environmental behavior is influenced by chemical properties such as solubility, persistence, and degradation rates, as well as by soil composition, aquifer characteristics, land slope, and climate variability. Consequently, contaminants such as nitrates, atrazine, glyphosate, and other pesticide residues are frequently detected in agricultural watersheds, sometimes at concentrations exceeding health-based guidelines (3,4). These patterns underscore the need to examine agrochemical exposure not only as an occupational hazard but also as an environmental health issue.</w:t>
      </w:r>
    </w:p>
    <w:p w14:paraId="30FA995B" w14:textId="77777777" w:rsidR="00C3477C" w:rsidRPr="00C3477C" w:rsidRDefault="00C3477C" w:rsidP="00C3477C">
      <w:pPr>
        <w:rPr>
          <w:rFonts w:ascii="Times New Roman" w:hAnsi="Times New Roman" w:cs="Times New Roman"/>
          <w:b/>
          <w:bCs/>
        </w:rPr>
      </w:pPr>
      <w:r w:rsidRPr="00C3477C">
        <w:rPr>
          <w:rFonts w:ascii="Times New Roman" w:hAnsi="Times New Roman" w:cs="Times New Roman"/>
          <w:b/>
          <w:bCs/>
        </w:rPr>
        <w:t>1.2 Drinking Water as an Underrecognized Exposure Pathway</w:t>
      </w:r>
    </w:p>
    <w:p w14:paraId="18D9FE6B" w14:textId="77777777" w:rsidR="00C3477C" w:rsidRPr="00C3477C" w:rsidRDefault="00C3477C" w:rsidP="00C3477C">
      <w:pPr>
        <w:rPr>
          <w:rFonts w:ascii="Times New Roman" w:hAnsi="Times New Roman" w:cs="Times New Roman"/>
        </w:rPr>
      </w:pPr>
      <w:r w:rsidRPr="00C3477C">
        <w:rPr>
          <w:rFonts w:ascii="Times New Roman" w:hAnsi="Times New Roman" w:cs="Times New Roman"/>
        </w:rPr>
        <w:t>Drinking water represents a critical but underrecognized pathway of agrochemical exposure in agricultural regions. Public water systems are subject to regulatory monitoring and treatment requirements; however, a substantial proportion of farming households rely on private wells. Private wells are largely unregulated at the federal level and are not routinely monitored for contaminants. As a result, contamination may persist undetected for extended periods.</w:t>
      </w:r>
    </w:p>
    <w:p w14:paraId="7E0217D9" w14:textId="77777777" w:rsidR="00C3477C" w:rsidRPr="00C3477C" w:rsidRDefault="00C3477C" w:rsidP="00C3477C">
      <w:pPr>
        <w:rPr>
          <w:rFonts w:ascii="Times New Roman" w:hAnsi="Times New Roman" w:cs="Times New Roman"/>
        </w:rPr>
      </w:pPr>
      <w:r w:rsidRPr="00C3477C">
        <w:rPr>
          <w:rFonts w:ascii="Times New Roman" w:hAnsi="Times New Roman" w:cs="Times New Roman"/>
        </w:rPr>
        <w:t>Unlike occupational exposure, which may vary seasonally or cease upon retirement, drinking water exposure can be continuous and lifelong. Farmers are exposed not only through direct chemical handling but also through residential proximity to treated fields and reliance on potentially contaminated water sources (4,6,7). This dual exposure context increases cumulative risk. Drinking water ingestion represents a steady exposure route that extends beyond active farming years and may affect family members, including children and older adults. Therefore, evaluating agrochemical contamination of drinking water is essential for understanding total exposure burden in farming populations.</w:t>
      </w:r>
    </w:p>
    <w:p w14:paraId="5F7BD072" w14:textId="77777777" w:rsidR="00C3477C" w:rsidRPr="00C3477C" w:rsidRDefault="00C3477C" w:rsidP="00C3477C">
      <w:pPr>
        <w:rPr>
          <w:rFonts w:ascii="Times New Roman" w:hAnsi="Times New Roman" w:cs="Times New Roman"/>
          <w:b/>
          <w:bCs/>
        </w:rPr>
      </w:pPr>
      <w:r w:rsidRPr="00C3477C">
        <w:rPr>
          <w:rFonts w:ascii="Times New Roman" w:hAnsi="Times New Roman" w:cs="Times New Roman"/>
          <w:b/>
          <w:bCs/>
        </w:rPr>
        <w:t>1.3 Chronic Disease Burden in Farming Populations</w:t>
      </w:r>
    </w:p>
    <w:p w14:paraId="2BF89968" w14:textId="77777777" w:rsidR="00C3477C" w:rsidRPr="00C3477C" w:rsidRDefault="00C3477C" w:rsidP="00C3477C">
      <w:pPr>
        <w:rPr>
          <w:rFonts w:ascii="Times New Roman" w:hAnsi="Times New Roman" w:cs="Times New Roman"/>
        </w:rPr>
      </w:pPr>
      <w:r w:rsidRPr="00C3477C">
        <w:rPr>
          <w:rFonts w:ascii="Times New Roman" w:hAnsi="Times New Roman" w:cs="Times New Roman"/>
        </w:rPr>
        <w:t>Farmers and agricultural workers experience a distinct pattern of chronic disease risk shaped by occupational, environmental, and social factors. Epidemiologic studies have documented elevated risks of certain cancers, including hematologic malignancies, prostate cancer, and non-Hodgkin lymphoma. Increased prevalence of neurologic disorders such as Parkinson’s disease has also been reported. Emerging evidence links agricultural exposures to endocrine disruption, metabolic disorders, chronic kidney disease, and adverse cardiovascular outcomes (5).</w:t>
      </w:r>
    </w:p>
    <w:p w14:paraId="7B21E526" w14:textId="77777777" w:rsidR="00C3477C" w:rsidRPr="00C3477C" w:rsidRDefault="00C3477C" w:rsidP="00C3477C">
      <w:pPr>
        <w:rPr>
          <w:rFonts w:ascii="Times New Roman" w:hAnsi="Times New Roman" w:cs="Times New Roman"/>
        </w:rPr>
      </w:pPr>
      <w:r w:rsidRPr="00C3477C">
        <w:rPr>
          <w:rFonts w:ascii="Times New Roman" w:hAnsi="Times New Roman" w:cs="Times New Roman"/>
        </w:rPr>
        <w:t xml:space="preserve">A defining feature of these chronic conditions is long latency. Many cancers and neurodegenerative diseases develop over decades. Chronic low-dose exposure through drinking water may therefore be particularly relevant. Repeated ingestion of contaminated water can contribute to cumulative internal dose even when individual measurements fall below regulatory </w:t>
      </w:r>
      <w:r w:rsidRPr="00C3477C">
        <w:rPr>
          <w:rFonts w:ascii="Times New Roman" w:hAnsi="Times New Roman" w:cs="Times New Roman"/>
        </w:rPr>
        <w:lastRenderedPageBreak/>
        <w:t>thresholds. However, fragmented surveillance systems and limited integration of occupational and environmental exposure data complicate efforts to attribute disease risk to specific pathways. These gaps highlight the importance of more comprehensive exposure assessment strategies.</w:t>
      </w:r>
    </w:p>
    <w:p w14:paraId="430ED6C9" w14:textId="77777777" w:rsidR="00C3477C" w:rsidRPr="00C3477C" w:rsidRDefault="00C3477C" w:rsidP="00C3477C">
      <w:pPr>
        <w:rPr>
          <w:rFonts w:ascii="Times New Roman" w:hAnsi="Times New Roman" w:cs="Times New Roman"/>
          <w:b/>
          <w:bCs/>
        </w:rPr>
      </w:pPr>
      <w:r w:rsidRPr="00C3477C">
        <w:rPr>
          <w:rFonts w:ascii="Times New Roman" w:hAnsi="Times New Roman" w:cs="Times New Roman"/>
          <w:b/>
          <w:bCs/>
        </w:rPr>
        <w:t>1.4 Why Exposure Modeling Is Needed</w:t>
      </w:r>
    </w:p>
    <w:p w14:paraId="2B52B549" w14:textId="77777777" w:rsidR="00C3477C" w:rsidRPr="00C3477C" w:rsidRDefault="00C3477C" w:rsidP="00C3477C">
      <w:pPr>
        <w:rPr>
          <w:rFonts w:ascii="Times New Roman" w:hAnsi="Times New Roman" w:cs="Times New Roman"/>
        </w:rPr>
      </w:pPr>
      <w:r w:rsidRPr="00C3477C">
        <w:rPr>
          <w:rFonts w:ascii="Times New Roman" w:hAnsi="Times New Roman" w:cs="Times New Roman"/>
        </w:rPr>
        <w:t>Direct monitoring of agrochemicals in drinking water and biomonitoring of exposed individuals are essential but inherently limited. Monitoring data are often spatially sparse and temporally inconsistent. They are typically focused on regulated public water systems, leaving private wells underrepresented. Biomonitoring reflects recent exposure and may not capture cumulative or historical exposure relevant to chronic disease development (8).</w:t>
      </w:r>
    </w:p>
    <w:p w14:paraId="1F018A50" w14:textId="77777777" w:rsidR="00C3477C" w:rsidRPr="00C3477C" w:rsidRDefault="00C3477C" w:rsidP="00C3477C">
      <w:pPr>
        <w:rPr>
          <w:rFonts w:ascii="Times New Roman" w:hAnsi="Times New Roman" w:cs="Times New Roman"/>
        </w:rPr>
      </w:pPr>
      <w:r w:rsidRPr="00C3477C">
        <w:rPr>
          <w:rFonts w:ascii="Times New Roman" w:hAnsi="Times New Roman" w:cs="Times New Roman"/>
        </w:rPr>
        <w:t>Exposure modeling provides a complementary approach. By integrating data on agrochemical application, environmental transport processes, hydrology, land use, and water sources, models can reconstruct spatially and temporally resolved exposure estimates over extended periods (9). These methods enable estimation of cumulative exposure, identification of high-risk regions, and assessment of exposure gradients that are otherwise difficult to measure directly. Modeled exposure metrics can also be linked to epidemiologic data to strengthen causal inference and inform risk assessment and regulatory decision-making.</w:t>
      </w:r>
    </w:p>
    <w:p w14:paraId="0FB819A4" w14:textId="77777777" w:rsidR="00C3477C" w:rsidRPr="00C3477C" w:rsidRDefault="00C3477C" w:rsidP="00C3477C">
      <w:pPr>
        <w:rPr>
          <w:rFonts w:ascii="Times New Roman" w:hAnsi="Times New Roman" w:cs="Times New Roman"/>
          <w:b/>
          <w:bCs/>
        </w:rPr>
      </w:pPr>
      <w:r w:rsidRPr="00C3477C">
        <w:rPr>
          <w:rFonts w:ascii="Times New Roman" w:hAnsi="Times New Roman" w:cs="Times New Roman"/>
          <w:b/>
          <w:bCs/>
        </w:rPr>
        <w:t>1.5 Scope, Objectives, and Conceptual Overview</w:t>
      </w:r>
    </w:p>
    <w:p w14:paraId="24BC718F" w14:textId="77777777" w:rsidR="00C3477C" w:rsidRPr="00C3477C" w:rsidRDefault="00C3477C" w:rsidP="00C3477C">
      <w:pPr>
        <w:rPr>
          <w:rFonts w:ascii="Times New Roman" w:hAnsi="Times New Roman" w:cs="Times New Roman"/>
        </w:rPr>
      </w:pPr>
      <w:r w:rsidRPr="00C3477C">
        <w:rPr>
          <w:rFonts w:ascii="Times New Roman" w:hAnsi="Times New Roman" w:cs="Times New Roman"/>
        </w:rPr>
        <w:t>This review synthesizes current evidence on modeling agrochemical contamination in drinking water and its implications for chronic disease risk among U.S. farmers. The focus is on drinking water as a distinct and continuous exposure pathway, rather than solely on occupational exposure. The objectives are to: (</w:t>
      </w:r>
      <w:proofErr w:type="spellStart"/>
      <w:r w:rsidRPr="00C3477C">
        <w:rPr>
          <w:rFonts w:ascii="Times New Roman" w:hAnsi="Times New Roman" w:cs="Times New Roman"/>
        </w:rPr>
        <w:t>i</w:t>
      </w:r>
      <w:proofErr w:type="spellEnd"/>
      <w:r w:rsidRPr="00C3477C">
        <w:rPr>
          <w:rFonts w:ascii="Times New Roman" w:hAnsi="Times New Roman" w:cs="Times New Roman"/>
        </w:rPr>
        <w:t>) summarize major agrochemicals of concern in U.S. drinking water; (ii) evaluate modeling approaches used to estimate contamination and long-term exposure; (iii) examine how modeled exposure has been linked to chronic disease outcomes; and (iv) identify methodological challenges, prevention strategies, and future research priorities relevant to environmental health policy.</w:t>
      </w:r>
    </w:p>
    <w:p w14:paraId="6C5D51A4" w14:textId="77777777" w:rsidR="00C3477C" w:rsidRDefault="00C3477C" w:rsidP="00C3477C">
      <w:pPr>
        <w:rPr>
          <w:rFonts w:ascii="Times New Roman" w:hAnsi="Times New Roman" w:cs="Times New Roman"/>
        </w:rPr>
      </w:pPr>
      <w:r w:rsidRPr="00C3477C">
        <w:rPr>
          <w:rFonts w:ascii="Times New Roman" w:hAnsi="Times New Roman" w:cs="Times New Roman"/>
        </w:rPr>
        <w:t>To clarify the full exposure pathway, Figure 1 presents an integrated conceptual framework linking agrochemical application to chronic disease risk. As illustrated, agrochemicals applied in agricultural settings enter the environment through leaching, runoff, and drift. These processes contribute to contamination of groundwater and surface water used for drinking. Long-term ingestion of contaminated water results in cumulative internal exposure. Sustained exposure may lead to biological disruption, including endocrine, neurologic, and carcinogenic mechanisms, ultimately contributing to chronic disease development. This framework guides the structure of the review and provides a mechanistic foundation for interpreting exposure modeling and epidemiologic findings.</w:t>
      </w:r>
    </w:p>
    <w:p w14:paraId="5C19CA99" w14:textId="59244D97" w:rsidR="00680CCD" w:rsidRDefault="00680CCD" w:rsidP="00C3477C">
      <w:pPr>
        <w:rPr>
          <w:rFonts w:ascii="Times New Roman" w:hAnsi="Times New Roman" w:cs="Times New Roman"/>
        </w:rPr>
      </w:pPr>
      <w:r>
        <w:rPr>
          <w:rFonts w:ascii="Times New Roman" w:hAnsi="Times New Roman" w:cs="Times New Roman"/>
          <w:noProof/>
        </w:rPr>
        <w:lastRenderedPageBreak/>
        <w:drawing>
          <wp:inline distT="0" distB="0" distL="0" distR="0" wp14:anchorId="60C1921D" wp14:editId="423ED533">
            <wp:extent cx="5943600" cy="3962400"/>
            <wp:effectExtent l="0" t="0" r="0" b="0"/>
            <wp:docPr id="1231397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39729" name="Picture 123139729"/>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0091502D" w14:textId="1E050934" w:rsidR="00680CCD" w:rsidRPr="00680CCD" w:rsidRDefault="00680CCD" w:rsidP="00680CCD">
      <w:pPr>
        <w:rPr>
          <w:rFonts w:ascii="Times New Roman" w:hAnsi="Times New Roman" w:cs="Times New Roman"/>
        </w:rPr>
      </w:pPr>
      <w:r w:rsidRPr="00680CCD">
        <w:rPr>
          <w:rFonts w:ascii="Times New Roman" w:hAnsi="Times New Roman" w:cs="Times New Roman"/>
          <w:b/>
          <w:bCs/>
        </w:rPr>
        <w:t>Fig 1: Mechanistic Pathway Linking Agrochemical Application to Drinking Water Contamination and Chronic Disease Risk in Farmers</w:t>
      </w:r>
      <w:r>
        <w:rPr>
          <w:rFonts w:ascii="Times New Roman" w:hAnsi="Times New Roman" w:cs="Times New Roman"/>
        </w:rPr>
        <w:t xml:space="preserve">. </w:t>
      </w:r>
      <w:r w:rsidRPr="00680CCD">
        <w:rPr>
          <w:rFonts w:ascii="Times New Roman" w:hAnsi="Times New Roman" w:cs="Times New Roman"/>
        </w:rPr>
        <w:t>This figure illustrates the sequential mechanisms through which agrochemicals used in agriculture contribute to chronic disease risk among farming populations. Agrochemical application, including pesticides, herbicides, and fertilizers, leads to environmental release and transport via runoff, leaching, and subsurface movement. These processes result in contamination of surface water and groundwater sources, particularly private wells used for drinking water. Long-term ingestion of contaminated drinking water causes cumulative exposure, which may induce biological effects such as endocrine disruption, neurotoxicity, oxidative stress, and carcinogenic processes. Sustained exposure over time contributes to the development of chronic diseases, including cancer, neurologic disorders, kidney disease, and metabolic disorders. The figure also highlights key stages where preventive and mitigation strategies may reduce exposure and health risk.</w:t>
      </w:r>
    </w:p>
    <w:p w14:paraId="7E0773F5" w14:textId="7CEC0CCA" w:rsidR="00DA3E5D" w:rsidRPr="00DA3E5D" w:rsidRDefault="00DA3E5D" w:rsidP="00DA3E5D">
      <w:pPr>
        <w:rPr>
          <w:rFonts w:ascii="Times New Roman" w:hAnsi="Times New Roman" w:cs="Times New Roman"/>
        </w:rPr>
      </w:pPr>
      <w:r>
        <w:rPr>
          <w:rFonts w:ascii="Times New Roman" w:hAnsi="Times New Roman" w:cs="Times New Roman"/>
        </w:rPr>
        <w:t>Source: Created by authors</w:t>
      </w:r>
    </w:p>
    <w:p w14:paraId="01F78372" w14:textId="77777777" w:rsidR="008D46AE" w:rsidRPr="008D46AE" w:rsidRDefault="008D46AE" w:rsidP="008D46AE">
      <w:pPr>
        <w:rPr>
          <w:rFonts w:ascii="Times New Roman" w:hAnsi="Times New Roman" w:cs="Times New Roman"/>
          <w:b/>
          <w:bCs/>
        </w:rPr>
      </w:pPr>
      <w:r w:rsidRPr="008D46AE">
        <w:rPr>
          <w:rFonts w:ascii="Times New Roman" w:hAnsi="Times New Roman" w:cs="Times New Roman"/>
          <w:b/>
          <w:bCs/>
        </w:rPr>
        <w:t>2. Conceptual Framework: From Agrochemical Use to Chronic Disease</w:t>
      </w:r>
    </w:p>
    <w:p w14:paraId="0F7A4D76" w14:textId="77777777" w:rsidR="008D46AE" w:rsidRPr="008D46AE" w:rsidRDefault="008D46AE" w:rsidP="008D46AE">
      <w:pPr>
        <w:rPr>
          <w:rFonts w:ascii="Times New Roman" w:hAnsi="Times New Roman" w:cs="Times New Roman"/>
        </w:rPr>
      </w:pPr>
      <w:r w:rsidRPr="008D46AE">
        <w:rPr>
          <w:rFonts w:ascii="Times New Roman" w:hAnsi="Times New Roman" w:cs="Times New Roman"/>
        </w:rPr>
        <w:t>This section outlines the mechanistic pathway linking agrochemical use in agricultural settings to chronic disease risk among farming populations. As summarized in Figure 1, exposure arises through a sequential process involving environmental release, transport into drinking water sources, chronic ingestion, and biological disruption. Each stage contributes to cumulative health risk over time.</w:t>
      </w:r>
    </w:p>
    <w:p w14:paraId="5D2780CA" w14:textId="77777777" w:rsidR="008D46AE" w:rsidRPr="008D46AE" w:rsidRDefault="008D46AE" w:rsidP="008D46AE">
      <w:pPr>
        <w:rPr>
          <w:rFonts w:ascii="Times New Roman" w:hAnsi="Times New Roman" w:cs="Times New Roman"/>
          <w:b/>
          <w:bCs/>
        </w:rPr>
      </w:pPr>
      <w:r w:rsidRPr="008D46AE">
        <w:rPr>
          <w:rFonts w:ascii="Times New Roman" w:hAnsi="Times New Roman" w:cs="Times New Roman"/>
          <w:b/>
          <w:bCs/>
        </w:rPr>
        <w:lastRenderedPageBreak/>
        <w:t>2.1 Agrochemical Application and Environmental Release</w:t>
      </w:r>
    </w:p>
    <w:p w14:paraId="4F84A178" w14:textId="77777777" w:rsidR="008D46AE" w:rsidRPr="008D46AE" w:rsidRDefault="008D46AE" w:rsidP="008D46AE">
      <w:pPr>
        <w:rPr>
          <w:rFonts w:ascii="Times New Roman" w:hAnsi="Times New Roman" w:cs="Times New Roman"/>
        </w:rPr>
      </w:pPr>
      <w:r w:rsidRPr="008D46AE">
        <w:rPr>
          <w:rFonts w:ascii="Times New Roman" w:hAnsi="Times New Roman" w:cs="Times New Roman"/>
        </w:rPr>
        <w:t>Agrochemicals are applied to agricultural fields to control pests, suppress weeds, and enhance crop productivity. These substances include herbicides, insecticides, fungicides, and nitrogen-based fertilizers. Application methods vary and may include ground spraying, aerial spraying, seed treatments, and soil incorporation. During and after application, a portion of the active ingredients enters the surrounding environment.</w:t>
      </w:r>
    </w:p>
    <w:p w14:paraId="2E335B80" w14:textId="77777777" w:rsidR="008D46AE" w:rsidRPr="008D46AE" w:rsidRDefault="008D46AE" w:rsidP="008D46AE">
      <w:pPr>
        <w:rPr>
          <w:rFonts w:ascii="Times New Roman" w:hAnsi="Times New Roman" w:cs="Times New Roman"/>
        </w:rPr>
      </w:pPr>
      <w:r w:rsidRPr="008D46AE">
        <w:rPr>
          <w:rFonts w:ascii="Times New Roman" w:hAnsi="Times New Roman" w:cs="Times New Roman"/>
        </w:rPr>
        <w:t>Initial environmental entry occurs through direct deposition onto soil and plant surfaces. Some compounds remain bound to soil particles, while others dissolve in water and migrate downward or laterally. Factors such as rainfall, irrigation practices, soil composition, temperature, and chemical properties influence the extent of environmental release and mobility (3,4). This stage represents the starting point of the exposure pathway illustrated in Figure 1.</w:t>
      </w:r>
    </w:p>
    <w:p w14:paraId="4B1545CC" w14:textId="77777777" w:rsidR="008D46AE" w:rsidRPr="008D46AE" w:rsidRDefault="008D46AE" w:rsidP="008D46AE">
      <w:pPr>
        <w:rPr>
          <w:rFonts w:ascii="Times New Roman" w:hAnsi="Times New Roman" w:cs="Times New Roman"/>
          <w:b/>
          <w:bCs/>
        </w:rPr>
      </w:pPr>
      <w:r w:rsidRPr="008D46AE">
        <w:rPr>
          <w:rFonts w:ascii="Times New Roman" w:hAnsi="Times New Roman" w:cs="Times New Roman"/>
          <w:b/>
          <w:bCs/>
        </w:rPr>
        <w:t>2.2 Environmental Transport and Fate</w:t>
      </w:r>
    </w:p>
    <w:p w14:paraId="0A23784F" w14:textId="77777777" w:rsidR="008D46AE" w:rsidRPr="008D46AE" w:rsidRDefault="008D46AE" w:rsidP="008D46AE">
      <w:pPr>
        <w:rPr>
          <w:rFonts w:ascii="Times New Roman" w:hAnsi="Times New Roman" w:cs="Times New Roman"/>
        </w:rPr>
      </w:pPr>
      <w:r w:rsidRPr="008D46AE">
        <w:rPr>
          <w:rFonts w:ascii="Times New Roman" w:hAnsi="Times New Roman" w:cs="Times New Roman"/>
        </w:rPr>
        <w:t>Once released into the environment, agrochemicals undergo transport and transformation processes that determine their persistence and movement. Leaching refers to the downward movement of dissolved chemicals through soil profiles into groundwater systems. This process is influenced by soil permeability, precipitation, irrigation intensity, and aquifer characteristics (3).</w:t>
      </w:r>
    </w:p>
    <w:p w14:paraId="0DCB26F9" w14:textId="77777777" w:rsidR="008D46AE" w:rsidRPr="008D46AE" w:rsidRDefault="008D46AE" w:rsidP="008D46AE">
      <w:pPr>
        <w:rPr>
          <w:rFonts w:ascii="Times New Roman" w:hAnsi="Times New Roman" w:cs="Times New Roman"/>
        </w:rPr>
      </w:pPr>
      <w:r w:rsidRPr="008D46AE">
        <w:rPr>
          <w:rFonts w:ascii="Times New Roman" w:hAnsi="Times New Roman" w:cs="Times New Roman"/>
        </w:rPr>
        <w:t>Runoff occurs when rainfall or irrigation water carries agrochemicals across the land surface into nearby streams, rivers, and reservoirs. Surface runoff is particularly significant in sloped agricultural landscapes and during heavy rainfall events. Spray drift may also transport chemicals beyond treated fields during aerial or high-pressure applications.</w:t>
      </w:r>
    </w:p>
    <w:p w14:paraId="45A2E1BE" w14:textId="77777777" w:rsidR="008D46AE" w:rsidRPr="008D46AE" w:rsidRDefault="008D46AE" w:rsidP="008D46AE">
      <w:pPr>
        <w:rPr>
          <w:rFonts w:ascii="Times New Roman" w:hAnsi="Times New Roman" w:cs="Times New Roman"/>
        </w:rPr>
      </w:pPr>
      <w:r w:rsidRPr="008D46AE">
        <w:rPr>
          <w:rFonts w:ascii="Times New Roman" w:hAnsi="Times New Roman" w:cs="Times New Roman"/>
        </w:rPr>
        <w:t>In addition to physical transport, agrochemicals undergo chemical and biological degradation. Some compounds break down into metabolites that may retain biological activity or environmental persistence. These degradation products can also migrate into water systems and contribute to overall contaminant burden (3,11). Environmental transport and fate processes therefore determine the concentration and distribution of contaminants that ultimately reach drinking water sources, as depicted in Figure 1.</w:t>
      </w:r>
    </w:p>
    <w:p w14:paraId="68031B74" w14:textId="77777777" w:rsidR="008D46AE" w:rsidRPr="008D46AE" w:rsidRDefault="008D46AE" w:rsidP="008D46AE">
      <w:pPr>
        <w:rPr>
          <w:rFonts w:ascii="Times New Roman" w:hAnsi="Times New Roman" w:cs="Times New Roman"/>
          <w:b/>
          <w:bCs/>
        </w:rPr>
      </w:pPr>
      <w:r w:rsidRPr="008D46AE">
        <w:rPr>
          <w:rFonts w:ascii="Times New Roman" w:hAnsi="Times New Roman" w:cs="Times New Roman"/>
          <w:b/>
          <w:bCs/>
        </w:rPr>
        <w:t>2.3 Contamination of Drinking Water Sources</w:t>
      </w:r>
    </w:p>
    <w:p w14:paraId="5A41280D" w14:textId="77777777" w:rsidR="008D46AE" w:rsidRPr="008D46AE" w:rsidRDefault="008D46AE" w:rsidP="008D46AE">
      <w:pPr>
        <w:rPr>
          <w:rFonts w:ascii="Times New Roman" w:hAnsi="Times New Roman" w:cs="Times New Roman"/>
        </w:rPr>
      </w:pPr>
      <w:r w:rsidRPr="008D46AE">
        <w:rPr>
          <w:rFonts w:ascii="Times New Roman" w:hAnsi="Times New Roman" w:cs="Times New Roman"/>
        </w:rPr>
        <w:t>Contamination of drinking water occurs when transported agrochemicals enter groundwater or surface water used for human consumption. Groundwater contamination is particularly concerning in agricultural regions where shallow aquifers are used for domestic supply. Nitrates and certain herbicides, such as atrazine, are frequently detected in groundwater systems due to their mobility and persistence (3,4).</w:t>
      </w:r>
    </w:p>
    <w:p w14:paraId="10AA5EAE" w14:textId="77777777" w:rsidR="008D46AE" w:rsidRPr="008D46AE" w:rsidRDefault="008D46AE" w:rsidP="008D46AE">
      <w:pPr>
        <w:rPr>
          <w:rFonts w:ascii="Times New Roman" w:hAnsi="Times New Roman" w:cs="Times New Roman"/>
        </w:rPr>
      </w:pPr>
      <w:r w:rsidRPr="008D46AE">
        <w:rPr>
          <w:rFonts w:ascii="Times New Roman" w:hAnsi="Times New Roman" w:cs="Times New Roman"/>
        </w:rPr>
        <w:t>Surface water sources may also become contaminated through runoff from agricultural fields. Rivers, lakes, and reservoirs that serve as drinking water sources may contain seasonal peaks in agrochemical concentrations following application periods.</w:t>
      </w:r>
    </w:p>
    <w:p w14:paraId="72FEF886" w14:textId="77777777" w:rsidR="008D46AE" w:rsidRPr="008D46AE" w:rsidRDefault="008D46AE" w:rsidP="008D46AE">
      <w:pPr>
        <w:rPr>
          <w:rFonts w:ascii="Times New Roman" w:hAnsi="Times New Roman" w:cs="Times New Roman"/>
        </w:rPr>
      </w:pPr>
      <w:r w:rsidRPr="008D46AE">
        <w:rPr>
          <w:rFonts w:ascii="Times New Roman" w:hAnsi="Times New Roman" w:cs="Times New Roman"/>
        </w:rPr>
        <w:lastRenderedPageBreak/>
        <w:t>Private wells represent a critical vulnerability. Unlike public water systems, private wells are not routinely monitored under federal drinking water regulations. As a result, contamination may remain undetected for extended periods. Rural households relying on private wells may therefore experience prolonged exposure without awareness of contaminant presence (14,17). Figure 1 illustrates how environmental transport culminates in contamination of both groundwater and surface water systems used for drinking.</w:t>
      </w:r>
    </w:p>
    <w:p w14:paraId="6B7FADC9" w14:textId="77777777" w:rsidR="008D46AE" w:rsidRPr="008D46AE" w:rsidRDefault="008D46AE" w:rsidP="008D46AE">
      <w:pPr>
        <w:rPr>
          <w:rFonts w:ascii="Times New Roman" w:hAnsi="Times New Roman" w:cs="Times New Roman"/>
          <w:b/>
          <w:bCs/>
        </w:rPr>
      </w:pPr>
      <w:r w:rsidRPr="008D46AE">
        <w:rPr>
          <w:rFonts w:ascii="Times New Roman" w:hAnsi="Times New Roman" w:cs="Times New Roman"/>
          <w:b/>
          <w:bCs/>
        </w:rPr>
        <w:t>2.4 Chronic Drinking Water Exposure</w:t>
      </w:r>
    </w:p>
    <w:p w14:paraId="1C3ADB14" w14:textId="77777777" w:rsidR="008D46AE" w:rsidRPr="008D46AE" w:rsidRDefault="008D46AE" w:rsidP="008D46AE">
      <w:pPr>
        <w:rPr>
          <w:rFonts w:ascii="Times New Roman" w:hAnsi="Times New Roman" w:cs="Times New Roman"/>
        </w:rPr>
      </w:pPr>
      <w:r w:rsidRPr="008D46AE">
        <w:rPr>
          <w:rFonts w:ascii="Times New Roman" w:hAnsi="Times New Roman" w:cs="Times New Roman"/>
        </w:rPr>
        <w:t>Drinking water ingestion provides a continuous exposure route. Unlike occupational exposure, which may fluctuate based on farming activities, drinking water exposure can persist daily over many years. Long-term ingestion leads to cumulative internal dose, even when contaminant concentrations are relatively low.</w:t>
      </w:r>
    </w:p>
    <w:p w14:paraId="18F346D7" w14:textId="77777777" w:rsidR="008D46AE" w:rsidRPr="008D46AE" w:rsidRDefault="008D46AE" w:rsidP="008D46AE">
      <w:pPr>
        <w:rPr>
          <w:rFonts w:ascii="Times New Roman" w:hAnsi="Times New Roman" w:cs="Times New Roman"/>
        </w:rPr>
      </w:pPr>
      <w:r w:rsidRPr="008D46AE">
        <w:rPr>
          <w:rFonts w:ascii="Times New Roman" w:hAnsi="Times New Roman" w:cs="Times New Roman"/>
        </w:rPr>
        <w:t>Cumulative exposure is particularly important for chronic disease development. Many agrochemicals exert effects through repeated low-dose exposure rather than acute toxicity. Seasonal variations in application may produce fluctuations in contaminant levels; however, residual contamination and groundwater persistence can sustain exposure beyond active spraying periods (8,9).</w:t>
      </w:r>
    </w:p>
    <w:p w14:paraId="47F15EE7" w14:textId="77777777" w:rsidR="008D46AE" w:rsidRPr="008D46AE" w:rsidRDefault="008D46AE" w:rsidP="008D46AE">
      <w:pPr>
        <w:rPr>
          <w:rFonts w:ascii="Times New Roman" w:hAnsi="Times New Roman" w:cs="Times New Roman"/>
          <w:b/>
          <w:bCs/>
        </w:rPr>
      </w:pPr>
      <w:r w:rsidRPr="008D46AE">
        <w:rPr>
          <w:rFonts w:ascii="Times New Roman" w:hAnsi="Times New Roman" w:cs="Times New Roman"/>
        </w:rPr>
        <w:t xml:space="preserve">Chronic ingestion also affects individuals beyond active farm workers. Family members, including children and older adults, may share the same water source. Therefore, drinking water contamination extends exposure </w:t>
      </w:r>
      <w:r w:rsidRPr="008D46AE">
        <w:rPr>
          <w:rFonts w:ascii="Times New Roman" w:hAnsi="Times New Roman" w:cs="Times New Roman"/>
          <w:b/>
          <w:bCs/>
        </w:rPr>
        <w:t>risk beyond occupational contexts and contributes to population-level health burden.</w:t>
      </w:r>
    </w:p>
    <w:p w14:paraId="56294219" w14:textId="77777777" w:rsidR="008D46AE" w:rsidRPr="008D46AE" w:rsidRDefault="008D46AE" w:rsidP="008D46AE">
      <w:pPr>
        <w:rPr>
          <w:rFonts w:ascii="Times New Roman" w:hAnsi="Times New Roman" w:cs="Times New Roman"/>
          <w:b/>
          <w:bCs/>
        </w:rPr>
      </w:pPr>
      <w:r w:rsidRPr="008D46AE">
        <w:rPr>
          <w:rFonts w:ascii="Times New Roman" w:hAnsi="Times New Roman" w:cs="Times New Roman"/>
          <w:b/>
          <w:bCs/>
        </w:rPr>
        <w:t>2.5 Biological Mechanisms Linking Exposure to Disease</w:t>
      </w:r>
    </w:p>
    <w:p w14:paraId="07D9A1E9" w14:textId="77777777" w:rsidR="008D46AE" w:rsidRPr="008D46AE" w:rsidRDefault="008D46AE" w:rsidP="008D46AE">
      <w:pPr>
        <w:rPr>
          <w:rFonts w:ascii="Times New Roman" w:hAnsi="Times New Roman" w:cs="Times New Roman"/>
        </w:rPr>
      </w:pPr>
      <w:r w:rsidRPr="008D46AE">
        <w:rPr>
          <w:rFonts w:ascii="Times New Roman" w:hAnsi="Times New Roman" w:cs="Times New Roman"/>
        </w:rPr>
        <w:t>Sustained ingestion of contaminated drinking water may contribute to disease development through several biological mechanisms. Endocrine disruption occurs when certain agrochemicals interfere with hormone signaling pathways. Even low-dose exposure may alter metabolic regulation and reproductive function over time.</w:t>
      </w:r>
    </w:p>
    <w:p w14:paraId="43251F8B" w14:textId="77777777" w:rsidR="008D46AE" w:rsidRPr="008D46AE" w:rsidRDefault="008D46AE" w:rsidP="008D46AE">
      <w:pPr>
        <w:rPr>
          <w:rFonts w:ascii="Times New Roman" w:hAnsi="Times New Roman" w:cs="Times New Roman"/>
        </w:rPr>
      </w:pPr>
      <w:r w:rsidRPr="008D46AE">
        <w:rPr>
          <w:rFonts w:ascii="Times New Roman" w:hAnsi="Times New Roman" w:cs="Times New Roman"/>
        </w:rPr>
        <w:t>Neurotoxicity represents another pathway. Some pesticides affect neurotransmitter systems and may contribute to neurodegenerative processes following chronic exposure. Associations between pesticide exposure and neurologic outcomes such as Parkinson’s disease have been reported in farming populations (5).</w:t>
      </w:r>
    </w:p>
    <w:p w14:paraId="0237DE4F" w14:textId="77777777" w:rsidR="008D46AE" w:rsidRPr="008D46AE" w:rsidRDefault="008D46AE" w:rsidP="008D46AE">
      <w:pPr>
        <w:rPr>
          <w:rFonts w:ascii="Times New Roman" w:hAnsi="Times New Roman" w:cs="Times New Roman"/>
        </w:rPr>
      </w:pPr>
      <w:r w:rsidRPr="008D46AE">
        <w:rPr>
          <w:rFonts w:ascii="Times New Roman" w:hAnsi="Times New Roman" w:cs="Times New Roman"/>
        </w:rPr>
        <w:t>Oxidative stress and inflammation may arise from repeated chemical exposure. These processes can damage cellular components, including DNA and proteins, and may promote chronic organ dysfunction.</w:t>
      </w:r>
    </w:p>
    <w:p w14:paraId="345822C4" w14:textId="77777777" w:rsidR="008D46AE" w:rsidRPr="008D46AE" w:rsidRDefault="008D46AE" w:rsidP="008D46AE">
      <w:pPr>
        <w:rPr>
          <w:rFonts w:ascii="Times New Roman" w:hAnsi="Times New Roman" w:cs="Times New Roman"/>
        </w:rPr>
      </w:pPr>
      <w:r w:rsidRPr="008D46AE">
        <w:rPr>
          <w:rFonts w:ascii="Times New Roman" w:hAnsi="Times New Roman" w:cs="Times New Roman"/>
        </w:rPr>
        <w:t>Carcinogenesis may occur through genotoxic mechanisms, epigenetic alterations, or sustained cellular proliferation following repeated exposure. Nitrate contamination, for example, has been associated with endogenous formation of N-nitroso compounds, which are known carcinogens (3,4).</w:t>
      </w:r>
    </w:p>
    <w:p w14:paraId="343A772C" w14:textId="77777777" w:rsidR="008D46AE" w:rsidRPr="008D46AE" w:rsidRDefault="008D46AE" w:rsidP="008D46AE">
      <w:pPr>
        <w:rPr>
          <w:rFonts w:ascii="Times New Roman" w:hAnsi="Times New Roman" w:cs="Times New Roman"/>
        </w:rPr>
      </w:pPr>
      <w:r w:rsidRPr="008D46AE">
        <w:rPr>
          <w:rFonts w:ascii="Times New Roman" w:hAnsi="Times New Roman" w:cs="Times New Roman"/>
        </w:rPr>
        <w:lastRenderedPageBreak/>
        <w:t>As shown in Figure 1, these biological mechanisms represent the downstream consequences of a multi-stage exposure pathway beginning with agrochemical application and culminating in chronic disease risk. Understanding this full mechanistic sequence is essential for interpreting exposure modeling results and informing preventive strategies.</w:t>
      </w:r>
    </w:p>
    <w:p w14:paraId="40842DB3" w14:textId="77777777" w:rsidR="00016AAE" w:rsidRPr="00016AAE" w:rsidRDefault="00016AAE" w:rsidP="00016AAE">
      <w:pPr>
        <w:rPr>
          <w:rFonts w:ascii="Times New Roman" w:hAnsi="Times New Roman" w:cs="Times New Roman"/>
          <w:b/>
          <w:bCs/>
        </w:rPr>
      </w:pPr>
      <w:r w:rsidRPr="00016AAE">
        <w:rPr>
          <w:rFonts w:ascii="Times New Roman" w:hAnsi="Times New Roman" w:cs="Times New Roman"/>
          <w:b/>
          <w:bCs/>
        </w:rPr>
        <w:t>3. Agrochemicals of Concern in Drinking Water</w:t>
      </w:r>
    </w:p>
    <w:p w14:paraId="29DA1501" w14:textId="77777777" w:rsidR="00016AAE" w:rsidRPr="00016AAE" w:rsidRDefault="00016AAE" w:rsidP="00016AAE">
      <w:pPr>
        <w:rPr>
          <w:rFonts w:ascii="Times New Roman" w:hAnsi="Times New Roman" w:cs="Times New Roman"/>
        </w:rPr>
      </w:pPr>
      <w:r w:rsidRPr="00016AAE">
        <w:rPr>
          <w:rFonts w:ascii="Times New Roman" w:hAnsi="Times New Roman" w:cs="Times New Roman"/>
        </w:rPr>
        <w:t>This section identifies the major agrochemicals most frequently implicated in drinking water contamination in agricultural regions. These compounds differ in chemical structure, environmental persistence, mobility, and biological activity. Understanding their properties is essential for interpreting exposure modeling results and associated health risks.</w:t>
      </w:r>
    </w:p>
    <w:p w14:paraId="62899C17" w14:textId="77777777" w:rsidR="00016AAE" w:rsidRPr="00016AAE" w:rsidRDefault="00016AAE" w:rsidP="00016AAE">
      <w:pPr>
        <w:rPr>
          <w:rFonts w:ascii="Times New Roman" w:hAnsi="Times New Roman" w:cs="Times New Roman"/>
          <w:b/>
          <w:bCs/>
        </w:rPr>
      </w:pPr>
      <w:r w:rsidRPr="00016AAE">
        <w:rPr>
          <w:rFonts w:ascii="Times New Roman" w:hAnsi="Times New Roman" w:cs="Times New Roman"/>
          <w:b/>
          <w:bCs/>
        </w:rPr>
        <w:t>3.1 Pesticides and Herbicides</w:t>
      </w:r>
    </w:p>
    <w:p w14:paraId="543611E5" w14:textId="77777777" w:rsidR="00016AAE" w:rsidRPr="00016AAE" w:rsidRDefault="00016AAE" w:rsidP="00016AAE">
      <w:pPr>
        <w:rPr>
          <w:rFonts w:ascii="Times New Roman" w:hAnsi="Times New Roman" w:cs="Times New Roman"/>
        </w:rPr>
      </w:pPr>
      <w:r w:rsidRPr="00016AAE">
        <w:rPr>
          <w:rFonts w:ascii="Times New Roman" w:hAnsi="Times New Roman" w:cs="Times New Roman"/>
        </w:rPr>
        <w:t>Pesticides and herbicides represent the most widely studied agrochemicals in relation to drinking water contamination. These compounds are designed to control weeds, insects, and plant diseases but may persist beyond their intended targets.</w:t>
      </w:r>
    </w:p>
    <w:p w14:paraId="39595B7A" w14:textId="77777777" w:rsidR="00016AAE" w:rsidRPr="00016AAE" w:rsidRDefault="00016AAE" w:rsidP="00016AAE">
      <w:pPr>
        <w:rPr>
          <w:rFonts w:ascii="Times New Roman" w:hAnsi="Times New Roman" w:cs="Times New Roman"/>
        </w:rPr>
      </w:pPr>
      <w:r w:rsidRPr="00016AAE">
        <w:rPr>
          <w:rFonts w:ascii="Times New Roman" w:hAnsi="Times New Roman" w:cs="Times New Roman"/>
        </w:rPr>
        <w:t>Atrazine is among the most commonly detected herbicides in groundwater and surface water in agricultural regions of the United States. Its high solubility and moderate persistence facilitate movement through soil and into aquifers. Seasonal peaks in atrazine concentrations have been observed following application periods, particularly in corn-producing areas (3,4). Atrazine has been investigated for potential endocrine-disrupting properties and associations with reproductive and metabolic outcomes.</w:t>
      </w:r>
    </w:p>
    <w:p w14:paraId="341736A1" w14:textId="77777777" w:rsidR="00016AAE" w:rsidRPr="00016AAE" w:rsidRDefault="00016AAE" w:rsidP="00016AAE">
      <w:pPr>
        <w:rPr>
          <w:rFonts w:ascii="Times New Roman" w:hAnsi="Times New Roman" w:cs="Times New Roman"/>
        </w:rPr>
      </w:pPr>
      <w:r w:rsidRPr="00016AAE">
        <w:rPr>
          <w:rFonts w:ascii="Times New Roman" w:hAnsi="Times New Roman" w:cs="Times New Roman"/>
        </w:rPr>
        <w:t>Glyphosate is extensively used due to its broad-spectrum herbicidal activity and compatibility with genetically modified crops. Although glyphosate binds strongly to soil under certain conditions, it has been detected in surface waters and, in some settings, groundwater. Environmental transport may occur through runoff, especially during heavy rainfall events (3). Concerns regarding chronic exposure relate to potential carcinogenicity and metabolic disruption, although risk assessments remain subject to ongoing scientific debate.</w:t>
      </w:r>
    </w:p>
    <w:p w14:paraId="79979A1F" w14:textId="77777777" w:rsidR="00016AAE" w:rsidRPr="00016AAE" w:rsidRDefault="00016AAE" w:rsidP="00016AAE">
      <w:pPr>
        <w:rPr>
          <w:rFonts w:ascii="Times New Roman" w:hAnsi="Times New Roman" w:cs="Times New Roman"/>
        </w:rPr>
      </w:pPr>
      <w:r w:rsidRPr="00016AAE">
        <w:rPr>
          <w:rFonts w:ascii="Times New Roman" w:hAnsi="Times New Roman" w:cs="Times New Roman"/>
        </w:rPr>
        <w:t>Organophosphate pesticides, including compounds such as chlorpyrifos and diazinon, have historically been widely used in agriculture. These chemicals act by inhibiting acetylcholinesterase and are known for their neurotoxic properties. While regulatory restrictions have reduced some uses, residues and degradation products may persist in environmental matrices. Chronic low-level exposure through drinking water remains a concern in regions with historical or ongoing application (5).</w:t>
      </w:r>
    </w:p>
    <w:p w14:paraId="48009D15" w14:textId="77777777" w:rsidR="00016AAE" w:rsidRPr="00016AAE" w:rsidRDefault="00016AAE" w:rsidP="00016AAE">
      <w:pPr>
        <w:rPr>
          <w:rFonts w:ascii="Times New Roman" w:hAnsi="Times New Roman" w:cs="Times New Roman"/>
        </w:rPr>
      </w:pPr>
      <w:r w:rsidRPr="00016AAE">
        <w:rPr>
          <w:rFonts w:ascii="Times New Roman" w:hAnsi="Times New Roman" w:cs="Times New Roman"/>
        </w:rPr>
        <w:t>Together, these pesticides and herbicides illustrate the diversity of chemical properties that influence environmental fate and potential human exposure through drinking water systems.</w:t>
      </w:r>
    </w:p>
    <w:p w14:paraId="718E19D9" w14:textId="77777777" w:rsidR="00016AAE" w:rsidRPr="00016AAE" w:rsidRDefault="00016AAE" w:rsidP="00016AAE">
      <w:pPr>
        <w:rPr>
          <w:rFonts w:ascii="Times New Roman" w:hAnsi="Times New Roman" w:cs="Times New Roman"/>
          <w:b/>
          <w:bCs/>
        </w:rPr>
      </w:pPr>
      <w:r w:rsidRPr="00016AAE">
        <w:rPr>
          <w:rFonts w:ascii="Times New Roman" w:hAnsi="Times New Roman" w:cs="Times New Roman"/>
          <w:b/>
          <w:bCs/>
        </w:rPr>
        <w:t>3.2 Fertilizers and Nitrate Contamination</w:t>
      </w:r>
    </w:p>
    <w:p w14:paraId="73827BE9" w14:textId="77777777" w:rsidR="00016AAE" w:rsidRPr="00016AAE" w:rsidRDefault="00016AAE" w:rsidP="00016AAE">
      <w:pPr>
        <w:rPr>
          <w:rFonts w:ascii="Times New Roman" w:hAnsi="Times New Roman" w:cs="Times New Roman"/>
        </w:rPr>
      </w:pPr>
      <w:r w:rsidRPr="00016AAE">
        <w:rPr>
          <w:rFonts w:ascii="Times New Roman" w:hAnsi="Times New Roman" w:cs="Times New Roman"/>
        </w:rPr>
        <w:lastRenderedPageBreak/>
        <w:t>Nitrogen-based fertilizers are another major contributor to drinking water contamination in agricultural settings. Following application, nitrates can leach readily through soil into groundwater due to their high solubility and limited adsorption to soil particles (3).</w:t>
      </w:r>
    </w:p>
    <w:p w14:paraId="6FD89101" w14:textId="77777777" w:rsidR="00016AAE" w:rsidRPr="00016AAE" w:rsidRDefault="00016AAE" w:rsidP="00016AAE">
      <w:pPr>
        <w:rPr>
          <w:rFonts w:ascii="Times New Roman" w:hAnsi="Times New Roman" w:cs="Times New Roman"/>
        </w:rPr>
      </w:pPr>
      <w:r w:rsidRPr="00016AAE">
        <w:rPr>
          <w:rFonts w:ascii="Times New Roman" w:hAnsi="Times New Roman" w:cs="Times New Roman"/>
        </w:rPr>
        <w:t>Nitrate contamination is particularly prevalent in regions with intensive crop production and shallow aquifers. Elevated nitrate concentrations in drinking water have been associated with adverse health outcomes, including methemoglobinemia in infants and potential links to certain cancers. One proposed mechanism involves endogenous conversion of nitrates to nitrites and subsequent formation of N-nitroso compounds, which are recognized carcinogens (3,4).</w:t>
      </w:r>
    </w:p>
    <w:p w14:paraId="623FBAD6" w14:textId="77777777" w:rsidR="00016AAE" w:rsidRPr="00016AAE" w:rsidRDefault="00016AAE" w:rsidP="00016AAE">
      <w:pPr>
        <w:rPr>
          <w:rFonts w:ascii="Times New Roman" w:hAnsi="Times New Roman" w:cs="Times New Roman"/>
        </w:rPr>
      </w:pPr>
      <w:r w:rsidRPr="00016AAE">
        <w:rPr>
          <w:rFonts w:ascii="Times New Roman" w:hAnsi="Times New Roman" w:cs="Times New Roman"/>
        </w:rPr>
        <w:t>Synergistic effects may occur when nitrates coexist with pesticide residues. Combined exposure to multiple agrochemicals may amplify biological effects through additive or interactive mechanisms. These mixture exposures are difficult to characterize using conventional monitoring approaches and highlight the importance of advanced exposure modeling techniques (9,27).</w:t>
      </w:r>
    </w:p>
    <w:p w14:paraId="209116AD" w14:textId="77777777" w:rsidR="00016AAE" w:rsidRPr="00016AAE" w:rsidRDefault="00016AAE" w:rsidP="00016AAE">
      <w:pPr>
        <w:rPr>
          <w:rFonts w:ascii="Times New Roman" w:hAnsi="Times New Roman" w:cs="Times New Roman"/>
          <w:b/>
          <w:bCs/>
        </w:rPr>
      </w:pPr>
      <w:r w:rsidRPr="00016AAE">
        <w:rPr>
          <w:rFonts w:ascii="Times New Roman" w:hAnsi="Times New Roman" w:cs="Times New Roman"/>
          <w:b/>
          <w:bCs/>
        </w:rPr>
        <w:t>3.3 Metabolites and Emerging Compounds</w:t>
      </w:r>
    </w:p>
    <w:p w14:paraId="791FAC68" w14:textId="77777777" w:rsidR="00016AAE" w:rsidRPr="00016AAE" w:rsidRDefault="00016AAE" w:rsidP="00016AAE">
      <w:pPr>
        <w:rPr>
          <w:rFonts w:ascii="Times New Roman" w:hAnsi="Times New Roman" w:cs="Times New Roman"/>
        </w:rPr>
      </w:pPr>
      <w:r w:rsidRPr="00016AAE">
        <w:rPr>
          <w:rFonts w:ascii="Times New Roman" w:hAnsi="Times New Roman" w:cs="Times New Roman"/>
        </w:rPr>
        <w:t>In addition to parent compounds, degradation products and metabolites contribute substantially to overall contaminant burden. Environmental degradation may occur through photolysis, microbial metabolism, or chemical hydrolysis. Some metabolites retain biological activity or exhibit greater mobility than the original compound (3,11).</w:t>
      </w:r>
    </w:p>
    <w:p w14:paraId="4F260F83" w14:textId="77777777" w:rsidR="00016AAE" w:rsidRPr="00016AAE" w:rsidRDefault="00016AAE" w:rsidP="00016AAE">
      <w:pPr>
        <w:rPr>
          <w:rFonts w:ascii="Times New Roman" w:hAnsi="Times New Roman" w:cs="Times New Roman"/>
        </w:rPr>
      </w:pPr>
      <w:r w:rsidRPr="00016AAE">
        <w:rPr>
          <w:rFonts w:ascii="Times New Roman" w:hAnsi="Times New Roman" w:cs="Times New Roman"/>
        </w:rPr>
        <w:t>For example, atrazine degradation products have been detected in groundwater and may persist even when parent compound concentrations decline. Monitoring programs often focus on regulated parent compounds, potentially underestimating total exposure when metabolites are excluded.</w:t>
      </w:r>
    </w:p>
    <w:p w14:paraId="022DE6A4" w14:textId="77777777" w:rsidR="00016AAE" w:rsidRPr="00016AAE" w:rsidRDefault="00016AAE" w:rsidP="00016AAE">
      <w:pPr>
        <w:rPr>
          <w:rFonts w:ascii="Times New Roman" w:hAnsi="Times New Roman" w:cs="Times New Roman"/>
        </w:rPr>
      </w:pPr>
      <w:r w:rsidRPr="00016AAE">
        <w:rPr>
          <w:rFonts w:ascii="Times New Roman" w:hAnsi="Times New Roman" w:cs="Times New Roman"/>
        </w:rPr>
        <w:t>Emerging compounds, including newly introduced pesticides and previously unmonitored transformation products, present additional challenges. Regulatory frameworks and surveillance systems may lag behind changes in agricultural practice. Consequently, drinking water contamination may involve compounds that are not routinely measured or fully characterized in epidemiologic studies (14,17).</w:t>
      </w:r>
    </w:p>
    <w:p w14:paraId="35F5D115" w14:textId="77777777" w:rsidR="00016AAE" w:rsidRPr="00016AAE" w:rsidRDefault="00016AAE" w:rsidP="00016AAE">
      <w:pPr>
        <w:rPr>
          <w:rFonts w:ascii="Times New Roman" w:hAnsi="Times New Roman" w:cs="Times New Roman"/>
        </w:rPr>
      </w:pPr>
      <w:r w:rsidRPr="00016AAE">
        <w:rPr>
          <w:rFonts w:ascii="Times New Roman" w:hAnsi="Times New Roman" w:cs="Times New Roman"/>
        </w:rPr>
        <w:t>These monitoring gaps underscore the need for comprehensive modeling approaches capable of incorporating multiple compounds, degradation pathways, and cumulative exposure metrics. Such approaches provide a more complete understanding of agrochemical contamination in drinking water and its potential contribution to chronic disease risk.</w:t>
      </w:r>
    </w:p>
    <w:p w14:paraId="19F5E991" w14:textId="77777777" w:rsidR="00266BBB" w:rsidRPr="00335136" w:rsidRDefault="00266BBB">
      <w:pPr>
        <w:rPr>
          <w:rFonts w:ascii="Times New Roman" w:hAnsi="Times New Roman" w:cs="Times New Roman"/>
        </w:rPr>
      </w:pPr>
    </w:p>
    <w:p w14:paraId="5191D9B2" w14:textId="77777777" w:rsidR="00F774A1" w:rsidRPr="00F774A1" w:rsidRDefault="00F774A1" w:rsidP="00F774A1">
      <w:pPr>
        <w:rPr>
          <w:rFonts w:ascii="Times New Roman" w:hAnsi="Times New Roman" w:cs="Times New Roman"/>
          <w:b/>
          <w:bCs/>
        </w:rPr>
      </w:pPr>
      <w:r w:rsidRPr="00F774A1">
        <w:rPr>
          <w:rFonts w:ascii="Times New Roman" w:hAnsi="Times New Roman" w:cs="Times New Roman"/>
          <w:b/>
          <w:bCs/>
        </w:rPr>
        <w:t>4. Modeling Agrochemical Contamination in Drinking Water</w:t>
      </w:r>
    </w:p>
    <w:p w14:paraId="635975E0" w14:textId="77777777" w:rsidR="00F774A1" w:rsidRPr="00F774A1" w:rsidRDefault="00F774A1" w:rsidP="00F774A1">
      <w:pPr>
        <w:rPr>
          <w:rFonts w:ascii="Times New Roman" w:hAnsi="Times New Roman" w:cs="Times New Roman"/>
        </w:rPr>
      </w:pPr>
      <w:r w:rsidRPr="00F774A1">
        <w:rPr>
          <w:rFonts w:ascii="Times New Roman" w:hAnsi="Times New Roman" w:cs="Times New Roman"/>
        </w:rPr>
        <w:t xml:space="preserve">Modeling approaches are central to assessing agrochemical contamination in drinking water, particularly in agricultural regions where direct monitoring is sparse, temporally inconsistent, or biased toward regulated public water systems. These models integrate information on </w:t>
      </w:r>
      <w:r w:rsidRPr="00F774A1">
        <w:rPr>
          <w:rFonts w:ascii="Times New Roman" w:hAnsi="Times New Roman" w:cs="Times New Roman"/>
        </w:rPr>
        <w:lastRenderedPageBreak/>
        <w:t>agrochemical use, environmental processes, and landscape characteristics to generate spatially and temporally resolved exposure estimates. Such estimates are essential for evaluating long-term, low-dose exposure relevant to chronic disease risk among farming populations (24). This section reviews the major modeling frameworks used in the literature, highlighting their applications, strengths, and limitations.</w:t>
      </w:r>
    </w:p>
    <w:p w14:paraId="7A0C0802" w14:textId="320D7950" w:rsidR="00F774A1" w:rsidRPr="00F774A1" w:rsidRDefault="00F774A1" w:rsidP="00F774A1">
      <w:pPr>
        <w:rPr>
          <w:rFonts w:ascii="Times New Roman" w:hAnsi="Times New Roman" w:cs="Times New Roman"/>
          <w:b/>
          <w:bCs/>
        </w:rPr>
      </w:pPr>
    </w:p>
    <w:p w14:paraId="3A9C3BAC" w14:textId="77777777" w:rsidR="00F774A1" w:rsidRPr="00F774A1" w:rsidRDefault="00F774A1" w:rsidP="00F774A1">
      <w:pPr>
        <w:rPr>
          <w:rFonts w:ascii="Times New Roman" w:hAnsi="Times New Roman" w:cs="Times New Roman"/>
          <w:b/>
          <w:bCs/>
        </w:rPr>
      </w:pPr>
      <w:r w:rsidRPr="00F774A1">
        <w:rPr>
          <w:rFonts w:ascii="Times New Roman" w:hAnsi="Times New Roman" w:cs="Times New Roman"/>
          <w:b/>
          <w:bCs/>
        </w:rPr>
        <w:t>4.1 Environmental Fate and Transport Models</w:t>
      </w:r>
    </w:p>
    <w:p w14:paraId="16AA1492" w14:textId="77777777" w:rsidR="00F774A1" w:rsidRPr="00F774A1" w:rsidRDefault="00F774A1" w:rsidP="00F774A1">
      <w:pPr>
        <w:rPr>
          <w:rFonts w:ascii="Times New Roman" w:hAnsi="Times New Roman" w:cs="Times New Roman"/>
        </w:rPr>
      </w:pPr>
      <w:r w:rsidRPr="00F774A1">
        <w:rPr>
          <w:rFonts w:ascii="Times New Roman" w:hAnsi="Times New Roman" w:cs="Times New Roman"/>
        </w:rPr>
        <w:t>Environmental fate and transport models are process-based tools designed to simulate the movement, transformation, and persistence of agrochemicals in soil–water systems. These models explicitly represent physical and chemical processes such as leaching, runoff, volatilization, sorption, and degradation. Hydrological components describe water movement through soil profiles, unsaturated zones, and aquifers, enabling estimation of contaminant fluxes into groundwater and surface water used for drinking water (25).</w:t>
      </w:r>
    </w:p>
    <w:p w14:paraId="15E3EBC6" w14:textId="77777777" w:rsidR="00F774A1" w:rsidRPr="00F774A1" w:rsidRDefault="00F774A1" w:rsidP="00F774A1">
      <w:pPr>
        <w:rPr>
          <w:rFonts w:ascii="Times New Roman" w:hAnsi="Times New Roman" w:cs="Times New Roman"/>
        </w:rPr>
      </w:pPr>
      <w:r w:rsidRPr="00F774A1">
        <w:rPr>
          <w:rFonts w:ascii="Times New Roman" w:hAnsi="Times New Roman" w:cs="Times New Roman"/>
        </w:rPr>
        <w:t>Such models are particularly valuable for understanding how environmental conditions influence contamination patterns. Parameters related to soil texture, organic matter content, rainfall, irrigation, and chemical-specific properties allow simulation of spatial heterogeneity across agricultural landscapes. Fate and transport models are often used to evaluate long-term average concentrations, identify vulnerable regions, and assess the effects of changes in agricultural practices or climate conditions (11,25).</w:t>
      </w:r>
    </w:p>
    <w:p w14:paraId="63D8D063" w14:textId="77777777" w:rsidR="00F774A1" w:rsidRPr="00F774A1" w:rsidRDefault="00F774A1" w:rsidP="00F774A1">
      <w:pPr>
        <w:rPr>
          <w:rFonts w:ascii="Times New Roman" w:hAnsi="Times New Roman" w:cs="Times New Roman"/>
        </w:rPr>
      </w:pPr>
      <w:r w:rsidRPr="00F774A1">
        <w:rPr>
          <w:rFonts w:ascii="Times New Roman" w:hAnsi="Times New Roman" w:cs="Times New Roman"/>
        </w:rPr>
        <w:t>However, their application to human exposure assessment is limited by data requirements and uncertainty. Detailed information on application timing, rates, and environmental parameters is often unavailable at large spatial scales. Model outputs are sensitive to parameter assumptions, and uncertainty may propagate through simulations. As summarized in Table 1, these models provide strong mechanistic insight but often require integration with other approaches for epidemiologic applications.</w:t>
      </w:r>
    </w:p>
    <w:p w14:paraId="39301A4A" w14:textId="77777777" w:rsidR="00F774A1" w:rsidRPr="00F774A1" w:rsidRDefault="00F774A1" w:rsidP="00F774A1">
      <w:pPr>
        <w:rPr>
          <w:rFonts w:ascii="Times New Roman" w:hAnsi="Times New Roman" w:cs="Times New Roman"/>
          <w:b/>
          <w:bCs/>
        </w:rPr>
      </w:pPr>
      <w:r w:rsidRPr="00F774A1">
        <w:rPr>
          <w:rFonts w:ascii="Times New Roman" w:hAnsi="Times New Roman" w:cs="Times New Roman"/>
          <w:b/>
          <w:bCs/>
        </w:rPr>
        <w:t>4.2 Spatial and Geospatial Modeling Approaches</w:t>
      </w:r>
    </w:p>
    <w:p w14:paraId="056D644D" w14:textId="77777777" w:rsidR="00F774A1" w:rsidRPr="00F774A1" w:rsidRDefault="00F774A1" w:rsidP="00F774A1">
      <w:pPr>
        <w:rPr>
          <w:rFonts w:ascii="Times New Roman" w:hAnsi="Times New Roman" w:cs="Times New Roman"/>
        </w:rPr>
      </w:pPr>
      <w:r w:rsidRPr="00F774A1">
        <w:rPr>
          <w:rFonts w:ascii="Times New Roman" w:hAnsi="Times New Roman" w:cs="Times New Roman"/>
        </w:rPr>
        <w:t>Spatial modeling approaches translate land-use and environmental data into geographically explicit estimates of drinking water contamination. Geographic information systems (GIS) are commonly used to integrate data on crop distribution, agrochemical application intensity, soil characteristics, hydrology, and water sources. These inputs are combined to generate exposure surfaces that estimate contaminant concentrations or relative exposure levels across space (9).</w:t>
      </w:r>
    </w:p>
    <w:p w14:paraId="50AD822A" w14:textId="77777777" w:rsidR="00F774A1" w:rsidRPr="00F774A1" w:rsidRDefault="00F774A1" w:rsidP="00F774A1">
      <w:pPr>
        <w:rPr>
          <w:rFonts w:ascii="Times New Roman" w:hAnsi="Times New Roman" w:cs="Times New Roman"/>
        </w:rPr>
      </w:pPr>
      <w:r w:rsidRPr="00F774A1">
        <w:rPr>
          <w:rFonts w:ascii="Times New Roman" w:hAnsi="Times New Roman" w:cs="Times New Roman"/>
        </w:rPr>
        <w:t>Land-use regression (LUR) models are widely used within this category. LUR models statistically relate measured contaminant concentrations in water to surrounding land-use patterns and environmental predictors. Once calibrated, they can be applied to unmonitored locations to estimate exposure. These models balance interpretability and scalability, making them suitable for large population-based studies (26).</w:t>
      </w:r>
    </w:p>
    <w:p w14:paraId="2B6754D5" w14:textId="77777777" w:rsidR="00F774A1" w:rsidRPr="00F774A1" w:rsidRDefault="00F774A1" w:rsidP="00F774A1">
      <w:pPr>
        <w:rPr>
          <w:rFonts w:ascii="Times New Roman" w:hAnsi="Times New Roman" w:cs="Times New Roman"/>
        </w:rPr>
      </w:pPr>
      <w:r w:rsidRPr="00F774A1">
        <w:rPr>
          <w:rFonts w:ascii="Times New Roman" w:hAnsi="Times New Roman" w:cs="Times New Roman"/>
        </w:rPr>
        <w:lastRenderedPageBreak/>
        <w:t>Remote sensing data increasingly complement GIS-based approaches by providing high-resolution information on crop type, vegetation cover, and irrigation practices. Satellite-derived indicators improve temporal alignment between agrochemical application and environmental conditions. Nevertheless, spatial models may oversimplify subsurface transport processes and are constrained by the quality and representativeness of monitoring data used for calibration (40).</w:t>
      </w:r>
    </w:p>
    <w:p w14:paraId="362E4579" w14:textId="49F3C96E" w:rsidR="00F774A1" w:rsidRPr="00F774A1" w:rsidRDefault="00F774A1" w:rsidP="00F774A1">
      <w:pPr>
        <w:rPr>
          <w:rFonts w:ascii="Times New Roman" w:hAnsi="Times New Roman" w:cs="Times New Roman"/>
          <w:b/>
          <w:bCs/>
        </w:rPr>
      </w:pPr>
    </w:p>
    <w:p w14:paraId="282C017C" w14:textId="77777777" w:rsidR="00F774A1" w:rsidRPr="00F774A1" w:rsidRDefault="00F774A1" w:rsidP="00F774A1">
      <w:pPr>
        <w:rPr>
          <w:rFonts w:ascii="Times New Roman" w:hAnsi="Times New Roman" w:cs="Times New Roman"/>
          <w:b/>
          <w:bCs/>
        </w:rPr>
      </w:pPr>
      <w:r w:rsidRPr="00F774A1">
        <w:rPr>
          <w:rFonts w:ascii="Times New Roman" w:hAnsi="Times New Roman" w:cs="Times New Roman"/>
          <w:b/>
          <w:bCs/>
        </w:rPr>
        <w:t>4.3 Temporal and Cumulative Exposure Models</w:t>
      </w:r>
    </w:p>
    <w:p w14:paraId="3B41B34F" w14:textId="77777777" w:rsidR="00F774A1" w:rsidRPr="00F774A1" w:rsidRDefault="00F774A1" w:rsidP="00F774A1">
      <w:pPr>
        <w:rPr>
          <w:rFonts w:ascii="Times New Roman" w:hAnsi="Times New Roman" w:cs="Times New Roman"/>
        </w:rPr>
      </w:pPr>
      <w:r w:rsidRPr="00F774A1">
        <w:rPr>
          <w:rFonts w:ascii="Times New Roman" w:hAnsi="Times New Roman" w:cs="Times New Roman"/>
        </w:rPr>
        <w:t>Chronic disease risk is influenced by long-term and cumulative exposure, necessitating modeling approaches that extend beyond static or cross-sectional estimates. Temporal modeling frameworks reconstruct historical exposure trajectories by integrating time-varying data on agrochemical use, land management, and hydrological conditions. These models generate cumulative exposure metrics, such as time-weighted averages or cumulative dose indices, which are more biologically relevant for chronic disease outcomes (27).</w:t>
      </w:r>
    </w:p>
    <w:p w14:paraId="6288BF8E" w14:textId="77777777" w:rsidR="00F774A1" w:rsidRPr="00F774A1" w:rsidRDefault="00F774A1" w:rsidP="00F774A1">
      <w:pPr>
        <w:rPr>
          <w:rFonts w:ascii="Times New Roman" w:hAnsi="Times New Roman" w:cs="Times New Roman"/>
        </w:rPr>
      </w:pPr>
      <w:r w:rsidRPr="00F774A1">
        <w:rPr>
          <w:rFonts w:ascii="Times New Roman" w:hAnsi="Times New Roman" w:cs="Times New Roman"/>
        </w:rPr>
        <w:t>Lag structures are often incorporated to account for latency periods between exposure and disease onset. For example, exposures occurring years or decades prior may be most relevant for cancer development, whereas shorter lags may apply to endocrine or metabolic effects (28). Temporal models also allow identification of critical exposure windows and evaluation of exposure trends over time.</w:t>
      </w:r>
    </w:p>
    <w:p w14:paraId="33298CF8" w14:textId="77777777" w:rsidR="00F774A1" w:rsidRPr="00F774A1" w:rsidRDefault="00F774A1" w:rsidP="00F774A1">
      <w:pPr>
        <w:rPr>
          <w:rFonts w:ascii="Times New Roman" w:hAnsi="Times New Roman" w:cs="Times New Roman"/>
        </w:rPr>
      </w:pPr>
      <w:r w:rsidRPr="00F774A1">
        <w:rPr>
          <w:rFonts w:ascii="Times New Roman" w:hAnsi="Times New Roman" w:cs="Times New Roman"/>
        </w:rPr>
        <w:t>Despite their relevance, temporal models face challenges related to incomplete historical data. Records of agrochemical application and water quality may be missing or inconsistent, requiring assumptions or imputation. As shown in Table 1, temporal reconstruction enhances etiologic relevance but introduces additional uncertainty, highlighting the importance of sensitivity analyses.</w:t>
      </w:r>
    </w:p>
    <w:p w14:paraId="31E026FE" w14:textId="77777777" w:rsidR="00F774A1" w:rsidRPr="00F774A1" w:rsidRDefault="00F774A1" w:rsidP="00F774A1">
      <w:pPr>
        <w:rPr>
          <w:rFonts w:ascii="Times New Roman" w:hAnsi="Times New Roman" w:cs="Times New Roman"/>
          <w:b/>
          <w:bCs/>
        </w:rPr>
      </w:pPr>
      <w:r w:rsidRPr="00F774A1">
        <w:rPr>
          <w:rFonts w:ascii="Times New Roman" w:hAnsi="Times New Roman" w:cs="Times New Roman"/>
          <w:b/>
          <w:bCs/>
        </w:rPr>
        <w:t>4.4 Mixture and Multi-Chemical Models</w:t>
      </w:r>
    </w:p>
    <w:p w14:paraId="7F44B0D7" w14:textId="77777777" w:rsidR="00F774A1" w:rsidRPr="00F774A1" w:rsidRDefault="00F774A1" w:rsidP="00F774A1">
      <w:pPr>
        <w:rPr>
          <w:rFonts w:ascii="Times New Roman" w:hAnsi="Times New Roman" w:cs="Times New Roman"/>
        </w:rPr>
      </w:pPr>
      <w:r w:rsidRPr="00F774A1">
        <w:rPr>
          <w:rFonts w:ascii="Times New Roman" w:hAnsi="Times New Roman" w:cs="Times New Roman"/>
        </w:rPr>
        <w:t>Drinking water contamination in agricultural settings rarely involves single compounds. Instead, exposure typically reflects complex mixtures of pesticides, nutrients, and degradation products. Mixture modeling approaches aim to capture joint exposure and combined health effects. Additive frameworks estimate cumulative exposure by summing contributions across chemicals, while more advanced approaches allow for synergistic or antagonistic interactions (29).</w:t>
      </w:r>
    </w:p>
    <w:p w14:paraId="09412EC1" w14:textId="77777777" w:rsidR="00F774A1" w:rsidRPr="00F774A1" w:rsidRDefault="00F774A1" w:rsidP="00F774A1">
      <w:pPr>
        <w:rPr>
          <w:rFonts w:ascii="Times New Roman" w:hAnsi="Times New Roman" w:cs="Times New Roman"/>
        </w:rPr>
      </w:pPr>
      <w:r w:rsidRPr="00F774A1">
        <w:rPr>
          <w:rFonts w:ascii="Times New Roman" w:hAnsi="Times New Roman" w:cs="Times New Roman"/>
        </w:rPr>
        <w:t>Statistical challenges arise due to correlated agrochemical use. Chemicals are often applied together or sequentially within the same cropping systems, leading to collinearity that complicates attribution of effects to individual compounds. Dimension-reduction techniques and Bayesian hierarchical models have been used to address these challenges and stabilize estimates, as summarized in Table 1.</w:t>
      </w:r>
    </w:p>
    <w:p w14:paraId="24AB6553" w14:textId="77777777" w:rsidR="00F774A1" w:rsidRPr="00F774A1" w:rsidRDefault="00F774A1" w:rsidP="00F774A1">
      <w:pPr>
        <w:rPr>
          <w:rFonts w:ascii="Times New Roman" w:hAnsi="Times New Roman" w:cs="Times New Roman"/>
        </w:rPr>
      </w:pPr>
      <w:r w:rsidRPr="00F774A1">
        <w:rPr>
          <w:rFonts w:ascii="Times New Roman" w:hAnsi="Times New Roman" w:cs="Times New Roman"/>
        </w:rPr>
        <w:t xml:space="preserve">Mixture modeling remains an evolving area but is critical for reflecting real-world exposure conditions. Incorporating multi-chemical frameworks reduces the risk of underestimating </w:t>
      </w:r>
      <w:r w:rsidRPr="00F774A1">
        <w:rPr>
          <w:rFonts w:ascii="Times New Roman" w:hAnsi="Times New Roman" w:cs="Times New Roman"/>
        </w:rPr>
        <w:lastRenderedPageBreak/>
        <w:t>exposure and strengthens the relevance of drinking water contamination assessments for chronic disease research.</w:t>
      </w:r>
    </w:p>
    <w:p w14:paraId="008757BE" w14:textId="35CB586C" w:rsidR="00DD4E5D" w:rsidRPr="00DD4E5D" w:rsidRDefault="00F774A1" w:rsidP="00DD4E5D">
      <w:pPr>
        <w:rPr>
          <w:rFonts w:ascii="Times New Roman" w:hAnsi="Times New Roman" w:cs="Times New Roman"/>
          <w:b/>
          <w:bCs/>
        </w:rPr>
      </w:pPr>
      <w:r w:rsidRPr="00F774A1">
        <w:rPr>
          <w:rFonts w:ascii="Times New Roman" w:hAnsi="Times New Roman" w:cs="Times New Roman"/>
          <w:b/>
          <w:bCs/>
        </w:rPr>
        <w:t>Table 1. Major Modeling Approaches Used to Estimate Agrochemical Contamination in Drinking Water</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7"/>
        <w:gridCol w:w="1990"/>
        <w:gridCol w:w="2106"/>
        <w:gridCol w:w="1801"/>
        <w:gridCol w:w="1686"/>
      </w:tblGrid>
      <w:tr w:rsidR="00DD4E5D" w:rsidRPr="00DD4E5D" w14:paraId="212AFAD9" w14:textId="77777777" w:rsidTr="00DD4E5D">
        <w:trPr>
          <w:tblHeader/>
          <w:tblCellSpacing w:w="15" w:type="dxa"/>
        </w:trPr>
        <w:tc>
          <w:tcPr>
            <w:tcW w:w="0" w:type="auto"/>
            <w:vAlign w:val="center"/>
            <w:hideMark/>
          </w:tcPr>
          <w:p w14:paraId="633DD5A9" w14:textId="77777777" w:rsidR="00DD4E5D" w:rsidRPr="00DD4E5D" w:rsidRDefault="00DD4E5D" w:rsidP="00DD4E5D">
            <w:pPr>
              <w:rPr>
                <w:rFonts w:ascii="Times New Roman" w:hAnsi="Times New Roman" w:cs="Times New Roman"/>
                <w:b/>
                <w:bCs/>
              </w:rPr>
            </w:pPr>
            <w:r w:rsidRPr="00DD4E5D">
              <w:rPr>
                <w:rFonts w:ascii="Times New Roman" w:hAnsi="Times New Roman" w:cs="Times New Roman"/>
                <w:b/>
                <w:bCs/>
              </w:rPr>
              <w:t>Modeling Approach</w:t>
            </w:r>
          </w:p>
        </w:tc>
        <w:tc>
          <w:tcPr>
            <w:tcW w:w="0" w:type="auto"/>
            <w:vAlign w:val="center"/>
            <w:hideMark/>
          </w:tcPr>
          <w:p w14:paraId="563A92BB" w14:textId="77777777" w:rsidR="00DD4E5D" w:rsidRPr="00DD4E5D" w:rsidRDefault="00DD4E5D" w:rsidP="00DD4E5D">
            <w:pPr>
              <w:rPr>
                <w:rFonts w:ascii="Times New Roman" w:hAnsi="Times New Roman" w:cs="Times New Roman"/>
                <w:b/>
                <w:bCs/>
              </w:rPr>
            </w:pPr>
            <w:r w:rsidRPr="00DD4E5D">
              <w:rPr>
                <w:rFonts w:ascii="Times New Roman" w:hAnsi="Times New Roman" w:cs="Times New Roman"/>
                <w:b/>
                <w:bCs/>
              </w:rPr>
              <w:t>Core Features</w:t>
            </w:r>
          </w:p>
        </w:tc>
        <w:tc>
          <w:tcPr>
            <w:tcW w:w="0" w:type="auto"/>
            <w:vAlign w:val="center"/>
            <w:hideMark/>
          </w:tcPr>
          <w:p w14:paraId="201BE92D" w14:textId="77777777" w:rsidR="00DD4E5D" w:rsidRPr="00DD4E5D" w:rsidRDefault="00DD4E5D" w:rsidP="00DD4E5D">
            <w:pPr>
              <w:rPr>
                <w:rFonts w:ascii="Times New Roman" w:hAnsi="Times New Roman" w:cs="Times New Roman"/>
                <w:b/>
                <w:bCs/>
              </w:rPr>
            </w:pPr>
            <w:r w:rsidRPr="00DD4E5D">
              <w:rPr>
                <w:rFonts w:ascii="Times New Roman" w:hAnsi="Times New Roman" w:cs="Times New Roman"/>
                <w:b/>
                <w:bCs/>
              </w:rPr>
              <w:t>Typical Data Inputs</w:t>
            </w:r>
          </w:p>
        </w:tc>
        <w:tc>
          <w:tcPr>
            <w:tcW w:w="0" w:type="auto"/>
            <w:vAlign w:val="center"/>
            <w:hideMark/>
          </w:tcPr>
          <w:p w14:paraId="69CD23A2" w14:textId="77777777" w:rsidR="00DD4E5D" w:rsidRPr="00DD4E5D" w:rsidRDefault="00DD4E5D" w:rsidP="00DD4E5D">
            <w:pPr>
              <w:rPr>
                <w:rFonts w:ascii="Times New Roman" w:hAnsi="Times New Roman" w:cs="Times New Roman"/>
                <w:b/>
                <w:bCs/>
              </w:rPr>
            </w:pPr>
            <w:r w:rsidRPr="00DD4E5D">
              <w:rPr>
                <w:rFonts w:ascii="Times New Roman" w:hAnsi="Times New Roman" w:cs="Times New Roman"/>
                <w:b/>
                <w:bCs/>
              </w:rPr>
              <w:t>Strengths</w:t>
            </w:r>
          </w:p>
        </w:tc>
        <w:tc>
          <w:tcPr>
            <w:tcW w:w="0" w:type="auto"/>
            <w:vAlign w:val="center"/>
            <w:hideMark/>
          </w:tcPr>
          <w:p w14:paraId="7DDCF835" w14:textId="77777777" w:rsidR="00DD4E5D" w:rsidRPr="00DD4E5D" w:rsidRDefault="00DD4E5D" w:rsidP="00DD4E5D">
            <w:pPr>
              <w:rPr>
                <w:rFonts w:ascii="Times New Roman" w:hAnsi="Times New Roman" w:cs="Times New Roman"/>
                <w:b/>
                <w:bCs/>
              </w:rPr>
            </w:pPr>
            <w:r w:rsidRPr="00DD4E5D">
              <w:rPr>
                <w:rFonts w:ascii="Times New Roman" w:hAnsi="Times New Roman" w:cs="Times New Roman"/>
                <w:b/>
                <w:bCs/>
              </w:rPr>
              <w:t>Key Limitations</w:t>
            </w:r>
          </w:p>
        </w:tc>
      </w:tr>
      <w:tr w:rsidR="00DD4E5D" w:rsidRPr="00DD4E5D" w14:paraId="33F71072" w14:textId="77777777" w:rsidTr="00DD4E5D">
        <w:trPr>
          <w:tblCellSpacing w:w="15" w:type="dxa"/>
        </w:trPr>
        <w:tc>
          <w:tcPr>
            <w:tcW w:w="0" w:type="auto"/>
            <w:vAlign w:val="center"/>
            <w:hideMark/>
          </w:tcPr>
          <w:p w14:paraId="08E61866" w14:textId="77777777" w:rsidR="00DD4E5D" w:rsidRPr="00DD4E5D" w:rsidRDefault="00DD4E5D" w:rsidP="00DD4E5D">
            <w:pPr>
              <w:rPr>
                <w:rFonts w:ascii="Times New Roman" w:hAnsi="Times New Roman" w:cs="Times New Roman"/>
              </w:rPr>
            </w:pPr>
            <w:r w:rsidRPr="00DD4E5D">
              <w:rPr>
                <w:rFonts w:ascii="Times New Roman" w:hAnsi="Times New Roman" w:cs="Times New Roman"/>
              </w:rPr>
              <w:t>Environmental fate and transport models</w:t>
            </w:r>
          </w:p>
        </w:tc>
        <w:tc>
          <w:tcPr>
            <w:tcW w:w="0" w:type="auto"/>
            <w:vAlign w:val="center"/>
            <w:hideMark/>
          </w:tcPr>
          <w:p w14:paraId="7E42B20E" w14:textId="77777777" w:rsidR="00DD4E5D" w:rsidRPr="00DD4E5D" w:rsidRDefault="00DD4E5D" w:rsidP="00DD4E5D">
            <w:pPr>
              <w:rPr>
                <w:rFonts w:ascii="Times New Roman" w:hAnsi="Times New Roman" w:cs="Times New Roman"/>
              </w:rPr>
            </w:pPr>
            <w:r w:rsidRPr="00DD4E5D">
              <w:rPr>
                <w:rFonts w:ascii="Times New Roman" w:hAnsi="Times New Roman" w:cs="Times New Roman"/>
              </w:rPr>
              <w:t>Process-based simulation of chemical movement and degradation</w:t>
            </w:r>
          </w:p>
        </w:tc>
        <w:tc>
          <w:tcPr>
            <w:tcW w:w="0" w:type="auto"/>
            <w:vAlign w:val="center"/>
            <w:hideMark/>
          </w:tcPr>
          <w:p w14:paraId="5FB5BB58" w14:textId="77777777" w:rsidR="00DD4E5D" w:rsidRPr="00DD4E5D" w:rsidRDefault="00DD4E5D" w:rsidP="00DD4E5D">
            <w:pPr>
              <w:rPr>
                <w:rFonts w:ascii="Times New Roman" w:hAnsi="Times New Roman" w:cs="Times New Roman"/>
              </w:rPr>
            </w:pPr>
            <w:r w:rsidRPr="00DD4E5D">
              <w:rPr>
                <w:rFonts w:ascii="Times New Roman" w:hAnsi="Times New Roman" w:cs="Times New Roman"/>
              </w:rPr>
              <w:t xml:space="preserve">Soil properties, hydrology, climate, chemical properties, </w:t>
            </w:r>
            <w:r w:rsidR="00D46D6A">
              <w:rPr>
                <w:rFonts w:ascii="Times New Roman" w:hAnsi="Times New Roman" w:cs="Times New Roman"/>
              </w:rPr>
              <w:t xml:space="preserve">and </w:t>
            </w:r>
            <w:r w:rsidRPr="00DD4E5D">
              <w:rPr>
                <w:rFonts w:ascii="Times New Roman" w:hAnsi="Times New Roman" w:cs="Times New Roman"/>
              </w:rPr>
              <w:t>application data</w:t>
            </w:r>
          </w:p>
        </w:tc>
        <w:tc>
          <w:tcPr>
            <w:tcW w:w="0" w:type="auto"/>
            <w:vAlign w:val="center"/>
            <w:hideMark/>
          </w:tcPr>
          <w:p w14:paraId="59E10D56" w14:textId="77777777" w:rsidR="00DD4E5D" w:rsidRPr="00DD4E5D" w:rsidRDefault="00DD4E5D" w:rsidP="00DD4E5D">
            <w:pPr>
              <w:rPr>
                <w:rFonts w:ascii="Times New Roman" w:hAnsi="Times New Roman" w:cs="Times New Roman"/>
              </w:rPr>
            </w:pPr>
            <w:r w:rsidRPr="00DD4E5D">
              <w:rPr>
                <w:rFonts w:ascii="Times New Roman" w:hAnsi="Times New Roman" w:cs="Times New Roman"/>
              </w:rPr>
              <w:t>Mechanistic insight; scenario analysis</w:t>
            </w:r>
          </w:p>
        </w:tc>
        <w:tc>
          <w:tcPr>
            <w:tcW w:w="0" w:type="auto"/>
            <w:vAlign w:val="center"/>
            <w:hideMark/>
          </w:tcPr>
          <w:p w14:paraId="29C98B70" w14:textId="77777777" w:rsidR="00DD4E5D" w:rsidRPr="00DD4E5D" w:rsidRDefault="00DD4E5D" w:rsidP="00DD4E5D">
            <w:pPr>
              <w:rPr>
                <w:rFonts w:ascii="Times New Roman" w:hAnsi="Times New Roman" w:cs="Times New Roman"/>
              </w:rPr>
            </w:pPr>
            <w:r w:rsidRPr="00DD4E5D">
              <w:rPr>
                <w:rFonts w:ascii="Times New Roman" w:hAnsi="Times New Roman" w:cs="Times New Roman"/>
              </w:rPr>
              <w:t>Data-intensive; parameter uncertainty</w:t>
            </w:r>
          </w:p>
        </w:tc>
      </w:tr>
      <w:tr w:rsidR="00DD4E5D" w:rsidRPr="00DD4E5D" w14:paraId="6ADDBB15" w14:textId="77777777" w:rsidTr="00DD4E5D">
        <w:trPr>
          <w:tblCellSpacing w:w="15" w:type="dxa"/>
        </w:trPr>
        <w:tc>
          <w:tcPr>
            <w:tcW w:w="0" w:type="auto"/>
            <w:vAlign w:val="center"/>
            <w:hideMark/>
          </w:tcPr>
          <w:p w14:paraId="283EA734" w14:textId="77777777" w:rsidR="00DD4E5D" w:rsidRPr="00DD4E5D" w:rsidRDefault="00DD4E5D" w:rsidP="00DD4E5D">
            <w:pPr>
              <w:rPr>
                <w:rFonts w:ascii="Times New Roman" w:hAnsi="Times New Roman" w:cs="Times New Roman"/>
              </w:rPr>
            </w:pPr>
            <w:r w:rsidRPr="00DD4E5D">
              <w:rPr>
                <w:rFonts w:ascii="Times New Roman" w:hAnsi="Times New Roman" w:cs="Times New Roman"/>
              </w:rPr>
              <w:t>GIS-based spatial models</w:t>
            </w:r>
          </w:p>
        </w:tc>
        <w:tc>
          <w:tcPr>
            <w:tcW w:w="0" w:type="auto"/>
            <w:vAlign w:val="center"/>
            <w:hideMark/>
          </w:tcPr>
          <w:p w14:paraId="06A13BCD" w14:textId="77777777" w:rsidR="00DD4E5D" w:rsidRPr="00DD4E5D" w:rsidRDefault="00DD4E5D" w:rsidP="00DD4E5D">
            <w:pPr>
              <w:rPr>
                <w:rFonts w:ascii="Times New Roman" w:hAnsi="Times New Roman" w:cs="Times New Roman"/>
              </w:rPr>
            </w:pPr>
            <w:r w:rsidRPr="00DD4E5D">
              <w:rPr>
                <w:rFonts w:ascii="Times New Roman" w:hAnsi="Times New Roman" w:cs="Times New Roman"/>
              </w:rPr>
              <w:t>Spatial integration of land use and environmental data</w:t>
            </w:r>
          </w:p>
        </w:tc>
        <w:tc>
          <w:tcPr>
            <w:tcW w:w="0" w:type="auto"/>
            <w:vAlign w:val="center"/>
            <w:hideMark/>
          </w:tcPr>
          <w:p w14:paraId="727FED01" w14:textId="77777777" w:rsidR="00DD4E5D" w:rsidRPr="00DD4E5D" w:rsidRDefault="00DD4E5D" w:rsidP="00DD4E5D">
            <w:pPr>
              <w:rPr>
                <w:rFonts w:ascii="Times New Roman" w:hAnsi="Times New Roman" w:cs="Times New Roman"/>
              </w:rPr>
            </w:pPr>
            <w:r w:rsidRPr="00DD4E5D">
              <w:rPr>
                <w:rFonts w:ascii="Times New Roman" w:hAnsi="Times New Roman" w:cs="Times New Roman"/>
              </w:rPr>
              <w:t>Crop maps, agrochemical use, soils, water sources</w:t>
            </w:r>
          </w:p>
        </w:tc>
        <w:tc>
          <w:tcPr>
            <w:tcW w:w="0" w:type="auto"/>
            <w:vAlign w:val="center"/>
            <w:hideMark/>
          </w:tcPr>
          <w:p w14:paraId="30B42EC8" w14:textId="77777777" w:rsidR="00DD4E5D" w:rsidRPr="00DD4E5D" w:rsidRDefault="00DD4E5D" w:rsidP="00DD4E5D">
            <w:pPr>
              <w:rPr>
                <w:rFonts w:ascii="Times New Roman" w:hAnsi="Times New Roman" w:cs="Times New Roman"/>
              </w:rPr>
            </w:pPr>
            <w:r w:rsidRPr="00DD4E5D">
              <w:rPr>
                <w:rFonts w:ascii="Times New Roman" w:hAnsi="Times New Roman" w:cs="Times New Roman"/>
              </w:rPr>
              <w:t>Scalable; geographically explicit</w:t>
            </w:r>
          </w:p>
        </w:tc>
        <w:tc>
          <w:tcPr>
            <w:tcW w:w="0" w:type="auto"/>
            <w:vAlign w:val="center"/>
            <w:hideMark/>
          </w:tcPr>
          <w:p w14:paraId="0B738C65" w14:textId="77777777" w:rsidR="00DD4E5D" w:rsidRPr="00DD4E5D" w:rsidRDefault="00DD4E5D" w:rsidP="00DD4E5D">
            <w:pPr>
              <w:rPr>
                <w:rFonts w:ascii="Times New Roman" w:hAnsi="Times New Roman" w:cs="Times New Roman"/>
              </w:rPr>
            </w:pPr>
            <w:r w:rsidRPr="00DD4E5D">
              <w:rPr>
                <w:rFonts w:ascii="Times New Roman" w:hAnsi="Times New Roman" w:cs="Times New Roman"/>
              </w:rPr>
              <w:t>Limited subsurface representation</w:t>
            </w:r>
          </w:p>
        </w:tc>
      </w:tr>
      <w:tr w:rsidR="00DD4E5D" w:rsidRPr="00DD4E5D" w14:paraId="4DD98858" w14:textId="77777777" w:rsidTr="00DD4E5D">
        <w:trPr>
          <w:tblCellSpacing w:w="15" w:type="dxa"/>
        </w:trPr>
        <w:tc>
          <w:tcPr>
            <w:tcW w:w="0" w:type="auto"/>
            <w:vAlign w:val="center"/>
            <w:hideMark/>
          </w:tcPr>
          <w:p w14:paraId="575EFDE7" w14:textId="77777777" w:rsidR="00DD4E5D" w:rsidRPr="00DD4E5D" w:rsidRDefault="00DD4E5D" w:rsidP="00DD4E5D">
            <w:pPr>
              <w:rPr>
                <w:rFonts w:ascii="Times New Roman" w:hAnsi="Times New Roman" w:cs="Times New Roman"/>
              </w:rPr>
            </w:pPr>
            <w:r w:rsidRPr="00DD4E5D">
              <w:rPr>
                <w:rFonts w:ascii="Times New Roman" w:hAnsi="Times New Roman" w:cs="Times New Roman"/>
              </w:rPr>
              <w:t>Land-use regression models</w:t>
            </w:r>
          </w:p>
        </w:tc>
        <w:tc>
          <w:tcPr>
            <w:tcW w:w="0" w:type="auto"/>
            <w:vAlign w:val="center"/>
            <w:hideMark/>
          </w:tcPr>
          <w:p w14:paraId="723F68B2" w14:textId="77777777" w:rsidR="00DD4E5D" w:rsidRPr="00DD4E5D" w:rsidRDefault="00DD4E5D" w:rsidP="00DD4E5D">
            <w:pPr>
              <w:rPr>
                <w:rFonts w:ascii="Times New Roman" w:hAnsi="Times New Roman" w:cs="Times New Roman"/>
              </w:rPr>
            </w:pPr>
            <w:r w:rsidRPr="00DD4E5D">
              <w:rPr>
                <w:rFonts w:ascii="Times New Roman" w:hAnsi="Times New Roman" w:cs="Times New Roman"/>
              </w:rPr>
              <w:t>Statistical prediction based on land-use predictors</w:t>
            </w:r>
          </w:p>
        </w:tc>
        <w:tc>
          <w:tcPr>
            <w:tcW w:w="0" w:type="auto"/>
            <w:vAlign w:val="center"/>
            <w:hideMark/>
          </w:tcPr>
          <w:p w14:paraId="05A07672" w14:textId="77777777" w:rsidR="00DD4E5D" w:rsidRPr="00DD4E5D" w:rsidRDefault="00DD4E5D" w:rsidP="00DD4E5D">
            <w:pPr>
              <w:rPr>
                <w:rFonts w:ascii="Times New Roman" w:hAnsi="Times New Roman" w:cs="Times New Roman"/>
              </w:rPr>
            </w:pPr>
            <w:r w:rsidRPr="00DD4E5D">
              <w:rPr>
                <w:rFonts w:ascii="Times New Roman" w:hAnsi="Times New Roman" w:cs="Times New Roman"/>
              </w:rPr>
              <w:t>Water monitoring data, land-use variables</w:t>
            </w:r>
          </w:p>
        </w:tc>
        <w:tc>
          <w:tcPr>
            <w:tcW w:w="0" w:type="auto"/>
            <w:vAlign w:val="center"/>
            <w:hideMark/>
          </w:tcPr>
          <w:p w14:paraId="77EC979A" w14:textId="77777777" w:rsidR="00DD4E5D" w:rsidRPr="00DD4E5D" w:rsidRDefault="00DD4E5D" w:rsidP="00DD4E5D">
            <w:pPr>
              <w:rPr>
                <w:rFonts w:ascii="Times New Roman" w:hAnsi="Times New Roman" w:cs="Times New Roman"/>
              </w:rPr>
            </w:pPr>
            <w:r w:rsidRPr="00DD4E5D">
              <w:rPr>
                <w:rFonts w:ascii="Times New Roman" w:hAnsi="Times New Roman" w:cs="Times New Roman"/>
              </w:rPr>
              <w:t>Interpretable; suitable for epidemiology</w:t>
            </w:r>
          </w:p>
        </w:tc>
        <w:tc>
          <w:tcPr>
            <w:tcW w:w="0" w:type="auto"/>
            <w:vAlign w:val="center"/>
            <w:hideMark/>
          </w:tcPr>
          <w:p w14:paraId="4A80E4E2" w14:textId="77777777" w:rsidR="00DD4E5D" w:rsidRPr="00DD4E5D" w:rsidRDefault="00DD4E5D" w:rsidP="00DD4E5D">
            <w:pPr>
              <w:rPr>
                <w:rFonts w:ascii="Times New Roman" w:hAnsi="Times New Roman" w:cs="Times New Roman"/>
              </w:rPr>
            </w:pPr>
            <w:r w:rsidRPr="00DD4E5D">
              <w:rPr>
                <w:rFonts w:ascii="Times New Roman" w:hAnsi="Times New Roman" w:cs="Times New Roman"/>
              </w:rPr>
              <w:t>Dependent on monitoring density</w:t>
            </w:r>
          </w:p>
        </w:tc>
      </w:tr>
      <w:tr w:rsidR="00DD4E5D" w:rsidRPr="00DD4E5D" w14:paraId="3788F3AA" w14:textId="77777777" w:rsidTr="00DD4E5D">
        <w:trPr>
          <w:tblCellSpacing w:w="15" w:type="dxa"/>
        </w:trPr>
        <w:tc>
          <w:tcPr>
            <w:tcW w:w="0" w:type="auto"/>
            <w:vAlign w:val="center"/>
            <w:hideMark/>
          </w:tcPr>
          <w:p w14:paraId="2D50746F" w14:textId="77777777" w:rsidR="00DD4E5D" w:rsidRPr="00DD4E5D" w:rsidRDefault="00DD4E5D" w:rsidP="00DD4E5D">
            <w:pPr>
              <w:rPr>
                <w:rFonts w:ascii="Times New Roman" w:hAnsi="Times New Roman" w:cs="Times New Roman"/>
              </w:rPr>
            </w:pPr>
            <w:r w:rsidRPr="00DD4E5D">
              <w:rPr>
                <w:rFonts w:ascii="Times New Roman" w:hAnsi="Times New Roman" w:cs="Times New Roman"/>
              </w:rPr>
              <w:t>Remote sensing–enhanced models</w:t>
            </w:r>
          </w:p>
        </w:tc>
        <w:tc>
          <w:tcPr>
            <w:tcW w:w="0" w:type="auto"/>
            <w:vAlign w:val="center"/>
            <w:hideMark/>
          </w:tcPr>
          <w:p w14:paraId="028F7F59" w14:textId="77777777" w:rsidR="00DD4E5D" w:rsidRPr="00DD4E5D" w:rsidRDefault="00DD4E5D" w:rsidP="00DD4E5D">
            <w:pPr>
              <w:rPr>
                <w:rFonts w:ascii="Times New Roman" w:hAnsi="Times New Roman" w:cs="Times New Roman"/>
              </w:rPr>
            </w:pPr>
            <w:r w:rsidRPr="00DD4E5D">
              <w:rPr>
                <w:rFonts w:ascii="Times New Roman" w:hAnsi="Times New Roman" w:cs="Times New Roman"/>
              </w:rPr>
              <w:t>Use of satellite-derived land and crop data</w:t>
            </w:r>
          </w:p>
        </w:tc>
        <w:tc>
          <w:tcPr>
            <w:tcW w:w="0" w:type="auto"/>
            <w:vAlign w:val="center"/>
            <w:hideMark/>
          </w:tcPr>
          <w:p w14:paraId="56153593" w14:textId="77777777" w:rsidR="00DD4E5D" w:rsidRPr="00DD4E5D" w:rsidRDefault="00DD4E5D" w:rsidP="00DD4E5D">
            <w:pPr>
              <w:rPr>
                <w:rFonts w:ascii="Times New Roman" w:hAnsi="Times New Roman" w:cs="Times New Roman"/>
              </w:rPr>
            </w:pPr>
            <w:r w:rsidRPr="00DD4E5D">
              <w:rPr>
                <w:rFonts w:ascii="Times New Roman" w:hAnsi="Times New Roman" w:cs="Times New Roman"/>
              </w:rPr>
              <w:t>Satellite imagery, agricultural datasets</w:t>
            </w:r>
          </w:p>
        </w:tc>
        <w:tc>
          <w:tcPr>
            <w:tcW w:w="0" w:type="auto"/>
            <w:vAlign w:val="center"/>
            <w:hideMark/>
          </w:tcPr>
          <w:p w14:paraId="06B523BF" w14:textId="77777777" w:rsidR="00DD4E5D" w:rsidRPr="00DD4E5D" w:rsidRDefault="00DD4E5D" w:rsidP="00DD4E5D">
            <w:pPr>
              <w:rPr>
                <w:rFonts w:ascii="Times New Roman" w:hAnsi="Times New Roman" w:cs="Times New Roman"/>
              </w:rPr>
            </w:pPr>
            <w:r w:rsidRPr="00DD4E5D">
              <w:rPr>
                <w:rFonts w:ascii="Times New Roman" w:hAnsi="Times New Roman" w:cs="Times New Roman"/>
              </w:rPr>
              <w:t>High spatial resolution; temporal alignment</w:t>
            </w:r>
          </w:p>
        </w:tc>
        <w:tc>
          <w:tcPr>
            <w:tcW w:w="0" w:type="auto"/>
            <w:vAlign w:val="center"/>
            <w:hideMark/>
          </w:tcPr>
          <w:p w14:paraId="6E290A9C" w14:textId="77777777" w:rsidR="00DD4E5D" w:rsidRPr="00DD4E5D" w:rsidRDefault="00DD4E5D" w:rsidP="00DD4E5D">
            <w:pPr>
              <w:rPr>
                <w:rFonts w:ascii="Times New Roman" w:hAnsi="Times New Roman" w:cs="Times New Roman"/>
              </w:rPr>
            </w:pPr>
            <w:r w:rsidRPr="00DD4E5D">
              <w:rPr>
                <w:rFonts w:ascii="Times New Roman" w:hAnsi="Times New Roman" w:cs="Times New Roman"/>
              </w:rPr>
              <w:t>Indirect exposure proxies</w:t>
            </w:r>
          </w:p>
        </w:tc>
      </w:tr>
      <w:tr w:rsidR="00DD4E5D" w:rsidRPr="00DD4E5D" w14:paraId="4F75F0C4" w14:textId="77777777" w:rsidTr="00DD4E5D">
        <w:trPr>
          <w:tblCellSpacing w:w="15" w:type="dxa"/>
        </w:trPr>
        <w:tc>
          <w:tcPr>
            <w:tcW w:w="0" w:type="auto"/>
            <w:vAlign w:val="center"/>
            <w:hideMark/>
          </w:tcPr>
          <w:p w14:paraId="1BF8974D" w14:textId="77777777" w:rsidR="00DD4E5D" w:rsidRPr="00DD4E5D" w:rsidRDefault="00DD4E5D" w:rsidP="00DD4E5D">
            <w:pPr>
              <w:rPr>
                <w:rFonts w:ascii="Times New Roman" w:hAnsi="Times New Roman" w:cs="Times New Roman"/>
              </w:rPr>
            </w:pPr>
            <w:r w:rsidRPr="00DD4E5D">
              <w:rPr>
                <w:rFonts w:ascii="Times New Roman" w:hAnsi="Times New Roman" w:cs="Times New Roman"/>
              </w:rPr>
              <w:t>Temporal reconstruction models</w:t>
            </w:r>
          </w:p>
        </w:tc>
        <w:tc>
          <w:tcPr>
            <w:tcW w:w="0" w:type="auto"/>
            <w:vAlign w:val="center"/>
            <w:hideMark/>
          </w:tcPr>
          <w:p w14:paraId="2AD136F2" w14:textId="77777777" w:rsidR="00DD4E5D" w:rsidRPr="00DD4E5D" w:rsidRDefault="00DD4E5D" w:rsidP="00DD4E5D">
            <w:pPr>
              <w:rPr>
                <w:rFonts w:ascii="Times New Roman" w:hAnsi="Times New Roman" w:cs="Times New Roman"/>
              </w:rPr>
            </w:pPr>
            <w:r w:rsidRPr="00DD4E5D">
              <w:rPr>
                <w:rFonts w:ascii="Times New Roman" w:hAnsi="Times New Roman" w:cs="Times New Roman"/>
              </w:rPr>
              <w:t>Longitudinal exposure estimation</w:t>
            </w:r>
          </w:p>
        </w:tc>
        <w:tc>
          <w:tcPr>
            <w:tcW w:w="0" w:type="auto"/>
            <w:vAlign w:val="center"/>
            <w:hideMark/>
          </w:tcPr>
          <w:p w14:paraId="3735B0D0" w14:textId="77777777" w:rsidR="00DD4E5D" w:rsidRPr="00DD4E5D" w:rsidRDefault="00DD4E5D" w:rsidP="00DD4E5D">
            <w:pPr>
              <w:rPr>
                <w:rFonts w:ascii="Times New Roman" w:hAnsi="Times New Roman" w:cs="Times New Roman"/>
              </w:rPr>
            </w:pPr>
            <w:r w:rsidRPr="00DD4E5D">
              <w:rPr>
                <w:rFonts w:ascii="Times New Roman" w:hAnsi="Times New Roman" w:cs="Times New Roman"/>
              </w:rPr>
              <w:t>Historical use data, environmental records</w:t>
            </w:r>
          </w:p>
        </w:tc>
        <w:tc>
          <w:tcPr>
            <w:tcW w:w="0" w:type="auto"/>
            <w:vAlign w:val="center"/>
            <w:hideMark/>
          </w:tcPr>
          <w:p w14:paraId="21CCFFAB" w14:textId="77777777" w:rsidR="00DD4E5D" w:rsidRPr="00DD4E5D" w:rsidRDefault="00DD4E5D" w:rsidP="00DD4E5D">
            <w:pPr>
              <w:rPr>
                <w:rFonts w:ascii="Times New Roman" w:hAnsi="Times New Roman" w:cs="Times New Roman"/>
              </w:rPr>
            </w:pPr>
            <w:r w:rsidRPr="00DD4E5D">
              <w:rPr>
                <w:rFonts w:ascii="Times New Roman" w:hAnsi="Times New Roman" w:cs="Times New Roman"/>
              </w:rPr>
              <w:t>Captures cumulative exposure</w:t>
            </w:r>
          </w:p>
        </w:tc>
        <w:tc>
          <w:tcPr>
            <w:tcW w:w="0" w:type="auto"/>
            <w:vAlign w:val="center"/>
            <w:hideMark/>
          </w:tcPr>
          <w:p w14:paraId="5079105F" w14:textId="77777777" w:rsidR="00DD4E5D" w:rsidRPr="00DD4E5D" w:rsidRDefault="00DD4E5D" w:rsidP="00DD4E5D">
            <w:pPr>
              <w:rPr>
                <w:rFonts w:ascii="Times New Roman" w:hAnsi="Times New Roman" w:cs="Times New Roman"/>
              </w:rPr>
            </w:pPr>
            <w:r w:rsidRPr="00DD4E5D">
              <w:rPr>
                <w:rFonts w:ascii="Times New Roman" w:hAnsi="Times New Roman" w:cs="Times New Roman"/>
              </w:rPr>
              <w:t>Historical data gaps</w:t>
            </w:r>
          </w:p>
        </w:tc>
      </w:tr>
      <w:tr w:rsidR="00DD4E5D" w:rsidRPr="00DD4E5D" w14:paraId="7285FC94" w14:textId="77777777" w:rsidTr="00DD4E5D">
        <w:trPr>
          <w:tblCellSpacing w:w="15" w:type="dxa"/>
        </w:trPr>
        <w:tc>
          <w:tcPr>
            <w:tcW w:w="0" w:type="auto"/>
            <w:vAlign w:val="center"/>
            <w:hideMark/>
          </w:tcPr>
          <w:p w14:paraId="7AA26A63" w14:textId="77777777" w:rsidR="00DD4E5D" w:rsidRPr="00DD4E5D" w:rsidRDefault="00DD4E5D" w:rsidP="00DD4E5D">
            <w:pPr>
              <w:rPr>
                <w:rFonts w:ascii="Times New Roman" w:hAnsi="Times New Roman" w:cs="Times New Roman"/>
              </w:rPr>
            </w:pPr>
            <w:r w:rsidRPr="00DD4E5D">
              <w:rPr>
                <w:rFonts w:ascii="Times New Roman" w:hAnsi="Times New Roman" w:cs="Times New Roman"/>
              </w:rPr>
              <w:t>Mixture modeling frameworks</w:t>
            </w:r>
          </w:p>
        </w:tc>
        <w:tc>
          <w:tcPr>
            <w:tcW w:w="0" w:type="auto"/>
            <w:vAlign w:val="center"/>
            <w:hideMark/>
          </w:tcPr>
          <w:p w14:paraId="43D85A57" w14:textId="77777777" w:rsidR="00DD4E5D" w:rsidRPr="00DD4E5D" w:rsidRDefault="00DD4E5D" w:rsidP="00DD4E5D">
            <w:pPr>
              <w:rPr>
                <w:rFonts w:ascii="Times New Roman" w:hAnsi="Times New Roman" w:cs="Times New Roman"/>
              </w:rPr>
            </w:pPr>
            <w:r w:rsidRPr="00DD4E5D">
              <w:rPr>
                <w:rFonts w:ascii="Times New Roman" w:hAnsi="Times New Roman" w:cs="Times New Roman"/>
              </w:rPr>
              <w:t>Joint exposure estimation across chemicals</w:t>
            </w:r>
          </w:p>
        </w:tc>
        <w:tc>
          <w:tcPr>
            <w:tcW w:w="0" w:type="auto"/>
            <w:vAlign w:val="center"/>
            <w:hideMark/>
          </w:tcPr>
          <w:p w14:paraId="5E0E978A" w14:textId="77777777" w:rsidR="00DD4E5D" w:rsidRPr="00DD4E5D" w:rsidRDefault="00DD4E5D" w:rsidP="00DD4E5D">
            <w:pPr>
              <w:rPr>
                <w:rFonts w:ascii="Times New Roman" w:hAnsi="Times New Roman" w:cs="Times New Roman"/>
              </w:rPr>
            </w:pPr>
            <w:r w:rsidRPr="00DD4E5D">
              <w:rPr>
                <w:rFonts w:ascii="Times New Roman" w:hAnsi="Times New Roman" w:cs="Times New Roman"/>
              </w:rPr>
              <w:t>Multi-chemical exposure metrics</w:t>
            </w:r>
          </w:p>
        </w:tc>
        <w:tc>
          <w:tcPr>
            <w:tcW w:w="0" w:type="auto"/>
            <w:vAlign w:val="center"/>
            <w:hideMark/>
          </w:tcPr>
          <w:p w14:paraId="70D88476" w14:textId="77777777" w:rsidR="00DD4E5D" w:rsidRPr="00DD4E5D" w:rsidRDefault="00DD4E5D" w:rsidP="00DD4E5D">
            <w:pPr>
              <w:rPr>
                <w:rFonts w:ascii="Times New Roman" w:hAnsi="Times New Roman" w:cs="Times New Roman"/>
              </w:rPr>
            </w:pPr>
            <w:r w:rsidRPr="00DD4E5D">
              <w:rPr>
                <w:rFonts w:ascii="Times New Roman" w:hAnsi="Times New Roman" w:cs="Times New Roman"/>
              </w:rPr>
              <w:t>Reflects real-world exposure</w:t>
            </w:r>
          </w:p>
        </w:tc>
        <w:tc>
          <w:tcPr>
            <w:tcW w:w="0" w:type="auto"/>
            <w:vAlign w:val="center"/>
            <w:hideMark/>
          </w:tcPr>
          <w:p w14:paraId="3D5EA252" w14:textId="77777777" w:rsidR="00DD4E5D" w:rsidRPr="00DD4E5D" w:rsidRDefault="00DD4E5D" w:rsidP="00DD4E5D">
            <w:pPr>
              <w:rPr>
                <w:rFonts w:ascii="Times New Roman" w:hAnsi="Times New Roman" w:cs="Times New Roman"/>
              </w:rPr>
            </w:pPr>
            <w:r w:rsidRPr="00DD4E5D">
              <w:rPr>
                <w:rFonts w:ascii="Times New Roman" w:hAnsi="Times New Roman" w:cs="Times New Roman"/>
              </w:rPr>
              <w:t>Correlated exposures; complexity</w:t>
            </w:r>
          </w:p>
        </w:tc>
      </w:tr>
    </w:tbl>
    <w:p w14:paraId="19379CF9" w14:textId="77777777" w:rsidR="00DD4E5D" w:rsidRDefault="00DD4E5D" w:rsidP="00DD4E5D">
      <w:pPr>
        <w:rPr>
          <w:rFonts w:ascii="Times New Roman" w:hAnsi="Times New Roman" w:cs="Times New Roman"/>
        </w:rPr>
      </w:pPr>
      <w:r w:rsidRPr="00DD4E5D">
        <w:rPr>
          <w:rFonts w:ascii="Times New Roman" w:hAnsi="Times New Roman" w:cs="Times New Roman"/>
        </w:rPr>
        <w:t xml:space="preserve">Together, these modeling approaches provide complementary tools for estimating agrochemical contamination in drinking water. As highlighted in </w:t>
      </w:r>
      <w:r w:rsidRPr="00DD4E5D">
        <w:rPr>
          <w:rFonts w:ascii="Times New Roman" w:hAnsi="Times New Roman" w:cs="Times New Roman"/>
          <w:b/>
          <w:bCs/>
        </w:rPr>
        <w:t>Table 1</w:t>
      </w:r>
      <w:r w:rsidRPr="00DD4E5D">
        <w:rPr>
          <w:rFonts w:ascii="Times New Roman" w:hAnsi="Times New Roman" w:cs="Times New Roman"/>
        </w:rPr>
        <w:t>, no single model is sufficient; robust exposure assessment increasingly relies on integrating multiple frameworks to balance mechanistic realism, scalability, and epidemiologic relevance.</w:t>
      </w:r>
    </w:p>
    <w:p w14:paraId="46A0BDF3" w14:textId="77777777" w:rsidR="00F774A1" w:rsidRPr="00DD4E5D" w:rsidRDefault="00F774A1" w:rsidP="00DD4E5D">
      <w:pPr>
        <w:rPr>
          <w:rFonts w:ascii="Times New Roman" w:hAnsi="Times New Roman" w:cs="Times New Roman"/>
        </w:rPr>
      </w:pPr>
    </w:p>
    <w:p w14:paraId="058DC2D2" w14:textId="77777777" w:rsidR="00DD4E5D" w:rsidRPr="00335136" w:rsidRDefault="00DD4E5D">
      <w:pPr>
        <w:rPr>
          <w:rFonts w:ascii="Times New Roman" w:hAnsi="Times New Roman" w:cs="Times New Roman"/>
        </w:rPr>
      </w:pPr>
    </w:p>
    <w:p w14:paraId="2C5C20B1" w14:textId="77777777" w:rsidR="003C223A" w:rsidRPr="003C223A" w:rsidRDefault="003C223A" w:rsidP="003C223A">
      <w:pPr>
        <w:rPr>
          <w:rFonts w:ascii="Times New Roman" w:hAnsi="Times New Roman" w:cs="Times New Roman"/>
          <w:b/>
          <w:bCs/>
        </w:rPr>
      </w:pPr>
      <w:r w:rsidRPr="003C223A">
        <w:rPr>
          <w:rFonts w:ascii="Times New Roman" w:hAnsi="Times New Roman" w:cs="Times New Roman"/>
          <w:b/>
          <w:bCs/>
        </w:rPr>
        <w:lastRenderedPageBreak/>
        <w:t>5. Linking Drinking Water Exposure to Chronic Disease</w:t>
      </w:r>
    </w:p>
    <w:p w14:paraId="67FFD1DC" w14:textId="77777777" w:rsidR="00C07FEA" w:rsidRDefault="003C223A" w:rsidP="003C223A">
      <w:pPr>
        <w:rPr>
          <w:rFonts w:ascii="Times New Roman" w:hAnsi="Times New Roman" w:cs="Times New Roman"/>
        </w:rPr>
      </w:pPr>
      <w:r w:rsidRPr="003C223A">
        <w:rPr>
          <w:rFonts w:ascii="Times New Roman" w:hAnsi="Times New Roman" w:cs="Times New Roman"/>
        </w:rPr>
        <w:t>Modeled estimates of agrochemical contamination in drinking water have become increasingly important for evaluating long-term health risks in farming populations. By reconstructing spatially and temporally resolved exposure, these approaches allow assessment of chronic, low-dose ingestion pathways that are not well captured by occupational records or short-term biomonitoring. This section summarizes how modeled drinking water exposure has been applied in epidemiologic studies and reviews evidence linking such exposure to chronic disease outcomes.</w:t>
      </w:r>
    </w:p>
    <w:p w14:paraId="5DB9934A" w14:textId="0DF41615" w:rsidR="003C223A" w:rsidRPr="003C223A" w:rsidRDefault="003C223A" w:rsidP="003C223A">
      <w:pPr>
        <w:rPr>
          <w:rFonts w:ascii="Times New Roman" w:hAnsi="Times New Roman" w:cs="Times New Roman"/>
          <w:b/>
          <w:bCs/>
        </w:rPr>
      </w:pPr>
      <w:r w:rsidRPr="003C223A">
        <w:rPr>
          <w:rFonts w:ascii="Times New Roman" w:hAnsi="Times New Roman" w:cs="Times New Roman"/>
          <w:b/>
          <w:bCs/>
        </w:rPr>
        <w:t>5.1 Study Designs Using Modeled Exposure</w:t>
      </w:r>
    </w:p>
    <w:p w14:paraId="33545AA5" w14:textId="77777777" w:rsidR="003C223A" w:rsidRPr="003C223A" w:rsidRDefault="003C223A" w:rsidP="003C223A">
      <w:pPr>
        <w:rPr>
          <w:rFonts w:ascii="Times New Roman" w:hAnsi="Times New Roman" w:cs="Times New Roman"/>
        </w:rPr>
      </w:pPr>
      <w:r w:rsidRPr="003C223A">
        <w:rPr>
          <w:rFonts w:ascii="Times New Roman" w:hAnsi="Times New Roman" w:cs="Times New Roman"/>
        </w:rPr>
        <w:t>Modeled drinking water exposure has been incorporated into a range of epidemiologic study designs, including cohort, case–control, and ecological–individual hybrid studies. Prospective and retrospective cohort studies are particularly well suited for this approach, as they enable linkage of long-term exposure estimates with incident disease outcomes over extended follow-up periods. In these studies, exposure models are commonly used to assign contamination levels to residential locations based on historical land use, agrochemical application patterns, and hydrological data (30,31).</w:t>
      </w:r>
    </w:p>
    <w:p w14:paraId="462640D6" w14:textId="77777777" w:rsidR="003C223A" w:rsidRPr="003C223A" w:rsidRDefault="003C223A" w:rsidP="003C223A">
      <w:pPr>
        <w:rPr>
          <w:rFonts w:ascii="Times New Roman" w:hAnsi="Times New Roman" w:cs="Times New Roman"/>
        </w:rPr>
      </w:pPr>
      <w:r w:rsidRPr="003C223A">
        <w:rPr>
          <w:rFonts w:ascii="Times New Roman" w:hAnsi="Times New Roman" w:cs="Times New Roman"/>
        </w:rPr>
        <w:t>Case–control studies have also applied modeled exposure metrics, especially for rare outcomes such as hematologic malignancies and neurodegenerative diseases. Spatial models allow retrospective assignment of exposure based on residential history, reducing reliance on self-reported exposure and minimizing recall bias. Ecological–hybrid designs combine area-level exposure modeling with individual-level health data to leverage large administrative datasets, although such approaches may be more susceptible to exposure misclassification (32).</w:t>
      </w:r>
    </w:p>
    <w:p w14:paraId="449223DD" w14:textId="77777777" w:rsidR="003C223A" w:rsidRPr="003C223A" w:rsidRDefault="003C223A" w:rsidP="003C223A">
      <w:pPr>
        <w:rPr>
          <w:rFonts w:ascii="Times New Roman" w:hAnsi="Times New Roman" w:cs="Times New Roman"/>
        </w:rPr>
      </w:pPr>
      <w:r w:rsidRPr="003C223A">
        <w:rPr>
          <w:rFonts w:ascii="Times New Roman" w:hAnsi="Times New Roman" w:cs="Times New Roman"/>
        </w:rPr>
        <w:t>A key advantage of modeled exposure metrics is their ability to capture cumulative and latency-relevant exposure through drinking water. These estimates incorporate variability in agrochemical use, environmental transport, and water sourcing, thereby improving exposure characterization compared with single-point measurements. Modeled exposure also facilitates evaluation of exposure gradients and dose–response relationships, strengthening causal inference when consistent associations are observed across populations and modeling frameworks (33).</w:t>
      </w:r>
    </w:p>
    <w:p w14:paraId="259C2B20" w14:textId="77777777" w:rsidR="003C223A" w:rsidRPr="003C223A" w:rsidRDefault="003C223A" w:rsidP="003C223A">
      <w:pPr>
        <w:rPr>
          <w:rFonts w:ascii="Times New Roman" w:hAnsi="Times New Roman" w:cs="Times New Roman"/>
          <w:b/>
          <w:bCs/>
        </w:rPr>
      </w:pPr>
      <w:r w:rsidRPr="003C223A">
        <w:rPr>
          <w:rFonts w:ascii="Times New Roman" w:hAnsi="Times New Roman" w:cs="Times New Roman"/>
          <w:b/>
          <w:bCs/>
        </w:rPr>
        <w:t>5.2 Evidence for Specific Chronic Diseases</w:t>
      </w:r>
    </w:p>
    <w:p w14:paraId="732F389F" w14:textId="77777777" w:rsidR="003C223A" w:rsidRPr="003C223A" w:rsidRDefault="003C223A" w:rsidP="003C223A">
      <w:pPr>
        <w:rPr>
          <w:rFonts w:ascii="Times New Roman" w:hAnsi="Times New Roman" w:cs="Times New Roman"/>
          <w:b/>
          <w:bCs/>
        </w:rPr>
      </w:pPr>
      <w:r w:rsidRPr="003C223A">
        <w:rPr>
          <w:rFonts w:ascii="Times New Roman" w:hAnsi="Times New Roman" w:cs="Times New Roman"/>
          <w:b/>
          <w:bCs/>
        </w:rPr>
        <w:t>Cancer</w:t>
      </w:r>
    </w:p>
    <w:p w14:paraId="759C2F55" w14:textId="77777777" w:rsidR="003C223A" w:rsidRPr="003C223A" w:rsidRDefault="003C223A" w:rsidP="003C223A">
      <w:pPr>
        <w:rPr>
          <w:rFonts w:ascii="Times New Roman" w:hAnsi="Times New Roman" w:cs="Times New Roman"/>
        </w:rPr>
      </w:pPr>
      <w:r w:rsidRPr="003C223A">
        <w:rPr>
          <w:rFonts w:ascii="Times New Roman" w:hAnsi="Times New Roman" w:cs="Times New Roman"/>
        </w:rPr>
        <w:t>A substantial body of epidemiologic evidence links modeled drinking water contamination with increased cancer risk in agricultural populations. Hematologic cancers, including non-Hodgkin lymphoma and leukemia, have been among the most frequently studied outcomes. Associations have also been reported for prostate and breast cancer in regions with intensive herbicide and nitrate contamination. These findings are biologically plausible given evidence of genotoxicity, endocrine disruption, and oxidative stress associated with certain agrochemicals (34).</w:t>
      </w:r>
    </w:p>
    <w:p w14:paraId="03D0CE96" w14:textId="77777777" w:rsidR="003C223A" w:rsidRPr="003C223A" w:rsidRDefault="003C223A" w:rsidP="003C223A">
      <w:pPr>
        <w:rPr>
          <w:rFonts w:ascii="Times New Roman" w:hAnsi="Times New Roman" w:cs="Times New Roman"/>
        </w:rPr>
      </w:pPr>
      <w:r w:rsidRPr="003C223A">
        <w:rPr>
          <w:rFonts w:ascii="Times New Roman" w:hAnsi="Times New Roman" w:cs="Times New Roman"/>
        </w:rPr>
        <w:lastRenderedPageBreak/>
        <w:t>Nitrate exposure through drinking water has received particular attention due to its potential to form N-nitroso compounds endogenously. These compounds are recognized carcinogens and may contribute to gastrointestinal and other cancers following long-term ingestion (3,4).</w:t>
      </w:r>
    </w:p>
    <w:p w14:paraId="7C9209F5" w14:textId="77777777" w:rsidR="003C223A" w:rsidRPr="003C223A" w:rsidRDefault="003C223A" w:rsidP="003C223A">
      <w:pPr>
        <w:rPr>
          <w:rFonts w:ascii="Times New Roman" w:hAnsi="Times New Roman" w:cs="Times New Roman"/>
          <w:b/>
          <w:bCs/>
        </w:rPr>
      </w:pPr>
      <w:r w:rsidRPr="003C223A">
        <w:rPr>
          <w:rFonts w:ascii="Times New Roman" w:hAnsi="Times New Roman" w:cs="Times New Roman"/>
          <w:b/>
          <w:bCs/>
        </w:rPr>
        <w:t>Neurologic Disorders</w:t>
      </w:r>
    </w:p>
    <w:p w14:paraId="0995086C" w14:textId="77777777" w:rsidR="003C223A" w:rsidRPr="003C223A" w:rsidRDefault="003C223A" w:rsidP="003C223A">
      <w:pPr>
        <w:rPr>
          <w:rFonts w:ascii="Times New Roman" w:hAnsi="Times New Roman" w:cs="Times New Roman"/>
        </w:rPr>
      </w:pPr>
      <w:r w:rsidRPr="003C223A">
        <w:rPr>
          <w:rFonts w:ascii="Times New Roman" w:hAnsi="Times New Roman" w:cs="Times New Roman"/>
        </w:rPr>
        <w:t>Neurologic outcomes represent another area of concern. Modeled exposure to pesticides in drinking water has been associated with increased risk of Parkinson’s disease, consistent with experimental evidence of dopaminergic neurotoxicity. Some studies have also explored associations with cognitive decline and other neurobehavioral outcomes, although results remain heterogeneous. Long latency periods and challenges in outcome ascertainment complicate interpretation (5,35).</w:t>
      </w:r>
    </w:p>
    <w:p w14:paraId="3570D9FF" w14:textId="77777777" w:rsidR="003C223A" w:rsidRPr="003C223A" w:rsidRDefault="003C223A" w:rsidP="003C223A">
      <w:pPr>
        <w:rPr>
          <w:rFonts w:ascii="Times New Roman" w:hAnsi="Times New Roman" w:cs="Times New Roman"/>
          <w:b/>
          <w:bCs/>
        </w:rPr>
      </w:pPr>
      <w:r w:rsidRPr="003C223A">
        <w:rPr>
          <w:rFonts w:ascii="Times New Roman" w:hAnsi="Times New Roman" w:cs="Times New Roman"/>
          <w:b/>
          <w:bCs/>
        </w:rPr>
        <w:t>Endocrine and Metabolic Disease</w:t>
      </w:r>
    </w:p>
    <w:p w14:paraId="4567DF68" w14:textId="77777777" w:rsidR="003C223A" w:rsidRPr="003C223A" w:rsidRDefault="003C223A" w:rsidP="003C223A">
      <w:pPr>
        <w:rPr>
          <w:rFonts w:ascii="Times New Roman" w:hAnsi="Times New Roman" w:cs="Times New Roman"/>
        </w:rPr>
      </w:pPr>
      <w:r w:rsidRPr="003C223A">
        <w:rPr>
          <w:rFonts w:ascii="Times New Roman" w:hAnsi="Times New Roman" w:cs="Times New Roman"/>
        </w:rPr>
        <w:t>Endocrine and metabolic disorders, including thyroid dysfunction, diabetes, and obesity-related outcomes, have been examined in relation to agrochemical-contaminated drinking water. Compounds with endocrine-disrupting properties, such as atrazine and certain organophosphates, are of particular interest. Modeled exposure studies suggest that chronic low-dose ingestion may alter hormonal signaling and metabolic regulation, although findings vary depending on exposure assessment methods and confounder control (36).</w:t>
      </w:r>
    </w:p>
    <w:p w14:paraId="3CF27578" w14:textId="77777777" w:rsidR="003C223A" w:rsidRPr="003C223A" w:rsidRDefault="003C223A" w:rsidP="003C223A">
      <w:pPr>
        <w:rPr>
          <w:rFonts w:ascii="Times New Roman" w:hAnsi="Times New Roman" w:cs="Times New Roman"/>
          <w:b/>
          <w:bCs/>
        </w:rPr>
      </w:pPr>
      <w:r w:rsidRPr="003C223A">
        <w:rPr>
          <w:rFonts w:ascii="Times New Roman" w:hAnsi="Times New Roman" w:cs="Times New Roman"/>
          <w:b/>
          <w:bCs/>
        </w:rPr>
        <w:t>Renal Outcomes</w:t>
      </w:r>
    </w:p>
    <w:p w14:paraId="3C914A85" w14:textId="77777777" w:rsidR="003C223A" w:rsidRPr="003C223A" w:rsidRDefault="003C223A" w:rsidP="003C223A">
      <w:pPr>
        <w:rPr>
          <w:rFonts w:ascii="Times New Roman" w:hAnsi="Times New Roman" w:cs="Times New Roman"/>
        </w:rPr>
      </w:pPr>
      <w:r w:rsidRPr="003C223A">
        <w:rPr>
          <w:rFonts w:ascii="Times New Roman" w:hAnsi="Times New Roman" w:cs="Times New Roman"/>
        </w:rPr>
        <w:t>Renal outcomes, including chronic kidney disease, have been less extensively studied but are increasingly recognized as relevant in agricultural settings. Drinking water contamination with nitrates and pesticide mixtures may contribute to cumulative nephrotoxic effects, particularly among populations with long-term exposure and limited access to preventive healthcare. Emerging evidence suggests that kidney function may be sensitive to sustained low-level exposure, warranting further investigation (42).</w:t>
      </w:r>
    </w:p>
    <w:p w14:paraId="5AD69869" w14:textId="77777777" w:rsidR="003C223A" w:rsidRPr="003C223A" w:rsidRDefault="003C223A" w:rsidP="003C223A">
      <w:pPr>
        <w:rPr>
          <w:rFonts w:ascii="Times New Roman" w:hAnsi="Times New Roman" w:cs="Times New Roman"/>
          <w:b/>
          <w:bCs/>
        </w:rPr>
      </w:pPr>
      <w:r w:rsidRPr="003C223A">
        <w:rPr>
          <w:rFonts w:ascii="Times New Roman" w:hAnsi="Times New Roman" w:cs="Times New Roman"/>
          <w:b/>
          <w:bCs/>
        </w:rPr>
        <w:t>5.3 Strength of Evidence and Exposure–Response Patterns</w:t>
      </w:r>
    </w:p>
    <w:p w14:paraId="75A1D386" w14:textId="77777777" w:rsidR="003C223A" w:rsidRPr="003C223A" w:rsidRDefault="003C223A" w:rsidP="003C223A">
      <w:pPr>
        <w:rPr>
          <w:rFonts w:ascii="Times New Roman" w:hAnsi="Times New Roman" w:cs="Times New Roman"/>
        </w:rPr>
      </w:pPr>
      <w:r w:rsidRPr="003C223A">
        <w:rPr>
          <w:rFonts w:ascii="Times New Roman" w:hAnsi="Times New Roman" w:cs="Times New Roman"/>
        </w:rPr>
        <w:t>Across disease categories, evidence linking modeled drinking water exposure to chronic disease shows both consistency and variability. Stronger associations tend to be observed in studies that incorporate long-term exposure reconstruction, account for latency, and focus on populations with sustained reliance on private wells. In contrast, studies using short exposure windows or coarse spatial resolution often report weaker or null associations, likely reflecting exposure misclassification.</w:t>
      </w:r>
    </w:p>
    <w:p w14:paraId="5C3CC4A6" w14:textId="77777777" w:rsidR="003C223A" w:rsidRPr="003C223A" w:rsidRDefault="003C223A" w:rsidP="003C223A">
      <w:pPr>
        <w:rPr>
          <w:rFonts w:ascii="Times New Roman" w:hAnsi="Times New Roman" w:cs="Times New Roman"/>
        </w:rPr>
      </w:pPr>
      <w:r w:rsidRPr="003C223A">
        <w:rPr>
          <w:rFonts w:ascii="Times New Roman" w:hAnsi="Times New Roman" w:cs="Times New Roman"/>
        </w:rPr>
        <w:t>Exposure–response relationships provide important support for potential causality. Several studies have reported monotonic increases in disease risk across categories of modeled exposure, particularly for nitrates and selected herbicides. These gradients are more apparent when cumulative exposure metrics are used, underscoring the importance of duration and intensity in shaping chronic disease risk (37).</w:t>
      </w:r>
    </w:p>
    <w:p w14:paraId="2250EFA5" w14:textId="77777777" w:rsidR="003C223A" w:rsidRPr="003C223A" w:rsidRDefault="003C223A" w:rsidP="003C223A">
      <w:pPr>
        <w:rPr>
          <w:rFonts w:ascii="Times New Roman" w:hAnsi="Times New Roman" w:cs="Times New Roman"/>
        </w:rPr>
      </w:pPr>
      <w:r w:rsidRPr="003C223A">
        <w:rPr>
          <w:rFonts w:ascii="Times New Roman" w:hAnsi="Times New Roman" w:cs="Times New Roman"/>
        </w:rPr>
        <w:lastRenderedPageBreak/>
        <w:t>Conflicting findings across studies often reflect methodological differences rather than absence of effect. Variation in modeling approaches, disease definitions, and confounder adjustment complicates direct comparison. Nevertheless, the overall pattern of evidence supports the conclusion that long-term ingestion of agrochemical-contaminated drinking water contributes meaningfully to chronic disease risk in farming populations, particularly when exposure is sustained over decades (38).</w:t>
      </w:r>
    </w:p>
    <w:p w14:paraId="5C716633" w14:textId="20AB0F85" w:rsidR="007629E1" w:rsidRPr="007629E1" w:rsidRDefault="003C223A" w:rsidP="007629E1">
      <w:pPr>
        <w:rPr>
          <w:rFonts w:ascii="Times New Roman" w:hAnsi="Times New Roman" w:cs="Times New Roman"/>
          <w:b/>
          <w:bCs/>
        </w:rPr>
      </w:pPr>
      <w:r w:rsidRPr="003C223A">
        <w:rPr>
          <w:rFonts w:ascii="Times New Roman" w:hAnsi="Times New Roman" w:cs="Times New Roman"/>
          <w:b/>
          <w:bCs/>
        </w:rPr>
        <w:t>Figure 2. Linking Modeled Drinking Water Agrochemical Exposure to Chronic Disease Risk</w:t>
      </w:r>
      <w:r w:rsidR="00C9223A">
        <w:rPr>
          <w:rFonts w:ascii="Times New Roman" w:hAnsi="Times New Roman" w:cs="Times New Roman"/>
          <w:b/>
          <w:bCs/>
          <w:noProof/>
        </w:rPr>
        <w:drawing>
          <wp:inline distT="0" distB="0" distL="0" distR="0" wp14:anchorId="7079446C" wp14:editId="4E0B40FB">
            <wp:extent cx="5943600" cy="3962400"/>
            <wp:effectExtent l="0" t="0" r="0" b="0"/>
            <wp:docPr id="10416470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647007" name="Picture 104164700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r w:rsidR="007629E1">
        <w:rPr>
          <w:b/>
          <w:bCs/>
        </w:rPr>
        <w:t xml:space="preserve">Fig 2: </w:t>
      </w:r>
      <w:r w:rsidR="007629E1" w:rsidRPr="007629E1">
        <w:rPr>
          <w:rFonts w:ascii="Times New Roman" w:hAnsi="Times New Roman" w:cs="Times New Roman"/>
          <w:b/>
          <w:bCs/>
        </w:rPr>
        <w:t>Linking Modeled Drinking Water Agrochemical Exposure to Chronic Disease Risk in Farming Populations</w:t>
      </w:r>
      <w:r w:rsidR="007629E1">
        <w:rPr>
          <w:rFonts w:ascii="Times New Roman" w:hAnsi="Times New Roman" w:cs="Times New Roman"/>
          <w:b/>
          <w:bCs/>
        </w:rPr>
        <w:t xml:space="preserve">.  </w:t>
      </w:r>
      <w:r w:rsidR="007629E1" w:rsidRPr="007629E1">
        <w:rPr>
          <w:rFonts w:ascii="Times New Roman" w:hAnsi="Times New Roman" w:cs="Times New Roman"/>
        </w:rPr>
        <w:t>This figure shows how modeled estimates of agrochemical contamination in drinking water are linked to chronic disease risk in farming populations. Long-term and cumulative exposure estimates are integrated into epidemiologic study designs to evaluate associations with cancer, neurologic, renal, and endocrine or metabolic outcomes, accounting for latency, exposure gradients, and biological plausibility.</w:t>
      </w:r>
    </w:p>
    <w:p w14:paraId="26BAF8F3" w14:textId="77777777" w:rsidR="007629E1" w:rsidRPr="007629E1" w:rsidRDefault="007629E1" w:rsidP="007629E1">
      <w:pPr>
        <w:rPr>
          <w:rFonts w:ascii="Times New Roman" w:hAnsi="Times New Roman" w:cs="Times New Roman"/>
          <w:b/>
          <w:bCs/>
        </w:rPr>
      </w:pPr>
      <w:r w:rsidRPr="007629E1">
        <w:rPr>
          <w:rFonts w:ascii="Times New Roman" w:hAnsi="Times New Roman" w:cs="Times New Roman"/>
          <w:b/>
          <w:bCs/>
        </w:rPr>
        <w:t xml:space="preserve">Source: </w:t>
      </w:r>
      <w:r w:rsidRPr="007629E1">
        <w:rPr>
          <w:rFonts w:ascii="Times New Roman" w:hAnsi="Times New Roman" w:cs="Times New Roman"/>
        </w:rPr>
        <w:t>Created by the authors.</w:t>
      </w:r>
    </w:p>
    <w:p w14:paraId="604A5F6E" w14:textId="77777777" w:rsidR="002132FD" w:rsidRPr="002132FD" w:rsidRDefault="002132FD" w:rsidP="002132FD">
      <w:pPr>
        <w:rPr>
          <w:rFonts w:ascii="Times New Roman" w:hAnsi="Times New Roman" w:cs="Times New Roman"/>
          <w:b/>
          <w:bCs/>
        </w:rPr>
      </w:pPr>
      <w:r w:rsidRPr="002132FD">
        <w:rPr>
          <w:rFonts w:ascii="Times New Roman" w:hAnsi="Times New Roman" w:cs="Times New Roman"/>
          <w:b/>
          <w:bCs/>
        </w:rPr>
        <w:t>6. Methodological Challenges and Uncertainty</w:t>
      </w:r>
    </w:p>
    <w:p w14:paraId="203BE0D2" w14:textId="77777777" w:rsidR="002132FD" w:rsidRPr="002132FD" w:rsidRDefault="002132FD" w:rsidP="002132FD">
      <w:pPr>
        <w:rPr>
          <w:rFonts w:ascii="Times New Roman" w:hAnsi="Times New Roman" w:cs="Times New Roman"/>
        </w:rPr>
      </w:pPr>
      <w:r w:rsidRPr="002132FD">
        <w:rPr>
          <w:rFonts w:ascii="Times New Roman" w:hAnsi="Times New Roman" w:cs="Times New Roman"/>
        </w:rPr>
        <w:t xml:space="preserve">Despite advances in modeling agrochemical contamination of drinking water, several methodological challenges and sources of uncertainty remain. These limitations affect the </w:t>
      </w:r>
      <w:r w:rsidRPr="002132FD">
        <w:rPr>
          <w:rFonts w:ascii="Times New Roman" w:hAnsi="Times New Roman" w:cs="Times New Roman"/>
        </w:rPr>
        <w:lastRenderedPageBreak/>
        <w:t>precision of exposure estimates, the interpretation of epidemiologic associations, and the translation of findings into policy and public health action.</w:t>
      </w:r>
    </w:p>
    <w:p w14:paraId="2D426122" w14:textId="77777777" w:rsidR="002132FD" w:rsidRPr="002132FD" w:rsidRDefault="002132FD" w:rsidP="002132FD">
      <w:pPr>
        <w:rPr>
          <w:rFonts w:ascii="Times New Roman" w:hAnsi="Times New Roman" w:cs="Times New Roman"/>
          <w:b/>
          <w:bCs/>
        </w:rPr>
      </w:pPr>
      <w:r w:rsidRPr="002132FD">
        <w:rPr>
          <w:rFonts w:ascii="Times New Roman" w:hAnsi="Times New Roman" w:cs="Times New Roman"/>
          <w:b/>
          <w:bCs/>
        </w:rPr>
        <w:t>6.1 Exposure Misclassification</w:t>
      </w:r>
    </w:p>
    <w:p w14:paraId="6695254C" w14:textId="77777777" w:rsidR="002132FD" w:rsidRPr="002132FD" w:rsidRDefault="002132FD" w:rsidP="002132FD">
      <w:pPr>
        <w:rPr>
          <w:rFonts w:ascii="Times New Roman" w:hAnsi="Times New Roman" w:cs="Times New Roman"/>
        </w:rPr>
      </w:pPr>
      <w:r w:rsidRPr="002132FD">
        <w:rPr>
          <w:rFonts w:ascii="Times New Roman" w:hAnsi="Times New Roman" w:cs="Times New Roman"/>
        </w:rPr>
        <w:t>Exposure misclassification is a central limitation in studies relying on modeled drinking water contamination. Considerable heterogeneity exists among private wells with respect to depth, construction, maintenance, and source aquifers. However, many models assign uniform exposure estimates within geographic units, potentially obscuring localized contamination patterns. This limitation is particularly relevant in rural settings where well characteristics vary substantially across households (39,40).</w:t>
      </w:r>
    </w:p>
    <w:p w14:paraId="02C4CD8C" w14:textId="77777777" w:rsidR="002132FD" w:rsidRPr="002132FD" w:rsidRDefault="002132FD" w:rsidP="002132FD">
      <w:pPr>
        <w:rPr>
          <w:rFonts w:ascii="Times New Roman" w:hAnsi="Times New Roman" w:cs="Times New Roman"/>
        </w:rPr>
      </w:pPr>
      <w:r w:rsidRPr="002132FD">
        <w:rPr>
          <w:rFonts w:ascii="Times New Roman" w:hAnsi="Times New Roman" w:cs="Times New Roman"/>
        </w:rPr>
        <w:t>Temporal misclassification also contributes to uncertainty. Modeled estimates often emphasize long-term averages and may not capture episodic contamination events, such as concentration spikes following heavy rainfall or seasonal application periods. In addition, monitoring data used for model calibration frequently exclude metabolites, formulation additives, and emerging compounds. As a result, modeled exposure may underestimate the true chemical burden in drinking water (41).</w:t>
      </w:r>
    </w:p>
    <w:p w14:paraId="61FF14CB" w14:textId="77777777" w:rsidR="002132FD" w:rsidRPr="002132FD" w:rsidRDefault="002132FD" w:rsidP="002132FD">
      <w:pPr>
        <w:rPr>
          <w:rFonts w:ascii="Times New Roman" w:hAnsi="Times New Roman" w:cs="Times New Roman"/>
          <w:b/>
          <w:bCs/>
        </w:rPr>
      </w:pPr>
      <w:r w:rsidRPr="002132FD">
        <w:rPr>
          <w:rFonts w:ascii="Times New Roman" w:hAnsi="Times New Roman" w:cs="Times New Roman"/>
          <w:b/>
          <w:bCs/>
        </w:rPr>
        <w:t>6.2 Confounding and Bias</w:t>
      </w:r>
    </w:p>
    <w:p w14:paraId="11CD9700" w14:textId="77777777" w:rsidR="002132FD" w:rsidRPr="002132FD" w:rsidRDefault="002132FD" w:rsidP="002132FD">
      <w:pPr>
        <w:rPr>
          <w:rFonts w:ascii="Times New Roman" w:hAnsi="Times New Roman" w:cs="Times New Roman"/>
        </w:rPr>
      </w:pPr>
      <w:r w:rsidRPr="002132FD">
        <w:rPr>
          <w:rFonts w:ascii="Times New Roman" w:hAnsi="Times New Roman" w:cs="Times New Roman"/>
        </w:rPr>
        <w:t>Confounding presents a major challenge in attributing chronic disease risk specifically to drinking water exposure. Farmers are often exposed to agrochemicals through multiple pathways, including direct occupational handling, inhalation, and dermal contact. These pathways may correlate with drinking water contamination, making it difficult to disentangle their independent effects when detailed occupational histories are unavailable (42).</w:t>
      </w:r>
    </w:p>
    <w:p w14:paraId="17269A04" w14:textId="77777777" w:rsidR="002132FD" w:rsidRPr="002132FD" w:rsidRDefault="002132FD" w:rsidP="002132FD">
      <w:pPr>
        <w:rPr>
          <w:rFonts w:ascii="Times New Roman" w:hAnsi="Times New Roman" w:cs="Times New Roman"/>
        </w:rPr>
      </w:pPr>
      <w:r w:rsidRPr="002132FD">
        <w:rPr>
          <w:rFonts w:ascii="Times New Roman" w:hAnsi="Times New Roman" w:cs="Times New Roman"/>
        </w:rPr>
        <w:t>Lifestyle and socioeconomic factors further complicate interpretation. Variables such as smoking, diet, physical activity, and healthcare access may differ systematically across farming populations and may be associated with both exposure and disease outcomes. Rural residence itself is linked to structural barriers in healthcare access and disease detection, which can introduce bias in outcome ascertainment. Residual confounding may therefore persist even in well-designed studies (43).</w:t>
      </w:r>
    </w:p>
    <w:p w14:paraId="7FAC2FD2" w14:textId="77777777" w:rsidR="002132FD" w:rsidRPr="002132FD" w:rsidRDefault="002132FD" w:rsidP="002132FD">
      <w:pPr>
        <w:rPr>
          <w:rFonts w:ascii="Times New Roman" w:hAnsi="Times New Roman" w:cs="Times New Roman"/>
          <w:b/>
          <w:bCs/>
        </w:rPr>
      </w:pPr>
      <w:r w:rsidRPr="002132FD">
        <w:rPr>
          <w:rFonts w:ascii="Times New Roman" w:hAnsi="Times New Roman" w:cs="Times New Roman"/>
          <w:b/>
          <w:bCs/>
        </w:rPr>
        <w:t>6.3 Generalizability and Equity Considerations</w:t>
      </w:r>
    </w:p>
    <w:p w14:paraId="0BB39336" w14:textId="77777777" w:rsidR="002132FD" w:rsidRPr="002132FD" w:rsidRDefault="002132FD" w:rsidP="002132FD">
      <w:pPr>
        <w:rPr>
          <w:rFonts w:ascii="Times New Roman" w:hAnsi="Times New Roman" w:cs="Times New Roman"/>
        </w:rPr>
      </w:pPr>
      <w:r w:rsidRPr="002132FD">
        <w:rPr>
          <w:rFonts w:ascii="Times New Roman" w:hAnsi="Times New Roman" w:cs="Times New Roman"/>
        </w:rPr>
        <w:t>The generalizability of findings from exposure modeling studies is shaped by regional variability in agricultural practices, climate, hydrology, and regulatory frameworks. Models developed for specific crops or regions may not perform equivalently elsewhere, limiting extrapolation across diverse agricultural contexts.</w:t>
      </w:r>
    </w:p>
    <w:p w14:paraId="03234547" w14:textId="77777777" w:rsidR="002132FD" w:rsidRPr="002132FD" w:rsidRDefault="002132FD" w:rsidP="002132FD">
      <w:pPr>
        <w:rPr>
          <w:rFonts w:ascii="Times New Roman" w:hAnsi="Times New Roman" w:cs="Times New Roman"/>
        </w:rPr>
      </w:pPr>
      <w:r w:rsidRPr="002132FD">
        <w:rPr>
          <w:rFonts w:ascii="Times New Roman" w:hAnsi="Times New Roman" w:cs="Times New Roman"/>
        </w:rPr>
        <w:t xml:space="preserve">Equity considerations are increasingly recognized but remain insufficiently addressed. Small-scale, minority, and migrant farming populations are often underrepresented in epidemiologic datasets due to mobility, limited documentation, and exclusion from formal surveillance systems. These groups may face heightened exposure due to reliance on older wells, limited testing, and </w:t>
      </w:r>
      <w:r w:rsidRPr="002132FD">
        <w:rPr>
          <w:rFonts w:ascii="Times New Roman" w:hAnsi="Times New Roman" w:cs="Times New Roman"/>
        </w:rPr>
        <w:lastRenderedPageBreak/>
        <w:t>financial barriers to remediation. Failure to address these disparities risks reinforcing existing inequities in environmental health research and policy (44).</w:t>
      </w:r>
    </w:p>
    <w:p w14:paraId="66C47DBA" w14:textId="77777777" w:rsidR="002132FD" w:rsidRPr="002132FD" w:rsidRDefault="002132FD" w:rsidP="002132FD">
      <w:pPr>
        <w:rPr>
          <w:rFonts w:ascii="Times New Roman" w:hAnsi="Times New Roman" w:cs="Times New Roman"/>
          <w:b/>
          <w:bCs/>
        </w:rPr>
      </w:pPr>
      <w:r w:rsidRPr="002132FD">
        <w:rPr>
          <w:rFonts w:ascii="Times New Roman" w:hAnsi="Times New Roman" w:cs="Times New Roman"/>
          <w:b/>
          <w:bCs/>
        </w:rPr>
        <w:t>7. Prevention and Mitigation Strategies</w:t>
      </w:r>
    </w:p>
    <w:p w14:paraId="1B1840FC" w14:textId="77777777" w:rsidR="002132FD" w:rsidRPr="002132FD" w:rsidRDefault="002132FD" w:rsidP="002132FD">
      <w:pPr>
        <w:rPr>
          <w:rFonts w:ascii="Times New Roman" w:hAnsi="Times New Roman" w:cs="Times New Roman"/>
        </w:rPr>
      </w:pPr>
      <w:r w:rsidRPr="002132FD">
        <w:rPr>
          <w:rFonts w:ascii="Times New Roman" w:hAnsi="Times New Roman" w:cs="Times New Roman"/>
        </w:rPr>
        <w:t>Given the evidence linking agrochemical-contaminated drinking water to chronic disease risk, prevention and mitigation strategies are essential. Effective intervention requires action across multiple stages of the exposure pathway, from chemical use to water treatment.</w:t>
      </w:r>
    </w:p>
    <w:p w14:paraId="66BED9B4" w14:textId="77777777" w:rsidR="002132FD" w:rsidRPr="002132FD" w:rsidRDefault="002132FD" w:rsidP="002132FD">
      <w:pPr>
        <w:rPr>
          <w:rFonts w:ascii="Times New Roman" w:hAnsi="Times New Roman" w:cs="Times New Roman"/>
          <w:b/>
          <w:bCs/>
        </w:rPr>
      </w:pPr>
      <w:r w:rsidRPr="002132FD">
        <w:rPr>
          <w:rFonts w:ascii="Times New Roman" w:hAnsi="Times New Roman" w:cs="Times New Roman"/>
          <w:b/>
          <w:bCs/>
        </w:rPr>
        <w:t>7.1 Strategies to Reduce Agrochemical Use and Release</w:t>
      </w:r>
    </w:p>
    <w:p w14:paraId="42B2C261" w14:textId="77777777" w:rsidR="002132FD" w:rsidRPr="002132FD" w:rsidRDefault="002132FD" w:rsidP="002132FD">
      <w:pPr>
        <w:rPr>
          <w:rFonts w:ascii="Times New Roman" w:hAnsi="Times New Roman" w:cs="Times New Roman"/>
        </w:rPr>
      </w:pPr>
      <w:r w:rsidRPr="002132FD">
        <w:rPr>
          <w:rFonts w:ascii="Times New Roman" w:hAnsi="Times New Roman" w:cs="Times New Roman"/>
        </w:rPr>
        <w:t>Reducing agrochemical use at the source represents a primary prevention strategy. Integrated pest management emphasizes non-chemical control methods and targeted application, reducing overall pesticide use without compromising crop productivity (1,4,6). Precision agriculture techniques improve application timing and spatial targeting, thereby minimizing runoff, leaching, and off-target contamination (1,11).</w:t>
      </w:r>
    </w:p>
    <w:p w14:paraId="5ED7E3F8" w14:textId="77777777" w:rsidR="002132FD" w:rsidRPr="002132FD" w:rsidRDefault="002132FD" w:rsidP="002132FD">
      <w:pPr>
        <w:rPr>
          <w:rFonts w:ascii="Times New Roman" w:hAnsi="Times New Roman" w:cs="Times New Roman"/>
        </w:rPr>
      </w:pPr>
      <w:r w:rsidRPr="002132FD">
        <w:rPr>
          <w:rFonts w:ascii="Times New Roman" w:hAnsi="Times New Roman" w:cs="Times New Roman"/>
        </w:rPr>
        <w:t>Regulatory controls also play a role. Restrictions on high-risk agrochemicals and revisions of approval processes can reduce long-term environmental persistence and exposure potential. However, regulatory implementation varies across regions and may lag behind emerging scientific evidence (18,45).</w:t>
      </w:r>
    </w:p>
    <w:p w14:paraId="22C2F385" w14:textId="77777777" w:rsidR="002132FD" w:rsidRPr="002132FD" w:rsidRDefault="002132FD" w:rsidP="002132FD">
      <w:pPr>
        <w:rPr>
          <w:rFonts w:ascii="Times New Roman" w:hAnsi="Times New Roman" w:cs="Times New Roman"/>
          <w:b/>
          <w:bCs/>
        </w:rPr>
      </w:pPr>
      <w:r w:rsidRPr="002132FD">
        <w:rPr>
          <w:rFonts w:ascii="Times New Roman" w:hAnsi="Times New Roman" w:cs="Times New Roman"/>
          <w:b/>
          <w:bCs/>
        </w:rPr>
        <w:t>7.2 Strategies to Prevent Drinking Water Contamination</w:t>
      </w:r>
    </w:p>
    <w:p w14:paraId="2C04FFA6" w14:textId="77777777" w:rsidR="002132FD" w:rsidRPr="002132FD" w:rsidRDefault="002132FD" w:rsidP="002132FD">
      <w:pPr>
        <w:rPr>
          <w:rFonts w:ascii="Times New Roman" w:hAnsi="Times New Roman" w:cs="Times New Roman"/>
        </w:rPr>
      </w:pPr>
      <w:r w:rsidRPr="002132FD">
        <w:rPr>
          <w:rFonts w:ascii="Times New Roman" w:hAnsi="Times New Roman" w:cs="Times New Roman"/>
        </w:rPr>
        <w:t>Land-based strategies aim to limit transport of agrochemicals into water sources. Vegetative buffer zones and improved land management practices reduce surface runoff and enhance natural filtration. These approaches are particularly effective near streams, rivers, and recharge zones (11–13).</w:t>
      </w:r>
    </w:p>
    <w:p w14:paraId="56D03DF9" w14:textId="77777777" w:rsidR="002132FD" w:rsidRPr="002132FD" w:rsidRDefault="002132FD" w:rsidP="002132FD">
      <w:pPr>
        <w:rPr>
          <w:rFonts w:ascii="Times New Roman" w:hAnsi="Times New Roman" w:cs="Times New Roman"/>
        </w:rPr>
      </w:pPr>
      <w:r w:rsidRPr="002132FD">
        <w:rPr>
          <w:rFonts w:ascii="Times New Roman" w:hAnsi="Times New Roman" w:cs="Times New Roman"/>
        </w:rPr>
        <w:t>Surveillance is equally important. Expanded monitoring programs can improve early detection of contamination and guide targeted interventions. Exposure modeling can be integrated into surveillance frameworks to identify high-risk areas and prioritize testing where direct measurements are limited (9,24,40).</w:t>
      </w:r>
    </w:p>
    <w:p w14:paraId="5960ED68" w14:textId="77777777" w:rsidR="002132FD" w:rsidRPr="002132FD" w:rsidRDefault="002132FD" w:rsidP="002132FD">
      <w:pPr>
        <w:rPr>
          <w:rFonts w:ascii="Times New Roman" w:hAnsi="Times New Roman" w:cs="Times New Roman"/>
          <w:b/>
          <w:bCs/>
        </w:rPr>
      </w:pPr>
      <w:r w:rsidRPr="002132FD">
        <w:rPr>
          <w:rFonts w:ascii="Times New Roman" w:hAnsi="Times New Roman" w:cs="Times New Roman"/>
          <w:b/>
          <w:bCs/>
        </w:rPr>
        <w:t>7.3 Drinking Water Treatment and Purification</w:t>
      </w:r>
    </w:p>
    <w:p w14:paraId="7680A0F8" w14:textId="77777777" w:rsidR="002132FD" w:rsidRPr="002132FD" w:rsidRDefault="002132FD" w:rsidP="002132FD">
      <w:pPr>
        <w:rPr>
          <w:rFonts w:ascii="Times New Roman" w:hAnsi="Times New Roman" w:cs="Times New Roman"/>
        </w:rPr>
      </w:pPr>
      <w:r w:rsidRPr="002132FD">
        <w:rPr>
          <w:rFonts w:ascii="Times New Roman" w:hAnsi="Times New Roman" w:cs="Times New Roman"/>
        </w:rPr>
        <w:t>When contamination occurs, drinking water treatment provides a critical secondary line of defense. Regular testing of private wells is recommended in agricultural regions, although participation remains voluntary and uneven (14,17). Point-of-use treatment systems, such as activated carbon filtration, can effectively reduce concentrations of many pesticides and organic contaminants (14,39).</w:t>
      </w:r>
    </w:p>
    <w:p w14:paraId="3FAC4367" w14:textId="77777777" w:rsidR="002132FD" w:rsidRPr="002132FD" w:rsidRDefault="002132FD" w:rsidP="002132FD">
      <w:pPr>
        <w:rPr>
          <w:rFonts w:ascii="Times New Roman" w:hAnsi="Times New Roman" w:cs="Times New Roman"/>
        </w:rPr>
      </w:pPr>
      <w:r w:rsidRPr="002132FD">
        <w:rPr>
          <w:rFonts w:ascii="Times New Roman" w:hAnsi="Times New Roman" w:cs="Times New Roman"/>
        </w:rPr>
        <w:t>Nitrate removal systems, including ion exchange and reverse osmosis, are effective for reducing nitrate levels in drinking water. However, financial and technical barriers limit adoption in some farming communities. Improved access to testing, treatment technologies, and public health support is necessary to reduce exposure and protect long-term health.</w:t>
      </w:r>
    </w:p>
    <w:p w14:paraId="174F0ECE" w14:textId="77777777" w:rsidR="00D40706" w:rsidRPr="00D40706" w:rsidRDefault="00D40706" w:rsidP="00D40706">
      <w:pPr>
        <w:rPr>
          <w:rFonts w:ascii="Times New Roman" w:hAnsi="Times New Roman" w:cs="Times New Roman"/>
          <w:b/>
          <w:bCs/>
        </w:rPr>
      </w:pPr>
      <w:r w:rsidRPr="00D40706">
        <w:rPr>
          <w:rFonts w:ascii="Times New Roman" w:hAnsi="Times New Roman" w:cs="Times New Roman"/>
          <w:b/>
          <w:bCs/>
        </w:rPr>
        <w:lastRenderedPageBreak/>
        <w:t>8. Policy, Surveillance, and Risk Assessment Implications</w:t>
      </w:r>
    </w:p>
    <w:p w14:paraId="4EF7BCC4" w14:textId="3135FEEC" w:rsidR="00D40706" w:rsidRPr="00D40706" w:rsidRDefault="00D40706" w:rsidP="00D40706">
      <w:pPr>
        <w:rPr>
          <w:rFonts w:ascii="Times New Roman" w:hAnsi="Times New Roman" w:cs="Times New Roman"/>
        </w:rPr>
      </w:pPr>
      <w:r w:rsidRPr="00D40706">
        <w:rPr>
          <w:rFonts w:ascii="Times New Roman" w:hAnsi="Times New Roman" w:cs="Times New Roman"/>
        </w:rPr>
        <w:t>The evidence linking agrochemical contamination of drinking water to chronic disease risk among U.S. farmers has important implications for environmental regulation, public health surveillance, and risk assessment frameworks. Current drinking water policies are primarily designed around public water systems, leaving private wells which serve a substantial proportion of agricultural households largely outside regulatory oversight. This regulatory gap limits early detection of contamination, delays intervention, and places responsibility for testing and remediation on individual households, many of which lack the resources to respond effectively (45).</w:t>
      </w:r>
    </w:p>
    <w:p w14:paraId="1111936E" w14:textId="77777777" w:rsidR="00D40706" w:rsidRPr="00D40706" w:rsidRDefault="00D40706" w:rsidP="00D40706">
      <w:pPr>
        <w:rPr>
          <w:rFonts w:ascii="Times New Roman" w:hAnsi="Times New Roman" w:cs="Times New Roman"/>
        </w:rPr>
      </w:pPr>
      <w:r w:rsidRPr="00D40706">
        <w:rPr>
          <w:rFonts w:ascii="Times New Roman" w:hAnsi="Times New Roman" w:cs="Times New Roman"/>
        </w:rPr>
        <w:t>Exposure modeling plays a critical role in addressing these gaps. By integrating data on agrochemical use, environmental transport, and hydrology, models can identify high-risk regions and populations before clinical disease manifests. Modeled exposure estimates can support risk-based prioritization of monitoring resources, guide targeted well-testing initiatives, and inform early-warning systems linked to agricultural practices or climatic extremes (46,47).</w:t>
      </w:r>
    </w:p>
    <w:p w14:paraId="6A51AFD6" w14:textId="77777777" w:rsidR="00D40706" w:rsidRPr="00D40706" w:rsidRDefault="00D40706" w:rsidP="00D40706">
      <w:pPr>
        <w:rPr>
          <w:rFonts w:ascii="Times New Roman" w:hAnsi="Times New Roman" w:cs="Times New Roman"/>
        </w:rPr>
      </w:pPr>
      <w:r w:rsidRPr="00D40706">
        <w:rPr>
          <w:rFonts w:ascii="Times New Roman" w:hAnsi="Times New Roman" w:cs="Times New Roman"/>
        </w:rPr>
        <w:t>From a risk assessment perspective, incorporating modeled cumulative and mixture exposures would improve the relevance of regulatory standards for agricultural communities. Traditional assessments often rely on limited monitoring data and assume uniform exposure, potentially underestimating chronic low-level risks in private well–dependent populations. Integrating exposure modeling into public health surveillance and regulatory decision-making can help align protection standards with real-world exposure conditions and reduce preventable disease burden (48,49).</w:t>
      </w:r>
    </w:p>
    <w:p w14:paraId="00C293C0" w14:textId="77777777" w:rsidR="00D40706" w:rsidRPr="00D40706" w:rsidRDefault="00D40706" w:rsidP="00D40706">
      <w:pPr>
        <w:rPr>
          <w:rFonts w:ascii="Times New Roman" w:hAnsi="Times New Roman" w:cs="Times New Roman"/>
          <w:b/>
          <w:bCs/>
        </w:rPr>
      </w:pPr>
      <w:r w:rsidRPr="00D40706">
        <w:rPr>
          <w:rFonts w:ascii="Times New Roman" w:hAnsi="Times New Roman" w:cs="Times New Roman"/>
          <w:b/>
          <w:bCs/>
        </w:rPr>
        <w:t>9. Future Directions and Research Priorities</w:t>
      </w:r>
    </w:p>
    <w:p w14:paraId="43AAE087" w14:textId="77777777" w:rsidR="00D40706" w:rsidRPr="00D40706" w:rsidRDefault="00D40706" w:rsidP="00D40706">
      <w:pPr>
        <w:rPr>
          <w:rFonts w:ascii="Times New Roman" w:hAnsi="Times New Roman" w:cs="Times New Roman"/>
        </w:rPr>
      </w:pPr>
      <w:r w:rsidRPr="00D40706">
        <w:rPr>
          <w:rFonts w:ascii="Times New Roman" w:hAnsi="Times New Roman" w:cs="Times New Roman"/>
        </w:rPr>
        <w:t>Advancing understanding of agrochemical contamination in drinking water and its health impacts will require methodological innovation and improved data integration. Hybrid frameworks that combine exposure modeling with biomonitoring represent a critical next step. While modeling enables reconstruction of long-term and spatially heterogeneous exposure, biomonitoring provides direct evidence of internal dose and biological relevance. Integrating these approaches can improve validation of modeled estimates and reduce exposure misclassification, particularly for chemical mixtures (27).</w:t>
      </w:r>
    </w:p>
    <w:p w14:paraId="0D74623B" w14:textId="77777777" w:rsidR="00D40706" w:rsidRPr="00D40706" w:rsidRDefault="00D40706" w:rsidP="00D40706">
      <w:pPr>
        <w:rPr>
          <w:rFonts w:ascii="Times New Roman" w:hAnsi="Times New Roman" w:cs="Times New Roman"/>
        </w:rPr>
      </w:pPr>
      <w:r w:rsidRPr="00D40706">
        <w:rPr>
          <w:rFonts w:ascii="Times New Roman" w:hAnsi="Times New Roman" w:cs="Times New Roman"/>
        </w:rPr>
        <w:t>Machine learning and high-resolution exposure modeling offer additional opportunities. Advances in computational methods allow integration of large datasets, including remote sensing, climate records, and agricultural management data, to generate fine-scale exposure estimates. These approaches may improve predictive performance and identify non-linear exposure–response relationships, although careful attention to interpretability and uncertainty remains essential (51).</w:t>
      </w:r>
    </w:p>
    <w:p w14:paraId="44E91F71" w14:textId="77777777" w:rsidR="00D40706" w:rsidRPr="00D40706" w:rsidRDefault="00D40706" w:rsidP="00D40706">
      <w:pPr>
        <w:rPr>
          <w:rFonts w:ascii="Times New Roman" w:hAnsi="Times New Roman" w:cs="Times New Roman"/>
        </w:rPr>
      </w:pPr>
      <w:r w:rsidRPr="00D40706">
        <w:rPr>
          <w:rFonts w:ascii="Times New Roman" w:hAnsi="Times New Roman" w:cs="Times New Roman"/>
        </w:rPr>
        <w:t xml:space="preserve">Longitudinal farmer cohorts are also needed to address latency, cumulative exposure, and life-course vulnerability. Expanding existing cohorts to include detailed residential histories, water </w:t>
      </w:r>
      <w:r w:rsidRPr="00D40706">
        <w:rPr>
          <w:rFonts w:ascii="Times New Roman" w:hAnsi="Times New Roman" w:cs="Times New Roman"/>
        </w:rPr>
        <w:lastRenderedPageBreak/>
        <w:t>source information, and modeled exposure metrics would strengthen causal inference. New cohorts designed explicitly around environmental exposure assessment could improve representation of aging farmers and underserved populations (52).</w:t>
      </w:r>
    </w:p>
    <w:p w14:paraId="35E55ACC" w14:textId="77777777" w:rsidR="00D40706" w:rsidRPr="00D40706" w:rsidRDefault="00D40706" w:rsidP="00D40706">
      <w:pPr>
        <w:rPr>
          <w:rFonts w:ascii="Times New Roman" w:hAnsi="Times New Roman" w:cs="Times New Roman"/>
          <w:b/>
          <w:bCs/>
        </w:rPr>
      </w:pPr>
      <w:r w:rsidRPr="00D40706">
        <w:rPr>
          <w:rFonts w:ascii="Times New Roman" w:hAnsi="Times New Roman" w:cs="Times New Roman"/>
          <w:b/>
          <w:bCs/>
        </w:rPr>
        <w:t>10. Conclusion</w:t>
      </w:r>
    </w:p>
    <w:p w14:paraId="3AD91D5A" w14:textId="77777777" w:rsidR="00D40706" w:rsidRPr="00D40706" w:rsidRDefault="00D40706" w:rsidP="00D40706">
      <w:pPr>
        <w:rPr>
          <w:rFonts w:ascii="Times New Roman" w:hAnsi="Times New Roman" w:cs="Times New Roman"/>
        </w:rPr>
      </w:pPr>
      <w:r w:rsidRPr="00D40706">
        <w:rPr>
          <w:rFonts w:ascii="Times New Roman" w:hAnsi="Times New Roman" w:cs="Times New Roman"/>
        </w:rPr>
        <w:t>Agrochemical contamination of drinking water represents a persistent and underrecognized pathway linking agricultural practices to chronic disease risk among U.S. farmers. Because direct monitoring and biomonitoring alone are insufficient to capture long-term, low-dose exposure—particularly in private well–dependent communities—exposure modeling provides a critical bridge between environmental contamination and human health outcomes.</w:t>
      </w:r>
    </w:p>
    <w:p w14:paraId="3647C5FC" w14:textId="77777777" w:rsidR="00D40706" w:rsidRPr="00D40706" w:rsidRDefault="00D40706" w:rsidP="00D40706">
      <w:pPr>
        <w:rPr>
          <w:rFonts w:ascii="Times New Roman" w:hAnsi="Times New Roman" w:cs="Times New Roman"/>
        </w:rPr>
      </w:pPr>
      <w:r w:rsidRPr="00D40706">
        <w:rPr>
          <w:rFonts w:ascii="Times New Roman" w:hAnsi="Times New Roman" w:cs="Times New Roman"/>
        </w:rPr>
        <w:t>The evidence synthesized in this review demonstrates that drinking water contamination contributes meaningfully to chronic diseases, including cancer, neurologic, endocrine, metabolic, and renal conditions. Long-term residence in agricultural environments, reliance on private wells, and regulatory gaps amplify vulnerability and raise important health equity concerns. Addressing these risks requires moving beyond occupational exposure paradigms to fully account for environmental and residential pathways.</w:t>
      </w:r>
    </w:p>
    <w:p w14:paraId="7A83288A" w14:textId="77777777" w:rsidR="00D40706" w:rsidRPr="00D40706" w:rsidRDefault="00D40706" w:rsidP="00D40706">
      <w:pPr>
        <w:rPr>
          <w:rFonts w:ascii="Times New Roman" w:hAnsi="Times New Roman" w:cs="Times New Roman"/>
        </w:rPr>
      </w:pPr>
      <w:r w:rsidRPr="00D40706">
        <w:rPr>
          <w:rFonts w:ascii="Times New Roman" w:hAnsi="Times New Roman" w:cs="Times New Roman"/>
        </w:rPr>
        <w:t>The conceptual framework presented in this review integrates agrochemical use, environmental transport, drinking water contamination, and biological mechanisms into a coherent exposure–disease pathway. Applying this framework through advanced modeling, improved surveillance, and targeted prevention strategies can support more effective risk assessment and policy action. Ultimately, protecting farmer health will require coordinated efforts across agriculture, environmental regulation, and public health to ensure that drinking water safety reflects real-world exposure conditions and long-term disease risk.</w:t>
      </w:r>
    </w:p>
    <w:p w14:paraId="0C563CF6" w14:textId="77777777" w:rsidR="00697E32" w:rsidRPr="00D40706" w:rsidRDefault="00697E32" w:rsidP="00697E32">
      <w:pPr>
        <w:rPr>
          <w:rFonts w:ascii="Times New Roman" w:hAnsi="Times New Roman" w:cs="Times New Roman"/>
          <w:b/>
          <w:bCs/>
        </w:rPr>
      </w:pPr>
      <w:r w:rsidRPr="00D40706">
        <w:rPr>
          <w:rFonts w:ascii="Times New Roman" w:hAnsi="Times New Roman" w:cs="Times New Roman"/>
          <w:b/>
          <w:bCs/>
        </w:rPr>
        <w:t>COMPETING INTERESTS DISCLAIMER:</w:t>
      </w:r>
    </w:p>
    <w:p w14:paraId="4595F844" w14:textId="45006916" w:rsidR="00697E32" w:rsidRDefault="00697E32" w:rsidP="00697E32">
      <w:pPr>
        <w:rPr>
          <w:rFonts w:ascii="Times New Roman" w:hAnsi="Times New Roman" w:cs="Times New Roman"/>
        </w:rPr>
      </w:pPr>
      <w:r w:rsidRPr="00697E32">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3BCC4DC1" w14:textId="27CFBA02" w:rsidR="00914880" w:rsidRDefault="00914880" w:rsidP="00697E32">
      <w:pPr>
        <w:rPr>
          <w:rFonts w:ascii="Times New Roman" w:hAnsi="Times New Roman" w:cs="Times New Roman"/>
        </w:rPr>
      </w:pPr>
    </w:p>
    <w:p w14:paraId="1D82C424" w14:textId="77777777" w:rsidR="00914880" w:rsidRPr="00914880" w:rsidRDefault="00914880" w:rsidP="00914880">
      <w:pPr>
        <w:spacing w:after="0" w:line="240" w:lineRule="auto"/>
        <w:rPr>
          <w:rFonts w:ascii="Times New Roman" w:eastAsia="Calibri" w:hAnsi="Times New Roman" w:cs="Times New Roman"/>
          <w:sz w:val="22"/>
          <w:szCs w:val="22"/>
          <w:highlight w:val="yellow"/>
          <w14:ligatures w14:val="none"/>
        </w:rPr>
      </w:pPr>
      <w:bookmarkStart w:id="0" w:name="_Hlk198031404"/>
      <w:bookmarkStart w:id="1" w:name="_Hlk219125673"/>
      <w:r w:rsidRPr="00914880">
        <w:rPr>
          <w:rFonts w:ascii="Times New Roman" w:eastAsia="Calibri" w:hAnsi="Times New Roman" w:cs="Times New Roman"/>
          <w:sz w:val="22"/>
          <w:szCs w:val="22"/>
          <w:highlight w:val="yellow"/>
          <w14:ligatures w14:val="none"/>
        </w:rPr>
        <w:t>Disclaimer (Artificial intelligence)</w:t>
      </w:r>
    </w:p>
    <w:p w14:paraId="3CAB631C" w14:textId="77777777" w:rsidR="00914880" w:rsidRPr="00914880" w:rsidRDefault="00914880" w:rsidP="00914880">
      <w:pPr>
        <w:spacing w:after="0" w:line="240" w:lineRule="auto"/>
        <w:rPr>
          <w:rFonts w:ascii="Times New Roman" w:eastAsia="Calibri" w:hAnsi="Times New Roman" w:cs="Times New Roman"/>
          <w:sz w:val="22"/>
          <w:szCs w:val="22"/>
          <w:highlight w:val="yellow"/>
          <w14:ligatures w14:val="none"/>
        </w:rPr>
      </w:pPr>
    </w:p>
    <w:p w14:paraId="1605EE55" w14:textId="77777777" w:rsidR="00914880" w:rsidRPr="00914880" w:rsidRDefault="00914880" w:rsidP="00914880">
      <w:pPr>
        <w:spacing w:after="0" w:line="240" w:lineRule="auto"/>
        <w:rPr>
          <w:rFonts w:ascii="Times New Roman" w:eastAsia="Calibri" w:hAnsi="Times New Roman" w:cs="Times New Roman"/>
          <w:sz w:val="22"/>
          <w:szCs w:val="22"/>
          <w:highlight w:val="yellow"/>
          <w14:ligatures w14:val="none"/>
        </w:rPr>
      </w:pPr>
      <w:r w:rsidRPr="00914880">
        <w:rPr>
          <w:rFonts w:ascii="Times New Roman" w:eastAsia="Calibri" w:hAnsi="Times New Roman" w:cs="Times New Roman"/>
          <w:sz w:val="22"/>
          <w:szCs w:val="22"/>
          <w:highlight w:val="yellow"/>
          <w14:ligatures w14:val="none"/>
        </w:rPr>
        <w:t xml:space="preserve">Author(s) hereby declare that NO generative AI technologies such as Large Language Models (ChatGPT, COPILOT, etc.) and text-to-image generators have been used during the writing or editing of this manuscript. </w:t>
      </w:r>
    </w:p>
    <w:bookmarkEnd w:id="0"/>
    <w:p w14:paraId="7C94FF74" w14:textId="77777777" w:rsidR="00914880" w:rsidRPr="00914880" w:rsidRDefault="00914880" w:rsidP="00914880">
      <w:pPr>
        <w:spacing w:after="200" w:line="276" w:lineRule="auto"/>
        <w:rPr>
          <w:rFonts w:ascii="Calibri" w:eastAsia="Calibri" w:hAnsi="Calibri" w:cs="Times New Roman"/>
          <w:kern w:val="0"/>
          <w:sz w:val="28"/>
          <w:szCs w:val="22"/>
          <w14:ligatures w14:val="none"/>
        </w:rPr>
      </w:pPr>
    </w:p>
    <w:bookmarkEnd w:id="1"/>
    <w:p w14:paraId="671FB0D9" w14:textId="77777777" w:rsidR="00914880" w:rsidRPr="00335136" w:rsidRDefault="00914880" w:rsidP="00697E32">
      <w:pPr>
        <w:rPr>
          <w:rFonts w:ascii="Times New Roman" w:hAnsi="Times New Roman" w:cs="Times New Roman"/>
        </w:rPr>
      </w:pPr>
    </w:p>
    <w:p w14:paraId="48B8F6AB" w14:textId="77777777" w:rsidR="00736DB6" w:rsidRDefault="00736DB6" w:rsidP="0060268C">
      <w:pPr>
        <w:rPr>
          <w:rFonts w:ascii="Times New Roman" w:hAnsi="Times New Roman" w:cs="Times New Roman"/>
        </w:rPr>
      </w:pPr>
    </w:p>
    <w:p w14:paraId="7ADBEC56" w14:textId="77777777" w:rsidR="00402998" w:rsidRPr="0060268C" w:rsidRDefault="00402998" w:rsidP="0060268C">
      <w:pPr>
        <w:rPr>
          <w:rFonts w:ascii="Times New Roman" w:hAnsi="Times New Roman" w:cs="Times New Roman"/>
          <w:b/>
          <w:bCs/>
        </w:rPr>
      </w:pPr>
      <w:r w:rsidRPr="00402998">
        <w:rPr>
          <w:rFonts w:ascii="Times New Roman" w:hAnsi="Times New Roman" w:cs="Times New Roman"/>
          <w:b/>
          <w:bCs/>
        </w:rPr>
        <w:lastRenderedPageBreak/>
        <w:t>REFERENCES</w:t>
      </w:r>
    </w:p>
    <w:p w14:paraId="6206A6DC" w14:textId="77777777" w:rsidR="001046AA" w:rsidRDefault="00402998" w:rsidP="001046AA">
      <w:pPr>
        <w:pStyle w:val="Bibliography"/>
      </w:pPr>
      <w:r>
        <w:fldChar w:fldCharType="begin"/>
      </w:r>
      <w:r>
        <w:instrText xml:space="preserve"> ADDIN ZOTERO_BIBL {"uncited":[],"omitted":[],"custom":[]} CSL_BIBLIOGRAPHY </w:instrText>
      </w:r>
      <w:r>
        <w:fldChar w:fldCharType="separate"/>
      </w:r>
      <w:r w:rsidR="001046AA">
        <w:t>1.</w:t>
      </w:r>
      <w:r w:rsidR="001046AA">
        <w:tab/>
        <w:t>Devi PI, Manjula M, Bhavani RV. Agrochemicals, Environment, and Human Health. Annu Rev Environ Resour. 2022 Oct 17;47(1):399–421. doi:10.1146/annurev-environ-120920-111015</w:t>
      </w:r>
    </w:p>
    <w:p w14:paraId="343C3D6F" w14:textId="77777777" w:rsidR="001046AA" w:rsidRDefault="001046AA" w:rsidP="001046AA">
      <w:pPr>
        <w:pStyle w:val="Bibliography"/>
      </w:pPr>
      <w:r>
        <w:t>2.</w:t>
      </w:r>
      <w:r>
        <w:tab/>
        <w:t>Zhou W, Li M, Achal V. A comprehensive review on environmental and human health impacts of chemical pesticide usage. Emerging Contaminants. 2025 Mar 1;11(1):100410. doi:10.1016/j.emcon.2024.100410</w:t>
      </w:r>
    </w:p>
    <w:p w14:paraId="060D9A4D" w14:textId="77777777" w:rsidR="001046AA" w:rsidRDefault="001046AA" w:rsidP="001046AA">
      <w:pPr>
        <w:pStyle w:val="Bibliography"/>
      </w:pPr>
      <w:r>
        <w:t>3.</w:t>
      </w:r>
      <w:r>
        <w:tab/>
        <w:t>Rajan S, Parween M, Raju NJ. Pesticides in the hydrogeo-environment: a review of contaminant prevalence, source and mobilisation in India. Environ Geochem Health. 2023 May 15;1–33. doi:10.1007/s10653-023-01608-6 PubMed PMID: 37183216; PubMed Central PMCID: PMC10183316.</w:t>
      </w:r>
    </w:p>
    <w:p w14:paraId="52E540AE" w14:textId="77777777" w:rsidR="001046AA" w:rsidRDefault="001046AA" w:rsidP="001046AA">
      <w:pPr>
        <w:pStyle w:val="Bibliography"/>
      </w:pPr>
      <w:r w:rsidRPr="00914880">
        <w:rPr>
          <w:lang w:val="fr-FR"/>
        </w:rPr>
        <w:t>4.</w:t>
      </w:r>
      <w:r w:rsidRPr="00914880">
        <w:rPr>
          <w:lang w:val="fr-FR"/>
        </w:rPr>
        <w:tab/>
        <w:t xml:space="preserve">Tudi M, Li H, Li H, Wang L, Lyu J, Yang L, et al. </w:t>
      </w:r>
      <w:r>
        <w:t>Exposure Routes and Health Risks Associated with Pesticide Application. Toxics. 2022 Jun 19;10(6):335. doi:10.3390/toxics10060335 PubMed PMID: 35736943; PubMed Central PMCID: PMC9231402.</w:t>
      </w:r>
    </w:p>
    <w:p w14:paraId="3FEF42B4" w14:textId="77777777" w:rsidR="001046AA" w:rsidRDefault="001046AA" w:rsidP="001046AA">
      <w:pPr>
        <w:pStyle w:val="Bibliography"/>
      </w:pPr>
      <w:r w:rsidRPr="00914880">
        <w:rPr>
          <w:lang w:val="fr-FR"/>
        </w:rPr>
        <w:t>5.</w:t>
      </w:r>
      <w:r w:rsidRPr="00914880">
        <w:rPr>
          <w:lang w:val="fr-FR"/>
        </w:rPr>
        <w:tab/>
        <w:t xml:space="preserve">Baissa OT, Abdela F, Tadesse F, Damie A, Sori M, Hailu W, et al. </w:t>
      </w:r>
      <w:r>
        <w:t>Occupational, Lifestyle, and Medical Risk Factors for Non-Hodgkin Lymphoma: A Case–Control Study in Ethiopia. Cancers. 2025 Nov 23;17(23). doi:10.3390/cancers17233745</w:t>
      </w:r>
    </w:p>
    <w:p w14:paraId="58DED805" w14:textId="77777777" w:rsidR="001046AA" w:rsidRDefault="001046AA" w:rsidP="001046AA">
      <w:pPr>
        <w:pStyle w:val="Bibliography"/>
      </w:pPr>
      <w:r>
        <w:t>6.</w:t>
      </w:r>
      <w:r>
        <w:tab/>
        <w:t>Moreira A, Silva MV da. Pesticide Application as a Risk Factor/Behaviour for Workers’ Health: A Systematic Review. Environments. 2023 Sep 13;10(9). doi:10.3390/environments10090160</w:t>
      </w:r>
    </w:p>
    <w:p w14:paraId="78120F7B" w14:textId="77777777" w:rsidR="001046AA" w:rsidRDefault="001046AA" w:rsidP="001046AA">
      <w:pPr>
        <w:pStyle w:val="Bibliography"/>
      </w:pPr>
      <w:r>
        <w:t>7.</w:t>
      </w:r>
      <w:r>
        <w:tab/>
        <w:t>Folorunsho S, Ajayi V, Sanmori M. Household income and obesity among older adults: the moderating role of race in a longitudinal analysis. BMC Public Health. 2025 Oct 2;25:3306. doi:10.1186/s12889-025-22910-1 PubMed PMID: 41039415; PubMed Central PMCID: PMC12492692.</w:t>
      </w:r>
    </w:p>
    <w:p w14:paraId="67E8CF74" w14:textId="77777777" w:rsidR="001046AA" w:rsidRPr="00914880" w:rsidRDefault="001046AA" w:rsidP="001046AA">
      <w:pPr>
        <w:pStyle w:val="Bibliography"/>
        <w:rPr>
          <w:lang w:val="fr-FR"/>
        </w:rPr>
      </w:pPr>
      <w:r>
        <w:t>8.</w:t>
      </w:r>
      <w:r>
        <w:tab/>
        <w:t xml:space="preserve">Aviña-Hermosillo AL, Morán-Salazar RG, Peregrina-Lucano AA, Reynaga-Delgado E, Badillo-Camacho J, Ramos-Rivera CA, et al. Pesticide contamination and human exposure risk in municipal and commercially purified water from an urban zone in Mexico. </w:t>
      </w:r>
      <w:r w:rsidRPr="00914880">
        <w:rPr>
          <w:lang w:val="fr-FR"/>
        </w:rPr>
        <w:t>Environ Sci Pollut Res Int. 2025 Sep;32(45):25689–705. doi:10.1007/s11356-025-37140-6 PubMed PMID: 41203892.</w:t>
      </w:r>
    </w:p>
    <w:p w14:paraId="696B7306" w14:textId="77777777" w:rsidR="001046AA" w:rsidRDefault="001046AA" w:rsidP="001046AA">
      <w:pPr>
        <w:pStyle w:val="Bibliography"/>
      </w:pPr>
      <w:r w:rsidRPr="00914880">
        <w:rPr>
          <w:lang w:val="fr-FR"/>
        </w:rPr>
        <w:t>9.</w:t>
      </w:r>
      <w:r w:rsidRPr="00914880">
        <w:rPr>
          <w:lang w:val="fr-FR"/>
        </w:rPr>
        <w:tab/>
        <w:t xml:space="preserve">Terán-Gómez VF, Buitrago-Ramírez AM, Echeverri-Sánchez AF, Figueroa-Casas A, Benavides-Bolaños JA. </w:t>
      </w:r>
      <w:r>
        <w:t>Integrating AHP and GIS for Sustainable Surface Water Planning: Identifying Vulnerability to Agricultural Diffuse Pollution in the Guachal River Watershed. Sustainability. 2025 May 1;17(9). doi:10.3390/su17094130</w:t>
      </w:r>
    </w:p>
    <w:p w14:paraId="5A289DDF" w14:textId="77777777" w:rsidR="001046AA" w:rsidRDefault="001046AA" w:rsidP="001046AA">
      <w:pPr>
        <w:pStyle w:val="Bibliography"/>
      </w:pPr>
      <w:r>
        <w:t>10.</w:t>
      </w:r>
      <w:r>
        <w:tab/>
        <w:t>NnanyelugoEgbuchiem A, Egbubine L, Ugorji HO, Njemanze EC. Agrochemical Exposure and Chronic Disease Risk among U.S. Farmers Using Spatial Modeling: A Review of GIS-Based Epidemiological Approaches. Journal of Disease and Global Health. 2026 Jan 27;19(1):79–93. doi:10.56557/jodagh/2026/v19i110200</w:t>
      </w:r>
    </w:p>
    <w:p w14:paraId="633D550B" w14:textId="77777777" w:rsidR="001046AA" w:rsidRDefault="001046AA" w:rsidP="001046AA">
      <w:pPr>
        <w:pStyle w:val="Bibliography"/>
      </w:pPr>
      <w:r>
        <w:lastRenderedPageBreak/>
        <w:t>11.</w:t>
      </w:r>
      <w:r>
        <w:tab/>
        <w:t>Wendell AK, Guse B, Bieger K, Wagner PD, Kiesel J, Ulrich U, et al. A spatio-temporal analysis of environmental fate and transport processes of pesticides and their transformation products in agricultural landscapes dominated by subsurface drainage with SWAT+. Science of The Total Environment. 2024 Oct 1;945:173629. doi:10.1016/j.scitotenv.2024.173629</w:t>
      </w:r>
    </w:p>
    <w:p w14:paraId="42F46974" w14:textId="77777777" w:rsidR="001046AA" w:rsidRPr="00914880" w:rsidRDefault="001046AA" w:rsidP="001046AA">
      <w:pPr>
        <w:pStyle w:val="Bibliography"/>
        <w:rPr>
          <w:lang w:val="fr-FR"/>
        </w:rPr>
      </w:pPr>
      <w:r>
        <w:t>12.</w:t>
      </w:r>
      <w:r>
        <w:tab/>
        <w:t xml:space="preserve">Yasir M, Hossain A, Pratap-Singh A, Yasir M, Hossain A, Pratap-Singh A. Pesticide Degradation: Impacts on Soil Fertility and Nutrient Cycling. </w:t>
      </w:r>
      <w:r w:rsidRPr="00914880">
        <w:rPr>
          <w:lang w:val="fr-FR"/>
        </w:rPr>
        <w:t>Environments. 2025 Aug 6;12(8). doi:10.3390/environments12080272</w:t>
      </w:r>
    </w:p>
    <w:p w14:paraId="357E548B" w14:textId="77777777" w:rsidR="001046AA" w:rsidRDefault="001046AA" w:rsidP="001046AA">
      <w:pPr>
        <w:pStyle w:val="Bibliography"/>
      </w:pPr>
      <w:r w:rsidRPr="00914880">
        <w:rPr>
          <w:lang w:val="fr-FR"/>
        </w:rPr>
        <w:t>13.</w:t>
      </w:r>
      <w:r w:rsidRPr="00914880">
        <w:rPr>
          <w:lang w:val="fr-FR"/>
        </w:rPr>
        <w:tab/>
        <w:t xml:space="preserve">Nuruzzaman M, Bahar MM, Naidu R. Diffuse soil pollution from agriculture: Impacts and remediation. </w:t>
      </w:r>
      <w:r>
        <w:t>Science of The Total Environment. 2025 Jan 25;962:178398. doi:10.1016/j.scitotenv.2025.178398</w:t>
      </w:r>
    </w:p>
    <w:p w14:paraId="4A7E2453" w14:textId="77777777" w:rsidR="001046AA" w:rsidRDefault="001046AA" w:rsidP="001046AA">
      <w:pPr>
        <w:pStyle w:val="Bibliography"/>
      </w:pPr>
      <w:r>
        <w:t>14.</w:t>
      </w:r>
      <w:r>
        <w:tab/>
        <w:t>Bradley PM, Romanok KM, Smalling KL, Gordon SE, Huffman BJ, Friedman KP, et al. Private, public, and bottled drinking water: Shared contaminant-mixture exposures and effects challenge. Environ Int. 2025 Jan;195:109220. doi:10.1016/j.envint.2024.109220 PubMed PMID: 39736175; PubMed Central PMCID: PMC12086739.</w:t>
      </w:r>
    </w:p>
    <w:p w14:paraId="64445719" w14:textId="77777777" w:rsidR="001046AA" w:rsidRDefault="001046AA" w:rsidP="001046AA">
      <w:pPr>
        <w:pStyle w:val="Bibliography"/>
      </w:pPr>
      <w:r>
        <w:t>15.</w:t>
      </w:r>
      <w:r>
        <w:tab/>
        <w:t>Kruć-Fijałkowska R, Dragon K, Drożdżyński D, Górski J. Seasonal variation of pesticides in surface water and drinking water wells in the annual cycle in western Poland, and potential health risk assessment. Sci Rep. 2022 Feb 28;12:3317. doi:10.1038/s41598-022-07385-z PubMed PMID: 35228621; PubMed Central PMCID: PMC8885637.</w:t>
      </w:r>
    </w:p>
    <w:p w14:paraId="2CCE36D8" w14:textId="77777777" w:rsidR="001046AA" w:rsidRDefault="001046AA" w:rsidP="001046AA">
      <w:pPr>
        <w:pStyle w:val="Bibliography"/>
      </w:pPr>
      <w:r>
        <w:t>16.</w:t>
      </w:r>
      <w:r>
        <w:tab/>
        <w:t>Curl CL, Hyland C, Spivak M, Sheppard L, Lanphear B, Antoniou MN, et al. The Effect of Pesticide Spray Season and Residential Proximity to Agriculture on Glyphosate Exposure among Pregnant People in Southern Idaho, 2021. Environ Health Perspect. 2023 Dec 6;131(12):127001. doi:10.1289/EHP12768 PubMed PMID: 38054699; PubMed Central PMCID: PMC10699167.</w:t>
      </w:r>
    </w:p>
    <w:p w14:paraId="7E1AD15C" w14:textId="77777777" w:rsidR="001046AA" w:rsidRDefault="001046AA" w:rsidP="001046AA">
      <w:pPr>
        <w:pStyle w:val="Bibliography"/>
      </w:pPr>
      <w:r>
        <w:t>17.</w:t>
      </w:r>
      <w:r>
        <w:tab/>
        <w:t>Manley CK, Spaur M, Madrigal JM, Fisher JA, Jones RR, Parks CG, et al. Drinking water sources and water quality in a prospective agricultural cohort. Environ Epidemiol. 2022 May 25;6(3):e210. doi:10.1097/EE9.0000000000000210 PubMed PMID: 35702502; PubMed Central PMCID: PMC9187174.</w:t>
      </w:r>
    </w:p>
    <w:p w14:paraId="65DEAEE8" w14:textId="77777777" w:rsidR="001046AA" w:rsidRPr="00914880" w:rsidRDefault="001046AA" w:rsidP="001046AA">
      <w:pPr>
        <w:pStyle w:val="Bibliography"/>
        <w:rPr>
          <w:lang w:val="fr-FR"/>
        </w:rPr>
      </w:pPr>
      <w:r>
        <w:t>18.</w:t>
      </w:r>
      <w:r>
        <w:tab/>
        <w:t xml:space="preserve">Baćmaga M, Wyszkowska J, Kucharski J. Environmental Implication of Herbicide Use. </w:t>
      </w:r>
      <w:r w:rsidRPr="00914880">
        <w:rPr>
          <w:lang w:val="fr-FR"/>
        </w:rPr>
        <w:t>Molecules. 2024 Dec 17;29(24). doi:10.3390/molecules29245965</w:t>
      </w:r>
    </w:p>
    <w:p w14:paraId="2AE8D71E" w14:textId="77777777" w:rsidR="001046AA" w:rsidRDefault="001046AA" w:rsidP="001046AA">
      <w:pPr>
        <w:pStyle w:val="Bibliography"/>
      </w:pPr>
      <w:r w:rsidRPr="00914880">
        <w:rPr>
          <w:lang w:val="fr-FR"/>
        </w:rPr>
        <w:t>19.</w:t>
      </w:r>
      <w:r w:rsidRPr="00914880">
        <w:rPr>
          <w:lang w:val="fr-FR"/>
        </w:rPr>
        <w:tab/>
        <w:t xml:space="preserve">Costas-Ferreira C, Durán R, Faro LRF. </w:t>
      </w:r>
      <w:r>
        <w:t>Toxic Effects of Glyphosate on the Nervous System: A Systematic Review. Int J Mol Sci. 2022 Apr 21;23(9):4605. doi:10.3390/ijms23094605 PubMed PMID: 35562999; PubMed Central PMCID: PMC9101768.</w:t>
      </w:r>
    </w:p>
    <w:p w14:paraId="419175C3" w14:textId="77777777" w:rsidR="001046AA" w:rsidRDefault="001046AA" w:rsidP="001046AA">
      <w:pPr>
        <w:pStyle w:val="Bibliography"/>
      </w:pPr>
      <w:r>
        <w:t>20.</w:t>
      </w:r>
      <w:r>
        <w:tab/>
        <w:t>Neylon J, Fuller JN, Poel C van der, Church JE, Dworkin S. Organophosphate Insecticide Toxicity in Neural Development, Cognition, Behaviour and Degeneration: Insights from Zebrafish. Journal of Developmental Biology. 2022 Nov 20;10(4). doi:10.3390/jdb10040049</w:t>
      </w:r>
    </w:p>
    <w:p w14:paraId="045F87D8" w14:textId="77777777" w:rsidR="001046AA" w:rsidRDefault="001046AA" w:rsidP="001046AA">
      <w:pPr>
        <w:pStyle w:val="Bibliography"/>
      </w:pPr>
      <w:r>
        <w:lastRenderedPageBreak/>
        <w:t>21.</w:t>
      </w:r>
      <w:r>
        <w:tab/>
        <w:t>Pazhuparambil Jayarajan SK, Kuriachan L. Exposure and health risk assessment of nitrate contamination in groundwater in Coimbatore and Tirupur districts in Tamil Nadu, South India. Environ Sci Pollut Res Int. 2021;28(8):10248–61. doi:10.1007/s11356-020-11552-y PubMed PMID: 33170463; PubMed Central PMCID: PMC8528785.</w:t>
      </w:r>
    </w:p>
    <w:p w14:paraId="5FEB2051" w14:textId="77777777" w:rsidR="001046AA" w:rsidRDefault="001046AA" w:rsidP="001046AA">
      <w:pPr>
        <w:pStyle w:val="Bibliography"/>
      </w:pPr>
      <w:r>
        <w:t>22.</w:t>
      </w:r>
      <w:r>
        <w:tab/>
        <w:t>Parvizishad M, Dalvand A, Mahvi AH, Goodarzi F. A Review of Adverse Effects and Benefits of Nitrate and Nitrite in Drinking Water and Food on Human Health [Review Article] [Internet]. Health Scope; 2016 Jul [cited 2026 Feb 18]. p. e14164. Report No.: 6. Available from: https://brieflands.com/journals/healthscope/articles/14164#abstract</w:t>
      </w:r>
    </w:p>
    <w:p w14:paraId="5A439BC4" w14:textId="77777777" w:rsidR="001046AA" w:rsidRDefault="001046AA" w:rsidP="001046AA">
      <w:pPr>
        <w:pStyle w:val="Bibliography"/>
      </w:pPr>
      <w:r>
        <w:t>23.</w:t>
      </w:r>
      <w:r>
        <w:tab/>
        <w:t>ACS Publications [Internet]. 2011 [cited 2026 Feb 18]. Recent Advances in Environmental Risk Assessment of Transformation Products. Available from: https://pubs.acs.org/doi/abs/10.1021/es1030799</w:t>
      </w:r>
    </w:p>
    <w:p w14:paraId="6EBB8DF5" w14:textId="77777777" w:rsidR="001046AA" w:rsidRDefault="001046AA" w:rsidP="001046AA">
      <w:pPr>
        <w:pStyle w:val="Bibliography"/>
      </w:pPr>
      <w:r>
        <w:t>24.</w:t>
      </w:r>
      <w:r>
        <w:tab/>
        <w:t>Lawal OP, Okeh DU, Ezeamii PC, Olowookere AK, Muhammed I, Ugwu CV, et al. Reimagining Mathematical Modeling for a Responsive and Integrated Future in Infectious Disease Epidemiology. Global Journal of Epidemiology and Infectious Disease. 2025 Dec 22;43–53.</w:t>
      </w:r>
    </w:p>
    <w:p w14:paraId="2C41F574" w14:textId="77777777" w:rsidR="001046AA" w:rsidRDefault="001046AA" w:rsidP="001046AA">
      <w:pPr>
        <w:pStyle w:val="Bibliography"/>
      </w:pPr>
      <w:r>
        <w:t>25.</w:t>
      </w:r>
      <w:r>
        <w:tab/>
        <w:t>Gassmann M. Modelling the Fate of Pesticide Transformation Products From Plot to Catchment Scale—State of Knowledge and Future Challenges. Front Environ Sci. 2021 Jul 29;9. doi:10.3389/fenvs.2021.717738</w:t>
      </w:r>
    </w:p>
    <w:p w14:paraId="797229F2" w14:textId="77777777" w:rsidR="001046AA" w:rsidRDefault="001046AA" w:rsidP="001046AA">
      <w:pPr>
        <w:pStyle w:val="Bibliography"/>
      </w:pPr>
      <w:r>
        <w:t>26.</w:t>
      </w:r>
      <w:r>
        <w:tab/>
        <w:t>Naughton O, Donnelly A, Nolan P, Pilla F, Misstear BD, Broderick B. A land use regression model for explaining spatial variation in air pollution levels using a wind sector based approach. Science of The Total Environment. 2018 Jul 15;630:1324–34. doi:10.1016/j.scitotenv.2018.02.317</w:t>
      </w:r>
    </w:p>
    <w:p w14:paraId="2BC01BB5" w14:textId="77777777" w:rsidR="001046AA" w:rsidRDefault="001046AA" w:rsidP="001046AA">
      <w:pPr>
        <w:pStyle w:val="Bibliography"/>
      </w:pPr>
      <w:r>
        <w:t>27.</w:t>
      </w:r>
      <w:r>
        <w:tab/>
        <w:t>Sarigiannis D, Anesti O, Papaioannou N, Karakoltzidis A, Karakitsios S. Computational standards and tools for exposome-wide association studies linking the human exposome with health outcomes. Environment International. 2026 Feb 1;208:110117. doi:10.1016/j.envint.2026.110117</w:t>
      </w:r>
    </w:p>
    <w:p w14:paraId="03F3ACB9" w14:textId="77777777" w:rsidR="001046AA" w:rsidRDefault="001046AA" w:rsidP="001046AA">
      <w:pPr>
        <w:pStyle w:val="Bibliography"/>
      </w:pPr>
      <w:r>
        <w:t>28.</w:t>
      </w:r>
      <w:r>
        <w:tab/>
        <w:t>Hicks B, Kaye JA, Azoulay L, Kristensen KB, Habel LA, Pottegård A. The application of lag times in cancer pharmacoepidemiology: a narrative review. Ann Epidemiol. 2023 Aug;84:25–32. doi:10.1016/j.annepidem.2023.05.004 PubMed PMID: 37169040.</w:t>
      </w:r>
    </w:p>
    <w:p w14:paraId="3635F100" w14:textId="77777777" w:rsidR="001046AA" w:rsidRDefault="001046AA" w:rsidP="001046AA">
      <w:pPr>
        <w:pStyle w:val="Bibliography"/>
      </w:pPr>
      <w:r>
        <w:t>29.</w:t>
      </w:r>
      <w:r>
        <w:tab/>
        <w:t>Nishmitha PS, Akhilghosh KA, Aiswriya VP, Ramesh A, Muthuchamy M, Muthukumar A. Understanding emerging contaminants in water and wastewater: A comprehensive review on detection, impacts, and solutions. Journal of Hazardous Materials Advances. 2025 May 1;18:100755. doi:10.1016/j.hazadv.2025.100755</w:t>
      </w:r>
    </w:p>
    <w:p w14:paraId="4E6B64E4" w14:textId="77777777" w:rsidR="001046AA" w:rsidRDefault="001046AA" w:rsidP="001046AA">
      <w:pPr>
        <w:pStyle w:val="Bibliography"/>
      </w:pPr>
      <w:r>
        <w:t>30.</w:t>
      </w:r>
      <w:r>
        <w:tab/>
        <w:t>Yoon HJ, Seo JH, Shin SH, Abdelhamid MAA, Pack SP. Bioinformation and Monitoring Technology for Environmental DNA Analysis: A Review. Biosensors. 2025 Aug 1;15(8). doi:10.3390/bios15080494</w:t>
      </w:r>
    </w:p>
    <w:p w14:paraId="090A5B25" w14:textId="77777777" w:rsidR="001046AA" w:rsidRDefault="001046AA" w:rsidP="001046AA">
      <w:pPr>
        <w:pStyle w:val="Bibliography"/>
      </w:pPr>
      <w:r>
        <w:lastRenderedPageBreak/>
        <w:t>31.</w:t>
      </w:r>
      <w:r>
        <w:tab/>
        <w:t>Munnangi S, Boktor SW. Epidemiology Of Study Design. In: StatPearls [Internet]. Treasure Island (FL): StatPearls Publishing; 2025 [cited 2026 Feb 18]. Available from: http://www.ncbi.nlm.nih.gov/books/NBK470342/ PubMed PMID: 29262004.</w:t>
      </w:r>
    </w:p>
    <w:p w14:paraId="6D574586" w14:textId="77777777" w:rsidR="001046AA" w:rsidRDefault="001046AA" w:rsidP="001046AA">
      <w:pPr>
        <w:pStyle w:val="Bibliography"/>
      </w:pPr>
      <w:r>
        <w:t>32.</w:t>
      </w:r>
      <w:r>
        <w:tab/>
        <w:t>Wakefield L, Agarwal S, Tanner K. Preclinical models for drug discovery for metastatic disease. Cell. 2023 Apr 13;186(8):1792–813. doi:10.1016/j.cell.2023.02.026</w:t>
      </w:r>
    </w:p>
    <w:p w14:paraId="48131087" w14:textId="77777777" w:rsidR="001046AA" w:rsidRDefault="001046AA" w:rsidP="001046AA">
      <w:pPr>
        <w:pStyle w:val="Bibliography"/>
      </w:pPr>
      <w:r>
        <w:t>33.</w:t>
      </w:r>
      <w:r>
        <w:tab/>
        <w:t>Majid S, Reus A, Hoondert R, Blokker M, Dash A, Houtman C, et al. A framework for evaluating less-than-lifetime exposures: advancing toxicological risk assessment for drinking water quality. Arch Toxicol. 2025 Aug 1;99(8):3147–68. doi:10.1007/s00204-025-04061-9</w:t>
      </w:r>
    </w:p>
    <w:p w14:paraId="1E6DE5C9" w14:textId="77777777" w:rsidR="001046AA" w:rsidRDefault="001046AA" w:rsidP="001046AA">
      <w:pPr>
        <w:pStyle w:val="Bibliography"/>
      </w:pPr>
      <w:r>
        <w:t>34.</w:t>
      </w:r>
      <w:r>
        <w:tab/>
        <w:t>Mafe AN, Büsselberg D. Cancer and Environmental Xenobiotics: Mechanisms, Controversies, and Innovations. Journal of Xenobiotics. 2025 Dec 19;16(1). doi:10.3390/jox16010002</w:t>
      </w:r>
    </w:p>
    <w:p w14:paraId="79150238" w14:textId="77777777" w:rsidR="001046AA" w:rsidRDefault="001046AA" w:rsidP="001046AA">
      <w:pPr>
        <w:pStyle w:val="Bibliography"/>
      </w:pPr>
      <w:r>
        <w:t>35.</w:t>
      </w:r>
      <w:r>
        <w:tab/>
        <w:t>Lin MH, Li CY, Cheng YY, Guo HR. Arsenic in Drinking Water and Incidences of Leukemia and Lymphoma: Implication for Its Dual Effects in Carcinogenicity. Front Public Health. 2022 Apr 29;10. doi:10.3389/fpubh.2022.863882</w:t>
      </w:r>
    </w:p>
    <w:p w14:paraId="36031302" w14:textId="77777777" w:rsidR="001046AA" w:rsidRDefault="001046AA" w:rsidP="001046AA">
      <w:pPr>
        <w:pStyle w:val="Bibliography"/>
      </w:pPr>
      <w:r>
        <w:t>36.</w:t>
      </w:r>
      <w:r>
        <w:tab/>
        <w:t>Pironti C, Ricciardi M, Proto A, Bianco PM, Montano L, Motta O. Endocrine-Disrupting Compounds: An Overview on Their Occurrence in the Aquatic Environment and Human Exposure. Water. 2021 May 11;13(10). doi:10.3390/w13101347</w:t>
      </w:r>
    </w:p>
    <w:p w14:paraId="2EFD0686" w14:textId="77777777" w:rsidR="001046AA" w:rsidRDefault="001046AA" w:rsidP="001046AA">
      <w:pPr>
        <w:pStyle w:val="Bibliography"/>
      </w:pPr>
      <w:r>
        <w:t>37.</w:t>
      </w:r>
      <w:r>
        <w:tab/>
        <w:t>Shekhar C, Khosya R, Thakur K, Mahajan D, Kumar R, Kumar S, et al. A systematic review of pesticide exposure, associated risks, and long-term human health impacts. Toxicol Rep. 2024 Nov 30;13:101840. doi:10.1016/j.toxrep.2024.101840 PubMed PMID: 39717852; PubMed Central PMCID: PMC11664077.</w:t>
      </w:r>
    </w:p>
    <w:p w14:paraId="3BF01181" w14:textId="77777777" w:rsidR="001046AA" w:rsidRDefault="001046AA" w:rsidP="001046AA">
      <w:pPr>
        <w:pStyle w:val="Bibliography"/>
      </w:pPr>
      <w:r>
        <w:t>38.</w:t>
      </w:r>
      <w:r>
        <w:tab/>
        <w:t>Benasseur I, Talbot D, Durand M, Holbrook A, Matteau A, Potter BJ, et al. A comparison of confounder selection and adjustment methods for estimating causal effects using large healthcare databases. Pharmacoepidemiol Drug Saf. 2022 Apr;31(4):424–33. doi:10.1002/pds.5403 PubMed PMID: 34953160; PubMed Central PMCID: PMC9304306.</w:t>
      </w:r>
    </w:p>
    <w:p w14:paraId="03DC5F01" w14:textId="77777777" w:rsidR="001046AA" w:rsidRDefault="001046AA" w:rsidP="001046AA">
      <w:pPr>
        <w:pStyle w:val="Bibliography"/>
      </w:pPr>
      <w:r>
        <w:t>39.</w:t>
      </w:r>
      <w:r>
        <w:tab/>
        <w:t>Levin R, Villanueva CM, Beene D, Cradock AL, Donat-Vargas C, Lewis J, et al. US drinking water quality: exposure risk profiles for seven legacy and emerging contaminants. J Expo Sci Environ Epidemiol. 2024;34(1):3–22. doi:10.1038/s41370-023-00597-z PubMed PMID: 37739995; PubMed Central PMCID: PMC10907308.</w:t>
      </w:r>
    </w:p>
    <w:p w14:paraId="3835545F" w14:textId="77777777" w:rsidR="001046AA" w:rsidRDefault="001046AA" w:rsidP="001046AA">
      <w:pPr>
        <w:pStyle w:val="Bibliography"/>
      </w:pPr>
      <w:r>
        <w:t>40.</w:t>
      </w:r>
      <w:r>
        <w:tab/>
        <w:t>Clark LP, Zilber D, Schmitt C, Fargo DC, Reif DM, Motsinger-Reif AA, et al. A review of geospatial exposure models and approaches for health data integration. J Expo Sci Environ Epidemiol. 2025 Apr;35(2):131–48. doi:10.1038/s41370-024-00712-8</w:t>
      </w:r>
    </w:p>
    <w:p w14:paraId="70F2A463" w14:textId="77777777" w:rsidR="001046AA" w:rsidRDefault="001046AA" w:rsidP="001046AA">
      <w:pPr>
        <w:pStyle w:val="Bibliography"/>
      </w:pPr>
      <w:r>
        <w:t>41.</w:t>
      </w:r>
      <w:r>
        <w:tab/>
        <w:t>Pathak VM, Verma VK, Rawat BS, Kaur B, Babu N, Sharma A, et al. Current status of pesticide effects on environment, human health and it’s eco-friendly management as bioremediation: A comprehensive review.</w:t>
      </w:r>
      <w:bookmarkStart w:id="2" w:name="_GoBack"/>
      <w:bookmarkEnd w:id="2"/>
      <w:r>
        <w:t xml:space="preserve"> Front Microbiol. 2022 Aug 17;13. doi:10.3389/fmicb.2022.962619</w:t>
      </w:r>
    </w:p>
    <w:p w14:paraId="27996F0A" w14:textId="77777777" w:rsidR="001046AA" w:rsidRDefault="001046AA" w:rsidP="001046AA">
      <w:pPr>
        <w:pStyle w:val="Bibliography"/>
      </w:pPr>
      <w:r>
        <w:lastRenderedPageBreak/>
        <w:t>42.</w:t>
      </w:r>
      <w:r>
        <w:tab/>
        <w:t>Babuji P, Thirumalaisamy S, Duraisamy K, Periyasamy G. Human Health Risks due to Exposure to Water Pollution: A Review. Water. 2023 Jul 10;15(14). doi:10.3390/w15142532</w:t>
      </w:r>
    </w:p>
    <w:p w14:paraId="44459CE3" w14:textId="77777777" w:rsidR="001046AA" w:rsidRDefault="001046AA" w:rsidP="001046AA">
      <w:pPr>
        <w:pStyle w:val="Bibliography"/>
      </w:pPr>
      <w:r>
        <w:t>43.</w:t>
      </w:r>
      <w:r>
        <w:tab/>
        <w:t>Gržinić G, Piotrowicz-Cieślak A, Klimkowicz-Pawlas A, Górny RL, Ławniczek-Wałczyk A, Piechowicz L, et al. Intensive poultry farming: A review of the impact on the environment and human health. Science of The Total Environment. 2023 Feb 1;858:160014. doi:10.1016/j.scitotenv.2022.160014</w:t>
      </w:r>
    </w:p>
    <w:p w14:paraId="3DA08A87" w14:textId="77777777" w:rsidR="001046AA" w:rsidRDefault="001046AA" w:rsidP="001046AA">
      <w:pPr>
        <w:pStyle w:val="Bibliography"/>
      </w:pPr>
      <w:r>
        <w:t>44.</w:t>
      </w:r>
      <w:r>
        <w:tab/>
        <w:t>Ahmadi Dehrashid P, Mansourian H, Sharifi A. Healthy cities as catalysts for sustainable development: A systematic review of co-benefits, trade-offs, and solutions to the SDGs. Progress in Planning. 2026 Jan 9;101032. doi:10.1016/j.progress.2025.101032</w:t>
      </w:r>
    </w:p>
    <w:p w14:paraId="52EF439E" w14:textId="77777777" w:rsidR="001046AA" w:rsidRDefault="001046AA" w:rsidP="001046AA">
      <w:pPr>
        <w:pStyle w:val="Bibliography"/>
      </w:pPr>
      <w:r>
        <w:t>45.</w:t>
      </w:r>
      <w:r>
        <w:tab/>
        <w:t>Ahmad MF, Ahmad FA, Alsayegh AA, Zeyaullah Md, AlShahrani AM, Muzammil K, et al. Pesticides impacts on human health and the environment with their mechanisms of action and possible countermeasures. Heliyon. 2024 Apr 15;10(7):e29128. doi:10.1016/j.heliyon.2024.e29128</w:t>
      </w:r>
    </w:p>
    <w:p w14:paraId="69233FDD" w14:textId="77777777" w:rsidR="00ED34B8" w:rsidRDefault="001046AA" w:rsidP="001046AA">
      <w:pPr>
        <w:pStyle w:val="Bibliography"/>
      </w:pPr>
      <w:r>
        <w:t>46.</w:t>
      </w:r>
      <w:r>
        <w:tab/>
        <w:t xml:space="preserve">Malizia A, McGovern J, Sarigiannis D, Karakitsios S, Anastas PT, Ludovici GM, et al. Integrating the exposome framework in CBRNe risk assessment: a </w:t>
      </w:r>
      <w:proofErr w:type="spellStart"/>
      <w:r>
        <w:t>ho</w:t>
      </w:r>
      <w:r w:rsidR="00ED34B8">
        <w:t>Method</w:t>
      </w:r>
      <w:proofErr w:type="spellEnd"/>
    </w:p>
    <w:p w14:paraId="4001F7CA" w14:textId="4EC7FC34" w:rsidR="001046AA" w:rsidRDefault="001046AA" w:rsidP="001046AA">
      <w:pPr>
        <w:pStyle w:val="Bibliography"/>
      </w:pPr>
      <w:proofErr w:type="spellStart"/>
      <w:r>
        <w:t>ic</w:t>
      </w:r>
      <w:proofErr w:type="spellEnd"/>
      <w:r>
        <w:t xml:space="preserve"> approach to chemical, biological, radiological, nuclear, and explosive threats. Eur Phys J  Plus. 2025 Nov 15;140(11):1103. doi:10.1140/epjp/s13360-025-07030-4</w:t>
      </w:r>
    </w:p>
    <w:p w14:paraId="268BCFBC" w14:textId="77777777" w:rsidR="001046AA" w:rsidRDefault="001046AA" w:rsidP="001046AA">
      <w:pPr>
        <w:pStyle w:val="Bibliography"/>
      </w:pPr>
      <w:r>
        <w:t>47.</w:t>
      </w:r>
      <w:r>
        <w:tab/>
        <w:t>Lawal O, Orenolu IO, Ajobiewe MA, Forson KAAM, Agu UF, Fidelix ME, et al. Hospital-Acquired Infections in the Age of Antimicrobial Resistance and Smart Surveillance. Australian Journal of Biomedical Research. 2025 Aug 16;1(1):aubm002. doi:10.63946/aubiomed/16759</w:t>
      </w:r>
    </w:p>
    <w:p w14:paraId="5CAD207C" w14:textId="77777777" w:rsidR="001046AA" w:rsidRDefault="001046AA" w:rsidP="001046AA">
      <w:pPr>
        <w:pStyle w:val="Bibliography"/>
      </w:pPr>
      <w:r>
        <w:t>48.</w:t>
      </w:r>
      <w:r>
        <w:tab/>
        <w:t>Vandenberg LN, Rayasam SDG, Axelrad DA, Bennett DH, Brown P, Carignan CC, et al. Addressing systemic problems with exposure assessments to protect the public’s health. Environ Health. 2023 Jan 12;21(Suppl 1):121. doi:10.1186/s12940-022-00917-0 PubMed PMID: 36635700; PubMed Central PMCID: PMC9835264.</w:t>
      </w:r>
    </w:p>
    <w:p w14:paraId="78C40FEF" w14:textId="77777777" w:rsidR="001046AA" w:rsidRDefault="001046AA" w:rsidP="001046AA">
      <w:pPr>
        <w:pStyle w:val="Bibliography"/>
      </w:pPr>
      <w:r>
        <w:t>49.</w:t>
      </w:r>
      <w:r>
        <w:tab/>
        <w:t>Harrison PA, Beauchamp K, Cooper J, Dickie I, Fitch A, Gooday R, et al. An adaptable integrated modelling platform to support rapidly evolving agricultural and environmental policy. Environmental Modelling &amp; Software. 2023 Nov 1;169:105821. doi:10.1016/j.envsoft.2023.105821</w:t>
      </w:r>
    </w:p>
    <w:p w14:paraId="14A42A54" w14:textId="77777777" w:rsidR="001046AA" w:rsidRDefault="001046AA" w:rsidP="001046AA">
      <w:pPr>
        <w:pStyle w:val="Bibliography"/>
      </w:pPr>
      <w:r>
        <w:t>50.</w:t>
      </w:r>
      <w:r>
        <w:tab/>
        <w:t>Lawal OP, Opara IJ, Ayo-ige A, Eboh NA, Cos-Ibe U, Forson KAAM, et al. Artificial Intelligence-Integrated Biosensors for Antimicrobial Resistance Detection and Surveillance: A Review and Future Perspectives for Global Biosecurity. Cureus. 2025 Nov 29;17. doi:10.7759/cureus.98098</w:t>
      </w:r>
    </w:p>
    <w:p w14:paraId="78F89E92" w14:textId="77777777" w:rsidR="001046AA" w:rsidRDefault="001046AA" w:rsidP="001046AA">
      <w:pPr>
        <w:pStyle w:val="Bibliography"/>
      </w:pPr>
      <w:r>
        <w:t>51.</w:t>
      </w:r>
      <w:r>
        <w:tab/>
        <w:t xml:space="preserve">Lawal OP, Igwe EP, Olosunde A, Chisom EP, Okeh DU, Olowookere AK, et al. Integrating Real-Time Data and Machine Learning in Predicting Infectious Disease Outbreaks: Enhancing </w:t>
      </w:r>
      <w:r>
        <w:lastRenderedPageBreak/>
        <w:t>Response Strategies in Sub-Saharan Africa. Asian Journal of Microbiology and Biotechnology. 2025 May;10(1):147–63. doi:10.56557/ajmab/2025/v10i19371</w:t>
      </w:r>
    </w:p>
    <w:p w14:paraId="74E840DF" w14:textId="77777777" w:rsidR="001046AA" w:rsidRDefault="001046AA" w:rsidP="001046AA">
      <w:pPr>
        <w:pStyle w:val="Bibliography"/>
      </w:pPr>
      <w:r>
        <w:t>52.</w:t>
      </w:r>
      <w:r>
        <w:tab/>
        <w:t>Kezios KL, Glymour MM, Zeki Al Hazzouri A. An Introduction to Longitudinal Synthetic Cohorts for Studying the Life Course Drivers of Health Outcomes and Inequalities in Older Age. Curr Epidemiol Rep. 2025;12(1):2. doi:10.1007/s40471-024-00355-1 PubMed PMID: 40756777; PubMed Central PMCID: PMC12316055.</w:t>
      </w:r>
    </w:p>
    <w:p w14:paraId="0D0D9257" w14:textId="77777777" w:rsidR="0060268C" w:rsidRPr="00F92B79" w:rsidRDefault="00402998" w:rsidP="00B41D3E">
      <w:pPr>
        <w:rPr>
          <w:rFonts w:ascii="Times New Roman" w:hAnsi="Times New Roman" w:cs="Times New Roman"/>
        </w:rPr>
      </w:pPr>
      <w:r>
        <w:rPr>
          <w:rFonts w:ascii="Times New Roman" w:hAnsi="Times New Roman" w:cs="Times New Roman"/>
        </w:rPr>
        <w:fldChar w:fldCharType="end"/>
      </w:r>
    </w:p>
    <w:p w14:paraId="5CB3D9A9" w14:textId="77777777" w:rsidR="00F92B79" w:rsidRPr="00335136" w:rsidRDefault="00F92B79">
      <w:pPr>
        <w:rPr>
          <w:rFonts w:ascii="Times New Roman" w:hAnsi="Times New Roman" w:cs="Times New Roman"/>
        </w:rPr>
      </w:pPr>
    </w:p>
    <w:sectPr w:rsidR="00F92B79" w:rsidRPr="0033513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659F2" w14:textId="77777777" w:rsidR="00837B60" w:rsidRDefault="00837B60" w:rsidP="00667EC4">
      <w:pPr>
        <w:spacing w:after="0" w:line="240" w:lineRule="auto"/>
      </w:pPr>
      <w:r>
        <w:separator/>
      </w:r>
    </w:p>
  </w:endnote>
  <w:endnote w:type="continuationSeparator" w:id="0">
    <w:p w14:paraId="51187060" w14:textId="77777777" w:rsidR="00837B60" w:rsidRDefault="00837B60" w:rsidP="00667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20400" w14:textId="77777777" w:rsidR="00667EC4" w:rsidRDefault="00667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4C064" w14:textId="77777777" w:rsidR="00667EC4" w:rsidRDefault="00667E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60F7A" w14:textId="77777777" w:rsidR="00667EC4" w:rsidRDefault="00667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B5436" w14:textId="77777777" w:rsidR="00837B60" w:rsidRDefault="00837B60" w:rsidP="00667EC4">
      <w:pPr>
        <w:spacing w:after="0" w:line="240" w:lineRule="auto"/>
      </w:pPr>
      <w:r>
        <w:separator/>
      </w:r>
    </w:p>
  </w:footnote>
  <w:footnote w:type="continuationSeparator" w:id="0">
    <w:p w14:paraId="7BFA3FC1" w14:textId="77777777" w:rsidR="00837B60" w:rsidRDefault="00837B60" w:rsidP="00667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7950E" w14:textId="2028661E" w:rsidR="00667EC4" w:rsidRDefault="00837B60">
    <w:pPr>
      <w:pStyle w:val="Header"/>
    </w:pPr>
    <w:r>
      <w:rPr>
        <w:noProof/>
      </w:rPr>
      <w:pict w14:anchorId="1B68D7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40814" w14:textId="14489C0F" w:rsidR="00667EC4" w:rsidRDefault="00837B60">
    <w:pPr>
      <w:pStyle w:val="Header"/>
    </w:pPr>
    <w:r>
      <w:rPr>
        <w:noProof/>
      </w:rPr>
      <w:pict w14:anchorId="0233B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FFA5E" w14:textId="4965E510" w:rsidR="00667EC4" w:rsidRDefault="00837B60">
    <w:pPr>
      <w:pStyle w:val="Header"/>
    </w:pPr>
    <w:r>
      <w:rPr>
        <w:noProof/>
      </w:rPr>
      <w:pict w14:anchorId="77105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E03C4"/>
    <w:multiLevelType w:val="multilevel"/>
    <w:tmpl w:val="5C86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02F0C"/>
    <w:multiLevelType w:val="multilevel"/>
    <w:tmpl w:val="2A52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0C337B"/>
    <w:multiLevelType w:val="multilevel"/>
    <w:tmpl w:val="7470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54ADB"/>
    <w:multiLevelType w:val="multilevel"/>
    <w:tmpl w:val="FD3C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6D0BE5"/>
    <w:multiLevelType w:val="multilevel"/>
    <w:tmpl w:val="12D6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E02FE4"/>
    <w:multiLevelType w:val="multilevel"/>
    <w:tmpl w:val="FA58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7C20C6"/>
    <w:multiLevelType w:val="hybridMultilevel"/>
    <w:tmpl w:val="90F8F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6D57B1"/>
    <w:multiLevelType w:val="multilevel"/>
    <w:tmpl w:val="EE8C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6"/>
  </w:num>
  <w:num w:numId="4">
    <w:abstractNumId w:val="5"/>
  </w:num>
  <w:num w:numId="5">
    <w:abstractNumId w:val="3"/>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3B7"/>
    <w:rsid w:val="00015DA9"/>
    <w:rsid w:val="00016AAE"/>
    <w:rsid w:val="0004444D"/>
    <w:rsid w:val="00076A14"/>
    <w:rsid w:val="000F7CED"/>
    <w:rsid w:val="001046AA"/>
    <w:rsid w:val="00106FA8"/>
    <w:rsid w:val="0011218D"/>
    <w:rsid w:val="001151DF"/>
    <w:rsid w:val="00156B6F"/>
    <w:rsid w:val="00161525"/>
    <w:rsid w:val="00167EBA"/>
    <w:rsid w:val="00192732"/>
    <w:rsid w:val="001B530B"/>
    <w:rsid w:val="001D0F1C"/>
    <w:rsid w:val="001D224A"/>
    <w:rsid w:val="002065D6"/>
    <w:rsid w:val="002132FD"/>
    <w:rsid w:val="00241662"/>
    <w:rsid w:val="00266BBB"/>
    <w:rsid w:val="002935B9"/>
    <w:rsid w:val="002D4A85"/>
    <w:rsid w:val="002F6694"/>
    <w:rsid w:val="003017C1"/>
    <w:rsid w:val="00335136"/>
    <w:rsid w:val="00381DDE"/>
    <w:rsid w:val="003C223A"/>
    <w:rsid w:val="00401F54"/>
    <w:rsid w:val="00402998"/>
    <w:rsid w:val="0042622A"/>
    <w:rsid w:val="004A59A2"/>
    <w:rsid w:val="004B7820"/>
    <w:rsid w:val="004F5F41"/>
    <w:rsid w:val="0052193F"/>
    <w:rsid w:val="00574018"/>
    <w:rsid w:val="00591DA1"/>
    <w:rsid w:val="005975D5"/>
    <w:rsid w:val="005A58F1"/>
    <w:rsid w:val="005C72A4"/>
    <w:rsid w:val="005D0BDC"/>
    <w:rsid w:val="005E6E04"/>
    <w:rsid w:val="0060268C"/>
    <w:rsid w:val="006306B9"/>
    <w:rsid w:val="00667EC4"/>
    <w:rsid w:val="00671223"/>
    <w:rsid w:val="00680CCD"/>
    <w:rsid w:val="00691FE4"/>
    <w:rsid w:val="00697E32"/>
    <w:rsid w:val="006E63A1"/>
    <w:rsid w:val="006F6260"/>
    <w:rsid w:val="00733C2D"/>
    <w:rsid w:val="00736DB6"/>
    <w:rsid w:val="007629E1"/>
    <w:rsid w:val="00787E22"/>
    <w:rsid w:val="0080156C"/>
    <w:rsid w:val="00837B60"/>
    <w:rsid w:val="00887CC0"/>
    <w:rsid w:val="008B49B5"/>
    <w:rsid w:val="008D46AE"/>
    <w:rsid w:val="00914880"/>
    <w:rsid w:val="009610C9"/>
    <w:rsid w:val="00964826"/>
    <w:rsid w:val="009965D8"/>
    <w:rsid w:val="009A7D5B"/>
    <w:rsid w:val="009D1CE2"/>
    <w:rsid w:val="009E37F5"/>
    <w:rsid w:val="009E7ECE"/>
    <w:rsid w:val="00A23D60"/>
    <w:rsid w:val="00A56DFC"/>
    <w:rsid w:val="00AD5C89"/>
    <w:rsid w:val="00AD780F"/>
    <w:rsid w:val="00AF3805"/>
    <w:rsid w:val="00B41D3E"/>
    <w:rsid w:val="00BC0F58"/>
    <w:rsid w:val="00BC2B19"/>
    <w:rsid w:val="00BE5D57"/>
    <w:rsid w:val="00C016CA"/>
    <w:rsid w:val="00C07FEA"/>
    <w:rsid w:val="00C20A17"/>
    <w:rsid w:val="00C2594F"/>
    <w:rsid w:val="00C3477C"/>
    <w:rsid w:val="00C35E77"/>
    <w:rsid w:val="00C9223A"/>
    <w:rsid w:val="00C973B7"/>
    <w:rsid w:val="00CE3A50"/>
    <w:rsid w:val="00D15391"/>
    <w:rsid w:val="00D332EB"/>
    <w:rsid w:val="00D40706"/>
    <w:rsid w:val="00D4192E"/>
    <w:rsid w:val="00D46D6A"/>
    <w:rsid w:val="00D478F8"/>
    <w:rsid w:val="00D73BA4"/>
    <w:rsid w:val="00DA3E5D"/>
    <w:rsid w:val="00DA6ADE"/>
    <w:rsid w:val="00DC06DB"/>
    <w:rsid w:val="00DD4E5D"/>
    <w:rsid w:val="00E81637"/>
    <w:rsid w:val="00E95A10"/>
    <w:rsid w:val="00E976ED"/>
    <w:rsid w:val="00EA54A4"/>
    <w:rsid w:val="00EC3F80"/>
    <w:rsid w:val="00ED34B8"/>
    <w:rsid w:val="00EE1D6D"/>
    <w:rsid w:val="00EE4476"/>
    <w:rsid w:val="00EF5238"/>
    <w:rsid w:val="00F711F4"/>
    <w:rsid w:val="00F774A1"/>
    <w:rsid w:val="00F92B79"/>
    <w:rsid w:val="00F97089"/>
    <w:rsid w:val="00FF4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0FDB28"/>
  <w15:chartTrackingRefBased/>
  <w15:docId w15:val="{21B6445E-D500-4154-959D-3B45A80C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73B7"/>
  </w:style>
  <w:style w:type="paragraph" w:styleId="Heading1">
    <w:name w:val="heading 1"/>
    <w:basedOn w:val="Normal"/>
    <w:next w:val="Normal"/>
    <w:link w:val="Heading1Char"/>
    <w:uiPriority w:val="9"/>
    <w:qFormat/>
    <w:rsid w:val="00C973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73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73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73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73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73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3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3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3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3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73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73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73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73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73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3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3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3B7"/>
    <w:rPr>
      <w:rFonts w:eastAsiaTheme="majorEastAsia" w:cstheme="majorBidi"/>
      <w:color w:val="272727" w:themeColor="text1" w:themeTint="D8"/>
    </w:rPr>
  </w:style>
  <w:style w:type="paragraph" w:styleId="Title">
    <w:name w:val="Title"/>
    <w:basedOn w:val="Normal"/>
    <w:next w:val="Normal"/>
    <w:link w:val="TitleChar"/>
    <w:uiPriority w:val="10"/>
    <w:qFormat/>
    <w:rsid w:val="00C97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3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3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3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3B7"/>
    <w:pPr>
      <w:spacing w:before="160"/>
      <w:jc w:val="center"/>
    </w:pPr>
    <w:rPr>
      <w:i/>
      <w:iCs/>
      <w:color w:val="404040" w:themeColor="text1" w:themeTint="BF"/>
    </w:rPr>
  </w:style>
  <w:style w:type="character" w:customStyle="1" w:styleId="QuoteChar">
    <w:name w:val="Quote Char"/>
    <w:basedOn w:val="DefaultParagraphFont"/>
    <w:link w:val="Quote"/>
    <w:uiPriority w:val="29"/>
    <w:rsid w:val="00C973B7"/>
    <w:rPr>
      <w:i/>
      <w:iCs/>
      <w:color w:val="404040" w:themeColor="text1" w:themeTint="BF"/>
    </w:rPr>
  </w:style>
  <w:style w:type="paragraph" w:styleId="ListParagraph">
    <w:name w:val="List Paragraph"/>
    <w:basedOn w:val="Normal"/>
    <w:uiPriority w:val="34"/>
    <w:qFormat/>
    <w:rsid w:val="00C973B7"/>
    <w:pPr>
      <w:ind w:left="720"/>
      <w:contextualSpacing/>
    </w:pPr>
  </w:style>
  <w:style w:type="character" w:styleId="IntenseEmphasis">
    <w:name w:val="Intense Emphasis"/>
    <w:basedOn w:val="DefaultParagraphFont"/>
    <w:uiPriority w:val="21"/>
    <w:qFormat/>
    <w:rsid w:val="00C973B7"/>
    <w:rPr>
      <w:i/>
      <w:iCs/>
      <w:color w:val="2F5496" w:themeColor="accent1" w:themeShade="BF"/>
    </w:rPr>
  </w:style>
  <w:style w:type="paragraph" w:styleId="IntenseQuote">
    <w:name w:val="Intense Quote"/>
    <w:basedOn w:val="Normal"/>
    <w:next w:val="Normal"/>
    <w:link w:val="IntenseQuoteChar"/>
    <w:uiPriority w:val="30"/>
    <w:qFormat/>
    <w:rsid w:val="00C973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73B7"/>
    <w:rPr>
      <w:i/>
      <w:iCs/>
      <w:color w:val="2F5496" w:themeColor="accent1" w:themeShade="BF"/>
    </w:rPr>
  </w:style>
  <w:style w:type="character" w:styleId="IntenseReference">
    <w:name w:val="Intense Reference"/>
    <w:basedOn w:val="DefaultParagraphFont"/>
    <w:uiPriority w:val="32"/>
    <w:qFormat/>
    <w:rsid w:val="00C973B7"/>
    <w:rPr>
      <w:b/>
      <w:bCs/>
      <w:smallCaps/>
      <w:color w:val="2F5496" w:themeColor="accent1" w:themeShade="BF"/>
      <w:spacing w:val="5"/>
    </w:rPr>
  </w:style>
  <w:style w:type="paragraph" w:styleId="Bibliography">
    <w:name w:val="Bibliography"/>
    <w:basedOn w:val="Normal"/>
    <w:next w:val="Normal"/>
    <w:uiPriority w:val="37"/>
    <w:unhideWhenUsed/>
    <w:rsid w:val="00402998"/>
    <w:pPr>
      <w:tabs>
        <w:tab w:val="left" w:pos="384"/>
      </w:tabs>
      <w:spacing w:after="240" w:line="240" w:lineRule="auto"/>
      <w:ind w:left="384" w:hanging="384"/>
    </w:pPr>
  </w:style>
  <w:style w:type="character" w:styleId="Hyperlink">
    <w:name w:val="Hyperlink"/>
    <w:basedOn w:val="DefaultParagraphFont"/>
    <w:uiPriority w:val="99"/>
    <w:unhideWhenUsed/>
    <w:rsid w:val="00A56DFC"/>
    <w:rPr>
      <w:color w:val="0563C1" w:themeColor="hyperlink"/>
      <w:u w:val="single"/>
    </w:rPr>
  </w:style>
  <w:style w:type="character" w:styleId="UnresolvedMention">
    <w:name w:val="Unresolved Mention"/>
    <w:basedOn w:val="DefaultParagraphFont"/>
    <w:uiPriority w:val="99"/>
    <w:semiHidden/>
    <w:unhideWhenUsed/>
    <w:rsid w:val="00A56DFC"/>
    <w:rPr>
      <w:color w:val="605E5C"/>
      <w:shd w:val="clear" w:color="auto" w:fill="E1DFDD"/>
    </w:rPr>
  </w:style>
  <w:style w:type="paragraph" w:styleId="Header">
    <w:name w:val="header"/>
    <w:basedOn w:val="Normal"/>
    <w:link w:val="HeaderChar"/>
    <w:uiPriority w:val="99"/>
    <w:unhideWhenUsed/>
    <w:rsid w:val="00667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EC4"/>
  </w:style>
  <w:style w:type="paragraph" w:styleId="Footer">
    <w:name w:val="footer"/>
    <w:basedOn w:val="Normal"/>
    <w:link w:val="FooterChar"/>
    <w:uiPriority w:val="99"/>
    <w:unhideWhenUsed/>
    <w:rsid w:val="00667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EC4"/>
  </w:style>
  <w:style w:type="paragraph" w:styleId="NormalWeb">
    <w:name w:val="Normal (Web)"/>
    <w:basedOn w:val="Normal"/>
    <w:uiPriority w:val="99"/>
    <w:semiHidden/>
    <w:unhideWhenUsed/>
    <w:rsid w:val="007629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24</Pages>
  <Words>9070</Words>
  <Characters>51704</Characters>
  <Application>Microsoft Office Word</Application>
  <DocSecurity>0</DocSecurity>
  <Lines>430</Lines>
  <Paragraphs>121</Paragraphs>
  <ScaleCrop>false</ScaleCrop>
  <Company/>
  <LinksUpToDate>false</LinksUpToDate>
  <CharactersWithSpaces>60653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SDI 1158</cp:lastModifiedBy>
  <cp:revision>134</cp:revision>
  <dcterms:created xsi:type="dcterms:W3CDTF">2026-02-18T05:20:00Z</dcterms:created>
  <dcterms:modified xsi:type="dcterms:W3CDTF">2026-03-02T10:53:00Z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75ebcf10-a2bb-4b25-9727-c8e13e94a90e</vt:lpwstr>
  </property>
  <property fmtid="{D5CDD505-2E9C-101B-9397-08002B2CF9AE}" pid="3" name="ZOTERO_PREF_1">
    <vt:lpwstr>&lt;data data-version="3" zotero-version="7.0.16"&gt;&lt;session id="688DnQZt"/&gt;&lt;style id="http://www.zotero.org/styles/nlm-citation-sequence" locale="en-US" hasBibliography="1" bibliographyStyleHasBeenSet="1"/&gt;&lt;prefs&gt;&lt;pref name="fieldType" value="Field"/&gt;&lt;/prefs&gt;</vt:lpwstr>
  </property>
  <property fmtid="{D5CDD505-2E9C-101B-9397-08002B2CF9AE}" pid="4" name="ZOTERO_PREF_2">
    <vt:lpwstr>&lt;/data&gt;</vt:lpwstr>
  </property>
</Properties>
</file>