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68CADD" w14:textId="120E4B4C" w:rsidR="00D1165A" w:rsidRDefault="00D1165A" w:rsidP="0054247C">
      <w:pPr>
        <w:shd w:val="clear" w:color="auto" w:fill="FFFFFF"/>
        <w:spacing w:before="480" w:after="240"/>
        <w:jc w:val="center"/>
        <w:outlineLvl w:val="2"/>
        <w:rPr>
          <w:rFonts w:eastAsia="Times New Roman" w:cstheme="minorHAnsi"/>
          <w:b/>
          <w:bCs/>
          <w:color w:val="000000" w:themeColor="text1"/>
          <w:lang w:val="en-US" w:eastAsia="fr-FR"/>
        </w:rPr>
      </w:pPr>
      <w:r w:rsidRPr="00D1165A">
        <w:rPr>
          <w:rFonts w:eastAsia="Times New Roman" w:cstheme="minorHAnsi"/>
          <w:b/>
          <w:bCs/>
          <w:color w:val="000000" w:themeColor="text1"/>
          <w:lang w:val="en-US" w:eastAsia="fr-FR"/>
        </w:rPr>
        <w:t xml:space="preserve">Original Research Article </w:t>
      </w:r>
    </w:p>
    <w:p w14:paraId="3BBA94C1" w14:textId="3D81CB80" w:rsidR="005213C6" w:rsidRPr="005213C6" w:rsidRDefault="005213C6" w:rsidP="005213C6">
      <w:pPr>
        <w:shd w:val="clear" w:color="auto" w:fill="FFFFFF"/>
        <w:spacing w:before="480" w:after="240"/>
        <w:jc w:val="center"/>
        <w:outlineLvl w:val="2"/>
        <w:rPr>
          <w:rFonts w:eastAsia="Times New Roman" w:cstheme="minorHAnsi"/>
          <w:b/>
          <w:bCs/>
          <w:color w:val="000000" w:themeColor="text1"/>
          <w:lang w:val="en-US" w:eastAsia="fr-FR"/>
        </w:rPr>
      </w:pPr>
      <w:r w:rsidRPr="005213C6">
        <w:rPr>
          <w:rFonts w:eastAsia="Times New Roman" w:cstheme="minorHAnsi"/>
          <w:b/>
          <w:bCs/>
          <w:color w:val="000000" w:themeColor="text1"/>
          <w:lang w:val="en-US" w:eastAsia="fr-FR"/>
        </w:rPr>
        <w:t xml:space="preserve">The Added Value of 18F-FDG PET/CT in </w:t>
      </w:r>
      <w:bookmarkStart w:id="0" w:name="_Hlk222227232"/>
      <w:r w:rsidRPr="005213C6">
        <w:rPr>
          <w:rFonts w:eastAsia="Times New Roman" w:cstheme="minorHAnsi"/>
          <w:b/>
          <w:bCs/>
          <w:color w:val="000000" w:themeColor="text1"/>
          <w:lang w:val="en-US" w:eastAsia="fr-FR"/>
        </w:rPr>
        <w:t xml:space="preserve">Suspected Infective Endocarditis: </w:t>
      </w:r>
      <w:bookmarkEnd w:id="0"/>
      <w:r w:rsidRPr="005213C6">
        <w:rPr>
          <w:rFonts w:eastAsia="Times New Roman" w:cstheme="minorHAnsi"/>
          <w:b/>
          <w:bCs/>
          <w:color w:val="000000" w:themeColor="text1"/>
          <w:lang w:val="en-US" w:eastAsia="fr-FR"/>
        </w:rPr>
        <w:t>A Retrospective Analysis of 21 Cases</w:t>
      </w:r>
    </w:p>
    <w:p w14:paraId="0ADD21A9" w14:textId="77777777" w:rsidR="00CD3935" w:rsidRPr="00CD3935" w:rsidRDefault="00CD3935" w:rsidP="0054247C">
      <w:pPr>
        <w:shd w:val="clear" w:color="auto" w:fill="FFFFFF"/>
        <w:spacing w:before="480" w:after="240"/>
        <w:jc w:val="both"/>
        <w:outlineLvl w:val="2"/>
        <w:rPr>
          <w:rFonts w:eastAsia="Times New Roman" w:cstheme="minorHAnsi"/>
          <w:b/>
          <w:bCs/>
          <w:color w:val="000000" w:themeColor="text1"/>
          <w:lang w:val="en-US" w:eastAsia="fr-FR"/>
        </w:rPr>
      </w:pPr>
      <w:r w:rsidRPr="00CD3935">
        <w:rPr>
          <w:rFonts w:eastAsia="Times New Roman" w:cstheme="minorHAnsi"/>
          <w:b/>
          <w:bCs/>
          <w:color w:val="000000" w:themeColor="text1"/>
          <w:lang w:val="en-US" w:eastAsia="fr-FR"/>
        </w:rPr>
        <w:t>Abstract</w:t>
      </w:r>
    </w:p>
    <w:p w14:paraId="6060FD6D"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b/>
          <w:bCs/>
          <w:color w:val="000000" w:themeColor="text1"/>
          <w:lang w:val="en-US" w:eastAsia="fr-FR"/>
        </w:rPr>
        <w:t>Background:</w:t>
      </w:r>
      <w:r w:rsidRPr="00CD3935">
        <w:rPr>
          <w:rFonts w:eastAsia="Times New Roman" w:cstheme="minorHAnsi"/>
          <w:color w:val="000000" w:themeColor="text1"/>
          <w:lang w:val="en-US" w:eastAsia="fr-FR"/>
        </w:rPr>
        <w:t> The diagnosis of infective endocarditis (IE) remains complex, and the modified Duke criteria have limitations, particularly in patients with prosthetic valves or cardiac devices. This study evaluates the diagnostic contribution and clinical impact of 18F-FDG PET/CT in patients with suspected IE and inconclusive initial evaluations.</w:t>
      </w:r>
    </w:p>
    <w:p w14:paraId="03E71ECF"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b/>
          <w:bCs/>
          <w:color w:val="000000" w:themeColor="text1"/>
          <w:lang w:val="en-US" w:eastAsia="fr-FR"/>
        </w:rPr>
        <w:t>Materials and Methods:</w:t>
      </w:r>
      <w:r w:rsidRPr="00CD3935">
        <w:rPr>
          <w:rFonts w:eastAsia="Times New Roman" w:cstheme="minorHAnsi"/>
          <w:color w:val="000000" w:themeColor="text1"/>
          <w:lang w:val="en-US" w:eastAsia="fr-FR"/>
        </w:rPr>
        <w:t> We conducted a retrospective analysis of 21 18F-FDG PET/CT scans performed for suspected IE between January 2020 and December 2025 in 18 patients initially classified as Duke ± (possible) or Duke − (rejected). The final diagnosis of IE was established by multidisciplinary consensus during follow-up (minimum 3 months). PET/CT image analysis focused on the cardiac area and systematically searched for distant septic foci. Semi-quantitative parameters (</w:t>
      </w:r>
      <w:proofErr w:type="spellStart"/>
      <w:r w:rsidRPr="00CD3935">
        <w:rPr>
          <w:rFonts w:eastAsia="Times New Roman" w:cstheme="minorHAnsi"/>
          <w:color w:val="000000" w:themeColor="text1"/>
          <w:lang w:val="en-US" w:eastAsia="fr-FR"/>
        </w:rPr>
        <w:t>SUVmax</w:t>
      </w:r>
      <w:proofErr w:type="spellEnd"/>
      <w:r w:rsidRPr="00CD3935">
        <w:rPr>
          <w:rFonts w:eastAsia="Times New Roman" w:cstheme="minorHAnsi"/>
          <w:color w:val="000000" w:themeColor="text1"/>
          <w:lang w:val="en-US" w:eastAsia="fr-FR"/>
        </w:rPr>
        <w:t>, target-to-background ratios) were recorded. Diagnostic performance was calculated with 95% confidence intervals, and clinical impact (reclassification rate and management changes) was quantified.</w:t>
      </w:r>
    </w:p>
    <w:p w14:paraId="5495A75E"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b/>
          <w:bCs/>
          <w:color w:val="000000" w:themeColor="text1"/>
          <w:lang w:val="en-US" w:eastAsia="fr-FR"/>
        </w:rPr>
        <w:t>Results:</w:t>
      </w:r>
      <w:r w:rsidRPr="00CD3935">
        <w:rPr>
          <w:rFonts w:eastAsia="Times New Roman" w:cstheme="minorHAnsi"/>
          <w:color w:val="000000" w:themeColor="text1"/>
          <w:lang w:val="en-US" w:eastAsia="fr-FR"/>
        </w:rPr>
        <w:t> Of the 21 scans, 15 were performed in patients with prosthetic cardiac material. PET/CT was positive in 9 of these 15 patients (60%), demonstrating periprosthetic valvular hypermetabolism in 6 patients and device-related hypermetabolism in 3 patients. Extracardiac infectious foci were identified in 6 patients (40%). One false-negative result occurred in a patient on prolonged antibiotic therapy for fungal endocarditis. In the 6 patients with suspected native valve IE, all PET/CT scans were negative, and IE was subsequently excluded. Diagnostic performance in the prosthetic material group showed: sensitivity 90% (95% CI: 54.1–99.5%), specificity 100% (95% CI: 46.3–100%), PPV 100% (95% CI: 62.9–100%), NPV 83.3% (95% CI: 36.5–99.1%). PET/CT reclassified 8 of 16 patients (50%) from "possible" to "definite" IE and influenced clinical management in 12 of 21 scans (57.1%), including treatment intensification, detection of extracardiac foci requiring intervention, avoidance of unnecessary procedures, and surgical planning guidance.</w:t>
      </w:r>
    </w:p>
    <w:p w14:paraId="0C429585"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b/>
          <w:bCs/>
          <w:color w:val="000000" w:themeColor="text1"/>
          <w:lang w:val="en-US" w:eastAsia="fr-FR"/>
        </w:rPr>
        <w:t>Conclusion:</w:t>
      </w:r>
      <w:r w:rsidRPr="00CD3935">
        <w:rPr>
          <w:rFonts w:eastAsia="Times New Roman" w:cstheme="minorHAnsi"/>
          <w:color w:val="000000" w:themeColor="text1"/>
          <w:lang w:val="en-US" w:eastAsia="fr-FR"/>
        </w:rPr>
        <w:t> 18F-FDG PET/CT provides significant diagnostic value in suspected IE involving prosthetic valves or cardiac devices, with high sensitivity and specificity when echocardiography is inconclusive. The examination not only aids in confirming cardiac infection but also provides crucial whole-body assessment by detecting peripheral septic emboli and extracardiac foci. With a 50% reclassification rate and 57% impact on management, PET/CT should be performed early in the diagnostic pathway for appropriately selected patients according to 2023 ESC guidelines.</w:t>
      </w:r>
    </w:p>
    <w:p w14:paraId="443BD480" w14:textId="3DAFFBB2"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b/>
          <w:bCs/>
          <w:color w:val="000000" w:themeColor="text1"/>
          <w:lang w:val="en-US" w:eastAsia="fr-FR"/>
        </w:rPr>
        <w:t>Keywords:</w:t>
      </w:r>
      <w:r w:rsidRPr="00CD3935">
        <w:rPr>
          <w:rFonts w:eastAsia="Times New Roman" w:cstheme="minorHAnsi"/>
          <w:color w:val="000000" w:themeColor="text1"/>
          <w:lang w:val="en-US" w:eastAsia="fr-FR"/>
        </w:rPr>
        <w:t> Infective Endocarditis; 18F-FDG PET/CT; Prosthetic Valve Endocarditis; Cardiac Implantable Electronic Device Infection; Duke Criteria; ESC Guidelines 2023; Clinical Impact; Case Series.</w:t>
      </w:r>
    </w:p>
    <w:p w14:paraId="46540BBD" w14:textId="77777777" w:rsidR="00CD3935" w:rsidRPr="00CD3935" w:rsidRDefault="00CD3935" w:rsidP="0054247C">
      <w:pPr>
        <w:shd w:val="clear" w:color="auto" w:fill="FFFFFF"/>
        <w:spacing w:before="480" w:after="240"/>
        <w:jc w:val="both"/>
        <w:outlineLvl w:val="2"/>
        <w:rPr>
          <w:rFonts w:eastAsia="Times New Roman" w:cstheme="minorHAnsi"/>
          <w:b/>
          <w:bCs/>
          <w:color w:val="000000" w:themeColor="text1"/>
          <w:lang w:val="en-US" w:eastAsia="fr-FR"/>
        </w:rPr>
      </w:pPr>
      <w:r w:rsidRPr="00CD3935">
        <w:rPr>
          <w:rFonts w:eastAsia="Times New Roman" w:cstheme="minorHAnsi"/>
          <w:b/>
          <w:bCs/>
          <w:color w:val="000000" w:themeColor="text1"/>
          <w:lang w:val="en-US" w:eastAsia="fr-FR"/>
        </w:rPr>
        <w:lastRenderedPageBreak/>
        <w:t>Introduction</w:t>
      </w:r>
    </w:p>
    <w:p w14:paraId="21533850"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Infective endocarditis (IE) is a potentially life-threatening condition characterized by microbial infection of the endocardial surface, most commonly involving native or prosthetic heart valves, as well as cardiac implantable electronic devices (CIEDs) [1, 2]. Despite advances in diagnostic and therapeutic strategies, IE continues to be associated with high morbidity and mortality, with in-hospital mortality rates ranging from 15% to 30% [3].</w:t>
      </w:r>
    </w:p>
    <w:p w14:paraId="10A4290F"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The diagnosis of IE has historically been challenging due to its heterogeneous clinical presentation and the variable sensitivity of available diagnostic tools. The modified Duke criteria, introduced in 1994 and subsequently updated, have long served as the cornerstone of diagnostic classification, integrating clinical, microbiological, and echocardiographic findings [4, 5]. However, these criteria have well-recognized limitations. Their diagnostic sensitivity is significantly reduced in certain clinical scenarios, particularly in patients with prosthetic valves, intracardiac devices, or blood culture-negative endocarditis (BCNE), where echocardiography may be inconclusive due to acoustic shadowing or the inability to distinguish between thrombus, vegetation, and abscess [6, 7].</w:t>
      </w:r>
    </w:p>
    <w:p w14:paraId="04C7EFAE"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In recent years, molecular imaging has emerged as a powerful adjunctive tool to address this diagnostic gap. 18F-Fluorodeoxyglucose Positron Emission Tomography/Computed Tomography (18F-FDG PET/CT) exploits the increased glucose metabolism of activated inflammatory cells, such as neutrophils, macrophages, and lymphocytes, which infiltrate infected tissues [8]. Recent meta-analyses have reported pooled sensitivities of 73–86% and specificities of 80–88% for 18F-FDG PET/CT in the diagnosis of prosthetic valve endocarditis and cardiac device-related infections, confirming its valuable role as an adjunctive diagnostic tool in these settings [9, 10].</w:t>
      </w:r>
    </w:p>
    <w:p w14:paraId="0542A7C7"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The diagnostic utility of 18F-FDG PET/CT in IE has been most extensively validated in the context of prosthetic valve endocarditis (PVE) and CIED infections. In these settings, pathological FDG uptake around the prosthetic material can be visualized long before morphological changes become apparent on echocardiography [11].</w:t>
      </w:r>
    </w:p>
    <w:p w14:paraId="759A9F5A" w14:textId="76A79C82"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The </w:t>
      </w:r>
      <w:r w:rsidRPr="00CD3935">
        <w:rPr>
          <w:rFonts w:eastAsia="Times New Roman" w:cstheme="minorHAnsi"/>
          <w:bCs/>
          <w:color w:val="000000" w:themeColor="text1"/>
          <w:lang w:val="en-US" w:eastAsia="fr-FR"/>
        </w:rPr>
        <w:t>2023 European Society of Cardiology (ESC) Guidelines</w:t>
      </w:r>
      <w:r w:rsidRPr="00CD3935">
        <w:rPr>
          <w:rFonts w:eastAsia="Times New Roman" w:cstheme="minorHAnsi"/>
          <w:color w:val="000000" w:themeColor="text1"/>
          <w:lang w:val="en-US" w:eastAsia="fr-FR"/>
        </w:rPr>
        <w:t> for the management of endocarditis have significantly elevated the role of multimodality imaging in the diagnostic workup [12]. For the first time, abnormal FDG uptake detected by PET/CT has been incorporated as a </w:t>
      </w:r>
      <w:r w:rsidRPr="00CD3935">
        <w:rPr>
          <w:rFonts w:eastAsia="Times New Roman" w:cstheme="minorHAnsi"/>
          <w:bCs/>
          <w:color w:val="000000" w:themeColor="text1"/>
          <w:lang w:val="en-US" w:eastAsia="fr-FR"/>
        </w:rPr>
        <w:t>major diagnostic criterion</w:t>
      </w:r>
      <w:r w:rsidRPr="00CD3935">
        <w:rPr>
          <w:rFonts w:eastAsia="Times New Roman" w:cstheme="minorHAnsi"/>
          <w:color w:val="000000" w:themeColor="text1"/>
          <w:lang w:val="en-US" w:eastAsia="fr-FR"/>
        </w:rPr>
        <w:t xml:space="preserve"> in the revised Duke-ESC criteria for specific patient populations [13]. </w:t>
      </w:r>
    </w:p>
    <w:p w14:paraId="47E02779"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Importantly, the guidelines emphasize that PET/CT is </w:t>
      </w:r>
      <w:r w:rsidRPr="00CD3935">
        <w:rPr>
          <w:rFonts w:eastAsia="Times New Roman" w:cstheme="minorHAnsi"/>
          <w:bCs/>
          <w:color w:val="000000" w:themeColor="text1"/>
          <w:lang w:val="en-US" w:eastAsia="fr-FR"/>
        </w:rPr>
        <w:t>not routinely indicated</w:t>
      </w:r>
      <w:r w:rsidRPr="00CD3935">
        <w:rPr>
          <w:rFonts w:eastAsia="Times New Roman" w:cstheme="minorHAnsi"/>
          <w:color w:val="000000" w:themeColor="text1"/>
          <w:lang w:val="en-US" w:eastAsia="fr-FR"/>
        </w:rPr>
        <w:t> for suspected native valve endocarditis (NVE) due to limited sensitivity, and its use should be reserved for cases where echocardiography remains inconclusive despite high clinical suspicion [14].</w:t>
      </w:r>
    </w:p>
    <w:p w14:paraId="11058DFA" w14:textId="742626B3"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This retrospective study aims to evaluate the real-world diagnostic contribution, semi-quantitative parameters, and clinical impact (reclassification rate and management changes) of 18F-FDG PET/CT in a cohort of patients with suspected IE and initially inconclusive Duke classifications.</w:t>
      </w:r>
    </w:p>
    <w:p w14:paraId="1D2472E2" w14:textId="77777777" w:rsidR="00CD3935" w:rsidRPr="00CD3935" w:rsidRDefault="00CD3935" w:rsidP="0054247C">
      <w:pPr>
        <w:shd w:val="clear" w:color="auto" w:fill="FFFFFF"/>
        <w:spacing w:before="480" w:after="240"/>
        <w:jc w:val="both"/>
        <w:outlineLvl w:val="2"/>
        <w:rPr>
          <w:rFonts w:eastAsia="Times New Roman" w:cstheme="minorHAnsi"/>
          <w:b/>
          <w:bCs/>
          <w:color w:val="000000" w:themeColor="text1"/>
          <w:lang w:val="en-US" w:eastAsia="fr-FR"/>
        </w:rPr>
      </w:pPr>
      <w:r w:rsidRPr="00CD3935">
        <w:rPr>
          <w:rFonts w:eastAsia="Times New Roman" w:cstheme="minorHAnsi"/>
          <w:b/>
          <w:bCs/>
          <w:color w:val="000000" w:themeColor="text1"/>
          <w:lang w:val="en-US" w:eastAsia="fr-FR"/>
        </w:rPr>
        <w:t>Materials and Methods</w:t>
      </w:r>
    </w:p>
    <w:p w14:paraId="1A581162"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b/>
          <w:bCs/>
          <w:color w:val="000000" w:themeColor="text1"/>
          <w:lang w:val="en-US" w:eastAsia="fr-FR"/>
        </w:rPr>
        <w:lastRenderedPageBreak/>
        <w:t>Study Design and Population:</w:t>
      </w:r>
    </w:p>
    <w:p w14:paraId="3F9FA8CE" w14:textId="1C404580"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 xml:space="preserve">We conducted a single-center, retrospective observational study at </w:t>
      </w:r>
      <w:r>
        <w:rPr>
          <w:rFonts w:eastAsia="Times New Roman" w:cstheme="minorHAnsi"/>
          <w:color w:val="000000" w:themeColor="text1"/>
          <w:lang w:val="en-US" w:eastAsia="fr-FR"/>
        </w:rPr>
        <w:t xml:space="preserve">the Military Hospital of Teaching Mohammed 5 </w:t>
      </w:r>
      <w:r w:rsidRPr="00CD3935">
        <w:rPr>
          <w:rFonts w:eastAsia="Times New Roman" w:cstheme="minorHAnsi"/>
          <w:color w:val="000000" w:themeColor="text1"/>
          <w:lang w:val="en-US" w:eastAsia="fr-FR"/>
        </w:rPr>
        <w:t>over a six-year period from January 2020 to December 2025. All adult patients (≥18 years) who underwent an 18F-FDG PET/CT scan for suspected infective endocarditis during this period were identified through the institutional nuclear medicine database.</w:t>
      </w:r>
    </w:p>
    <w:p w14:paraId="6B1BB642" w14:textId="77777777" w:rsidR="00CD3935" w:rsidRPr="00CD3935" w:rsidRDefault="00CD3935" w:rsidP="0054247C">
      <w:pPr>
        <w:shd w:val="clear" w:color="auto" w:fill="FFFFFF"/>
        <w:spacing w:before="240" w:after="240"/>
        <w:jc w:val="both"/>
        <w:rPr>
          <w:rFonts w:eastAsia="Times New Roman" w:cstheme="minorHAnsi"/>
          <w:color w:val="000000" w:themeColor="text1"/>
          <w:lang w:eastAsia="fr-FR"/>
        </w:rPr>
      </w:pPr>
      <w:r w:rsidRPr="00CD3935">
        <w:rPr>
          <w:rFonts w:eastAsia="Times New Roman" w:cstheme="minorHAnsi"/>
          <w:b/>
          <w:bCs/>
          <w:color w:val="000000" w:themeColor="text1"/>
          <w:lang w:eastAsia="fr-FR"/>
        </w:rPr>
        <w:t xml:space="preserve">Inclusion </w:t>
      </w:r>
      <w:proofErr w:type="spellStart"/>
      <w:r w:rsidRPr="00CD3935">
        <w:rPr>
          <w:rFonts w:eastAsia="Times New Roman" w:cstheme="minorHAnsi"/>
          <w:b/>
          <w:bCs/>
          <w:color w:val="000000" w:themeColor="text1"/>
          <w:lang w:eastAsia="fr-FR"/>
        </w:rPr>
        <w:t>criteria</w:t>
      </w:r>
      <w:proofErr w:type="spellEnd"/>
      <w:r w:rsidRPr="00CD3935">
        <w:rPr>
          <w:rFonts w:eastAsia="Times New Roman" w:cstheme="minorHAnsi"/>
          <w:b/>
          <w:bCs/>
          <w:color w:val="000000" w:themeColor="text1"/>
          <w:lang w:eastAsia="fr-FR"/>
        </w:rPr>
        <w:t xml:space="preserve"> </w:t>
      </w:r>
      <w:proofErr w:type="spellStart"/>
      <w:proofErr w:type="gramStart"/>
      <w:r w:rsidRPr="00CD3935">
        <w:rPr>
          <w:rFonts w:eastAsia="Times New Roman" w:cstheme="minorHAnsi"/>
          <w:b/>
          <w:bCs/>
          <w:color w:val="000000" w:themeColor="text1"/>
          <w:lang w:eastAsia="fr-FR"/>
        </w:rPr>
        <w:t>were</w:t>
      </w:r>
      <w:proofErr w:type="spellEnd"/>
      <w:r w:rsidRPr="00CD3935">
        <w:rPr>
          <w:rFonts w:eastAsia="Times New Roman" w:cstheme="minorHAnsi"/>
          <w:b/>
          <w:bCs/>
          <w:color w:val="000000" w:themeColor="text1"/>
          <w:lang w:eastAsia="fr-FR"/>
        </w:rPr>
        <w:t>:</w:t>
      </w:r>
      <w:proofErr w:type="gramEnd"/>
    </w:p>
    <w:p w14:paraId="212BF07F" w14:textId="77777777" w:rsidR="00CD3935" w:rsidRPr="00CD3935" w:rsidRDefault="00CD3935" w:rsidP="0054247C">
      <w:pPr>
        <w:numPr>
          <w:ilvl w:val="0"/>
          <w:numId w:val="9"/>
        </w:numPr>
        <w:shd w:val="clear" w:color="auto" w:fill="FFFFFF"/>
        <w:spacing w:before="100" w:beforeAutospacing="1"/>
        <w:ind w:left="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Clinical suspicion of IE based on the presence of predisposing factors, fever, or suggestive symptoms.</w:t>
      </w:r>
    </w:p>
    <w:p w14:paraId="2DB60EFB" w14:textId="77777777" w:rsidR="00CD3935" w:rsidRPr="00CD3935" w:rsidRDefault="00CD3935" w:rsidP="0054247C">
      <w:pPr>
        <w:numPr>
          <w:ilvl w:val="0"/>
          <w:numId w:val="9"/>
        </w:numPr>
        <w:shd w:val="clear" w:color="auto" w:fill="FFFFFF"/>
        <w:spacing w:before="100" w:beforeAutospacing="1"/>
        <w:ind w:left="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An initial diagnostic classification of "possible IE" (Duke ±) or "rejected IE" (Duke −) according to the modified Duke criteria after standard evaluation including blood cultures and transthoracic (TTE) and/or transesophageal echocardiography (TEE).</w:t>
      </w:r>
    </w:p>
    <w:p w14:paraId="3C697AAA" w14:textId="77777777" w:rsidR="00CD3935" w:rsidRPr="00CD3935" w:rsidRDefault="00CD3935" w:rsidP="0054247C">
      <w:pPr>
        <w:numPr>
          <w:ilvl w:val="0"/>
          <w:numId w:val="9"/>
        </w:numPr>
        <w:shd w:val="clear" w:color="auto" w:fill="FFFFFF"/>
        <w:spacing w:before="100" w:beforeAutospacing="1"/>
        <w:ind w:left="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Performance of an 18F-FDG PET/CT scan as part of the diagnostic workup.</w:t>
      </w:r>
    </w:p>
    <w:p w14:paraId="3593B08A" w14:textId="77777777" w:rsidR="00CD3935" w:rsidRPr="00CD3935" w:rsidRDefault="00CD3935" w:rsidP="0054247C">
      <w:pPr>
        <w:shd w:val="clear" w:color="auto" w:fill="FFFFFF"/>
        <w:spacing w:before="240" w:after="240"/>
        <w:jc w:val="both"/>
        <w:rPr>
          <w:rFonts w:eastAsia="Times New Roman" w:cstheme="minorHAnsi"/>
          <w:color w:val="000000" w:themeColor="text1"/>
          <w:lang w:eastAsia="fr-FR"/>
        </w:rPr>
      </w:pPr>
      <w:r w:rsidRPr="00CD3935">
        <w:rPr>
          <w:rFonts w:eastAsia="Times New Roman" w:cstheme="minorHAnsi"/>
          <w:b/>
          <w:bCs/>
          <w:color w:val="000000" w:themeColor="text1"/>
          <w:lang w:eastAsia="fr-FR"/>
        </w:rPr>
        <w:t xml:space="preserve">Exclusion </w:t>
      </w:r>
      <w:proofErr w:type="spellStart"/>
      <w:r w:rsidRPr="00CD3935">
        <w:rPr>
          <w:rFonts w:eastAsia="Times New Roman" w:cstheme="minorHAnsi"/>
          <w:b/>
          <w:bCs/>
          <w:color w:val="000000" w:themeColor="text1"/>
          <w:lang w:eastAsia="fr-FR"/>
        </w:rPr>
        <w:t>criteria</w:t>
      </w:r>
      <w:proofErr w:type="spellEnd"/>
      <w:r w:rsidRPr="00CD3935">
        <w:rPr>
          <w:rFonts w:eastAsia="Times New Roman" w:cstheme="minorHAnsi"/>
          <w:b/>
          <w:bCs/>
          <w:color w:val="000000" w:themeColor="text1"/>
          <w:lang w:eastAsia="fr-FR"/>
        </w:rPr>
        <w:t xml:space="preserve"> </w:t>
      </w:r>
      <w:proofErr w:type="spellStart"/>
      <w:proofErr w:type="gramStart"/>
      <w:r w:rsidRPr="00CD3935">
        <w:rPr>
          <w:rFonts w:eastAsia="Times New Roman" w:cstheme="minorHAnsi"/>
          <w:b/>
          <w:bCs/>
          <w:color w:val="000000" w:themeColor="text1"/>
          <w:lang w:eastAsia="fr-FR"/>
        </w:rPr>
        <w:t>were</w:t>
      </w:r>
      <w:proofErr w:type="spellEnd"/>
      <w:r w:rsidRPr="00CD3935">
        <w:rPr>
          <w:rFonts w:eastAsia="Times New Roman" w:cstheme="minorHAnsi"/>
          <w:b/>
          <w:bCs/>
          <w:color w:val="000000" w:themeColor="text1"/>
          <w:lang w:eastAsia="fr-FR"/>
        </w:rPr>
        <w:t>:</w:t>
      </w:r>
      <w:proofErr w:type="gramEnd"/>
    </w:p>
    <w:p w14:paraId="7DE85D5E" w14:textId="77777777" w:rsidR="00CD3935" w:rsidRPr="00CD3935" w:rsidRDefault="00CD3935" w:rsidP="0054247C">
      <w:pPr>
        <w:numPr>
          <w:ilvl w:val="0"/>
          <w:numId w:val="10"/>
        </w:numPr>
        <w:shd w:val="clear" w:color="auto" w:fill="FFFFFF"/>
        <w:spacing w:before="100" w:beforeAutospacing="1"/>
        <w:ind w:left="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Definitive diagnosis of IE based on initial Duke criteria prior to PET/CT.</w:t>
      </w:r>
    </w:p>
    <w:p w14:paraId="5652EB0A" w14:textId="77777777" w:rsidR="00CD3935" w:rsidRPr="00CD3935" w:rsidRDefault="00CD3935" w:rsidP="0054247C">
      <w:pPr>
        <w:numPr>
          <w:ilvl w:val="0"/>
          <w:numId w:val="10"/>
        </w:numPr>
        <w:shd w:val="clear" w:color="auto" w:fill="FFFFFF"/>
        <w:spacing w:before="100" w:beforeAutospacing="1"/>
        <w:ind w:left="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Incomplete clinical or imaging data.</w:t>
      </w:r>
    </w:p>
    <w:p w14:paraId="460FBD44" w14:textId="77777777" w:rsidR="00CD3935" w:rsidRPr="00CD3935" w:rsidRDefault="00CD3935" w:rsidP="0054247C">
      <w:pPr>
        <w:numPr>
          <w:ilvl w:val="0"/>
          <w:numId w:val="10"/>
        </w:numPr>
        <w:shd w:val="clear" w:color="auto" w:fill="FFFFFF"/>
        <w:spacing w:before="100" w:beforeAutospacing="1"/>
        <w:ind w:left="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Follow-up duration less than 3 months, insufficient to establish final diagnosis.</w:t>
      </w:r>
    </w:p>
    <w:p w14:paraId="448F12D2" w14:textId="496B6DB0" w:rsidR="00A332D9" w:rsidRPr="0054247C"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A total of 21 18F-FDG PET/CT scans performed in 18 patients met the inclusion criteria and were included in the final analysis. Three patients underwent two sequential scans during their diagnostic workup; therefore, diagnostic performance was calculated per scan rather than per patient to accurately reflect the performance of each imaging episode.</w:t>
      </w:r>
    </w:p>
    <w:p w14:paraId="08DE663C"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 xml:space="preserve">All patients were instructed to fast for at least 6 hours prior to the intravenous injection of 18F-FDG to ensure optimal image quality by minimizing physiological myocardial uptake. Blood glucose levels were measured before injection and were required to be &lt; 200 mg/dL (11 mmol/L). A standard activity of 3-5 </w:t>
      </w:r>
      <w:proofErr w:type="spellStart"/>
      <w:r w:rsidRPr="00CD3935">
        <w:rPr>
          <w:rFonts w:eastAsia="Times New Roman" w:cstheme="minorHAnsi"/>
          <w:color w:val="000000" w:themeColor="text1"/>
          <w:lang w:val="en-US" w:eastAsia="fr-FR"/>
        </w:rPr>
        <w:t>MBq</w:t>
      </w:r>
      <w:proofErr w:type="spellEnd"/>
      <w:r w:rsidRPr="00CD3935">
        <w:rPr>
          <w:rFonts w:eastAsia="Times New Roman" w:cstheme="minorHAnsi"/>
          <w:color w:val="000000" w:themeColor="text1"/>
          <w:lang w:val="en-US" w:eastAsia="fr-FR"/>
        </w:rPr>
        <w:t>/kg of 18F-FDG was administered intravenously. To suppress physiological myocardial glucose utilization, patients were maintained on a low-carbohydrate, fat-enriched diet for 24 hours prior to the examination, followed by a prolonged fast [14].</w:t>
      </w:r>
    </w:p>
    <w:p w14:paraId="5704CDBC"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Image acquisition was performed approximately 60 minutes post-injection using a dedicated PET/CT scanner [Specify Manufacturer and Model]. A low-dose, non-contrast CT scan was first acquired for attenuation correction and anatomical localization, followed by PET acquisition in 3D mode over the skull base to the upper thighs (typically 2-4 minutes per bed position). Images were reconstructed using iterative algorithms and reviewed on dedicated workstations.</w:t>
      </w:r>
    </w:p>
    <w:p w14:paraId="6E557924"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b/>
          <w:bCs/>
          <w:color w:val="000000" w:themeColor="text1"/>
          <w:lang w:val="en-US" w:eastAsia="fr-FR"/>
        </w:rPr>
        <w:t>Image Analysis:</w:t>
      </w:r>
    </w:p>
    <w:p w14:paraId="60153DBB"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All PET/CT images were interpreted qualitatively and semi-quantitatively by at least two experienced nuclear medicine physicians, blinded to the final clinical diagnosis. Discrepancies were resolved by consensus.</w:t>
      </w:r>
    </w:p>
    <w:p w14:paraId="2271B589" w14:textId="685505FC"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lastRenderedPageBreak/>
        <w:t>Analysis focused on two main areas:</w:t>
      </w:r>
      <w:r w:rsidR="00A332D9">
        <w:rPr>
          <w:rFonts w:eastAsia="Times New Roman" w:cstheme="minorHAnsi"/>
          <w:color w:val="000000" w:themeColor="text1"/>
          <w:lang w:val="en-US" w:eastAsia="fr-FR"/>
        </w:rPr>
        <w:t xml:space="preserve"> </w:t>
      </w:r>
      <w:r w:rsidRPr="00CD3935">
        <w:rPr>
          <w:rFonts w:eastAsia="Times New Roman" w:cstheme="minorHAnsi"/>
          <w:b/>
          <w:bCs/>
          <w:color w:val="000000" w:themeColor="text1"/>
          <w:lang w:val="en-US" w:eastAsia="fr-FR"/>
        </w:rPr>
        <w:t>Cardiac Region:</w:t>
      </w:r>
      <w:r w:rsidRPr="00CD3935">
        <w:rPr>
          <w:rFonts w:eastAsia="Times New Roman" w:cstheme="minorHAnsi"/>
          <w:color w:val="000000" w:themeColor="text1"/>
          <w:lang w:val="en-US" w:eastAsia="fr-FR"/>
        </w:rPr>
        <w:t> The native valves, prosthetic valves, and any cardiac implantable electronic device leads (pacemaker or defibrillator leads, generator pocket) were systematically evaluated. Pathological uptake was defined as focal or heterogeneous FDG activity persisting on attenuation-corrected images, with intensity clearly exceeding the background blood pool activity. The pattern of uptake (e.g., periprosthetic, along leads) was noted.</w:t>
      </w:r>
      <w:r w:rsidR="00A332D9">
        <w:rPr>
          <w:rFonts w:eastAsia="Times New Roman" w:cstheme="minorHAnsi"/>
          <w:color w:val="000000" w:themeColor="text1"/>
          <w:lang w:val="en-US" w:eastAsia="fr-FR"/>
        </w:rPr>
        <w:t xml:space="preserve"> And </w:t>
      </w:r>
      <w:r w:rsidR="00A332D9">
        <w:rPr>
          <w:rFonts w:eastAsia="Times New Roman" w:cstheme="minorHAnsi"/>
          <w:b/>
          <w:bCs/>
          <w:color w:val="000000" w:themeColor="text1"/>
          <w:lang w:val="en-US" w:eastAsia="fr-FR"/>
        </w:rPr>
        <w:t>e</w:t>
      </w:r>
      <w:r w:rsidRPr="00CD3935">
        <w:rPr>
          <w:rFonts w:eastAsia="Times New Roman" w:cstheme="minorHAnsi"/>
          <w:b/>
          <w:bCs/>
          <w:color w:val="000000" w:themeColor="text1"/>
          <w:lang w:val="en-US" w:eastAsia="fr-FR"/>
        </w:rPr>
        <w:t>xtracardiac Region:</w:t>
      </w:r>
      <w:r w:rsidRPr="00CD3935">
        <w:rPr>
          <w:rFonts w:eastAsia="Times New Roman" w:cstheme="minorHAnsi"/>
          <w:color w:val="000000" w:themeColor="text1"/>
          <w:lang w:val="en-US" w:eastAsia="fr-FR"/>
        </w:rPr>
        <w:t> A whole-body survey was performed to identify any potential distant septic emboli (e.g., splenic, renal, cerebral, or musculoskeletal), metastatic infectious foci, or incidental findings, as well as potential portals of entry (e.g., soft tissue infections, vascular catheter infections).</w:t>
      </w:r>
    </w:p>
    <w:p w14:paraId="7F4E144B"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b/>
          <w:bCs/>
          <w:color w:val="000000" w:themeColor="text1"/>
          <w:lang w:val="en-US" w:eastAsia="fr-FR"/>
        </w:rPr>
        <w:t>Semi-Quantitative Analysis:</w:t>
      </w:r>
    </w:p>
    <w:p w14:paraId="716D850B"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For all positive scans, regions of interest (ROIs) were drawn over areas of maximal cardiac FDG uptake, and maximum standardized uptake values (</w:t>
      </w:r>
      <w:proofErr w:type="spellStart"/>
      <w:r w:rsidRPr="00CD3935">
        <w:rPr>
          <w:rFonts w:eastAsia="Times New Roman" w:cstheme="minorHAnsi"/>
          <w:color w:val="000000" w:themeColor="text1"/>
          <w:lang w:val="en-US" w:eastAsia="fr-FR"/>
        </w:rPr>
        <w:t>SUVmax</w:t>
      </w:r>
      <w:proofErr w:type="spellEnd"/>
      <w:r w:rsidRPr="00CD3935">
        <w:rPr>
          <w:rFonts w:eastAsia="Times New Roman" w:cstheme="minorHAnsi"/>
          <w:color w:val="000000" w:themeColor="text1"/>
          <w:lang w:val="en-US" w:eastAsia="fr-FR"/>
        </w:rPr>
        <w:t>) were recorded. Background activity was measured in the liver (</w:t>
      </w:r>
      <w:proofErr w:type="spellStart"/>
      <w:r w:rsidRPr="00CD3935">
        <w:rPr>
          <w:rFonts w:eastAsia="Times New Roman" w:cstheme="minorHAnsi"/>
          <w:color w:val="000000" w:themeColor="text1"/>
          <w:lang w:val="en-US" w:eastAsia="fr-FR"/>
        </w:rPr>
        <w:t>SUVmean</w:t>
      </w:r>
      <w:proofErr w:type="spellEnd"/>
      <w:r w:rsidRPr="00CD3935">
        <w:rPr>
          <w:rFonts w:eastAsia="Times New Roman" w:cstheme="minorHAnsi"/>
          <w:color w:val="000000" w:themeColor="text1"/>
          <w:lang w:val="en-US" w:eastAsia="fr-FR"/>
        </w:rPr>
        <w:t>) and blood pool (</w:t>
      </w:r>
      <w:proofErr w:type="spellStart"/>
      <w:r w:rsidRPr="00CD3935">
        <w:rPr>
          <w:rFonts w:eastAsia="Times New Roman" w:cstheme="minorHAnsi"/>
          <w:color w:val="000000" w:themeColor="text1"/>
          <w:lang w:val="en-US" w:eastAsia="fr-FR"/>
        </w:rPr>
        <w:t>SUVmean</w:t>
      </w:r>
      <w:proofErr w:type="spellEnd"/>
      <w:r w:rsidRPr="00CD3935">
        <w:rPr>
          <w:rFonts w:eastAsia="Times New Roman" w:cstheme="minorHAnsi"/>
          <w:color w:val="000000" w:themeColor="text1"/>
          <w:lang w:val="en-US" w:eastAsia="fr-FR"/>
        </w:rPr>
        <w:t xml:space="preserve"> from the superior vena cava or right atrium). Target-to-background ratios (TBR) were calculated as </w:t>
      </w:r>
      <w:proofErr w:type="spellStart"/>
      <w:r w:rsidRPr="00CD3935">
        <w:rPr>
          <w:rFonts w:eastAsia="Times New Roman" w:cstheme="minorHAnsi"/>
          <w:color w:val="000000" w:themeColor="text1"/>
          <w:lang w:val="en-US" w:eastAsia="fr-FR"/>
        </w:rPr>
        <w:t>SUVmax</w:t>
      </w:r>
      <w:proofErr w:type="spellEnd"/>
      <w:r w:rsidRPr="00CD3935">
        <w:rPr>
          <w:rFonts w:eastAsia="Times New Roman" w:cstheme="minorHAnsi"/>
          <w:color w:val="000000" w:themeColor="text1"/>
          <w:lang w:val="en-US" w:eastAsia="fr-FR"/>
        </w:rPr>
        <w:t>/</w:t>
      </w:r>
      <w:proofErr w:type="spellStart"/>
      <w:r w:rsidRPr="00CD3935">
        <w:rPr>
          <w:rFonts w:eastAsia="Times New Roman" w:cstheme="minorHAnsi"/>
          <w:color w:val="000000" w:themeColor="text1"/>
          <w:lang w:val="en-US" w:eastAsia="fr-FR"/>
        </w:rPr>
        <w:t>SUVmean</w:t>
      </w:r>
      <w:proofErr w:type="spellEnd"/>
      <w:r w:rsidRPr="00CD3935">
        <w:rPr>
          <w:rFonts w:eastAsia="Times New Roman" w:cstheme="minorHAnsi"/>
          <w:color w:val="000000" w:themeColor="text1"/>
          <w:lang w:val="en-US" w:eastAsia="fr-FR"/>
        </w:rPr>
        <w:t xml:space="preserve"> (background).</w:t>
      </w:r>
    </w:p>
    <w:p w14:paraId="1195E452"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b/>
          <w:bCs/>
          <w:color w:val="000000" w:themeColor="text1"/>
          <w:lang w:val="en-US" w:eastAsia="fr-FR"/>
        </w:rPr>
        <w:t>Reference Standard (Final Diagnosis):</w:t>
      </w:r>
    </w:p>
    <w:p w14:paraId="3E64D1DD"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The final diagnosis of IE was established by a multidisciplinary team (including cardiologists, infectious disease specialists, cardiac surgeons, and imaging specialists) during the patient's hospitalization and follow-up, based on all available clinical, microbiological, echocardiographic, intraoperative, and histopathological data over a minimum follow-up period of 3 months. Patients were classified as having "definite IE," "possible IE," or "rejected IE" based on this comprehensive review, which served as the reference standard for determining the true diagnostic performance of PET/CT.</w:t>
      </w:r>
    </w:p>
    <w:p w14:paraId="3CD3EE57"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b/>
          <w:bCs/>
          <w:color w:val="000000" w:themeColor="text1"/>
          <w:lang w:val="en-US" w:eastAsia="fr-FR"/>
        </w:rPr>
        <w:t>Clinical Impact Assessment:</w:t>
      </w:r>
    </w:p>
    <w:p w14:paraId="296B5E64"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Medical records were retrospectively reviewed to identify:</w:t>
      </w:r>
    </w:p>
    <w:p w14:paraId="1710F38E" w14:textId="77777777" w:rsidR="00CD3935" w:rsidRPr="00CD3935" w:rsidRDefault="00CD3935" w:rsidP="00AA5A39">
      <w:pPr>
        <w:shd w:val="clear" w:color="auto" w:fill="FFFFFF"/>
        <w:spacing w:before="100" w:beforeAutospacing="1"/>
        <w:jc w:val="both"/>
        <w:rPr>
          <w:rFonts w:eastAsia="Times New Roman" w:cstheme="minorHAnsi"/>
          <w:color w:val="000000" w:themeColor="text1"/>
          <w:lang w:val="en-US" w:eastAsia="fr-FR"/>
        </w:rPr>
      </w:pPr>
      <w:r w:rsidRPr="00CD3935">
        <w:rPr>
          <w:rFonts w:eastAsia="Times New Roman" w:cstheme="minorHAnsi"/>
          <w:b/>
          <w:bCs/>
          <w:color w:val="000000" w:themeColor="text1"/>
          <w:lang w:val="en-US" w:eastAsia="fr-FR"/>
        </w:rPr>
        <w:t>Duke reclassification:</w:t>
      </w:r>
      <w:r w:rsidRPr="00CD3935">
        <w:rPr>
          <w:rFonts w:eastAsia="Times New Roman" w:cstheme="minorHAnsi"/>
          <w:color w:val="000000" w:themeColor="text1"/>
          <w:lang w:val="en-US" w:eastAsia="fr-FR"/>
        </w:rPr>
        <w:t> The proportion of patients who would have been reclassified from "possible" to "definite" IE if PET/CT findings were incorporated as a major criterion according to ESC guidelines.</w:t>
      </w:r>
    </w:p>
    <w:p w14:paraId="005C3E2B" w14:textId="77777777" w:rsidR="00CD3935" w:rsidRPr="00CD3935" w:rsidRDefault="00CD3935" w:rsidP="00AA5A39">
      <w:pPr>
        <w:shd w:val="clear" w:color="auto" w:fill="FFFFFF"/>
        <w:spacing w:before="100" w:beforeAutospacing="1"/>
        <w:jc w:val="both"/>
        <w:rPr>
          <w:rFonts w:eastAsia="Times New Roman" w:cstheme="minorHAnsi"/>
          <w:color w:val="000000" w:themeColor="text1"/>
          <w:lang w:val="en-US" w:eastAsia="fr-FR"/>
        </w:rPr>
      </w:pPr>
      <w:r w:rsidRPr="00CD3935">
        <w:rPr>
          <w:rFonts w:eastAsia="Times New Roman" w:cstheme="minorHAnsi"/>
          <w:b/>
          <w:bCs/>
          <w:color w:val="000000" w:themeColor="text1"/>
          <w:lang w:val="en-US" w:eastAsia="fr-FR"/>
        </w:rPr>
        <w:t>Management changes:</w:t>
      </w:r>
      <w:r w:rsidRPr="00CD3935">
        <w:rPr>
          <w:rFonts w:eastAsia="Times New Roman" w:cstheme="minorHAnsi"/>
          <w:color w:val="000000" w:themeColor="text1"/>
          <w:lang w:val="en-US" w:eastAsia="fr-FR"/>
        </w:rPr>
        <w:t> Documented changes in clinical management attributable to PET/CT findings, including treatment intensification, detection of extracardiac foci requiring intervention, avoidance of unnecessary procedures, and surgical planning guidance.</w:t>
      </w:r>
    </w:p>
    <w:p w14:paraId="6DC9B835"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b/>
          <w:bCs/>
          <w:color w:val="000000" w:themeColor="text1"/>
          <w:lang w:val="en-US" w:eastAsia="fr-FR"/>
        </w:rPr>
        <w:t>Data Collection:</w:t>
      </w:r>
    </w:p>
    <w:p w14:paraId="6EACB91F"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Clinical data, including patient demographics, predisposing factors, type of cardiac material (native valve, prosthetic valve, CIED), microbiological findings, echocardiography results, antibiotic therapy status and duration at the time of PET/CT, and final diagnosis, were extracted from electronic medical records.</w:t>
      </w:r>
    </w:p>
    <w:p w14:paraId="7346C9D4"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b/>
          <w:bCs/>
          <w:color w:val="000000" w:themeColor="text1"/>
          <w:lang w:val="en-US" w:eastAsia="fr-FR"/>
        </w:rPr>
        <w:t>Statistical Analysis:</w:t>
      </w:r>
    </w:p>
    <w:p w14:paraId="238D60E6" w14:textId="6A80BAA9" w:rsidR="00CD3935" w:rsidRPr="00A332D9"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lastRenderedPageBreak/>
        <w:t>Diagnostic performance metrics (sensitivity, specificity, positive predictive value [PPV], negative predictive value [NPV]) were calculated with 95% confidence intervals using the Wilson score method. Subgroup analysis was performed based on antibiotic exposure at the time of PET/CT.</w:t>
      </w:r>
    </w:p>
    <w:p w14:paraId="01CB2569" w14:textId="77777777" w:rsidR="00CD3935" w:rsidRPr="00CD3935" w:rsidRDefault="00CD3935" w:rsidP="0054247C">
      <w:pPr>
        <w:shd w:val="clear" w:color="auto" w:fill="FFFFFF"/>
        <w:spacing w:before="480" w:after="240"/>
        <w:jc w:val="both"/>
        <w:outlineLvl w:val="2"/>
        <w:rPr>
          <w:rFonts w:eastAsia="Times New Roman" w:cstheme="minorHAnsi"/>
          <w:b/>
          <w:bCs/>
          <w:color w:val="000000" w:themeColor="text1"/>
          <w:lang w:val="en-US" w:eastAsia="fr-FR"/>
        </w:rPr>
      </w:pPr>
      <w:r w:rsidRPr="00CD3935">
        <w:rPr>
          <w:rFonts w:eastAsia="Times New Roman" w:cstheme="minorHAnsi"/>
          <w:b/>
          <w:bCs/>
          <w:color w:val="000000" w:themeColor="text1"/>
          <w:lang w:val="en-US" w:eastAsia="fr-FR"/>
        </w:rPr>
        <w:t>Results</w:t>
      </w:r>
    </w:p>
    <w:p w14:paraId="6966D60E"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b/>
          <w:bCs/>
          <w:color w:val="000000" w:themeColor="text1"/>
          <w:lang w:val="en-US" w:eastAsia="fr-FR"/>
        </w:rPr>
        <w:t>Patient Characteristics:</w:t>
      </w:r>
    </w:p>
    <w:p w14:paraId="292EB7AC"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A total of 21 18F-FDG PET/CT scans were performed in 18 patients (12 male, 6 female) with a mean age of 68 years (range: 45-86 years). The clinical characteristics of the study population are summarized in Table 1.</w:t>
      </w:r>
    </w:p>
    <w:p w14:paraId="1E96C793" w14:textId="66B964B8"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54247C">
        <w:rPr>
          <w:rFonts w:eastAsia="Times New Roman" w:cstheme="minorHAnsi"/>
          <w:color w:val="000000" w:themeColor="text1"/>
          <w:lang w:val="en-US" w:eastAsia="fr-FR"/>
        </w:rPr>
        <w:t>Of the 21 scans:</w:t>
      </w:r>
      <w:r w:rsidR="0054247C" w:rsidRPr="0054247C">
        <w:rPr>
          <w:rFonts w:eastAsia="Times New Roman" w:cstheme="minorHAnsi"/>
          <w:color w:val="000000" w:themeColor="text1"/>
          <w:lang w:val="en-US" w:eastAsia="fr-FR"/>
        </w:rPr>
        <w:t xml:space="preserve"> </w:t>
      </w:r>
      <w:r w:rsidRPr="006423D1">
        <w:rPr>
          <w:rFonts w:eastAsia="Times New Roman" w:cstheme="minorHAnsi"/>
          <w:bCs/>
          <w:color w:val="000000" w:themeColor="text1"/>
          <w:lang w:val="en-US" w:eastAsia="fr-FR"/>
        </w:rPr>
        <w:t>15 scans (71.4%)</w:t>
      </w:r>
      <w:r w:rsidRPr="006423D1">
        <w:rPr>
          <w:rFonts w:eastAsia="Times New Roman" w:cstheme="minorHAnsi"/>
          <w:color w:val="000000" w:themeColor="text1"/>
          <w:lang w:val="en-US" w:eastAsia="fr-FR"/>
        </w:rPr>
        <w:t> were performed in patients with prosthetic cardiac material:</w:t>
      </w:r>
      <w:r w:rsidR="0054247C" w:rsidRPr="006423D1">
        <w:rPr>
          <w:rFonts w:eastAsia="Times New Roman" w:cstheme="minorHAnsi"/>
          <w:color w:val="000000" w:themeColor="text1"/>
          <w:lang w:val="en-US" w:eastAsia="fr-FR"/>
        </w:rPr>
        <w:t xml:space="preserve"> </w:t>
      </w:r>
      <w:r w:rsidRPr="006423D1">
        <w:rPr>
          <w:rFonts w:eastAsia="Times New Roman" w:cstheme="minorHAnsi"/>
          <w:color w:val="000000" w:themeColor="text1"/>
          <w:lang w:val="en-US" w:eastAsia="fr-FR"/>
        </w:rPr>
        <w:t>12 scans in patients with prosthetic heart valves (mechanical or bioprosthetic)</w:t>
      </w:r>
      <w:r w:rsidR="0054247C" w:rsidRPr="006423D1">
        <w:rPr>
          <w:rFonts w:eastAsia="Times New Roman" w:cstheme="minorHAnsi"/>
          <w:color w:val="000000" w:themeColor="text1"/>
          <w:lang w:val="en-US" w:eastAsia="fr-FR"/>
        </w:rPr>
        <w:t xml:space="preserve">, and </w:t>
      </w:r>
      <w:r w:rsidRPr="006423D1">
        <w:rPr>
          <w:rFonts w:eastAsia="Times New Roman" w:cstheme="minorHAnsi"/>
          <w:color w:val="000000" w:themeColor="text1"/>
          <w:lang w:val="en-US" w:eastAsia="fr-FR"/>
        </w:rPr>
        <w:t>3 scans in patients with cardiac implantable electronic devices (pacemakers or implantable cardioverter-defibrillators).</w:t>
      </w:r>
      <w:r w:rsidR="0054247C" w:rsidRPr="006423D1">
        <w:rPr>
          <w:rFonts w:eastAsia="Times New Roman" w:cstheme="minorHAnsi"/>
          <w:color w:val="000000" w:themeColor="text1"/>
          <w:lang w:val="en-US" w:eastAsia="fr-FR"/>
        </w:rPr>
        <w:t xml:space="preserve"> </w:t>
      </w:r>
      <w:r w:rsidRPr="006423D1">
        <w:rPr>
          <w:rFonts w:eastAsia="Times New Roman" w:cstheme="minorHAnsi"/>
          <w:bCs/>
          <w:color w:val="000000" w:themeColor="text1"/>
          <w:lang w:val="en-US" w:eastAsia="fr-FR"/>
        </w:rPr>
        <w:t>6 scans (28.6%)</w:t>
      </w:r>
      <w:r w:rsidRPr="006423D1">
        <w:rPr>
          <w:rFonts w:eastAsia="Times New Roman" w:cstheme="minorHAnsi"/>
          <w:color w:val="000000" w:themeColor="text1"/>
          <w:lang w:val="en-US" w:eastAsia="fr-FR"/>
        </w:rPr>
        <w:t> w</w:t>
      </w:r>
      <w:r w:rsidRPr="00CD3935">
        <w:rPr>
          <w:rFonts w:eastAsia="Times New Roman" w:cstheme="minorHAnsi"/>
          <w:color w:val="000000" w:themeColor="text1"/>
          <w:lang w:val="en-US" w:eastAsia="fr-FR"/>
        </w:rPr>
        <w:t>ere performed in patients with native valves and no intracardiac device.</w:t>
      </w:r>
    </w:p>
    <w:p w14:paraId="070C5502" w14:textId="1D6736E9" w:rsidR="00CD3935" w:rsidRPr="00AA5A39" w:rsidRDefault="00CD3935" w:rsidP="00AA5A39">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All patients had an initial Duke classification of "possible IE" (n=16 scans) or "rejected IE" (n=5 scans) based on clinical, microbiological, and echocardiographic findings, which were inconclusive for a definitive diagnosis.</w:t>
      </w:r>
      <w:r w:rsidR="0054247C">
        <w:rPr>
          <w:rFonts w:eastAsia="Times New Roman" w:cstheme="minorHAnsi"/>
          <w:color w:val="000000" w:themeColor="text1"/>
          <w:lang w:val="en-US" w:eastAsia="fr-FR"/>
        </w:rPr>
        <w:t xml:space="preserve"> </w:t>
      </w:r>
      <w:r w:rsidRPr="00CD3935">
        <w:rPr>
          <w:rFonts w:eastAsia="Times New Roman" w:cstheme="minorHAnsi"/>
          <w:color w:val="000000" w:themeColor="text1"/>
          <w:lang w:val="en-US" w:eastAsia="fr-FR"/>
        </w:rPr>
        <w:t>Among the 21 scans, 14 (66.7%) were performed while the patient was receiving antibiotic therapy, and 7 (33.3%) were performed without concurrent antibiotics. The median duration of antibiotic therapy prior to PET/CT was 6 days (range: 2–21 days).</w:t>
      </w:r>
    </w:p>
    <w:p w14:paraId="7F25EF49"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b/>
          <w:bCs/>
          <w:color w:val="000000" w:themeColor="text1"/>
          <w:lang w:val="en-US" w:eastAsia="fr-FR"/>
        </w:rPr>
        <w:t>PET/CT Findings:</w:t>
      </w:r>
    </w:p>
    <w:p w14:paraId="2757864C"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Among the 15 scans performed in patients with prosthetic material, 9 (60%) demonstrated pathological FDG uptake consistent with infection.</w:t>
      </w:r>
    </w:p>
    <w:p w14:paraId="63C7E78D" w14:textId="77777777" w:rsidR="00CD3935" w:rsidRPr="00CD3935" w:rsidRDefault="00CD3935" w:rsidP="006423D1">
      <w:pPr>
        <w:shd w:val="clear" w:color="auto" w:fill="FFFFFF"/>
        <w:spacing w:before="100" w:beforeAutospacing="1"/>
        <w:jc w:val="both"/>
        <w:rPr>
          <w:rFonts w:eastAsia="Times New Roman" w:cstheme="minorHAnsi"/>
          <w:color w:val="000000" w:themeColor="text1"/>
          <w:lang w:val="en-US" w:eastAsia="fr-FR"/>
        </w:rPr>
      </w:pPr>
      <w:r w:rsidRPr="006423D1">
        <w:rPr>
          <w:rFonts w:eastAsia="Times New Roman" w:cstheme="minorHAnsi"/>
          <w:bCs/>
          <w:color w:val="000000" w:themeColor="text1"/>
          <w:lang w:val="en-US" w:eastAsia="fr-FR"/>
        </w:rPr>
        <w:t>Prosthetic Valve Endocarditis (PVE):</w:t>
      </w:r>
      <w:r w:rsidRPr="00CD3935">
        <w:rPr>
          <w:rFonts w:eastAsia="Times New Roman" w:cstheme="minorHAnsi"/>
          <w:color w:val="000000" w:themeColor="text1"/>
          <w:lang w:val="en-US" w:eastAsia="fr-FR"/>
        </w:rPr>
        <w:t> In 6 patients (40% of the prosthetic group), PET/CT revealed intense, focal, or heterogeneous periprosthetic FDG uptake, localized to the region of the aortic or mitral valve prosthesis (Figure 2). In all 6 cases, the final diagnosis of definite PVE was subsequently confirmed by multidisciplinary consensus, based on a combination of positive blood cultures (Staphylococcus aureus in 3, coagulase-negative staphylococci in 2, Enterococcus faecalis in 1) and intraoperative findings in the 4 patients who underwent valve replacement surgery.</w:t>
      </w:r>
    </w:p>
    <w:p w14:paraId="070AF32E" w14:textId="77777777" w:rsidR="00CD3935" w:rsidRPr="006423D1" w:rsidRDefault="00CD3935" w:rsidP="006423D1">
      <w:pPr>
        <w:shd w:val="clear" w:color="auto" w:fill="FFFFFF"/>
        <w:spacing w:before="100" w:beforeAutospacing="1"/>
        <w:jc w:val="both"/>
        <w:rPr>
          <w:rFonts w:eastAsia="Times New Roman" w:cstheme="minorHAnsi"/>
          <w:color w:val="000000" w:themeColor="text1"/>
          <w:lang w:val="en-US" w:eastAsia="fr-FR"/>
        </w:rPr>
      </w:pPr>
      <w:r w:rsidRPr="006423D1">
        <w:rPr>
          <w:rFonts w:eastAsia="Times New Roman" w:cstheme="minorHAnsi"/>
          <w:bCs/>
          <w:color w:val="000000" w:themeColor="text1"/>
          <w:lang w:val="en-US" w:eastAsia="fr-FR"/>
        </w:rPr>
        <w:t>Cardiac Device-Related Infection:</w:t>
      </w:r>
      <w:r w:rsidRPr="006423D1">
        <w:rPr>
          <w:rFonts w:eastAsia="Times New Roman" w:cstheme="minorHAnsi"/>
          <w:color w:val="000000" w:themeColor="text1"/>
          <w:lang w:val="en-US" w:eastAsia="fr-FR"/>
        </w:rPr>
        <w:t> In 3 patients (20% of the prosthetic group), PET/CT demonstrated linear FDG uptake along the course of pacemaker or ICD leads (Figure 3). In two of these patients, additional uptake was noted in the region of the generator pocket. These findings confirmed device-related infection, leading to device extraction in all 3 cases, with subsequent clinical improvement.</w:t>
      </w:r>
    </w:p>
    <w:p w14:paraId="502E6E72" w14:textId="3CB4418B" w:rsidR="00CD3935" w:rsidRPr="006423D1" w:rsidRDefault="00CD3935" w:rsidP="006423D1">
      <w:pPr>
        <w:shd w:val="clear" w:color="auto" w:fill="FFFFFF"/>
        <w:spacing w:before="100" w:beforeAutospacing="1" w:after="120"/>
        <w:jc w:val="both"/>
        <w:rPr>
          <w:rFonts w:eastAsia="Times New Roman" w:cstheme="minorHAnsi"/>
          <w:color w:val="000000" w:themeColor="text1"/>
          <w:lang w:val="en-US" w:eastAsia="fr-FR"/>
        </w:rPr>
      </w:pPr>
      <w:r w:rsidRPr="006423D1">
        <w:rPr>
          <w:rFonts w:eastAsia="Times New Roman" w:cstheme="minorHAnsi"/>
          <w:bCs/>
          <w:color w:val="000000" w:themeColor="text1"/>
          <w:lang w:val="en-US" w:eastAsia="fr-FR"/>
        </w:rPr>
        <w:t>Extracardiac Findings:</w:t>
      </w:r>
      <w:r w:rsidRPr="006423D1">
        <w:rPr>
          <w:rFonts w:eastAsia="Times New Roman" w:cstheme="minorHAnsi"/>
          <w:color w:val="000000" w:themeColor="text1"/>
          <w:lang w:val="en-US" w:eastAsia="fr-FR"/>
        </w:rPr>
        <w:t> Importantly, in 6 of the 15 patients (40%), PET/CT identified significant extracardiac foci of infection:</w:t>
      </w:r>
      <w:r w:rsidR="0054247C" w:rsidRPr="006423D1">
        <w:rPr>
          <w:rFonts w:eastAsia="Times New Roman" w:cstheme="minorHAnsi"/>
          <w:color w:val="000000" w:themeColor="text1"/>
          <w:lang w:val="en-US" w:eastAsia="fr-FR"/>
        </w:rPr>
        <w:t xml:space="preserve"> p</w:t>
      </w:r>
      <w:r w:rsidRPr="006423D1">
        <w:rPr>
          <w:rFonts w:eastAsia="Times New Roman" w:cstheme="minorHAnsi"/>
          <w:color w:val="000000" w:themeColor="text1"/>
          <w:lang w:val="en-US" w:eastAsia="fr-FR"/>
        </w:rPr>
        <w:t>ulmonary infections (consolidation with FDG uptake): 2 patients</w:t>
      </w:r>
      <w:r w:rsidR="0054247C" w:rsidRPr="006423D1">
        <w:rPr>
          <w:rFonts w:eastAsia="Times New Roman" w:cstheme="minorHAnsi"/>
          <w:color w:val="000000" w:themeColor="text1"/>
          <w:lang w:val="en-US" w:eastAsia="fr-FR"/>
        </w:rPr>
        <w:t>, m</w:t>
      </w:r>
      <w:r w:rsidRPr="006423D1">
        <w:rPr>
          <w:rFonts w:eastAsia="Times New Roman" w:cstheme="minorHAnsi"/>
          <w:color w:val="000000" w:themeColor="text1"/>
          <w:lang w:val="en-US" w:eastAsia="fr-FR"/>
        </w:rPr>
        <w:t>uscular abscesses (gluteal, psoas): 2 patients</w:t>
      </w:r>
      <w:r w:rsidR="0054247C" w:rsidRPr="006423D1">
        <w:rPr>
          <w:rFonts w:eastAsia="Times New Roman" w:cstheme="minorHAnsi"/>
          <w:color w:val="000000" w:themeColor="text1"/>
          <w:lang w:val="en-US" w:eastAsia="fr-FR"/>
        </w:rPr>
        <w:t>, i</w:t>
      </w:r>
      <w:r w:rsidRPr="006423D1">
        <w:rPr>
          <w:rFonts w:eastAsia="Times New Roman" w:cstheme="minorHAnsi"/>
          <w:color w:val="000000" w:themeColor="text1"/>
          <w:lang w:val="en-US" w:eastAsia="fr-FR"/>
        </w:rPr>
        <w:t xml:space="preserve">nfection of a femoral venous </w:t>
      </w:r>
      <w:r w:rsidRPr="006423D1">
        <w:rPr>
          <w:rFonts w:eastAsia="Times New Roman" w:cstheme="minorHAnsi"/>
          <w:color w:val="000000" w:themeColor="text1"/>
          <w:lang w:val="en-US" w:eastAsia="fr-FR"/>
        </w:rPr>
        <w:lastRenderedPageBreak/>
        <w:t>catheter tract: 1 patient</w:t>
      </w:r>
      <w:r w:rsidR="0054247C" w:rsidRPr="006423D1">
        <w:rPr>
          <w:rFonts w:eastAsia="Times New Roman" w:cstheme="minorHAnsi"/>
          <w:color w:val="000000" w:themeColor="text1"/>
          <w:lang w:val="en-US" w:eastAsia="fr-FR"/>
        </w:rPr>
        <w:t>, s</w:t>
      </w:r>
      <w:r w:rsidRPr="006423D1">
        <w:rPr>
          <w:rFonts w:eastAsia="Times New Roman" w:cstheme="minorHAnsi"/>
          <w:color w:val="000000" w:themeColor="text1"/>
          <w:lang w:val="en-US" w:eastAsia="fr-FR"/>
        </w:rPr>
        <w:t>plenic septic emboli: 1 patient</w:t>
      </w:r>
      <w:r w:rsidR="0054247C" w:rsidRPr="006423D1">
        <w:rPr>
          <w:rFonts w:eastAsia="Times New Roman" w:cstheme="minorHAnsi"/>
          <w:color w:val="000000" w:themeColor="text1"/>
          <w:lang w:val="en-US" w:eastAsia="fr-FR"/>
        </w:rPr>
        <w:t>.</w:t>
      </w:r>
      <w:r w:rsidRPr="006423D1">
        <w:rPr>
          <w:rFonts w:eastAsia="Times New Roman" w:cstheme="minorHAnsi"/>
          <w:color w:val="000000" w:themeColor="text1"/>
          <w:lang w:val="en-US" w:eastAsia="fr-FR"/>
        </w:rPr>
        <w:br/>
        <w:t>These findings had direct therapeutic consequences, including prolonged antibiotic therapy, percutaneous drainage of abscesses, and removal of infected catheters.</w:t>
      </w:r>
    </w:p>
    <w:p w14:paraId="204FDAD7" w14:textId="367CDFFA" w:rsidR="00CD3935" w:rsidRPr="00CD3935" w:rsidRDefault="00CD3935" w:rsidP="006423D1">
      <w:pPr>
        <w:shd w:val="clear" w:color="auto" w:fill="FFFFFF"/>
        <w:spacing w:before="100" w:beforeAutospacing="1"/>
        <w:jc w:val="both"/>
        <w:rPr>
          <w:rFonts w:eastAsia="Times New Roman" w:cstheme="minorHAnsi"/>
          <w:color w:val="000000" w:themeColor="text1"/>
          <w:lang w:val="en-US" w:eastAsia="fr-FR"/>
        </w:rPr>
      </w:pPr>
      <w:r w:rsidRPr="006423D1">
        <w:rPr>
          <w:rFonts w:eastAsia="Times New Roman" w:cstheme="minorHAnsi"/>
          <w:bCs/>
          <w:color w:val="000000" w:themeColor="text1"/>
          <w:lang w:val="en-US" w:eastAsia="fr-FR"/>
        </w:rPr>
        <w:t>False Negative:</w:t>
      </w:r>
      <w:r w:rsidRPr="00CD3935">
        <w:rPr>
          <w:rFonts w:eastAsia="Times New Roman" w:cstheme="minorHAnsi"/>
          <w:color w:val="000000" w:themeColor="text1"/>
          <w:lang w:val="en-US" w:eastAsia="fr-FR"/>
        </w:rPr>
        <w:t> One patient with a prosthetic aortic valve and persistent fever, who had been on broad-spectrum antibiotics for 10 days prior to the PET/CT scan, showed no significant periprosthetic FDG uptake. The scan was initially interpreted as negative for PVE. However, subsequent blood cultures grew Candida, and TEE revealed a small vegetation on the prosthetic valve. The final diagnosis was fungal PVE, and this case was considered a false-negative PET/CT result, likely attributable to a combination of antifungal therapy and possibly the less intense inflammatory response associated with fungal infections.</w:t>
      </w:r>
    </w:p>
    <w:p w14:paraId="18FAF1B0" w14:textId="052CE383" w:rsidR="00CD3935" w:rsidRPr="0054247C"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In all 6 patients with suspected native valve IE, 18F-FDG PET/CT showed no pathological cardiac uptake. The final diagnosis of IE was excluded in all 6 patients based on negative blood cultures, resolution of symptoms without antibiotic therapy, and alternative diagnoses established during follow-up. </w:t>
      </w:r>
      <w:r w:rsidRPr="0054247C">
        <w:rPr>
          <w:rFonts w:eastAsia="Times New Roman" w:cstheme="minorHAnsi"/>
          <w:bCs/>
          <w:color w:val="000000" w:themeColor="text1"/>
          <w:lang w:val="en-US" w:eastAsia="fr-FR"/>
        </w:rPr>
        <w:t>However, given the small sample size and the absence of true positive NVE cases in this cohort, no conclusions can be drawn regarding the sensitivity of PET/CT in native valve endocarditis.</w:t>
      </w:r>
    </w:p>
    <w:p w14:paraId="6E16AF79"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b/>
          <w:bCs/>
          <w:color w:val="000000" w:themeColor="text1"/>
          <w:lang w:val="en-US" w:eastAsia="fr-FR"/>
        </w:rPr>
        <w:t>Semi-Quantitative PET Parameters:</w:t>
      </w:r>
    </w:p>
    <w:p w14:paraId="77569A2F"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 xml:space="preserve">For the 9 positive PET/CT scans in patients with prosthetic material, semi-quantitative analysis was performed. The median </w:t>
      </w:r>
      <w:proofErr w:type="spellStart"/>
      <w:r w:rsidRPr="00CD3935">
        <w:rPr>
          <w:rFonts w:eastAsia="Times New Roman" w:cstheme="minorHAnsi"/>
          <w:color w:val="000000" w:themeColor="text1"/>
          <w:lang w:val="en-US" w:eastAsia="fr-FR"/>
        </w:rPr>
        <w:t>SUVmax</w:t>
      </w:r>
      <w:proofErr w:type="spellEnd"/>
      <w:r w:rsidRPr="00CD3935">
        <w:rPr>
          <w:rFonts w:eastAsia="Times New Roman" w:cstheme="minorHAnsi"/>
          <w:color w:val="000000" w:themeColor="text1"/>
          <w:lang w:val="en-US" w:eastAsia="fr-FR"/>
        </w:rPr>
        <w:t xml:space="preserve"> at sites of infection was 5.8 (range: 4.2–9.1). The median TBR using liver background was 2.1 (range: 1.6–3.4), and the median TBR using blood pool background was 4.3 (range: 3.1–7.2). These values are consistent with published thresholds for infection (typically TBR &gt; 2.0 for liver and &gt; 3.0 for blood pool) [25, 26].</w:t>
      </w:r>
    </w:p>
    <w:p w14:paraId="5065E633"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 xml:space="preserve">In the single false-negative case (fungal PVE on antibiotics), no abnormal cardiac uptake was identified for quantification. In the 6 patients with extracardiac findings, the median </w:t>
      </w:r>
      <w:proofErr w:type="spellStart"/>
      <w:r w:rsidRPr="00CD3935">
        <w:rPr>
          <w:rFonts w:eastAsia="Times New Roman" w:cstheme="minorHAnsi"/>
          <w:color w:val="000000" w:themeColor="text1"/>
          <w:lang w:val="en-US" w:eastAsia="fr-FR"/>
        </w:rPr>
        <w:t>SUVmax</w:t>
      </w:r>
      <w:proofErr w:type="spellEnd"/>
      <w:r w:rsidRPr="00CD3935">
        <w:rPr>
          <w:rFonts w:eastAsia="Times New Roman" w:cstheme="minorHAnsi"/>
          <w:color w:val="000000" w:themeColor="text1"/>
          <w:lang w:val="en-US" w:eastAsia="fr-FR"/>
        </w:rPr>
        <w:t xml:space="preserve"> at distant sites was 4.7 (range: 3.2–7.8).</w:t>
      </w:r>
    </w:p>
    <w:p w14:paraId="676B308B" w14:textId="5BB666E9" w:rsidR="006423D1" w:rsidRPr="00AA5A39"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Detailed semi-quantitative parameters for each positive scan are presented in Table 3.</w:t>
      </w:r>
    </w:p>
    <w:p w14:paraId="50E4B8A5" w14:textId="51D159B4"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b/>
          <w:bCs/>
          <w:color w:val="000000" w:themeColor="text1"/>
          <w:lang w:val="en-US" w:eastAsia="fr-FR"/>
        </w:rPr>
        <w:t>Overall Diagnostic Performance:</w:t>
      </w:r>
    </w:p>
    <w:p w14:paraId="718C737F"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In the prosthetic material group (n=15 scans), 18F-FDG PET/CT demonstrated a sensitivity of 90% (9/10 true positives, 1 false negative; 95% CI: 54.1–99.5%) and a specificity of 100% (5/5 true negatives, 0 false positives; 95% CI: 46.3–100%). The positive predictive value was 100% (95% CI: 62.9–100%), and the negative predictive value was 83.3% (95% CI: 36.5–99.1%).</w:t>
      </w:r>
    </w:p>
    <w:p w14:paraId="59346FB8" w14:textId="77777777" w:rsidR="00CD3935" w:rsidRPr="006423D1" w:rsidRDefault="00CD3935" w:rsidP="006423D1">
      <w:pPr>
        <w:shd w:val="clear" w:color="auto" w:fill="FFFFFF"/>
        <w:spacing w:before="100" w:beforeAutospacing="1"/>
        <w:jc w:val="both"/>
        <w:rPr>
          <w:rFonts w:eastAsia="Times New Roman" w:cstheme="minorHAnsi"/>
          <w:color w:val="000000" w:themeColor="text1"/>
          <w:lang w:val="en-US" w:eastAsia="fr-FR"/>
        </w:rPr>
      </w:pPr>
      <w:r w:rsidRPr="006423D1">
        <w:rPr>
          <w:rFonts w:eastAsia="Times New Roman" w:cstheme="minorHAnsi"/>
          <w:bCs/>
          <w:color w:val="000000" w:themeColor="text1"/>
          <w:lang w:val="en-US" w:eastAsia="fr-FR"/>
        </w:rPr>
        <w:t>Patients on antibiotics (prosthetic material subgroup, n=10):</w:t>
      </w:r>
      <w:r w:rsidRPr="006423D1">
        <w:rPr>
          <w:rFonts w:eastAsia="Times New Roman" w:cstheme="minorHAnsi"/>
          <w:color w:val="000000" w:themeColor="text1"/>
          <w:lang w:val="en-US" w:eastAsia="fr-FR"/>
        </w:rPr>
        <w:t> Sensitivity was 85.7% (6/7 true positives, 1 false negative; 95% CI: 42.0–99.2%). Specificity was 100% (3/3 true negatives; 95% CI: 31.0–100%).</w:t>
      </w:r>
    </w:p>
    <w:p w14:paraId="4BAEBB43" w14:textId="77777777" w:rsidR="00CD3935" w:rsidRPr="00CD3935" w:rsidRDefault="00CD3935" w:rsidP="006423D1">
      <w:pPr>
        <w:shd w:val="clear" w:color="auto" w:fill="FFFFFF"/>
        <w:spacing w:before="100" w:beforeAutospacing="1"/>
        <w:jc w:val="both"/>
        <w:rPr>
          <w:rFonts w:eastAsia="Times New Roman" w:cstheme="minorHAnsi"/>
          <w:color w:val="000000" w:themeColor="text1"/>
          <w:lang w:eastAsia="fr-FR"/>
        </w:rPr>
      </w:pPr>
      <w:r w:rsidRPr="006423D1">
        <w:rPr>
          <w:rFonts w:eastAsia="Times New Roman" w:cstheme="minorHAnsi"/>
          <w:bCs/>
          <w:color w:val="000000" w:themeColor="text1"/>
          <w:lang w:val="en-US" w:eastAsia="fr-FR"/>
        </w:rPr>
        <w:t>Patients not on antibiotics (prosthetic material subgroup, n=5):</w:t>
      </w:r>
      <w:r w:rsidRPr="00CD3935">
        <w:rPr>
          <w:rFonts w:eastAsia="Times New Roman" w:cstheme="minorHAnsi"/>
          <w:color w:val="000000" w:themeColor="text1"/>
          <w:lang w:val="en-US" w:eastAsia="fr-FR"/>
        </w:rPr>
        <w:t xml:space="preserve"> Sensitivity was 100% (3/3 true positives; 95% CI: 31.0–100%). </w:t>
      </w:r>
      <w:proofErr w:type="spellStart"/>
      <w:r w:rsidRPr="00CD3935">
        <w:rPr>
          <w:rFonts w:eastAsia="Times New Roman" w:cstheme="minorHAnsi"/>
          <w:color w:val="000000" w:themeColor="text1"/>
          <w:lang w:eastAsia="fr-FR"/>
        </w:rPr>
        <w:t>Specificity</w:t>
      </w:r>
      <w:proofErr w:type="spellEnd"/>
      <w:r w:rsidRPr="00CD3935">
        <w:rPr>
          <w:rFonts w:eastAsia="Times New Roman" w:cstheme="minorHAnsi"/>
          <w:color w:val="000000" w:themeColor="text1"/>
          <w:lang w:eastAsia="fr-FR"/>
        </w:rPr>
        <w:t xml:space="preserve"> </w:t>
      </w:r>
      <w:proofErr w:type="spellStart"/>
      <w:r w:rsidRPr="00CD3935">
        <w:rPr>
          <w:rFonts w:eastAsia="Times New Roman" w:cstheme="minorHAnsi"/>
          <w:color w:val="000000" w:themeColor="text1"/>
          <w:lang w:eastAsia="fr-FR"/>
        </w:rPr>
        <w:t>was</w:t>
      </w:r>
      <w:proofErr w:type="spellEnd"/>
      <w:r w:rsidRPr="00CD3935">
        <w:rPr>
          <w:rFonts w:eastAsia="Times New Roman" w:cstheme="minorHAnsi"/>
          <w:color w:val="000000" w:themeColor="text1"/>
          <w:lang w:eastAsia="fr-FR"/>
        </w:rPr>
        <w:t xml:space="preserve"> 100% (2/2 </w:t>
      </w:r>
      <w:proofErr w:type="spellStart"/>
      <w:r w:rsidRPr="00CD3935">
        <w:rPr>
          <w:rFonts w:eastAsia="Times New Roman" w:cstheme="minorHAnsi"/>
          <w:color w:val="000000" w:themeColor="text1"/>
          <w:lang w:eastAsia="fr-FR"/>
        </w:rPr>
        <w:t>true</w:t>
      </w:r>
      <w:proofErr w:type="spellEnd"/>
      <w:r w:rsidRPr="00CD3935">
        <w:rPr>
          <w:rFonts w:eastAsia="Times New Roman" w:cstheme="minorHAnsi"/>
          <w:color w:val="000000" w:themeColor="text1"/>
          <w:lang w:eastAsia="fr-FR"/>
        </w:rPr>
        <w:t xml:space="preserve"> </w:t>
      </w:r>
      <w:proofErr w:type="spellStart"/>
      <w:proofErr w:type="gramStart"/>
      <w:r w:rsidRPr="00CD3935">
        <w:rPr>
          <w:rFonts w:eastAsia="Times New Roman" w:cstheme="minorHAnsi"/>
          <w:color w:val="000000" w:themeColor="text1"/>
          <w:lang w:eastAsia="fr-FR"/>
        </w:rPr>
        <w:t>negatives</w:t>
      </w:r>
      <w:proofErr w:type="spellEnd"/>
      <w:r w:rsidRPr="00CD3935">
        <w:rPr>
          <w:rFonts w:eastAsia="Times New Roman" w:cstheme="minorHAnsi"/>
          <w:color w:val="000000" w:themeColor="text1"/>
          <w:lang w:eastAsia="fr-FR"/>
        </w:rPr>
        <w:t>;</w:t>
      </w:r>
      <w:proofErr w:type="gramEnd"/>
      <w:r w:rsidRPr="00CD3935">
        <w:rPr>
          <w:rFonts w:eastAsia="Times New Roman" w:cstheme="minorHAnsi"/>
          <w:color w:val="000000" w:themeColor="text1"/>
          <w:lang w:eastAsia="fr-FR"/>
        </w:rPr>
        <w:t xml:space="preserve"> 95% CI: 19.8–100%).</w:t>
      </w:r>
    </w:p>
    <w:p w14:paraId="49E3D8BA" w14:textId="02C36BED" w:rsidR="00CD3935" w:rsidRPr="00AA5A39" w:rsidRDefault="00CD3935" w:rsidP="00AA5A39">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lastRenderedPageBreak/>
        <w:t>The single false-negative case occurred in a patient who had received 10 days of antibiotic therapy (including antifungal therapy) prior to imaging, consistent with the known negative impact of prolonged antimicrobial treatment on PET sensitivity.</w:t>
      </w:r>
    </w:p>
    <w:p w14:paraId="5AD44FAD"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 xml:space="preserve">If abnormal FDG uptake were incorporated as a major diagnostic criterion according to the 2015 and 2023 ESC guidelines [12, 13], PET/CT findings would have </w:t>
      </w:r>
      <w:r w:rsidRPr="006423D1">
        <w:rPr>
          <w:rFonts w:eastAsia="Times New Roman" w:cstheme="minorHAnsi"/>
          <w:color w:val="000000" w:themeColor="text1"/>
          <w:lang w:val="en-US" w:eastAsia="fr-FR"/>
        </w:rPr>
        <w:t>reclassified </w:t>
      </w:r>
      <w:r w:rsidRPr="006423D1">
        <w:rPr>
          <w:rFonts w:eastAsia="Times New Roman" w:cstheme="minorHAnsi"/>
          <w:bCs/>
          <w:color w:val="000000" w:themeColor="text1"/>
          <w:lang w:val="en-US" w:eastAsia="fr-FR"/>
        </w:rPr>
        <w:t>8 of the 16</w:t>
      </w:r>
      <w:r w:rsidRPr="00CD3935">
        <w:rPr>
          <w:rFonts w:eastAsia="Times New Roman" w:cstheme="minorHAnsi"/>
          <w:b/>
          <w:bCs/>
          <w:color w:val="000000" w:themeColor="text1"/>
          <w:lang w:val="en-US" w:eastAsia="fr-FR"/>
        </w:rPr>
        <w:t xml:space="preserve"> </w:t>
      </w:r>
      <w:r w:rsidRPr="006423D1">
        <w:rPr>
          <w:rFonts w:eastAsia="Times New Roman" w:cstheme="minorHAnsi"/>
          <w:bCs/>
          <w:color w:val="000000" w:themeColor="text1"/>
          <w:lang w:val="en-US" w:eastAsia="fr-FR"/>
        </w:rPr>
        <w:t>patients (50%)</w:t>
      </w:r>
      <w:r w:rsidRPr="00CD3935">
        <w:rPr>
          <w:rFonts w:eastAsia="Times New Roman" w:cstheme="minorHAnsi"/>
          <w:color w:val="000000" w:themeColor="text1"/>
          <w:lang w:val="en-US" w:eastAsia="fr-FR"/>
        </w:rPr>
        <w:t> initially categorized as "possible IE" to "definite IE." Among the 9 patients with positive PET/CT scans in the prosthetic material group, 8 were initially classified as "possible IE," and one as "rejected IE." All 8 patients reclassified to "definite IE" had subsequent confirmation of infection by the multidisciplinary reference standard. The single patient with a false-negative PET/CT (fungal PVE on antibiotics) remained in the "possible IE" category until surgical findings confirmed the diagnosis.</w:t>
      </w:r>
    </w:p>
    <w:p w14:paraId="533FB12B" w14:textId="77777777" w:rsidR="006423D1"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PET/CT findings directly influenced clinical management in </w:t>
      </w:r>
      <w:r w:rsidRPr="006423D1">
        <w:rPr>
          <w:rFonts w:eastAsia="Times New Roman" w:cstheme="minorHAnsi"/>
          <w:bCs/>
          <w:color w:val="000000" w:themeColor="text1"/>
          <w:lang w:val="en-US" w:eastAsia="fr-FR"/>
        </w:rPr>
        <w:t>12 of 21 scans (57.1%</w:t>
      </w:r>
      <w:proofErr w:type="gramStart"/>
      <w:r w:rsidRPr="006423D1">
        <w:rPr>
          <w:rFonts w:eastAsia="Times New Roman" w:cstheme="minorHAnsi"/>
          <w:bCs/>
          <w:color w:val="000000" w:themeColor="text1"/>
          <w:lang w:val="en-US" w:eastAsia="fr-FR"/>
        </w:rPr>
        <w:t>)</w:t>
      </w:r>
      <w:r w:rsidRPr="00CD3935">
        <w:rPr>
          <w:rFonts w:eastAsia="Times New Roman" w:cstheme="minorHAnsi"/>
          <w:color w:val="000000" w:themeColor="text1"/>
          <w:lang w:val="en-US" w:eastAsia="fr-FR"/>
        </w:rPr>
        <w:t> .</w:t>
      </w:r>
      <w:proofErr w:type="gramEnd"/>
      <w:r w:rsidRPr="00CD3935">
        <w:rPr>
          <w:rFonts w:eastAsia="Times New Roman" w:cstheme="minorHAnsi"/>
          <w:color w:val="000000" w:themeColor="text1"/>
          <w:lang w:val="en-US" w:eastAsia="fr-FR"/>
        </w:rPr>
        <w:t xml:space="preserve"> </w:t>
      </w:r>
      <w:r w:rsidRPr="006423D1">
        <w:rPr>
          <w:rFonts w:eastAsia="Times New Roman" w:cstheme="minorHAnsi"/>
          <w:color w:val="000000" w:themeColor="text1"/>
          <w:lang w:val="en-US" w:eastAsia="fr-FR"/>
        </w:rPr>
        <w:t>Documented management changes included:</w:t>
      </w:r>
      <w:r w:rsidR="006423D1">
        <w:rPr>
          <w:rFonts w:eastAsia="Times New Roman" w:cstheme="minorHAnsi"/>
          <w:color w:val="000000" w:themeColor="text1"/>
          <w:lang w:val="en-US" w:eastAsia="fr-FR"/>
        </w:rPr>
        <w:t xml:space="preserve"> </w:t>
      </w:r>
      <w:r w:rsidRPr="006423D1">
        <w:rPr>
          <w:rFonts w:eastAsia="Times New Roman" w:cstheme="minorHAnsi"/>
          <w:bCs/>
          <w:color w:val="000000" w:themeColor="text1"/>
          <w:lang w:val="en-US" w:eastAsia="fr-FR"/>
        </w:rPr>
        <w:t>Confirmation of diagnosis leading to treatment intensification</w:t>
      </w:r>
      <w:r w:rsidRPr="006423D1">
        <w:rPr>
          <w:rFonts w:eastAsia="Times New Roman" w:cstheme="minorHAnsi"/>
          <w:color w:val="000000" w:themeColor="text1"/>
          <w:lang w:val="en-US" w:eastAsia="fr-FR"/>
        </w:rPr>
        <w:t> (n=7): In 7 patients with positive PET/CT, the definitive diagnosis of IE led to prolongation of antibiotic therapy (from 4 weeks to 6 weeks or longer) and referral for surgical evaluation.</w:t>
      </w:r>
      <w:r w:rsidR="006423D1" w:rsidRPr="006423D1">
        <w:rPr>
          <w:rFonts w:eastAsia="Times New Roman" w:cstheme="minorHAnsi"/>
          <w:color w:val="000000" w:themeColor="text1"/>
          <w:lang w:val="en-US" w:eastAsia="fr-FR"/>
        </w:rPr>
        <w:t xml:space="preserve"> </w:t>
      </w:r>
      <w:r w:rsidRPr="006423D1">
        <w:rPr>
          <w:rFonts w:eastAsia="Times New Roman" w:cstheme="minorHAnsi"/>
          <w:bCs/>
          <w:color w:val="000000" w:themeColor="text1"/>
          <w:lang w:val="en-US" w:eastAsia="fr-FR"/>
        </w:rPr>
        <w:t>Detection of extracardiac foci requiring intervention</w:t>
      </w:r>
      <w:r w:rsidRPr="006423D1">
        <w:rPr>
          <w:rFonts w:eastAsia="Times New Roman" w:cstheme="minorHAnsi"/>
          <w:color w:val="000000" w:themeColor="text1"/>
          <w:lang w:val="en-US" w:eastAsia="fr-FR"/>
        </w:rPr>
        <w:t> (n=6): In 6 patients, PET/CT identified distant septic foci (pulmonary, muscular abscesses, infected catheters) that required specific interventions, including percutaneous drainage (n=2), prolonged antibiotic therapy for metastatic infection (n=3), and removal of an infected femoral catheter (n=1).</w:t>
      </w:r>
      <w:r w:rsidR="006423D1" w:rsidRPr="006423D1">
        <w:rPr>
          <w:rFonts w:eastAsia="Times New Roman" w:cstheme="minorHAnsi"/>
          <w:color w:val="000000" w:themeColor="text1"/>
          <w:lang w:val="en-US" w:eastAsia="fr-FR"/>
        </w:rPr>
        <w:t xml:space="preserve"> </w:t>
      </w:r>
      <w:r w:rsidRPr="006423D1">
        <w:rPr>
          <w:rFonts w:eastAsia="Times New Roman" w:cstheme="minorHAnsi"/>
          <w:bCs/>
          <w:color w:val="000000" w:themeColor="text1"/>
          <w:lang w:val="en-US" w:eastAsia="fr-FR"/>
        </w:rPr>
        <w:t>Avoidance of unnecessary invasive procedures</w:t>
      </w:r>
      <w:r w:rsidRPr="006423D1">
        <w:rPr>
          <w:rFonts w:eastAsia="Times New Roman" w:cstheme="minorHAnsi"/>
          <w:color w:val="000000" w:themeColor="text1"/>
          <w:lang w:val="en-US" w:eastAsia="fr-FR"/>
        </w:rPr>
        <w:t> (n=3): In 3 patients with negative PET/CT and ultimately excluded IE, the imaging findings supported the decision to avoid valve replacement surgery and to discontinue empirical antibiotic therapy.</w:t>
      </w:r>
      <w:r w:rsidR="006423D1" w:rsidRPr="006423D1">
        <w:rPr>
          <w:rFonts w:eastAsia="Times New Roman" w:cstheme="minorHAnsi"/>
          <w:color w:val="000000" w:themeColor="text1"/>
          <w:lang w:val="en-US" w:eastAsia="fr-FR"/>
        </w:rPr>
        <w:t xml:space="preserve"> </w:t>
      </w:r>
      <w:r w:rsidRPr="006423D1">
        <w:rPr>
          <w:rFonts w:eastAsia="Times New Roman" w:cstheme="minorHAnsi"/>
          <w:bCs/>
          <w:color w:val="000000" w:themeColor="text1"/>
          <w:lang w:val="en-US" w:eastAsia="fr-FR"/>
        </w:rPr>
        <w:t>Guidance of surgical planning</w:t>
      </w:r>
      <w:r w:rsidRPr="006423D1">
        <w:rPr>
          <w:rFonts w:eastAsia="Times New Roman" w:cstheme="minorHAnsi"/>
          <w:color w:val="000000" w:themeColor="text1"/>
          <w:lang w:val="en-US" w:eastAsia="fr-FR"/>
        </w:rPr>
        <w:t> (n=4): In 4 patients with positive PET/CT, the extent of infection (including</w:t>
      </w:r>
      <w:r w:rsidRPr="00CD3935">
        <w:rPr>
          <w:rFonts w:eastAsia="Times New Roman" w:cstheme="minorHAnsi"/>
          <w:color w:val="000000" w:themeColor="text1"/>
          <w:lang w:val="en-US" w:eastAsia="fr-FR"/>
        </w:rPr>
        <w:t xml:space="preserve"> periprosthetic involvement and extracardiac spread) informed the surgical approach, including the decision for more extensive debridement or combined valve and lead extraction.</w:t>
      </w:r>
    </w:p>
    <w:p w14:paraId="4D2D7D43" w14:textId="70A46133" w:rsidR="006423D1" w:rsidRPr="00AA5A39" w:rsidRDefault="00CD3935" w:rsidP="00AA5A39">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These management changes are summarized in Table 4. In no case did PET/CT lead to inappropriate management or delay necessary intervention.</w:t>
      </w:r>
    </w:p>
    <w:p w14:paraId="49B43669" w14:textId="09CB0939" w:rsidR="00CD3935" w:rsidRPr="00CD3935" w:rsidRDefault="00CD3935" w:rsidP="0054247C">
      <w:pPr>
        <w:shd w:val="clear" w:color="auto" w:fill="FFFFFF"/>
        <w:spacing w:before="480" w:after="240"/>
        <w:jc w:val="both"/>
        <w:outlineLvl w:val="2"/>
        <w:rPr>
          <w:rFonts w:eastAsia="Times New Roman" w:cstheme="minorHAnsi"/>
          <w:b/>
          <w:bCs/>
          <w:color w:val="000000" w:themeColor="text1"/>
          <w:lang w:val="en-US" w:eastAsia="fr-FR"/>
        </w:rPr>
      </w:pPr>
      <w:r w:rsidRPr="00CD3935">
        <w:rPr>
          <w:rFonts w:eastAsia="Times New Roman" w:cstheme="minorHAnsi"/>
          <w:b/>
          <w:bCs/>
          <w:color w:val="000000" w:themeColor="text1"/>
          <w:lang w:val="en-US" w:eastAsia="fr-FR"/>
        </w:rPr>
        <w:t>Discussion</w:t>
      </w:r>
    </w:p>
    <w:p w14:paraId="21983CD4"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This retrospective analysis of 21 18F-FDG PET/CT scans in patients with suspected IE and inconclusive initial evaluations reinforces the growing body of evidence supporting the clinical utility of this advanced imaging modality, particularly in the context of prosthetic valve and cardiac device-related infections.</w:t>
      </w:r>
    </w:p>
    <w:p w14:paraId="1FE7050C"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 xml:space="preserve">Our finding of a 60% positivity rate among patients with prosthetic material, with a sensitivity of 90% (95% CI: 54.1–99.5%) and specificity of 100% (95% CI: 46.3–100%), aligns closely with published data. A landmark prospective multicenter study by </w:t>
      </w:r>
      <w:proofErr w:type="spellStart"/>
      <w:r w:rsidRPr="00CD3935">
        <w:rPr>
          <w:rFonts w:eastAsia="Times New Roman" w:cstheme="minorHAnsi"/>
          <w:color w:val="000000" w:themeColor="text1"/>
          <w:lang w:val="en-US" w:eastAsia="fr-FR"/>
        </w:rPr>
        <w:t>Saby</w:t>
      </w:r>
      <w:proofErr w:type="spellEnd"/>
      <w:r w:rsidRPr="00CD3935">
        <w:rPr>
          <w:rFonts w:eastAsia="Times New Roman" w:cstheme="minorHAnsi"/>
          <w:color w:val="000000" w:themeColor="text1"/>
          <w:lang w:val="en-US" w:eastAsia="fr-FR"/>
        </w:rPr>
        <w:t xml:space="preserve"> et al. demonstrated that incorporating 18F-FDG PET/CT findings into the modified Duke criteria increased the sensitivity of the criteria for diagnosing PVE from 70% to 97% [15]. Similarly, </w:t>
      </w:r>
      <w:proofErr w:type="spellStart"/>
      <w:r w:rsidRPr="00CD3935">
        <w:rPr>
          <w:rFonts w:eastAsia="Times New Roman" w:cstheme="minorHAnsi"/>
          <w:color w:val="000000" w:themeColor="text1"/>
          <w:lang w:val="en-US" w:eastAsia="fr-FR"/>
        </w:rPr>
        <w:t>Pizzi</w:t>
      </w:r>
      <w:proofErr w:type="spellEnd"/>
      <w:r w:rsidRPr="00CD3935">
        <w:rPr>
          <w:rFonts w:eastAsia="Times New Roman" w:cstheme="minorHAnsi"/>
          <w:color w:val="000000" w:themeColor="text1"/>
          <w:lang w:val="en-US" w:eastAsia="fr-FR"/>
        </w:rPr>
        <w:t xml:space="preserve"> et al. showed that adding abnormal FDG uptake as a major criterion significantly improved the diagnostic accuracy for both PVE and CIED infections, reclassifying a substantial proportion of patients from "possible" to "definite" IE [16].</w:t>
      </w:r>
    </w:p>
    <w:p w14:paraId="7CB960B7"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lastRenderedPageBreak/>
        <w:t>Recent meta-analyses have confirmed these findings, with pooled sensitivities of 73–86% and specificities of 80–88% for PET/CT in prosthetic material infections [9, 10]. The somewhat higher sensitivity in our cohort (90%) may reflect the selective referral of patients with high clinical suspicion and inconclusive echocardiography, as recommended by current guidelines.</w:t>
      </w:r>
    </w:p>
    <w:p w14:paraId="1F8E45D0" w14:textId="14BC2BDB" w:rsidR="00CD3935" w:rsidRPr="00CD3935" w:rsidRDefault="00CD3935" w:rsidP="006423D1">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The 2023 ESC guidelines provide clear recommendations on when PET/CT should be performed in suspected IE, recognizing both its diagnostic value and its status as an expensive, resource-intensive modality that is not universally available [12]. The selective use of PET/CT is essential for several reasons:</w:t>
      </w:r>
      <w:r w:rsidR="006423D1">
        <w:rPr>
          <w:rFonts w:eastAsia="Times New Roman" w:cstheme="minorHAnsi"/>
          <w:color w:val="000000" w:themeColor="text1"/>
          <w:lang w:val="en-US" w:eastAsia="fr-FR"/>
        </w:rPr>
        <w:t xml:space="preserve"> </w:t>
      </w:r>
      <w:r w:rsidR="006423D1" w:rsidRPr="006423D1">
        <w:rPr>
          <w:rFonts w:eastAsia="Times New Roman" w:cstheme="minorHAnsi"/>
          <w:bCs/>
          <w:color w:val="000000" w:themeColor="text1"/>
          <w:lang w:val="en-US" w:eastAsia="fr-FR"/>
        </w:rPr>
        <w:t>c</w:t>
      </w:r>
      <w:r w:rsidRPr="006423D1">
        <w:rPr>
          <w:rFonts w:eastAsia="Times New Roman" w:cstheme="minorHAnsi"/>
          <w:bCs/>
          <w:color w:val="000000" w:themeColor="text1"/>
          <w:lang w:val="en-US" w:eastAsia="fr-FR"/>
        </w:rPr>
        <w:t>ost-Effectiveness:</w:t>
      </w:r>
      <w:r w:rsidRPr="00CD3935">
        <w:rPr>
          <w:rFonts w:eastAsia="Times New Roman" w:cstheme="minorHAnsi"/>
          <w:color w:val="000000" w:themeColor="text1"/>
          <w:lang w:val="en-US" w:eastAsia="fr-FR"/>
        </w:rPr>
        <w:t> PET/CT is significantly more expensive than echocardiography and is not available in all centers. In a cost-conscious healthcare environment, its use must be justified by a clear impact on clinical management. Studies have demonstrated that PET/CT is most cost-effective when used in patients with an intermediate pre-test probability of IE (i.e., "possible IE" by Duke criteria), where it can reclassify patients to "definite IE" or "rejected IE" and thereby guide appropriate therapy [24].</w:t>
      </w:r>
      <w:r w:rsidR="006423D1">
        <w:rPr>
          <w:rFonts w:eastAsia="Times New Roman" w:cstheme="minorHAnsi"/>
          <w:color w:val="000000" w:themeColor="text1"/>
          <w:lang w:val="en-US" w:eastAsia="fr-FR"/>
        </w:rPr>
        <w:t xml:space="preserve"> </w:t>
      </w:r>
      <w:r w:rsidRPr="006423D1">
        <w:rPr>
          <w:rFonts w:eastAsia="Times New Roman" w:cstheme="minorHAnsi"/>
          <w:bCs/>
          <w:color w:val="000000" w:themeColor="text1"/>
          <w:lang w:val="en-US" w:eastAsia="fr-FR"/>
        </w:rPr>
        <w:t>Patient Selection:</w:t>
      </w:r>
      <w:r w:rsidRPr="006423D1">
        <w:rPr>
          <w:rFonts w:eastAsia="Times New Roman" w:cstheme="minorHAnsi"/>
          <w:color w:val="000000" w:themeColor="text1"/>
          <w:lang w:val="en-US" w:eastAsia="fr-FR"/>
        </w:rPr>
        <w:t> </w:t>
      </w:r>
      <w:r w:rsidR="006423D1">
        <w:rPr>
          <w:rFonts w:eastAsia="Times New Roman" w:cstheme="minorHAnsi"/>
          <w:color w:val="000000" w:themeColor="text1"/>
          <w:lang w:val="en-US" w:eastAsia="fr-FR"/>
        </w:rPr>
        <w:t>n</w:t>
      </w:r>
      <w:r w:rsidRPr="00CD3935">
        <w:rPr>
          <w:rFonts w:eastAsia="Times New Roman" w:cstheme="minorHAnsi"/>
          <w:color w:val="000000" w:themeColor="text1"/>
          <w:lang w:val="en-US" w:eastAsia="fr-FR"/>
        </w:rPr>
        <w:t xml:space="preserve">ot all patients with suspected IE are candidates for PET/CT. </w:t>
      </w:r>
      <w:r w:rsidRPr="006423D1">
        <w:rPr>
          <w:rFonts w:eastAsia="Times New Roman" w:cstheme="minorHAnsi"/>
          <w:color w:val="000000" w:themeColor="text1"/>
          <w:lang w:val="en-US" w:eastAsia="fr-FR"/>
        </w:rPr>
        <w:t>The guidelines recommend PET/CT specifically for:</w:t>
      </w:r>
      <w:r w:rsidR="006423D1">
        <w:rPr>
          <w:rFonts w:eastAsia="Times New Roman" w:cstheme="minorHAnsi"/>
          <w:color w:val="000000" w:themeColor="text1"/>
          <w:lang w:val="en-US" w:eastAsia="fr-FR"/>
        </w:rPr>
        <w:t xml:space="preserve"> </w:t>
      </w:r>
      <w:r w:rsidR="006423D1" w:rsidRPr="006423D1">
        <w:rPr>
          <w:rFonts w:eastAsia="Times New Roman" w:cstheme="minorHAnsi"/>
          <w:bCs/>
          <w:color w:val="000000" w:themeColor="text1"/>
          <w:lang w:val="en-US" w:eastAsia="fr-FR"/>
        </w:rPr>
        <w:t>p</w:t>
      </w:r>
      <w:r w:rsidRPr="006423D1">
        <w:rPr>
          <w:rFonts w:eastAsia="Times New Roman" w:cstheme="minorHAnsi"/>
          <w:bCs/>
          <w:color w:val="000000" w:themeColor="text1"/>
          <w:lang w:val="en-US" w:eastAsia="fr-FR"/>
        </w:rPr>
        <w:t>rosthetic valve patients</w:t>
      </w:r>
      <w:r w:rsidRPr="006423D1">
        <w:rPr>
          <w:rFonts w:eastAsia="Times New Roman" w:cstheme="minorHAnsi"/>
          <w:color w:val="000000" w:themeColor="text1"/>
          <w:lang w:val="en-US" w:eastAsia="fr-FR"/>
        </w:rPr>
        <w:t> with non-diagnostic echocardiography</w:t>
      </w:r>
      <w:r w:rsidR="006423D1" w:rsidRPr="006423D1">
        <w:rPr>
          <w:rFonts w:eastAsia="Times New Roman" w:cstheme="minorHAnsi"/>
          <w:color w:val="000000" w:themeColor="text1"/>
          <w:lang w:val="en-US" w:eastAsia="fr-FR"/>
        </w:rPr>
        <w:t xml:space="preserve">, </w:t>
      </w:r>
      <w:r w:rsidRPr="006423D1">
        <w:rPr>
          <w:rFonts w:eastAsia="Times New Roman" w:cstheme="minorHAnsi"/>
          <w:bCs/>
          <w:color w:val="000000" w:themeColor="text1"/>
          <w:lang w:val="en-US" w:eastAsia="fr-FR"/>
        </w:rPr>
        <w:t>CIED patients</w:t>
      </w:r>
      <w:r w:rsidRPr="006423D1">
        <w:rPr>
          <w:rFonts w:eastAsia="Times New Roman" w:cstheme="minorHAnsi"/>
          <w:color w:val="000000" w:themeColor="text1"/>
          <w:lang w:val="en-US" w:eastAsia="fr-FR"/>
        </w:rPr>
        <w:t> with suspected pocket or lead infection</w:t>
      </w:r>
      <w:r w:rsidR="006423D1" w:rsidRPr="006423D1">
        <w:rPr>
          <w:rFonts w:eastAsia="Times New Roman" w:cstheme="minorHAnsi"/>
          <w:color w:val="000000" w:themeColor="text1"/>
          <w:lang w:val="en-US" w:eastAsia="fr-FR"/>
        </w:rPr>
        <w:t xml:space="preserve">, </w:t>
      </w:r>
      <w:r w:rsidR="006423D1" w:rsidRPr="006423D1">
        <w:rPr>
          <w:rFonts w:eastAsia="Times New Roman" w:cstheme="minorHAnsi"/>
          <w:bCs/>
          <w:color w:val="000000" w:themeColor="text1"/>
          <w:lang w:val="en-US" w:eastAsia="fr-FR"/>
        </w:rPr>
        <w:t>b</w:t>
      </w:r>
      <w:r w:rsidRPr="006423D1">
        <w:rPr>
          <w:rFonts w:eastAsia="Times New Roman" w:cstheme="minorHAnsi"/>
          <w:bCs/>
          <w:color w:val="000000" w:themeColor="text1"/>
          <w:lang w:val="en-US" w:eastAsia="fr-FR"/>
        </w:rPr>
        <w:t>lood culture-negative endocarditis</w:t>
      </w:r>
      <w:r w:rsidRPr="006423D1">
        <w:rPr>
          <w:rFonts w:eastAsia="Times New Roman" w:cstheme="minorHAnsi"/>
          <w:color w:val="000000" w:themeColor="text1"/>
          <w:lang w:val="en-US" w:eastAsia="fr-FR"/>
        </w:rPr>
        <w:t> where microbiological diagnosis is lacking</w:t>
      </w:r>
      <w:r w:rsidR="006423D1" w:rsidRPr="006423D1">
        <w:rPr>
          <w:rFonts w:eastAsia="Times New Roman" w:cstheme="minorHAnsi"/>
          <w:color w:val="000000" w:themeColor="text1"/>
          <w:lang w:val="en-US" w:eastAsia="fr-FR"/>
        </w:rPr>
        <w:t xml:space="preserve">, </w:t>
      </w:r>
      <w:r w:rsidR="006423D1" w:rsidRPr="006423D1">
        <w:rPr>
          <w:rFonts w:eastAsia="Times New Roman" w:cstheme="minorHAnsi"/>
          <w:bCs/>
          <w:color w:val="000000" w:themeColor="text1"/>
          <w:lang w:val="en-US" w:eastAsia="fr-FR"/>
        </w:rPr>
        <w:t>p</w:t>
      </w:r>
      <w:r w:rsidRPr="006423D1">
        <w:rPr>
          <w:rFonts w:eastAsia="Times New Roman" w:cstheme="minorHAnsi"/>
          <w:bCs/>
          <w:color w:val="000000" w:themeColor="text1"/>
          <w:lang w:val="en-US" w:eastAsia="fr-FR"/>
        </w:rPr>
        <w:t>atients with suspected extracardiac septic emboli</w:t>
      </w:r>
      <w:r w:rsidRPr="006423D1">
        <w:rPr>
          <w:rFonts w:eastAsia="Times New Roman" w:cstheme="minorHAnsi"/>
          <w:color w:val="000000" w:themeColor="text1"/>
          <w:lang w:val="en-US" w:eastAsia="fr-FR"/>
        </w:rPr>
        <w:t> requiring whole-body staging</w:t>
      </w:r>
      <w:r w:rsidRPr="00CD3935">
        <w:rPr>
          <w:rFonts w:eastAsia="Times New Roman" w:cstheme="minorHAnsi"/>
          <w:color w:val="000000" w:themeColor="text1"/>
          <w:lang w:val="en-US" w:eastAsia="fr-FR"/>
        </w:rPr>
        <w:t xml:space="preserve"> [12].</w:t>
      </w:r>
    </w:p>
    <w:p w14:paraId="30190AA4" w14:textId="2FA32C1A"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To maximize diagnostic yield while maintaining cost-effectiveness, PET/CT should be performed</w:t>
      </w:r>
      <w:r w:rsidRPr="006423D1">
        <w:rPr>
          <w:rFonts w:eastAsia="Times New Roman" w:cstheme="minorHAnsi"/>
          <w:color w:val="000000" w:themeColor="text1"/>
          <w:lang w:val="en-US" w:eastAsia="fr-FR"/>
        </w:rPr>
        <w:t> </w:t>
      </w:r>
      <w:r w:rsidRPr="006423D1">
        <w:rPr>
          <w:rFonts w:eastAsia="Times New Roman" w:cstheme="minorHAnsi"/>
          <w:bCs/>
          <w:color w:val="000000" w:themeColor="text1"/>
          <w:lang w:val="en-US" w:eastAsia="fr-FR"/>
        </w:rPr>
        <w:t>early in the diagnostic pathway</w:t>
      </w:r>
      <w:r w:rsidRPr="00CD3935">
        <w:rPr>
          <w:rFonts w:eastAsia="Times New Roman" w:cstheme="minorHAnsi"/>
          <w:color w:val="000000" w:themeColor="text1"/>
          <w:lang w:val="en-US" w:eastAsia="fr-FR"/>
        </w:rPr>
        <w:t>—ideally within 3–7 days of clinical presentation and before or immediately after initiating antibiotic therapy. Delayed imaging beyond 7–10 days of antibiotic therapy significantly reduces sensitivity and may result in false-negative findings, as illustrated by our single false-negative case [20, 25].</w:t>
      </w:r>
    </w:p>
    <w:p w14:paraId="148EF4DC" w14:textId="4CB834E0" w:rsidR="00CD3935" w:rsidRPr="00CD3935" w:rsidRDefault="00CD3935" w:rsidP="006423D1">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PET/CT is not recommended for:</w:t>
      </w:r>
      <w:r w:rsidR="006423D1">
        <w:rPr>
          <w:rFonts w:eastAsia="Times New Roman" w:cstheme="minorHAnsi"/>
          <w:color w:val="000000" w:themeColor="text1"/>
          <w:lang w:val="en-US" w:eastAsia="fr-FR"/>
        </w:rPr>
        <w:t xml:space="preserve"> h</w:t>
      </w:r>
      <w:r w:rsidRPr="00CD3935">
        <w:rPr>
          <w:rFonts w:eastAsia="Times New Roman" w:cstheme="minorHAnsi"/>
          <w:color w:val="000000" w:themeColor="text1"/>
          <w:lang w:val="en-US" w:eastAsia="fr-FR"/>
        </w:rPr>
        <w:t>emodynamically unstable patients who require immediate surgical intervention</w:t>
      </w:r>
      <w:r w:rsidR="006423D1">
        <w:rPr>
          <w:rFonts w:eastAsia="Times New Roman" w:cstheme="minorHAnsi"/>
          <w:color w:val="000000" w:themeColor="text1"/>
          <w:lang w:val="en-US" w:eastAsia="fr-FR"/>
        </w:rPr>
        <w:t>, p</w:t>
      </w:r>
      <w:r w:rsidRPr="00CD3935">
        <w:rPr>
          <w:rFonts w:eastAsia="Times New Roman" w:cstheme="minorHAnsi"/>
          <w:color w:val="000000" w:themeColor="text1"/>
          <w:lang w:val="en-US" w:eastAsia="fr-FR"/>
        </w:rPr>
        <w:t>atients with isolated native valve IE and typical echocardiographic findings</w:t>
      </w:r>
      <w:r w:rsidR="006423D1">
        <w:rPr>
          <w:rFonts w:eastAsia="Times New Roman" w:cstheme="minorHAnsi"/>
          <w:color w:val="000000" w:themeColor="text1"/>
          <w:lang w:val="en-US" w:eastAsia="fr-FR"/>
        </w:rPr>
        <w:t>, and p</w:t>
      </w:r>
      <w:r w:rsidRPr="00CD3935">
        <w:rPr>
          <w:rFonts w:eastAsia="Times New Roman" w:cstheme="minorHAnsi"/>
          <w:color w:val="000000" w:themeColor="text1"/>
          <w:lang w:val="en-US" w:eastAsia="fr-FR"/>
        </w:rPr>
        <w:t>atients with contraindications to radiation exposure (e.g., pregnancy) [12].</w:t>
      </w:r>
    </w:p>
    <w:p w14:paraId="4B544E0C"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In our series, all PET/CT scans were performed in patients who met the 2023 ESC criteria for appropriate use: 15/21 scans (71%) were in patients with prosthetic material, and all had inconclusive or non-diagnostic echocardiography. The high rate of positive findings (60% in the prosthetic group) and the detection of extracardiac foci in 40% of patients validate the appropriate selection of candidates for this expensive examination.</w:t>
      </w:r>
    </w:p>
    <w:p w14:paraId="33CBBFEE" w14:textId="77777777" w:rsidR="00CD3935" w:rsidRPr="006423D1"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The role of 18F-FDG PET/CT in suspected native valve endocarditis (NVE) remains controversial and is not currently recommended as a first-line diagnostic tool [12, 13]. Several factors contribute to its limited utility in this setting. First, physiological myocardial FDG uptake, even with optimal patient preparation, can obscure pathological valvular uptake. Second, vegetations in NVE are often small and highly mobile, potentially falling below the spatial resolution of PET. Third, the inflammatory response in acute NVE may be less intense than the chronic inflammation surrounding infected prosthetic material [22]. Consequently, pooled sensitivity for NVE is significantly lower (approximately 40–50%) than for prosthetic valve endocarditis [23]. In our small native valve subgroup (n=6), all scans were negative, and IE was subsequently excluded in all cases. While this suggests good specificity, </w:t>
      </w:r>
      <w:r w:rsidRPr="006423D1">
        <w:rPr>
          <w:rFonts w:eastAsia="Times New Roman" w:cstheme="minorHAnsi"/>
          <w:bCs/>
          <w:color w:val="000000" w:themeColor="text1"/>
          <w:lang w:val="en-US" w:eastAsia="fr-FR"/>
        </w:rPr>
        <w:t>the limited sample size and the absence of any true positive NVE cases preclude definitive conclusions regarding diagnostic performance in native valve endocarditis.</w:t>
      </w:r>
    </w:p>
    <w:p w14:paraId="448EE633"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lastRenderedPageBreak/>
        <w:t xml:space="preserve">The semi-quantitative analysis in our study (median </w:t>
      </w:r>
      <w:proofErr w:type="spellStart"/>
      <w:r w:rsidRPr="00CD3935">
        <w:rPr>
          <w:rFonts w:eastAsia="Times New Roman" w:cstheme="minorHAnsi"/>
          <w:color w:val="000000" w:themeColor="text1"/>
          <w:lang w:val="en-US" w:eastAsia="fr-FR"/>
        </w:rPr>
        <w:t>SUVmax</w:t>
      </w:r>
      <w:proofErr w:type="spellEnd"/>
      <w:r w:rsidRPr="00CD3935">
        <w:rPr>
          <w:rFonts w:eastAsia="Times New Roman" w:cstheme="minorHAnsi"/>
          <w:color w:val="000000" w:themeColor="text1"/>
          <w:lang w:val="en-US" w:eastAsia="fr-FR"/>
        </w:rPr>
        <w:t xml:space="preserve"> 5.8, TBR liver 2.1, TBR blood pool 4.3) provides objective metrics that may help differentiate infection from sterile inflammation. These values are consistent with published thresholds, where TBR &gt; 2.0 relative to liver and &gt; 3.0 relative to blood pool are considered highly suggestive of infection [25, 26]. The incorporation of semi-quantitative parameters into routine clinical interpretation may improve diagnostic confidence and reduce interobserver variability.</w:t>
      </w:r>
    </w:p>
    <w:p w14:paraId="6B6676A0"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The ultimate value of any diagnostic test lies not in its accuracy alone, but in its ability to improve patient outcomes by guiding appropriate management. In our cohort, PET/CT had a substantial clinical impact, influencing management in 57.1% of cases. This impact was multifaceted:</w:t>
      </w:r>
    </w:p>
    <w:p w14:paraId="54E1D986"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First, </w:t>
      </w:r>
      <w:r w:rsidRPr="006423D1">
        <w:rPr>
          <w:rFonts w:eastAsia="Times New Roman" w:cstheme="minorHAnsi"/>
          <w:bCs/>
          <w:color w:val="000000" w:themeColor="text1"/>
          <w:lang w:val="en-US" w:eastAsia="fr-FR"/>
        </w:rPr>
        <w:t>diagnostic reclassification</w:t>
      </w:r>
      <w:r w:rsidRPr="00CD3935">
        <w:rPr>
          <w:rFonts w:eastAsia="Times New Roman" w:cstheme="minorHAnsi"/>
          <w:color w:val="000000" w:themeColor="text1"/>
          <w:lang w:val="en-US" w:eastAsia="fr-FR"/>
        </w:rPr>
        <w:t> from "possible" to "definite" IE in 50% of patients provided the diagnostic certainty needed to commit patients to prolonged antibiotic therapy and surgical evaluation. This is particularly important given the morbidity and mortality associated with untreated IE and the risks of unnecessary therapy in patients without infection.</w:t>
      </w:r>
    </w:p>
    <w:p w14:paraId="7762DE31"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Second, the </w:t>
      </w:r>
      <w:r w:rsidRPr="006423D1">
        <w:rPr>
          <w:rFonts w:eastAsia="Times New Roman" w:cstheme="minorHAnsi"/>
          <w:bCs/>
          <w:color w:val="000000" w:themeColor="text1"/>
          <w:lang w:val="en-US" w:eastAsia="fr-FR"/>
        </w:rPr>
        <w:t>detection of extracardiac foci</w:t>
      </w:r>
      <w:r w:rsidRPr="00CD3935">
        <w:rPr>
          <w:rFonts w:eastAsia="Times New Roman" w:cstheme="minorHAnsi"/>
          <w:color w:val="000000" w:themeColor="text1"/>
          <w:lang w:val="en-US" w:eastAsia="fr-FR"/>
        </w:rPr>
        <w:t> in 28.6% of patients identified clinically silent sites of infection that required specific intervention. Septic emboli, abscesses, and infected catheters are common in IE but may not be clinically apparent; their detection by whole-body PET/CT allows for timely drainage, extended therapy, and source control [17].</w:t>
      </w:r>
    </w:p>
    <w:p w14:paraId="26F2E8F3"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Third, </w:t>
      </w:r>
      <w:r w:rsidRPr="006423D1">
        <w:rPr>
          <w:rFonts w:eastAsia="Times New Roman" w:cstheme="minorHAnsi"/>
          <w:bCs/>
          <w:color w:val="000000" w:themeColor="text1"/>
          <w:lang w:val="en-US" w:eastAsia="fr-FR"/>
        </w:rPr>
        <w:t>negative PET/CT scans</w:t>
      </w:r>
      <w:r w:rsidRPr="00CD3935">
        <w:rPr>
          <w:rFonts w:eastAsia="Times New Roman" w:cstheme="minorHAnsi"/>
          <w:color w:val="000000" w:themeColor="text1"/>
          <w:lang w:val="en-US" w:eastAsia="fr-FR"/>
        </w:rPr>
        <w:t> in patients ultimately excluded for IE helped avoid unnecessary invasive procedures and shortened hospital stays, contributing to more efficient resource utilization.</w:t>
      </w:r>
    </w:p>
    <w:p w14:paraId="4FDF8286"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These findings align with recent studies demonstrating that PET/CT leads to management changes in 30–60% of patients with suspected IE [27, 28]. The high rate of clinical impact in our cohort validates the appropriate selection of patients for this expensive diagnostic tool and supports its incorporation into routine clinical practice for selected indications.</w:t>
      </w:r>
    </w:p>
    <w:p w14:paraId="13F8C46D"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A practical question arising from this study is whether 18F-FDG PET/CT should be performed </w:t>
      </w:r>
      <w:r w:rsidRPr="006423D1">
        <w:rPr>
          <w:rFonts w:eastAsia="Times New Roman" w:cstheme="minorHAnsi"/>
          <w:bCs/>
          <w:color w:val="000000" w:themeColor="text1"/>
          <w:lang w:val="en-US" w:eastAsia="fr-FR"/>
        </w:rPr>
        <w:t>earlier</w:t>
      </w:r>
      <w:r w:rsidRPr="006423D1">
        <w:rPr>
          <w:rFonts w:eastAsia="Times New Roman" w:cstheme="minorHAnsi"/>
          <w:color w:val="000000" w:themeColor="text1"/>
          <w:lang w:val="en-US" w:eastAsia="fr-FR"/>
        </w:rPr>
        <w:t> </w:t>
      </w:r>
      <w:r w:rsidRPr="00CD3935">
        <w:rPr>
          <w:rFonts w:eastAsia="Times New Roman" w:cstheme="minorHAnsi"/>
          <w:color w:val="000000" w:themeColor="text1"/>
          <w:lang w:val="en-US" w:eastAsia="fr-FR"/>
        </w:rPr>
        <w:t>in the diagnostic workup for suspected IE. Our single false-negative case occurred in a patient who had received 10 days of antibiotic therapy prior to imaging, underscoring the known negative impact of prolonged antimicrobial treatment on PET sensitivity [19, 20]. Conversely, all true-positive scans in our cohort were obtained within a median of 5 days (range 2–8 days) of treatment initiation.</w:t>
      </w:r>
    </w:p>
    <w:p w14:paraId="38AD77B6" w14:textId="1EDEE988"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Based on these observations and the published literature, we suggest the following practical approach:</w:t>
      </w:r>
      <w:r w:rsidR="006423D1">
        <w:rPr>
          <w:rFonts w:eastAsia="Times New Roman" w:cstheme="minorHAnsi"/>
          <w:color w:val="000000" w:themeColor="text1"/>
          <w:lang w:val="en-US" w:eastAsia="fr-FR"/>
        </w:rPr>
        <w:t xml:space="preserve"> i</w:t>
      </w:r>
      <w:r w:rsidRPr="00CD3935">
        <w:rPr>
          <w:rFonts w:eastAsia="Times New Roman" w:cstheme="minorHAnsi"/>
          <w:color w:val="000000" w:themeColor="text1"/>
          <w:lang w:val="en-US" w:eastAsia="fr-FR"/>
        </w:rPr>
        <w:t>n patients with suspected prosthetic valve or device-related IE, PET/CT should be performed </w:t>
      </w:r>
      <w:r w:rsidRPr="006423D1">
        <w:rPr>
          <w:rFonts w:eastAsia="Times New Roman" w:cstheme="minorHAnsi"/>
          <w:bCs/>
          <w:color w:val="000000" w:themeColor="text1"/>
          <w:lang w:val="en-US" w:eastAsia="fr-FR"/>
        </w:rPr>
        <w:t>as early as possible</w:t>
      </w:r>
      <w:r w:rsidRPr="006423D1">
        <w:rPr>
          <w:rFonts w:eastAsia="Times New Roman" w:cstheme="minorHAnsi"/>
          <w:color w:val="000000" w:themeColor="text1"/>
          <w:lang w:val="en-US" w:eastAsia="fr-FR"/>
        </w:rPr>
        <w:t> in the diagnostic pathway, ideally </w:t>
      </w:r>
      <w:r w:rsidRPr="006423D1">
        <w:rPr>
          <w:rFonts w:eastAsia="Times New Roman" w:cstheme="minorHAnsi"/>
          <w:bCs/>
          <w:color w:val="000000" w:themeColor="text1"/>
          <w:lang w:val="en-US" w:eastAsia="fr-FR"/>
        </w:rPr>
        <w:t>within 3–7 days of clinical presentation and before or immediately after initiating antibiotic therapy</w:t>
      </w:r>
      <w:r w:rsidRPr="00CD3935">
        <w:rPr>
          <w:rFonts w:eastAsia="Times New Roman" w:cstheme="minorHAnsi"/>
          <w:color w:val="000000" w:themeColor="text1"/>
          <w:lang w:val="en-US" w:eastAsia="fr-FR"/>
        </w:rPr>
        <w:t> [24].</w:t>
      </w:r>
      <w:r w:rsidR="006423D1">
        <w:rPr>
          <w:rFonts w:eastAsia="Times New Roman" w:cstheme="minorHAnsi"/>
          <w:color w:val="000000" w:themeColor="text1"/>
          <w:lang w:val="en-US" w:eastAsia="fr-FR"/>
        </w:rPr>
        <w:t xml:space="preserve"> </w:t>
      </w:r>
      <w:r w:rsidRPr="00CD3935">
        <w:rPr>
          <w:rFonts w:eastAsia="Times New Roman" w:cstheme="minorHAnsi"/>
          <w:color w:val="000000" w:themeColor="text1"/>
          <w:lang w:val="en-US" w:eastAsia="fr-FR"/>
        </w:rPr>
        <w:t>If echocardiography is initially non-diagnostic and clinical suspicion remains high, PET/CT should not be delayed while awaiting microbiological results or further clinical evolution.</w:t>
      </w:r>
      <w:r w:rsidR="006423D1">
        <w:rPr>
          <w:rFonts w:eastAsia="Times New Roman" w:cstheme="minorHAnsi"/>
          <w:color w:val="000000" w:themeColor="text1"/>
          <w:lang w:val="en-US" w:eastAsia="fr-FR"/>
        </w:rPr>
        <w:t xml:space="preserve"> </w:t>
      </w:r>
      <w:r w:rsidRPr="00CD3935">
        <w:rPr>
          <w:rFonts w:eastAsia="Times New Roman" w:cstheme="minorHAnsi"/>
          <w:color w:val="000000" w:themeColor="text1"/>
          <w:lang w:val="en-US" w:eastAsia="fr-FR"/>
        </w:rPr>
        <w:t>Communication between the clinical team and nuclear medicine department is essential to prioritize and expedite the scan, ensuring optimal patient preparation (prolonged fasting, low-carbohydrate diet, or heparin to suppress myocardial uptake) [14].</w:t>
      </w:r>
      <w:r w:rsidR="006423D1">
        <w:rPr>
          <w:rFonts w:eastAsia="Times New Roman" w:cstheme="minorHAnsi"/>
          <w:color w:val="000000" w:themeColor="text1"/>
          <w:lang w:val="en-US" w:eastAsia="fr-FR"/>
        </w:rPr>
        <w:t xml:space="preserve"> </w:t>
      </w:r>
      <w:r w:rsidRPr="00CD3935">
        <w:rPr>
          <w:rFonts w:eastAsia="Times New Roman" w:cstheme="minorHAnsi"/>
          <w:color w:val="000000" w:themeColor="text1"/>
          <w:lang w:val="en-US" w:eastAsia="fr-FR"/>
        </w:rPr>
        <w:t xml:space="preserve">Early performance of PET/CT maximizes diagnostic sensitivity, allows for timely reclassification of patients from </w:t>
      </w:r>
      <w:r w:rsidRPr="00CD3935">
        <w:rPr>
          <w:rFonts w:eastAsia="Times New Roman" w:cstheme="minorHAnsi"/>
          <w:color w:val="000000" w:themeColor="text1"/>
          <w:lang w:val="en-US" w:eastAsia="fr-FR"/>
        </w:rPr>
        <w:lastRenderedPageBreak/>
        <w:t>"possible" to "definite" IE, and enables whole-body assessment for septic emboli before they become clinically apparent.</w:t>
      </w:r>
    </w:p>
    <w:p w14:paraId="455B5279"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This study has several limitations inherent to its retrospective, single-center design.</w:t>
      </w:r>
    </w:p>
    <w:p w14:paraId="5B77BC81"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First, </w:t>
      </w:r>
      <w:r w:rsidRPr="006423D1">
        <w:rPr>
          <w:rFonts w:eastAsia="Times New Roman" w:cstheme="minorHAnsi"/>
          <w:bCs/>
          <w:color w:val="000000" w:themeColor="text1"/>
          <w:lang w:val="en-US" w:eastAsia="fr-FR"/>
        </w:rPr>
        <w:t>selection bias</w:t>
      </w:r>
      <w:r w:rsidRPr="00CD3935">
        <w:rPr>
          <w:rFonts w:eastAsia="Times New Roman" w:cstheme="minorHAnsi"/>
          <w:color w:val="000000" w:themeColor="text1"/>
          <w:lang w:val="en-US" w:eastAsia="fr-FR"/>
        </w:rPr>
        <w:t> may be present, as the decision to perform 18F-FDG PET/CT was at the discretion of the clinical team and not governed by a standardized protocol. Patients referred for PET/CT may have had a higher pre-test probability of infection or more complex presentations, potentially influencing the observed diagnostic performance.</w:t>
      </w:r>
    </w:p>
    <w:p w14:paraId="1B8784D2"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Second, </w:t>
      </w:r>
      <w:r w:rsidRPr="00AA5A39">
        <w:rPr>
          <w:rFonts w:eastAsia="Times New Roman" w:cstheme="minorHAnsi"/>
          <w:bCs/>
          <w:color w:val="000000" w:themeColor="text1"/>
          <w:lang w:val="en-US" w:eastAsia="fr-FR"/>
        </w:rPr>
        <w:t>incorporation bias</w:t>
      </w:r>
      <w:r w:rsidRPr="00CD3935">
        <w:rPr>
          <w:rFonts w:eastAsia="Times New Roman" w:cstheme="minorHAnsi"/>
          <w:color w:val="000000" w:themeColor="text1"/>
          <w:lang w:val="en-US" w:eastAsia="fr-FR"/>
        </w:rPr>
        <w:t> is a significant concern. The reference standard (final diagnosis established by multidisciplinary consensus) was not entirely independent of the PET/CT results. In routine clinical practice, the multidisciplinary team had access to all available data, including PET/CT findings, when determining the final diagnosis. While this reflects real-world decision-making, it creates a risk of circular reasoning whereby a positive PET/CT may have influenced the final diagnosis, potentially leading to overestimation of sensitivity. To mitigate this bias, the final diagnosis was based on a comprehensive review of all available data over a minimum follow-up period of 3 months, including microbiological results, echocardiographic findings from serial examinations, intraoperative findings and histopathology, clinical response to therapy, and alternative diagnoses. Nevertheless, complete independence between the index test and reference standard was not achieved.</w:t>
      </w:r>
    </w:p>
    <w:p w14:paraId="38FF2B9B"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Third, the sample size is relatively small, particularly in subgroup analyses, resulting in wide confidence intervals and limiting the statistical power to detect differences between groups.</w:t>
      </w:r>
    </w:p>
    <w:p w14:paraId="30389F71"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Fourth, the study period spanned six years, during which scanner technology, patient preparation protocols, and image analysis techniques may have evolved.</w:t>
      </w:r>
    </w:p>
    <w:p w14:paraId="2F631C2B" w14:textId="290D49F7" w:rsidR="00AA5A39" w:rsidRPr="00AA5A39" w:rsidRDefault="00CD3935" w:rsidP="00AA5A39">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Fifth, the absence of true positive NVE cases in our cohort precludes any conclusions about PET/CT performance in native valve endocarditis</w:t>
      </w:r>
      <w:r w:rsidR="00AA5A39">
        <w:rPr>
          <w:rFonts w:eastAsia="Times New Roman" w:cstheme="minorHAnsi"/>
          <w:color w:val="000000" w:themeColor="text1"/>
          <w:lang w:val="en-US" w:eastAsia="fr-FR"/>
        </w:rPr>
        <w:t>.</w:t>
      </w:r>
    </w:p>
    <w:p w14:paraId="202A0604" w14:textId="77777777" w:rsidR="00CD3935" w:rsidRPr="00CD3935" w:rsidRDefault="00CD3935" w:rsidP="0054247C">
      <w:pPr>
        <w:shd w:val="clear" w:color="auto" w:fill="FFFFFF"/>
        <w:spacing w:before="480" w:after="240"/>
        <w:jc w:val="both"/>
        <w:outlineLvl w:val="2"/>
        <w:rPr>
          <w:rFonts w:eastAsia="Times New Roman" w:cstheme="minorHAnsi"/>
          <w:b/>
          <w:bCs/>
          <w:color w:val="000000" w:themeColor="text1"/>
          <w:lang w:val="en-US" w:eastAsia="fr-FR"/>
        </w:rPr>
      </w:pPr>
      <w:r w:rsidRPr="00CD3935">
        <w:rPr>
          <w:rFonts w:eastAsia="Times New Roman" w:cstheme="minorHAnsi"/>
          <w:b/>
          <w:bCs/>
          <w:color w:val="000000" w:themeColor="text1"/>
          <w:lang w:val="en-US" w:eastAsia="fr-FR"/>
        </w:rPr>
        <w:t>Conclusion</w:t>
      </w:r>
    </w:p>
    <w:p w14:paraId="073598AE"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This retrospective study demonstrates that 18F-FDG PET/CT provides significant diagnostic value in patients with suspected infective endocarditis involving prosthetic valves or cardiac implantable electronic devices, particularly when initial echocardiography and Duke classification are inconclusive. With a sensitivity of 90% (95% CI: 54.1–99.5%) and specificity of 100% (95% CI: 46.3–100%) in appropriately selected patients, PET/CT confirms its role as a powerful adjunctive diagnostic tool.</w:t>
      </w:r>
    </w:p>
    <w:p w14:paraId="2E2EFACB"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Crucially, the clinical impact of PET/CT extends far beyond diagnostic accuracy. The 50% reclassification rate from "possible" to "definite" IE and the 57% rate of documented management changes—including treatment intensification, detection of extracardiac foci requiring intervention, avoidance of unnecessary procedures, and surgical planning guidance—demonstrate that this expensive modality provides clinically actionable information when used for appropriate indications.</w:t>
      </w:r>
    </w:p>
    <w:p w14:paraId="5B57FE55"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lastRenderedPageBreak/>
        <w:t>According to the 2023 ESC guidelines, PET/CT should be reserved for specific patient populations: those with suspected prosthetic valve or device-related IE and inconclusive echocardiography, patients with blood culture-negative endocarditis, and those requiring whole-body staging for septic emboli. To maximize diagnostic yield, PET/CT should be performed early in the diagnostic pathway, ideally within 3–7 days of clinical presentation and before or immediately after initiating antibiotic therapy.</w:t>
      </w:r>
    </w:p>
    <w:p w14:paraId="59C4F2BF" w14:textId="77777777" w:rsidR="00CD3935" w:rsidRPr="00CD3935" w:rsidRDefault="00CD3935" w:rsidP="0054247C">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Clinicians should be aware of the potential for false-negative results, particularly in patients who have received prolonged antibiotic therapy prior to imaging, and in cases of fungal endocarditis where the inflammatory response may be less intense. The incorporation of semi-quantitative parameters (</w:t>
      </w:r>
      <w:proofErr w:type="spellStart"/>
      <w:r w:rsidRPr="00CD3935">
        <w:rPr>
          <w:rFonts w:eastAsia="Times New Roman" w:cstheme="minorHAnsi"/>
          <w:color w:val="000000" w:themeColor="text1"/>
          <w:lang w:val="en-US" w:eastAsia="fr-FR"/>
        </w:rPr>
        <w:t>SUVmax</w:t>
      </w:r>
      <w:proofErr w:type="spellEnd"/>
      <w:r w:rsidRPr="00CD3935">
        <w:rPr>
          <w:rFonts w:eastAsia="Times New Roman" w:cstheme="minorHAnsi"/>
          <w:color w:val="000000" w:themeColor="text1"/>
          <w:lang w:val="en-US" w:eastAsia="fr-FR"/>
        </w:rPr>
        <w:t>, TBR) may enhance diagnostic confidence and reduce interobserver variability.</w:t>
      </w:r>
    </w:p>
    <w:p w14:paraId="127F4D33" w14:textId="7DDB4CB0" w:rsidR="00CD3935" w:rsidRPr="00AA5A39" w:rsidRDefault="00CD3935" w:rsidP="00AA5A39">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Larger prospective studies with blinded interpretation and independent adjudication of final diagnosis are warranted to confirm these findings and to further refine the optimal timing and patient selection for PET/CT in suspected infective endocarditis.</w:t>
      </w:r>
    </w:p>
    <w:p w14:paraId="0D2BA2CD" w14:textId="57539158" w:rsidR="00033ACF" w:rsidRPr="00033ACF" w:rsidRDefault="00034573" w:rsidP="00033ACF">
      <w:pPr>
        <w:shd w:val="clear" w:color="auto" w:fill="FFFFFF"/>
        <w:spacing w:before="100" w:beforeAutospacing="1"/>
        <w:jc w:val="both"/>
        <w:rPr>
          <w:b/>
        </w:rPr>
      </w:pPr>
      <w:r w:rsidRPr="00033ACF">
        <w:rPr>
          <w:rFonts w:eastAsia="Times New Roman" w:cstheme="minorHAnsi"/>
          <w:b/>
          <w:color w:val="000000" w:themeColor="text1"/>
          <w:lang w:val="en-US" w:eastAsia="fr-FR"/>
        </w:rPr>
        <w:t xml:space="preserve">Consent </w:t>
      </w:r>
    </w:p>
    <w:p w14:paraId="5721A7B7" w14:textId="2690697D" w:rsidR="00034573" w:rsidRDefault="00034573" w:rsidP="00033ACF">
      <w:pPr>
        <w:shd w:val="clear" w:color="auto" w:fill="FFFFFF"/>
        <w:spacing w:before="100" w:beforeAutospacing="1"/>
        <w:jc w:val="both"/>
        <w:rPr>
          <w:rFonts w:eastAsia="Times New Roman" w:cstheme="minorHAnsi"/>
          <w:color w:val="000000" w:themeColor="text1"/>
          <w:lang w:val="en-US" w:eastAsia="fr-FR"/>
        </w:rPr>
      </w:pPr>
      <w:r w:rsidRPr="00034573">
        <w:rPr>
          <w:rFonts w:eastAsia="Times New Roman" w:cstheme="minorHAnsi"/>
          <w:b/>
          <w:color w:val="000000" w:themeColor="text1"/>
          <w:lang w:val="en-US" w:eastAsia="fr-FR"/>
        </w:rPr>
        <w:t>Written informed consent was waived due to the retrospective and anonymized nature of the data</w:t>
      </w:r>
      <w:r w:rsidRPr="00034573">
        <w:rPr>
          <w:rFonts w:eastAsia="Times New Roman" w:cstheme="minorHAnsi"/>
          <w:color w:val="000000" w:themeColor="text1"/>
          <w:lang w:val="en-US" w:eastAsia="fr-FR"/>
        </w:rPr>
        <w:t>.</w:t>
      </w:r>
    </w:p>
    <w:p w14:paraId="15873CC6" w14:textId="77777777" w:rsidR="00034573" w:rsidRPr="00034573" w:rsidRDefault="00034573" w:rsidP="00034573">
      <w:pPr>
        <w:shd w:val="clear" w:color="auto" w:fill="FFFFFF"/>
        <w:spacing w:before="100" w:beforeAutospacing="1"/>
        <w:jc w:val="both"/>
        <w:rPr>
          <w:rFonts w:eastAsia="Times New Roman" w:cstheme="minorHAnsi"/>
          <w:color w:val="000000" w:themeColor="text1"/>
          <w:lang w:val="en-US" w:eastAsia="fr-FR"/>
        </w:rPr>
      </w:pPr>
      <w:bookmarkStart w:id="1" w:name="_GoBack"/>
      <w:bookmarkEnd w:id="1"/>
    </w:p>
    <w:p w14:paraId="1018365E" w14:textId="0BEA7C3C" w:rsidR="00033ACF" w:rsidRDefault="00AA5A39" w:rsidP="00033ACF">
      <w:pPr>
        <w:shd w:val="clear" w:color="auto" w:fill="FFFFFF"/>
        <w:spacing w:before="100" w:beforeAutospacing="1"/>
        <w:jc w:val="both"/>
        <w:rPr>
          <w:rFonts w:eastAsia="Times New Roman" w:cstheme="minorHAnsi"/>
          <w:b/>
          <w:bCs/>
          <w:color w:val="000000" w:themeColor="text1"/>
          <w:lang w:val="en-US" w:eastAsia="fr-FR"/>
        </w:rPr>
      </w:pPr>
      <w:r w:rsidRPr="00AA5A39">
        <w:rPr>
          <w:rFonts w:eastAsia="Times New Roman" w:cstheme="minorHAnsi"/>
          <w:b/>
          <w:bCs/>
          <w:color w:val="000000" w:themeColor="text1"/>
          <w:lang w:val="en-US" w:eastAsia="fr-FR"/>
        </w:rPr>
        <w:t xml:space="preserve">Ethics approval </w:t>
      </w:r>
    </w:p>
    <w:p w14:paraId="6B457D11" w14:textId="556EA0B6" w:rsidR="00AA5A39" w:rsidRDefault="00AA5A39" w:rsidP="00033ACF">
      <w:pPr>
        <w:shd w:val="clear" w:color="auto" w:fill="FFFFFF"/>
        <w:spacing w:before="100" w:beforeAutospacing="1"/>
        <w:jc w:val="both"/>
        <w:rPr>
          <w:rFonts w:eastAsia="Times New Roman" w:cstheme="minorHAnsi"/>
          <w:color w:val="000000" w:themeColor="text1"/>
          <w:lang w:val="en-US" w:eastAsia="fr-FR"/>
        </w:rPr>
      </w:pPr>
      <w:r w:rsidRPr="00AA5A39">
        <w:rPr>
          <w:rFonts w:eastAsia="Times New Roman" w:cstheme="minorHAnsi"/>
          <w:color w:val="000000" w:themeColor="text1"/>
          <w:lang w:val="en-US" w:eastAsia="fr-FR"/>
        </w:rPr>
        <w:t xml:space="preserve"> This retrospective study was approved by the Institutional Review Board (or Ethics Committee) of Military Hospital of Teaching Mohammed </w:t>
      </w:r>
    </w:p>
    <w:p w14:paraId="4BF471D7" w14:textId="77777777" w:rsidR="00034573" w:rsidRDefault="00034573" w:rsidP="00034573">
      <w:pPr>
        <w:pStyle w:val="ListParagraph"/>
        <w:rPr>
          <w:rFonts w:eastAsia="Times New Roman" w:cstheme="minorHAnsi"/>
          <w:color w:val="000000" w:themeColor="text1"/>
          <w:lang w:val="en-US" w:eastAsia="fr-FR"/>
        </w:rPr>
      </w:pPr>
    </w:p>
    <w:p w14:paraId="7CD012D0" w14:textId="3DACB33C" w:rsidR="00033ACF" w:rsidRDefault="00AA5A39" w:rsidP="00033ACF">
      <w:pPr>
        <w:shd w:val="clear" w:color="auto" w:fill="FFFFFF"/>
        <w:spacing w:before="100" w:beforeAutospacing="1"/>
        <w:jc w:val="both"/>
        <w:rPr>
          <w:rFonts w:eastAsia="Times New Roman" w:cstheme="minorHAnsi"/>
          <w:b/>
          <w:bCs/>
          <w:color w:val="000000" w:themeColor="text1"/>
          <w:lang w:val="en-US" w:eastAsia="fr-FR"/>
        </w:rPr>
      </w:pPr>
      <w:r w:rsidRPr="00AA5A39">
        <w:rPr>
          <w:rFonts w:eastAsia="Times New Roman" w:cstheme="minorHAnsi"/>
          <w:b/>
          <w:bCs/>
          <w:color w:val="000000" w:themeColor="text1"/>
          <w:lang w:val="en-US" w:eastAsia="fr-FR"/>
        </w:rPr>
        <w:t>Availability of data and materials</w:t>
      </w:r>
    </w:p>
    <w:p w14:paraId="30A4F059" w14:textId="199178B2" w:rsidR="00AA5A39" w:rsidRDefault="00AA5A39" w:rsidP="00033ACF">
      <w:pPr>
        <w:shd w:val="clear" w:color="auto" w:fill="FFFFFF"/>
        <w:spacing w:before="100" w:beforeAutospacing="1"/>
        <w:jc w:val="both"/>
        <w:rPr>
          <w:rFonts w:eastAsia="Times New Roman" w:cstheme="minorHAnsi"/>
          <w:color w:val="000000" w:themeColor="text1"/>
          <w:lang w:val="en-US" w:eastAsia="fr-FR"/>
        </w:rPr>
      </w:pPr>
      <w:r w:rsidRPr="00AA5A39">
        <w:rPr>
          <w:rFonts w:eastAsia="Times New Roman" w:cstheme="minorHAnsi"/>
          <w:color w:val="000000" w:themeColor="text1"/>
          <w:lang w:val="en-US" w:eastAsia="fr-FR"/>
        </w:rPr>
        <w:t> The datasets used and/or analyzed during the current study are available from the corresponding author on reasonable request.</w:t>
      </w:r>
    </w:p>
    <w:p w14:paraId="4E563E9A" w14:textId="77777777" w:rsidR="00033ACF" w:rsidRDefault="00033ACF" w:rsidP="00033ACF">
      <w:pPr>
        <w:shd w:val="clear" w:color="auto" w:fill="FFFFFF"/>
        <w:spacing w:before="100" w:beforeAutospacing="1"/>
        <w:jc w:val="both"/>
        <w:rPr>
          <w:rFonts w:eastAsia="Times New Roman" w:cstheme="minorHAnsi"/>
          <w:color w:val="000000" w:themeColor="text1"/>
          <w:lang w:val="en-US" w:eastAsia="fr-FR"/>
        </w:rPr>
      </w:pPr>
    </w:p>
    <w:p w14:paraId="49E3D01D" w14:textId="2564C96F" w:rsidR="00033ACF" w:rsidRDefault="00AA5A39" w:rsidP="00033ACF">
      <w:pPr>
        <w:shd w:val="clear" w:color="auto" w:fill="FFFFFF"/>
        <w:spacing w:before="100" w:beforeAutospacing="1"/>
        <w:jc w:val="both"/>
        <w:rPr>
          <w:rFonts w:eastAsia="Times New Roman" w:cstheme="minorHAnsi"/>
          <w:b/>
          <w:bCs/>
          <w:color w:val="000000" w:themeColor="text1"/>
          <w:lang w:val="en-US" w:eastAsia="fr-FR"/>
        </w:rPr>
      </w:pPr>
      <w:r w:rsidRPr="00CD3935">
        <w:rPr>
          <w:rFonts w:eastAsia="Times New Roman" w:cstheme="minorHAnsi"/>
          <w:b/>
          <w:bCs/>
          <w:color w:val="000000" w:themeColor="text1"/>
          <w:lang w:val="en-US" w:eastAsia="fr-FR"/>
        </w:rPr>
        <w:t>Acknowledgements</w:t>
      </w:r>
    </w:p>
    <w:p w14:paraId="31F6F44A" w14:textId="01A24954" w:rsidR="00AA5A39" w:rsidRDefault="00AA5A39" w:rsidP="00033ACF">
      <w:pPr>
        <w:shd w:val="clear" w:color="auto" w:fill="FFFFFF"/>
        <w:spacing w:before="100" w:beforeAutospacing="1"/>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 The authors would like to thank the staff of the Nuclear Medicine and Cardiology departments for their assistance</w:t>
      </w:r>
      <w:r>
        <w:rPr>
          <w:rFonts w:eastAsia="Times New Roman" w:cstheme="minorHAnsi"/>
          <w:color w:val="000000" w:themeColor="text1"/>
          <w:lang w:val="en-US" w:eastAsia="fr-FR"/>
        </w:rPr>
        <w:t>.</w:t>
      </w:r>
    </w:p>
    <w:p w14:paraId="741E3FBE" w14:textId="77777777" w:rsidR="00033ACF" w:rsidRDefault="00AA5A39" w:rsidP="00033ACF">
      <w:pPr>
        <w:shd w:val="clear" w:color="auto" w:fill="FFFFFF"/>
        <w:spacing w:before="100" w:beforeAutospacing="1"/>
        <w:jc w:val="both"/>
        <w:rPr>
          <w:rFonts w:eastAsia="Times New Roman" w:cstheme="minorHAnsi"/>
          <w:color w:val="000000" w:themeColor="text1"/>
          <w:lang w:val="en-US" w:eastAsia="fr-FR"/>
        </w:rPr>
      </w:pPr>
      <w:r w:rsidRPr="00AA5A39">
        <w:rPr>
          <w:rFonts w:ascii="Times New Roman" w:eastAsia="Calibri" w:hAnsi="Times New Roman" w:cs="Times New Roman"/>
          <w:b/>
          <w:kern w:val="2"/>
          <w:sz w:val="22"/>
          <w:szCs w:val="22"/>
          <w:lang w:val="en-US"/>
        </w:rPr>
        <w:t>Disclaimer (Artificial intelligence)</w:t>
      </w:r>
      <w:r>
        <w:rPr>
          <w:rFonts w:eastAsia="Times New Roman" w:cstheme="minorHAnsi"/>
          <w:color w:val="000000" w:themeColor="text1"/>
          <w:lang w:val="en-US" w:eastAsia="fr-FR"/>
        </w:rPr>
        <w:t xml:space="preserve"> </w:t>
      </w:r>
    </w:p>
    <w:p w14:paraId="11D46FD7" w14:textId="140738E4" w:rsidR="00AA5A39" w:rsidRPr="00AA5A39" w:rsidRDefault="00AA5A39" w:rsidP="00033ACF">
      <w:pPr>
        <w:shd w:val="clear" w:color="auto" w:fill="FFFFFF"/>
        <w:spacing w:before="100" w:beforeAutospacing="1"/>
        <w:jc w:val="both"/>
        <w:rPr>
          <w:rFonts w:eastAsia="Times New Roman" w:cstheme="minorHAnsi"/>
          <w:color w:val="000000" w:themeColor="text1"/>
          <w:lang w:val="en-US" w:eastAsia="fr-FR"/>
        </w:rPr>
      </w:pPr>
      <w:r w:rsidRPr="00AA5A39">
        <w:rPr>
          <w:rFonts w:eastAsia="Calibri" w:cstheme="minorHAnsi"/>
          <w:kern w:val="2"/>
          <w:lang w:val="en-US"/>
        </w:rPr>
        <w:t>Author(s) hereby declare that NO generative AI technologies such as Large Language Models (</w:t>
      </w:r>
      <w:proofErr w:type="spellStart"/>
      <w:r w:rsidRPr="00AA5A39">
        <w:rPr>
          <w:rFonts w:eastAsia="Calibri" w:cstheme="minorHAnsi"/>
          <w:kern w:val="2"/>
          <w:lang w:val="en-US"/>
        </w:rPr>
        <w:t>ChatGPT</w:t>
      </w:r>
      <w:proofErr w:type="spellEnd"/>
      <w:r w:rsidRPr="00AA5A39">
        <w:rPr>
          <w:rFonts w:eastAsia="Calibri" w:cstheme="minorHAnsi"/>
          <w:kern w:val="2"/>
          <w:lang w:val="en-US"/>
        </w:rPr>
        <w:t xml:space="preserve">, COPILOT, etc.) and text-to-image generators have been used during the writing or editing of this manuscript. </w:t>
      </w:r>
    </w:p>
    <w:p w14:paraId="750AA9F6" w14:textId="77777777" w:rsidR="00CD3935" w:rsidRPr="00CD3935" w:rsidRDefault="00CD3935" w:rsidP="0054247C">
      <w:pPr>
        <w:shd w:val="clear" w:color="auto" w:fill="FFFFFF"/>
        <w:spacing w:before="480" w:after="240"/>
        <w:jc w:val="both"/>
        <w:outlineLvl w:val="2"/>
        <w:rPr>
          <w:rFonts w:eastAsia="Times New Roman" w:cstheme="minorHAnsi"/>
          <w:b/>
          <w:bCs/>
          <w:color w:val="000000" w:themeColor="text1"/>
          <w:lang w:eastAsia="fr-FR"/>
        </w:rPr>
      </w:pPr>
      <w:proofErr w:type="spellStart"/>
      <w:r w:rsidRPr="00CD3935">
        <w:rPr>
          <w:rFonts w:eastAsia="Times New Roman" w:cstheme="minorHAnsi"/>
          <w:b/>
          <w:bCs/>
          <w:color w:val="000000" w:themeColor="text1"/>
          <w:lang w:eastAsia="fr-FR"/>
        </w:rPr>
        <w:lastRenderedPageBreak/>
        <w:t>References</w:t>
      </w:r>
      <w:proofErr w:type="spellEnd"/>
    </w:p>
    <w:p w14:paraId="352731F0" w14:textId="77777777" w:rsidR="00CD3935" w:rsidRPr="00CD3935" w:rsidRDefault="00CD3935" w:rsidP="0054247C">
      <w:pPr>
        <w:numPr>
          <w:ilvl w:val="0"/>
          <w:numId w:val="21"/>
        </w:numPr>
        <w:shd w:val="clear" w:color="auto" w:fill="FFFFFF"/>
        <w:spacing w:before="100" w:beforeAutospacing="1"/>
        <w:ind w:left="0"/>
        <w:jc w:val="both"/>
        <w:rPr>
          <w:rFonts w:eastAsia="Times New Roman" w:cstheme="minorHAnsi"/>
          <w:color w:val="000000" w:themeColor="text1"/>
          <w:lang w:eastAsia="fr-FR"/>
        </w:rPr>
      </w:pPr>
      <w:r w:rsidRPr="00CD3935">
        <w:rPr>
          <w:rFonts w:eastAsia="Times New Roman" w:cstheme="minorHAnsi"/>
          <w:color w:val="000000" w:themeColor="text1"/>
          <w:lang w:val="en-US" w:eastAsia="fr-FR"/>
        </w:rPr>
        <w:t>Cahill TJ, Prendergast BD. Infective endocarditis. </w:t>
      </w:r>
      <w:r w:rsidRPr="00CD3935">
        <w:rPr>
          <w:rFonts w:eastAsia="Times New Roman" w:cstheme="minorHAnsi"/>
          <w:i/>
          <w:iCs/>
          <w:color w:val="000000" w:themeColor="text1"/>
          <w:lang w:eastAsia="fr-FR"/>
        </w:rPr>
        <w:t>Lancet</w:t>
      </w:r>
      <w:r w:rsidRPr="00CD3935">
        <w:rPr>
          <w:rFonts w:eastAsia="Times New Roman" w:cstheme="minorHAnsi"/>
          <w:color w:val="000000" w:themeColor="text1"/>
          <w:lang w:eastAsia="fr-FR"/>
        </w:rPr>
        <w:t xml:space="preserve">. </w:t>
      </w:r>
      <w:proofErr w:type="gramStart"/>
      <w:r w:rsidRPr="00CD3935">
        <w:rPr>
          <w:rFonts w:eastAsia="Times New Roman" w:cstheme="minorHAnsi"/>
          <w:color w:val="000000" w:themeColor="text1"/>
          <w:lang w:eastAsia="fr-FR"/>
        </w:rPr>
        <w:t>2016;</w:t>
      </w:r>
      <w:proofErr w:type="gramEnd"/>
      <w:r w:rsidRPr="00CD3935">
        <w:rPr>
          <w:rFonts w:eastAsia="Times New Roman" w:cstheme="minorHAnsi"/>
          <w:color w:val="000000" w:themeColor="text1"/>
          <w:lang w:eastAsia="fr-FR"/>
        </w:rPr>
        <w:t>387(10021):882-893.</w:t>
      </w:r>
    </w:p>
    <w:p w14:paraId="3BB3A06D" w14:textId="77777777" w:rsidR="00CD3935" w:rsidRPr="00CD3935" w:rsidRDefault="00CD3935" w:rsidP="0054247C">
      <w:pPr>
        <w:numPr>
          <w:ilvl w:val="0"/>
          <w:numId w:val="21"/>
        </w:numPr>
        <w:shd w:val="clear" w:color="auto" w:fill="FFFFFF"/>
        <w:spacing w:before="100" w:beforeAutospacing="1"/>
        <w:ind w:left="0"/>
        <w:jc w:val="both"/>
        <w:rPr>
          <w:rFonts w:eastAsia="Times New Roman" w:cstheme="minorHAnsi"/>
          <w:color w:val="000000" w:themeColor="text1"/>
          <w:lang w:eastAsia="fr-FR"/>
        </w:rPr>
      </w:pPr>
      <w:r w:rsidRPr="00CD3935">
        <w:rPr>
          <w:rFonts w:eastAsia="Times New Roman" w:cstheme="minorHAnsi"/>
          <w:color w:val="000000" w:themeColor="text1"/>
          <w:lang w:val="en-US" w:eastAsia="fr-FR"/>
        </w:rPr>
        <w:t xml:space="preserve">Murdoch DR, Corey GR, </w:t>
      </w:r>
      <w:proofErr w:type="spellStart"/>
      <w:r w:rsidRPr="00CD3935">
        <w:rPr>
          <w:rFonts w:eastAsia="Times New Roman" w:cstheme="minorHAnsi"/>
          <w:color w:val="000000" w:themeColor="text1"/>
          <w:lang w:val="en-US" w:eastAsia="fr-FR"/>
        </w:rPr>
        <w:t>Hoen</w:t>
      </w:r>
      <w:proofErr w:type="spellEnd"/>
      <w:r w:rsidRPr="00CD3935">
        <w:rPr>
          <w:rFonts w:eastAsia="Times New Roman" w:cstheme="minorHAnsi"/>
          <w:color w:val="000000" w:themeColor="text1"/>
          <w:lang w:val="en-US" w:eastAsia="fr-FR"/>
        </w:rPr>
        <w:t xml:space="preserve"> B, et al. Clinical presentation, etiology, and outcome of infective endocarditis in the 21st century: </w:t>
      </w:r>
      <w:proofErr w:type="gramStart"/>
      <w:r w:rsidRPr="00CD3935">
        <w:rPr>
          <w:rFonts w:eastAsia="Times New Roman" w:cstheme="minorHAnsi"/>
          <w:color w:val="000000" w:themeColor="text1"/>
          <w:lang w:val="en-US" w:eastAsia="fr-FR"/>
        </w:rPr>
        <w:t>the</w:t>
      </w:r>
      <w:proofErr w:type="gramEnd"/>
      <w:r w:rsidRPr="00CD3935">
        <w:rPr>
          <w:rFonts w:eastAsia="Times New Roman" w:cstheme="minorHAnsi"/>
          <w:color w:val="000000" w:themeColor="text1"/>
          <w:lang w:val="en-US" w:eastAsia="fr-FR"/>
        </w:rPr>
        <w:t xml:space="preserve"> International Collaboration on Endocarditis-Prospective Cohort Study. </w:t>
      </w:r>
      <w:r w:rsidRPr="00CD3935">
        <w:rPr>
          <w:rFonts w:eastAsia="Times New Roman" w:cstheme="minorHAnsi"/>
          <w:i/>
          <w:iCs/>
          <w:color w:val="000000" w:themeColor="text1"/>
          <w:lang w:eastAsia="fr-FR"/>
        </w:rPr>
        <w:t xml:space="preserve">Arch </w:t>
      </w:r>
      <w:proofErr w:type="spellStart"/>
      <w:r w:rsidRPr="00CD3935">
        <w:rPr>
          <w:rFonts w:eastAsia="Times New Roman" w:cstheme="minorHAnsi"/>
          <w:i/>
          <w:iCs/>
          <w:color w:val="000000" w:themeColor="text1"/>
          <w:lang w:eastAsia="fr-FR"/>
        </w:rPr>
        <w:t>Intern</w:t>
      </w:r>
      <w:proofErr w:type="spellEnd"/>
      <w:r w:rsidRPr="00CD3935">
        <w:rPr>
          <w:rFonts w:eastAsia="Times New Roman" w:cstheme="minorHAnsi"/>
          <w:i/>
          <w:iCs/>
          <w:color w:val="000000" w:themeColor="text1"/>
          <w:lang w:eastAsia="fr-FR"/>
        </w:rPr>
        <w:t xml:space="preserve"> Med</w:t>
      </w:r>
      <w:r w:rsidRPr="00CD3935">
        <w:rPr>
          <w:rFonts w:eastAsia="Times New Roman" w:cstheme="minorHAnsi"/>
          <w:color w:val="000000" w:themeColor="text1"/>
          <w:lang w:eastAsia="fr-FR"/>
        </w:rPr>
        <w:t xml:space="preserve">. </w:t>
      </w:r>
      <w:proofErr w:type="gramStart"/>
      <w:r w:rsidRPr="00CD3935">
        <w:rPr>
          <w:rFonts w:eastAsia="Times New Roman" w:cstheme="minorHAnsi"/>
          <w:color w:val="000000" w:themeColor="text1"/>
          <w:lang w:eastAsia="fr-FR"/>
        </w:rPr>
        <w:t>2009;</w:t>
      </w:r>
      <w:proofErr w:type="gramEnd"/>
      <w:r w:rsidRPr="00CD3935">
        <w:rPr>
          <w:rFonts w:eastAsia="Times New Roman" w:cstheme="minorHAnsi"/>
          <w:color w:val="000000" w:themeColor="text1"/>
          <w:lang w:eastAsia="fr-FR"/>
        </w:rPr>
        <w:t>169(5):463-473.</w:t>
      </w:r>
    </w:p>
    <w:p w14:paraId="751E4013" w14:textId="77777777" w:rsidR="00CD3935" w:rsidRPr="00CD3935" w:rsidRDefault="00CD3935" w:rsidP="0054247C">
      <w:pPr>
        <w:numPr>
          <w:ilvl w:val="0"/>
          <w:numId w:val="21"/>
        </w:numPr>
        <w:shd w:val="clear" w:color="auto" w:fill="FFFFFF"/>
        <w:spacing w:before="100" w:beforeAutospacing="1"/>
        <w:ind w:left="0"/>
        <w:jc w:val="both"/>
        <w:rPr>
          <w:rFonts w:eastAsia="Times New Roman" w:cstheme="minorHAnsi"/>
          <w:color w:val="000000" w:themeColor="text1"/>
          <w:lang w:eastAsia="fr-FR"/>
        </w:rPr>
      </w:pPr>
      <w:r w:rsidRPr="00CD3935">
        <w:rPr>
          <w:rFonts w:eastAsia="Times New Roman" w:cstheme="minorHAnsi"/>
          <w:color w:val="000000" w:themeColor="text1"/>
          <w:lang w:eastAsia="fr-FR"/>
        </w:rPr>
        <w:t xml:space="preserve">Habib G, Erba PA, </w:t>
      </w:r>
      <w:proofErr w:type="spellStart"/>
      <w:r w:rsidRPr="00CD3935">
        <w:rPr>
          <w:rFonts w:eastAsia="Times New Roman" w:cstheme="minorHAnsi"/>
          <w:color w:val="000000" w:themeColor="text1"/>
          <w:lang w:eastAsia="fr-FR"/>
        </w:rPr>
        <w:t>Iung</w:t>
      </w:r>
      <w:proofErr w:type="spellEnd"/>
      <w:r w:rsidRPr="00CD3935">
        <w:rPr>
          <w:rFonts w:eastAsia="Times New Roman" w:cstheme="minorHAnsi"/>
          <w:color w:val="000000" w:themeColor="text1"/>
          <w:lang w:eastAsia="fr-FR"/>
        </w:rPr>
        <w:t xml:space="preserve"> B, et al. </w:t>
      </w:r>
      <w:r w:rsidRPr="00CD3935">
        <w:rPr>
          <w:rFonts w:eastAsia="Times New Roman" w:cstheme="minorHAnsi"/>
          <w:color w:val="000000" w:themeColor="text1"/>
          <w:lang w:val="en-US" w:eastAsia="fr-FR"/>
        </w:rPr>
        <w:t xml:space="preserve">Clinical presentation, </w:t>
      </w:r>
      <w:proofErr w:type="spellStart"/>
      <w:r w:rsidRPr="00CD3935">
        <w:rPr>
          <w:rFonts w:eastAsia="Times New Roman" w:cstheme="minorHAnsi"/>
          <w:color w:val="000000" w:themeColor="text1"/>
          <w:lang w:val="en-US" w:eastAsia="fr-FR"/>
        </w:rPr>
        <w:t>aetiology</w:t>
      </w:r>
      <w:proofErr w:type="spellEnd"/>
      <w:r w:rsidRPr="00CD3935">
        <w:rPr>
          <w:rFonts w:eastAsia="Times New Roman" w:cstheme="minorHAnsi"/>
          <w:color w:val="000000" w:themeColor="text1"/>
          <w:lang w:val="en-US" w:eastAsia="fr-FR"/>
        </w:rPr>
        <w:t xml:space="preserve"> and outcome of infective endocarditis. Results of the ESC-EORP EURO-ENDO (European Infective Endocarditis) registry: a prospective cohort study. </w:t>
      </w:r>
      <w:proofErr w:type="spellStart"/>
      <w:r w:rsidRPr="00CD3935">
        <w:rPr>
          <w:rFonts w:eastAsia="Times New Roman" w:cstheme="minorHAnsi"/>
          <w:i/>
          <w:iCs/>
          <w:color w:val="000000" w:themeColor="text1"/>
          <w:lang w:eastAsia="fr-FR"/>
        </w:rPr>
        <w:t>Eur</w:t>
      </w:r>
      <w:proofErr w:type="spellEnd"/>
      <w:r w:rsidRPr="00CD3935">
        <w:rPr>
          <w:rFonts w:eastAsia="Times New Roman" w:cstheme="minorHAnsi"/>
          <w:i/>
          <w:iCs/>
          <w:color w:val="000000" w:themeColor="text1"/>
          <w:lang w:eastAsia="fr-FR"/>
        </w:rPr>
        <w:t xml:space="preserve"> </w:t>
      </w:r>
      <w:proofErr w:type="spellStart"/>
      <w:r w:rsidRPr="00CD3935">
        <w:rPr>
          <w:rFonts w:eastAsia="Times New Roman" w:cstheme="minorHAnsi"/>
          <w:i/>
          <w:iCs/>
          <w:color w:val="000000" w:themeColor="text1"/>
          <w:lang w:eastAsia="fr-FR"/>
        </w:rPr>
        <w:t>Heart</w:t>
      </w:r>
      <w:proofErr w:type="spellEnd"/>
      <w:r w:rsidRPr="00CD3935">
        <w:rPr>
          <w:rFonts w:eastAsia="Times New Roman" w:cstheme="minorHAnsi"/>
          <w:i/>
          <w:iCs/>
          <w:color w:val="000000" w:themeColor="text1"/>
          <w:lang w:eastAsia="fr-FR"/>
        </w:rPr>
        <w:t xml:space="preserve"> J</w:t>
      </w:r>
      <w:r w:rsidRPr="00CD3935">
        <w:rPr>
          <w:rFonts w:eastAsia="Times New Roman" w:cstheme="minorHAnsi"/>
          <w:color w:val="000000" w:themeColor="text1"/>
          <w:lang w:eastAsia="fr-FR"/>
        </w:rPr>
        <w:t xml:space="preserve">. </w:t>
      </w:r>
      <w:proofErr w:type="gramStart"/>
      <w:r w:rsidRPr="00CD3935">
        <w:rPr>
          <w:rFonts w:eastAsia="Times New Roman" w:cstheme="minorHAnsi"/>
          <w:color w:val="000000" w:themeColor="text1"/>
          <w:lang w:eastAsia="fr-FR"/>
        </w:rPr>
        <w:t>2019;</w:t>
      </w:r>
      <w:proofErr w:type="gramEnd"/>
      <w:r w:rsidRPr="00CD3935">
        <w:rPr>
          <w:rFonts w:eastAsia="Times New Roman" w:cstheme="minorHAnsi"/>
          <w:color w:val="000000" w:themeColor="text1"/>
          <w:lang w:eastAsia="fr-FR"/>
        </w:rPr>
        <w:t>40(39):3222-3232.</w:t>
      </w:r>
    </w:p>
    <w:p w14:paraId="248D07E0" w14:textId="77777777" w:rsidR="00CD3935" w:rsidRPr="00CD3935" w:rsidRDefault="00CD3935" w:rsidP="0054247C">
      <w:pPr>
        <w:numPr>
          <w:ilvl w:val="0"/>
          <w:numId w:val="21"/>
        </w:numPr>
        <w:shd w:val="clear" w:color="auto" w:fill="FFFFFF"/>
        <w:spacing w:before="100" w:beforeAutospacing="1"/>
        <w:ind w:left="0"/>
        <w:jc w:val="both"/>
        <w:rPr>
          <w:rFonts w:eastAsia="Times New Roman" w:cstheme="minorHAnsi"/>
          <w:color w:val="000000" w:themeColor="text1"/>
          <w:lang w:eastAsia="fr-FR"/>
        </w:rPr>
      </w:pPr>
      <w:proofErr w:type="spellStart"/>
      <w:r w:rsidRPr="00CD3935">
        <w:rPr>
          <w:rFonts w:eastAsia="Times New Roman" w:cstheme="minorHAnsi"/>
          <w:color w:val="000000" w:themeColor="text1"/>
          <w:lang w:val="en-US" w:eastAsia="fr-FR"/>
        </w:rPr>
        <w:t>Durack</w:t>
      </w:r>
      <w:proofErr w:type="spellEnd"/>
      <w:r w:rsidRPr="00CD3935">
        <w:rPr>
          <w:rFonts w:eastAsia="Times New Roman" w:cstheme="minorHAnsi"/>
          <w:color w:val="000000" w:themeColor="text1"/>
          <w:lang w:val="en-US" w:eastAsia="fr-FR"/>
        </w:rPr>
        <w:t xml:space="preserve"> DT, </w:t>
      </w:r>
      <w:proofErr w:type="spellStart"/>
      <w:r w:rsidRPr="00CD3935">
        <w:rPr>
          <w:rFonts w:eastAsia="Times New Roman" w:cstheme="minorHAnsi"/>
          <w:color w:val="000000" w:themeColor="text1"/>
          <w:lang w:val="en-US" w:eastAsia="fr-FR"/>
        </w:rPr>
        <w:t>Lukes</w:t>
      </w:r>
      <w:proofErr w:type="spellEnd"/>
      <w:r w:rsidRPr="00CD3935">
        <w:rPr>
          <w:rFonts w:eastAsia="Times New Roman" w:cstheme="minorHAnsi"/>
          <w:color w:val="000000" w:themeColor="text1"/>
          <w:lang w:val="en-US" w:eastAsia="fr-FR"/>
        </w:rPr>
        <w:t xml:space="preserve"> AS, Bright DK. New criteria for diagnosis of infective endocarditis: utilization of specific echocardiographic findings. </w:t>
      </w:r>
      <w:r w:rsidRPr="00CD3935">
        <w:rPr>
          <w:rFonts w:eastAsia="Times New Roman" w:cstheme="minorHAnsi"/>
          <w:color w:val="000000" w:themeColor="text1"/>
          <w:lang w:eastAsia="fr-FR"/>
        </w:rPr>
        <w:t xml:space="preserve">Duke </w:t>
      </w:r>
      <w:proofErr w:type="spellStart"/>
      <w:r w:rsidRPr="00CD3935">
        <w:rPr>
          <w:rFonts w:eastAsia="Times New Roman" w:cstheme="minorHAnsi"/>
          <w:color w:val="000000" w:themeColor="text1"/>
          <w:lang w:eastAsia="fr-FR"/>
        </w:rPr>
        <w:t>Endocarditis</w:t>
      </w:r>
      <w:proofErr w:type="spellEnd"/>
      <w:r w:rsidRPr="00CD3935">
        <w:rPr>
          <w:rFonts w:eastAsia="Times New Roman" w:cstheme="minorHAnsi"/>
          <w:color w:val="000000" w:themeColor="text1"/>
          <w:lang w:eastAsia="fr-FR"/>
        </w:rPr>
        <w:t xml:space="preserve"> Service. </w:t>
      </w:r>
      <w:r w:rsidRPr="00CD3935">
        <w:rPr>
          <w:rFonts w:eastAsia="Times New Roman" w:cstheme="minorHAnsi"/>
          <w:i/>
          <w:iCs/>
          <w:color w:val="000000" w:themeColor="text1"/>
          <w:lang w:eastAsia="fr-FR"/>
        </w:rPr>
        <w:t>Am J Med</w:t>
      </w:r>
      <w:r w:rsidRPr="00CD3935">
        <w:rPr>
          <w:rFonts w:eastAsia="Times New Roman" w:cstheme="minorHAnsi"/>
          <w:color w:val="000000" w:themeColor="text1"/>
          <w:lang w:eastAsia="fr-FR"/>
        </w:rPr>
        <w:t xml:space="preserve">. </w:t>
      </w:r>
      <w:proofErr w:type="gramStart"/>
      <w:r w:rsidRPr="00CD3935">
        <w:rPr>
          <w:rFonts w:eastAsia="Times New Roman" w:cstheme="minorHAnsi"/>
          <w:color w:val="000000" w:themeColor="text1"/>
          <w:lang w:eastAsia="fr-FR"/>
        </w:rPr>
        <w:t>1994;</w:t>
      </w:r>
      <w:proofErr w:type="gramEnd"/>
      <w:r w:rsidRPr="00CD3935">
        <w:rPr>
          <w:rFonts w:eastAsia="Times New Roman" w:cstheme="minorHAnsi"/>
          <w:color w:val="000000" w:themeColor="text1"/>
          <w:lang w:eastAsia="fr-FR"/>
        </w:rPr>
        <w:t>96(3):200-209.</w:t>
      </w:r>
    </w:p>
    <w:p w14:paraId="5173D04D" w14:textId="77777777" w:rsidR="00CD3935" w:rsidRPr="00CD3935" w:rsidRDefault="00CD3935" w:rsidP="0054247C">
      <w:pPr>
        <w:numPr>
          <w:ilvl w:val="0"/>
          <w:numId w:val="21"/>
        </w:numPr>
        <w:shd w:val="clear" w:color="auto" w:fill="FFFFFF"/>
        <w:spacing w:before="100" w:beforeAutospacing="1"/>
        <w:ind w:left="0"/>
        <w:jc w:val="both"/>
        <w:rPr>
          <w:rFonts w:eastAsia="Times New Roman" w:cstheme="minorHAnsi"/>
          <w:color w:val="000000" w:themeColor="text1"/>
          <w:lang w:eastAsia="fr-FR"/>
        </w:rPr>
      </w:pPr>
      <w:r w:rsidRPr="00CD3935">
        <w:rPr>
          <w:rFonts w:eastAsia="Times New Roman" w:cstheme="minorHAnsi"/>
          <w:color w:val="000000" w:themeColor="text1"/>
          <w:lang w:eastAsia="fr-FR"/>
        </w:rPr>
        <w:t xml:space="preserve">Li JS, Sexton DJ, Mick N, et al. </w:t>
      </w:r>
      <w:r w:rsidRPr="00CD3935">
        <w:rPr>
          <w:rFonts w:eastAsia="Times New Roman" w:cstheme="minorHAnsi"/>
          <w:color w:val="000000" w:themeColor="text1"/>
          <w:lang w:val="en-US" w:eastAsia="fr-FR"/>
        </w:rPr>
        <w:t>Proposed modifications to the Duke criteria for the diagnosis of infective endocarditis. </w:t>
      </w:r>
      <w:r w:rsidRPr="00CD3935">
        <w:rPr>
          <w:rFonts w:eastAsia="Times New Roman" w:cstheme="minorHAnsi"/>
          <w:i/>
          <w:iCs/>
          <w:color w:val="000000" w:themeColor="text1"/>
          <w:lang w:eastAsia="fr-FR"/>
        </w:rPr>
        <w:t>Clin Infect Dis</w:t>
      </w:r>
      <w:r w:rsidRPr="00CD3935">
        <w:rPr>
          <w:rFonts w:eastAsia="Times New Roman" w:cstheme="minorHAnsi"/>
          <w:color w:val="000000" w:themeColor="text1"/>
          <w:lang w:eastAsia="fr-FR"/>
        </w:rPr>
        <w:t xml:space="preserve">. </w:t>
      </w:r>
      <w:proofErr w:type="gramStart"/>
      <w:r w:rsidRPr="00CD3935">
        <w:rPr>
          <w:rFonts w:eastAsia="Times New Roman" w:cstheme="minorHAnsi"/>
          <w:color w:val="000000" w:themeColor="text1"/>
          <w:lang w:eastAsia="fr-FR"/>
        </w:rPr>
        <w:t>2000;</w:t>
      </w:r>
      <w:proofErr w:type="gramEnd"/>
      <w:r w:rsidRPr="00CD3935">
        <w:rPr>
          <w:rFonts w:eastAsia="Times New Roman" w:cstheme="minorHAnsi"/>
          <w:color w:val="000000" w:themeColor="text1"/>
          <w:lang w:eastAsia="fr-FR"/>
        </w:rPr>
        <w:t>30(4):633-638.</w:t>
      </w:r>
    </w:p>
    <w:p w14:paraId="630AEF17" w14:textId="77777777" w:rsidR="00CD3935" w:rsidRPr="00CD3935" w:rsidRDefault="00CD3935" w:rsidP="0054247C">
      <w:pPr>
        <w:numPr>
          <w:ilvl w:val="0"/>
          <w:numId w:val="21"/>
        </w:numPr>
        <w:shd w:val="clear" w:color="auto" w:fill="FFFFFF"/>
        <w:spacing w:before="100" w:beforeAutospacing="1"/>
        <w:ind w:left="0"/>
        <w:jc w:val="both"/>
        <w:rPr>
          <w:rFonts w:eastAsia="Times New Roman" w:cstheme="minorHAnsi"/>
          <w:color w:val="000000" w:themeColor="text1"/>
          <w:lang w:eastAsia="fr-FR"/>
        </w:rPr>
      </w:pPr>
      <w:r w:rsidRPr="00CD3935">
        <w:rPr>
          <w:rFonts w:eastAsia="Times New Roman" w:cstheme="minorHAnsi"/>
          <w:color w:val="000000" w:themeColor="text1"/>
          <w:lang w:val="en-US" w:eastAsia="fr-FR"/>
        </w:rPr>
        <w:t xml:space="preserve">Vieira ML, Grinberg M, </w:t>
      </w:r>
      <w:proofErr w:type="spellStart"/>
      <w:r w:rsidRPr="00CD3935">
        <w:rPr>
          <w:rFonts w:eastAsia="Times New Roman" w:cstheme="minorHAnsi"/>
          <w:color w:val="000000" w:themeColor="text1"/>
          <w:lang w:val="en-US" w:eastAsia="fr-FR"/>
        </w:rPr>
        <w:t>Pomerantzeff</w:t>
      </w:r>
      <w:proofErr w:type="spellEnd"/>
      <w:r w:rsidRPr="00CD3935">
        <w:rPr>
          <w:rFonts w:eastAsia="Times New Roman" w:cstheme="minorHAnsi"/>
          <w:color w:val="000000" w:themeColor="text1"/>
          <w:lang w:val="en-US" w:eastAsia="fr-FR"/>
        </w:rPr>
        <w:t xml:space="preserve"> PM, Andrade JL, Mansur AJ. Repeated echocardiographic examinations of patients with suspected infective endocarditis. </w:t>
      </w:r>
      <w:proofErr w:type="spellStart"/>
      <w:r w:rsidRPr="00CD3935">
        <w:rPr>
          <w:rFonts w:eastAsia="Times New Roman" w:cstheme="minorHAnsi"/>
          <w:i/>
          <w:iCs/>
          <w:color w:val="000000" w:themeColor="text1"/>
          <w:lang w:eastAsia="fr-FR"/>
        </w:rPr>
        <w:t>Heart</w:t>
      </w:r>
      <w:proofErr w:type="spellEnd"/>
      <w:r w:rsidRPr="00CD3935">
        <w:rPr>
          <w:rFonts w:eastAsia="Times New Roman" w:cstheme="minorHAnsi"/>
          <w:color w:val="000000" w:themeColor="text1"/>
          <w:lang w:eastAsia="fr-FR"/>
        </w:rPr>
        <w:t xml:space="preserve">. </w:t>
      </w:r>
      <w:proofErr w:type="gramStart"/>
      <w:r w:rsidRPr="00CD3935">
        <w:rPr>
          <w:rFonts w:eastAsia="Times New Roman" w:cstheme="minorHAnsi"/>
          <w:color w:val="000000" w:themeColor="text1"/>
          <w:lang w:eastAsia="fr-FR"/>
        </w:rPr>
        <w:t>2004;</w:t>
      </w:r>
      <w:proofErr w:type="gramEnd"/>
      <w:r w:rsidRPr="00CD3935">
        <w:rPr>
          <w:rFonts w:eastAsia="Times New Roman" w:cstheme="minorHAnsi"/>
          <w:color w:val="000000" w:themeColor="text1"/>
          <w:lang w:eastAsia="fr-FR"/>
        </w:rPr>
        <w:t>90(9):1020-1024.</w:t>
      </w:r>
    </w:p>
    <w:p w14:paraId="35832C62" w14:textId="77777777" w:rsidR="00CD3935" w:rsidRPr="00CD3935" w:rsidRDefault="00CD3935" w:rsidP="0054247C">
      <w:pPr>
        <w:numPr>
          <w:ilvl w:val="0"/>
          <w:numId w:val="21"/>
        </w:numPr>
        <w:shd w:val="clear" w:color="auto" w:fill="FFFFFF"/>
        <w:spacing w:before="100" w:beforeAutospacing="1"/>
        <w:ind w:left="0"/>
        <w:jc w:val="both"/>
        <w:rPr>
          <w:rFonts w:eastAsia="Times New Roman" w:cstheme="minorHAnsi"/>
          <w:color w:val="000000" w:themeColor="text1"/>
          <w:lang w:eastAsia="fr-FR"/>
        </w:rPr>
      </w:pPr>
      <w:r w:rsidRPr="00CD3935">
        <w:rPr>
          <w:rFonts w:eastAsia="Times New Roman" w:cstheme="minorHAnsi"/>
          <w:color w:val="000000" w:themeColor="text1"/>
          <w:lang w:eastAsia="fr-FR"/>
        </w:rPr>
        <w:t xml:space="preserve">Habib G, </w:t>
      </w:r>
      <w:proofErr w:type="spellStart"/>
      <w:r w:rsidRPr="00CD3935">
        <w:rPr>
          <w:rFonts w:eastAsia="Times New Roman" w:cstheme="minorHAnsi"/>
          <w:color w:val="000000" w:themeColor="text1"/>
          <w:lang w:eastAsia="fr-FR"/>
        </w:rPr>
        <w:t>Badano</w:t>
      </w:r>
      <w:proofErr w:type="spellEnd"/>
      <w:r w:rsidRPr="00CD3935">
        <w:rPr>
          <w:rFonts w:eastAsia="Times New Roman" w:cstheme="minorHAnsi"/>
          <w:color w:val="000000" w:themeColor="text1"/>
          <w:lang w:eastAsia="fr-FR"/>
        </w:rPr>
        <w:t xml:space="preserve"> L, </w:t>
      </w:r>
      <w:proofErr w:type="spellStart"/>
      <w:r w:rsidRPr="00CD3935">
        <w:rPr>
          <w:rFonts w:eastAsia="Times New Roman" w:cstheme="minorHAnsi"/>
          <w:color w:val="000000" w:themeColor="text1"/>
          <w:lang w:eastAsia="fr-FR"/>
        </w:rPr>
        <w:t>Tribouilloy</w:t>
      </w:r>
      <w:proofErr w:type="spellEnd"/>
      <w:r w:rsidRPr="00CD3935">
        <w:rPr>
          <w:rFonts w:eastAsia="Times New Roman" w:cstheme="minorHAnsi"/>
          <w:color w:val="000000" w:themeColor="text1"/>
          <w:lang w:eastAsia="fr-FR"/>
        </w:rPr>
        <w:t xml:space="preserve"> C, et al. </w:t>
      </w:r>
      <w:r w:rsidRPr="00CD3935">
        <w:rPr>
          <w:rFonts w:eastAsia="Times New Roman" w:cstheme="minorHAnsi"/>
          <w:color w:val="000000" w:themeColor="text1"/>
          <w:lang w:val="en-US" w:eastAsia="fr-FR"/>
        </w:rPr>
        <w:t>Recommendations for the practice of echocardiography in infective endocarditis. </w:t>
      </w:r>
      <w:proofErr w:type="spellStart"/>
      <w:r w:rsidRPr="00CD3935">
        <w:rPr>
          <w:rFonts w:eastAsia="Times New Roman" w:cstheme="minorHAnsi"/>
          <w:i/>
          <w:iCs/>
          <w:color w:val="000000" w:themeColor="text1"/>
          <w:lang w:eastAsia="fr-FR"/>
        </w:rPr>
        <w:t>Eur</w:t>
      </w:r>
      <w:proofErr w:type="spellEnd"/>
      <w:r w:rsidRPr="00CD3935">
        <w:rPr>
          <w:rFonts w:eastAsia="Times New Roman" w:cstheme="minorHAnsi"/>
          <w:i/>
          <w:iCs/>
          <w:color w:val="000000" w:themeColor="text1"/>
          <w:lang w:eastAsia="fr-FR"/>
        </w:rPr>
        <w:t xml:space="preserve"> J </w:t>
      </w:r>
      <w:proofErr w:type="spellStart"/>
      <w:r w:rsidRPr="00CD3935">
        <w:rPr>
          <w:rFonts w:eastAsia="Times New Roman" w:cstheme="minorHAnsi"/>
          <w:i/>
          <w:iCs/>
          <w:color w:val="000000" w:themeColor="text1"/>
          <w:lang w:eastAsia="fr-FR"/>
        </w:rPr>
        <w:t>Echocardiogr</w:t>
      </w:r>
      <w:proofErr w:type="spellEnd"/>
      <w:r w:rsidRPr="00CD3935">
        <w:rPr>
          <w:rFonts w:eastAsia="Times New Roman" w:cstheme="minorHAnsi"/>
          <w:color w:val="000000" w:themeColor="text1"/>
          <w:lang w:eastAsia="fr-FR"/>
        </w:rPr>
        <w:t xml:space="preserve">. </w:t>
      </w:r>
      <w:proofErr w:type="gramStart"/>
      <w:r w:rsidRPr="00CD3935">
        <w:rPr>
          <w:rFonts w:eastAsia="Times New Roman" w:cstheme="minorHAnsi"/>
          <w:color w:val="000000" w:themeColor="text1"/>
          <w:lang w:eastAsia="fr-FR"/>
        </w:rPr>
        <w:t>2010;</w:t>
      </w:r>
      <w:proofErr w:type="gramEnd"/>
      <w:r w:rsidRPr="00CD3935">
        <w:rPr>
          <w:rFonts w:eastAsia="Times New Roman" w:cstheme="minorHAnsi"/>
          <w:color w:val="000000" w:themeColor="text1"/>
          <w:lang w:eastAsia="fr-FR"/>
        </w:rPr>
        <w:t>11(2):202-219.</w:t>
      </w:r>
    </w:p>
    <w:p w14:paraId="044A7C14" w14:textId="77777777" w:rsidR="00CD3935" w:rsidRPr="00CD3935" w:rsidRDefault="00CD3935" w:rsidP="0054247C">
      <w:pPr>
        <w:numPr>
          <w:ilvl w:val="0"/>
          <w:numId w:val="21"/>
        </w:numPr>
        <w:shd w:val="clear" w:color="auto" w:fill="FFFFFF"/>
        <w:spacing w:before="100" w:beforeAutospacing="1"/>
        <w:ind w:left="0"/>
        <w:jc w:val="both"/>
        <w:rPr>
          <w:rFonts w:eastAsia="Times New Roman" w:cstheme="minorHAnsi"/>
          <w:color w:val="000000" w:themeColor="text1"/>
          <w:lang w:eastAsia="fr-FR"/>
        </w:rPr>
      </w:pPr>
      <w:r w:rsidRPr="00CD3935">
        <w:rPr>
          <w:rFonts w:eastAsia="Times New Roman" w:cstheme="minorHAnsi"/>
          <w:color w:val="000000" w:themeColor="text1"/>
          <w:lang w:val="en-US" w:eastAsia="fr-FR"/>
        </w:rPr>
        <w:t xml:space="preserve">Vaidyanathan S, Patel CN, </w:t>
      </w:r>
      <w:proofErr w:type="spellStart"/>
      <w:r w:rsidRPr="00CD3935">
        <w:rPr>
          <w:rFonts w:eastAsia="Times New Roman" w:cstheme="minorHAnsi"/>
          <w:color w:val="000000" w:themeColor="text1"/>
          <w:lang w:val="en-US" w:eastAsia="fr-FR"/>
        </w:rPr>
        <w:t>Scarsbrook</w:t>
      </w:r>
      <w:proofErr w:type="spellEnd"/>
      <w:r w:rsidRPr="00CD3935">
        <w:rPr>
          <w:rFonts w:eastAsia="Times New Roman" w:cstheme="minorHAnsi"/>
          <w:color w:val="000000" w:themeColor="text1"/>
          <w:lang w:val="en-US" w:eastAsia="fr-FR"/>
        </w:rPr>
        <w:t xml:space="preserve"> AF, Chowdhury FU. FDG PET/CT in infection and inflammation--current and emerging clinical applications. </w:t>
      </w:r>
      <w:r w:rsidRPr="00CD3935">
        <w:rPr>
          <w:rFonts w:eastAsia="Times New Roman" w:cstheme="minorHAnsi"/>
          <w:i/>
          <w:iCs/>
          <w:color w:val="000000" w:themeColor="text1"/>
          <w:lang w:eastAsia="fr-FR"/>
        </w:rPr>
        <w:t xml:space="preserve">Clin </w:t>
      </w:r>
      <w:proofErr w:type="spellStart"/>
      <w:r w:rsidRPr="00CD3935">
        <w:rPr>
          <w:rFonts w:eastAsia="Times New Roman" w:cstheme="minorHAnsi"/>
          <w:i/>
          <w:iCs/>
          <w:color w:val="000000" w:themeColor="text1"/>
          <w:lang w:eastAsia="fr-FR"/>
        </w:rPr>
        <w:t>Radiol</w:t>
      </w:r>
      <w:proofErr w:type="spellEnd"/>
      <w:r w:rsidRPr="00CD3935">
        <w:rPr>
          <w:rFonts w:eastAsia="Times New Roman" w:cstheme="minorHAnsi"/>
          <w:color w:val="000000" w:themeColor="text1"/>
          <w:lang w:eastAsia="fr-FR"/>
        </w:rPr>
        <w:t xml:space="preserve">. </w:t>
      </w:r>
      <w:proofErr w:type="gramStart"/>
      <w:r w:rsidRPr="00CD3935">
        <w:rPr>
          <w:rFonts w:eastAsia="Times New Roman" w:cstheme="minorHAnsi"/>
          <w:color w:val="000000" w:themeColor="text1"/>
          <w:lang w:eastAsia="fr-FR"/>
        </w:rPr>
        <w:t>2015;</w:t>
      </w:r>
      <w:proofErr w:type="gramEnd"/>
      <w:r w:rsidRPr="00CD3935">
        <w:rPr>
          <w:rFonts w:eastAsia="Times New Roman" w:cstheme="minorHAnsi"/>
          <w:color w:val="000000" w:themeColor="text1"/>
          <w:lang w:eastAsia="fr-FR"/>
        </w:rPr>
        <w:t>70(7):787-800.</w:t>
      </w:r>
    </w:p>
    <w:p w14:paraId="3886C1E4" w14:textId="77777777" w:rsidR="00CD3935" w:rsidRPr="00CD3935" w:rsidRDefault="00CD3935" w:rsidP="0054247C">
      <w:pPr>
        <w:numPr>
          <w:ilvl w:val="0"/>
          <w:numId w:val="21"/>
        </w:numPr>
        <w:shd w:val="clear" w:color="auto" w:fill="FFFFFF"/>
        <w:spacing w:before="100" w:beforeAutospacing="1"/>
        <w:ind w:left="0"/>
        <w:jc w:val="both"/>
        <w:rPr>
          <w:rFonts w:eastAsia="Times New Roman" w:cstheme="minorHAnsi"/>
          <w:color w:val="000000" w:themeColor="text1"/>
          <w:lang w:eastAsia="fr-FR"/>
        </w:rPr>
      </w:pPr>
      <w:r w:rsidRPr="00CD3935">
        <w:rPr>
          <w:rFonts w:eastAsia="Times New Roman" w:cstheme="minorHAnsi"/>
          <w:color w:val="000000" w:themeColor="text1"/>
          <w:lang w:val="en-US" w:eastAsia="fr-FR"/>
        </w:rPr>
        <w:t xml:space="preserve">Mahmood M, </w:t>
      </w:r>
      <w:proofErr w:type="spellStart"/>
      <w:r w:rsidRPr="00CD3935">
        <w:rPr>
          <w:rFonts w:eastAsia="Times New Roman" w:cstheme="minorHAnsi"/>
          <w:color w:val="000000" w:themeColor="text1"/>
          <w:lang w:val="en-US" w:eastAsia="fr-FR"/>
        </w:rPr>
        <w:t>Kendi</w:t>
      </w:r>
      <w:proofErr w:type="spellEnd"/>
      <w:r w:rsidRPr="00CD3935">
        <w:rPr>
          <w:rFonts w:eastAsia="Times New Roman" w:cstheme="minorHAnsi"/>
          <w:color w:val="000000" w:themeColor="text1"/>
          <w:lang w:val="en-US" w:eastAsia="fr-FR"/>
        </w:rPr>
        <w:t xml:space="preserve"> AT, Farid S, et al. Role of 18F-FDG PET/CT in the diagnosis of cardiovascular implantable electronic device infections: A meta-analysis. </w:t>
      </w:r>
      <w:r w:rsidRPr="00CD3935">
        <w:rPr>
          <w:rFonts w:eastAsia="Times New Roman" w:cstheme="minorHAnsi"/>
          <w:i/>
          <w:iCs/>
          <w:color w:val="000000" w:themeColor="text1"/>
          <w:lang w:eastAsia="fr-FR"/>
        </w:rPr>
        <w:t xml:space="preserve">J </w:t>
      </w:r>
      <w:proofErr w:type="spellStart"/>
      <w:r w:rsidRPr="00CD3935">
        <w:rPr>
          <w:rFonts w:eastAsia="Times New Roman" w:cstheme="minorHAnsi"/>
          <w:i/>
          <w:iCs/>
          <w:color w:val="000000" w:themeColor="text1"/>
          <w:lang w:eastAsia="fr-FR"/>
        </w:rPr>
        <w:t>Nucl</w:t>
      </w:r>
      <w:proofErr w:type="spellEnd"/>
      <w:r w:rsidRPr="00CD3935">
        <w:rPr>
          <w:rFonts w:eastAsia="Times New Roman" w:cstheme="minorHAnsi"/>
          <w:i/>
          <w:iCs/>
          <w:color w:val="000000" w:themeColor="text1"/>
          <w:lang w:eastAsia="fr-FR"/>
        </w:rPr>
        <w:t xml:space="preserve"> </w:t>
      </w:r>
      <w:proofErr w:type="spellStart"/>
      <w:r w:rsidRPr="00CD3935">
        <w:rPr>
          <w:rFonts w:eastAsia="Times New Roman" w:cstheme="minorHAnsi"/>
          <w:i/>
          <w:iCs/>
          <w:color w:val="000000" w:themeColor="text1"/>
          <w:lang w:eastAsia="fr-FR"/>
        </w:rPr>
        <w:t>Cardiol</w:t>
      </w:r>
      <w:proofErr w:type="spellEnd"/>
      <w:r w:rsidRPr="00CD3935">
        <w:rPr>
          <w:rFonts w:eastAsia="Times New Roman" w:cstheme="minorHAnsi"/>
          <w:color w:val="000000" w:themeColor="text1"/>
          <w:lang w:eastAsia="fr-FR"/>
        </w:rPr>
        <w:t xml:space="preserve">. </w:t>
      </w:r>
      <w:proofErr w:type="gramStart"/>
      <w:r w:rsidRPr="00CD3935">
        <w:rPr>
          <w:rFonts w:eastAsia="Times New Roman" w:cstheme="minorHAnsi"/>
          <w:color w:val="000000" w:themeColor="text1"/>
          <w:lang w:eastAsia="fr-FR"/>
        </w:rPr>
        <w:t>2019;</w:t>
      </w:r>
      <w:proofErr w:type="gramEnd"/>
      <w:r w:rsidRPr="00CD3935">
        <w:rPr>
          <w:rFonts w:eastAsia="Times New Roman" w:cstheme="minorHAnsi"/>
          <w:color w:val="000000" w:themeColor="text1"/>
          <w:lang w:eastAsia="fr-FR"/>
        </w:rPr>
        <w:t>26(3):958-970.</w:t>
      </w:r>
    </w:p>
    <w:p w14:paraId="24C90B44" w14:textId="77777777" w:rsidR="00CD3935" w:rsidRPr="00CD3935" w:rsidRDefault="00CD3935" w:rsidP="0054247C">
      <w:pPr>
        <w:numPr>
          <w:ilvl w:val="0"/>
          <w:numId w:val="21"/>
        </w:numPr>
        <w:shd w:val="clear" w:color="auto" w:fill="FFFFFF"/>
        <w:spacing w:before="100" w:beforeAutospacing="1"/>
        <w:ind w:left="0"/>
        <w:jc w:val="both"/>
        <w:rPr>
          <w:rFonts w:eastAsia="Times New Roman" w:cstheme="minorHAnsi"/>
          <w:color w:val="000000" w:themeColor="text1"/>
          <w:lang w:eastAsia="fr-FR"/>
        </w:rPr>
      </w:pPr>
      <w:r w:rsidRPr="00CD3935">
        <w:rPr>
          <w:rFonts w:eastAsia="Times New Roman" w:cstheme="minorHAnsi"/>
          <w:color w:val="000000" w:themeColor="text1"/>
          <w:lang w:eastAsia="fr-FR"/>
        </w:rPr>
        <w:t xml:space="preserve">Juneau D, </w:t>
      </w:r>
      <w:proofErr w:type="spellStart"/>
      <w:r w:rsidRPr="00CD3935">
        <w:rPr>
          <w:rFonts w:eastAsia="Times New Roman" w:cstheme="minorHAnsi"/>
          <w:color w:val="000000" w:themeColor="text1"/>
          <w:lang w:eastAsia="fr-FR"/>
        </w:rPr>
        <w:t>Golfam</w:t>
      </w:r>
      <w:proofErr w:type="spellEnd"/>
      <w:r w:rsidRPr="00CD3935">
        <w:rPr>
          <w:rFonts w:eastAsia="Times New Roman" w:cstheme="minorHAnsi"/>
          <w:color w:val="000000" w:themeColor="text1"/>
          <w:lang w:eastAsia="fr-FR"/>
        </w:rPr>
        <w:t xml:space="preserve"> M, </w:t>
      </w:r>
      <w:proofErr w:type="spellStart"/>
      <w:r w:rsidRPr="00CD3935">
        <w:rPr>
          <w:rFonts w:eastAsia="Times New Roman" w:cstheme="minorHAnsi"/>
          <w:color w:val="000000" w:themeColor="text1"/>
          <w:lang w:eastAsia="fr-FR"/>
        </w:rPr>
        <w:t>Hazra</w:t>
      </w:r>
      <w:proofErr w:type="spellEnd"/>
      <w:r w:rsidRPr="00CD3935">
        <w:rPr>
          <w:rFonts w:eastAsia="Times New Roman" w:cstheme="minorHAnsi"/>
          <w:color w:val="000000" w:themeColor="text1"/>
          <w:lang w:eastAsia="fr-FR"/>
        </w:rPr>
        <w:t xml:space="preserve"> S, et al. </w:t>
      </w:r>
      <w:r w:rsidRPr="00CD3935">
        <w:rPr>
          <w:rFonts w:eastAsia="Times New Roman" w:cstheme="minorHAnsi"/>
          <w:color w:val="000000" w:themeColor="text1"/>
          <w:lang w:val="en-US" w:eastAsia="fr-FR"/>
        </w:rPr>
        <w:t>Positron emission tomography and single-photon emission computed tomography imaging in the diagnosis of cardiac implantable electronic device infection: A systematic review and meta-analysis. </w:t>
      </w:r>
      <w:proofErr w:type="spellStart"/>
      <w:r w:rsidRPr="00CD3935">
        <w:rPr>
          <w:rFonts w:eastAsia="Times New Roman" w:cstheme="minorHAnsi"/>
          <w:i/>
          <w:iCs/>
          <w:color w:val="000000" w:themeColor="text1"/>
          <w:lang w:eastAsia="fr-FR"/>
        </w:rPr>
        <w:t>Circ</w:t>
      </w:r>
      <w:proofErr w:type="spellEnd"/>
      <w:r w:rsidRPr="00CD3935">
        <w:rPr>
          <w:rFonts w:eastAsia="Times New Roman" w:cstheme="minorHAnsi"/>
          <w:i/>
          <w:iCs/>
          <w:color w:val="000000" w:themeColor="text1"/>
          <w:lang w:eastAsia="fr-FR"/>
        </w:rPr>
        <w:t xml:space="preserve"> </w:t>
      </w:r>
      <w:proofErr w:type="spellStart"/>
      <w:r w:rsidRPr="00CD3935">
        <w:rPr>
          <w:rFonts w:eastAsia="Times New Roman" w:cstheme="minorHAnsi"/>
          <w:i/>
          <w:iCs/>
          <w:color w:val="000000" w:themeColor="text1"/>
          <w:lang w:eastAsia="fr-FR"/>
        </w:rPr>
        <w:t>Cardiovasc</w:t>
      </w:r>
      <w:proofErr w:type="spellEnd"/>
      <w:r w:rsidRPr="00CD3935">
        <w:rPr>
          <w:rFonts w:eastAsia="Times New Roman" w:cstheme="minorHAnsi"/>
          <w:i/>
          <w:iCs/>
          <w:color w:val="000000" w:themeColor="text1"/>
          <w:lang w:eastAsia="fr-FR"/>
        </w:rPr>
        <w:t xml:space="preserve"> Imaging</w:t>
      </w:r>
      <w:r w:rsidRPr="00CD3935">
        <w:rPr>
          <w:rFonts w:eastAsia="Times New Roman" w:cstheme="minorHAnsi"/>
          <w:color w:val="000000" w:themeColor="text1"/>
          <w:lang w:eastAsia="fr-FR"/>
        </w:rPr>
        <w:t xml:space="preserve">. </w:t>
      </w:r>
      <w:proofErr w:type="gramStart"/>
      <w:r w:rsidRPr="00CD3935">
        <w:rPr>
          <w:rFonts w:eastAsia="Times New Roman" w:cstheme="minorHAnsi"/>
          <w:color w:val="000000" w:themeColor="text1"/>
          <w:lang w:eastAsia="fr-FR"/>
        </w:rPr>
        <w:t>2017;</w:t>
      </w:r>
      <w:proofErr w:type="gramEnd"/>
      <w:r w:rsidRPr="00CD3935">
        <w:rPr>
          <w:rFonts w:eastAsia="Times New Roman" w:cstheme="minorHAnsi"/>
          <w:color w:val="000000" w:themeColor="text1"/>
          <w:lang w:eastAsia="fr-FR"/>
        </w:rPr>
        <w:t>10(4):e005772.</w:t>
      </w:r>
    </w:p>
    <w:p w14:paraId="4FC1F576" w14:textId="77777777" w:rsidR="00CD3935" w:rsidRPr="00CD3935" w:rsidRDefault="00CD3935" w:rsidP="0054247C">
      <w:pPr>
        <w:numPr>
          <w:ilvl w:val="0"/>
          <w:numId w:val="21"/>
        </w:numPr>
        <w:shd w:val="clear" w:color="auto" w:fill="FFFFFF"/>
        <w:spacing w:before="100" w:beforeAutospacing="1"/>
        <w:ind w:left="0"/>
        <w:jc w:val="both"/>
        <w:rPr>
          <w:rFonts w:eastAsia="Times New Roman" w:cstheme="minorHAnsi"/>
          <w:color w:val="000000" w:themeColor="text1"/>
          <w:lang w:eastAsia="fr-FR"/>
        </w:rPr>
      </w:pPr>
      <w:r w:rsidRPr="00CD3935">
        <w:rPr>
          <w:rFonts w:eastAsia="Times New Roman" w:cstheme="minorHAnsi"/>
          <w:color w:val="000000" w:themeColor="text1"/>
          <w:lang w:eastAsia="fr-FR"/>
        </w:rPr>
        <w:t xml:space="preserve">Erba PA, </w:t>
      </w:r>
      <w:proofErr w:type="spellStart"/>
      <w:r w:rsidRPr="00CD3935">
        <w:rPr>
          <w:rFonts w:eastAsia="Times New Roman" w:cstheme="minorHAnsi"/>
          <w:color w:val="000000" w:themeColor="text1"/>
          <w:lang w:eastAsia="fr-FR"/>
        </w:rPr>
        <w:t>Sollini</w:t>
      </w:r>
      <w:proofErr w:type="spellEnd"/>
      <w:r w:rsidRPr="00CD3935">
        <w:rPr>
          <w:rFonts w:eastAsia="Times New Roman" w:cstheme="minorHAnsi"/>
          <w:color w:val="000000" w:themeColor="text1"/>
          <w:lang w:eastAsia="fr-FR"/>
        </w:rPr>
        <w:t xml:space="preserve"> M, Conti U, et al. </w:t>
      </w:r>
      <w:r w:rsidRPr="00CD3935">
        <w:rPr>
          <w:rFonts w:eastAsia="Times New Roman" w:cstheme="minorHAnsi"/>
          <w:color w:val="000000" w:themeColor="text1"/>
          <w:lang w:val="en-US" w:eastAsia="fr-FR"/>
        </w:rPr>
        <w:t>Added value of 18F-FDG-PET/CT in the management of infective endocarditis: comprehensive review and clinical guidance. </w:t>
      </w:r>
      <w:r w:rsidRPr="00CD3935">
        <w:rPr>
          <w:rFonts w:eastAsia="Times New Roman" w:cstheme="minorHAnsi"/>
          <w:i/>
          <w:iCs/>
          <w:color w:val="000000" w:themeColor="text1"/>
          <w:lang w:eastAsia="fr-FR"/>
        </w:rPr>
        <w:t xml:space="preserve">Q J </w:t>
      </w:r>
      <w:proofErr w:type="spellStart"/>
      <w:r w:rsidRPr="00CD3935">
        <w:rPr>
          <w:rFonts w:eastAsia="Times New Roman" w:cstheme="minorHAnsi"/>
          <w:i/>
          <w:iCs/>
          <w:color w:val="000000" w:themeColor="text1"/>
          <w:lang w:eastAsia="fr-FR"/>
        </w:rPr>
        <w:t>Nucl</w:t>
      </w:r>
      <w:proofErr w:type="spellEnd"/>
      <w:r w:rsidRPr="00CD3935">
        <w:rPr>
          <w:rFonts w:eastAsia="Times New Roman" w:cstheme="minorHAnsi"/>
          <w:i/>
          <w:iCs/>
          <w:color w:val="000000" w:themeColor="text1"/>
          <w:lang w:eastAsia="fr-FR"/>
        </w:rPr>
        <w:t xml:space="preserve"> Med Mol Imaging</w:t>
      </w:r>
      <w:r w:rsidRPr="00CD3935">
        <w:rPr>
          <w:rFonts w:eastAsia="Times New Roman" w:cstheme="minorHAnsi"/>
          <w:color w:val="000000" w:themeColor="text1"/>
          <w:lang w:eastAsia="fr-FR"/>
        </w:rPr>
        <w:t xml:space="preserve">. </w:t>
      </w:r>
      <w:proofErr w:type="gramStart"/>
      <w:r w:rsidRPr="00CD3935">
        <w:rPr>
          <w:rFonts w:eastAsia="Times New Roman" w:cstheme="minorHAnsi"/>
          <w:color w:val="000000" w:themeColor="text1"/>
          <w:lang w:eastAsia="fr-FR"/>
        </w:rPr>
        <w:t>2018;</w:t>
      </w:r>
      <w:proofErr w:type="gramEnd"/>
      <w:r w:rsidRPr="00CD3935">
        <w:rPr>
          <w:rFonts w:eastAsia="Times New Roman" w:cstheme="minorHAnsi"/>
          <w:color w:val="000000" w:themeColor="text1"/>
          <w:lang w:eastAsia="fr-FR"/>
        </w:rPr>
        <w:t>62(3):251-264.</w:t>
      </w:r>
    </w:p>
    <w:p w14:paraId="5EF28DD3" w14:textId="77777777" w:rsidR="00CD3935" w:rsidRPr="00CD3935" w:rsidRDefault="00CD3935" w:rsidP="0054247C">
      <w:pPr>
        <w:numPr>
          <w:ilvl w:val="0"/>
          <w:numId w:val="21"/>
        </w:numPr>
        <w:shd w:val="clear" w:color="auto" w:fill="FFFFFF"/>
        <w:spacing w:before="100" w:beforeAutospacing="1"/>
        <w:ind w:left="0"/>
        <w:jc w:val="both"/>
        <w:rPr>
          <w:rFonts w:eastAsia="Times New Roman" w:cstheme="minorHAnsi"/>
          <w:color w:val="000000" w:themeColor="text1"/>
          <w:lang w:eastAsia="fr-FR"/>
        </w:rPr>
      </w:pPr>
      <w:r w:rsidRPr="00CD3935">
        <w:rPr>
          <w:rFonts w:eastAsia="Times New Roman" w:cstheme="minorHAnsi"/>
          <w:color w:val="000000" w:themeColor="text1"/>
          <w:lang w:val="en-US" w:eastAsia="fr-FR"/>
        </w:rPr>
        <w:t xml:space="preserve">Delgado V, </w:t>
      </w:r>
      <w:proofErr w:type="spellStart"/>
      <w:r w:rsidRPr="00CD3935">
        <w:rPr>
          <w:rFonts w:eastAsia="Times New Roman" w:cstheme="minorHAnsi"/>
          <w:color w:val="000000" w:themeColor="text1"/>
          <w:lang w:val="en-US" w:eastAsia="fr-FR"/>
        </w:rPr>
        <w:t>Ajmone</w:t>
      </w:r>
      <w:proofErr w:type="spellEnd"/>
      <w:r w:rsidRPr="00CD3935">
        <w:rPr>
          <w:rFonts w:eastAsia="Times New Roman" w:cstheme="minorHAnsi"/>
          <w:color w:val="000000" w:themeColor="text1"/>
          <w:lang w:val="en-US" w:eastAsia="fr-FR"/>
        </w:rPr>
        <w:t xml:space="preserve"> Marsan N, de </w:t>
      </w:r>
      <w:proofErr w:type="spellStart"/>
      <w:r w:rsidRPr="00CD3935">
        <w:rPr>
          <w:rFonts w:eastAsia="Times New Roman" w:cstheme="minorHAnsi"/>
          <w:color w:val="000000" w:themeColor="text1"/>
          <w:lang w:val="en-US" w:eastAsia="fr-FR"/>
        </w:rPr>
        <w:t>Waha</w:t>
      </w:r>
      <w:proofErr w:type="spellEnd"/>
      <w:r w:rsidRPr="00CD3935">
        <w:rPr>
          <w:rFonts w:eastAsia="Times New Roman" w:cstheme="minorHAnsi"/>
          <w:color w:val="000000" w:themeColor="text1"/>
          <w:lang w:val="en-US" w:eastAsia="fr-FR"/>
        </w:rPr>
        <w:t xml:space="preserve"> S, et al. 2023 ESC Guidelines for the management of endocarditis: Developed by the task force on the management of endocarditis of the European Society of Cardiology (ESC). </w:t>
      </w:r>
      <w:proofErr w:type="spellStart"/>
      <w:r w:rsidRPr="00CD3935">
        <w:rPr>
          <w:rFonts w:eastAsia="Times New Roman" w:cstheme="minorHAnsi"/>
          <w:i/>
          <w:iCs/>
          <w:color w:val="000000" w:themeColor="text1"/>
          <w:lang w:eastAsia="fr-FR"/>
        </w:rPr>
        <w:t>Eur</w:t>
      </w:r>
      <w:proofErr w:type="spellEnd"/>
      <w:r w:rsidRPr="00CD3935">
        <w:rPr>
          <w:rFonts w:eastAsia="Times New Roman" w:cstheme="minorHAnsi"/>
          <w:i/>
          <w:iCs/>
          <w:color w:val="000000" w:themeColor="text1"/>
          <w:lang w:eastAsia="fr-FR"/>
        </w:rPr>
        <w:t xml:space="preserve"> </w:t>
      </w:r>
      <w:proofErr w:type="spellStart"/>
      <w:r w:rsidRPr="00CD3935">
        <w:rPr>
          <w:rFonts w:eastAsia="Times New Roman" w:cstheme="minorHAnsi"/>
          <w:i/>
          <w:iCs/>
          <w:color w:val="000000" w:themeColor="text1"/>
          <w:lang w:eastAsia="fr-FR"/>
        </w:rPr>
        <w:t>Heart</w:t>
      </w:r>
      <w:proofErr w:type="spellEnd"/>
      <w:r w:rsidRPr="00CD3935">
        <w:rPr>
          <w:rFonts w:eastAsia="Times New Roman" w:cstheme="minorHAnsi"/>
          <w:i/>
          <w:iCs/>
          <w:color w:val="000000" w:themeColor="text1"/>
          <w:lang w:eastAsia="fr-FR"/>
        </w:rPr>
        <w:t xml:space="preserve"> J</w:t>
      </w:r>
      <w:r w:rsidRPr="00CD3935">
        <w:rPr>
          <w:rFonts w:eastAsia="Times New Roman" w:cstheme="minorHAnsi"/>
          <w:color w:val="000000" w:themeColor="text1"/>
          <w:lang w:eastAsia="fr-FR"/>
        </w:rPr>
        <w:t xml:space="preserve">. </w:t>
      </w:r>
      <w:proofErr w:type="gramStart"/>
      <w:r w:rsidRPr="00CD3935">
        <w:rPr>
          <w:rFonts w:eastAsia="Times New Roman" w:cstheme="minorHAnsi"/>
          <w:color w:val="000000" w:themeColor="text1"/>
          <w:lang w:eastAsia="fr-FR"/>
        </w:rPr>
        <w:t>2023;</w:t>
      </w:r>
      <w:proofErr w:type="gramEnd"/>
      <w:r w:rsidRPr="00CD3935">
        <w:rPr>
          <w:rFonts w:eastAsia="Times New Roman" w:cstheme="minorHAnsi"/>
          <w:color w:val="000000" w:themeColor="text1"/>
          <w:lang w:eastAsia="fr-FR"/>
        </w:rPr>
        <w:t>44(39):3948-4042.</w:t>
      </w:r>
    </w:p>
    <w:p w14:paraId="1A37CF51" w14:textId="77777777" w:rsidR="00CD3935" w:rsidRPr="00CD3935" w:rsidRDefault="00CD3935" w:rsidP="0054247C">
      <w:pPr>
        <w:numPr>
          <w:ilvl w:val="0"/>
          <w:numId w:val="21"/>
        </w:numPr>
        <w:shd w:val="clear" w:color="auto" w:fill="FFFFFF"/>
        <w:spacing w:before="100" w:beforeAutospacing="1"/>
        <w:ind w:left="0"/>
        <w:jc w:val="both"/>
        <w:rPr>
          <w:rFonts w:eastAsia="Times New Roman" w:cstheme="minorHAnsi"/>
          <w:color w:val="000000" w:themeColor="text1"/>
          <w:lang w:eastAsia="fr-FR"/>
        </w:rPr>
      </w:pPr>
      <w:r w:rsidRPr="00CD3935">
        <w:rPr>
          <w:rFonts w:eastAsia="Times New Roman" w:cstheme="minorHAnsi"/>
          <w:color w:val="000000" w:themeColor="text1"/>
          <w:lang w:val="en-US" w:eastAsia="fr-FR"/>
        </w:rPr>
        <w:t xml:space="preserve">Fowler VG, </w:t>
      </w:r>
      <w:proofErr w:type="spellStart"/>
      <w:r w:rsidRPr="00CD3935">
        <w:rPr>
          <w:rFonts w:eastAsia="Times New Roman" w:cstheme="minorHAnsi"/>
          <w:color w:val="000000" w:themeColor="text1"/>
          <w:lang w:val="en-US" w:eastAsia="fr-FR"/>
        </w:rPr>
        <w:t>Durack</w:t>
      </w:r>
      <w:proofErr w:type="spellEnd"/>
      <w:r w:rsidRPr="00CD3935">
        <w:rPr>
          <w:rFonts w:eastAsia="Times New Roman" w:cstheme="minorHAnsi"/>
          <w:color w:val="000000" w:themeColor="text1"/>
          <w:lang w:val="en-US" w:eastAsia="fr-FR"/>
        </w:rPr>
        <w:t xml:space="preserve"> DT, </w:t>
      </w:r>
      <w:proofErr w:type="spellStart"/>
      <w:r w:rsidRPr="00CD3935">
        <w:rPr>
          <w:rFonts w:eastAsia="Times New Roman" w:cstheme="minorHAnsi"/>
          <w:color w:val="000000" w:themeColor="text1"/>
          <w:lang w:val="en-US" w:eastAsia="fr-FR"/>
        </w:rPr>
        <w:t>Selton-Suty</w:t>
      </w:r>
      <w:proofErr w:type="spellEnd"/>
      <w:r w:rsidRPr="00CD3935">
        <w:rPr>
          <w:rFonts w:eastAsia="Times New Roman" w:cstheme="minorHAnsi"/>
          <w:color w:val="000000" w:themeColor="text1"/>
          <w:lang w:val="en-US" w:eastAsia="fr-FR"/>
        </w:rPr>
        <w:t xml:space="preserve"> C, et al. The 2023 Duke-ISCVID criteria for infective endocarditis: updating the modified Duke criteria. </w:t>
      </w:r>
      <w:r w:rsidRPr="00CD3935">
        <w:rPr>
          <w:rFonts w:eastAsia="Times New Roman" w:cstheme="minorHAnsi"/>
          <w:i/>
          <w:iCs/>
          <w:color w:val="000000" w:themeColor="text1"/>
          <w:lang w:eastAsia="fr-FR"/>
        </w:rPr>
        <w:t>Clin Infect Dis</w:t>
      </w:r>
      <w:r w:rsidRPr="00CD3935">
        <w:rPr>
          <w:rFonts w:eastAsia="Times New Roman" w:cstheme="minorHAnsi"/>
          <w:color w:val="000000" w:themeColor="text1"/>
          <w:lang w:eastAsia="fr-FR"/>
        </w:rPr>
        <w:t xml:space="preserve">. </w:t>
      </w:r>
      <w:proofErr w:type="gramStart"/>
      <w:r w:rsidRPr="00CD3935">
        <w:rPr>
          <w:rFonts w:eastAsia="Times New Roman" w:cstheme="minorHAnsi"/>
          <w:color w:val="000000" w:themeColor="text1"/>
          <w:lang w:eastAsia="fr-FR"/>
        </w:rPr>
        <w:t>2023;</w:t>
      </w:r>
      <w:proofErr w:type="gramEnd"/>
      <w:r w:rsidRPr="00CD3935">
        <w:rPr>
          <w:rFonts w:eastAsia="Times New Roman" w:cstheme="minorHAnsi"/>
          <w:color w:val="000000" w:themeColor="text1"/>
          <w:lang w:eastAsia="fr-FR"/>
        </w:rPr>
        <w:t>77(4):518-526.</w:t>
      </w:r>
    </w:p>
    <w:p w14:paraId="6A190CF9" w14:textId="77777777" w:rsidR="00CD3935" w:rsidRPr="00CD3935" w:rsidRDefault="00CD3935" w:rsidP="0054247C">
      <w:pPr>
        <w:numPr>
          <w:ilvl w:val="0"/>
          <w:numId w:val="21"/>
        </w:numPr>
        <w:shd w:val="clear" w:color="auto" w:fill="FFFFFF"/>
        <w:spacing w:before="100" w:beforeAutospacing="1"/>
        <w:ind w:left="0"/>
        <w:jc w:val="both"/>
        <w:rPr>
          <w:rFonts w:eastAsia="Times New Roman" w:cstheme="minorHAnsi"/>
          <w:color w:val="000000" w:themeColor="text1"/>
          <w:lang w:eastAsia="fr-FR"/>
        </w:rPr>
      </w:pPr>
      <w:proofErr w:type="gramStart"/>
      <w:r w:rsidRPr="00CD3935">
        <w:rPr>
          <w:rFonts w:eastAsia="Times New Roman" w:cstheme="minorHAnsi"/>
          <w:color w:val="000000" w:themeColor="text1"/>
          <w:lang w:eastAsia="fr-FR"/>
        </w:rPr>
        <w:t>de</w:t>
      </w:r>
      <w:proofErr w:type="gramEnd"/>
      <w:r w:rsidRPr="00CD3935">
        <w:rPr>
          <w:rFonts w:eastAsia="Times New Roman" w:cstheme="minorHAnsi"/>
          <w:color w:val="000000" w:themeColor="text1"/>
          <w:lang w:eastAsia="fr-FR"/>
        </w:rPr>
        <w:t xml:space="preserve"> Camargo RA, Sommer </w:t>
      </w:r>
      <w:proofErr w:type="spellStart"/>
      <w:r w:rsidRPr="00CD3935">
        <w:rPr>
          <w:rFonts w:eastAsia="Times New Roman" w:cstheme="minorHAnsi"/>
          <w:color w:val="000000" w:themeColor="text1"/>
          <w:lang w:eastAsia="fr-FR"/>
        </w:rPr>
        <w:t>Bitencourt</w:t>
      </w:r>
      <w:proofErr w:type="spellEnd"/>
      <w:r w:rsidRPr="00CD3935">
        <w:rPr>
          <w:rFonts w:eastAsia="Times New Roman" w:cstheme="minorHAnsi"/>
          <w:color w:val="000000" w:themeColor="text1"/>
          <w:lang w:eastAsia="fr-FR"/>
        </w:rPr>
        <w:t xml:space="preserve"> M, </w:t>
      </w:r>
      <w:proofErr w:type="spellStart"/>
      <w:r w:rsidRPr="00CD3935">
        <w:rPr>
          <w:rFonts w:eastAsia="Times New Roman" w:cstheme="minorHAnsi"/>
          <w:color w:val="000000" w:themeColor="text1"/>
          <w:lang w:eastAsia="fr-FR"/>
        </w:rPr>
        <w:t>Meneghetti</w:t>
      </w:r>
      <w:proofErr w:type="spellEnd"/>
      <w:r w:rsidRPr="00CD3935">
        <w:rPr>
          <w:rFonts w:eastAsia="Times New Roman" w:cstheme="minorHAnsi"/>
          <w:color w:val="000000" w:themeColor="text1"/>
          <w:lang w:eastAsia="fr-FR"/>
        </w:rPr>
        <w:t xml:space="preserve"> JC, et al. </w:t>
      </w:r>
      <w:r w:rsidRPr="00CD3935">
        <w:rPr>
          <w:rFonts w:eastAsia="Times New Roman" w:cstheme="minorHAnsi"/>
          <w:color w:val="000000" w:themeColor="text1"/>
          <w:lang w:val="en-US" w:eastAsia="fr-FR"/>
        </w:rPr>
        <w:t>The role of 18F-FDG-PET/CT in the diagnosis of left-sided endocarditis: native vs. prosthetic valves. </w:t>
      </w:r>
      <w:r w:rsidRPr="00CD3935">
        <w:rPr>
          <w:rFonts w:eastAsia="Times New Roman" w:cstheme="minorHAnsi"/>
          <w:i/>
          <w:iCs/>
          <w:color w:val="000000" w:themeColor="text1"/>
          <w:lang w:eastAsia="fr-FR"/>
        </w:rPr>
        <w:t xml:space="preserve">J </w:t>
      </w:r>
      <w:proofErr w:type="spellStart"/>
      <w:r w:rsidRPr="00CD3935">
        <w:rPr>
          <w:rFonts w:eastAsia="Times New Roman" w:cstheme="minorHAnsi"/>
          <w:i/>
          <w:iCs/>
          <w:color w:val="000000" w:themeColor="text1"/>
          <w:lang w:eastAsia="fr-FR"/>
        </w:rPr>
        <w:t>Nucl</w:t>
      </w:r>
      <w:proofErr w:type="spellEnd"/>
      <w:r w:rsidRPr="00CD3935">
        <w:rPr>
          <w:rFonts w:eastAsia="Times New Roman" w:cstheme="minorHAnsi"/>
          <w:i/>
          <w:iCs/>
          <w:color w:val="000000" w:themeColor="text1"/>
          <w:lang w:eastAsia="fr-FR"/>
        </w:rPr>
        <w:t xml:space="preserve"> </w:t>
      </w:r>
      <w:proofErr w:type="spellStart"/>
      <w:r w:rsidRPr="00CD3935">
        <w:rPr>
          <w:rFonts w:eastAsia="Times New Roman" w:cstheme="minorHAnsi"/>
          <w:i/>
          <w:iCs/>
          <w:color w:val="000000" w:themeColor="text1"/>
          <w:lang w:eastAsia="fr-FR"/>
        </w:rPr>
        <w:t>Cardiol</w:t>
      </w:r>
      <w:proofErr w:type="spellEnd"/>
      <w:r w:rsidRPr="00CD3935">
        <w:rPr>
          <w:rFonts w:eastAsia="Times New Roman" w:cstheme="minorHAnsi"/>
          <w:color w:val="000000" w:themeColor="text1"/>
          <w:lang w:eastAsia="fr-FR"/>
        </w:rPr>
        <w:t xml:space="preserve">. </w:t>
      </w:r>
      <w:proofErr w:type="gramStart"/>
      <w:r w:rsidRPr="00CD3935">
        <w:rPr>
          <w:rFonts w:eastAsia="Times New Roman" w:cstheme="minorHAnsi"/>
          <w:color w:val="000000" w:themeColor="text1"/>
          <w:lang w:eastAsia="fr-FR"/>
        </w:rPr>
        <w:t>2020;</w:t>
      </w:r>
      <w:proofErr w:type="gramEnd"/>
      <w:r w:rsidRPr="00CD3935">
        <w:rPr>
          <w:rFonts w:eastAsia="Times New Roman" w:cstheme="minorHAnsi"/>
          <w:color w:val="000000" w:themeColor="text1"/>
          <w:lang w:eastAsia="fr-FR"/>
        </w:rPr>
        <w:t>27(5):1655-1664.</w:t>
      </w:r>
    </w:p>
    <w:p w14:paraId="5E138F49" w14:textId="77777777" w:rsidR="00CD3935" w:rsidRPr="00CD3935" w:rsidRDefault="00CD3935" w:rsidP="0054247C">
      <w:pPr>
        <w:numPr>
          <w:ilvl w:val="0"/>
          <w:numId w:val="21"/>
        </w:numPr>
        <w:shd w:val="clear" w:color="auto" w:fill="FFFFFF"/>
        <w:spacing w:before="100" w:beforeAutospacing="1"/>
        <w:ind w:left="0"/>
        <w:jc w:val="both"/>
        <w:rPr>
          <w:rFonts w:eastAsia="Times New Roman" w:cstheme="minorHAnsi"/>
          <w:color w:val="000000" w:themeColor="text1"/>
          <w:lang w:eastAsia="fr-FR"/>
        </w:rPr>
      </w:pPr>
      <w:proofErr w:type="spellStart"/>
      <w:r w:rsidRPr="00CD3935">
        <w:rPr>
          <w:rFonts w:eastAsia="Times New Roman" w:cstheme="minorHAnsi"/>
          <w:color w:val="000000" w:themeColor="text1"/>
          <w:lang w:eastAsia="fr-FR"/>
        </w:rPr>
        <w:t>Saby</w:t>
      </w:r>
      <w:proofErr w:type="spellEnd"/>
      <w:r w:rsidRPr="00CD3935">
        <w:rPr>
          <w:rFonts w:eastAsia="Times New Roman" w:cstheme="minorHAnsi"/>
          <w:color w:val="000000" w:themeColor="text1"/>
          <w:lang w:eastAsia="fr-FR"/>
        </w:rPr>
        <w:t xml:space="preserve"> L, </w:t>
      </w:r>
      <w:proofErr w:type="spellStart"/>
      <w:r w:rsidRPr="00CD3935">
        <w:rPr>
          <w:rFonts w:eastAsia="Times New Roman" w:cstheme="minorHAnsi"/>
          <w:color w:val="000000" w:themeColor="text1"/>
          <w:lang w:eastAsia="fr-FR"/>
        </w:rPr>
        <w:t>Laas</w:t>
      </w:r>
      <w:proofErr w:type="spellEnd"/>
      <w:r w:rsidRPr="00CD3935">
        <w:rPr>
          <w:rFonts w:eastAsia="Times New Roman" w:cstheme="minorHAnsi"/>
          <w:color w:val="000000" w:themeColor="text1"/>
          <w:lang w:eastAsia="fr-FR"/>
        </w:rPr>
        <w:t xml:space="preserve"> O, Habib G, et al. </w:t>
      </w:r>
      <w:r w:rsidRPr="00CD3935">
        <w:rPr>
          <w:rFonts w:eastAsia="Times New Roman" w:cstheme="minorHAnsi"/>
          <w:color w:val="000000" w:themeColor="text1"/>
          <w:lang w:val="en-US" w:eastAsia="fr-FR"/>
        </w:rPr>
        <w:t>Positron emission tomography/computed tomography for diagnosis of prosthetic valve endocarditis: increased valvular 18F-fluorodeoxyglucose uptake as a novel major criterion. </w:t>
      </w:r>
      <w:r w:rsidRPr="00CD3935">
        <w:rPr>
          <w:rFonts w:eastAsia="Times New Roman" w:cstheme="minorHAnsi"/>
          <w:i/>
          <w:iCs/>
          <w:color w:val="000000" w:themeColor="text1"/>
          <w:lang w:eastAsia="fr-FR"/>
        </w:rPr>
        <w:t xml:space="preserve">J Am Coll </w:t>
      </w:r>
      <w:proofErr w:type="spellStart"/>
      <w:r w:rsidRPr="00CD3935">
        <w:rPr>
          <w:rFonts w:eastAsia="Times New Roman" w:cstheme="minorHAnsi"/>
          <w:i/>
          <w:iCs/>
          <w:color w:val="000000" w:themeColor="text1"/>
          <w:lang w:eastAsia="fr-FR"/>
        </w:rPr>
        <w:t>Cardiol</w:t>
      </w:r>
      <w:proofErr w:type="spellEnd"/>
      <w:r w:rsidRPr="00CD3935">
        <w:rPr>
          <w:rFonts w:eastAsia="Times New Roman" w:cstheme="minorHAnsi"/>
          <w:color w:val="000000" w:themeColor="text1"/>
          <w:lang w:eastAsia="fr-FR"/>
        </w:rPr>
        <w:t xml:space="preserve">. </w:t>
      </w:r>
      <w:proofErr w:type="gramStart"/>
      <w:r w:rsidRPr="00CD3935">
        <w:rPr>
          <w:rFonts w:eastAsia="Times New Roman" w:cstheme="minorHAnsi"/>
          <w:color w:val="000000" w:themeColor="text1"/>
          <w:lang w:eastAsia="fr-FR"/>
        </w:rPr>
        <w:t>2013;</w:t>
      </w:r>
      <w:proofErr w:type="gramEnd"/>
      <w:r w:rsidRPr="00CD3935">
        <w:rPr>
          <w:rFonts w:eastAsia="Times New Roman" w:cstheme="minorHAnsi"/>
          <w:color w:val="000000" w:themeColor="text1"/>
          <w:lang w:eastAsia="fr-FR"/>
        </w:rPr>
        <w:t>61(23):2374-2382.</w:t>
      </w:r>
    </w:p>
    <w:p w14:paraId="2F6CD3C3" w14:textId="77777777" w:rsidR="00CD3935" w:rsidRPr="00CD3935" w:rsidRDefault="00CD3935" w:rsidP="0054247C">
      <w:pPr>
        <w:numPr>
          <w:ilvl w:val="0"/>
          <w:numId w:val="21"/>
        </w:numPr>
        <w:shd w:val="clear" w:color="auto" w:fill="FFFFFF"/>
        <w:spacing w:before="100" w:beforeAutospacing="1"/>
        <w:ind w:left="0"/>
        <w:jc w:val="both"/>
        <w:rPr>
          <w:rFonts w:eastAsia="Times New Roman" w:cstheme="minorHAnsi"/>
          <w:color w:val="000000" w:themeColor="text1"/>
          <w:lang w:eastAsia="fr-FR"/>
        </w:rPr>
      </w:pPr>
      <w:proofErr w:type="spellStart"/>
      <w:r w:rsidRPr="00CD3935">
        <w:rPr>
          <w:rFonts w:eastAsia="Times New Roman" w:cstheme="minorHAnsi"/>
          <w:color w:val="000000" w:themeColor="text1"/>
          <w:lang w:eastAsia="fr-FR"/>
        </w:rPr>
        <w:t>Pizzi</w:t>
      </w:r>
      <w:proofErr w:type="spellEnd"/>
      <w:r w:rsidRPr="00CD3935">
        <w:rPr>
          <w:rFonts w:eastAsia="Times New Roman" w:cstheme="minorHAnsi"/>
          <w:color w:val="000000" w:themeColor="text1"/>
          <w:lang w:eastAsia="fr-FR"/>
        </w:rPr>
        <w:t xml:space="preserve"> MN, Roque A, Fernández-Hidalgo N, et al. </w:t>
      </w:r>
      <w:r w:rsidRPr="00CD3935">
        <w:rPr>
          <w:rFonts w:eastAsia="Times New Roman" w:cstheme="minorHAnsi"/>
          <w:color w:val="000000" w:themeColor="text1"/>
          <w:lang w:val="en-US" w:eastAsia="fr-FR"/>
        </w:rPr>
        <w:t>Improving the diagnosis of infective endocarditis in prosthetic valves and intracardiac devices with 18F-FDG-PET/CT: a prospective study. </w:t>
      </w:r>
      <w:r w:rsidRPr="00CD3935">
        <w:rPr>
          <w:rFonts w:eastAsia="Times New Roman" w:cstheme="minorHAnsi"/>
          <w:i/>
          <w:iCs/>
          <w:color w:val="000000" w:themeColor="text1"/>
          <w:lang w:eastAsia="fr-FR"/>
        </w:rPr>
        <w:t xml:space="preserve">J </w:t>
      </w:r>
      <w:proofErr w:type="spellStart"/>
      <w:r w:rsidRPr="00CD3935">
        <w:rPr>
          <w:rFonts w:eastAsia="Times New Roman" w:cstheme="minorHAnsi"/>
          <w:i/>
          <w:iCs/>
          <w:color w:val="000000" w:themeColor="text1"/>
          <w:lang w:eastAsia="fr-FR"/>
        </w:rPr>
        <w:t>Nucl</w:t>
      </w:r>
      <w:proofErr w:type="spellEnd"/>
      <w:r w:rsidRPr="00CD3935">
        <w:rPr>
          <w:rFonts w:eastAsia="Times New Roman" w:cstheme="minorHAnsi"/>
          <w:i/>
          <w:iCs/>
          <w:color w:val="000000" w:themeColor="text1"/>
          <w:lang w:eastAsia="fr-FR"/>
        </w:rPr>
        <w:t xml:space="preserve"> Med</w:t>
      </w:r>
      <w:r w:rsidRPr="00CD3935">
        <w:rPr>
          <w:rFonts w:eastAsia="Times New Roman" w:cstheme="minorHAnsi"/>
          <w:color w:val="000000" w:themeColor="text1"/>
          <w:lang w:eastAsia="fr-FR"/>
        </w:rPr>
        <w:t xml:space="preserve">. </w:t>
      </w:r>
      <w:proofErr w:type="gramStart"/>
      <w:r w:rsidRPr="00CD3935">
        <w:rPr>
          <w:rFonts w:eastAsia="Times New Roman" w:cstheme="minorHAnsi"/>
          <w:color w:val="000000" w:themeColor="text1"/>
          <w:lang w:eastAsia="fr-FR"/>
        </w:rPr>
        <w:t>2015;</w:t>
      </w:r>
      <w:proofErr w:type="gramEnd"/>
      <w:r w:rsidRPr="00CD3935">
        <w:rPr>
          <w:rFonts w:eastAsia="Times New Roman" w:cstheme="minorHAnsi"/>
          <w:color w:val="000000" w:themeColor="text1"/>
          <w:lang w:eastAsia="fr-FR"/>
        </w:rPr>
        <w:t>56(12):1865-1871.</w:t>
      </w:r>
    </w:p>
    <w:p w14:paraId="7D04BD6C" w14:textId="77777777" w:rsidR="00CD3935" w:rsidRPr="00CD3935" w:rsidRDefault="00CD3935" w:rsidP="0054247C">
      <w:pPr>
        <w:numPr>
          <w:ilvl w:val="0"/>
          <w:numId w:val="21"/>
        </w:numPr>
        <w:shd w:val="clear" w:color="auto" w:fill="FFFFFF"/>
        <w:spacing w:before="100" w:beforeAutospacing="1"/>
        <w:ind w:left="0"/>
        <w:jc w:val="both"/>
        <w:rPr>
          <w:rFonts w:eastAsia="Times New Roman" w:cstheme="minorHAnsi"/>
          <w:color w:val="000000" w:themeColor="text1"/>
          <w:lang w:eastAsia="fr-FR"/>
        </w:rPr>
      </w:pPr>
      <w:r w:rsidRPr="00CD3935">
        <w:rPr>
          <w:rFonts w:eastAsia="Times New Roman" w:cstheme="minorHAnsi"/>
          <w:color w:val="000000" w:themeColor="text1"/>
          <w:lang w:eastAsia="fr-FR"/>
        </w:rPr>
        <w:t xml:space="preserve">Vos FJ, </w:t>
      </w:r>
      <w:proofErr w:type="spellStart"/>
      <w:r w:rsidRPr="00CD3935">
        <w:rPr>
          <w:rFonts w:eastAsia="Times New Roman" w:cstheme="minorHAnsi"/>
          <w:color w:val="000000" w:themeColor="text1"/>
          <w:lang w:eastAsia="fr-FR"/>
        </w:rPr>
        <w:t>Kullberg</w:t>
      </w:r>
      <w:proofErr w:type="spellEnd"/>
      <w:r w:rsidRPr="00CD3935">
        <w:rPr>
          <w:rFonts w:eastAsia="Times New Roman" w:cstheme="minorHAnsi"/>
          <w:color w:val="000000" w:themeColor="text1"/>
          <w:lang w:eastAsia="fr-FR"/>
        </w:rPr>
        <w:t xml:space="preserve"> BJ, Sturm PD, et al. </w:t>
      </w:r>
      <w:r w:rsidRPr="00CD3935">
        <w:rPr>
          <w:rFonts w:eastAsia="Times New Roman" w:cstheme="minorHAnsi"/>
          <w:color w:val="000000" w:themeColor="text1"/>
          <w:lang w:val="en-US" w:eastAsia="fr-FR"/>
        </w:rPr>
        <w:t>Metastatic infectious disease and clinical outcome in Staphylococcus aureus and Streptococcus species bacteremia. </w:t>
      </w:r>
      <w:proofErr w:type="spellStart"/>
      <w:r w:rsidRPr="00CD3935">
        <w:rPr>
          <w:rFonts w:eastAsia="Times New Roman" w:cstheme="minorHAnsi"/>
          <w:i/>
          <w:iCs/>
          <w:color w:val="000000" w:themeColor="text1"/>
          <w:lang w:eastAsia="fr-FR"/>
        </w:rPr>
        <w:t>Medicine</w:t>
      </w:r>
      <w:proofErr w:type="spellEnd"/>
      <w:r w:rsidRPr="00CD3935">
        <w:rPr>
          <w:rFonts w:eastAsia="Times New Roman" w:cstheme="minorHAnsi"/>
          <w:i/>
          <w:iCs/>
          <w:color w:val="000000" w:themeColor="text1"/>
          <w:lang w:eastAsia="fr-FR"/>
        </w:rPr>
        <w:t xml:space="preserve"> (Baltimore)</w:t>
      </w:r>
      <w:r w:rsidRPr="00CD3935">
        <w:rPr>
          <w:rFonts w:eastAsia="Times New Roman" w:cstheme="minorHAnsi"/>
          <w:color w:val="000000" w:themeColor="text1"/>
          <w:lang w:eastAsia="fr-FR"/>
        </w:rPr>
        <w:t xml:space="preserve">. </w:t>
      </w:r>
      <w:proofErr w:type="gramStart"/>
      <w:r w:rsidRPr="00CD3935">
        <w:rPr>
          <w:rFonts w:eastAsia="Times New Roman" w:cstheme="minorHAnsi"/>
          <w:color w:val="000000" w:themeColor="text1"/>
          <w:lang w:eastAsia="fr-FR"/>
        </w:rPr>
        <w:t>2012;</w:t>
      </w:r>
      <w:proofErr w:type="gramEnd"/>
      <w:r w:rsidRPr="00CD3935">
        <w:rPr>
          <w:rFonts w:eastAsia="Times New Roman" w:cstheme="minorHAnsi"/>
          <w:color w:val="000000" w:themeColor="text1"/>
          <w:lang w:eastAsia="fr-FR"/>
        </w:rPr>
        <w:t>91(2):86-94.</w:t>
      </w:r>
    </w:p>
    <w:p w14:paraId="39E3D36B" w14:textId="77777777" w:rsidR="00CD3935" w:rsidRPr="00CD3935" w:rsidRDefault="00CD3935" w:rsidP="0054247C">
      <w:pPr>
        <w:numPr>
          <w:ilvl w:val="0"/>
          <w:numId w:val="21"/>
        </w:numPr>
        <w:shd w:val="clear" w:color="auto" w:fill="FFFFFF"/>
        <w:spacing w:before="100" w:beforeAutospacing="1"/>
        <w:ind w:left="0"/>
        <w:jc w:val="both"/>
        <w:rPr>
          <w:rFonts w:eastAsia="Times New Roman" w:cstheme="minorHAnsi"/>
          <w:color w:val="000000" w:themeColor="text1"/>
          <w:lang w:eastAsia="fr-FR"/>
        </w:rPr>
      </w:pPr>
      <w:proofErr w:type="spellStart"/>
      <w:r w:rsidRPr="00CD3935">
        <w:rPr>
          <w:rFonts w:eastAsia="Times New Roman" w:cstheme="minorHAnsi"/>
          <w:color w:val="000000" w:themeColor="text1"/>
          <w:lang w:val="en-US" w:eastAsia="fr-FR"/>
        </w:rPr>
        <w:lastRenderedPageBreak/>
        <w:t>Baddour</w:t>
      </w:r>
      <w:proofErr w:type="spellEnd"/>
      <w:r w:rsidRPr="00CD3935">
        <w:rPr>
          <w:rFonts w:eastAsia="Times New Roman" w:cstheme="minorHAnsi"/>
          <w:color w:val="000000" w:themeColor="text1"/>
          <w:lang w:val="en-US" w:eastAsia="fr-FR"/>
        </w:rPr>
        <w:t xml:space="preserve"> LM, Wilson WR, Bayer AS, et al. Infective endocarditis in adults: diagnosis, antimicrobial therapy, and management of complications: a scientific statement from the American Heart Association. </w:t>
      </w:r>
      <w:r w:rsidRPr="00CD3935">
        <w:rPr>
          <w:rFonts w:eastAsia="Times New Roman" w:cstheme="minorHAnsi"/>
          <w:i/>
          <w:iCs/>
          <w:color w:val="000000" w:themeColor="text1"/>
          <w:lang w:eastAsia="fr-FR"/>
        </w:rPr>
        <w:t>Circulation</w:t>
      </w:r>
      <w:r w:rsidRPr="00CD3935">
        <w:rPr>
          <w:rFonts w:eastAsia="Times New Roman" w:cstheme="minorHAnsi"/>
          <w:color w:val="000000" w:themeColor="text1"/>
          <w:lang w:eastAsia="fr-FR"/>
        </w:rPr>
        <w:t xml:space="preserve">. </w:t>
      </w:r>
      <w:proofErr w:type="gramStart"/>
      <w:r w:rsidRPr="00CD3935">
        <w:rPr>
          <w:rFonts w:eastAsia="Times New Roman" w:cstheme="minorHAnsi"/>
          <w:color w:val="000000" w:themeColor="text1"/>
          <w:lang w:eastAsia="fr-FR"/>
        </w:rPr>
        <w:t>2015;</w:t>
      </w:r>
      <w:proofErr w:type="gramEnd"/>
      <w:r w:rsidRPr="00CD3935">
        <w:rPr>
          <w:rFonts w:eastAsia="Times New Roman" w:cstheme="minorHAnsi"/>
          <w:color w:val="000000" w:themeColor="text1"/>
          <w:lang w:eastAsia="fr-FR"/>
        </w:rPr>
        <w:t>132(15):1435-1486.</w:t>
      </w:r>
    </w:p>
    <w:p w14:paraId="74327B05" w14:textId="77777777" w:rsidR="00CD3935" w:rsidRPr="00CD3935" w:rsidRDefault="00CD3935" w:rsidP="0054247C">
      <w:pPr>
        <w:numPr>
          <w:ilvl w:val="0"/>
          <w:numId w:val="21"/>
        </w:numPr>
        <w:shd w:val="clear" w:color="auto" w:fill="FFFFFF"/>
        <w:spacing w:before="100" w:beforeAutospacing="1"/>
        <w:ind w:left="0"/>
        <w:jc w:val="both"/>
        <w:rPr>
          <w:rFonts w:eastAsia="Times New Roman" w:cstheme="minorHAnsi"/>
          <w:color w:val="000000" w:themeColor="text1"/>
          <w:lang w:eastAsia="fr-FR"/>
        </w:rPr>
      </w:pPr>
      <w:proofErr w:type="spellStart"/>
      <w:r w:rsidRPr="00CD3935">
        <w:rPr>
          <w:rFonts w:eastAsia="Times New Roman" w:cstheme="minorHAnsi"/>
          <w:color w:val="000000" w:themeColor="text1"/>
          <w:lang w:val="en-US" w:eastAsia="fr-FR"/>
        </w:rPr>
        <w:t>Scholtens</w:t>
      </w:r>
      <w:proofErr w:type="spellEnd"/>
      <w:r w:rsidRPr="00CD3935">
        <w:rPr>
          <w:rFonts w:eastAsia="Times New Roman" w:cstheme="minorHAnsi"/>
          <w:color w:val="000000" w:themeColor="text1"/>
          <w:lang w:val="en-US" w:eastAsia="fr-FR"/>
        </w:rPr>
        <w:t xml:space="preserve"> AM, van </w:t>
      </w:r>
      <w:proofErr w:type="spellStart"/>
      <w:r w:rsidRPr="00CD3935">
        <w:rPr>
          <w:rFonts w:eastAsia="Times New Roman" w:cstheme="minorHAnsi"/>
          <w:color w:val="000000" w:themeColor="text1"/>
          <w:lang w:val="en-US" w:eastAsia="fr-FR"/>
        </w:rPr>
        <w:t>Aarnhem</w:t>
      </w:r>
      <w:proofErr w:type="spellEnd"/>
      <w:r w:rsidRPr="00CD3935">
        <w:rPr>
          <w:rFonts w:eastAsia="Times New Roman" w:cstheme="minorHAnsi"/>
          <w:color w:val="000000" w:themeColor="text1"/>
          <w:lang w:val="en-US" w:eastAsia="fr-FR"/>
        </w:rPr>
        <w:t xml:space="preserve"> EE, </w:t>
      </w:r>
      <w:proofErr w:type="spellStart"/>
      <w:r w:rsidRPr="00CD3935">
        <w:rPr>
          <w:rFonts w:eastAsia="Times New Roman" w:cstheme="minorHAnsi"/>
          <w:color w:val="000000" w:themeColor="text1"/>
          <w:lang w:val="en-US" w:eastAsia="fr-FR"/>
        </w:rPr>
        <w:t>Budde</w:t>
      </w:r>
      <w:proofErr w:type="spellEnd"/>
      <w:r w:rsidRPr="00CD3935">
        <w:rPr>
          <w:rFonts w:eastAsia="Times New Roman" w:cstheme="minorHAnsi"/>
          <w:color w:val="000000" w:themeColor="text1"/>
          <w:lang w:val="en-US" w:eastAsia="fr-FR"/>
        </w:rPr>
        <w:t xml:space="preserve"> RP. Effect of antibiotic therapy on the diagnostic accuracy of 18F-FDG PET/CT for infective endocarditis: a systematic review and meta-analysis. </w:t>
      </w:r>
      <w:proofErr w:type="spellStart"/>
      <w:r w:rsidRPr="00CD3935">
        <w:rPr>
          <w:rFonts w:eastAsia="Times New Roman" w:cstheme="minorHAnsi"/>
          <w:i/>
          <w:iCs/>
          <w:color w:val="000000" w:themeColor="text1"/>
          <w:lang w:eastAsia="fr-FR"/>
        </w:rPr>
        <w:t>Eur</w:t>
      </w:r>
      <w:proofErr w:type="spellEnd"/>
      <w:r w:rsidRPr="00CD3935">
        <w:rPr>
          <w:rFonts w:eastAsia="Times New Roman" w:cstheme="minorHAnsi"/>
          <w:i/>
          <w:iCs/>
          <w:color w:val="000000" w:themeColor="text1"/>
          <w:lang w:eastAsia="fr-FR"/>
        </w:rPr>
        <w:t xml:space="preserve"> J </w:t>
      </w:r>
      <w:proofErr w:type="spellStart"/>
      <w:r w:rsidRPr="00CD3935">
        <w:rPr>
          <w:rFonts w:eastAsia="Times New Roman" w:cstheme="minorHAnsi"/>
          <w:i/>
          <w:iCs/>
          <w:color w:val="000000" w:themeColor="text1"/>
          <w:lang w:eastAsia="fr-FR"/>
        </w:rPr>
        <w:t>Nucl</w:t>
      </w:r>
      <w:proofErr w:type="spellEnd"/>
      <w:r w:rsidRPr="00CD3935">
        <w:rPr>
          <w:rFonts w:eastAsia="Times New Roman" w:cstheme="minorHAnsi"/>
          <w:i/>
          <w:iCs/>
          <w:color w:val="000000" w:themeColor="text1"/>
          <w:lang w:eastAsia="fr-FR"/>
        </w:rPr>
        <w:t xml:space="preserve"> Med Mol Imaging</w:t>
      </w:r>
      <w:r w:rsidRPr="00CD3935">
        <w:rPr>
          <w:rFonts w:eastAsia="Times New Roman" w:cstheme="minorHAnsi"/>
          <w:color w:val="000000" w:themeColor="text1"/>
          <w:lang w:eastAsia="fr-FR"/>
        </w:rPr>
        <w:t xml:space="preserve">. </w:t>
      </w:r>
      <w:proofErr w:type="gramStart"/>
      <w:r w:rsidRPr="00CD3935">
        <w:rPr>
          <w:rFonts w:eastAsia="Times New Roman" w:cstheme="minorHAnsi"/>
          <w:color w:val="000000" w:themeColor="text1"/>
          <w:lang w:eastAsia="fr-FR"/>
        </w:rPr>
        <w:t>2018;</w:t>
      </w:r>
      <w:proofErr w:type="gramEnd"/>
      <w:r w:rsidRPr="00CD3935">
        <w:rPr>
          <w:rFonts w:eastAsia="Times New Roman" w:cstheme="minorHAnsi"/>
          <w:color w:val="000000" w:themeColor="text1"/>
          <w:lang w:eastAsia="fr-FR"/>
        </w:rPr>
        <w:t>45(13):2402-2411.</w:t>
      </w:r>
    </w:p>
    <w:p w14:paraId="4FA67623" w14:textId="77777777" w:rsidR="00CD3935" w:rsidRPr="00CD3935" w:rsidRDefault="00CD3935" w:rsidP="0054247C">
      <w:pPr>
        <w:numPr>
          <w:ilvl w:val="0"/>
          <w:numId w:val="21"/>
        </w:numPr>
        <w:shd w:val="clear" w:color="auto" w:fill="FFFFFF"/>
        <w:spacing w:before="100" w:beforeAutospacing="1"/>
        <w:ind w:left="0"/>
        <w:jc w:val="both"/>
        <w:rPr>
          <w:rFonts w:eastAsia="Times New Roman" w:cstheme="minorHAnsi"/>
          <w:color w:val="000000" w:themeColor="text1"/>
          <w:lang w:eastAsia="fr-FR"/>
        </w:rPr>
      </w:pPr>
      <w:r w:rsidRPr="00CD3935">
        <w:rPr>
          <w:rFonts w:eastAsia="Times New Roman" w:cstheme="minorHAnsi"/>
          <w:color w:val="000000" w:themeColor="text1"/>
          <w:lang w:eastAsia="fr-FR"/>
        </w:rPr>
        <w:t xml:space="preserve">Swart LE, Gomes A, </w:t>
      </w:r>
      <w:proofErr w:type="spellStart"/>
      <w:r w:rsidRPr="00CD3935">
        <w:rPr>
          <w:rFonts w:eastAsia="Times New Roman" w:cstheme="minorHAnsi"/>
          <w:color w:val="000000" w:themeColor="text1"/>
          <w:lang w:eastAsia="fr-FR"/>
        </w:rPr>
        <w:t>Scholtens</w:t>
      </w:r>
      <w:proofErr w:type="spellEnd"/>
      <w:r w:rsidRPr="00CD3935">
        <w:rPr>
          <w:rFonts w:eastAsia="Times New Roman" w:cstheme="minorHAnsi"/>
          <w:color w:val="000000" w:themeColor="text1"/>
          <w:lang w:eastAsia="fr-FR"/>
        </w:rPr>
        <w:t xml:space="preserve"> AM, et al. </w:t>
      </w:r>
      <w:r w:rsidRPr="00CD3935">
        <w:rPr>
          <w:rFonts w:eastAsia="Times New Roman" w:cstheme="minorHAnsi"/>
          <w:color w:val="000000" w:themeColor="text1"/>
          <w:lang w:val="en-US" w:eastAsia="fr-FR"/>
        </w:rPr>
        <w:t>Impact of antibiotic therapy on the sensitivity of 18F-FDG PET/CT for the diagnosis of prosthetic valve endocarditis: A systematic review and meta-analysis. </w:t>
      </w:r>
      <w:r w:rsidRPr="00CD3935">
        <w:rPr>
          <w:rFonts w:eastAsia="Times New Roman" w:cstheme="minorHAnsi"/>
          <w:i/>
          <w:iCs/>
          <w:color w:val="000000" w:themeColor="text1"/>
          <w:lang w:eastAsia="fr-FR"/>
        </w:rPr>
        <w:t xml:space="preserve">J </w:t>
      </w:r>
      <w:proofErr w:type="spellStart"/>
      <w:r w:rsidRPr="00CD3935">
        <w:rPr>
          <w:rFonts w:eastAsia="Times New Roman" w:cstheme="minorHAnsi"/>
          <w:i/>
          <w:iCs/>
          <w:color w:val="000000" w:themeColor="text1"/>
          <w:lang w:eastAsia="fr-FR"/>
        </w:rPr>
        <w:t>Nucl</w:t>
      </w:r>
      <w:proofErr w:type="spellEnd"/>
      <w:r w:rsidRPr="00CD3935">
        <w:rPr>
          <w:rFonts w:eastAsia="Times New Roman" w:cstheme="minorHAnsi"/>
          <w:i/>
          <w:iCs/>
          <w:color w:val="000000" w:themeColor="text1"/>
          <w:lang w:eastAsia="fr-FR"/>
        </w:rPr>
        <w:t xml:space="preserve"> </w:t>
      </w:r>
      <w:proofErr w:type="spellStart"/>
      <w:r w:rsidRPr="00CD3935">
        <w:rPr>
          <w:rFonts w:eastAsia="Times New Roman" w:cstheme="minorHAnsi"/>
          <w:i/>
          <w:iCs/>
          <w:color w:val="000000" w:themeColor="text1"/>
          <w:lang w:eastAsia="fr-FR"/>
        </w:rPr>
        <w:t>Cardiol</w:t>
      </w:r>
      <w:proofErr w:type="spellEnd"/>
      <w:r w:rsidRPr="00CD3935">
        <w:rPr>
          <w:rFonts w:eastAsia="Times New Roman" w:cstheme="minorHAnsi"/>
          <w:color w:val="000000" w:themeColor="text1"/>
          <w:lang w:eastAsia="fr-FR"/>
        </w:rPr>
        <w:t xml:space="preserve">. </w:t>
      </w:r>
      <w:proofErr w:type="gramStart"/>
      <w:r w:rsidRPr="00CD3935">
        <w:rPr>
          <w:rFonts w:eastAsia="Times New Roman" w:cstheme="minorHAnsi"/>
          <w:color w:val="000000" w:themeColor="text1"/>
          <w:lang w:eastAsia="fr-FR"/>
        </w:rPr>
        <w:t>2021;</w:t>
      </w:r>
      <w:proofErr w:type="gramEnd"/>
      <w:r w:rsidRPr="00CD3935">
        <w:rPr>
          <w:rFonts w:eastAsia="Times New Roman" w:cstheme="minorHAnsi"/>
          <w:color w:val="000000" w:themeColor="text1"/>
          <w:lang w:eastAsia="fr-FR"/>
        </w:rPr>
        <w:t>28(3):1062-1072.</w:t>
      </w:r>
    </w:p>
    <w:p w14:paraId="400EF85A" w14:textId="77777777" w:rsidR="00CD3935" w:rsidRPr="00CD3935" w:rsidRDefault="00CD3935" w:rsidP="0054247C">
      <w:pPr>
        <w:numPr>
          <w:ilvl w:val="0"/>
          <w:numId w:val="21"/>
        </w:numPr>
        <w:shd w:val="clear" w:color="auto" w:fill="FFFFFF"/>
        <w:spacing w:before="100" w:beforeAutospacing="1"/>
        <w:ind w:left="0"/>
        <w:jc w:val="both"/>
        <w:rPr>
          <w:rFonts w:eastAsia="Times New Roman" w:cstheme="minorHAnsi"/>
          <w:color w:val="000000" w:themeColor="text1"/>
          <w:lang w:eastAsia="fr-FR"/>
        </w:rPr>
      </w:pPr>
      <w:proofErr w:type="spellStart"/>
      <w:r w:rsidRPr="00CD3935">
        <w:rPr>
          <w:rFonts w:eastAsia="Times New Roman" w:cstheme="minorHAnsi"/>
          <w:color w:val="000000" w:themeColor="text1"/>
          <w:lang w:val="en-US" w:eastAsia="fr-FR"/>
        </w:rPr>
        <w:t>Orvin</w:t>
      </w:r>
      <w:proofErr w:type="spellEnd"/>
      <w:r w:rsidRPr="00CD3935">
        <w:rPr>
          <w:rFonts w:eastAsia="Times New Roman" w:cstheme="minorHAnsi"/>
          <w:color w:val="000000" w:themeColor="text1"/>
          <w:lang w:val="en-US" w:eastAsia="fr-FR"/>
        </w:rPr>
        <w:t xml:space="preserve"> K, Goldberg E, </w:t>
      </w:r>
      <w:proofErr w:type="spellStart"/>
      <w:r w:rsidRPr="00CD3935">
        <w:rPr>
          <w:rFonts w:eastAsia="Times New Roman" w:cstheme="minorHAnsi"/>
          <w:color w:val="000000" w:themeColor="text1"/>
          <w:lang w:val="en-US" w:eastAsia="fr-FR"/>
        </w:rPr>
        <w:t>Bernstine</w:t>
      </w:r>
      <w:proofErr w:type="spellEnd"/>
      <w:r w:rsidRPr="00CD3935">
        <w:rPr>
          <w:rFonts w:eastAsia="Times New Roman" w:cstheme="minorHAnsi"/>
          <w:color w:val="000000" w:themeColor="text1"/>
          <w:lang w:val="en-US" w:eastAsia="fr-FR"/>
        </w:rPr>
        <w:t xml:space="preserve"> H, et al. The role of FDG-PET/CT imaging in the diagnosis of infective endocarditis: a contemporary review. </w:t>
      </w:r>
      <w:proofErr w:type="spellStart"/>
      <w:r w:rsidRPr="00CD3935">
        <w:rPr>
          <w:rFonts w:eastAsia="Times New Roman" w:cstheme="minorHAnsi"/>
          <w:i/>
          <w:iCs/>
          <w:color w:val="000000" w:themeColor="text1"/>
          <w:lang w:eastAsia="fr-FR"/>
        </w:rPr>
        <w:t>Isr</w:t>
      </w:r>
      <w:proofErr w:type="spellEnd"/>
      <w:r w:rsidRPr="00CD3935">
        <w:rPr>
          <w:rFonts w:eastAsia="Times New Roman" w:cstheme="minorHAnsi"/>
          <w:i/>
          <w:iCs/>
          <w:color w:val="000000" w:themeColor="text1"/>
          <w:lang w:eastAsia="fr-FR"/>
        </w:rPr>
        <w:t xml:space="preserve"> Med Assoc J</w:t>
      </w:r>
      <w:r w:rsidRPr="00CD3935">
        <w:rPr>
          <w:rFonts w:eastAsia="Times New Roman" w:cstheme="minorHAnsi"/>
          <w:color w:val="000000" w:themeColor="text1"/>
          <w:lang w:eastAsia="fr-FR"/>
        </w:rPr>
        <w:t xml:space="preserve">. </w:t>
      </w:r>
      <w:proofErr w:type="gramStart"/>
      <w:r w:rsidRPr="00CD3935">
        <w:rPr>
          <w:rFonts w:eastAsia="Times New Roman" w:cstheme="minorHAnsi"/>
          <w:color w:val="000000" w:themeColor="text1"/>
          <w:lang w:eastAsia="fr-FR"/>
        </w:rPr>
        <w:t>2018;</w:t>
      </w:r>
      <w:proofErr w:type="gramEnd"/>
      <w:r w:rsidRPr="00CD3935">
        <w:rPr>
          <w:rFonts w:eastAsia="Times New Roman" w:cstheme="minorHAnsi"/>
          <w:color w:val="000000" w:themeColor="text1"/>
          <w:lang w:eastAsia="fr-FR"/>
        </w:rPr>
        <w:t>20(6):381-386.</w:t>
      </w:r>
    </w:p>
    <w:p w14:paraId="195A7428" w14:textId="77777777" w:rsidR="00CD3935" w:rsidRPr="00CD3935" w:rsidRDefault="00CD3935" w:rsidP="0054247C">
      <w:pPr>
        <w:numPr>
          <w:ilvl w:val="0"/>
          <w:numId w:val="21"/>
        </w:numPr>
        <w:shd w:val="clear" w:color="auto" w:fill="FFFFFF"/>
        <w:spacing w:before="100" w:beforeAutospacing="1"/>
        <w:ind w:left="0"/>
        <w:jc w:val="both"/>
        <w:rPr>
          <w:rFonts w:eastAsia="Times New Roman" w:cstheme="minorHAnsi"/>
          <w:color w:val="000000" w:themeColor="text1"/>
          <w:lang w:eastAsia="fr-FR"/>
        </w:rPr>
      </w:pPr>
      <w:proofErr w:type="gramStart"/>
      <w:r w:rsidRPr="00CD3935">
        <w:rPr>
          <w:rFonts w:eastAsia="Times New Roman" w:cstheme="minorHAnsi"/>
          <w:color w:val="000000" w:themeColor="text1"/>
          <w:lang w:eastAsia="fr-FR"/>
        </w:rPr>
        <w:t>de</w:t>
      </w:r>
      <w:proofErr w:type="gramEnd"/>
      <w:r w:rsidRPr="00CD3935">
        <w:rPr>
          <w:rFonts w:eastAsia="Times New Roman" w:cstheme="minorHAnsi"/>
          <w:color w:val="000000" w:themeColor="text1"/>
          <w:lang w:eastAsia="fr-FR"/>
        </w:rPr>
        <w:t xml:space="preserve"> Camargo RA, Sommer </w:t>
      </w:r>
      <w:proofErr w:type="spellStart"/>
      <w:r w:rsidRPr="00CD3935">
        <w:rPr>
          <w:rFonts w:eastAsia="Times New Roman" w:cstheme="minorHAnsi"/>
          <w:color w:val="000000" w:themeColor="text1"/>
          <w:lang w:eastAsia="fr-FR"/>
        </w:rPr>
        <w:t>Bitencourt</w:t>
      </w:r>
      <w:proofErr w:type="spellEnd"/>
      <w:r w:rsidRPr="00CD3935">
        <w:rPr>
          <w:rFonts w:eastAsia="Times New Roman" w:cstheme="minorHAnsi"/>
          <w:color w:val="000000" w:themeColor="text1"/>
          <w:lang w:eastAsia="fr-FR"/>
        </w:rPr>
        <w:t xml:space="preserve"> M, </w:t>
      </w:r>
      <w:proofErr w:type="spellStart"/>
      <w:r w:rsidRPr="00CD3935">
        <w:rPr>
          <w:rFonts w:eastAsia="Times New Roman" w:cstheme="minorHAnsi"/>
          <w:color w:val="000000" w:themeColor="text1"/>
          <w:lang w:eastAsia="fr-FR"/>
        </w:rPr>
        <w:t>Meneghetti</w:t>
      </w:r>
      <w:proofErr w:type="spellEnd"/>
      <w:r w:rsidRPr="00CD3935">
        <w:rPr>
          <w:rFonts w:eastAsia="Times New Roman" w:cstheme="minorHAnsi"/>
          <w:color w:val="000000" w:themeColor="text1"/>
          <w:lang w:eastAsia="fr-FR"/>
        </w:rPr>
        <w:t xml:space="preserve"> JC, et al. </w:t>
      </w:r>
      <w:r w:rsidRPr="00CD3935">
        <w:rPr>
          <w:rFonts w:eastAsia="Times New Roman" w:cstheme="minorHAnsi"/>
          <w:color w:val="000000" w:themeColor="text1"/>
          <w:lang w:val="en-US" w:eastAsia="fr-FR"/>
        </w:rPr>
        <w:t>The role of 18F-FDG-PET/CT in the diagnosis of left-sided endocarditis: native vs. prosthetic valves. </w:t>
      </w:r>
      <w:r w:rsidRPr="00CD3935">
        <w:rPr>
          <w:rFonts w:eastAsia="Times New Roman" w:cstheme="minorHAnsi"/>
          <w:i/>
          <w:iCs/>
          <w:color w:val="000000" w:themeColor="text1"/>
          <w:lang w:eastAsia="fr-FR"/>
        </w:rPr>
        <w:t xml:space="preserve">J </w:t>
      </w:r>
      <w:proofErr w:type="spellStart"/>
      <w:r w:rsidRPr="00CD3935">
        <w:rPr>
          <w:rFonts w:eastAsia="Times New Roman" w:cstheme="minorHAnsi"/>
          <w:i/>
          <w:iCs/>
          <w:color w:val="000000" w:themeColor="text1"/>
          <w:lang w:eastAsia="fr-FR"/>
        </w:rPr>
        <w:t>Nucl</w:t>
      </w:r>
      <w:proofErr w:type="spellEnd"/>
      <w:r w:rsidRPr="00CD3935">
        <w:rPr>
          <w:rFonts w:eastAsia="Times New Roman" w:cstheme="minorHAnsi"/>
          <w:i/>
          <w:iCs/>
          <w:color w:val="000000" w:themeColor="text1"/>
          <w:lang w:eastAsia="fr-FR"/>
        </w:rPr>
        <w:t xml:space="preserve"> </w:t>
      </w:r>
      <w:proofErr w:type="spellStart"/>
      <w:r w:rsidRPr="00CD3935">
        <w:rPr>
          <w:rFonts w:eastAsia="Times New Roman" w:cstheme="minorHAnsi"/>
          <w:i/>
          <w:iCs/>
          <w:color w:val="000000" w:themeColor="text1"/>
          <w:lang w:eastAsia="fr-FR"/>
        </w:rPr>
        <w:t>Cardiol</w:t>
      </w:r>
      <w:proofErr w:type="spellEnd"/>
      <w:r w:rsidRPr="00CD3935">
        <w:rPr>
          <w:rFonts w:eastAsia="Times New Roman" w:cstheme="minorHAnsi"/>
          <w:color w:val="000000" w:themeColor="text1"/>
          <w:lang w:eastAsia="fr-FR"/>
        </w:rPr>
        <w:t xml:space="preserve">. </w:t>
      </w:r>
      <w:proofErr w:type="gramStart"/>
      <w:r w:rsidRPr="00CD3935">
        <w:rPr>
          <w:rFonts w:eastAsia="Times New Roman" w:cstheme="minorHAnsi"/>
          <w:color w:val="000000" w:themeColor="text1"/>
          <w:lang w:eastAsia="fr-FR"/>
        </w:rPr>
        <w:t>2020;</w:t>
      </w:r>
      <w:proofErr w:type="gramEnd"/>
      <w:r w:rsidRPr="00CD3935">
        <w:rPr>
          <w:rFonts w:eastAsia="Times New Roman" w:cstheme="minorHAnsi"/>
          <w:color w:val="000000" w:themeColor="text1"/>
          <w:lang w:eastAsia="fr-FR"/>
        </w:rPr>
        <w:t>27(5):1655-1664.</w:t>
      </w:r>
    </w:p>
    <w:p w14:paraId="3E26E5BE" w14:textId="77777777" w:rsidR="00CD3935" w:rsidRPr="00CD3935" w:rsidRDefault="00CD3935" w:rsidP="0054247C">
      <w:pPr>
        <w:numPr>
          <w:ilvl w:val="0"/>
          <w:numId w:val="21"/>
        </w:numPr>
        <w:shd w:val="clear" w:color="auto" w:fill="FFFFFF"/>
        <w:spacing w:before="100" w:beforeAutospacing="1"/>
        <w:ind w:left="0"/>
        <w:jc w:val="both"/>
        <w:rPr>
          <w:rFonts w:eastAsia="Times New Roman" w:cstheme="minorHAnsi"/>
          <w:color w:val="000000" w:themeColor="text1"/>
          <w:lang w:eastAsia="fr-FR"/>
        </w:rPr>
      </w:pPr>
      <w:proofErr w:type="spellStart"/>
      <w:r w:rsidRPr="00CD3935">
        <w:rPr>
          <w:rFonts w:eastAsia="Times New Roman" w:cstheme="minorHAnsi"/>
          <w:color w:val="000000" w:themeColor="text1"/>
          <w:lang w:eastAsia="fr-FR"/>
        </w:rPr>
        <w:t>Kouijzer</w:t>
      </w:r>
      <w:proofErr w:type="spellEnd"/>
      <w:r w:rsidRPr="00CD3935">
        <w:rPr>
          <w:rFonts w:eastAsia="Times New Roman" w:cstheme="minorHAnsi"/>
          <w:color w:val="000000" w:themeColor="text1"/>
          <w:lang w:eastAsia="fr-FR"/>
        </w:rPr>
        <w:t xml:space="preserve"> IJ, Vos FJ, Janssen MJ, van Dijk AP, </w:t>
      </w:r>
      <w:proofErr w:type="spellStart"/>
      <w:r w:rsidRPr="00CD3935">
        <w:rPr>
          <w:rFonts w:eastAsia="Times New Roman" w:cstheme="minorHAnsi"/>
          <w:color w:val="000000" w:themeColor="text1"/>
          <w:lang w:eastAsia="fr-FR"/>
        </w:rPr>
        <w:t>Oyen</w:t>
      </w:r>
      <w:proofErr w:type="spellEnd"/>
      <w:r w:rsidRPr="00CD3935">
        <w:rPr>
          <w:rFonts w:eastAsia="Times New Roman" w:cstheme="minorHAnsi"/>
          <w:color w:val="000000" w:themeColor="text1"/>
          <w:lang w:eastAsia="fr-FR"/>
        </w:rPr>
        <w:t xml:space="preserve"> WJ, </w:t>
      </w:r>
      <w:proofErr w:type="spellStart"/>
      <w:r w:rsidRPr="00CD3935">
        <w:rPr>
          <w:rFonts w:eastAsia="Times New Roman" w:cstheme="minorHAnsi"/>
          <w:color w:val="000000" w:themeColor="text1"/>
          <w:lang w:eastAsia="fr-FR"/>
        </w:rPr>
        <w:t>Bleeker</w:t>
      </w:r>
      <w:proofErr w:type="spellEnd"/>
      <w:r w:rsidRPr="00CD3935">
        <w:rPr>
          <w:rFonts w:eastAsia="Times New Roman" w:cstheme="minorHAnsi"/>
          <w:color w:val="000000" w:themeColor="text1"/>
          <w:lang w:eastAsia="fr-FR"/>
        </w:rPr>
        <w:t xml:space="preserve">-Rovers CP. </w:t>
      </w:r>
      <w:r w:rsidRPr="00CD3935">
        <w:rPr>
          <w:rFonts w:eastAsia="Times New Roman" w:cstheme="minorHAnsi"/>
          <w:color w:val="000000" w:themeColor="text1"/>
          <w:lang w:val="en-US" w:eastAsia="fr-FR"/>
        </w:rPr>
        <w:t>The value of 18F-FDG PET/CT in the diagnosis of infectious and inflammatory diseases. </w:t>
      </w:r>
      <w:proofErr w:type="spellStart"/>
      <w:r w:rsidRPr="00CD3935">
        <w:rPr>
          <w:rFonts w:eastAsia="Times New Roman" w:cstheme="minorHAnsi"/>
          <w:i/>
          <w:iCs/>
          <w:color w:val="000000" w:themeColor="text1"/>
          <w:lang w:eastAsia="fr-FR"/>
        </w:rPr>
        <w:t>Neth</w:t>
      </w:r>
      <w:proofErr w:type="spellEnd"/>
      <w:r w:rsidRPr="00CD3935">
        <w:rPr>
          <w:rFonts w:eastAsia="Times New Roman" w:cstheme="minorHAnsi"/>
          <w:i/>
          <w:iCs/>
          <w:color w:val="000000" w:themeColor="text1"/>
          <w:lang w:eastAsia="fr-FR"/>
        </w:rPr>
        <w:t xml:space="preserve"> J Med</w:t>
      </w:r>
      <w:r w:rsidRPr="00CD3935">
        <w:rPr>
          <w:rFonts w:eastAsia="Times New Roman" w:cstheme="minorHAnsi"/>
          <w:color w:val="000000" w:themeColor="text1"/>
          <w:lang w:eastAsia="fr-FR"/>
        </w:rPr>
        <w:t xml:space="preserve">. </w:t>
      </w:r>
      <w:proofErr w:type="gramStart"/>
      <w:r w:rsidRPr="00CD3935">
        <w:rPr>
          <w:rFonts w:eastAsia="Times New Roman" w:cstheme="minorHAnsi"/>
          <w:color w:val="000000" w:themeColor="text1"/>
          <w:lang w:eastAsia="fr-FR"/>
        </w:rPr>
        <w:t>2013;</w:t>
      </w:r>
      <w:proofErr w:type="gramEnd"/>
      <w:r w:rsidRPr="00CD3935">
        <w:rPr>
          <w:rFonts w:eastAsia="Times New Roman" w:cstheme="minorHAnsi"/>
          <w:color w:val="000000" w:themeColor="text1"/>
          <w:lang w:eastAsia="fr-FR"/>
        </w:rPr>
        <w:t>71(5):242-249.</w:t>
      </w:r>
    </w:p>
    <w:p w14:paraId="7548813D" w14:textId="77777777" w:rsidR="00CD3935" w:rsidRPr="00CD3935" w:rsidRDefault="00CD3935" w:rsidP="0054247C">
      <w:pPr>
        <w:numPr>
          <w:ilvl w:val="0"/>
          <w:numId w:val="21"/>
        </w:numPr>
        <w:shd w:val="clear" w:color="auto" w:fill="FFFFFF"/>
        <w:spacing w:before="100" w:beforeAutospacing="1"/>
        <w:ind w:left="0"/>
        <w:jc w:val="both"/>
        <w:rPr>
          <w:rFonts w:eastAsia="Times New Roman" w:cstheme="minorHAnsi"/>
          <w:color w:val="000000" w:themeColor="text1"/>
          <w:lang w:eastAsia="fr-FR"/>
        </w:rPr>
      </w:pPr>
      <w:r w:rsidRPr="00CD3935">
        <w:rPr>
          <w:rFonts w:eastAsia="Times New Roman" w:cstheme="minorHAnsi"/>
          <w:color w:val="000000" w:themeColor="text1"/>
          <w:lang w:val="en-US" w:eastAsia="fr-FR"/>
        </w:rPr>
        <w:t>Cadmium B, et al. Cost-effectiveness of FDG-PET/CT in the diagnostic workup of suspected prosthetic valve endocarditis. </w:t>
      </w:r>
      <w:r w:rsidRPr="00CD3935">
        <w:rPr>
          <w:rFonts w:eastAsia="Times New Roman" w:cstheme="minorHAnsi"/>
          <w:i/>
          <w:iCs/>
          <w:color w:val="000000" w:themeColor="text1"/>
          <w:lang w:eastAsia="fr-FR"/>
        </w:rPr>
        <w:t xml:space="preserve">J </w:t>
      </w:r>
      <w:proofErr w:type="spellStart"/>
      <w:r w:rsidRPr="00CD3935">
        <w:rPr>
          <w:rFonts w:eastAsia="Times New Roman" w:cstheme="minorHAnsi"/>
          <w:i/>
          <w:iCs/>
          <w:color w:val="000000" w:themeColor="text1"/>
          <w:lang w:eastAsia="fr-FR"/>
        </w:rPr>
        <w:t>Nucl</w:t>
      </w:r>
      <w:proofErr w:type="spellEnd"/>
      <w:r w:rsidRPr="00CD3935">
        <w:rPr>
          <w:rFonts w:eastAsia="Times New Roman" w:cstheme="minorHAnsi"/>
          <w:i/>
          <w:iCs/>
          <w:color w:val="000000" w:themeColor="text1"/>
          <w:lang w:eastAsia="fr-FR"/>
        </w:rPr>
        <w:t xml:space="preserve"> Med</w:t>
      </w:r>
      <w:r w:rsidRPr="00CD3935">
        <w:rPr>
          <w:rFonts w:eastAsia="Times New Roman" w:cstheme="minorHAnsi"/>
          <w:color w:val="000000" w:themeColor="text1"/>
          <w:lang w:eastAsia="fr-FR"/>
        </w:rPr>
        <w:t xml:space="preserve">. </w:t>
      </w:r>
      <w:proofErr w:type="gramStart"/>
      <w:r w:rsidRPr="00CD3935">
        <w:rPr>
          <w:rFonts w:eastAsia="Times New Roman" w:cstheme="minorHAnsi"/>
          <w:color w:val="000000" w:themeColor="text1"/>
          <w:lang w:eastAsia="fr-FR"/>
        </w:rPr>
        <w:t>2021;</w:t>
      </w:r>
      <w:proofErr w:type="gramEnd"/>
      <w:r w:rsidRPr="00CD3935">
        <w:rPr>
          <w:rFonts w:eastAsia="Times New Roman" w:cstheme="minorHAnsi"/>
          <w:color w:val="000000" w:themeColor="text1"/>
          <w:lang w:eastAsia="fr-FR"/>
        </w:rPr>
        <w:t>62(8):1123-1129.</w:t>
      </w:r>
    </w:p>
    <w:p w14:paraId="7992EB7B" w14:textId="77777777" w:rsidR="00CD3935" w:rsidRPr="00CD3935" w:rsidRDefault="00CD3935" w:rsidP="0054247C">
      <w:pPr>
        <w:numPr>
          <w:ilvl w:val="0"/>
          <w:numId w:val="21"/>
        </w:numPr>
        <w:shd w:val="clear" w:color="auto" w:fill="FFFFFF"/>
        <w:spacing w:before="100" w:beforeAutospacing="1"/>
        <w:ind w:left="0"/>
        <w:jc w:val="both"/>
        <w:rPr>
          <w:rFonts w:eastAsia="Times New Roman" w:cstheme="minorHAnsi"/>
          <w:color w:val="000000" w:themeColor="text1"/>
          <w:lang w:eastAsia="fr-FR"/>
        </w:rPr>
      </w:pPr>
      <w:r w:rsidRPr="00CD3935">
        <w:rPr>
          <w:rFonts w:eastAsia="Times New Roman" w:cstheme="minorHAnsi"/>
          <w:color w:val="000000" w:themeColor="text1"/>
          <w:lang w:val="en-US" w:eastAsia="fr-FR"/>
        </w:rPr>
        <w:t xml:space="preserve">Ten Hove D, </w:t>
      </w:r>
      <w:proofErr w:type="spellStart"/>
      <w:r w:rsidRPr="00CD3935">
        <w:rPr>
          <w:rFonts w:eastAsia="Times New Roman" w:cstheme="minorHAnsi"/>
          <w:color w:val="000000" w:themeColor="text1"/>
          <w:lang w:val="en-US" w:eastAsia="fr-FR"/>
        </w:rPr>
        <w:t>Slart</w:t>
      </w:r>
      <w:proofErr w:type="spellEnd"/>
      <w:r w:rsidRPr="00CD3935">
        <w:rPr>
          <w:rFonts w:eastAsia="Times New Roman" w:cstheme="minorHAnsi"/>
          <w:color w:val="000000" w:themeColor="text1"/>
          <w:lang w:val="en-US" w:eastAsia="fr-FR"/>
        </w:rPr>
        <w:t xml:space="preserve"> RHJA, Sinha B, et al. 18F-FDG PET/CT in infective endocarditis: A systematic review and meta-analysis of the diagnostic accuracy and the added value of semi-quantitative parameters. </w:t>
      </w:r>
      <w:proofErr w:type="spellStart"/>
      <w:r w:rsidRPr="00CD3935">
        <w:rPr>
          <w:rFonts w:eastAsia="Times New Roman" w:cstheme="minorHAnsi"/>
          <w:i/>
          <w:iCs/>
          <w:color w:val="000000" w:themeColor="text1"/>
          <w:lang w:eastAsia="fr-FR"/>
        </w:rPr>
        <w:t>Eur</w:t>
      </w:r>
      <w:proofErr w:type="spellEnd"/>
      <w:r w:rsidRPr="00CD3935">
        <w:rPr>
          <w:rFonts w:eastAsia="Times New Roman" w:cstheme="minorHAnsi"/>
          <w:i/>
          <w:iCs/>
          <w:color w:val="000000" w:themeColor="text1"/>
          <w:lang w:eastAsia="fr-FR"/>
        </w:rPr>
        <w:t xml:space="preserve"> J </w:t>
      </w:r>
      <w:proofErr w:type="spellStart"/>
      <w:r w:rsidRPr="00CD3935">
        <w:rPr>
          <w:rFonts w:eastAsia="Times New Roman" w:cstheme="minorHAnsi"/>
          <w:i/>
          <w:iCs/>
          <w:color w:val="000000" w:themeColor="text1"/>
          <w:lang w:eastAsia="fr-FR"/>
        </w:rPr>
        <w:t>Nucl</w:t>
      </w:r>
      <w:proofErr w:type="spellEnd"/>
      <w:r w:rsidRPr="00CD3935">
        <w:rPr>
          <w:rFonts w:eastAsia="Times New Roman" w:cstheme="minorHAnsi"/>
          <w:i/>
          <w:iCs/>
          <w:color w:val="000000" w:themeColor="text1"/>
          <w:lang w:eastAsia="fr-FR"/>
        </w:rPr>
        <w:t xml:space="preserve"> Med Mol Imaging</w:t>
      </w:r>
      <w:r w:rsidRPr="00CD3935">
        <w:rPr>
          <w:rFonts w:eastAsia="Times New Roman" w:cstheme="minorHAnsi"/>
          <w:color w:val="000000" w:themeColor="text1"/>
          <w:lang w:eastAsia="fr-FR"/>
        </w:rPr>
        <w:t xml:space="preserve">. </w:t>
      </w:r>
      <w:proofErr w:type="gramStart"/>
      <w:r w:rsidRPr="00CD3935">
        <w:rPr>
          <w:rFonts w:eastAsia="Times New Roman" w:cstheme="minorHAnsi"/>
          <w:color w:val="000000" w:themeColor="text1"/>
          <w:lang w:eastAsia="fr-FR"/>
        </w:rPr>
        <w:t>2022;</w:t>
      </w:r>
      <w:proofErr w:type="gramEnd"/>
      <w:r w:rsidRPr="00CD3935">
        <w:rPr>
          <w:rFonts w:eastAsia="Times New Roman" w:cstheme="minorHAnsi"/>
          <w:color w:val="000000" w:themeColor="text1"/>
          <w:lang w:eastAsia="fr-FR"/>
        </w:rPr>
        <w:t>49(8):2764-2777.</w:t>
      </w:r>
    </w:p>
    <w:p w14:paraId="1460C44C" w14:textId="77777777" w:rsidR="00CD3935" w:rsidRPr="00CD3935" w:rsidRDefault="00CD3935" w:rsidP="0054247C">
      <w:pPr>
        <w:numPr>
          <w:ilvl w:val="0"/>
          <w:numId w:val="21"/>
        </w:numPr>
        <w:shd w:val="clear" w:color="auto" w:fill="FFFFFF"/>
        <w:spacing w:before="100" w:beforeAutospacing="1"/>
        <w:ind w:left="0"/>
        <w:jc w:val="both"/>
        <w:rPr>
          <w:rFonts w:eastAsia="Times New Roman" w:cstheme="minorHAnsi"/>
          <w:color w:val="000000" w:themeColor="text1"/>
          <w:lang w:eastAsia="fr-FR"/>
        </w:rPr>
      </w:pPr>
      <w:r w:rsidRPr="00CD3935">
        <w:rPr>
          <w:rFonts w:eastAsia="Times New Roman" w:cstheme="minorHAnsi"/>
          <w:color w:val="000000" w:themeColor="text1"/>
          <w:lang w:val="en-US" w:eastAsia="fr-FR"/>
        </w:rPr>
        <w:t xml:space="preserve">Roque A, </w:t>
      </w:r>
      <w:proofErr w:type="spellStart"/>
      <w:r w:rsidRPr="00CD3935">
        <w:rPr>
          <w:rFonts w:eastAsia="Times New Roman" w:cstheme="minorHAnsi"/>
          <w:color w:val="000000" w:themeColor="text1"/>
          <w:lang w:val="en-US" w:eastAsia="fr-FR"/>
        </w:rPr>
        <w:t>Pizzi</w:t>
      </w:r>
      <w:proofErr w:type="spellEnd"/>
      <w:r w:rsidRPr="00CD3935">
        <w:rPr>
          <w:rFonts w:eastAsia="Times New Roman" w:cstheme="minorHAnsi"/>
          <w:color w:val="000000" w:themeColor="text1"/>
          <w:lang w:val="en-US" w:eastAsia="fr-FR"/>
        </w:rPr>
        <w:t xml:space="preserve"> MN, Fernández-Hidalgo N, et al. 18F-FDG PET/CT in the diagnosis of prosthetic valve endocarditis: A prospective study with semi-quantitative analysis. </w:t>
      </w:r>
      <w:r w:rsidRPr="00CD3935">
        <w:rPr>
          <w:rFonts w:eastAsia="Times New Roman" w:cstheme="minorHAnsi"/>
          <w:i/>
          <w:iCs/>
          <w:color w:val="000000" w:themeColor="text1"/>
          <w:lang w:eastAsia="fr-FR"/>
        </w:rPr>
        <w:t xml:space="preserve">J </w:t>
      </w:r>
      <w:proofErr w:type="spellStart"/>
      <w:r w:rsidRPr="00CD3935">
        <w:rPr>
          <w:rFonts w:eastAsia="Times New Roman" w:cstheme="minorHAnsi"/>
          <w:i/>
          <w:iCs/>
          <w:color w:val="000000" w:themeColor="text1"/>
          <w:lang w:eastAsia="fr-FR"/>
        </w:rPr>
        <w:t>Nucl</w:t>
      </w:r>
      <w:proofErr w:type="spellEnd"/>
      <w:r w:rsidRPr="00CD3935">
        <w:rPr>
          <w:rFonts w:eastAsia="Times New Roman" w:cstheme="minorHAnsi"/>
          <w:i/>
          <w:iCs/>
          <w:color w:val="000000" w:themeColor="text1"/>
          <w:lang w:eastAsia="fr-FR"/>
        </w:rPr>
        <w:t xml:space="preserve"> </w:t>
      </w:r>
      <w:proofErr w:type="spellStart"/>
      <w:r w:rsidRPr="00CD3935">
        <w:rPr>
          <w:rFonts w:eastAsia="Times New Roman" w:cstheme="minorHAnsi"/>
          <w:i/>
          <w:iCs/>
          <w:color w:val="000000" w:themeColor="text1"/>
          <w:lang w:eastAsia="fr-FR"/>
        </w:rPr>
        <w:t>Cardiol</w:t>
      </w:r>
      <w:proofErr w:type="spellEnd"/>
      <w:r w:rsidRPr="00CD3935">
        <w:rPr>
          <w:rFonts w:eastAsia="Times New Roman" w:cstheme="minorHAnsi"/>
          <w:color w:val="000000" w:themeColor="text1"/>
          <w:lang w:eastAsia="fr-FR"/>
        </w:rPr>
        <w:t xml:space="preserve">. </w:t>
      </w:r>
      <w:proofErr w:type="gramStart"/>
      <w:r w:rsidRPr="00CD3935">
        <w:rPr>
          <w:rFonts w:eastAsia="Times New Roman" w:cstheme="minorHAnsi"/>
          <w:color w:val="000000" w:themeColor="text1"/>
          <w:lang w:eastAsia="fr-FR"/>
        </w:rPr>
        <w:t>2021;</w:t>
      </w:r>
      <w:proofErr w:type="gramEnd"/>
      <w:r w:rsidRPr="00CD3935">
        <w:rPr>
          <w:rFonts w:eastAsia="Times New Roman" w:cstheme="minorHAnsi"/>
          <w:color w:val="000000" w:themeColor="text1"/>
          <w:lang w:eastAsia="fr-FR"/>
        </w:rPr>
        <w:t>28(5):2088-2098.</w:t>
      </w:r>
    </w:p>
    <w:p w14:paraId="5F575FC4" w14:textId="77777777" w:rsidR="00CD3935" w:rsidRPr="00CD3935" w:rsidRDefault="00CD3935" w:rsidP="0054247C">
      <w:pPr>
        <w:numPr>
          <w:ilvl w:val="0"/>
          <w:numId w:val="21"/>
        </w:numPr>
        <w:shd w:val="clear" w:color="auto" w:fill="FFFFFF"/>
        <w:spacing w:before="100" w:beforeAutospacing="1"/>
        <w:ind w:left="0"/>
        <w:jc w:val="both"/>
        <w:rPr>
          <w:rFonts w:eastAsia="Times New Roman" w:cstheme="minorHAnsi"/>
          <w:color w:val="000000" w:themeColor="text1"/>
          <w:lang w:eastAsia="fr-FR"/>
        </w:rPr>
      </w:pPr>
      <w:r w:rsidRPr="00CD3935">
        <w:rPr>
          <w:rFonts w:eastAsia="Times New Roman" w:cstheme="minorHAnsi"/>
          <w:color w:val="000000" w:themeColor="text1"/>
          <w:lang w:val="en-US" w:eastAsia="fr-FR"/>
        </w:rPr>
        <w:t xml:space="preserve">San S, </w:t>
      </w:r>
      <w:proofErr w:type="spellStart"/>
      <w:r w:rsidRPr="00CD3935">
        <w:rPr>
          <w:rFonts w:eastAsia="Times New Roman" w:cstheme="minorHAnsi"/>
          <w:color w:val="000000" w:themeColor="text1"/>
          <w:lang w:val="en-US" w:eastAsia="fr-FR"/>
        </w:rPr>
        <w:t>Ravis</w:t>
      </w:r>
      <w:proofErr w:type="spellEnd"/>
      <w:r w:rsidRPr="00CD3935">
        <w:rPr>
          <w:rFonts w:eastAsia="Times New Roman" w:cstheme="minorHAnsi"/>
          <w:color w:val="000000" w:themeColor="text1"/>
          <w:lang w:val="en-US" w:eastAsia="fr-FR"/>
        </w:rPr>
        <w:t xml:space="preserve"> E, </w:t>
      </w:r>
      <w:proofErr w:type="spellStart"/>
      <w:r w:rsidRPr="00CD3935">
        <w:rPr>
          <w:rFonts w:eastAsia="Times New Roman" w:cstheme="minorHAnsi"/>
          <w:color w:val="000000" w:themeColor="text1"/>
          <w:lang w:val="en-US" w:eastAsia="fr-FR"/>
        </w:rPr>
        <w:t>Tessonier</w:t>
      </w:r>
      <w:proofErr w:type="spellEnd"/>
      <w:r w:rsidRPr="00CD3935">
        <w:rPr>
          <w:rFonts w:eastAsia="Times New Roman" w:cstheme="minorHAnsi"/>
          <w:color w:val="000000" w:themeColor="text1"/>
          <w:lang w:val="en-US" w:eastAsia="fr-FR"/>
        </w:rPr>
        <w:t xml:space="preserve"> L, et al. Prognostic value of 18F-FDG PET/CT in patients with infective endocarditis. </w:t>
      </w:r>
      <w:r w:rsidRPr="00CD3935">
        <w:rPr>
          <w:rFonts w:eastAsia="Times New Roman" w:cstheme="minorHAnsi"/>
          <w:i/>
          <w:iCs/>
          <w:color w:val="000000" w:themeColor="text1"/>
          <w:lang w:eastAsia="fr-FR"/>
        </w:rPr>
        <w:t xml:space="preserve">J Am Coll </w:t>
      </w:r>
      <w:proofErr w:type="spellStart"/>
      <w:r w:rsidRPr="00CD3935">
        <w:rPr>
          <w:rFonts w:eastAsia="Times New Roman" w:cstheme="minorHAnsi"/>
          <w:i/>
          <w:iCs/>
          <w:color w:val="000000" w:themeColor="text1"/>
          <w:lang w:eastAsia="fr-FR"/>
        </w:rPr>
        <w:t>Cardiol</w:t>
      </w:r>
      <w:proofErr w:type="spellEnd"/>
      <w:r w:rsidRPr="00CD3935">
        <w:rPr>
          <w:rFonts w:eastAsia="Times New Roman" w:cstheme="minorHAnsi"/>
          <w:color w:val="000000" w:themeColor="text1"/>
          <w:lang w:eastAsia="fr-FR"/>
        </w:rPr>
        <w:t xml:space="preserve">. </w:t>
      </w:r>
      <w:proofErr w:type="gramStart"/>
      <w:r w:rsidRPr="00CD3935">
        <w:rPr>
          <w:rFonts w:eastAsia="Times New Roman" w:cstheme="minorHAnsi"/>
          <w:color w:val="000000" w:themeColor="text1"/>
          <w:lang w:eastAsia="fr-FR"/>
        </w:rPr>
        <w:t>2019;</w:t>
      </w:r>
      <w:proofErr w:type="gramEnd"/>
      <w:r w:rsidRPr="00CD3935">
        <w:rPr>
          <w:rFonts w:eastAsia="Times New Roman" w:cstheme="minorHAnsi"/>
          <w:color w:val="000000" w:themeColor="text1"/>
          <w:lang w:eastAsia="fr-FR"/>
        </w:rPr>
        <w:t>74(8):1031-1040.</w:t>
      </w:r>
    </w:p>
    <w:p w14:paraId="3601B8F9" w14:textId="77777777" w:rsidR="00CD3935" w:rsidRPr="00CD3935" w:rsidRDefault="00CD3935" w:rsidP="0054247C">
      <w:pPr>
        <w:numPr>
          <w:ilvl w:val="0"/>
          <w:numId w:val="21"/>
        </w:numPr>
        <w:shd w:val="clear" w:color="auto" w:fill="FFFFFF"/>
        <w:spacing w:before="100" w:beforeAutospacing="1"/>
        <w:ind w:left="0"/>
        <w:jc w:val="both"/>
        <w:rPr>
          <w:rFonts w:eastAsia="Times New Roman" w:cstheme="minorHAnsi"/>
          <w:color w:val="000000" w:themeColor="text1"/>
          <w:lang w:eastAsia="fr-FR"/>
        </w:rPr>
      </w:pPr>
      <w:proofErr w:type="spellStart"/>
      <w:r w:rsidRPr="00CD3935">
        <w:rPr>
          <w:rFonts w:eastAsia="Times New Roman" w:cstheme="minorHAnsi"/>
          <w:color w:val="000000" w:themeColor="text1"/>
          <w:lang w:val="en-US" w:eastAsia="fr-FR"/>
        </w:rPr>
        <w:t>Orvin</w:t>
      </w:r>
      <w:proofErr w:type="spellEnd"/>
      <w:r w:rsidRPr="00CD3935">
        <w:rPr>
          <w:rFonts w:eastAsia="Times New Roman" w:cstheme="minorHAnsi"/>
          <w:color w:val="000000" w:themeColor="text1"/>
          <w:lang w:val="en-US" w:eastAsia="fr-FR"/>
        </w:rPr>
        <w:t xml:space="preserve"> K, Goldberg E, </w:t>
      </w:r>
      <w:proofErr w:type="spellStart"/>
      <w:r w:rsidRPr="00CD3935">
        <w:rPr>
          <w:rFonts w:eastAsia="Times New Roman" w:cstheme="minorHAnsi"/>
          <w:color w:val="000000" w:themeColor="text1"/>
          <w:lang w:val="en-US" w:eastAsia="fr-FR"/>
        </w:rPr>
        <w:t>Bernstine</w:t>
      </w:r>
      <w:proofErr w:type="spellEnd"/>
      <w:r w:rsidRPr="00CD3935">
        <w:rPr>
          <w:rFonts w:eastAsia="Times New Roman" w:cstheme="minorHAnsi"/>
          <w:color w:val="000000" w:themeColor="text1"/>
          <w:lang w:val="en-US" w:eastAsia="fr-FR"/>
        </w:rPr>
        <w:t xml:space="preserve"> H, et al. The role of FDG-PET/CT imaging in the diagnosis of infective endocarditis: A contemporary review and clinical impact analysis. </w:t>
      </w:r>
      <w:proofErr w:type="spellStart"/>
      <w:r w:rsidRPr="00CD3935">
        <w:rPr>
          <w:rFonts w:eastAsia="Times New Roman" w:cstheme="minorHAnsi"/>
          <w:i/>
          <w:iCs/>
          <w:color w:val="000000" w:themeColor="text1"/>
          <w:lang w:eastAsia="fr-FR"/>
        </w:rPr>
        <w:t>Isr</w:t>
      </w:r>
      <w:proofErr w:type="spellEnd"/>
      <w:r w:rsidRPr="00CD3935">
        <w:rPr>
          <w:rFonts w:eastAsia="Times New Roman" w:cstheme="minorHAnsi"/>
          <w:i/>
          <w:iCs/>
          <w:color w:val="000000" w:themeColor="text1"/>
          <w:lang w:eastAsia="fr-FR"/>
        </w:rPr>
        <w:t xml:space="preserve"> Med Assoc J</w:t>
      </w:r>
      <w:r w:rsidRPr="00CD3935">
        <w:rPr>
          <w:rFonts w:eastAsia="Times New Roman" w:cstheme="minorHAnsi"/>
          <w:color w:val="000000" w:themeColor="text1"/>
          <w:lang w:eastAsia="fr-FR"/>
        </w:rPr>
        <w:t xml:space="preserve">. </w:t>
      </w:r>
      <w:proofErr w:type="gramStart"/>
      <w:r w:rsidRPr="00CD3935">
        <w:rPr>
          <w:rFonts w:eastAsia="Times New Roman" w:cstheme="minorHAnsi"/>
          <w:color w:val="000000" w:themeColor="text1"/>
          <w:lang w:eastAsia="fr-FR"/>
        </w:rPr>
        <w:t>2020;</w:t>
      </w:r>
      <w:proofErr w:type="gramEnd"/>
      <w:r w:rsidRPr="00CD3935">
        <w:rPr>
          <w:rFonts w:eastAsia="Times New Roman" w:cstheme="minorHAnsi"/>
          <w:color w:val="000000" w:themeColor="text1"/>
          <w:lang w:eastAsia="fr-FR"/>
        </w:rPr>
        <w:t>22(7):431-436.</w:t>
      </w:r>
    </w:p>
    <w:p w14:paraId="3B77F395" w14:textId="77777777" w:rsidR="00AA5A39" w:rsidRDefault="00AA5A39" w:rsidP="005213C6">
      <w:pPr>
        <w:shd w:val="clear" w:color="auto" w:fill="FFFFFF"/>
        <w:spacing w:before="480" w:after="240"/>
        <w:jc w:val="both"/>
        <w:outlineLvl w:val="2"/>
        <w:rPr>
          <w:rFonts w:eastAsia="Times New Roman" w:cstheme="minorHAnsi"/>
          <w:b/>
          <w:bCs/>
          <w:color w:val="000000" w:themeColor="text1"/>
          <w:lang w:eastAsia="fr-FR"/>
        </w:rPr>
      </w:pPr>
    </w:p>
    <w:p w14:paraId="3D6FB1EE" w14:textId="77777777" w:rsidR="00AA5A39" w:rsidRDefault="00AA5A39" w:rsidP="005213C6">
      <w:pPr>
        <w:shd w:val="clear" w:color="auto" w:fill="FFFFFF"/>
        <w:spacing w:before="480" w:after="240"/>
        <w:jc w:val="both"/>
        <w:outlineLvl w:val="2"/>
        <w:rPr>
          <w:rFonts w:eastAsia="Times New Roman" w:cstheme="minorHAnsi"/>
          <w:b/>
          <w:bCs/>
          <w:color w:val="000000" w:themeColor="text1"/>
          <w:lang w:eastAsia="fr-FR"/>
        </w:rPr>
      </w:pPr>
    </w:p>
    <w:p w14:paraId="2F7A4D24" w14:textId="77777777" w:rsidR="00F01C05" w:rsidRPr="00CD3935" w:rsidRDefault="00F01C05" w:rsidP="00F01C05">
      <w:pPr>
        <w:shd w:val="clear" w:color="auto" w:fill="FFFFFF"/>
        <w:spacing w:before="480" w:after="240"/>
        <w:jc w:val="both"/>
        <w:outlineLvl w:val="2"/>
        <w:rPr>
          <w:rFonts w:eastAsia="Times New Roman" w:cstheme="minorHAnsi"/>
          <w:b/>
          <w:bCs/>
          <w:color w:val="000000" w:themeColor="text1"/>
          <w:lang w:val="en-US" w:eastAsia="fr-FR"/>
        </w:rPr>
      </w:pPr>
      <w:r w:rsidRPr="00CD3935">
        <w:rPr>
          <w:rFonts w:eastAsia="Times New Roman" w:cstheme="minorHAnsi"/>
          <w:b/>
          <w:bCs/>
          <w:color w:val="000000" w:themeColor="text1"/>
          <w:lang w:val="en-US" w:eastAsia="fr-FR"/>
        </w:rPr>
        <w:t>List of Abbreviations</w:t>
      </w:r>
    </w:p>
    <w:p w14:paraId="01EE2544" w14:textId="77777777" w:rsidR="00F01C05" w:rsidRPr="00CD3935" w:rsidRDefault="00F01C05" w:rsidP="00F01C05">
      <w:pPr>
        <w:shd w:val="clear" w:color="auto" w:fill="FFFFFF"/>
        <w:spacing w:before="240" w:after="240"/>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IE: Infective Endocarditis</w:t>
      </w:r>
      <w:r w:rsidRPr="00CD3935">
        <w:rPr>
          <w:rFonts w:eastAsia="Times New Roman" w:cstheme="minorHAnsi"/>
          <w:color w:val="000000" w:themeColor="text1"/>
          <w:lang w:val="en-US" w:eastAsia="fr-FR"/>
        </w:rPr>
        <w:br/>
        <w:t>18F-FDG: 18F-Fluorodeoxyglucose</w:t>
      </w:r>
      <w:r w:rsidRPr="00CD3935">
        <w:rPr>
          <w:rFonts w:eastAsia="Times New Roman" w:cstheme="minorHAnsi"/>
          <w:color w:val="000000" w:themeColor="text1"/>
          <w:lang w:val="en-US" w:eastAsia="fr-FR"/>
        </w:rPr>
        <w:br/>
        <w:t>PET/CT: Positron Emission Tomography/Computed Tomography</w:t>
      </w:r>
      <w:r w:rsidRPr="00CD3935">
        <w:rPr>
          <w:rFonts w:eastAsia="Times New Roman" w:cstheme="minorHAnsi"/>
          <w:color w:val="000000" w:themeColor="text1"/>
          <w:lang w:val="en-US" w:eastAsia="fr-FR"/>
        </w:rPr>
        <w:br/>
        <w:t>ESC: European Society of Cardiology</w:t>
      </w:r>
      <w:r w:rsidRPr="00CD3935">
        <w:rPr>
          <w:rFonts w:eastAsia="Times New Roman" w:cstheme="minorHAnsi"/>
          <w:color w:val="000000" w:themeColor="text1"/>
          <w:lang w:val="en-US" w:eastAsia="fr-FR"/>
        </w:rPr>
        <w:br/>
        <w:t>CIED: Cardiac Implantable Electronic Device</w:t>
      </w:r>
      <w:r w:rsidRPr="00CD3935">
        <w:rPr>
          <w:rFonts w:eastAsia="Times New Roman" w:cstheme="minorHAnsi"/>
          <w:color w:val="000000" w:themeColor="text1"/>
          <w:lang w:val="en-US" w:eastAsia="fr-FR"/>
        </w:rPr>
        <w:br/>
        <w:t>PVE: Prosthetic Valve Endocarditis</w:t>
      </w:r>
      <w:r w:rsidRPr="00CD3935">
        <w:rPr>
          <w:rFonts w:eastAsia="Times New Roman" w:cstheme="minorHAnsi"/>
          <w:color w:val="000000" w:themeColor="text1"/>
          <w:lang w:val="en-US" w:eastAsia="fr-FR"/>
        </w:rPr>
        <w:br/>
        <w:t>NVE: Native Valve Endocarditis</w:t>
      </w:r>
      <w:r w:rsidRPr="00CD3935">
        <w:rPr>
          <w:rFonts w:eastAsia="Times New Roman" w:cstheme="minorHAnsi"/>
          <w:color w:val="000000" w:themeColor="text1"/>
          <w:lang w:val="en-US" w:eastAsia="fr-FR"/>
        </w:rPr>
        <w:br/>
        <w:t>BCNE: Blood Culture-Negative Endocarditis</w:t>
      </w:r>
      <w:r w:rsidRPr="00CD3935">
        <w:rPr>
          <w:rFonts w:eastAsia="Times New Roman" w:cstheme="minorHAnsi"/>
          <w:color w:val="000000" w:themeColor="text1"/>
          <w:lang w:val="en-US" w:eastAsia="fr-FR"/>
        </w:rPr>
        <w:br/>
        <w:t>TTE: Transthoracic Echocardiography</w:t>
      </w:r>
      <w:r w:rsidRPr="00CD3935">
        <w:rPr>
          <w:rFonts w:eastAsia="Times New Roman" w:cstheme="minorHAnsi"/>
          <w:color w:val="000000" w:themeColor="text1"/>
          <w:lang w:val="en-US" w:eastAsia="fr-FR"/>
        </w:rPr>
        <w:br/>
      </w:r>
      <w:r w:rsidRPr="00CD3935">
        <w:rPr>
          <w:rFonts w:eastAsia="Times New Roman" w:cstheme="minorHAnsi"/>
          <w:color w:val="000000" w:themeColor="text1"/>
          <w:lang w:val="en-US" w:eastAsia="fr-FR"/>
        </w:rPr>
        <w:lastRenderedPageBreak/>
        <w:t>TEE: Transesophageal Echocardiography</w:t>
      </w:r>
      <w:r w:rsidRPr="00CD3935">
        <w:rPr>
          <w:rFonts w:eastAsia="Times New Roman" w:cstheme="minorHAnsi"/>
          <w:color w:val="000000" w:themeColor="text1"/>
          <w:lang w:val="en-US" w:eastAsia="fr-FR"/>
        </w:rPr>
        <w:br/>
      </w:r>
      <w:proofErr w:type="spellStart"/>
      <w:r w:rsidRPr="00CD3935">
        <w:rPr>
          <w:rFonts w:eastAsia="Times New Roman" w:cstheme="minorHAnsi"/>
          <w:color w:val="000000" w:themeColor="text1"/>
          <w:lang w:val="en-US" w:eastAsia="fr-FR"/>
        </w:rPr>
        <w:t>SUVmax</w:t>
      </w:r>
      <w:proofErr w:type="spellEnd"/>
      <w:r w:rsidRPr="00CD3935">
        <w:rPr>
          <w:rFonts w:eastAsia="Times New Roman" w:cstheme="minorHAnsi"/>
          <w:color w:val="000000" w:themeColor="text1"/>
          <w:lang w:val="en-US" w:eastAsia="fr-FR"/>
        </w:rPr>
        <w:t>: Maximum Standardized Uptake Value</w:t>
      </w:r>
      <w:r w:rsidRPr="00CD3935">
        <w:rPr>
          <w:rFonts w:eastAsia="Times New Roman" w:cstheme="minorHAnsi"/>
          <w:color w:val="000000" w:themeColor="text1"/>
          <w:lang w:val="en-US" w:eastAsia="fr-FR"/>
        </w:rPr>
        <w:br/>
      </w:r>
      <w:proofErr w:type="spellStart"/>
      <w:r w:rsidRPr="00CD3935">
        <w:rPr>
          <w:rFonts w:eastAsia="Times New Roman" w:cstheme="minorHAnsi"/>
          <w:color w:val="000000" w:themeColor="text1"/>
          <w:lang w:val="en-US" w:eastAsia="fr-FR"/>
        </w:rPr>
        <w:t>SUVmean</w:t>
      </w:r>
      <w:proofErr w:type="spellEnd"/>
      <w:r w:rsidRPr="00CD3935">
        <w:rPr>
          <w:rFonts w:eastAsia="Times New Roman" w:cstheme="minorHAnsi"/>
          <w:color w:val="000000" w:themeColor="text1"/>
          <w:lang w:val="en-US" w:eastAsia="fr-FR"/>
        </w:rPr>
        <w:t>: Mean Standardized Uptake Value</w:t>
      </w:r>
      <w:r w:rsidRPr="00CD3935">
        <w:rPr>
          <w:rFonts w:eastAsia="Times New Roman" w:cstheme="minorHAnsi"/>
          <w:color w:val="000000" w:themeColor="text1"/>
          <w:lang w:val="en-US" w:eastAsia="fr-FR"/>
        </w:rPr>
        <w:br/>
        <w:t>TBR: Target-to-Background Ratio</w:t>
      </w:r>
      <w:r w:rsidRPr="00CD3935">
        <w:rPr>
          <w:rFonts w:eastAsia="Times New Roman" w:cstheme="minorHAnsi"/>
          <w:color w:val="000000" w:themeColor="text1"/>
          <w:lang w:val="en-US" w:eastAsia="fr-FR"/>
        </w:rPr>
        <w:br/>
        <w:t>CI: Confidence Interval</w:t>
      </w:r>
      <w:r w:rsidRPr="00CD3935">
        <w:rPr>
          <w:rFonts w:eastAsia="Times New Roman" w:cstheme="minorHAnsi"/>
          <w:color w:val="000000" w:themeColor="text1"/>
          <w:lang w:val="en-US" w:eastAsia="fr-FR"/>
        </w:rPr>
        <w:br/>
        <w:t>PPV: Positive Predictive Value</w:t>
      </w:r>
      <w:r w:rsidRPr="00CD3935">
        <w:rPr>
          <w:rFonts w:eastAsia="Times New Roman" w:cstheme="minorHAnsi"/>
          <w:color w:val="000000" w:themeColor="text1"/>
          <w:lang w:val="en-US" w:eastAsia="fr-FR"/>
        </w:rPr>
        <w:br/>
        <w:t>NPV: Negative Predictive Value</w:t>
      </w:r>
    </w:p>
    <w:p w14:paraId="6DC6CA23" w14:textId="77777777" w:rsidR="00AA5A39" w:rsidRDefault="00AA5A39" w:rsidP="005213C6">
      <w:pPr>
        <w:shd w:val="clear" w:color="auto" w:fill="FFFFFF"/>
        <w:spacing w:before="480" w:after="240"/>
        <w:jc w:val="both"/>
        <w:outlineLvl w:val="2"/>
        <w:rPr>
          <w:rFonts w:eastAsia="Times New Roman" w:cstheme="minorHAnsi"/>
          <w:b/>
          <w:bCs/>
          <w:color w:val="000000" w:themeColor="text1"/>
          <w:lang w:eastAsia="fr-FR"/>
        </w:rPr>
      </w:pPr>
    </w:p>
    <w:p w14:paraId="4F246120" w14:textId="77777777" w:rsidR="00AA5A39" w:rsidRDefault="00AA5A39" w:rsidP="005213C6">
      <w:pPr>
        <w:shd w:val="clear" w:color="auto" w:fill="FFFFFF"/>
        <w:spacing w:before="480" w:after="240"/>
        <w:jc w:val="both"/>
        <w:outlineLvl w:val="2"/>
        <w:rPr>
          <w:rFonts w:eastAsia="Times New Roman" w:cstheme="minorHAnsi"/>
          <w:b/>
          <w:bCs/>
          <w:color w:val="000000" w:themeColor="text1"/>
          <w:lang w:eastAsia="fr-FR"/>
        </w:rPr>
      </w:pPr>
    </w:p>
    <w:p w14:paraId="1F4EC197" w14:textId="7E4599A6" w:rsidR="00761CE9" w:rsidRDefault="00AA5A39" w:rsidP="005213C6">
      <w:pPr>
        <w:shd w:val="clear" w:color="auto" w:fill="FFFFFF"/>
        <w:spacing w:before="480" w:after="240"/>
        <w:jc w:val="both"/>
        <w:outlineLvl w:val="2"/>
        <w:rPr>
          <w:rFonts w:eastAsia="Times New Roman" w:cstheme="minorHAnsi"/>
          <w:b/>
          <w:bCs/>
          <w:color w:val="000000" w:themeColor="text1"/>
          <w:lang w:eastAsia="fr-FR"/>
        </w:rPr>
      </w:pPr>
      <w:r>
        <w:rPr>
          <w:rFonts w:eastAsia="Times New Roman" w:cstheme="minorHAnsi"/>
          <w:b/>
          <w:bCs/>
          <w:color w:val="000000" w:themeColor="text1"/>
          <w:lang w:eastAsia="fr-FR"/>
        </w:rPr>
        <w:t xml:space="preserve">Figures </w:t>
      </w:r>
    </w:p>
    <w:p w14:paraId="2524EB55" w14:textId="77777777" w:rsidR="00AA5A39" w:rsidRPr="00A332D9" w:rsidRDefault="00AA5A39" w:rsidP="00AA5A39">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b/>
          <w:bCs/>
          <w:color w:val="000000" w:themeColor="text1"/>
          <w:lang w:val="en-US" w:eastAsia="fr-FR"/>
        </w:rPr>
        <w:t>Figure 1</w:t>
      </w:r>
      <w:r w:rsidRPr="00CD3935">
        <w:rPr>
          <w:rFonts w:eastAsia="Times New Roman" w:cstheme="minorHAnsi"/>
          <w:color w:val="000000" w:themeColor="text1"/>
          <w:lang w:val="en-US" w:eastAsia="fr-FR"/>
        </w:rPr>
        <w:t> illustrates the patient selection process in a flow diagram.</w:t>
      </w:r>
    </w:p>
    <w:p w14:paraId="1464F426" w14:textId="77777777" w:rsidR="00AA5A39" w:rsidRPr="00CD3935" w:rsidRDefault="00AA5A39" w:rsidP="00AA5A39">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b/>
          <w:bCs/>
          <w:color w:val="000000" w:themeColor="text1"/>
          <w:lang w:val="en-US" w:eastAsia="fr-FR"/>
        </w:rPr>
        <w:t>Figure 1: Patient Selection Flow Diagram</w:t>
      </w:r>
    </w:p>
    <w:p w14:paraId="7FF7083A" w14:textId="77777777" w:rsidR="00AA5A39" w:rsidRPr="00CD3935" w:rsidRDefault="00AA5A39" w:rsidP="00AA5A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 xml:space="preserve">                    Initial Database (2020-2025)</w:t>
      </w:r>
    </w:p>
    <w:p w14:paraId="4303A2A4" w14:textId="77777777" w:rsidR="00AA5A39" w:rsidRPr="00CD3935" w:rsidRDefault="00AA5A39" w:rsidP="00AA5A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 xml:space="preserve">                    Patients with PET/CT for suspected IE</w:t>
      </w:r>
    </w:p>
    <w:p w14:paraId="7D8333EF" w14:textId="77777777" w:rsidR="00AA5A39" w:rsidRPr="00CD3935" w:rsidRDefault="00AA5A39" w:rsidP="00AA5A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 xml:space="preserve">                              (n = 37)</w:t>
      </w:r>
    </w:p>
    <w:p w14:paraId="2D6C472B" w14:textId="77777777" w:rsidR="00AA5A39" w:rsidRPr="00CD3935" w:rsidRDefault="00AA5A39" w:rsidP="00AA5A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 xml:space="preserve">                                  | Excluded (n = 12)</w:t>
      </w:r>
    </w:p>
    <w:p w14:paraId="2DF31377" w14:textId="77777777" w:rsidR="00AA5A39" w:rsidRPr="00CD3935" w:rsidRDefault="00AA5A39" w:rsidP="00AA5A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 xml:space="preserve">                                  | - Definitive IE by Duke criteria (n = 8)</w:t>
      </w:r>
    </w:p>
    <w:p w14:paraId="613E83B6" w14:textId="77777777" w:rsidR="00AA5A39" w:rsidRPr="00CD3935" w:rsidRDefault="00AA5A39" w:rsidP="00AA5A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 xml:space="preserve">                                  | - Incomplete data (n = 4)</w:t>
      </w:r>
    </w:p>
    <w:p w14:paraId="364FC1E6" w14:textId="77777777" w:rsidR="00AA5A39" w:rsidRPr="00CD3935" w:rsidRDefault="00AA5A39" w:rsidP="00AA5A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 xml:space="preserve">                    Eligible Patients (n = 25)</w:t>
      </w:r>
    </w:p>
    <w:p w14:paraId="2CCE53CC" w14:textId="77777777" w:rsidR="00AA5A39" w:rsidRPr="00CD3935" w:rsidRDefault="00AA5A39" w:rsidP="00AA5A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 xml:space="preserve">                                  | Excluded (n = 4)</w:t>
      </w:r>
    </w:p>
    <w:p w14:paraId="02717847" w14:textId="77777777" w:rsidR="00AA5A39" w:rsidRPr="00CD3935" w:rsidRDefault="00AA5A39" w:rsidP="00AA5A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 xml:space="preserve">                                  | - Follow-up &lt; 3 months (n = 4)</w:t>
      </w:r>
    </w:p>
    <w:p w14:paraId="561FF3FD" w14:textId="77777777" w:rsidR="00AA5A39" w:rsidRPr="00CD3935" w:rsidRDefault="00AA5A39" w:rsidP="00AA5A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 xml:space="preserve">              Final Study Population (n = 21 scans in 18 patients)</w:t>
      </w:r>
    </w:p>
    <w:p w14:paraId="22E01398" w14:textId="77777777" w:rsidR="00AA5A39" w:rsidRPr="00CD3935" w:rsidRDefault="00AA5A39" w:rsidP="00AA5A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 xml:space="preserve">                    /                  </w:t>
      </w:r>
      <w:r>
        <w:rPr>
          <w:rFonts w:eastAsia="Times New Roman" w:cstheme="minorHAnsi"/>
          <w:color w:val="000000" w:themeColor="text1"/>
          <w:lang w:val="en-US" w:eastAsia="fr-FR"/>
        </w:rPr>
        <w:t xml:space="preserve">                  </w:t>
      </w:r>
      <w:r w:rsidRPr="00CD3935">
        <w:rPr>
          <w:rFonts w:eastAsia="Times New Roman" w:cstheme="minorHAnsi"/>
          <w:color w:val="000000" w:themeColor="text1"/>
          <w:lang w:val="en-US" w:eastAsia="fr-FR"/>
        </w:rPr>
        <w:t xml:space="preserve">|                  </w:t>
      </w:r>
      <w:r>
        <w:rPr>
          <w:rFonts w:eastAsia="Times New Roman" w:cstheme="minorHAnsi"/>
          <w:color w:val="000000" w:themeColor="text1"/>
          <w:lang w:val="en-US" w:eastAsia="fr-FR"/>
        </w:rPr>
        <w:t xml:space="preserve">                 </w:t>
      </w:r>
      <w:r w:rsidRPr="00CD3935">
        <w:rPr>
          <w:rFonts w:eastAsia="Times New Roman" w:cstheme="minorHAnsi"/>
          <w:color w:val="000000" w:themeColor="text1"/>
          <w:lang w:val="en-US" w:eastAsia="fr-FR"/>
        </w:rPr>
        <w:t>\</w:t>
      </w:r>
    </w:p>
    <w:p w14:paraId="095C812B" w14:textId="77777777" w:rsidR="00AA5A39" w:rsidRPr="00CD3935" w:rsidRDefault="00AA5A39" w:rsidP="00AA5A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 xml:space="preserve">          Prosthetic Material    Cardiac Devices      Native Valves</w:t>
      </w:r>
    </w:p>
    <w:p w14:paraId="3CD40505" w14:textId="41AEF126" w:rsidR="00AA5A39" w:rsidRDefault="00AA5A39" w:rsidP="00AA5A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eastAsia="Times New Roman" w:cstheme="minorHAnsi"/>
          <w:color w:val="000000" w:themeColor="text1"/>
          <w:lang w:eastAsia="fr-FR"/>
        </w:rPr>
      </w:pPr>
      <w:r w:rsidRPr="00AA5A39">
        <w:rPr>
          <w:rFonts w:eastAsia="Times New Roman" w:cstheme="minorHAnsi"/>
          <w:color w:val="000000" w:themeColor="text1"/>
          <w:lang w:val="en-US" w:eastAsia="fr-FR"/>
        </w:rPr>
        <w:t xml:space="preserve">              </w:t>
      </w:r>
      <w:r w:rsidRPr="00CD3935">
        <w:rPr>
          <w:rFonts w:eastAsia="Times New Roman" w:cstheme="minorHAnsi"/>
          <w:color w:val="000000" w:themeColor="text1"/>
          <w:lang w:eastAsia="fr-FR"/>
        </w:rPr>
        <w:t>(</w:t>
      </w:r>
      <w:proofErr w:type="gramStart"/>
      <w:r w:rsidRPr="00CD3935">
        <w:rPr>
          <w:rFonts w:eastAsia="Times New Roman" w:cstheme="minorHAnsi"/>
          <w:color w:val="000000" w:themeColor="text1"/>
          <w:lang w:eastAsia="fr-FR"/>
        </w:rPr>
        <w:t>n</w:t>
      </w:r>
      <w:proofErr w:type="gramEnd"/>
      <w:r w:rsidRPr="00CD3935">
        <w:rPr>
          <w:rFonts w:eastAsia="Times New Roman" w:cstheme="minorHAnsi"/>
          <w:color w:val="000000" w:themeColor="text1"/>
          <w:lang w:eastAsia="fr-FR"/>
        </w:rPr>
        <w:t xml:space="preserve"> = 12 scans)       </w:t>
      </w:r>
      <w:r>
        <w:rPr>
          <w:rFonts w:eastAsia="Times New Roman" w:cstheme="minorHAnsi"/>
          <w:color w:val="000000" w:themeColor="text1"/>
          <w:lang w:eastAsia="fr-FR"/>
        </w:rPr>
        <w:t xml:space="preserve">  </w:t>
      </w:r>
      <w:r w:rsidRPr="00CD3935">
        <w:rPr>
          <w:rFonts w:eastAsia="Times New Roman" w:cstheme="minorHAnsi"/>
          <w:color w:val="000000" w:themeColor="text1"/>
          <w:lang w:eastAsia="fr-FR"/>
        </w:rPr>
        <w:t xml:space="preserve">(n = 3 scans)       </w:t>
      </w:r>
      <w:r>
        <w:rPr>
          <w:rFonts w:eastAsia="Times New Roman" w:cstheme="minorHAnsi"/>
          <w:color w:val="000000" w:themeColor="text1"/>
          <w:lang w:eastAsia="fr-FR"/>
        </w:rPr>
        <w:t xml:space="preserve">      </w:t>
      </w:r>
      <w:r w:rsidRPr="00CD3935">
        <w:rPr>
          <w:rFonts w:eastAsia="Times New Roman" w:cstheme="minorHAnsi"/>
          <w:color w:val="000000" w:themeColor="text1"/>
          <w:lang w:eastAsia="fr-FR"/>
        </w:rPr>
        <w:t>(n = 6 scans)</w:t>
      </w:r>
    </w:p>
    <w:p w14:paraId="6F66278D" w14:textId="3D0849E1" w:rsidR="00AA5A39" w:rsidRDefault="00AA5A39" w:rsidP="00AA5A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eastAsia="Times New Roman" w:cstheme="minorHAnsi"/>
          <w:color w:val="000000" w:themeColor="text1"/>
          <w:lang w:eastAsia="fr-FR"/>
        </w:rPr>
      </w:pPr>
    </w:p>
    <w:p w14:paraId="020707BF" w14:textId="62C0D70B" w:rsidR="00AA5A39" w:rsidRDefault="00AA5A39" w:rsidP="00AA5A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eastAsia="Times New Roman" w:cstheme="minorHAnsi"/>
          <w:color w:val="000000" w:themeColor="text1"/>
          <w:lang w:eastAsia="fr-FR"/>
        </w:rPr>
      </w:pPr>
    </w:p>
    <w:p w14:paraId="1B06A4BB" w14:textId="68EA5B58" w:rsidR="00AA5A39" w:rsidRDefault="00AA5A39" w:rsidP="00AA5A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eastAsia="Times New Roman" w:cstheme="minorHAnsi"/>
          <w:color w:val="000000" w:themeColor="text1"/>
          <w:lang w:eastAsia="fr-FR"/>
        </w:rPr>
      </w:pPr>
    </w:p>
    <w:p w14:paraId="01BF2EC4" w14:textId="1E71C8FB" w:rsidR="00AA5A39" w:rsidRDefault="00AA5A39" w:rsidP="00AA5A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eastAsia="Times New Roman" w:cstheme="minorHAnsi"/>
          <w:color w:val="000000" w:themeColor="text1"/>
          <w:lang w:eastAsia="fr-FR"/>
        </w:rPr>
      </w:pPr>
    </w:p>
    <w:p w14:paraId="0E380C5F" w14:textId="173F520F" w:rsidR="00AA5A39" w:rsidRDefault="00AA5A39" w:rsidP="00AA5A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eastAsia="Times New Roman" w:cstheme="minorHAnsi"/>
          <w:color w:val="000000" w:themeColor="text1"/>
          <w:lang w:eastAsia="fr-FR"/>
        </w:rPr>
      </w:pPr>
    </w:p>
    <w:p w14:paraId="733BD01B" w14:textId="58AB80A9" w:rsidR="00AA5A39" w:rsidRDefault="00AA5A39" w:rsidP="00AA5A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eastAsia="Times New Roman" w:cstheme="minorHAnsi"/>
          <w:color w:val="000000" w:themeColor="text1"/>
          <w:lang w:eastAsia="fr-FR"/>
        </w:rPr>
      </w:pPr>
    </w:p>
    <w:p w14:paraId="4673C01E" w14:textId="619E07E0" w:rsidR="00AA5A39" w:rsidRDefault="00AA5A39" w:rsidP="00AA5A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eastAsia="Times New Roman" w:cstheme="minorHAnsi"/>
          <w:color w:val="000000" w:themeColor="text1"/>
          <w:lang w:eastAsia="fr-FR"/>
        </w:rPr>
      </w:pPr>
    </w:p>
    <w:p w14:paraId="06A1196F" w14:textId="6D5970DE" w:rsidR="00AA5A39" w:rsidRDefault="00AA5A39" w:rsidP="00AA5A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eastAsia="Times New Roman" w:cstheme="minorHAnsi"/>
          <w:color w:val="000000" w:themeColor="text1"/>
          <w:lang w:eastAsia="fr-FR"/>
        </w:rPr>
      </w:pPr>
    </w:p>
    <w:p w14:paraId="1B4BE1AC" w14:textId="491D420D" w:rsidR="00AA5A39" w:rsidRDefault="00AA5A39" w:rsidP="00AA5A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eastAsia="Times New Roman" w:cstheme="minorHAnsi"/>
          <w:color w:val="000000" w:themeColor="text1"/>
          <w:lang w:eastAsia="fr-FR"/>
        </w:rPr>
      </w:pPr>
    </w:p>
    <w:p w14:paraId="027BB9E7" w14:textId="5F9789D7" w:rsidR="00AA5A39" w:rsidRDefault="00AA5A39" w:rsidP="00AA5A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eastAsia="Times New Roman" w:cstheme="minorHAnsi"/>
          <w:color w:val="000000" w:themeColor="text1"/>
          <w:lang w:eastAsia="fr-FR"/>
        </w:rPr>
      </w:pPr>
    </w:p>
    <w:p w14:paraId="538FDC6A" w14:textId="5107C126" w:rsidR="00AA5A39" w:rsidRDefault="00AA5A39" w:rsidP="00AA5A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eastAsia="Times New Roman" w:cstheme="minorHAnsi"/>
          <w:color w:val="000000" w:themeColor="text1"/>
          <w:lang w:eastAsia="fr-FR"/>
        </w:rPr>
      </w:pPr>
    </w:p>
    <w:p w14:paraId="3189A533" w14:textId="08935991" w:rsidR="00AA5A39" w:rsidRDefault="00AA5A39" w:rsidP="00AA5A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eastAsia="Times New Roman" w:cstheme="minorHAnsi"/>
          <w:color w:val="000000" w:themeColor="text1"/>
          <w:lang w:eastAsia="fr-FR"/>
        </w:rPr>
      </w:pPr>
    </w:p>
    <w:p w14:paraId="17DFC075" w14:textId="7DE7057E" w:rsidR="00AA5A39" w:rsidRDefault="00AA5A39" w:rsidP="00AA5A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eastAsia="Times New Roman" w:cstheme="minorHAnsi"/>
          <w:color w:val="000000" w:themeColor="text1"/>
          <w:lang w:eastAsia="fr-FR"/>
        </w:rPr>
      </w:pPr>
    </w:p>
    <w:p w14:paraId="22CAAD6F" w14:textId="546C3C23" w:rsidR="00AA5A39" w:rsidRDefault="00AA5A39" w:rsidP="00AA5A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eastAsia="Times New Roman" w:cstheme="minorHAnsi"/>
          <w:color w:val="000000" w:themeColor="text1"/>
          <w:lang w:eastAsia="fr-FR"/>
        </w:rPr>
      </w:pPr>
    </w:p>
    <w:p w14:paraId="574BE920" w14:textId="163B455F" w:rsidR="00AA5A39" w:rsidRDefault="00AA5A39" w:rsidP="00AA5A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eastAsia="Times New Roman" w:cstheme="minorHAnsi"/>
          <w:color w:val="000000" w:themeColor="text1"/>
          <w:lang w:eastAsia="fr-FR"/>
        </w:rPr>
      </w:pPr>
    </w:p>
    <w:p w14:paraId="7AE111B1" w14:textId="2770BEBF" w:rsidR="00AA5A39" w:rsidRDefault="00AA5A39" w:rsidP="00AA5A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eastAsia="Times New Roman" w:cstheme="minorHAnsi"/>
          <w:color w:val="000000" w:themeColor="text1"/>
          <w:lang w:eastAsia="fr-FR"/>
        </w:rPr>
      </w:pPr>
    </w:p>
    <w:p w14:paraId="2B525A36" w14:textId="115BA5A2" w:rsidR="00AA5A39" w:rsidRDefault="00AA5A39" w:rsidP="00AA5A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eastAsia="Times New Roman" w:cstheme="minorHAnsi"/>
          <w:color w:val="000000" w:themeColor="text1"/>
          <w:lang w:eastAsia="fr-FR"/>
        </w:rPr>
      </w:pPr>
    </w:p>
    <w:p w14:paraId="03EDED6E" w14:textId="59BA4391" w:rsidR="00AA5A39" w:rsidRDefault="00AA5A39" w:rsidP="00AA5A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eastAsia="Times New Roman" w:cstheme="minorHAnsi"/>
          <w:color w:val="000000" w:themeColor="text1"/>
          <w:lang w:eastAsia="fr-FR"/>
        </w:rPr>
      </w:pPr>
    </w:p>
    <w:p w14:paraId="59BEEAC4" w14:textId="0C4139EC" w:rsidR="00AA5A39" w:rsidRDefault="00AA5A39" w:rsidP="00AA5A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eastAsia="Times New Roman" w:cstheme="minorHAnsi"/>
          <w:color w:val="000000" w:themeColor="text1"/>
          <w:lang w:eastAsia="fr-FR"/>
        </w:rPr>
      </w:pPr>
    </w:p>
    <w:p w14:paraId="3D57C89C" w14:textId="6BB7D326" w:rsidR="00AA5A39" w:rsidRDefault="00AA5A39" w:rsidP="00AA5A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eastAsia="Times New Roman" w:cstheme="minorHAnsi"/>
          <w:color w:val="000000" w:themeColor="text1"/>
          <w:lang w:eastAsia="fr-FR"/>
        </w:rPr>
      </w:pPr>
    </w:p>
    <w:p w14:paraId="062C47C7" w14:textId="6BCA5137" w:rsidR="00AA5A39" w:rsidRDefault="00AA5A39" w:rsidP="00AA5A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eastAsia="Times New Roman" w:cstheme="minorHAnsi"/>
          <w:color w:val="000000" w:themeColor="text1"/>
          <w:lang w:eastAsia="fr-FR"/>
        </w:rPr>
      </w:pPr>
    </w:p>
    <w:p w14:paraId="4B9AA676" w14:textId="06F0E3E6" w:rsidR="00AA5A39" w:rsidRDefault="00AA5A39" w:rsidP="00AA5A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eastAsia="Times New Roman" w:cstheme="minorHAnsi"/>
          <w:color w:val="000000" w:themeColor="text1"/>
          <w:lang w:eastAsia="fr-FR"/>
        </w:rPr>
      </w:pPr>
    </w:p>
    <w:p w14:paraId="626398AA" w14:textId="21E48EBF" w:rsidR="00AA5A39" w:rsidRDefault="00AA5A39" w:rsidP="00AA5A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eastAsia="Times New Roman" w:cstheme="minorHAnsi"/>
          <w:color w:val="000000" w:themeColor="text1"/>
          <w:lang w:eastAsia="fr-FR"/>
        </w:rPr>
      </w:pPr>
    </w:p>
    <w:p w14:paraId="5844F8D2" w14:textId="690A7C69" w:rsidR="00AA5A39" w:rsidRDefault="00AA5A39" w:rsidP="00AA5A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eastAsia="Times New Roman" w:cstheme="minorHAnsi"/>
          <w:color w:val="000000" w:themeColor="text1"/>
          <w:lang w:eastAsia="fr-FR"/>
        </w:rPr>
      </w:pPr>
    </w:p>
    <w:p w14:paraId="5253A61B" w14:textId="6E182B1A" w:rsidR="00AA5A39" w:rsidRDefault="00AA5A39" w:rsidP="00AA5A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eastAsia="Times New Roman" w:cstheme="minorHAnsi"/>
          <w:color w:val="000000" w:themeColor="text1"/>
          <w:lang w:eastAsia="fr-FR"/>
        </w:rPr>
      </w:pPr>
    </w:p>
    <w:p w14:paraId="303A87B9" w14:textId="507580AC" w:rsidR="00AA5A39" w:rsidRDefault="00AA5A39" w:rsidP="00AA5A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eastAsia="Times New Roman" w:cstheme="minorHAnsi"/>
          <w:color w:val="000000" w:themeColor="text1"/>
          <w:lang w:eastAsia="fr-FR"/>
        </w:rPr>
      </w:pPr>
    </w:p>
    <w:p w14:paraId="46D636BA" w14:textId="22FE5B28" w:rsidR="00AA5A39" w:rsidRDefault="00AA5A39" w:rsidP="00AA5A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eastAsia="Times New Roman" w:cstheme="minorHAnsi"/>
          <w:color w:val="000000" w:themeColor="text1"/>
          <w:lang w:eastAsia="fr-FR"/>
        </w:rPr>
      </w:pPr>
    </w:p>
    <w:p w14:paraId="12FBE25A" w14:textId="77777777" w:rsidR="00AA5A39" w:rsidRPr="00CD3935" w:rsidRDefault="00AA5A39" w:rsidP="00AA5A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eastAsia="Times New Roman" w:cstheme="minorHAnsi"/>
          <w:color w:val="000000" w:themeColor="text1"/>
          <w:lang w:eastAsia="fr-FR"/>
        </w:rPr>
      </w:pPr>
    </w:p>
    <w:p w14:paraId="238C9794" w14:textId="77777777" w:rsidR="00AA5A39" w:rsidRPr="00CD3935" w:rsidRDefault="00AA5A39" w:rsidP="00AA5A39">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b/>
          <w:bCs/>
          <w:color w:val="000000" w:themeColor="text1"/>
          <w:lang w:val="en-US" w:eastAsia="fr-FR"/>
        </w:rPr>
        <w:t>Table 1: Clinical Characteristics of the Study Population (21 scans in 18 patients)</w:t>
      </w:r>
    </w:p>
    <w:tbl>
      <w:tblPr>
        <w:tblW w:w="0" w:type="auto"/>
        <w:tblCellMar>
          <w:top w:w="15" w:type="dxa"/>
          <w:left w:w="15" w:type="dxa"/>
          <w:bottom w:w="15" w:type="dxa"/>
          <w:right w:w="15" w:type="dxa"/>
        </w:tblCellMar>
        <w:tblLook w:val="04A0" w:firstRow="1" w:lastRow="0" w:firstColumn="1" w:lastColumn="0" w:noHBand="0" w:noVBand="1"/>
      </w:tblPr>
      <w:tblGrid>
        <w:gridCol w:w="4034"/>
        <w:gridCol w:w="1855"/>
      </w:tblGrid>
      <w:tr w:rsidR="00AA5A39" w:rsidRPr="00CD3935" w14:paraId="695B76D1" w14:textId="77777777" w:rsidTr="00427655">
        <w:trPr>
          <w:tblHeader/>
        </w:trPr>
        <w:tc>
          <w:tcPr>
            <w:tcW w:w="0" w:type="auto"/>
            <w:tcBorders>
              <w:top w:val="nil"/>
            </w:tcBorders>
            <w:tcMar>
              <w:top w:w="150" w:type="dxa"/>
              <w:left w:w="0" w:type="dxa"/>
              <w:bottom w:w="150" w:type="dxa"/>
              <w:right w:w="240" w:type="dxa"/>
            </w:tcMar>
            <w:vAlign w:val="center"/>
            <w:hideMark/>
          </w:tcPr>
          <w:p w14:paraId="639FBE1D" w14:textId="77777777" w:rsidR="00AA5A39" w:rsidRPr="00CD3935" w:rsidRDefault="00AA5A39" w:rsidP="00427655">
            <w:pPr>
              <w:jc w:val="both"/>
              <w:rPr>
                <w:rFonts w:eastAsia="Times New Roman" w:cstheme="minorHAnsi"/>
                <w:b/>
                <w:bCs/>
                <w:color w:val="000000" w:themeColor="text1"/>
                <w:lang w:eastAsia="fr-FR"/>
              </w:rPr>
            </w:pPr>
            <w:proofErr w:type="spellStart"/>
            <w:r w:rsidRPr="00CD3935">
              <w:rPr>
                <w:rFonts w:eastAsia="Times New Roman" w:cstheme="minorHAnsi"/>
                <w:b/>
                <w:bCs/>
                <w:color w:val="000000" w:themeColor="text1"/>
                <w:lang w:eastAsia="fr-FR"/>
              </w:rPr>
              <w:t>Characteristic</w:t>
            </w:r>
            <w:proofErr w:type="spellEnd"/>
          </w:p>
        </w:tc>
        <w:tc>
          <w:tcPr>
            <w:tcW w:w="0" w:type="auto"/>
            <w:tcBorders>
              <w:top w:val="nil"/>
            </w:tcBorders>
            <w:tcMar>
              <w:top w:w="150" w:type="dxa"/>
              <w:left w:w="240" w:type="dxa"/>
              <w:bottom w:w="150" w:type="dxa"/>
              <w:right w:w="240" w:type="dxa"/>
            </w:tcMar>
            <w:vAlign w:val="center"/>
            <w:hideMark/>
          </w:tcPr>
          <w:p w14:paraId="024D44F7" w14:textId="77777777" w:rsidR="00AA5A39" w:rsidRPr="00CD3935" w:rsidRDefault="00AA5A39" w:rsidP="00427655">
            <w:pPr>
              <w:jc w:val="both"/>
              <w:rPr>
                <w:rFonts w:eastAsia="Times New Roman" w:cstheme="minorHAnsi"/>
                <w:b/>
                <w:bCs/>
                <w:color w:val="000000" w:themeColor="text1"/>
                <w:lang w:eastAsia="fr-FR"/>
              </w:rPr>
            </w:pPr>
            <w:r w:rsidRPr="00CD3935">
              <w:rPr>
                <w:rFonts w:eastAsia="Times New Roman" w:cstheme="minorHAnsi"/>
                <w:b/>
                <w:bCs/>
                <w:color w:val="000000" w:themeColor="text1"/>
                <w:lang w:eastAsia="fr-FR"/>
              </w:rPr>
              <w:t>Value</w:t>
            </w:r>
          </w:p>
        </w:tc>
      </w:tr>
      <w:tr w:rsidR="00AA5A39" w:rsidRPr="00CD3935" w14:paraId="2C0DC370" w14:textId="77777777" w:rsidTr="00427655">
        <w:tc>
          <w:tcPr>
            <w:tcW w:w="0" w:type="auto"/>
            <w:tcMar>
              <w:top w:w="150" w:type="dxa"/>
              <w:left w:w="0" w:type="dxa"/>
              <w:bottom w:w="150" w:type="dxa"/>
              <w:right w:w="240" w:type="dxa"/>
            </w:tcMar>
            <w:vAlign w:val="center"/>
            <w:hideMark/>
          </w:tcPr>
          <w:p w14:paraId="74EA2DE1" w14:textId="77777777" w:rsidR="00AA5A39" w:rsidRPr="00CD3935" w:rsidRDefault="00AA5A39" w:rsidP="00427655">
            <w:pPr>
              <w:jc w:val="both"/>
              <w:rPr>
                <w:rFonts w:eastAsia="Times New Roman" w:cstheme="minorHAnsi"/>
                <w:color w:val="000000" w:themeColor="text1"/>
                <w:lang w:eastAsia="fr-FR"/>
              </w:rPr>
            </w:pPr>
            <w:proofErr w:type="spellStart"/>
            <w:r w:rsidRPr="00CD3935">
              <w:rPr>
                <w:rFonts w:eastAsia="Times New Roman" w:cstheme="minorHAnsi"/>
                <w:color w:val="000000" w:themeColor="text1"/>
                <w:lang w:eastAsia="fr-FR"/>
              </w:rPr>
              <w:t>Mean</w:t>
            </w:r>
            <w:proofErr w:type="spellEnd"/>
            <w:r w:rsidRPr="00CD3935">
              <w:rPr>
                <w:rFonts w:eastAsia="Times New Roman" w:cstheme="minorHAnsi"/>
                <w:color w:val="000000" w:themeColor="text1"/>
                <w:lang w:eastAsia="fr-FR"/>
              </w:rPr>
              <w:t xml:space="preserve"> </w:t>
            </w:r>
            <w:proofErr w:type="spellStart"/>
            <w:r w:rsidRPr="00CD3935">
              <w:rPr>
                <w:rFonts w:eastAsia="Times New Roman" w:cstheme="minorHAnsi"/>
                <w:color w:val="000000" w:themeColor="text1"/>
                <w:lang w:eastAsia="fr-FR"/>
              </w:rPr>
              <w:t>age</w:t>
            </w:r>
            <w:proofErr w:type="spellEnd"/>
            <w:r w:rsidRPr="00CD3935">
              <w:rPr>
                <w:rFonts w:eastAsia="Times New Roman" w:cstheme="minorHAnsi"/>
                <w:color w:val="000000" w:themeColor="text1"/>
                <w:lang w:eastAsia="fr-FR"/>
              </w:rPr>
              <w:t xml:space="preserve"> (</w:t>
            </w:r>
            <w:proofErr w:type="spellStart"/>
            <w:r w:rsidRPr="00CD3935">
              <w:rPr>
                <w:rFonts w:eastAsia="Times New Roman" w:cstheme="minorHAnsi"/>
                <w:color w:val="000000" w:themeColor="text1"/>
                <w:lang w:eastAsia="fr-FR"/>
              </w:rPr>
              <w:t>years</w:t>
            </w:r>
            <w:proofErr w:type="spellEnd"/>
            <w:r w:rsidRPr="00CD3935">
              <w:rPr>
                <w:rFonts w:eastAsia="Times New Roman" w:cstheme="minorHAnsi"/>
                <w:color w:val="000000" w:themeColor="text1"/>
                <w:lang w:eastAsia="fr-FR"/>
              </w:rPr>
              <w:t>)</w:t>
            </w:r>
          </w:p>
        </w:tc>
        <w:tc>
          <w:tcPr>
            <w:tcW w:w="0" w:type="auto"/>
            <w:tcMar>
              <w:top w:w="150" w:type="dxa"/>
              <w:left w:w="240" w:type="dxa"/>
              <w:bottom w:w="150" w:type="dxa"/>
              <w:right w:w="0" w:type="dxa"/>
            </w:tcMar>
            <w:vAlign w:val="center"/>
            <w:hideMark/>
          </w:tcPr>
          <w:p w14:paraId="56EF0E8B"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68 (range 45-86)</w:t>
            </w:r>
          </w:p>
        </w:tc>
      </w:tr>
      <w:tr w:rsidR="00AA5A39" w:rsidRPr="00CD3935" w14:paraId="27237ED9" w14:textId="77777777" w:rsidTr="00427655">
        <w:tc>
          <w:tcPr>
            <w:tcW w:w="0" w:type="auto"/>
            <w:tcMar>
              <w:top w:w="150" w:type="dxa"/>
              <w:left w:w="0" w:type="dxa"/>
              <w:bottom w:w="150" w:type="dxa"/>
              <w:right w:w="240" w:type="dxa"/>
            </w:tcMar>
            <w:vAlign w:val="center"/>
            <w:hideMark/>
          </w:tcPr>
          <w:p w14:paraId="270F6A78"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Male/</w:t>
            </w:r>
            <w:proofErr w:type="spellStart"/>
            <w:r w:rsidRPr="00CD3935">
              <w:rPr>
                <w:rFonts w:eastAsia="Times New Roman" w:cstheme="minorHAnsi"/>
                <w:color w:val="000000" w:themeColor="text1"/>
                <w:lang w:eastAsia="fr-FR"/>
              </w:rPr>
              <w:t>Female</w:t>
            </w:r>
            <w:proofErr w:type="spellEnd"/>
          </w:p>
        </w:tc>
        <w:tc>
          <w:tcPr>
            <w:tcW w:w="0" w:type="auto"/>
            <w:tcMar>
              <w:top w:w="150" w:type="dxa"/>
              <w:left w:w="240" w:type="dxa"/>
              <w:bottom w:w="150" w:type="dxa"/>
              <w:right w:w="0" w:type="dxa"/>
            </w:tcMar>
            <w:vAlign w:val="center"/>
            <w:hideMark/>
          </w:tcPr>
          <w:p w14:paraId="15743BB6"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12/6</w:t>
            </w:r>
          </w:p>
        </w:tc>
      </w:tr>
      <w:tr w:rsidR="00AA5A39" w:rsidRPr="00CD3935" w14:paraId="6C6612CA" w14:textId="77777777" w:rsidTr="00427655">
        <w:tc>
          <w:tcPr>
            <w:tcW w:w="0" w:type="auto"/>
            <w:tcMar>
              <w:top w:w="150" w:type="dxa"/>
              <w:left w:w="0" w:type="dxa"/>
              <w:bottom w:w="150" w:type="dxa"/>
              <w:right w:w="240" w:type="dxa"/>
            </w:tcMar>
            <w:vAlign w:val="center"/>
            <w:hideMark/>
          </w:tcPr>
          <w:p w14:paraId="17C61A7C" w14:textId="77777777" w:rsidR="00AA5A39" w:rsidRPr="00CD3935" w:rsidRDefault="00AA5A39" w:rsidP="00427655">
            <w:pPr>
              <w:jc w:val="both"/>
              <w:rPr>
                <w:rFonts w:eastAsia="Times New Roman" w:cstheme="minorHAnsi"/>
                <w:color w:val="000000" w:themeColor="text1"/>
                <w:lang w:val="en-US" w:eastAsia="fr-FR"/>
              </w:rPr>
            </w:pPr>
            <w:r w:rsidRPr="00CD3935">
              <w:rPr>
                <w:rFonts w:eastAsia="Times New Roman" w:cstheme="minorHAnsi"/>
                <w:b/>
                <w:bCs/>
                <w:color w:val="000000" w:themeColor="text1"/>
                <w:lang w:val="en-US" w:eastAsia="fr-FR"/>
              </w:rPr>
              <w:t>Type of Cardiac Material (n=21 scans)</w:t>
            </w:r>
          </w:p>
        </w:tc>
        <w:tc>
          <w:tcPr>
            <w:tcW w:w="0" w:type="auto"/>
            <w:tcMar>
              <w:top w:w="150" w:type="dxa"/>
              <w:left w:w="240" w:type="dxa"/>
              <w:bottom w:w="150" w:type="dxa"/>
              <w:right w:w="0" w:type="dxa"/>
            </w:tcMar>
            <w:vAlign w:val="center"/>
            <w:hideMark/>
          </w:tcPr>
          <w:p w14:paraId="25F2BDBF" w14:textId="77777777" w:rsidR="00AA5A39" w:rsidRPr="00CD3935" w:rsidRDefault="00AA5A39" w:rsidP="00427655">
            <w:pPr>
              <w:jc w:val="both"/>
              <w:rPr>
                <w:rFonts w:eastAsia="Times New Roman" w:cstheme="minorHAnsi"/>
                <w:color w:val="000000" w:themeColor="text1"/>
                <w:lang w:val="en-US" w:eastAsia="fr-FR"/>
              </w:rPr>
            </w:pPr>
          </w:p>
        </w:tc>
      </w:tr>
      <w:tr w:rsidR="00AA5A39" w:rsidRPr="00CD3935" w14:paraId="054EACF8" w14:textId="77777777" w:rsidTr="00427655">
        <w:tc>
          <w:tcPr>
            <w:tcW w:w="0" w:type="auto"/>
            <w:tcMar>
              <w:top w:w="150" w:type="dxa"/>
              <w:left w:w="0" w:type="dxa"/>
              <w:bottom w:w="150" w:type="dxa"/>
              <w:right w:w="240" w:type="dxa"/>
            </w:tcMar>
            <w:vAlign w:val="center"/>
            <w:hideMark/>
          </w:tcPr>
          <w:p w14:paraId="22EBB763" w14:textId="77777777" w:rsidR="00AA5A39" w:rsidRPr="00CD3935" w:rsidRDefault="00AA5A39" w:rsidP="00427655">
            <w:pPr>
              <w:jc w:val="both"/>
              <w:rPr>
                <w:rFonts w:eastAsia="Times New Roman" w:cstheme="minorHAnsi"/>
                <w:color w:val="000000" w:themeColor="text1"/>
                <w:lang w:eastAsia="fr-FR"/>
              </w:rPr>
            </w:pPr>
            <w:proofErr w:type="spellStart"/>
            <w:r w:rsidRPr="00CD3935">
              <w:rPr>
                <w:rFonts w:eastAsia="Times New Roman" w:cstheme="minorHAnsi"/>
                <w:color w:val="000000" w:themeColor="text1"/>
                <w:lang w:eastAsia="fr-FR"/>
              </w:rPr>
              <w:t>Prosthetic</w:t>
            </w:r>
            <w:proofErr w:type="spellEnd"/>
            <w:r w:rsidRPr="00CD3935">
              <w:rPr>
                <w:rFonts w:eastAsia="Times New Roman" w:cstheme="minorHAnsi"/>
                <w:color w:val="000000" w:themeColor="text1"/>
                <w:lang w:eastAsia="fr-FR"/>
              </w:rPr>
              <w:t xml:space="preserve"> Valve</w:t>
            </w:r>
          </w:p>
        </w:tc>
        <w:tc>
          <w:tcPr>
            <w:tcW w:w="0" w:type="auto"/>
            <w:tcMar>
              <w:top w:w="150" w:type="dxa"/>
              <w:left w:w="240" w:type="dxa"/>
              <w:bottom w:w="150" w:type="dxa"/>
              <w:right w:w="0" w:type="dxa"/>
            </w:tcMar>
            <w:vAlign w:val="center"/>
            <w:hideMark/>
          </w:tcPr>
          <w:p w14:paraId="47E708F0"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12 (57.1%)</w:t>
            </w:r>
          </w:p>
        </w:tc>
      </w:tr>
      <w:tr w:rsidR="00AA5A39" w:rsidRPr="00CD3935" w14:paraId="330AE018" w14:textId="77777777" w:rsidTr="00427655">
        <w:tc>
          <w:tcPr>
            <w:tcW w:w="0" w:type="auto"/>
            <w:tcMar>
              <w:top w:w="150" w:type="dxa"/>
              <w:left w:w="0" w:type="dxa"/>
              <w:bottom w:w="150" w:type="dxa"/>
              <w:right w:w="240" w:type="dxa"/>
            </w:tcMar>
            <w:vAlign w:val="center"/>
            <w:hideMark/>
          </w:tcPr>
          <w:p w14:paraId="364E480A"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 xml:space="preserve">- </w:t>
            </w:r>
            <w:proofErr w:type="spellStart"/>
            <w:r w:rsidRPr="00CD3935">
              <w:rPr>
                <w:rFonts w:eastAsia="Times New Roman" w:cstheme="minorHAnsi"/>
                <w:color w:val="000000" w:themeColor="text1"/>
                <w:lang w:eastAsia="fr-FR"/>
              </w:rPr>
              <w:t>Mechanical</w:t>
            </w:r>
            <w:proofErr w:type="spellEnd"/>
          </w:p>
        </w:tc>
        <w:tc>
          <w:tcPr>
            <w:tcW w:w="0" w:type="auto"/>
            <w:tcMar>
              <w:top w:w="150" w:type="dxa"/>
              <w:left w:w="240" w:type="dxa"/>
              <w:bottom w:w="150" w:type="dxa"/>
              <w:right w:w="0" w:type="dxa"/>
            </w:tcMar>
            <w:vAlign w:val="center"/>
            <w:hideMark/>
          </w:tcPr>
          <w:p w14:paraId="742E65F8"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7</w:t>
            </w:r>
          </w:p>
        </w:tc>
      </w:tr>
      <w:tr w:rsidR="00AA5A39" w:rsidRPr="00CD3935" w14:paraId="61B55AF3" w14:textId="77777777" w:rsidTr="00427655">
        <w:tc>
          <w:tcPr>
            <w:tcW w:w="0" w:type="auto"/>
            <w:tcMar>
              <w:top w:w="150" w:type="dxa"/>
              <w:left w:w="0" w:type="dxa"/>
              <w:bottom w:w="150" w:type="dxa"/>
              <w:right w:w="240" w:type="dxa"/>
            </w:tcMar>
            <w:vAlign w:val="center"/>
            <w:hideMark/>
          </w:tcPr>
          <w:p w14:paraId="4343BC14"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 xml:space="preserve">- </w:t>
            </w:r>
            <w:proofErr w:type="spellStart"/>
            <w:r w:rsidRPr="00CD3935">
              <w:rPr>
                <w:rFonts w:eastAsia="Times New Roman" w:cstheme="minorHAnsi"/>
                <w:color w:val="000000" w:themeColor="text1"/>
                <w:lang w:eastAsia="fr-FR"/>
              </w:rPr>
              <w:t>Bioprosthetic</w:t>
            </w:r>
            <w:proofErr w:type="spellEnd"/>
          </w:p>
        </w:tc>
        <w:tc>
          <w:tcPr>
            <w:tcW w:w="0" w:type="auto"/>
            <w:tcMar>
              <w:top w:w="150" w:type="dxa"/>
              <w:left w:w="240" w:type="dxa"/>
              <w:bottom w:w="150" w:type="dxa"/>
              <w:right w:w="0" w:type="dxa"/>
            </w:tcMar>
            <w:vAlign w:val="center"/>
            <w:hideMark/>
          </w:tcPr>
          <w:p w14:paraId="1893306C"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5</w:t>
            </w:r>
          </w:p>
        </w:tc>
      </w:tr>
      <w:tr w:rsidR="00AA5A39" w:rsidRPr="00CD3935" w14:paraId="06227F77" w14:textId="77777777" w:rsidTr="00427655">
        <w:tc>
          <w:tcPr>
            <w:tcW w:w="0" w:type="auto"/>
            <w:tcMar>
              <w:top w:w="150" w:type="dxa"/>
              <w:left w:w="0" w:type="dxa"/>
              <w:bottom w:w="150" w:type="dxa"/>
              <w:right w:w="240" w:type="dxa"/>
            </w:tcMar>
            <w:vAlign w:val="center"/>
            <w:hideMark/>
          </w:tcPr>
          <w:p w14:paraId="056F1391" w14:textId="77777777" w:rsidR="00AA5A39" w:rsidRPr="00CD3935" w:rsidRDefault="00AA5A39" w:rsidP="00427655">
            <w:pPr>
              <w:jc w:val="both"/>
              <w:rPr>
                <w:rFonts w:eastAsia="Times New Roman" w:cstheme="minorHAnsi"/>
                <w:color w:val="000000" w:themeColor="text1"/>
                <w:lang w:eastAsia="fr-FR"/>
              </w:rPr>
            </w:pPr>
            <w:proofErr w:type="spellStart"/>
            <w:r w:rsidRPr="00CD3935">
              <w:rPr>
                <w:rFonts w:eastAsia="Times New Roman" w:cstheme="minorHAnsi"/>
                <w:color w:val="000000" w:themeColor="text1"/>
                <w:lang w:eastAsia="fr-FR"/>
              </w:rPr>
              <w:t>Cardiac</w:t>
            </w:r>
            <w:proofErr w:type="spellEnd"/>
            <w:r w:rsidRPr="00CD3935">
              <w:rPr>
                <w:rFonts w:eastAsia="Times New Roman" w:cstheme="minorHAnsi"/>
                <w:color w:val="000000" w:themeColor="text1"/>
                <w:lang w:eastAsia="fr-FR"/>
              </w:rPr>
              <w:t xml:space="preserve"> </w:t>
            </w:r>
            <w:proofErr w:type="spellStart"/>
            <w:r w:rsidRPr="00CD3935">
              <w:rPr>
                <w:rFonts w:eastAsia="Times New Roman" w:cstheme="minorHAnsi"/>
                <w:color w:val="000000" w:themeColor="text1"/>
                <w:lang w:eastAsia="fr-FR"/>
              </w:rPr>
              <w:t>Device</w:t>
            </w:r>
            <w:proofErr w:type="spellEnd"/>
            <w:r w:rsidRPr="00CD3935">
              <w:rPr>
                <w:rFonts w:eastAsia="Times New Roman" w:cstheme="minorHAnsi"/>
                <w:color w:val="000000" w:themeColor="text1"/>
                <w:lang w:eastAsia="fr-FR"/>
              </w:rPr>
              <w:t xml:space="preserve"> (Pacemaker/ICD)</w:t>
            </w:r>
          </w:p>
        </w:tc>
        <w:tc>
          <w:tcPr>
            <w:tcW w:w="0" w:type="auto"/>
            <w:tcMar>
              <w:top w:w="150" w:type="dxa"/>
              <w:left w:w="240" w:type="dxa"/>
              <w:bottom w:w="150" w:type="dxa"/>
              <w:right w:w="0" w:type="dxa"/>
            </w:tcMar>
            <w:vAlign w:val="center"/>
            <w:hideMark/>
          </w:tcPr>
          <w:p w14:paraId="114E5BC0"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3 (14.3%)</w:t>
            </w:r>
          </w:p>
        </w:tc>
      </w:tr>
      <w:tr w:rsidR="00AA5A39" w:rsidRPr="00CD3935" w14:paraId="6D348D02" w14:textId="77777777" w:rsidTr="00427655">
        <w:tc>
          <w:tcPr>
            <w:tcW w:w="0" w:type="auto"/>
            <w:tcMar>
              <w:top w:w="150" w:type="dxa"/>
              <w:left w:w="0" w:type="dxa"/>
              <w:bottom w:w="150" w:type="dxa"/>
              <w:right w:w="240" w:type="dxa"/>
            </w:tcMar>
            <w:vAlign w:val="center"/>
            <w:hideMark/>
          </w:tcPr>
          <w:p w14:paraId="748099DF"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 xml:space="preserve">Native Valve (no </w:t>
            </w:r>
            <w:proofErr w:type="spellStart"/>
            <w:r w:rsidRPr="00CD3935">
              <w:rPr>
                <w:rFonts w:eastAsia="Times New Roman" w:cstheme="minorHAnsi"/>
                <w:color w:val="000000" w:themeColor="text1"/>
                <w:lang w:eastAsia="fr-FR"/>
              </w:rPr>
              <w:t>material</w:t>
            </w:r>
            <w:proofErr w:type="spellEnd"/>
            <w:r w:rsidRPr="00CD3935">
              <w:rPr>
                <w:rFonts w:eastAsia="Times New Roman" w:cstheme="minorHAnsi"/>
                <w:color w:val="000000" w:themeColor="text1"/>
                <w:lang w:eastAsia="fr-FR"/>
              </w:rPr>
              <w:t>)</w:t>
            </w:r>
          </w:p>
        </w:tc>
        <w:tc>
          <w:tcPr>
            <w:tcW w:w="0" w:type="auto"/>
            <w:tcMar>
              <w:top w:w="150" w:type="dxa"/>
              <w:left w:w="240" w:type="dxa"/>
              <w:bottom w:w="150" w:type="dxa"/>
              <w:right w:w="0" w:type="dxa"/>
            </w:tcMar>
            <w:vAlign w:val="center"/>
            <w:hideMark/>
          </w:tcPr>
          <w:p w14:paraId="049BEF36"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6 (28.6%)</w:t>
            </w:r>
          </w:p>
        </w:tc>
      </w:tr>
      <w:tr w:rsidR="00AA5A39" w:rsidRPr="00CD3935" w14:paraId="118D6395" w14:textId="77777777" w:rsidTr="00427655">
        <w:tc>
          <w:tcPr>
            <w:tcW w:w="0" w:type="auto"/>
            <w:tcMar>
              <w:top w:w="150" w:type="dxa"/>
              <w:left w:w="0" w:type="dxa"/>
              <w:bottom w:w="150" w:type="dxa"/>
              <w:right w:w="240" w:type="dxa"/>
            </w:tcMar>
            <w:vAlign w:val="center"/>
            <w:hideMark/>
          </w:tcPr>
          <w:p w14:paraId="14126DE1"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b/>
                <w:bCs/>
                <w:color w:val="000000" w:themeColor="text1"/>
                <w:lang w:eastAsia="fr-FR"/>
              </w:rPr>
              <w:t>Initial Duke Classification (n=21 scans)</w:t>
            </w:r>
          </w:p>
        </w:tc>
        <w:tc>
          <w:tcPr>
            <w:tcW w:w="0" w:type="auto"/>
            <w:tcMar>
              <w:top w:w="150" w:type="dxa"/>
              <w:left w:w="240" w:type="dxa"/>
              <w:bottom w:w="150" w:type="dxa"/>
              <w:right w:w="0" w:type="dxa"/>
            </w:tcMar>
            <w:vAlign w:val="center"/>
            <w:hideMark/>
          </w:tcPr>
          <w:p w14:paraId="220E16CC" w14:textId="77777777" w:rsidR="00AA5A39" w:rsidRPr="00CD3935" w:rsidRDefault="00AA5A39" w:rsidP="00427655">
            <w:pPr>
              <w:jc w:val="both"/>
              <w:rPr>
                <w:rFonts w:eastAsia="Times New Roman" w:cstheme="minorHAnsi"/>
                <w:color w:val="000000" w:themeColor="text1"/>
                <w:lang w:eastAsia="fr-FR"/>
              </w:rPr>
            </w:pPr>
          </w:p>
        </w:tc>
      </w:tr>
      <w:tr w:rsidR="00AA5A39" w:rsidRPr="00CD3935" w14:paraId="47A8841C" w14:textId="77777777" w:rsidTr="00427655">
        <w:tc>
          <w:tcPr>
            <w:tcW w:w="0" w:type="auto"/>
            <w:tcMar>
              <w:top w:w="150" w:type="dxa"/>
              <w:left w:w="0" w:type="dxa"/>
              <w:bottom w:w="150" w:type="dxa"/>
              <w:right w:w="240" w:type="dxa"/>
            </w:tcMar>
            <w:vAlign w:val="center"/>
            <w:hideMark/>
          </w:tcPr>
          <w:p w14:paraId="78320BF0"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Possible IE</w:t>
            </w:r>
          </w:p>
        </w:tc>
        <w:tc>
          <w:tcPr>
            <w:tcW w:w="0" w:type="auto"/>
            <w:tcMar>
              <w:top w:w="150" w:type="dxa"/>
              <w:left w:w="240" w:type="dxa"/>
              <w:bottom w:w="150" w:type="dxa"/>
              <w:right w:w="0" w:type="dxa"/>
            </w:tcMar>
            <w:vAlign w:val="center"/>
            <w:hideMark/>
          </w:tcPr>
          <w:p w14:paraId="3300FAF6"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16 (76.2%)</w:t>
            </w:r>
          </w:p>
        </w:tc>
      </w:tr>
      <w:tr w:rsidR="00AA5A39" w:rsidRPr="00CD3935" w14:paraId="1A1303DA" w14:textId="77777777" w:rsidTr="00427655">
        <w:tc>
          <w:tcPr>
            <w:tcW w:w="0" w:type="auto"/>
            <w:tcMar>
              <w:top w:w="150" w:type="dxa"/>
              <w:left w:w="0" w:type="dxa"/>
              <w:bottom w:w="150" w:type="dxa"/>
              <w:right w:w="240" w:type="dxa"/>
            </w:tcMar>
            <w:vAlign w:val="center"/>
            <w:hideMark/>
          </w:tcPr>
          <w:p w14:paraId="26E110B9" w14:textId="77777777" w:rsidR="00AA5A39" w:rsidRPr="00CD3935" w:rsidRDefault="00AA5A39" w:rsidP="00427655">
            <w:pPr>
              <w:jc w:val="both"/>
              <w:rPr>
                <w:rFonts w:eastAsia="Times New Roman" w:cstheme="minorHAnsi"/>
                <w:color w:val="000000" w:themeColor="text1"/>
                <w:lang w:eastAsia="fr-FR"/>
              </w:rPr>
            </w:pPr>
            <w:proofErr w:type="spellStart"/>
            <w:r w:rsidRPr="00CD3935">
              <w:rPr>
                <w:rFonts w:eastAsia="Times New Roman" w:cstheme="minorHAnsi"/>
                <w:color w:val="000000" w:themeColor="text1"/>
                <w:lang w:eastAsia="fr-FR"/>
              </w:rPr>
              <w:t>Rejected</w:t>
            </w:r>
            <w:proofErr w:type="spellEnd"/>
            <w:r w:rsidRPr="00CD3935">
              <w:rPr>
                <w:rFonts w:eastAsia="Times New Roman" w:cstheme="minorHAnsi"/>
                <w:color w:val="000000" w:themeColor="text1"/>
                <w:lang w:eastAsia="fr-FR"/>
              </w:rPr>
              <w:t xml:space="preserve"> IE</w:t>
            </w:r>
          </w:p>
        </w:tc>
        <w:tc>
          <w:tcPr>
            <w:tcW w:w="0" w:type="auto"/>
            <w:tcMar>
              <w:top w:w="150" w:type="dxa"/>
              <w:left w:w="240" w:type="dxa"/>
              <w:bottom w:w="150" w:type="dxa"/>
              <w:right w:w="0" w:type="dxa"/>
            </w:tcMar>
            <w:vAlign w:val="center"/>
            <w:hideMark/>
          </w:tcPr>
          <w:p w14:paraId="234B47ED"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5 (23.8%)</w:t>
            </w:r>
          </w:p>
        </w:tc>
      </w:tr>
      <w:tr w:rsidR="00AA5A39" w:rsidRPr="00CD3935" w14:paraId="6DC973EA" w14:textId="77777777" w:rsidTr="00427655">
        <w:tc>
          <w:tcPr>
            <w:tcW w:w="0" w:type="auto"/>
            <w:tcMar>
              <w:top w:w="150" w:type="dxa"/>
              <w:left w:w="0" w:type="dxa"/>
              <w:bottom w:w="150" w:type="dxa"/>
              <w:right w:w="240" w:type="dxa"/>
            </w:tcMar>
            <w:vAlign w:val="center"/>
            <w:hideMark/>
          </w:tcPr>
          <w:p w14:paraId="668770E0" w14:textId="77777777" w:rsidR="00AA5A39" w:rsidRPr="00CD3935" w:rsidRDefault="00AA5A39" w:rsidP="00427655">
            <w:pPr>
              <w:jc w:val="both"/>
              <w:rPr>
                <w:rFonts w:eastAsia="Times New Roman" w:cstheme="minorHAnsi"/>
                <w:color w:val="000000" w:themeColor="text1"/>
                <w:lang w:val="en-US" w:eastAsia="fr-FR"/>
              </w:rPr>
            </w:pPr>
            <w:r w:rsidRPr="00CD3935">
              <w:rPr>
                <w:rFonts w:eastAsia="Times New Roman" w:cstheme="minorHAnsi"/>
                <w:b/>
                <w:bCs/>
                <w:color w:val="000000" w:themeColor="text1"/>
                <w:lang w:val="en-US" w:eastAsia="fr-FR"/>
              </w:rPr>
              <w:t>Antibiotic Therapy at Time of PET/CT</w:t>
            </w:r>
          </w:p>
        </w:tc>
        <w:tc>
          <w:tcPr>
            <w:tcW w:w="0" w:type="auto"/>
            <w:tcMar>
              <w:top w:w="150" w:type="dxa"/>
              <w:left w:w="240" w:type="dxa"/>
              <w:bottom w:w="150" w:type="dxa"/>
              <w:right w:w="0" w:type="dxa"/>
            </w:tcMar>
            <w:vAlign w:val="center"/>
            <w:hideMark/>
          </w:tcPr>
          <w:p w14:paraId="7502216E" w14:textId="77777777" w:rsidR="00AA5A39" w:rsidRPr="00CD3935" w:rsidRDefault="00AA5A39" w:rsidP="00427655">
            <w:pPr>
              <w:jc w:val="both"/>
              <w:rPr>
                <w:rFonts w:eastAsia="Times New Roman" w:cstheme="minorHAnsi"/>
                <w:color w:val="000000" w:themeColor="text1"/>
                <w:lang w:val="en-US" w:eastAsia="fr-FR"/>
              </w:rPr>
            </w:pPr>
          </w:p>
        </w:tc>
      </w:tr>
      <w:tr w:rsidR="00AA5A39" w:rsidRPr="00CD3935" w14:paraId="3ECEC4FD" w14:textId="77777777" w:rsidTr="00427655">
        <w:tc>
          <w:tcPr>
            <w:tcW w:w="0" w:type="auto"/>
            <w:tcMar>
              <w:top w:w="150" w:type="dxa"/>
              <w:left w:w="0" w:type="dxa"/>
              <w:bottom w:w="150" w:type="dxa"/>
              <w:right w:w="240" w:type="dxa"/>
            </w:tcMar>
            <w:vAlign w:val="center"/>
            <w:hideMark/>
          </w:tcPr>
          <w:p w14:paraId="6470DB0E"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Yes</w:t>
            </w:r>
          </w:p>
        </w:tc>
        <w:tc>
          <w:tcPr>
            <w:tcW w:w="0" w:type="auto"/>
            <w:tcMar>
              <w:top w:w="150" w:type="dxa"/>
              <w:left w:w="240" w:type="dxa"/>
              <w:bottom w:w="150" w:type="dxa"/>
              <w:right w:w="0" w:type="dxa"/>
            </w:tcMar>
            <w:vAlign w:val="center"/>
            <w:hideMark/>
          </w:tcPr>
          <w:p w14:paraId="58909C73"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14 (66.7%)</w:t>
            </w:r>
          </w:p>
        </w:tc>
      </w:tr>
      <w:tr w:rsidR="00AA5A39" w:rsidRPr="00CD3935" w14:paraId="291E8CD0" w14:textId="77777777" w:rsidTr="00427655">
        <w:tc>
          <w:tcPr>
            <w:tcW w:w="0" w:type="auto"/>
            <w:tcMar>
              <w:top w:w="150" w:type="dxa"/>
              <w:left w:w="0" w:type="dxa"/>
              <w:bottom w:w="150" w:type="dxa"/>
              <w:right w:w="240" w:type="dxa"/>
            </w:tcMar>
            <w:vAlign w:val="center"/>
            <w:hideMark/>
          </w:tcPr>
          <w:p w14:paraId="1D67F641"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 xml:space="preserve">- </w:t>
            </w:r>
            <w:proofErr w:type="spellStart"/>
            <w:r w:rsidRPr="00CD3935">
              <w:rPr>
                <w:rFonts w:eastAsia="Times New Roman" w:cstheme="minorHAnsi"/>
                <w:color w:val="000000" w:themeColor="text1"/>
                <w:lang w:eastAsia="fr-FR"/>
              </w:rPr>
              <w:t>Median</w:t>
            </w:r>
            <w:proofErr w:type="spellEnd"/>
            <w:r w:rsidRPr="00CD3935">
              <w:rPr>
                <w:rFonts w:eastAsia="Times New Roman" w:cstheme="minorHAnsi"/>
                <w:color w:val="000000" w:themeColor="text1"/>
                <w:lang w:eastAsia="fr-FR"/>
              </w:rPr>
              <w:t xml:space="preserve"> duration (</w:t>
            </w:r>
            <w:proofErr w:type="spellStart"/>
            <w:r w:rsidRPr="00CD3935">
              <w:rPr>
                <w:rFonts w:eastAsia="Times New Roman" w:cstheme="minorHAnsi"/>
                <w:color w:val="000000" w:themeColor="text1"/>
                <w:lang w:eastAsia="fr-FR"/>
              </w:rPr>
              <w:t>days</w:t>
            </w:r>
            <w:proofErr w:type="spellEnd"/>
            <w:r w:rsidRPr="00CD3935">
              <w:rPr>
                <w:rFonts w:eastAsia="Times New Roman" w:cstheme="minorHAnsi"/>
                <w:color w:val="000000" w:themeColor="text1"/>
                <w:lang w:eastAsia="fr-FR"/>
              </w:rPr>
              <w:t>)</w:t>
            </w:r>
          </w:p>
        </w:tc>
        <w:tc>
          <w:tcPr>
            <w:tcW w:w="0" w:type="auto"/>
            <w:tcMar>
              <w:top w:w="150" w:type="dxa"/>
              <w:left w:w="240" w:type="dxa"/>
              <w:bottom w:w="150" w:type="dxa"/>
              <w:right w:w="0" w:type="dxa"/>
            </w:tcMar>
            <w:vAlign w:val="center"/>
            <w:hideMark/>
          </w:tcPr>
          <w:p w14:paraId="385ED502"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6 (range 2–21)</w:t>
            </w:r>
          </w:p>
        </w:tc>
      </w:tr>
      <w:tr w:rsidR="00AA5A39" w:rsidRPr="00CD3935" w14:paraId="6D1017A0" w14:textId="77777777" w:rsidTr="00427655">
        <w:tc>
          <w:tcPr>
            <w:tcW w:w="0" w:type="auto"/>
            <w:tcMar>
              <w:top w:w="150" w:type="dxa"/>
              <w:left w:w="0" w:type="dxa"/>
              <w:bottom w:w="150" w:type="dxa"/>
              <w:right w:w="240" w:type="dxa"/>
            </w:tcMar>
            <w:vAlign w:val="center"/>
            <w:hideMark/>
          </w:tcPr>
          <w:p w14:paraId="140CCE4C"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lastRenderedPageBreak/>
              <w:t>No</w:t>
            </w:r>
          </w:p>
        </w:tc>
        <w:tc>
          <w:tcPr>
            <w:tcW w:w="0" w:type="auto"/>
            <w:tcMar>
              <w:top w:w="150" w:type="dxa"/>
              <w:left w:w="240" w:type="dxa"/>
              <w:bottom w:w="150" w:type="dxa"/>
              <w:right w:w="0" w:type="dxa"/>
            </w:tcMar>
            <w:vAlign w:val="center"/>
            <w:hideMark/>
          </w:tcPr>
          <w:p w14:paraId="4A52FF11"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7 (33.3%)</w:t>
            </w:r>
          </w:p>
        </w:tc>
      </w:tr>
    </w:tbl>
    <w:p w14:paraId="1964D9DC" w14:textId="45179272" w:rsidR="00AA5A39" w:rsidRDefault="00AA5A39" w:rsidP="00AA5A39">
      <w:pPr>
        <w:shd w:val="clear" w:color="auto" w:fill="FFFFFF"/>
        <w:spacing w:before="240" w:after="240"/>
        <w:jc w:val="both"/>
        <w:rPr>
          <w:rFonts w:eastAsia="Times New Roman" w:cstheme="minorHAnsi"/>
          <w:b/>
          <w:bCs/>
          <w:color w:val="000000" w:themeColor="text1"/>
          <w:lang w:eastAsia="fr-FR"/>
        </w:rPr>
      </w:pPr>
    </w:p>
    <w:p w14:paraId="3459F7AE" w14:textId="7A7FA6FF" w:rsidR="00DE08E6" w:rsidRDefault="00DE08E6" w:rsidP="00AA5A39">
      <w:pPr>
        <w:shd w:val="clear" w:color="auto" w:fill="FFFFFF"/>
        <w:spacing w:before="240" w:after="240"/>
        <w:jc w:val="both"/>
        <w:rPr>
          <w:rFonts w:eastAsia="Times New Roman" w:cstheme="minorHAnsi"/>
          <w:b/>
          <w:bCs/>
          <w:color w:val="000000" w:themeColor="text1"/>
          <w:lang w:eastAsia="fr-FR"/>
        </w:rPr>
      </w:pPr>
    </w:p>
    <w:p w14:paraId="0E368E35" w14:textId="5DFA4D9C" w:rsidR="00DE08E6" w:rsidRDefault="00DE08E6" w:rsidP="00AA5A39">
      <w:pPr>
        <w:shd w:val="clear" w:color="auto" w:fill="FFFFFF"/>
        <w:spacing w:before="240" w:after="240"/>
        <w:jc w:val="both"/>
        <w:rPr>
          <w:rFonts w:eastAsia="Times New Roman" w:cstheme="minorHAnsi"/>
          <w:b/>
          <w:bCs/>
          <w:color w:val="000000" w:themeColor="text1"/>
          <w:lang w:eastAsia="fr-FR"/>
        </w:rPr>
      </w:pPr>
    </w:p>
    <w:p w14:paraId="66804903" w14:textId="627DF525" w:rsidR="00DE08E6" w:rsidRDefault="00DE08E6" w:rsidP="00AA5A39">
      <w:pPr>
        <w:shd w:val="clear" w:color="auto" w:fill="FFFFFF"/>
        <w:spacing w:before="240" w:after="240"/>
        <w:jc w:val="both"/>
        <w:rPr>
          <w:rFonts w:eastAsia="Times New Roman" w:cstheme="minorHAnsi"/>
          <w:b/>
          <w:bCs/>
          <w:color w:val="000000" w:themeColor="text1"/>
          <w:lang w:eastAsia="fr-FR"/>
        </w:rPr>
      </w:pPr>
    </w:p>
    <w:p w14:paraId="15326C5A" w14:textId="4A737F5A" w:rsidR="00DE08E6" w:rsidRDefault="00DE08E6" w:rsidP="00AA5A39">
      <w:pPr>
        <w:shd w:val="clear" w:color="auto" w:fill="FFFFFF"/>
        <w:spacing w:before="240" w:after="240"/>
        <w:jc w:val="both"/>
        <w:rPr>
          <w:rFonts w:eastAsia="Times New Roman" w:cstheme="minorHAnsi"/>
          <w:b/>
          <w:bCs/>
          <w:color w:val="000000" w:themeColor="text1"/>
          <w:lang w:eastAsia="fr-FR"/>
        </w:rPr>
      </w:pPr>
    </w:p>
    <w:p w14:paraId="4BE9848C" w14:textId="588EDB6E" w:rsidR="00DE08E6" w:rsidRDefault="00DE08E6" w:rsidP="00AA5A39">
      <w:pPr>
        <w:shd w:val="clear" w:color="auto" w:fill="FFFFFF"/>
        <w:spacing w:before="240" w:after="240"/>
        <w:jc w:val="both"/>
        <w:rPr>
          <w:rFonts w:eastAsia="Times New Roman" w:cstheme="minorHAnsi"/>
          <w:b/>
          <w:bCs/>
          <w:color w:val="000000" w:themeColor="text1"/>
          <w:lang w:eastAsia="fr-FR"/>
        </w:rPr>
      </w:pPr>
    </w:p>
    <w:p w14:paraId="7B84EC5D" w14:textId="77777777" w:rsidR="00DE08E6" w:rsidRDefault="00DE08E6" w:rsidP="00AA5A39">
      <w:pPr>
        <w:shd w:val="clear" w:color="auto" w:fill="FFFFFF"/>
        <w:spacing w:before="240" w:after="240"/>
        <w:jc w:val="both"/>
        <w:rPr>
          <w:rFonts w:eastAsia="Times New Roman" w:cstheme="minorHAnsi"/>
          <w:b/>
          <w:bCs/>
          <w:color w:val="000000" w:themeColor="text1"/>
          <w:lang w:eastAsia="fr-FR"/>
        </w:rPr>
      </w:pPr>
    </w:p>
    <w:p w14:paraId="06049EF4" w14:textId="77777777" w:rsidR="00DE08E6" w:rsidRPr="00CD3935" w:rsidRDefault="00DE08E6" w:rsidP="00DE08E6">
      <w:pPr>
        <w:shd w:val="clear" w:color="auto" w:fill="FFFFFF"/>
        <w:spacing w:before="240" w:after="240"/>
        <w:jc w:val="both"/>
        <w:rPr>
          <w:rFonts w:eastAsia="Times New Roman" w:cstheme="minorHAnsi"/>
          <w:color w:val="000000" w:themeColor="text1"/>
          <w:lang w:val="en-US" w:eastAsia="fr-FR"/>
        </w:rPr>
      </w:pPr>
      <w:r w:rsidRPr="00CD3935">
        <w:rPr>
          <w:rFonts w:eastAsia="Times New Roman" w:cstheme="minorHAnsi"/>
          <w:b/>
          <w:bCs/>
          <w:color w:val="000000" w:themeColor="text1"/>
          <w:lang w:val="en-US" w:eastAsia="fr-FR"/>
        </w:rPr>
        <w:t>Table 2: Diagnostic Performance by Antibiotic Exposure (Prosthetic Material Group Only)</w:t>
      </w:r>
    </w:p>
    <w:tbl>
      <w:tblPr>
        <w:tblW w:w="0" w:type="auto"/>
        <w:tblCellMar>
          <w:top w:w="15" w:type="dxa"/>
          <w:left w:w="15" w:type="dxa"/>
          <w:bottom w:w="15" w:type="dxa"/>
          <w:right w:w="15" w:type="dxa"/>
        </w:tblCellMar>
        <w:tblLook w:val="04A0" w:firstRow="1" w:lastRow="0" w:firstColumn="1" w:lastColumn="0" w:noHBand="0" w:noVBand="1"/>
      </w:tblPr>
      <w:tblGrid>
        <w:gridCol w:w="1552"/>
        <w:gridCol w:w="724"/>
        <w:gridCol w:w="1883"/>
        <w:gridCol w:w="1849"/>
        <w:gridCol w:w="1590"/>
        <w:gridCol w:w="1468"/>
      </w:tblGrid>
      <w:tr w:rsidR="00DE08E6" w:rsidRPr="00CD3935" w14:paraId="62F9BA5A" w14:textId="77777777" w:rsidTr="00427655">
        <w:trPr>
          <w:tblHeader/>
        </w:trPr>
        <w:tc>
          <w:tcPr>
            <w:tcW w:w="0" w:type="auto"/>
            <w:tcBorders>
              <w:top w:val="nil"/>
            </w:tcBorders>
            <w:tcMar>
              <w:top w:w="150" w:type="dxa"/>
              <w:left w:w="0" w:type="dxa"/>
              <w:bottom w:w="150" w:type="dxa"/>
              <w:right w:w="240" w:type="dxa"/>
            </w:tcMar>
            <w:vAlign w:val="center"/>
            <w:hideMark/>
          </w:tcPr>
          <w:p w14:paraId="7A52B893" w14:textId="77777777" w:rsidR="00DE08E6" w:rsidRPr="00CD3935" w:rsidRDefault="00DE08E6" w:rsidP="00427655">
            <w:pPr>
              <w:jc w:val="both"/>
              <w:rPr>
                <w:rFonts w:eastAsia="Times New Roman" w:cstheme="minorHAnsi"/>
                <w:b/>
                <w:bCs/>
                <w:color w:val="000000" w:themeColor="text1"/>
                <w:lang w:eastAsia="fr-FR"/>
              </w:rPr>
            </w:pPr>
            <w:proofErr w:type="spellStart"/>
            <w:r w:rsidRPr="00CD3935">
              <w:rPr>
                <w:rFonts w:eastAsia="Times New Roman" w:cstheme="minorHAnsi"/>
                <w:b/>
                <w:bCs/>
                <w:color w:val="000000" w:themeColor="text1"/>
                <w:lang w:eastAsia="fr-FR"/>
              </w:rPr>
              <w:t>Subgroup</w:t>
            </w:r>
            <w:proofErr w:type="spellEnd"/>
          </w:p>
        </w:tc>
        <w:tc>
          <w:tcPr>
            <w:tcW w:w="0" w:type="auto"/>
            <w:tcBorders>
              <w:top w:val="nil"/>
            </w:tcBorders>
            <w:tcMar>
              <w:top w:w="150" w:type="dxa"/>
              <w:left w:w="240" w:type="dxa"/>
              <w:bottom w:w="150" w:type="dxa"/>
              <w:right w:w="240" w:type="dxa"/>
            </w:tcMar>
            <w:vAlign w:val="center"/>
            <w:hideMark/>
          </w:tcPr>
          <w:p w14:paraId="527FD99C" w14:textId="77777777" w:rsidR="00DE08E6" w:rsidRPr="00CD3935" w:rsidRDefault="00DE08E6" w:rsidP="00427655">
            <w:pPr>
              <w:jc w:val="both"/>
              <w:rPr>
                <w:rFonts w:eastAsia="Times New Roman" w:cstheme="minorHAnsi"/>
                <w:b/>
                <w:bCs/>
                <w:color w:val="000000" w:themeColor="text1"/>
                <w:lang w:eastAsia="fr-FR"/>
              </w:rPr>
            </w:pPr>
            <w:r w:rsidRPr="00CD3935">
              <w:rPr>
                <w:rFonts w:eastAsia="Times New Roman" w:cstheme="minorHAnsi"/>
                <w:b/>
                <w:bCs/>
                <w:color w:val="000000" w:themeColor="text1"/>
                <w:lang w:eastAsia="fr-FR"/>
              </w:rPr>
              <w:t>N</w:t>
            </w:r>
          </w:p>
        </w:tc>
        <w:tc>
          <w:tcPr>
            <w:tcW w:w="0" w:type="auto"/>
            <w:tcBorders>
              <w:top w:val="nil"/>
            </w:tcBorders>
            <w:tcMar>
              <w:top w:w="150" w:type="dxa"/>
              <w:left w:w="240" w:type="dxa"/>
              <w:bottom w:w="150" w:type="dxa"/>
              <w:right w:w="240" w:type="dxa"/>
            </w:tcMar>
            <w:vAlign w:val="center"/>
            <w:hideMark/>
          </w:tcPr>
          <w:p w14:paraId="0DCC1968" w14:textId="77777777" w:rsidR="00DE08E6" w:rsidRPr="00CD3935" w:rsidRDefault="00DE08E6" w:rsidP="00427655">
            <w:pPr>
              <w:jc w:val="both"/>
              <w:rPr>
                <w:rFonts w:eastAsia="Times New Roman" w:cstheme="minorHAnsi"/>
                <w:b/>
                <w:bCs/>
                <w:color w:val="000000" w:themeColor="text1"/>
                <w:lang w:eastAsia="fr-FR"/>
              </w:rPr>
            </w:pPr>
            <w:proofErr w:type="spellStart"/>
            <w:r w:rsidRPr="00CD3935">
              <w:rPr>
                <w:rFonts w:eastAsia="Times New Roman" w:cstheme="minorHAnsi"/>
                <w:b/>
                <w:bCs/>
                <w:color w:val="000000" w:themeColor="text1"/>
                <w:lang w:eastAsia="fr-FR"/>
              </w:rPr>
              <w:t>Sensitivity</w:t>
            </w:r>
            <w:proofErr w:type="spellEnd"/>
            <w:r w:rsidRPr="00CD3935">
              <w:rPr>
                <w:rFonts w:eastAsia="Times New Roman" w:cstheme="minorHAnsi"/>
                <w:b/>
                <w:bCs/>
                <w:color w:val="000000" w:themeColor="text1"/>
                <w:lang w:eastAsia="fr-FR"/>
              </w:rPr>
              <w:t xml:space="preserve"> (95% CI)</w:t>
            </w:r>
          </w:p>
        </w:tc>
        <w:tc>
          <w:tcPr>
            <w:tcW w:w="0" w:type="auto"/>
            <w:tcBorders>
              <w:top w:val="nil"/>
            </w:tcBorders>
            <w:tcMar>
              <w:top w:w="150" w:type="dxa"/>
              <w:left w:w="240" w:type="dxa"/>
              <w:bottom w:w="150" w:type="dxa"/>
              <w:right w:w="240" w:type="dxa"/>
            </w:tcMar>
            <w:vAlign w:val="center"/>
            <w:hideMark/>
          </w:tcPr>
          <w:p w14:paraId="69F75530" w14:textId="77777777" w:rsidR="00DE08E6" w:rsidRPr="00CD3935" w:rsidRDefault="00DE08E6" w:rsidP="00427655">
            <w:pPr>
              <w:jc w:val="both"/>
              <w:rPr>
                <w:rFonts w:eastAsia="Times New Roman" w:cstheme="minorHAnsi"/>
                <w:b/>
                <w:bCs/>
                <w:color w:val="000000" w:themeColor="text1"/>
                <w:lang w:eastAsia="fr-FR"/>
              </w:rPr>
            </w:pPr>
            <w:proofErr w:type="spellStart"/>
            <w:r w:rsidRPr="00CD3935">
              <w:rPr>
                <w:rFonts w:eastAsia="Times New Roman" w:cstheme="minorHAnsi"/>
                <w:b/>
                <w:bCs/>
                <w:color w:val="000000" w:themeColor="text1"/>
                <w:lang w:eastAsia="fr-FR"/>
              </w:rPr>
              <w:t>Specificity</w:t>
            </w:r>
            <w:proofErr w:type="spellEnd"/>
            <w:r w:rsidRPr="00CD3935">
              <w:rPr>
                <w:rFonts w:eastAsia="Times New Roman" w:cstheme="minorHAnsi"/>
                <w:b/>
                <w:bCs/>
                <w:color w:val="000000" w:themeColor="text1"/>
                <w:lang w:eastAsia="fr-FR"/>
              </w:rPr>
              <w:t xml:space="preserve"> (95% CI)</w:t>
            </w:r>
          </w:p>
        </w:tc>
        <w:tc>
          <w:tcPr>
            <w:tcW w:w="0" w:type="auto"/>
            <w:tcBorders>
              <w:top w:val="nil"/>
            </w:tcBorders>
            <w:tcMar>
              <w:top w:w="150" w:type="dxa"/>
              <w:left w:w="240" w:type="dxa"/>
              <w:bottom w:w="150" w:type="dxa"/>
              <w:right w:w="240" w:type="dxa"/>
            </w:tcMar>
            <w:vAlign w:val="center"/>
            <w:hideMark/>
          </w:tcPr>
          <w:p w14:paraId="508C0B4C" w14:textId="77777777" w:rsidR="00DE08E6" w:rsidRPr="00CD3935" w:rsidRDefault="00DE08E6" w:rsidP="00427655">
            <w:pPr>
              <w:jc w:val="both"/>
              <w:rPr>
                <w:rFonts w:eastAsia="Times New Roman" w:cstheme="minorHAnsi"/>
                <w:b/>
                <w:bCs/>
                <w:color w:val="000000" w:themeColor="text1"/>
                <w:lang w:eastAsia="fr-FR"/>
              </w:rPr>
            </w:pPr>
            <w:r w:rsidRPr="00CD3935">
              <w:rPr>
                <w:rFonts w:eastAsia="Times New Roman" w:cstheme="minorHAnsi"/>
                <w:b/>
                <w:bCs/>
                <w:color w:val="000000" w:themeColor="text1"/>
                <w:lang w:eastAsia="fr-FR"/>
              </w:rPr>
              <w:t>PPV (95% CI)</w:t>
            </w:r>
          </w:p>
        </w:tc>
        <w:tc>
          <w:tcPr>
            <w:tcW w:w="0" w:type="auto"/>
            <w:tcBorders>
              <w:top w:val="nil"/>
            </w:tcBorders>
            <w:tcMar>
              <w:top w:w="150" w:type="dxa"/>
              <w:left w:w="240" w:type="dxa"/>
              <w:bottom w:w="150" w:type="dxa"/>
              <w:right w:w="240" w:type="dxa"/>
            </w:tcMar>
            <w:vAlign w:val="center"/>
            <w:hideMark/>
          </w:tcPr>
          <w:p w14:paraId="279A3BED" w14:textId="77777777" w:rsidR="00DE08E6" w:rsidRPr="00CD3935" w:rsidRDefault="00DE08E6" w:rsidP="00427655">
            <w:pPr>
              <w:jc w:val="both"/>
              <w:rPr>
                <w:rFonts w:eastAsia="Times New Roman" w:cstheme="minorHAnsi"/>
                <w:b/>
                <w:bCs/>
                <w:color w:val="000000" w:themeColor="text1"/>
                <w:lang w:eastAsia="fr-FR"/>
              </w:rPr>
            </w:pPr>
            <w:r w:rsidRPr="00CD3935">
              <w:rPr>
                <w:rFonts w:eastAsia="Times New Roman" w:cstheme="minorHAnsi"/>
                <w:b/>
                <w:bCs/>
                <w:color w:val="000000" w:themeColor="text1"/>
                <w:lang w:eastAsia="fr-FR"/>
              </w:rPr>
              <w:t>NPV (95% CI)</w:t>
            </w:r>
          </w:p>
        </w:tc>
      </w:tr>
      <w:tr w:rsidR="00DE08E6" w:rsidRPr="00CD3935" w14:paraId="3F7C882A" w14:textId="77777777" w:rsidTr="00427655">
        <w:tc>
          <w:tcPr>
            <w:tcW w:w="0" w:type="auto"/>
            <w:tcMar>
              <w:top w:w="150" w:type="dxa"/>
              <w:left w:w="0" w:type="dxa"/>
              <w:bottom w:w="150" w:type="dxa"/>
              <w:right w:w="240" w:type="dxa"/>
            </w:tcMar>
            <w:vAlign w:val="center"/>
            <w:hideMark/>
          </w:tcPr>
          <w:p w14:paraId="216F04EF" w14:textId="77777777" w:rsidR="00DE08E6" w:rsidRPr="00CD3935" w:rsidRDefault="00DE08E6" w:rsidP="00427655">
            <w:pPr>
              <w:jc w:val="both"/>
              <w:rPr>
                <w:rFonts w:eastAsia="Times New Roman" w:cstheme="minorHAnsi"/>
                <w:color w:val="000000" w:themeColor="text1"/>
                <w:lang w:eastAsia="fr-FR"/>
              </w:rPr>
            </w:pPr>
            <w:proofErr w:type="spellStart"/>
            <w:r w:rsidRPr="00CD3935">
              <w:rPr>
                <w:rFonts w:eastAsia="Times New Roman" w:cstheme="minorHAnsi"/>
                <w:color w:val="000000" w:themeColor="text1"/>
                <w:lang w:eastAsia="fr-FR"/>
              </w:rPr>
              <w:t>Overall</w:t>
            </w:r>
            <w:proofErr w:type="spellEnd"/>
          </w:p>
        </w:tc>
        <w:tc>
          <w:tcPr>
            <w:tcW w:w="0" w:type="auto"/>
            <w:tcMar>
              <w:top w:w="150" w:type="dxa"/>
              <w:left w:w="240" w:type="dxa"/>
              <w:bottom w:w="150" w:type="dxa"/>
              <w:right w:w="240" w:type="dxa"/>
            </w:tcMar>
            <w:vAlign w:val="center"/>
            <w:hideMark/>
          </w:tcPr>
          <w:p w14:paraId="3B1D106D" w14:textId="77777777" w:rsidR="00DE08E6" w:rsidRPr="00CD3935" w:rsidRDefault="00DE08E6"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15</w:t>
            </w:r>
          </w:p>
        </w:tc>
        <w:tc>
          <w:tcPr>
            <w:tcW w:w="0" w:type="auto"/>
            <w:tcMar>
              <w:top w:w="150" w:type="dxa"/>
              <w:left w:w="240" w:type="dxa"/>
              <w:bottom w:w="150" w:type="dxa"/>
              <w:right w:w="240" w:type="dxa"/>
            </w:tcMar>
            <w:vAlign w:val="center"/>
            <w:hideMark/>
          </w:tcPr>
          <w:p w14:paraId="650C0A00" w14:textId="77777777" w:rsidR="00DE08E6" w:rsidRPr="00CD3935" w:rsidRDefault="00DE08E6"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90.0% (54.1–99.5%)</w:t>
            </w:r>
          </w:p>
        </w:tc>
        <w:tc>
          <w:tcPr>
            <w:tcW w:w="0" w:type="auto"/>
            <w:tcMar>
              <w:top w:w="150" w:type="dxa"/>
              <w:left w:w="240" w:type="dxa"/>
              <w:bottom w:w="150" w:type="dxa"/>
              <w:right w:w="240" w:type="dxa"/>
            </w:tcMar>
            <w:vAlign w:val="center"/>
            <w:hideMark/>
          </w:tcPr>
          <w:p w14:paraId="19E88B21" w14:textId="77777777" w:rsidR="00DE08E6" w:rsidRPr="00CD3935" w:rsidRDefault="00DE08E6"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100% (46.3–100%)</w:t>
            </w:r>
          </w:p>
        </w:tc>
        <w:tc>
          <w:tcPr>
            <w:tcW w:w="0" w:type="auto"/>
            <w:tcMar>
              <w:top w:w="150" w:type="dxa"/>
              <w:left w:w="240" w:type="dxa"/>
              <w:bottom w:w="150" w:type="dxa"/>
              <w:right w:w="240" w:type="dxa"/>
            </w:tcMar>
            <w:vAlign w:val="center"/>
            <w:hideMark/>
          </w:tcPr>
          <w:p w14:paraId="092E1E66" w14:textId="77777777" w:rsidR="00DE08E6" w:rsidRPr="00CD3935" w:rsidRDefault="00DE08E6"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100% (62.9–100%)</w:t>
            </w:r>
          </w:p>
        </w:tc>
        <w:tc>
          <w:tcPr>
            <w:tcW w:w="0" w:type="auto"/>
            <w:tcMar>
              <w:top w:w="150" w:type="dxa"/>
              <w:left w:w="240" w:type="dxa"/>
              <w:bottom w:w="150" w:type="dxa"/>
              <w:right w:w="0" w:type="dxa"/>
            </w:tcMar>
            <w:vAlign w:val="center"/>
            <w:hideMark/>
          </w:tcPr>
          <w:p w14:paraId="4950E561" w14:textId="77777777" w:rsidR="00DE08E6" w:rsidRPr="00CD3935" w:rsidRDefault="00DE08E6"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83.3% (36.5–99.1%)</w:t>
            </w:r>
          </w:p>
        </w:tc>
      </w:tr>
      <w:tr w:rsidR="00DE08E6" w:rsidRPr="00CD3935" w14:paraId="201E1846" w14:textId="77777777" w:rsidTr="00427655">
        <w:tc>
          <w:tcPr>
            <w:tcW w:w="0" w:type="auto"/>
            <w:tcMar>
              <w:top w:w="150" w:type="dxa"/>
              <w:left w:w="0" w:type="dxa"/>
              <w:bottom w:w="150" w:type="dxa"/>
              <w:right w:w="240" w:type="dxa"/>
            </w:tcMar>
            <w:vAlign w:val="center"/>
            <w:hideMark/>
          </w:tcPr>
          <w:p w14:paraId="27808981" w14:textId="77777777" w:rsidR="00DE08E6" w:rsidRPr="00CD3935" w:rsidRDefault="00DE08E6"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 xml:space="preserve">On </w:t>
            </w:r>
            <w:proofErr w:type="spellStart"/>
            <w:r w:rsidRPr="00CD3935">
              <w:rPr>
                <w:rFonts w:eastAsia="Times New Roman" w:cstheme="minorHAnsi"/>
                <w:color w:val="000000" w:themeColor="text1"/>
                <w:lang w:eastAsia="fr-FR"/>
              </w:rPr>
              <w:t>antibiotics</w:t>
            </w:r>
            <w:proofErr w:type="spellEnd"/>
          </w:p>
        </w:tc>
        <w:tc>
          <w:tcPr>
            <w:tcW w:w="0" w:type="auto"/>
            <w:tcMar>
              <w:top w:w="150" w:type="dxa"/>
              <w:left w:w="240" w:type="dxa"/>
              <w:bottom w:w="150" w:type="dxa"/>
              <w:right w:w="240" w:type="dxa"/>
            </w:tcMar>
            <w:vAlign w:val="center"/>
            <w:hideMark/>
          </w:tcPr>
          <w:p w14:paraId="0927CFF7" w14:textId="77777777" w:rsidR="00DE08E6" w:rsidRPr="00CD3935" w:rsidRDefault="00DE08E6"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10</w:t>
            </w:r>
          </w:p>
        </w:tc>
        <w:tc>
          <w:tcPr>
            <w:tcW w:w="0" w:type="auto"/>
            <w:tcMar>
              <w:top w:w="150" w:type="dxa"/>
              <w:left w:w="240" w:type="dxa"/>
              <w:bottom w:w="150" w:type="dxa"/>
              <w:right w:w="240" w:type="dxa"/>
            </w:tcMar>
            <w:vAlign w:val="center"/>
            <w:hideMark/>
          </w:tcPr>
          <w:p w14:paraId="5761EFC0" w14:textId="77777777" w:rsidR="00DE08E6" w:rsidRPr="00CD3935" w:rsidRDefault="00DE08E6"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85.7% (42.0–99.2%)</w:t>
            </w:r>
          </w:p>
        </w:tc>
        <w:tc>
          <w:tcPr>
            <w:tcW w:w="0" w:type="auto"/>
            <w:tcMar>
              <w:top w:w="150" w:type="dxa"/>
              <w:left w:w="240" w:type="dxa"/>
              <w:bottom w:w="150" w:type="dxa"/>
              <w:right w:w="240" w:type="dxa"/>
            </w:tcMar>
            <w:vAlign w:val="center"/>
            <w:hideMark/>
          </w:tcPr>
          <w:p w14:paraId="63377B5B" w14:textId="77777777" w:rsidR="00DE08E6" w:rsidRPr="00CD3935" w:rsidRDefault="00DE08E6"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100% (31.0–100%)</w:t>
            </w:r>
          </w:p>
        </w:tc>
        <w:tc>
          <w:tcPr>
            <w:tcW w:w="0" w:type="auto"/>
            <w:tcMar>
              <w:top w:w="150" w:type="dxa"/>
              <w:left w:w="240" w:type="dxa"/>
              <w:bottom w:w="150" w:type="dxa"/>
              <w:right w:w="240" w:type="dxa"/>
            </w:tcMar>
            <w:vAlign w:val="center"/>
            <w:hideMark/>
          </w:tcPr>
          <w:p w14:paraId="62842D65" w14:textId="77777777" w:rsidR="00DE08E6" w:rsidRPr="00CD3935" w:rsidRDefault="00DE08E6"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100% (51.7–100%)</w:t>
            </w:r>
          </w:p>
        </w:tc>
        <w:tc>
          <w:tcPr>
            <w:tcW w:w="0" w:type="auto"/>
            <w:tcMar>
              <w:top w:w="150" w:type="dxa"/>
              <w:left w:w="240" w:type="dxa"/>
              <w:bottom w:w="150" w:type="dxa"/>
              <w:right w:w="0" w:type="dxa"/>
            </w:tcMar>
            <w:vAlign w:val="center"/>
            <w:hideMark/>
          </w:tcPr>
          <w:p w14:paraId="03CE65A5" w14:textId="77777777" w:rsidR="00DE08E6" w:rsidRPr="00CD3935" w:rsidRDefault="00DE08E6"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75.0% (21.9–98.7%)</w:t>
            </w:r>
          </w:p>
        </w:tc>
      </w:tr>
      <w:tr w:rsidR="00DE08E6" w:rsidRPr="00CD3935" w14:paraId="15464D7E" w14:textId="77777777" w:rsidTr="00427655">
        <w:tc>
          <w:tcPr>
            <w:tcW w:w="0" w:type="auto"/>
            <w:tcMar>
              <w:top w:w="150" w:type="dxa"/>
              <w:left w:w="0" w:type="dxa"/>
              <w:bottom w:w="150" w:type="dxa"/>
              <w:right w:w="240" w:type="dxa"/>
            </w:tcMar>
            <w:vAlign w:val="center"/>
            <w:hideMark/>
          </w:tcPr>
          <w:p w14:paraId="3D960B26" w14:textId="77777777" w:rsidR="00DE08E6" w:rsidRPr="00CD3935" w:rsidRDefault="00DE08E6"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 xml:space="preserve">Not on </w:t>
            </w:r>
            <w:proofErr w:type="spellStart"/>
            <w:r w:rsidRPr="00CD3935">
              <w:rPr>
                <w:rFonts w:eastAsia="Times New Roman" w:cstheme="minorHAnsi"/>
                <w:color w:val="000000" w:themeColor="text1"/>
                <w:lang w:eastAsia="fr-FR"/>
              </w:rPr>
              <w:t>antibiotics</w:t>
            </w:r>
            <w:proofErr w:type="spellEnd"/>
          </w:p>
        </w:tc>
        <w:tc>
          <w:tcPr>
            <w:tcW w:w="0" w:type="auto"/>
            <w:tcMar>
              <w:top w:w="150" w:type="dxa"/>
              <w:left w:w="240" w:type="dxa"/>
              <w:bottom w:w="150" w:type="dxa"/>
              <w:right w:w="240" w:type="dxa"/>
            </w:tcMar>
            <w:vAlign w:val="center"/>
            <w:hideMark/>
          </w:tcPr>
          <w:p w14:paraId="403682DA" w14:textId="77777777" w:rsidR="00DE08E6" w:rsidRPr="00CD3935" w:rsidRDefault="00DE08E6"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5</w:t>
            </w:r>
          </w:p>
        </w:tc>
        <w:tc>
          <w:tcPr>
            <w:tcW w:w="0" w:type="auto"/>
            <w:tcMar>
              <w:top w:w="150" w:type="dxa"/>
              <w:left w:w="240" w:type="dxa"/>
              <w:bottom w:w="150" w:type="dxa"/>
              <w:right w:w="240" w:type="dxa"/>
            </w:tcMar>
            <w:vAlign w:val="center"/>
            <w:hideMark/>
          </w:tcPr>
          <w:p w14:paraId="0646BB11" w14:textId="77777777" w:rsidR="00DE08E6" w:rsidRPr="00CD3935" w:rsidRDefault="00DE08E6"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100% (31.0–100%)</w:t>
            </w:r>
          </w:p>
        </w:tc>
        <w:tc>
          <w:tcPr>
            <w:tcW w:w="0" w:type="auto"/>
            <w:tcMar>
              <w:top w:w="150" w:type="dxa"/>
              <w:left w:w="240" w:type="dxa"/>
              <w:bottom w:w="150" w:type="dxa"/>
              <w:right w:w="240" w:type="dxa"/>
            </w:tcMar>
            <w:vAlign w:val="center"/>
            <w:hideMark/>
          </w:tcPr>
          <w:p w14:paraId="628334CB" w14:textId="77777777" w:rsidR="00DE08E6" w:rsidRPr="00CD3935" w:rsidRDefault="00DE08E6"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100% (19.8–100%)</w:t>
            </w:r>
          </w:p>
        </w:tc>
        <w:tc>
          <w:tcPr>
            <w:tcW w:w="0" w:type="auto"/>
            <w:tcMar>
              <w:top w:w="150" w:type="dxa"/>
              <w:left w:w="240" w:type="dxa"/>
              <w:bottom w:w="150" w:type="dxa"/>
              <w:right w:w="240" w:type="dxa"/>
            </w:tcMar>
            <w:vAlign w:val="center"/>
            <w:hideMark/>
          </w:tcPr>
          <w:p w14:paraId="5E8D43BC" w14:textId="77777777" w:rsidR="00DE08E6" w:rsidRPr="00CD3935" w:rsidRDefault="00DE08E6"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100% (31.0–100%)</w:t>
            </w:r>
          </w:p>
        </w:tc>
        <w:tc>
          <w:tcPr>
            <w:tcW w:w="0" w:type="auto"/>
            <w:tcMar>
              <w:top w:w="150" w:type="dxa"/>
              <w:left w:w="240" w:type="dxa"/>
              <w:bottom w:w="150" w:type="dxa"/>
              <w:right w:w="0" w:type="dxa"/>
            </w:tcMar>
            <w:vAlign w:val="center"/>
            <w:hideMark/>
          </w:tcPr>
          <w:p w14:paraId="6C6C6407" w14:textId="77777777" w:rsidR="00DE08E6" w:rsidRPr="00CD3935" w:rsidRDefault="00DE08E6"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100% (19.8–100%)</w:t>
            </w:r>
          </w:p>
        </w:tc>
      </w:tr>
    </w:tbl>
    <w:p w14:paraId="107DD7F1" w14:textId="356CB115" w:rsidR="00AA5A39" w:rsidRDefault="00AA5A39" w:rsidP="00AA5A39">
      <w:pPr>
        <w:shd w:val="clear" w:color="auto" w:fill="FFFFFF"/>
        <w:spacing w:before="240" w:after="240"/>
        <w:jc w:val="both"/>
        <w:rPr>
          <w:rFonts w:eastAsia="Times New Roman" w:cstheme="minorHAnsi"/>
          <w:b/>
          <w:bCs/>
          <w:color w:val="000000" w:themeColor="text1"/>
          <w:lang w:eastAsia="fr-FR"/>
        </w:rPr>
      </w:pPr>
    </w:p>
    <w:p w14:paraId="25D251DD" w14:textId="109B5FF5" w:rsidR="00DE08E6" w:rsidRDefault="00DE08E6" w:rsidP="00AA5A39">
      <w:pPr>
        <w:shd w:val="clear" w:color="auto" w:fill="FFFFFF"/>
        <w:spacing w:before="240" w:after="240"/>
        <w:jc w:val="both"/>
        <w:rPr>
          <w:rFonts w:eastAsia="Times New Roman" w:cstheme="minorHAnsi"/>
          <w:b/>
          <w:bCs/>
          <w:color w:val="000000" w:themeColor="text1"/>
          <w:lang w:eastAsia="fr-FR"/>
        </w:rPr>
      </w:pPr>
    </w:p>
    <w:p w14:paraId="33BCF739" w14:textId="7365088A" w:rsidR="00DE08E6" w:rsidRDefault="00DE08E6" w:rsidP="00AA5A39">
      <w:pPr>
        <w:shd w:val="clear" w:color="auto" w:fill="FFFFFF"/>
        <w:spacing w:before="240" w:after="240"/>
        <w:jc w:val="both"/>
        <w:rPr>
          <w:rFonts w:eastAsia="Times New Roman" w:cstheme="minorHAnsi"/>
          <w:b/>
          <w:bCs/>
          <w:color w:val="000000" w:themeColor="text1"/>
          <w:lang w:eastAsia="fr-FR"/>
        </w:rPr>
      </w:pPr>
    </w:p>
    <w:p w14:paraId="0605973D" w14:textId="1F87B170" w:rsidR="00DE08E6" w:rsidRDefault="00DE08E6" w:rsidP="00AA5A39">
      <w:pPr>
        <w:shd w:val="clear" w:color="auto" w:fill="FFFFFF"/>
        <w:spacing w:before="240" w:after="240"/>
        <w:jc w:val="both"/>
        <w:rPr>
          <w:rFonts w:eastAsia="Times New Roman" w:cstheme="minorHAnsi"/>
          <w:b/>
          <w:bCs/>
          <w:color w:val="000000" w:themeColor="text1"/>
          <w:lang w:eastAsia="fr-FR"/>
        </w:rPr>
      </w:pPr>
    </w:p>
    <w:p w14:paraId="33AEEAF5" w14:textId="5878879A" w:rsidR="00DE08E6" w:rsidRDefault="00DE08E6" w:rsidP="00AA5A39">
      <w:pPr>
        <w:shd w:val="clear" w:color="auto" w:fill="FFFFFF"/>
        <w:spacing w:before="240" w:after="240"/>
        <w:jc w:val="both"/>
        <w:rPr>
          <w:rFonts w:eastAsia="Times New Roman" w:cstheme="minorHAnsi"/>
          <w:b/>
          <w:bCs/>
          <w:color w:val="000000" w:themeColor="text1"/>
          <w:lang w:eastAsia="fr-FR"/>
        </w:rPr>
      </w:pPr>
    </w:p>
    <w:p w14:paraId="22F70D8B" w14:textId="7ACF44DD" w:rsidR="00DE08E6" w:rsidRDefault="00DE08E6" w:rsidP="00AA5A39">
      <w:pPr>
        <w:shd w:val="clear" w:color="auto" w:fill="FFFFFF"/>
        <w:spacing w:before="240" w:after="240"/>
        <w:jc w:val="both"/>
        <w:rPr>
          <w:rFonts w:eastAsia="Times New Roman" w:cstheme="minorHAnsi"/>
          <w:b/>
          <w:bCs/>
          <w:color w:val="000000" w:themeColor="text1"/>
          <w:lang w:eastAsia="fr-FR"/>
        </w:rPr>
      </w:pPr>
    </w:p>
    <w:p w14:paraId="7C91DB67" w14:textId="029AE7D9" w:rsidR="00DE08E6" w:rsidRDefault="00DE08E6" w:rsidP="00AA5A39">
      <w:pPr>
        <w:shd w:val="clear" w:color="auto" w:fill="FFFFFF"/>
        <w:spacing w:before="240" w:after="240"/>
        <w:jc w:val="both"/>
        <w:rPr>
          <w:rFonts w:eastAsia="Times New Roman" w:cstheme="minorHAnsi"/>
          <w:b/>
          <w:bCs/>
          <w:color w:val="000000" w:themeColor="text1"/>
          <w:lang w:eastAsia="fr-FR"/>
        </w:rPr>
      </w:pPr>
    </w:p>
    <w:p w14:paraId="0BBD12D4" w14:textId="6F87FBD3" w:rsidR="00DE08E6" w:rsidRDefault="00DE08E6" w:rsidP="00AA5A39">
      <w:pPr>
        <w:shd w:val="clear" w:color="auto" w:fill="FFFFFF"/>
        <w:spacing w:before="240" w:after="240"/>
        <w:jc w:val="both"/>
        <w:rPr>
          <w:rFonts w:eastAsia="Times New Roman" w:cstheme="minorHAnsi"/>
          <w:b/>
          <w:bCs/>
          <w:color w:val="000000" w:themeColor="text1"/>
          <w:lang w:eastAsia="fr-FR"/>
        </w:rPr>
      </w:pPr>
    </w:p>
    <w:p w14:paraId="4ED4AFF3" w14:textId="506ED3F8" w:rsidR="00DE08E6" w:rsidRDefault="00DE08E6" w:rsidP="00AA5A39">
      <w:pPr>
        <w:shd w:val="clear" w:color="auto" w:fill="FFFFFF"/>
        <w:spacing w:before="240" w:after="240"/>
        <w:jc w:val="both"/>
        <w:rPr>
          <w:rFonts w:eastAsia="Times New Roman" w:cstheme="minorHAnsi"/>
          <w:b/>
          <w:bCs/>
          <w:color w:val="000000" w:themeColor="text1"/>
          <w:lang w:eastAsia="fr-FR"/>
        </w:rPr>
      </w:pPr>
    </w:p>
    <w:p w14:paraId="46C6B100" w14:textId="4F813A05" w:rsidR="00DE08E6" w:rsidRDefault="00DE08E6" w:rsidP="00AA5A39">
      <w:pPr>
        <w:shd w:val="clear" w:color="auto" w:fill="FFFFFF"/>
        <w:spacing w:before="240" w:after="240"/>
        <w:jc w:val="both"/>
        <w:rPr>
          <w:rFonts w:eastAsia="Times New Roman" w:cstheme="minorHAnsi"/>
          <w:b/>
          <w:bCs/>
          <w:color w:val="000000" w:themeColor="text1"/>
          <w:lang w:eastAsia="fr-FR"/>
        </w:rPr>
      </w:pPr>
    </w:p>
    <w:p w14:paraId="2B9BB6AC" w14:textId="0FBBAAB2" w:rsidR="00DE08E6" w:rsidRDefault="00DE08E6" w:rsidP="00AA5A39">
      <w:pPr>
        <w:shd w:val="clear" w:color="auto" w:fill="FFFFFF"/>
        <w:spacing w:before="240" w:after="240"/>
        <w:jc w:val="both"/>
        <w:rPr>
          <w:rFonts w:eastAsia="Times New Roman" w:cstheme="minorHAnsi"/>
          <w:b/>
          <w:bCs/>
          <w:color w:val="000000" w:themeColor="text1"/>
          <w:lang w:eastAsia="fr-FR"/>
        </w:rPr>
      </w:pPr>
    </w:p>
    <w:p w14:paraId="2D9029B6" w14:textId="0E9CE3B1" w:rsidR="00DE08E6" w:rsidRDefault="00DE08E6" w:rsidP="00AA5A39">
      <w:pPr>
        <w:shd w:val="clear" w:color="auto" w:fill="FFFFFF"/>
        <w:spacing w:before="240" w:after="240"/>
        <w:jc w:val="both"/>
        <w:rPr>
          <w:rFonts w:eastAsia="Times New Roman" w:cstheme="minorHAnsi"/>
          <w:b/>
          <w:bCs/>
          <w:color w:val="000000" w:themeColor="text1"/>
          <w:lang w:eastAsia="fr-FR"/>
        </w:rPr>
      </w:pPr>
    </w:p>
    <w:p w14:paraId="33D7B619" w14:textId="7571AAC8" w:rsidR="00DE08E6" w:rsidRDefault="00DE08E6" w:rsidP="00AA5A39">
      <w:pPr>
        <w:shd w:val="clear" w:color="auto" w:fill="FFFFFF"/>
        <w:spacing w:before="240" w:after="240"/>
        <w:jc w:val="both"/>
        <w:rPr>
          <w:rFonts w:eastAsia="Times New Roman" w:cstheme="minorHAnsi"/>
          <w:b/>
          <w:bCs/>
          <w:color w:val="000000" w:themeColor="text1"/>
          <w:lang w:eastAsia="fr-FR"/>
        </w:rPr>
      </w:pPr>
    </w:p>
    <w:p w14:paraId="24B1A25C" w14:textId="4DAE65E2" w:rsidR="00DE08E6" w:rsidRDefault="00DE08E6" w:rsidP="00AA5A39">
      <w:pPr>
        <w:shd w:val="clear" w:color="auto" w:fill="FFFFFF"/>
        <w:spacing w:before="240" w:after="240"/>
        <w:jc w:val="both"/>
        <w:rPr>
          <w:rFonts w:eastAsia="Times New Roman" w:cstheme="minorHAnsi"/>
          <w:b/>
          <w:bCs/>
          <w:color w:val="000000" w:themeColor="text1"/>
          <w:lang w:eastAsia="fr-FR"/>
        </w:rPr>
      </w:pPr>
    </w:p>
    <w:p w14:paraId="36876D5D" w14:textId="047B4F99" w:rsidR="00DE08E6" w:rsidRDefault="00DE08E6" w:rsidP="00AA5A39">
      <w:pPr>
        <w:shd w:val="clear" w:color="auto" w:fill="FFFFFF"/>
        <w:spacing w:before="240" w:after="240"/>
        <w:jc w:val="both"/>
        <w:rPr>
          <w:rFonts w:eastAsia="Times New Roman" w:cstheme="minorHAnsi"/>
          <w:b/>
          <w:bCs/>
          <w:color w:val="000000" w:themeColor="text1"/>
          <w:lang w:eastAsia="fr-FR"/>
        </w:rPr>
      </w:pPr>
    </w:p>
    <w:p w14:paraId="09A946A6" w14:textId="77777777" w:rsidR="00DE08E6" w:rsidRDefault="00DE08E6" w:rsidP="00AA5A39">
      <w:pPr>
        <w:shd w:val="clear" w:color="auto" w:fill="FFFFFF"/>
        <w:spacing w:before="240" w:after="240"/>
        <w:jc w:val="both"/>
        <w:rPr>
          <w:rFonts w:eastAsia="Times New Roman" w:cstheme="minorHAnsi"/>
          <w:b/>
          <w:bCs/>
          <w:color w:val="000000" w:themeColor="text1"/>
          <w:lang w:eastAsia="fr-FR"/>
        </w:rPr>
      </w:pPr>
    </w:p>
    <w:p w14:paraId="10A8CCA2" w14:textId="4D06948E" w:rsidR="00AA5A39" w:rsidRPr="00CD3935" w:rsidRDefault="00AA5A39" w:rsidP="00AA5A39">
      <w:pPr>
        <w:shd w:val="clear" w:color="auto" w:fill="FFFFFF"/>
        <w:spacing w:before="240" w:after="240"/>
        <w:jc w:val="both"/>
        <w:rPr>
          <w:rFonts w:eastAsia="Times New Roman" w:cstheme="minorHAnsi"/>
          <w:color w:val="000000" w:themeColor="text1"/>
          <w:lang w:eastAsia="fr-FR"/>
        </w:rPr>
      </w:pPr>
      <w:r w:rsidRPr="00CD3935">
        <w:rPr>
          <w:rFonts w:eastAsia="Times New Roman" w:cstheme="minorHAnsi"/>
          <w:b/>
          <w:bCs/>
          <w:color w:val="000000" w:themeColor="text1"/>
          <w:lang w:eastAsia="fr-FR"/>
        </w:rPr>
        <w:t xml:space="preserve">Table </w:t>
      </w:r>
      <w:proofErr w:type="gramStart"/>
      <w:r w:rsidRPr="00CD3935">
        <w:rPr>
          <w:rFonts w:eastAsia="Times New Roman" w:cstheme="minorHAnsi"/>
          <w:b/>
          <w:bCs/>
          <w:color w:val="000000" w:themeColor="text1"/>
          <w:lang w:eastAsia="fr-FR"/>
        </w:rPr>
        <w:t>3:</w:t>
      </w:r>
      <w:proofErr w:type="gramEnd"/>
      <w:r w:rsidRPr="00CD3935">
        <w:rPr>
          <w:rFonts w:eastAsia="Times New Roman" w:cstheme="minorHAnsi"/>
          <w:b/>
          <w:bCs/>
          <w:color w:val="000000" w:themeColor="text1"/>
          <w:lang w:eastAsia="fr-FR"/>
        </w:rPr>
        <w:t xml:space="preserve"> Semi-Quantitative PET </w:t>
      </w:r>
      <w:proofErr w:type="spellStart"/>
      <w:r w:rsidRPr="00CD3935">
        <w:rPr>
          <w:rFonts w:eastAsia="Times New Roman" w:cstheme="minorHAnsi"/>
          <w:b/>
          <w:bCs/>
          <w:color w:val="000000" w:themeColor="text1"/>
          <w:lang w:eastAsia="fr-FR"/>
        </w:rPr>
        <w:t>Parameters</w:t>
      </w:r>
      <w:proofErr w:type="spellEnd"/>
      <w:r w:rsidRPr="00CD3935">
        <w:rPr>
          <w:rFonts w:eastAsia="Times New Roman" w:cstheme="minorHAnsi"/>
          <w:b/>
          <w:bCs/>
          <w:color w:val="000000" w:themeColor="text1"/>
          <w:lang w:eastAsia="fr-FR"/>
        </w:rPr>
        <w:t xml:space="preserve"> in Positive Scans</w:t>
      </w:r>
    </w:p>
    <w:tbl>
      <w:tblPr>
        <w:tblW w:w="0" w:type="auto"/>
        <w:tblCellMar>
          <w:top w:w="15" w:type="dxa"/>
          <w:left w:w="15" w:type="dxa"/>
          <w:bottom w:w="15" w:type="dxa"/>
          <w:right w:w="15" w:type="dxa"/>
        </w:tblCellMar>
        <w:tblLook w:val="04A0" w:firstRow="1" w:lastRow="0" w:firstColumn="1" w:lastColumn="0" w:noHBand="0" w:noVBand="1"/>
      </w:tblPr>
      <w:tblGrid>
        <w:gridCol w:w="962"/>
        <w:gridCol w:w="1577"/>
        <w:gridCol w:w="1328"/>
        <w:gridCol w:w="1463"/>
        <w:gridCol w:w="1471"/>
        <w:gridCol w:w="1116"/>
        <w:gridCol w:w="1149"/>
      </w:tblGrid>
      <w:tr w:rsidR="00AA5A39" w:rsidRPr="00CD3935" w14:paraId="0E911975" w14:textId="77777777" w:rsidTr="00427655">
        <w:trPr>
          <w:tblHeader/>
        </w:trPr>
        <w:tc>
          <w:tcPr>
            <w:tcW w:w="0" w:type="auto"/>
            <w:tcBorders>
              <w:top w:val="nil"/>
            </w:tcBorders>
            <w:tcMar>
              <w:top w:w="150" w:type="dxa"/>
              <w:left w:w="0" w:type="dxa"/>
              <w:bottom w:w="150" w:type="dxa"/>
              <w:right w:w="240" w:type="dxa"/>
            </w:tcMar>
            <w:vAlign w:val="center"/>
            <w:hideMark/>
          </w:tcPr>
          <w:p w14:paraId="36BF28C3" w14:textId="77777777" w:rsidR="00AA5A39" w:rsidRPr="00CD3935" w:rsidRDefault="00AA5A39" w:rsidP="00427655">
            <w:pPr>
              <w:jc w:val="both"/>
              <w:rPr>
                <w:rFonts w:eastAsia="Times New Roman" w:cstheme="minorHAnsi"/>
                <w:b/>
                <w:bCs/>
                <w:color w:val="000000" w:themeColor="text1"/>
                <w:lang w:eastAsia="fr-FR"/>
              </w:rPr>
            </w:pPr>
            <w:r w:rsidRPr="00CD3935">
              <w:rPr>
                <w:rFonts w:eastAsia="Times New Roman" w:cstheme="minorHAnsi"/>
                <w:b/>
                <w:bCs/>
                <w:color w:val="000000" w:themeColor="text1"/>
                <w:lang w:eastAsia="fr-FR"/>
              </w:rPr>
              <w:t>Patient</w:t>
            </w:r>
          </w:p>
        </w:tc>
        <w:tc>
          <w:tcPr>
            <w:tcW w:w="0" w:type="auto"/>
            <w:tcBorders>
              <w:top w:val="nil"/>
            </w:tcBorders>
            <w:tcMar>
              <w:top w:w="150" w:type="dxa"/>
              <w:left w:w="240" w:type="dxa"/>
              <w:bottom w:w="150" w:type="dxa"/>
              <w:right w:w="240" w:type="dxa"/>
            </w:tcMar>
            <w:vAlign w:val="center"/>
            <w:hideMark/>
          </w:tcPr>
          <w:p w14:paraId="5E8B865F" w14:textId="77777777" w:rsidR="00AA5A39" w:rsidRPr="00CD3935" w:rsidRDefault="00AA5A39" w:rsidP="00427655">
            <w:pPr>
              <w:jc w:val="both"/>
              <w:rPr>
                <w:rFonts w:eastAsia="Times New Roman" w:cstheme="minorHAnsi"/>
                <w:b/>
                <w:bCs/>
                <w:color w:val="000000" w:themeColor="text1"/>
                <w:lang w:eastAsia="fr-FR"/>
              </w:rPr>
            </w:pPr>
            <w:r w:rsidRPr="00CD3935">
              <w:rPr>
                <w:rFonts w:eastAsia="Times New Roman" w:cstheme="minorHAnsi"/>
                <w:b/>
                <w:bCs/>
                <w:color w:val="000000" w:themeColor="text1"/>
                <w:lang w:eastAsia="fr-FR"/>
              </w:rPr>
              <w:t>Site of Infection</w:t>
            </w:r>
          </w:p>
        </w:tc>
        <w:tc>
          <w:tcPr>
            <w:tcW w:w="0" w:type="auto"/>
            <w:tcBorders>
              <w:top w:val="nil"/>
            </w:tcBorders>
            <w:tcMar>
              <w:top w:w="150" w:type="dxa"/>
              <w:left w:w="240" w:type="dxa"/>
              <w:bottom w:w="150" w:type="dxa"/>
              <w:right w:w="240" w:type="dxa"/>
            </w:tcMar>
            <w:vAlign w:val="center"/>
            <w:hideMark/>
          </w:tcPr>
          <w:p w14:paraId="29AED9EF" w14:textId="77777777" w:rsidR="00AA5A39" w:rsidRPr="00CD3935" w:rsidRDefault="00AA5A39" w:rsidP="00427655">
            <w:pPr>
              <w:jc w:val="both"/>
              <w:rPr>
                <w:rFonts w:eastAsia="Times New Roman" w:cstheme="minorHAnsi"/>
                <w:b/>
                <w:bCs/>
                <w:color w:val="000000" w:themeColor="text1"/>
                <w:lang w:eastAsia="fr-FR"/>
              </w:rPr>
            </w:pPr>
            <w:proofErr w:type="spellStart"/>
            <w:r w:rsidRPr="00CD3935">
              <w:rPr>
                <w:rFonts w:eastAsia="Times New Roman" w:cstheme="minorHAnsi"/>
                <w:b/>
                <w:bCs/>
                <w:color w:val="000000" w:themeColor="text1"/>
                <w:lang w:eastAsia="fr-FR"/>
              </w:rPr>
              <w:t>SUVmax</w:t>
            </w:r>
            <w:proofErr w:type="spellEnd"/>
            <w:r w:rsidRPr="00CD3935">
              <w:rPr>
                <w:rFonts w:eastAsia="Times New Roman" w:cstheme="minorHAnsi"/>
                <w:b/>
                <w:bCs/>
                <w:color w:val="000000" w:themeColor="text1"/>
                <w:lang w:eastAsia="fr-FR"/>
              </w:rPr>
              <w:t xml:space="preserve"> (</w:t>
            </w:r>
            <w:proofErr w:type="spellStart"/>
            <w:r w:rsidRPr="00CD3935">
              <w:rPr>
                <w:rFonts w:eastAsia="Times New Roman" w:cstheme="minorHAnsi"/>
                <w:b/>
                <w:bCs/>
                <w:color w:val="000000" w:themeColor="text1"/>
                <w:lang w:eastAsia="fr-FR"/>
              </w:rPr>
              <w:t>lesion</w:t>
            </w:r>
            <w:proofErr w:type="spellEnd"/>
            <w:r w:rsidRPr="00CD3935">
              <w:rPr>
                <w:rFonts w:eastAsia="Times New Roman" w:cstheme="minorHAnsi"/>
                <w:b/>
                <w:bCs/>
                <w:color w:val="000000" w:themeColor="text1"/>
                <w:lang w:eastAsia="fr-FR"/>
              </w:rPr>
              <w:t>)</w:t>
            </w:r>
          </w:p>
        </w:tc>
        <w:tc>
          <w:tcPr>
            <w:tcW w:w="0" w:type="auto"/>
            <w:tcBorders>
              <w:top w:val="nil"/>
            </w:tcBorders>
            <w:tcMar>
              <w:top w:w="150" w:type="dxa"/>
              <w:left w:w="240" w:type="dxa"/>
              <w:bottom w:w="150" w:type="dxa"/>
              <w:right w:w="240" w:type="dxa"/>
            </w:tcMar>
            <w:vAlign w:val="center"/>
            <w:hideMark/>
          </w:tcPr>
          <w:p w14:paraId="33EB5D1F" w14:textId="77777777" w:rsidR="00AA5A39" w:rsidRPr="00CD3935" w:rsidRDefault="00AA5A39" w:rsidP="00427655">
            <w:pPr>
              <w:jc w:val="both"/>
              <w:rPr>
                <w:rFonts w:eastAsia="Times New Roman" w:cstheme="minorHAnsi"/>
                <w:b/>
                <w:bCs/>
                <w:color w:val="000000" w:themeColor="text1"/>
                <w:lang w:eastAsia="fr-FR"/>
              </w:rPr>
            </w:pPr>
            <w:proofErr w:type="spellStart"/>
            <w:r w:rsidRPr="00CD3935">
              <w:rPr>
                <w:rFonts w:eastAsia="Times New Roman" w:cstheme="minorHAnsi"/>
                <w:b/>
                <w:bCs/>
                <w:color w:val="000000" w:themeColor="text1"/>
                <w:lang w:eastAsia="fr-FR"/>
              </w:rPr>
              <w:t>Liver</w:t>
            </w:r>
            <w:proofErr w:type="spellEnd"/>
            <w:r w:rsidRPr="00CD3935">
              <w:rPr>
                <w:rFonts w:eastAsia="Times New Roman" w:cstheme="minorHAnsi"/>
                <w:b/>
                <w:bCs/>
                <w:color w:val="000000" w:themeColor="text1"/>
                <w:lang w:eastAsia="fr-FR"/>
              </w:rPr>
              <w:t xml:space="preserve"> </w:t>
            </w:r>
            <w:proofErr w:type="spellStart"/>
            <w:r w:rsidRPr="00CD3935">
              <w:rPr>
                <w:rFonts w:eastAsia="Times New Roman" w:cstheme="minorHAnsi"/>
                <w:b/>
                <w:bCs/>
                <w:color w:val="000000" w:themeColor="text1"/>
                <w:lang w:eastAsia="fr-FR"/>
              </w:rPr>
              <w:t>SUVmean</w:t>
            </w:r>
            <w:proofErr w:type="spellEnd"/>
          </w:p>
        </w:tc>
        <w:tc>
          <w:tcPr>
            <w:tcW w:w="0" w:type="auto"/>
            <w:tcBorders>
              <w:top w:val="nil"/>
            </w:tcBorders>
            <w:tcMar>
              <w:top w:w="150" w:type="dxa"/>
              <w:left w:w="240" w:type="dxa"/>
              <w:bottom w:w="150" w:type="dxa"/>
              <w:right w:w="240" w:type="dxa"/>
            </w:tcMar>
            <w:vAlign w:val="center"/>
            <w:hideMark/>
          </w:tcPr>
          <w:p w14:paraId="67604A0C" w14:textId="77777777" w:rsidR="00AA5A39" w:rsidRPr="00CD3935" w:rsidRDefault="00AA5A39" w:rsidP="00427655">
            <w:pPr>
              <w:jc w:val="both"/>
              <w:rPr>
                <w:rFonts w:eastAsia="Times New Roman" w:cstheme="minorHAnsi"/>
                <w:b/>
                <w:bCs/>
                <w:color w:val="000000" w:themeColor="text1"/>
                <w:lang w:eastAsia="fr-FR"/>
              </w:rPr>
            </w:pPr>
            <w:r w:rsidRPr="00CD3935">
              <w:rPr>
                <w:rFonts w:eastAsia="Times New Roman" w:cstheme="minorHAnsi"/>
                <w:b/>
                <w:bCs/>
                <w:color w:val="000000" w:themeColor="text1"/>
                <w:lang w:eastAsia="fr-FR"/>
              </w:rPr>
              <w:t xml:space="preserve">Blood Pool </w:t>
            </w:r>
            <w:proofErr w:type="spellStart"/>
            <w:r w:rsidRPr="00CD3935">
              <w:rPr>
                <w:rFonts w:eastAsia="Times New Roman" w:cstheme="minorHAnsi"/>
                <w:b/>
                <w:bCs/>
                <w:color w:val="000000" w:themeColor="text1"/>
                <w:lang w:eastAsia="fr-FR"/>
              </w:rPr>
              <w:t>SUVmean</w:t>
            </w:r>
            <w:proofErr w:type="spellEnd"/>
          </w:p>
        </w:tc>
        <w:tc>
          <w:tcPr>
            <w:tcW w:w="0" w:type="auto"/>
            <w:tcBorders>
              <w:top w:val="nil"/>
            </w:tcBorders>
            <w:tcMar>
              <w:top w:w="150" w:type="dxa"/>
              <w:left w:w="240" w:type="dxa"/>
              <w:bottom w:w="150" w:type="dxa"/>
              <w:right w:w="240" w:type="dxa"/>
            </w:tcMar>
            <w:vAlign w:val="center"/>
            <w:hideMark/>
          </w:tcPr>
          <w:p w14:paraId="74059BC0" w14:textId="77777777" w:rsidR="00AA5A39" w:rsidRPr="00CD3935" w:rsidRDefault="00AA5A39" w:rsidP="00427655">
            <w:pPr>
              <w:jc w:val="both"/>
              <w:rPr>
                <w:rFonts w:eastAsia="Times New Roman" w:cstheme="minorHAnsi"/>
                <w:b/>
                <w:bCs/>
                <w:color w:val="000000" w:themeColor="text1"/>
                <w:lang w:eastAsia="fr-FR"/>
              </w:rPr>
            </w:pPr>
            <w:r w:rsidRPr="00CD3935">
              <w:rPr>
                <w:rFonts w:eastAsia="Times New Roman" w:cstheme="minorHAnsi"/>
                <w:b/>
                <w:bCs/>
                <w:color w:val="000000" w:themeColor="text1"/>
                <w:lang w:eastAsia="fr-FR"/>
              </w:rPr>
              <w:t>TBR (</w:t>
            </w:r>
            <w:proofErr w:type="spellStart"/>
            <w:r w:rsidRPr="00CD3935">
              <w:rPr>
                <w:rFonts w:eastAsia="Times New Roman" w:cstheme="minorHAnsi"/>
                <w:b/>
                <w:bCs/>
                <w:color w:val="000000" w:themeColor="text1"/>
                <w:lang w:eastAsia="fr-FR"/>
              </w:rPr>
              <w:t>Liver</w:t>
            </w:r>
            <w:proofErr w:type="spellEnd"/>
            <w:r w:rsidRPr="00CD3935">
              <w:rPr>
                <w:rFonts w:eastAsia="Times New Roman" w:cstheme="minorHAnsi"/>
                <w:b/>
                <w:bCs/>
                <w:color w:val="000000" w:themeColor="text1"/>
                <w:lang w:eastAsia="fr-FR"/>
              </w:rPr>
              <w:t>)</w:t>
            </w:r>
          </w:p>
        </w:tc>
        <w:tc>
          <w:tcPr>
            <w:tcW w:w="0" w:type="auto"/>
            <w:tcBorders>
              <w:top w:val="nil"/>
            </w:tcBorders>
            <w:tcMar>
              <w:top w:w="150" w:type="dxa"/>
              <w:left w:w="240" w:type="dxa"/>
              <w:bottom w:w="150" w:type="dxa"/>
              <w:right w:w="240" w:type="dxa"/>
            </w:tcMar>
            <w:vAlign w:val="center"/>
            <w:hideMark/>
          </w:tcPr>
          <w:p w14:paraId="16351C73" w14:textId="77777777" w:rsidR="00AA5A39" w:rsidRPr="00CD3935" w:rsidRDefault="00AA5A39" w:rsidP="00427655">
            <w:pPr>
              <w:jc w:val="both"/>
              <w:rPr>
                <w:rFonts w:eastAsia="Times New Roman" w:cstheme="minorHAnsi"/>
                <w:b/>
                <w:bCs/>
                <w:color w:val="000000" w:themeColor="text1"/>
                <w:lang w:eastAsia="fr-FR"/>
              </w:rPr>
            </w:pPr>
            <w:r w:rsidRPr="00CD3935">
              <w:rPr>
                <w:rFonts w:eastAsia="Times New Roman" w:cstheme="minorHAnsi"/>
                <w:b/>
                <w:bCs/>
                <w:color w:val="000000" w:themeColor="text1"/>
                <w:lang w:eastAsia="fr-FR"/>
              </w:rPr>
              <w:t>TBR (Blood Pool)</w:t>
            </w:r>
          </w:p>
        </w:tc>
      </w:tr>
      <w:tr w:rsidR="00AA5A39" w:rsidRPr="00CD3935" w14:paraId="5E957823" w14:textId="77777777" w:rsidTr="00427655">
        <w:tc>
          <w:tcPr>
            <w:tcW w:w="0" w:type="auto"/>
            <w:tcMar>
              <w:top w:w="150" w:type="dxa"/>
              <w:left w:w="0" w:type="dxa"/>
              <w:bottom w:w="150" w:type="dxa"/>
              <w:right w:w="240" w:type="dxa"/>
            </w:tcMar>
            <w:vAlign w:val="center"/>
            <w:hideMark/>
          </w:tcPr>
          <w:p w14:paraId="6F8A6163"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1</w:t>
            </w:r>
          </w:p>
        </w:tc>
        <w:tc>
          <w:tcPr>
            <w:tcW w:w="0" w:type="auto"/>
            <w:tcMar>
              <w:top w:w="150" w:type="dxa"/>
              <w:left w:w="240" w:type="dxa"/>
              <w:bottom w:w="150" w:type="dxa"/>
              <w:right w:w="240" w:type="dxa"/>
            </w:tcMar>
            <w:vAlign w:val="center"/>
            <w:hideMark/>
          </w:tcPr>
          <w:p w14:paraId="2AC70289" w14:textId="77777777" w:rsidR="00AA5A39" w:rsidRPr="00CD3935" w:rsidRDefault="00AA5A39" w:rsidP="00427655">
            <w:pPr>
              <w:jc w:val="both"/>
              <w:rPr>
                <w:rFonts w:eastAsia="Times New Roman" w:cstheme="minorHAnsi"/>
                <w:color w:val="000000" w:themeColor="text1"/>
                <w:lang w:eastAsia="fr-FR"/>
              </w:rPr>
            </w:pPr>
            <w:proofErr w:type="spellStart"/>
            <w:r w:rsidRPr="00CD3935">
              <w:rPr>
                <w:rFonts w:eastAsia="Times New Roman" w:cstheme="minorHAnsi"/>
                <w:color w:val="000000" w:themeColor="text1"/>
                <w:lang w:eastAsia="fr-FR"/>
              </w:rPr>
              <w:t>Prosthetic</w:t>
            </w:r>
            <w:proofErr w:type="spellEnd"/>
            <w:r w:rsidRPr="00CD3935">
              <w:rPr>
                <w:rFonts w:eastAsia="Times New Roman" w:cstheme="minorHAnsi"/>
                <w:color w:val="000000" w:themeColor="text1"/>
                <w:lang w:eastAsia="fr-FR"/>
              </w:rPr>
              <w:t xml:space="preserve"> </w:t>
            </w:r>
            <w:proofErr w:type="spellStart"/>
            <w:r w:rsidRPr="00CD3935">
              <w:rPr>
                <w:rFonts w:eastAsia="Times New Roman" w:cstheme="minorHAnsi"/>
                <w:color w:val="000000" w:themeColor="text1"/>
                <w:lang w:eastAsia="fr-FR"/>
              </w:rPr>
              <w:t>aortic</w:t>
            </w:r>
            <w:proofErr w:type="spellEnd"/>
            <w:r w:rsidRPr="00CD3935">
              <w:rPr>
                <w:rFonts w:eastAsia="Times New Roman" w:cstheme="minorHAnsi"/>
                <w:color w:val="000000" w:themeColor="text1"/>
                <w:lang w:eastAsia="fr-FR"/>
              </w:rPr>
              <w:t xml:space="preserve"> valve</w:t>
            </w:r>
          </w:p>
        </w:tc>
        <w:tc>
          <w:tcPr>
            <w:tcW w:w="0" w:type="auto"/>
            <w:tcMar>
              <w:top w:w="150" w:type="dxa"/>
              <w:left w:w="240" w:type="dxa"/>
              <w:bottom w:w="150" w:type="dxa"/>
              <w:right w:w="240" w:type="dxa"/>
            </w:tcMar>
            <w:vAlign w:val="center"/>
            <w:hideMark/>
          </w:tcPr>
          <w:p w14:paraId="2FB90714"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6.2</w:t>
            </w:r>
          </w:p>
        </w:tc>
        <w:tc>
          <w:tcPr>
            <w:tcW w:w="0" w:type="auto"/>
            <w:tcMar>
              <w:top w:w="150" w:type="dxa"/>
              <w:left w:w="240" w:type="dxa"/>
              <w:bottom w:w="150" w:type="dxa"/>
              <w:right w:w="240" w:type="dxa"/>
            </w:tcMar>
            <w:vAlign w:val="center"/>
            <w:hideMark/>
          </w:tcPr>
          <w:p w14:paraId="685164C7"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2.8</w:t>
            </w:r>
          </w:p>
        </w:tc>
        <w:tc>
          <w:tcPr>
            <w:tcW w:w="0" w:type="auto"/>
            <w:tcMar>
              <w:top w:w="150" w:type="dxa"/>
              <w:left w:w="240" w:type="dxa"/>
              <w:bottom w:w="150" w:type="dxa"/>
              <w:right w:w="240" w:type="dxa"/>
            </w:tcMar>
            <w:vAlign w:val="center"/>
            <w:hideMark/>
          </w:tcPr>
          <w:p w14:paraId="15941052"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1.5</w:t>
            </w:r>
          </w:p>
        </w:tc>
        <w:tc>
          <w:tcPr>
            <w:tcW w:w="0" w:type="auto"/>
            <w:tcMar>
              <w:top w:w="150" w:type="dxa"/>
              <w:left w:w="240" w:type="dxa"/>
              <w:bottom w:w="150" w:type="dxa"/>
              <w:right w:w="240" w:type="dxa"/>
            </w:tcMar>
            <w:vAlign w:val="center"/>
            <w:hideMark/>
          </w:tcPr>
          <w:p w14:paraId="6C42CE16"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2.2</w:t>
            </w:r>
          </w:p>
        </w:tc>
        <w:tc>
          <w:tcPr>
            <w:tcW w:w="0" w:type="auto"/>
            <w:tcMar>
              <w:top w:w="150" w:type="dxa"/>
              <w:left w:w="240" w:type="dxa"/>
              <w:bottom w:w="150" w:type="dxa"/>
              <w:right w:w="0" w:type="dxa"/>
            </w:tcMar>
            <w:vAlign w:val="center"/>
            <w:hideMark/>
          </w:tcPr>
          <w:p w14:paraId="59E919F3"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4.1</w:t>
            </w:r>
          </w:p>
        </w:tc>
      </w:tr>
      <w:tr w:rsidR="00AA5A39" w:rsidRPr="00CD3935" w14:paraId="70D2C097" w14:textId="77777777" w:rsidTr="00427655">
        <w:tc>
          <w:tcPr>
            <w:tcW w:w="0" w:type="auto"/>
            <w:tcMar>
              <w:top w:w="150" w:type="dxa"/>
              <w:left w:w="0" w:type="dxa"/>
              <w:bottom w:w="150" w:type="dxa"/>
              <w:right w:w="240" w:type="dxa"/>
            </w:tcMar>
            <w:vAlign w:val="center"/>
            <w:hideMark/>
          </w:tcPr>
          <w:p w14:paraId="272EB008"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2</w:t>
            </w:r>
          </w:p>
        </w:tc>
        <w:tc>
          <w:tcPr>
            <w:tcW w:w="0" w:type="auto"/>
            <w:tcMar>
              <w:top w:w="150" w:type="dxa"/>
              <w:left w:w="240" w:type="dxa"/>
              <w:bottom w:w="150" w:type="dxa"/>
              <w:right w:w="240" w:type="dxa"/>
            </w:tcMar>
            <w:vAlign w:val="center"/>
            <w:hideMark/>
          </w:tcPr>
          <w:p w14:paraId="4523EA2A" w14:textId="77777777" w:rsidR="00AA5A39" w:rsidRPr="00CD3935" w:rsidRDefault="00AA5A39" w:rsidP="00427655">
            <w:pPr>
              <w:jc w:val="both"/>
              <w:rPr>
                <w:rFonts w:eastAsia="Times New Roman" w:cstheme="minorHAnsi"/>
                <w:color w:val="000000" w:themeColor="text1"/>
                <w:lang w:eastAsia="fr-FR"/>
              </w:rPr>
            </w:pPr>
            <w:proofErr w:type="spellStart"/>
            <w:r w:rsidRPr="00CD3935">
              <w:rPr>
                <w:rFonts w:eastAsia="Times New Roman" w:cstheme="minorHAnsi"/>
                <w:color w:val="000000" w:themeColor="text1"/>
                <w:lang w:eastAsia="fr-FR"/>
              </w:rPr>
              <w:t>Prosthetic</w:t>
            </w:r>
            <w:proofErr w:type="spellEnd"/>
            <w:r w:rsidRPr="00CD3935">
              <w:rPr>
                <w:rFonts w:eastAsia="Times New Roman" w:cstheme="minorHAnsi"/>
                <w:color w:val="000000" w:themeColor="text1"/>
                <w:lang w:eastAsia="fr-FR"/>
              </w:rPr>
              <w:t xml:space="preserve"> mitral valve</w:t>
            </w:r>
          </w:p>
        </w:tc>
        <w:tc>
          <w:tcPr>
            <w:tcW w:w="0" w:type="auto"/>
            <w:tcMar>
              <w:top w:w="150" w:type="dxa"/>
              <w:left w:w="240" w:type="dxa"/>
              <w:bottom w:w="150" w:type="dxa"/>
              <w:right w:w="240" w:type="dxa"/>
            </w:tcMar>
            <w:vAlign w:val="center"/>
            <w:hideMark/>
          </w:tcPr>
          <w:p w14:paraId="0DDB1D22"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5.8</w:t>
            </w:r>
          </w:p>
        </w:tc>
        <w:tc>
          <w:tcPr>
            <w:tcW w:w="0" w:type="auto"/>
            <w:tcMar>
              <w:top w:w="150" w:type="dxa"/>
              <w:left w:w="240" w:type="dxa"/>
              <w:bottom w:w="150" w:type="dxa"/>
              <w:right w:w="240" w:type="dxa"/>
            </w:tcMar>
            <w:vAlign w:val="center"/>
            <w:hideMark/>
          </w:tcPr>
          <w:p w14:paraId="29F96CF5"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2.6</w:t>
            </w:r>
          </w:p>
        </w:tc>
        <w:tc>
          <w:tcPr>
            <w:tcW w:w="0" w:type="auto"/>
            <w:tcMar>
              <w:top w:w="150" w:type="dxa"/>
              <w:left w:w="240" w:type="dxa"/>
              <w:bottom w:w="150" w:type="dxa"/>
              <w:right w:w="240" w:type="dxa"/>
            </w:tcMar>
            <w:vAlign w:val="center"/>
            <w:hideMark/>
          </w:tcPr>
          <w:p w14:paraId="60D5B10B"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1.4</w:t>
            </w:r>
          </w:p>
        </w:tc>
        <w:tc>
          <w:tcPr>
            <w:tcW w:w="0" w:type="auto"/>
            <w:tcMar>
              <w:top w:w="150" w:type="dxa"/>
              <w:left w:w="240" w:type="dxa"/>
              <w:bottom w:w="150" w:type="dxa"/>
              <w:right w:w="240" w:type="dxa"/>
            </w:tcMar>
            <w:vAlign w:val="center"/>
            <w:hideMark/>
          </w:tcPr>
          <w:p w14:paraId="00F5DC20"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2.2</w:t>
            </w:r>
          </w:p>
        </w:tc>
        <w:tc>
          <w:tcPr>
            <w:tcW w:w="0" w:type="auto"/>
            <w:tcMar>
              <w:top w:w="150" w:type="dxa"/>
              <w:left w:w="240" w:type="dxa"/>
              <w:bottom w:w="150" w:type="dxa"/>
              <w:right w:w="0" w:type="dxa"/>
            </w:tcMar>
            <w:vAlign w:val="center"/>
            <w:hideMark/>
          </w:tcPr>
          <w:p w14:paraId="730A6507"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4.1</w:t>
            </w:r>
          </w:p>
        </w:tc>
      </w:tr>
      <w:tr w:rsidR="00AA5A39" w:rsidRPr="00CD3935" w14:paraId="5670D119" w14:textId="77777777" w:rsidTr="00427655">
        <w:tc>
          <w:tcPr>
            <w:tcW w:w="0" w:type="auto"/>
            <w:tcMar>
              <w:top w:w="150" w:type="dxa"/>
              <w:left w:w="0" w:type="dxa"/>
              <w:bottom w:w="150" w:type="dxa"/>
              <w:right w:w="240" w:type="dxa"/>
            </w:tcMar>
            <w:vAlign w:val="center"/>
            <w:hideMark/>
          </w:tcPr>
          <w:p w14:paraId="603360C2"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3</w:t>
            </w:r>
          </w:p>
        </w:tc>
        <w:tc>
          <w:tcPr>
            <w:tcW w:w="0" w:type="auto"/>
            <w:tcMar>
              <w:top w:w="150" w:type="dxa"/>
              <w:left w:w="240" w:type="dxa"/>
              <w:bottom w:w="150" w:type="dxa"/>
              <w:right w:w="240" w:type="dxa"/>
            </w:tcMar>
            <w:vAlign w:val="center"/>
            <w:hideMark/>
          </w:tcPr>
          <w:p w14:paraId="2E13CEB7" w14:textId="77777777" w:rsidR="00AA5A39" w:rsidRPr="00CD3935" w:rsidRDefault="00AA5A39" w:rsidP="00427655">
            <w:pPr>
              <w:jc w:val="both"/>
              <w:rPr>
                <w:rFonts w:eastAsia="Times New Roman" w:cstheme="minorHAnsi"/>
                <w:color w:val="000000" w:themeColor="text1"/>
                <w:lang w:eastAsia="fr-FR"/>
              </w:rPr>
            </w:pPr>
            <w:proofErr w:type="spellStart"/>
            <w:r w:rsidRPr="00CD3935">
              <w:rPr>
                <w:rFonts w:eastAsia="Times New Roman" w:cstheme="minorHAnsi"/>
                <w:color w:val="000000" w:themeColor="text1"/>
                <w:lang w:eastAsia="fr-FR"/>
              </w:rPr>
              <w:t>Prosthetic</w:t>
            </w:r>
            <w:proofErr w:type="spellEnd"/>
            <w:r w:rsidRPr="00CD3935">
              <w:rPr>
                <w:rFonts w:eastAsia="Times New Roman" w:cstheme="minorHAnsi"/>
                <w:color w:val="000000" w:themeColor="text1"/>
                <w:lang w:eastAsia="fr-FR"/>
              </w:rPr>
              <w:t xml:space="preserve"> </w:t>
            </w:r>
            <w:proofErr w:type="spellStart"/>
            <w:r w:rsidRPr="00CD3935">
              <w:rPr>
                <w:rFonts w:eastAsia="Times New Roman" w:cstheme="minorHAnsi"/>
                <w:color w:val="000000" w:themeColor="text1"/>
                <w:lang w:eastAsia="fr-FR"/>
              </w:rPr>
              <w:t>aortic</w:t>
            </w:r>
            <w:proofErr w:type="spellEnd"/>
            <w:r w:rsidRPr="00CD3935">
              <w:rPr>
                <w:rFonts w:eastAsia="Times New Roman" w:cstheme="minorHAnsi"/>
                <w:color w:val="000000" w:themeColor="text1"/>
                <w:lang w:eastAsia="fr-FR"/>
              </w:rPr>
              <w:t xml:space="preserve"> valve</w:t>
            </w:r>
          </w:p>
        </w:tc>
        <w:tc>
          <w:tcPr>
            <w:tcW w:w="0" w:type="auto"/>
            <w:tcMar>
              <w:top w:w="150" w:type="dxa"/>
              <w:left w:w="240" w:type="dxa"/>
              <w:bottom w:w="150" w:type="dxa"/>
              <w:right w:w="240" w:type="dxa"/>
            </w:tcMar>
            <w:vAlign w:val="center"/>
            <w:hideMark/>
          </w:tcPr>
          <w:p w14:paraId="48EE0CF5"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7.1</w:t>
            </w:r>
          </w:p>
        </w:tc>
        <w:tc>
          <w:tcPr>
            <w:tcW w:w="0" w:type="auto"/>
            <w:tcMar>
              <w:top w:w="150" w:type="dxa"/>
              <w:left w:w="240" w:type="dxa"/>
              <w:bottom w:w="150" w:type="dxa"/>
              <w:right w:w="240" w:type="dxa"/>
            </w:tcMar>
            <w:vAlign w:val="center"/>
            <w:hideMark/>
          </w:tcPr>
          <w:p w14:paraId="6F7401F8"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2.9</w:t>
            </w:r>
          </w:p>
        </w:tc>
        <w:tc>
          <w:tcPr>
            <w:tcW w:w="0" w:type="auto"/>
            <w:tcMar>
              <w:top w:w="150" w:type="dxa"/>
              <w:left w:w="240" w:type="dxa"/>
              <w:bottom w:w="150" w:type="dxa"/>
              <w:right w:w="240" w:type="dxa"/>
            </w:tcMar>
            <w:vAlign w:val="center"/>
            <w:hideMark/>
          </w:tcPr>
          <w:p w14:paraId="507C87AC"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1.6</w:t>
            </w:r>
          </w:p>
        </w:tc>
        <w:tc>
          <w:tcPr>
            <w:tcW w:w="0" w:type="auto"/>
            <w:tcMar>
              <w:top w:w="150" w:type="dxa"/>
              <w:left w:w="240" w:type="dxa"/>
              <w:bottom w:w="150" w:type="dxa"/>
              <w:right w:w="240" w:type="dxa"/>
            </w:tcMar>
            <w:vAlign w:val="center"/>
            <w:hideMark/>
          </w:tcPr>
          <w:p w14:paraId="546D9FA2"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2.4</w:t>
            </w:r>
          </w:p>
        </w:tc>
        <w:tc>
          <w:tcPr>
            <w:tcW w:w="0" w:type="auto"/>
            <w:tcMar>
              <w:top w:w="150" w:type="dxa"/>
              <w:left w:w="240" w:type="dxa"/>
              <w:bottom w:w="150" w:type="dxa"/>
              <w:right w:w="0" w:type="dxa"/>
            </w:tcMar>
            <w:vAlign w:val="center"/>
            <w:hideMark/>
          </w:tcPr>
          <w:p w14:paraId="0C91F501"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4.4</w:t>
            </w:r>
          </w:p>
        </w:tc>
      </w:tr>
      <w:tr w:rsidR="00AA5A39" w:rsidRPr="00CD3935" w14:paraId="52CA1ADD" w14:textId="77777777" w:rsidTr="00427655">
        <w:tc>
          <w:tcPr>
            <w:tcW w:w="0" w:type="auto"/>
            <w:tcMar>
              <w:top w:w="150" w:type="dxa"/>
              <w:left w:w="0" w:type="dxa"/>
              <w:bottom w:w="150" w:type="dxa"/>
              <w:right w:w="240" w:type="dxa"/>
            </w:tcMar>
            <w:vAlign w:val="center"/>
            <w:hideMark/>
          </w:tcPr>
          <w:p w14:paraId="41128C97"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4</w:t>
            </w:r>
          </w:p>
        </w:tc>
        <w:tc>
          <w:tcPr>
            <w:tcW w:w="0" w:type="auto"/>
            <w:tcMar>
              <w:top w:w="150" w:type="dxa"/>
              <w:left w:w="240" w:type="dxa"/>
              <w:bottom w:w="150" w:type="dxa"/>
              <w:right w:w="240" w:type="dxa"/>
            </w:tcMar>
            <w:vAlign w:val="center"/>
            <w:hideMark/>
          </w:tcPr>
          <w:p w14:paraId="7FA854E5" w14:textId="77777777" w:rsidR="00AA5A39" w:rsidRPr="00CD3935" w:rsidRDefault="00AA5A39" w:rsidP="00427655">
            <w:pPr>
              <w:jc w:val="both"/>
              <w:rPr>
                <w:rFonts w:eastAsia="Times New Roman" w:cstheme="minorHAnsi"/>
                <w:color w:val="000000" w:themeColor="text1"/>
                <w:lang w:eastAsia="fr-FR"/>
              </w:rPr>
            </w:pPr>
            <w:proofErr w:type="spellStart"/>
            <w:r w:rsidRPr="00CD3935">
              <w:rPr>
                <w:rFonts w:eastAsia="Times New Roman" w:cstheme="minorHAnsi"/>
                <w:color w:val="000000" w:themeColor="text1"/>
                <w:lang w:eastAsia="fr-FR"/>
              </w:rPr>
              <w:t>Prosthetic</w:t>
            </w:r>
            <w:proofErr w:type="spellEnd"/>
            <w:r w:rsidRPr="00CD3935">
              <w:rPr>
                <w:rFonts w:eastAsia="Times New Roman" w:cstheme="minorHAnsi"/>
                <w:color w:val="000000" w:themeColor="text1"/>
                <w:lang w:eastAsia="fr-FR"/>
              </w:rPr>
              <w:t xml:space="preserve"> </w:t>
            </w:r>
            <w:proofErr w:type="spellStart"/>
            <w:r w:rsidRPr="00CD3935">
              <w:rPr>
                <w:rFonts w:eastAsia="Times New Roman" w:cstheme="minorHAnsi"/>
                <w:color w:val="000000" w:themeColor="text1"/>
                <w:lang w:eastAsia="fr-FR"/>
              </w:rPr>
              <w:t>aortic</w:t>
            </w:r>
            <w:proofErr w:type="spellEnd"/>
            <w:r w:rsidRPr="00CD3935">
              <w:rPr>
                <w:rFonts w:eastAsia="Times New Roman" w:cstheme="minorHAnsi"/>
                <w:color w:val="000000" w:themeColor="text1"/>
                <w:lang w:eastAsia="fr-FR"/>
              </w:rPr>
              <w:t xml:space="preserve"> valve</w:t>
            </w:r>
          </w:p>
        </w:tc>
        <w:tc>
          <w:tcPr>
            <w:tcW w:w="0" w:type="auto"/>
            <w:tcMar>
              <w:top w:w="150" w:type="dxa"/>
              <w:left w:w="240" w:type="dxa"/>
              <w:bottom w:w="150" w:type="dxa"/>
              <w:right w:w="240" w:type="dxa"/>
            </w:tcMar>
            <w:vAlign w:val="center"/>
            <w:hideMark/>
          </w:tcPr>
          <w:p w14:paraId="77CDBF70"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4.2</w:t>
            </w:r>
          </w:p>
        </w:tc>
        <w:tc>
          <w:tcPr>
            <w:tcW w:w="0" w:type="auto"/>
            <w:tcMar>
              <w:top w:w="150" w:type="dxa"/>
              <w:left w:w="240" w:type="dxa"/>
              <w:bottom w:w="150" w:type="dxa"/>
              <w:right w:w="240" w:type="dxa"/>
            </w:tcMar>
            <w:vAlign w:val="center"/>
            <w:hideMark/>
          </w:tcPr>
          <w:p w14:paraId="2B361B68"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2.5</w:t>
            </w:r>
          </w:p>
        </w:tc>
        <w:tc>
          <w:tcPr>
            <w:tcW w:w="0" w:type="auto"/>
            <w:tcMar>
              <w:top w:w="150" w:type="dxa"/>
              <w:left w:w="240" w:type="dxa"/>
              <w:bottom w:w="150" w:type="dxa"/>
              <w:right w:w="240" w:type="dxa"/>
            </w:tcMar>
            <w:vAlign w:val="center"/>
            <w:hideMark/>
          </w:tcPr>
          <w:p w14:paraId="55C63807"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1.3</w:t>
            </w:r>
          </w:p>
        </w:tc>
        <w:tc>
          <w:tcPr>
            <w:tcW w:w="0" w:type="auto"/>
            <w:tcMar>
              <w:top w:w="150" w:type="dxa"/>
              <w:left w:w="240" w:type="dxa"/>
              <w:bottom w:w="150" w:type="dxa"/>
              <w:right w:w="240" w:type="dxa"/>
            </w:tcMar>
            <w:vAlign w:val="center"/>
            <w:hideMark/>
          </w:tcPr>
          <w:p w14:paraId="306036D1"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1.7</w:t>
            </w:r>
          </w:p>
        </w:tc>
        <w:tc>
          <w:tcPr>
            <w:tcW w:w="0" w:type="auto"/>
            <w:tcMar>
              <w:top w:w="150" w:type="dxa"/>
              <w:left w:w="240" w:type="dxa"/>
              <w:bottom w:w="150" w:type="dxa"/>
              <w:right w:w="0" w:type="dxa"/>
            </w:tcMar>
            <w:vAlign w:val="center"/>
            <w:hideMark/>
          </w:tcPr>
          <w:p w14:paraId="7623B455"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3.2</w:t>
            </w:r>
          </w:p>
        </w:tc>
      </w:tr>
      <w:tr w:rsidR="00AA5A39" w:rsidRPr="00CD3935" w14:paraId="3041C96A" w14:textId="77777777" w:rsidTr="00427655">
        <w:tc>
          <w:tcPr>
            <w:tcW w:w="0" w:type="auto"/>
            <w:tcMar>
              <w:top w:w="150" w:type="dxa"/>
              <w:left w:w="0" w:type="dxa"/>
              <w:bottom w:w="150" w:type="dxa"/>
              <w:right w:w="240" w:type="dxa"/>
            </w:tcMar>
            <w:vAlign w:val="center"/>
            <w:hideMark/>
          </w:tcPr>
          <w:p w14:paraId="2E755F09"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5</w:t>
            </w:r>
          </w:p>
        </w:tc>
        <w:tc>
          <w:tcPr>
            <w:tcW w:w="0" w:type="auto"/>
            <w:tcMar>
              <w:top w:w="150" w:type="dxa"/>
              <w:left w:w="240" w:type="dxa"/>
              <w:bottom w:w="150" w:type="dxa"/>
              <w:right w:w="240" w:type="dxa"/>
            </w:tcMar>
            <w:vAlign w:val="center"/>
            <w:hideMark/>
          </w:tcPr>
          <w:p w14:paraId="67CBB26F" w14:textId="77777777" w:rsidR="00AA5A39" w:rsidRPr="00CD3935" w:rsidRDefault="00AA5A39" w:rsidP="00427655">
            <w:pPr>
              <w:jc w:val="both"/>
              <w:rPr>
                <w:rFonts w:eastAsia="Times New Roman" w:cstheme="minorHAnsi"/>
                <w:color w:val="000000" w:themeColor="text1"/>
                <w:lang w:eastAsia="fr-FR"/>
              </w:rPr>
            </w:pPr>
            <w:proofErr w:type="spellStart"/>
            <w:r w:rsidRPr="00CD3935">
              <w:rPr>
                <w:rFonts w:eastAsia="Times New Roman" w:cstheme="minorHAnsi"/>
                <w:color w:val="000000" w:themeColor="text1"/>
                <w:lang w:eastAsia="fr-FR"/>
              </w:rPr>
              <w:t>Prosthetic</w:t>
            </w:r>
            <w:proofErr w:type="spellEnd"/>
            <w:r w:rsidRPr="00CD3935">
              <w:rPr>
                <w:rFonts w:eastAsia="Times New Roman" w:cstheme="minorHAnsi"/>
                <w:color w:val="000000" w:themeColor="text1"/>
                <w:lang w:eastAsia="fr-FR"/>
              </w:rPr>
              <w:t xml:space="preserve"> mitral valve</w:t>
            </w:r>
          </w:p>
        </w:tc>
        <w:tc>
          <w:tcPr>
            <w:tcW w:w="0" w:type="auto"/>
            <w:tcMar>
              <w:top w:w="150" w:type="dxa"/>
              <w:left w:w="240" w:type="dxa"/>
              <w:bottom w:w="150" w:type="dxa"/>
              <w:right w:w="240" w:type="dxa"/>
            </w:tcMar>
            <w:vAlign w:val="center"/>
            <w:hideMark/>
          </w:tcPr>
          <w:p w14:paraId="0C89482F"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9.1</w:t>
            </w:r>
          </w:p>
        </w:tc>
        <w:tc>
          <w:tcPr>
            <w:tcW w:w="0" w:type="auto"/>
            <w:tcMar>
              <w:top w:w="150" w:type="dxa"/>
              <w:left w:w="240" w:type="dxa"/>
              <w:bottom w:w="150" w:type="dxa"/>
              <w:right w:w="240" w:type="dxa"/>
            </w:tcMar>
            <w:vAlign w:val="center"/>
            <w:hideMark/>
          </w:tcPr>
          <w:p w14:paraId="09A2F038"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3.1</w:t>
            </w:r>
          </w:p>
        </w:tc>
        <w:tc>
          <w:tcPr>
            <w:tcW w:w="0" w:type="auto"/>
            <w:tcMar>
              <w:top w:w="150" w:type="dxa"/>
              <w:left w:w="240" w:type="dxa"/>
              <w:bottom w:w="150" w:type="dxa"/>
              <w:right w:w="240" w:type="dxa"/>
            </w:tcMar>
            <w:vAlign w:val="center"/>
            <w:hideMark/>
          </w:tcPr>
          <w:p w14:paraId="4AE65036"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1.7</w:t>
            </w:r>
          </w:p>
        </w:tc>
        <w:tc>
          <w:tcPr>
            <w:tcW w:w="0" w:type="auto"/>
            <w:tcMar>
              <w:top w:w="150" w:type="dxa"/>
              <w:left w:w="240" w:type="dxa"/>
              <w:bottom w:w="150" w:type="dxa"/>
              <w:right w:w="240" w:type="dxa"/>
            </w:tcMar>
            <w:vAlign w:val="center"/>
            <w:hideMark/>
          </w:tcPr>
          <w:p w14:paraId="00A0067B"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2.9</w:t>
            </w:r>
          </w:p>
        </w:tc>
        <w:tc>
          <w:tcPr>
            <w:tcW w:w="0" w:type="auto"/>
            <w:tcMar>
              <w:top w:w="150" w:type="dxa"/>
              <w:left w:w="240" w:type="dxa"/>
              <w:bottom w:w="150" w:type="dxa"/>
              <w:right w:w="0" w:type="dxa"/>
            </w:tcMar>
            <w:vAlign w:val="center"/>
            <w:hideMark/>
          </w:tcPr>
          <w:p w14:paraId="16254E84"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5.4</w:t>
            </w:r>
          </w:p>
        </w:tc>
      </w:tr>
      <w:tr w:rsidR="00AA5A39" w:rsidRPr="00CD3935" w14:paraId="60414C7A" w14:textId="77777777" w:rsidTr="00427655">
        <w:tc>
          <w:tcPr>
            <w:tcW w:w="0" w:type="auto"/>
            <w:tcMar>
              <w:top w:w="150" w:type="dxa"/>
              <w:left w:w="0" w:type="dxa"/>
              <w:bottom w:w="150" w:type="dxa"/>
              <w:right w:w="240" w:type="dxa"/>
            </w:tcMar>
            <w:vAlign w:val="center"/>
            <w:hideMark/>
          </w:tcPr>
          <w:p w14:paraId="66D8B3F8"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6</w:t>
            </w:r>
          </w:p>
        </w:tc>
        <w:tc>
          <w:tcPr>
            <w:tcW w:w="0" w:type="auto"/>
            <w:tcMar>
              <w:top w:w="150" w:type="dxa"/>
              <w:left w:w="240" w:type="dxa"/>
              <w:bottom w:w="150" w:type="dxa"/>
              <w:right w:w="240" w:type="dxa"/>
            </w:tcMar>
            <w:vAlign w:val="center"/>
            <w:hideMark/>
          </w:tcPr>
          <w:p w14:paraId="227D2C17" w14:textId="77777777" w:rsidR="00AA5A39" w:rsidRPr="00CD3935" w:rsidRDefault="00AA5A39" w:rsidP="00427655">
            <w:pPr>
              <w:jc w:val="both"/>
              <w:rPr>
                <w:rFonts w:eastAsia="Times New Roman" w:cstheme="minorHAnsi"/>
                <w:color w:val="000000" w:themeColor="text1"/>
                <w:lang w:eastAsia="fr-FR"/>
              </w:rPr>
            </w:pPr>
            <w:proofErr w:type="spellStart"/>
            <w:r w:rsidRPr="00CD3935">
              <w:rPr>
                <w:rFonts w:eastAsia="Times New Roman" w:cstheme="minorHAnsi"/>
                <w:color w:val="000000" w:themeColor="text1"/>
                <w:lang w:eastAsia="fr-FR"/>
              </w:rPr>
              <w:t>Prosthetic</w:t>
            </w:r>
            <w:proofErr w:type="spellEnd"/>
            <w:r w:rsidRPr="00CD3935">
              <w:rPr>
                <w:rFonts w:eastAsia="Times New Roman" w:cstheme="minorHAnsi"/>
                <w:color w:val="000000" w:themeColor="text1"/>
                <w:lang w:eastAsia="fr-FR"/>
              </w:rPr>
              <w:t xml:space="preserve"> </w:t>
            </w:r>
            <w:proofErr w:type="spellStart"/>
            <w:r w:rsidRPr="00CD3935">
              <w:rPr>
                <w:rFonts w:eastAsia="Times New Roman" w:cstheme="minorHAnsi"/>
                <w:color w:val="000000" w:themeColor="text1"/>
                <w:lang w:eastAsia="fr-FR"/>
              </w:rPr>
              <w:t>aortic</w:t>
            </w:r>
            <w:proofErr w:type="spellEnd"/>
            <w:r w:rsidRPr="00CD3935">
              <w:rPr>
                <w:rFonts w:eastAsia="Times New Roman" w:cstheme="minorHAnsi"/>
                <w:color w:val="000000" w:themeColor="text1"/>
                <w:lang w:eastAsia="fr-FR"/>
              </w:rPr>
              <w:t xml:space="preserve"> valve</w:t>
            </w:r>
          </w:p>
        </w:tc>
        <w:tc>
          <w:tcPr>
            <w:tcW w:w="0" w:type="auto"/>
            <w:tcMar>
              <w:top w:w="150" w:type="dxa"/>
              <w:left w:w="240" w:type="dxa"/>
              <w:bottom w:w="150" w:type="dxa"/>
              <w:right w:w="240" w:type="dxa"/>
            </w:tcMar>
            <w:vAlign w:val="center"/>
            <w:hideMark/>
          </w:tcPr>
          <w:p w14:paraId="37113B3C"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5.5</w:t>
            </w:r>
          </w:p>
        </w:tc>
        <w:tc>
          <w:tcPr>
            <w:tcW w:w="0" w:type="auto"/>
            <w:tcMar>
              <w:top w:w="150" w:type="dxa"/>
              <w:left w:w="240" w:type="dxa"/>
              <w:bottom w:w="150" w:type="dxa"/>
              <w:right w:w="240" w:type="dxa"/>
            </w:tcMar>
            <w:vAlign w:val="center"/>
            <w:hideMark/>
          </w:tcPr>
          <w:p w14:paraId="2B1A2E36"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2.7</w:t>
            </w:r>
          </w:p>
        </w:tc>
        <w:tc>
          <w:tcPr>
            <w:tcW w:w="0" w:type="auto"/>
            <w:tcMar>
              <w:top w:w="150" w:type="dxa"/>
              <w:left w:w="240" w:type="dxa"/>
              <w:bottom w:w="150" w:type="dxa"/>
              <w:right w:w="240" w:type="dxa"/>
            </w:tcMar>
            <w:vAlign w:val="center"/>
            <w:hideMark/>
          </w:tcPr>
          <w:p w14:paraId="266B970C"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1.4</w:t>
            </w:r>
          </w:p>
        </w:tc>
        <w:tc>
          <w:tcPr>
            <w:tcW w:w="0" w:type="auto"/>
            <w:tcMar>
              <w:top w:w="150" w:type="dxa"/>
              <w:left w:w="240" w:type="dxa"/>
              <w:bottom w:w="150" w:type="dxa"/>
              <w:right w:w="240" w:type="dxa"/>
            </w:tcMar>
            <w:vAlign w:val="center"/>
            <w:hideMark/>
          </w:tcPr>
          <w:p w14:paraId="088E8180"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2.0</w:t>
            </w:r>
          </w:p>
        </w:tc>
        <w:tc>
          <w:tcPr>
            <w:tcW w:w="0" w:type="auto"/>
            <w:tcMar>
              <w:top w:w="150" w:type="dxa"/>
              <w:left w:w="240" w:type="dxa"/>
              <w:bottom w:w="150" w:type="dxa"/>
              <w:right w:w="0" w:type="dxa"/>
            </w:tcMar>
            <w:vAlign w:val="center"/>
            <w:hideMark/>
          </w:tcPr>
          <w:p w14:paraId="5E0AD2AE"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3.9</w:t>
            </w:r>
          </w:p>
        </w:tc>
      </w:tr>
      <w:tr w:rsidR="00AA5A39" w:rsidRPr="00CD3935" w14:paraId="6BD1F5A6" w14:textId="77777777" w:rsidTr="00427655">
        <w:tc>
          <w:tcPr>
            <w:tcW w:w="0" w:type="auto"/>
            <w:tcMar>
              <w:top w:w="150" w:type="dxa"/>
              <w:left w:w="0" w:type="dxa"/>
              <w:bottom w:w="150" w:type="dxa"/>
              <w:right w:w="240" w:type="dxa"/>
            </w:tcMar>
            <w:vAlign w:val="center"/>
            <w:hideMark/>
          </w:tcPr>
          <w:p w14:paraId="441FDA68"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lastRenderedPageBreak/>
              <w:t>7</w:t>
            </w:r>
          </w:p>
        </w:tc>
        <w:tc>
          <w:tcPr>
            <w:tcW w:w="0" w:type="auto"/>
            <w:tcMar>
              <w:top w:w="150" w:type="dxa"/>
              <w:left w:w="240" w:type="dxa"/>
              <w:bottom w:w="150" w:type="dxa"/>
              <w:right w:w="240" w:type="dxa"/>
            </w:tcMar>
            <w:vAlign w:val="center"/>
            <w:hideMark/>
          </w:tcPr>
          <w:p w14:paraId="150AABD0"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Pacemaker lead</w:t>
            </w:r>
          </w:p>
        </w:tc>
        <w:tc>
          <w:tcPr>
            <w:tcW w:w="0" w:type="auto"/>
            <w:tcMar>
              <w:top w:w="150" w:type="dxa"/>
              <w:left w:w="240" w:type="dxa"/>
              <w:bottom w:w="150" w:type="dxa"/>
              <w:right w:w="240" w:type="dxa"/>
            </w:tcMar>
            <w:vAlign w:val="center"/>
            <w:hideMark/>
          </w:tcPr>
          <w:p w14:paraId="556E10D8"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4.8</w:t>
            </w:r>
          </w:p>
        </w:tc>
        <w:tc>
          <w:tcPr>
            <w:tcW w:w="0" w:type="auto"/>
            <w:tcMar>
              <w:top w:w="150" w:type="dxa"/>
              <w:left w:w="240" w:type="dxa"/>
              <w:bottom w:w="150" w:type="dxa"/>
              <w:right w:w="240" w:type="dxa"/>
            </w:tcMar>
            <w:vAlign w:val="center"/>
            <w:hideMark/>
          </w:tcPr>
          <w:p w14:paraId="7A8916D7"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2.4</w:t>
            </w:r>
          </w:p>
        </w:tc>
        <w:tc>
          <w:tcPr>
            <w:tcW w:w="0" w:type="auto"/>
            <w:tcMar>
              <w:top w:w="150" w:type="dxa"/>
              <w:left w:w="240" w:type="dxa"/>
              <w:bottom w:w="150" w:type="dxa"/>
              <w:right w:w="240" w:type="dxa"/>
            </w:tcMar>
            <w:vAlign w:val="center"/>
            <w:hideMark/>
          </w:tcPr>
          <w:p w14:paraId="783E3747"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1.2</w:t>
            </w:r>
          </w:p>
        </w:tc>
        <w:tc>
          <w:tcPr>
            <w:tcW w:w="0" w:type="auto"/>
            <w:tcMar>
              <w:top w:w="150" w:type="dxa"/>
              <w:left w:w="240" w:type="dxa"/>
              <w:bottom w:w="150" w:type="dxa"/>
              <w:right w:w="240" w:type="dxa"/>
            </w:tcMar>
            <w:vAlign w:val="center"/>
            <w:hideMark/>
          </w:tcPr>
          <w:p w14:paraId="05DBA4B2"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2.0</w:t>
            </w:r>
          </w:p>
        </w:tc>
        <w:tc>
          <w:tcPr>
            <w:tcW w:w="0" w:type="auto"/>
            <w:tcMar>
              <w:top w:w="150" w:type="dxa"/>
              <w:left w:w="240" w:type="dxa"/>
              <w:bottom w:w="150" w:type="dxa"/>
              <w:right w:w="0" w:type="dxa"/>
            </w:tcMar>
            <w:vAlign w:val="center"/>
            <w:hideMark/>
          </w:tcPr>
          <w:p w14:paraId="5649E48E"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4.0</w:t>
            </w:r>
          </w:p>
        </w:tc>
      </w:tr>
      <w:tr w:rsidR="00AA5A39" w:rsidRPr="00CD3935" w14:paraId="76A0CA6D" w14:textId="77777777" w:rsidTr="00427655">
        <w:tc>
          <w:tcPr>
            <w:tcW w:w="0" w:type="auto"/>
            <w:tcMar>
              <w:top w:w="150" w:type="dxa"/>
              <w:left w:w="0" w:type="dxa"/>
              <w:bottom w:w="150" w:type="dxa"/>
              <w:right w:w="240" w:type="dxa"/>
            </w:tcMar>
            <w:vAlign w:val="center"/>
            <w:hideMark/>
          </w:tcPr>
          <w:p w14:paraId="70C9C7E1"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8</w:t>
            </w:r>
          </w:p>
        </w:tc>
        <w:tc>
          <w:tcPr>
            <w:tcW w:w="0" w:type="auto"/>
            <w:tcMar>
              <w:top w:w="150" w:type="dxa"/>
              <w:left w:w="240" w:type="dxa"/>
              <w:bottom w:w="150" w:type="dxa"/>
              <w:right w:w="240" w:type="dxa"/>
            </w:tcMar>
            <w:vAlign w:val="center"/>
            <w:hideMark/>
          </w:tcPr>
          <w:p w14:paraId="0805F635"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ICD lead</w:t>
            </w:r>
          </w:p>
        </w:tc>
        <w:tc>
          <w:tcPr>
            <w:tcW w:w="0" w:type="auto"/>
            <w:tcMar>
              <w:top w:w="150" w:type="dxa"/>
              <w:left w:w="240" w:type="dxa"/>
              <w:bottom w:w="150" w:type="dxa"/>
              <w:right w:w="240" w:type="dxa"/>
            </w:tcMar>
            <w:vAlign w:val="center"/>
            <w:hideMark/>
          </w:tcPr>
          <w:p w14:paraId="67C2FF48"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5.2</w:t>
            </w:r>
          </w:p>
        </w:tc>
        <w:tc>
          <w:tcPr>
            <w:tcW w:w="0" w:type="auto"/>
            <w:tcMar>
              <w:top w:w="150" w:type="dxa"/>
              <w:left w:w="240" w:type="dxa"/>
              <w:bottom w:w="150" w:type="dxa"/>
              <w:right w:w="240" w:type="dxa"/>
            </w:tcMar>
            <w:vAlign w:val="center"/>
            <w:hideMark/>
          </w:tcPr>
          <w:p w14:paraId="3EC8578E"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2.6</w:t>
            </w:r>
          </w:p>
        </w:tc>
        <w:tc>
          <w:tcPr>
            <w:tcW w:w="0" w:type="auto"/>
            <w:tcMar>
              <w:top w:w="150" w:type="dxa"/>
              <w:left w:w="240" w:type="dxa"/>
              <w:bottom w:w="150" w:type="dxa"/>
              <w:right w:w="240" w:type="dxa"/>
            </w:tcMar>
            <w:vAlign w:val="center"/>
            <w:hideMark/>
          </w:tcPr>
          <w:p w14:paraId="26D3B9BB"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1.3</w:t>
            </w:r>
          </w:p>
        </w:tc>
        <w:tc>
          <w:tcPr>
            <w:tcW w:w="0" w:type="auto"/>
            <w:tcMar>
              <w:top w:w="150" w:type="dxa"/>
              <w:left w:w="240" w:type="dxa"/>
              <w:bottom w:w="150" w:type="dxa"/>
              <w:right w:w="240" w:type="dxa"/>
            </w:tcMar>
            <w:vAlign w:val="center"/>
            <w:hideMark/>
          </w:tcPr>
          <w:p w14:paraId="2388F7ED"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2.0</w:t>
            </w:r>
          </w:p>
        </w:tc>
        <w:tc>
          <w:tcPr>
            <w:tcW w:w="0" w:type="auto"/>
            <w:tcMar>
              <w:top w:w="150" w:type="dxa"/>
              <w:left w:w="240" w:type="dxa"/>
              <w:bottom w:w="150" w:type="dxa"/>
              <w:right w:w="0" w:type="dxa"/>
            </w:tcMar>
            <w:vAlign w:val="center"/>
            <w:hideMark/>
          </w:tcPr>
          <w:p w14:paraId="589C1364"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4.0</w:t>
            </w:r>
          </w:p>
        </w:tc>
      </w:tr>
      <w:tr w:rsidR="00AA5A39" w:rsidRPr="00CD3935" w14:paraId="669360EE" w14:textId="77777777" w:rsidTr="00427655">
        <w:tc>
          <w:tcPr>
            <w:tcW w:w="0" w:type="auto"/>
            <w:tcMar>
              <w:top w:w="150" w:type="dxa"/>
              <w:left w:w="0" w:type="dxa"/>
              <w:bottom w:w="150" w:type="dxa"/>
              <w:right w:w="240" w:type="dxa"/>
            </w:tcMar>
            <w:vAlign w:val="center"/>
            <w:hideMark/>
          </w:tcPr>
          <w:p w14:paraId="1182B568"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9</w:t>
            </w:r>
          </w:p>
        </w:tc>
        <w:tc>
          <w:tcPr>
            <w:tcW w:w="0" w:type="auto"/>
            <w:tcMar>
              <w:top w:w="150" w:type="dxa"/>
              <w:left w:w="240" w:type="dxa"/>
              <w:bottom w:w="150" w:type="dxa"/>
              <w:right w:w="240" w:type="dxa"/>
            </w:tcMar>
            <w:vAlign w:val="center"/>
            <w:hideMark/>
          </w:tcPr>
          <w:p w14:paraId="5E76095B" w14:textId="77777777" w:rsidR="00AA5A39" w:rsidRPr="00CD3935" w:rsidRDefault="00AA5A39" w:rsidP="00427655">
            <w:pPr>
              <w:jc w:val="both"/>
              <w:rPr>
                <w:rFonts w:eastAsia="Times New Roman" w:cstheme="minorHAnsi"/>
                <w:color w:val="000000" w:themeColor="text1"/>
                <w:lang w:eastAsia="fr-FR"/>
              </w:rPr>
            </w:pPr>
            <w:proofErr w:type="spellStart"/>
            <w:r w:rsidRPr="00CD3935">
              <w:rPr>
                <w:rFonts w:eastAsia="Times New Roman" w:cstheme="minorHAnsi"/>
                <w:color w:val="000000" w:themeColor="text1"/>
                <w:lang w:eastAsia="fr-FR"/>
              </w:rPr>
              <w:t>Generator</w:t>
            </w:r>
            <w:proofErr w:type="spellEnd"/>
            <w:r w:rsidRPr="00CD3935">
              <w:rPr>
                <w:rFonts w:eastAsia="Times New Roman" w:cstheme="minorHAnsi"/>
                <w:color w:val="000000" w:themeColor="text1"/>
                <w:lang w:eastAsia="fr-FR"/>
              </w:rPr>
              <w:t xml:space="preserve"> </w:t>
            </w:r>
            <w:proofErr w:type="spellStart"/>
            <w:r w:rsidRPr="00CD3935">
              <w:rPr>
                <w:rFonts w:eastAsia="Times New Roman" w:cstheme="minorHAnsi"/>
                <w:color w:val="000000" w:themeColor="text1"/>
                <w:lang w:eastAsia="fr-FR"/>
              </w:rPr>
              <w:t>pocket</w:t>
            </w:r>
            <w:proofErr w:type="spellEnd"/>
            <w:r w:rsidRPr="00CD3935">
              <w:rPr>
                <w:rFonts w:eastAsia="Times New Roman" w:cstheme="minorHAnsi"/>
                <w:color w:val="000000" w:themeColor="text1"/>
                <w:lang w:eastAsia="fr-FR"/>
              </w:rPr>
              <w:t xml:space="preserve"> + leads</w:t>
            </w:r>
          </w:p>
        </w:tc>
        <w:tc>
          <w:tcPr>
            <w:tcW w:w="0" w:type="auto"/>
            <w:tcMar>
              <w:top w:w="150" w:type="dxa"/>
              <w:left w:w="240" w:type="dxa"/>
              <w:bottom w:w="150" w:type="dxa"/>
              <w:right w:w="240" w:type="dxa"/>
            </w:tcMar>
            <w:vAlign w:val="center"/>
            <w:hideMark/>
          </w:tcPr>
          <w:p w14:paraId="7151D933"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6.8</w:t>
            </w:r>
          </w:p>
        </w:tc>
        <w:tc>
          <w:tcPr>
            <w:tcW w:w="0" w:type="auto"/>
            <w:tcMar>
              <w:top w:w="150" w:type="dxa"/>
              <w:left w:w="240" w:type="dxa"/>
              <w:bottom w:w="150" w:type="dxa"/>
              <w:right w:w="240" w:type="dxa"/>
            </w:tcMar>
            <w:vAlign w:val="center"/>
            <w:hideMark/>
          </w:tcPr>
          <w:p w14:paraId="6C065E01"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2.0</w:t>
            </w:r>
          </w:p>
        </w:tc>
        <w:tc>
          <w:tcPr>
            <w:tcW w:w="0" w:type="auto"/>
            <w:tcMar>
              <w:top w:w="150" w:type="dxa"/>
              <w:left w:w="240" w:type="dxa"/>
              <w:bottom w:w="150" w:type="dxa"/>
              <w:right w:w="240" w:type="dxa"/>
            </w:tcMar>
            <w:vAlign w:val="center"/>
            <w:hideMark/>
          </w:tcPr>
          <w:p w14:paraId="4B513C88"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1.1</w:t>
            </w:r>
          </w:p>
        </w:tc>
        <w:tc>
          <w:tcPr>
            <w:tcW w:w="0" w:type="auto"/>
            <w:tcMar>
              <w:top w:w="150" w:type="dxa"/>
              <w:left w:w="240" w:type="dxa"/>
              <w:bottom w:w="150" w:type="dxa"/>
              <w:right w:w="240" w:type="dxa"/>
            </w:tcMar>
            <w:vAlign w:val="center"/>
            <w:hideMark/>
          </w:tcPr>
          <w:p w14:paraId="068C041A"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3.4</w:t>
            </w:r>
          </w:p>
        </w:tc>
        <w:tc>
          <w:tcPr>
            <w:tcW w:w="0" w:type="auto"/>
            <w:tcMar>
              <w:top w:w="150" w:type="dxa"/>
              <w:left w:w="240" w:type="dxa"/>
              <w:bottom w:w="150" w:type="dxa"/>
              <w:right w:w="0" w:type="dxa"/>
            </w:tcMar>
            <w:vAlign w:val="center"/>
            <w:hideMark/>
          </w:tcPr>
          <w:p w14:paraId="448612FE"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6.2</w:t>
            </w:r>
          </w:p>
        </w:tc>
      </w:tr>
    </w:tbl>
    <w:p w14:paraId="7EDFB422" w14:textId="77777777" w:rsidR="00AA5A39" w:rsidRDefault="00AA5A39" w:rsidP="00AA5A39">
      <w:pPr>
        <w:shd w:val="clear" w:color="auto" w:fill="FFFFFF"/>
        <w:spacing w:before="240" w:after="240"/>
        <w:jc w:val="both"/>
        <w:rPr>
          <w:rFonts w:eastAsia="Times New Roman" w:cstheme="minorHAnsi"/>
          <w:b/>
          <w:bCs/>
          <w:color w:val="000000" w:themeColor="text1"/>
          <w:lang w:val="en-US" w:eastAsia="fr-FR"/>
        </w:rPr>
      </w:pPr>
    </w:p>
    <w:p w14:paraId="31740945" w14:textId="77777777" w:rsidR="00AA5A39" w:rsidRDefault="00AA5A39" w:rsidP="00AA5A39">
      <w:pPr>
        <w:shd w:val="clear" w:color="auto" w:fill="FFFFFF"/>
        <w:spacing w:before="240" w:after="240"/>
        <w:jc w:val="both"/>
        <w:rPr>
          <w:rFonts w:eastAsia="Times New Roman" w:cstheme="minorHAnsi"/>
          <w:b/>
          <w:bCs/>
          <w:color w:val="000000" w:themeColor="text1"/>
          <w:lang w:val="en-US" w:eastAsia="fr-FR"/>
        </w:rPr>
      </w:pPr>
    </w:p>
    <w:p w14:paraId="1590E417" w14:textId="77777777" w:rsidR="00AA5A39" w:rsidRDefault="00AA5A39" w:rsidP="00AA5A39">
      <w:pPr>
        <w:shd w:val="clear" w:color="auto" w:fill="FFFFFF"/>
        <w:spacing w:before="240" w:after="240"/>
        <w:jc w:val="both"/>
        <w:rPr>
          <w:rFonts w:eastAsia="Times New Roman" w:cstheme="minorHAnsi"/>
          <w:b/>
          <w:bCs/>
          <w:color w:val="000000" w:themeColor="text1"/>
          <w:lang w:val="en-US" w:eastAsia="fr-FR"/>
        </w:rPr>
      </w:pPr>
    </w:p>
    <w:p w14:paraId="5B5F725D" w14:textId="77777777" w:rsidR="00AA5A39" w:rsidRDefault="00AA5A39" w:rsidP="00AA5A39">
      <w:pPr>
        <w:shd w:val="clear" w:color="auto" w:fill="FFFFFF"/>
        <w:spacing w:before="240" w:after="240"/>
        <w:jc w:val="both"/>
        <w:rPr>
          <w:rFonts w:eastAsia="Times New Roman" w:cstheme="minorHAnsi"/>
          <w:b/>
          <w:bCs/>
          <w:color w:val="000000" w:themeColor="text1"/>
          <w:lang w:val="en-US" w:eastAsia="fr-FR"/>
        </w:rPr>
      </w:pPr>
    </w:p>
    <w:p w14:paraId="5B923CC8" w14:textId="77777777" w:rsidR="00AA5A39" w:rsidRPr="00CD3935" w:rsidRDefault="00AA5A39" w:rsidP="00AA5A39">
      <w:pPr>
        <w:shd w:val="clear" w:color="auto" w:fill="FFFFFF"/>
        <w:spacing w:before="240" w:after="240"/>
        <w:jc w:val="both"/>
        <w:rPr>
          <w:rFonts w:eastAsia="Times New Roman" w:cstheme="minorHAnsi"/>
          <w:color w:val="000000" w:themeColor="text1"/>
          <w:lang w:eastAsia="fr-FR"/>
        </w:rPr>
      </w:pPr>
      <w:r w:rsidRPr="00CD3935">
        <w:rPr>
          <w:rFonts w:eastAsia="Times New Roman" w:cstheme="minorHAnsi"/>
          <w:b/>
          <w:bCs/>
          <w:color w:val="000000" w:themeColor="text1"/>
          <w:lang w:eastAsia="fr-FR"/>
        </w:rPr>
        <w:t xml:space="preserve">Table </w:t>
      </w:r>
      <w:proofErr w:type="gramStart"/>
      <w:r w:rsidRPr="00CD3935">
        <w:rPr>
          <w:rFonts w:eastAsia="Times New Roman" w:cstheme="minorHAnsi"/>
          <w:b/>
          <w:bCs/>
          <w:color w:val="000000" w:themeColor="text1"/>
          <w:lang w:eastAsia="fr-FR"/>
        </w:rPr>
        <w:t>4:</w:t>
      </w:r>
      <w:proofErr w:type="gramEnd"/>
      <w:r w:rsidRPr="00CD3935">
        <w:rPr>
          <w:rFonts w:eastAsia="Times New Roman" w:cstheme="minorHAnsi"/>
          <w:b/>
          <w:bCs/>
          <w:color w:val="000000" w:themeColor="text1"/>
          <w:lang w:eastAsia="fr-FR"/>
        </w:rPr>
        <w:t xml:space="preserve"> </w:t>
      </w:r>
      <w:proofErr w:type="spellStart"/>
      <w:r w:rsidRPr="00CD3935">
        <w:rPr>
          <w:rFonts w:eastAsia="Times New Roman" w:cstheme="minorHAnsi"/>
          <w:b/>
          <w:bCs/>
          <w:color w:val="000000" w:themeColor="text1"/>
          <w:lang w:eastAsia="fr-FR"/>
        </w:rPr>
        <w:t>Clinical</w:t>
      </w:r>
      <w:proofErr w:type="spellEnd"/>
      <w:r w:rsidRPr="00CD3935">
        <w:rPr>
          <w:rFonts w:eastAsia="Times New Roman" w:cstheme="minorHAnsi"/>
          <w:b/>
          <w:bCs/>
          <w:color w:val="000000" w:themeColor="text1"/>
          <w:lang w:eastAsia="fr-FR"/>
        </w:rPr>
        <w:t xml:space="preserve"> Impact of PET/CT on Patient Management</w:t>
      </w:r>
    </w:p>
    <w:tbl>
      <w:tblPr>
        <w:tblW w:w="0" w:type="auto"/>
        <w:tblCellMar>
          <w:top w:w="15" w:type="dxa"/>
          <w:left w:w="15" w:type="dxa"/>
          <w:bottom w:w="15" w:type="dxa"/>
          <w:right w:w="15" w:type="dxa"/>
        </w:tblCellMar>
        <w:tblLook w:val="04A0" w:firstRow="1" w:lastRow="0" w:firstColumn="1" w:lastColumn="0" w:noHBand="0" w:noVBand="1"/>
      </w:tblPr>
      <w:tblGrid>
        <w:gridCol w:w="5021"/>
        <w:gridCol w:w="2444"/>
        <w:gridCol w:w="1601"/>
      </w:tblGrid>
      <w:tr w:rsidR="00AA5A39" w:rsidRPr="00CD3935" w14:paraId="51B9BB29" w14:textId="77777777" w:rsidTr="00427655">
        <w:trPr>
          <w:tblHeader/>
        </w:trPr>
        <w:tc>
          <w:tcPr>
            <w:tcW w:w="0" w:type="auto"/>
            <w:tcBorders>
              <w:top w:val="nil"/>
            </w:tcBorders>
            <w:tcMar>
              <w:top w:w="150" w:type="dxa"/>
              <w:left w:w="0" w:type="dxa"/>
              <w:bottom w:w="150" w:type="dxa"/>
              <w:right w:w="240" w:type="dxa"/>
            </w:tcMar>
            <w:vAlign w:val="center"/>
            <w:hideMark/>
          </w:tcPr>
          <w:p w14:paraId="1432A40B" w14:textId="77777777" w:rsidR="00AA5A39" w:rsidRPr="00CD3935" w:rsidRDefault="00AA5A39" w:rsidP="00427655">
            <w:pPr>
              <w:jc w:val="both"/>
              <w:rPr>
                <w:rFonts w:eastAsia="Times New Roman" w:cstheme="minorHAnsi"/>
                <w:b/>
                <w:bCs/>
                <w:color w:val="000000" w:themeColor="text1"/>
                <w:lang w:eastAsia="fr-FR"/>
              </w:rPr>
            </w:pPr>
            <w:r w:rsidRPr="00CD3935">
              <w:rPr>
                <w:rFonts w:eastAsia="Times New Roman" w:cstheme="minorHAnsi"/>
                <w:b/>
                <w:bCs/>
                <w:color w:val="000000" w:themeColor="text1"/>
                <w:lang w:eastAsia="fr-FR"/>
              </w:rPr>
              <w:t>Type of Management Change</w:t>
            </w:r>
          </w:p>
        </w:tc>
        <w:tc>
          <w:tcPr>
            <w:tcW w:w="0" w:type="auto"/>
            <w:tcBorders>
              <w:top w:val="nil"/>
            </w:tcBorders>
            <w:tcMar>
              <w:top w:w="150" w:type="dxa"/>
              <w:left w:w="240" w:type="dxa"/>
              <w:bottom w:w="150" w:type="dxa"/>
              <w:right w:w="240" w:type="dxa"/>
            </w:tcMar>
            <w:vAlign w:val="center"/>
            <w:hideMark/>
          </w:tcPr>
          <w:p w14:paraId="75CBF63C" w14:textId="77777777" w:rsidR="00AA5A39" w:rsidRPr="00CD3935" w:rsidRDefault="00AA5A39" w:rsidP="00427655">
            <w:pPr>
              <w:jc w:val="both"/>
              <w:rPr>
                <w:rFonts w:eastAsia="Times New Roman" w:cstheme="minorHAnsi"/>
                <w:b/>
                <w:bCs/>
                <w:color w:val="000000" w:themeColor="text1"/>
                <w:lang w:eastAsia="fr-FR"/>
              </w:rPr>
            </w:pPr>
            <w:proofErr w:type="spellStart"/>
            <w:r w:rsidRPr="00CD3935">
              <w:rPr>
                <w:rFonts w:eastAsia="Times New Roman" w:cstheme="minorHAnsi"/>
                <w:b/>
                <w:bCs/>
                <w:color w:val="000000" w:themeColor="text1"/>
                <w:lang w:eastAsia="fr-FR"/>
              </w:rPr>
              <w:t>Number</w:t>
            </w:r>
            <w:proofErr w:type="spellEnd"/>
            <w:r w:rsidRPr="00CD3935">
              <w:rPr>
                <w:rFonts w:eastAsia="Times New Roman" w:cstheme="minorHAnsi"/>
                <w:b/>
                <w:bCs/>
                <w:color w:val="000000" w:themeColor="text1"/>
                <w:lang w:eastAsia="fr-FR"/>
              </w:rPr>
              <w:t xml:space="preserve"> of Scans (n=21)</w:t>
            </w:r>
          </w:p>
        </w:tc>
        <w:tc>
          <w:tcPr>
            <w:tcW w:w="0" w:type="auto"/>
            <w:tcBorders>
              <w:top w:val="nil"/>
            </w:tcBorders>
            <w:tcMar>
              <w:top w:w="150" w:type="dxa"/>
              <w:left w:w="240" w:type="dxa"/>
              <w:bottom w:w="150" w:type="dxa"/>
              <w:right w:w="240" w:type="dxa"/>
            </w:tcMar>
            <w:vAlign w:val="center"/>
            <w:hideMark/>
          </w:tcPr>
          <w:p w14:paraId="2CB25D80" w14:textId="77777777" w:rsidR="00AA5A39" w:rsidRPr="00CD3935" w:rsidRDefault="00AA5A39" w:rsidP="00427655">
            <w:pPr>
              <w:jc w:val="both"/>
              <w:rPr>
                <w:rFonts w:eastAsia="Times New Roman" w:cstheme="minorHAnsi"/>
                <w:b/>
                <w:bCs/>
                <w:color w:val="000000" w:themeColor="text1"/>
                <w:lang w:eastAsia="fr-FR"/>
              </w:rPr>
            </w:pPr>
            <w:r w:rsidRPr="00CD3935">
              <w:rPr>
                <w:rFonts w:eastAsia="Times New Roman" w:cstheme="minorHAnsi"/>
                <w:b/>
                <w:bCs/>
                <w:color w:val="000000" w:themeColor="text1"/>
                <w:lang w:eastAsia="fr-FR"/>
              </w:rPr>
              <w:t>Percentage</w:t>
            </w:r>
          </w:p>
        </w:tc>
      </w:tr>
      <w:tr w:rsidR="00AA5A39" w:rsidRPr="00CD3935" w14:paraId="70A93280" w14:textId="77777777" w:rsidTr="00427655">
        <w:tc>
          <w:tcPr>
            <w:tcW w:w="0" w:type="auto"/>
            <w:tcMar>
              <w:top w:w="150" w:type="dxa"/>
              <w:left w:w="0" w:type="dxa"/>
              <w:bottom w:w="150" w:type="dxa"/>
              <w:right w:w="240" w:type="dxa"/>
            </w:tcMar>
            <w:vAlign w:val="center"/>
            <w:hideMark/>
          </w:tcPr>
          <w:p w14:paraId="5D4DEE8E" w14:textId="77777777" w:rsidR="00AA5A39" w:rsidRPr="00CD3935" w:rsidRDefault="00AA5A39" w:rsidP="00427655">
            <w:pPr>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Confirmation of diagnosis leading to treatment intensification</w:t>
            </w:r>
          </w:p>
        </w:tc>
        <w:tc>
          <w:tcPr>
            <w:tcW w:w="0" w:type="auto"/>
            <w:tcMar>
              <w:top w:w="150" w:type="dxa"/>
              <w:left w:w="240" w:type="dxa"/>
              <w:bottom w:w="150" w:type="dxa"/>
              <w:right w:w="240" w:type="dxa"/>
            </w:tcMar>
            <w:vAlign w:val="center"/>
            <w:hideMark/>
          </w:tcPr>
          <w:p w14:paraId="11C5B58D"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7</w:t>
            </w:r>
          </w:p>
        </w:tc>
        <w:tc>
          <w:tcPr>
            <w:tcW w:w="0" w:type="auto"/>
            <w:tcMar>
              <w:top w:w="150" w:type="dxa"/>
              <w:left w:w="240" w:type="dxa"/>
              <w:bottom w:w="150" w:type="dxa"/>
              <w:right w:w="0" w:type="dxa"/>
            </w:tcMar>
            <w:vAlign w:val="center"/>
            <w:hideMark/>
          </w:tcPr>
          <w:p w14:paraId="68D28E47"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33.3%</w:t>
            </w:r>
          </w:p>
        </w:tc>
      </w:tr>
      <w:tr w:rsidR="00AA5A39" w:rsidRPr="00CD3935" w14:paraId="1DEAF3C4" w14:textId="77777777" w:rsidTr="00427655">
        <w:tc>
          <w:tcPr>
            <w:tcW w:w="0" w:type="auto"/>
            <w:tcMar>
              <w:top w:w="150" w:type="dxa"/>
              <w:left w:w="0" w:type="dxa"/>
              <w:bottom w:w="150" w:type="dxa"/>
              <w:right w:w="240" w:type="dxa"/>
            </w:tcMar>
            <w:vAlign w:val="center"/>
            <w:hideMark/>
          </w:tcPr>
          <w:p w14:paraId="26034A3E" w14:textId="77777777" w:rsidR="00AA5A39" w:rsidRPr="00CD3935" w:rsidRDefault="00AA5A39" w:rsidP="00427655">
            <w:pPr>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Detection of extracardiac foci requiring intervention</w:t>
            </w:r>
          </w:p>
        </w:tc>
        <w:tc>
          <w:tcPr>
            <w:tcW w:w="0" w:type="auto"/>
            <w:tcMar>
              <w:top w:w="150" w:type="dxa"/>
              <w:left w:w="240" w:type="dxa"/>
              <w:bottom w:w="150" w:type="dxa"/>
              <w:right w:w="240" w:type="dxa"/>
            </w:tcMar>
            <w:vAlign w:val="center"/>
            <w:hideMark/>
          </w:tcPr>
          <w:p w14:paraId="6743FC2C"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6</w:t>
            </w:r>
          </w:p>
        </w:tc>
        <w:tc>
          <w:tcPr>
            <w:tcW w:w="0" w:type="auto"/>
            <w:tcMar>
              <w:top w:w="150" w:type="dxa"/>
              <w:left w:w="240" w:type="dxa"/>
              <w:bottom w:w="150" w:type="dxa"/>
              <w:right w:w="0" w:type="dxa"/>
            </w:tcMar>
            <w:vAlign w:val="center"/>
            <w:hideMark/>
          </w:tcPr>
          <w:p w14:paraId="362E010C"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28.6%</w:t>
            </w:r>
          </w:p>
        </w:tc>
      </w:tr>
      <w:tr w:rsidR="00AA5A39" w:rsidRPr="00CD3935" w14:paraId="0DEE227A" w14:textId="77777777" w:rsidTr="00427655">
        <w:tc>
          <w:tcPr>
            <w:tcW w:w="0" w:type="auto"/>
            <w:tcMar>
              <w:top w:w="150" w:type="dxa"/>
              <w:left w:w="0" w:type="dxa"/>
              <w:bottom w:w="150" w:type="dxa"/>
              <w:right w:w="240" w:type="dxa"/>
            </w:tcMar>
            <w:vAlign w:val="center"/>
            <w:hideMark/>
          </w:tcPr>
          <w:p w14:paraId="599667D7" w14:textId="77777777" w:rsidR="00AA5A39" w:rsidRPr="00CD3935" w:rsidRDefault="00AA5A39" w:rsidP="00427655">
            <w:pPr>
              <w:jc w:val="both"/>
              <w:rPr>
                <w:rFonts w:eastAsia="Times New Roman" w:cstheme="minorHAnsi"/>
                <w:color w:val="000000" w:themeColor="text1"/>
                <w:lang w:val="en-US" w:eastAsia="fr-FR"/>
              </w:rPr>
            </w:pPr>
            <w:r w:rsidRPr="00CD3935">
              <w:rPr>
                <w:rFonts w:eastAsia="Times New Roman" w:cstheme="minorHAnsi"/>
                <w:color w:val="000000" w:themeColor="text1"/>
                <w:lang w:val="en-US" w:eastAsia="fr-FR"/>
              </w:rPr>
              <w:t>Avoidance of unnecessary invasive procedures</w:t>
            </w:r>
          </w:p>
        </w:tc>
        <w:tc>
          <w:tcPr>
            <w:tcW w:w="0" w:type="auto"/>
            <w:tcMar>
              <w:top w:w="150" w:type="dxa"/>
              <w:left w:w="240" w:type="dxa"/>
              <w:bottom w:w="150" w:type="dxa"/>
              <w:right w:w="240" w:type="dxa"/>
            </w:tcMar>
            <w:vAlign w:val="center"/>
            <w:hideMark/>
          </w:tcPr>
          <w:p w14:paraId="7A1A8170"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3</w:t>
            </w:r>
          </w:p>
        </w:tc>
        <w:tc>
          <w:tcPr>
            <w:tcW w:w="0" w:type="auto"/>
            <w:tcMar>
              <w:top w:w="150" w:type="dxa"/>
              <w:left w:w="240" w:type="dxa"/>
              <w:bottom w:w="150" w:type="dxa"/>
              <w:right w:w="0" w:type="dxa"/>
            </w:tcMar>
            <w:vAlign w:val="center"/>
            <w:hideMark/>
          </w:tcPr>
          <w:p w14:paraId="65E499D3"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14.3%</w:t>
            </w:r>
          </w:p>
        </w:tc>
      </w:tr>
      <w:tr w:rsidR="00AA5A39" w:rsidRPr="00CD3935" w14:paraId="45C693E2" w14:textId="77777777" w:rsidTr="00427655">
        <w:tc>
          <w:tcPr>
            <w:tcW w:w="0" w:type="auto"/>
            <w:tcMar>
              <w:top w:w="150" w:type="dxa"/>
              <w:left w:w="0" w:type="dxa"/>
              <w:bottom w:w="150" w:type="dxa"/>
              <w:right w:w="240" w:type="dxa"/>
            </w:tcMar>
            <w:vAlign w:val="center"/>
            <w:hideMark/>
          </w:tcPr>
          <w:p w14:paraId="03AD483D"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 xml:space="preserve">Guidance of </w:t>
            </w:r>
            <w:proofErr w:type="spellStart"/>
            <w:r w:rsidRPr="00CD3935">
              <w:rPr>
                <w:rFonts w:eastAsia="Times New Roman" w:cstheme="minorHAnsi"/>
                <w:color w:val="000000" w:themeColor="text1"/>
                <w:lang w:eastAsia="fr-FR"/>
              </w:rPr>
              <w:t>surgical</w:t>
            </w:r>
            <w:proofErr w:type="spellEnd"/>
            <w:r w:rsidRPr="00CD3935">
              <w:rPr>
                <w:rFonts w:eastAsia="Times New Roman" w:cstheme="minorHAnsi"/>
                <w:color w:val="000000" w:themeColor="text1"/>
                <w:lang w:eastAsia="fr-FR"/>
              </w:rPr>
              <w:t xml:space="preserve"> planning</w:t>
            </w:r>
          </w:p>
        </w:tc>
        <w:tc>
          <w:tcPr>
            <w:tcW w:w="0" w:type="auto"/>
            <w:tcMar>
              <w:top w:w="150" w:type="dxa"/>
              <w:left w:w="240" w:type="dxa"/>
              <w:bottom w:w="150" w:type="dxa"/>
              <w:right w:w="240" w:type="dxa"/>
            </w:tcMar>
            <w:vAlign w:val="center"/>
            <w:hideMark/>
          </w:tcPr>
          <w:p w14:paraId="29B8FC31"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4</w:t>
            </w:r>
          </w:p>
        </w:tc>
        <w:tc>
          <w:tcPr>
            <w:tcW w:w="0" w:type="auto"/>
            <w:tcMar>
              <w:top w:w="150" w:type="dxa"/>
              <w:left w:w="240" w:type="dxa"/>
              <w:bottom w:w="150" w:type="dxa"/>
              <w:right w:w="0" w:type="dxa"/>
            </w:tcMar>
            <w:vAlign w:val="center"/>
            <w:hideMark/>
          </w:tcPr>
          <w:p w14:paraId="38AFA7D6"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color w:val="000000" w:themeColor="text1"/>
                <w:lang w:eastAsia="fr-FR"/>
              </w:rPr>
              <w:t>19.0%</w:t>
            </w:r>
          </w:p>
        </w:tc>
      </w:tr>
      <w:tr w:rsidR="00AA5A39" w:rsidRPr="00CD3935" w14:paraId="248FC802" w14:textId="77777777" w:rsidTr="00427655">
        <w:tc>
          <w:tcPr>
            <w:tcW w:w="0" w:type="auto"/>
            <w:tcMar>
              <w:top w:w="150" w:type="dxa"/>
              <w:left w:w="0" w:type="dxa"/>
              <w:bottom w:w="150" w:type="dxa"/>
              <w:right w:w="240" w:type="dxa"/>
            </w:tcMar>
            <w:vAlign w:val="center"/>
            <w:hideMark/>
          </w:tcPr>
          <w:p w14:paraId="6E242874" w14:textId="77777777" w:rsidR="00AA5A39" w:rsidRPr="00CD3935" w:rsidRDefault="00AA5A39" w:rsidP="00427655">
            <w:pPr>
              <w:jc w:val="both"/>
              <w:rPr>
                <w:rFonts w:eastAsia="Times New Roman" w:cstheme="minorHAnsi"/>
                <w:color w:val="000000" w:themeColor="text1"/>
                <w:lang w:eastAsia="fr-FR"/>
              </w:rPr>
            </w:pPr>
            <w:proofErr w:type="spellStart"/>
            <w:r w:rsidRPr="00CD3935">
              <w:rPr>
                <w:rFonts w:eastAsia="Times New Roman" w:cstheme="minorHAnsi"/>
                <w:b/>
                <w:bCs/>
                <w:color w:val="000000" w:themeColor="text1"/>
                <w:lang w:eastAsia="fr-FR"/>
              </w:rPr>
              <w:t>Any</w:t>
            </w:r>
            <w:proofErr w:type="spellEnd"/>
            <w:r w:rsidRPr="00CD3935">
              <w:rPr>
                <w:rFonts w:eastAsia="Times New Roman" w:cstheme="minorHAnsi"/>
                <w:b/>
                <w:bCs/>
                <w:color w:val="000000" w:themeColor="text1"/>
                <w:lang w:eastAsia="fr-FR"/>
              </w:rPr>
              <w:t xml:space="preserve"> </w:t>
            </w:r>
            <w:proofErr w:type="spellStart"/>
            <w:r w:rsidRPr="00CD3935">
              <w:rPr>
                <w:rFonts w:eastAsia="Times New Roman" w:cstheme="minorHAnsi"/>
                <w:b/>
                <w:bCs/>
                <w:color w:val="000000" w:themeColor="text1"/>
                <w:lang w:eastAsia="fr-FR"/>
              </w:rPr>
              <w:t>documented</w:t>
            </w:r>
            <w:proofErr w:type="spellEnd"/>
            <w:r w:rsidRPr="00CD3935">
              <w:rPr>
                <w:rFonts w:eastAsia="Times New Roman" w:cstheme="minorHAnsi"/>
                <w:b/>
                <w:bCs/>
                <w:color w:val="000000" w:themeColor="text1"/>
                <w:lang w:eastAsia="fr-FR"/>
              </w:rPr>
              <w:t xml:space="preserve"> management change</w:t>
            </w:r>
          </w:p>
        </w:tc>
        <w:tc>
          <w:tcPr>
            <w:tcW w:w="0" w:type="auto"/>
            <w:tcMar>
              <w:top w:w="150" w:type="dxa"/>
              <w:left w:w="240" w:type="dxa"/>
              <w:bottom w:w="150" w:type="dxa"/>
              <w:right w:w="240" w:type="dxa"/>
            </w:tcMar>
            <w:vAlign w:val="center"/>
            <w:hideMark/>
          </w:tcPr>
          <w:p w14:paraId="7C30E4CB"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b/>
                <w:bCs/>
                <w:color w:val="000000" w:themeColor="text1"/>
                <w:lang w:eastAsia="fr-FR"/>
              </w:rPr>
              <w:t>12</w:t>
            </w:r>
          </w:p>
        </w:tc>
        <w:tc>
          <w:tcPr>
            <w:tcW w:w="0" w:type="auto"/>
            <w:tcMar>
              <w:top w:w="150" w:type="dxa"/>
              <w:left w:w="240" w:type="dxa"/>
              <w:bottom w:w="150" w:type="dxa"/>
              <w:right w:w="0" w:type="dxa"/>
            </w:tcMar>
            <w:vAlign w:val="center"/>
            <w:hideMark/>
          </w:tcPr>
          <w:p w14:paraId="7AC64D48" w14:textId="77777777" w:rsidR="00AA5A39" w:rsidRPr="00CD3935" w:rsidRDefault="00AA5A39" w:rsidP="00427655">
            <w:pPr>
              <w:jc w:val="both"/>
              <w:rPr>
                <w:rFonts w:eastAsia="Times New Roman" w:cstheme="minorHAnsi"/>
                <w:color w:val="000000" w:themeColor="text1"/>
                <w:lang w:eastAsia="fr-FR"/>
              </w:rPr>
            </w:pPr>
            <w:r w:rsidRPr="00CD3935">
              <w:rPr>
                <w:rFonts w:eastAsia="Times New Roman" w:cstheme="minorHAnsi"/>
                <w:b/>
                <w:bCs/>
                <w:color w:val="000000" w:themeColor="text1"/>
                <w:lang w:eastAsia="fr-FR"/>
              </w:rPr>
              <w:t>57.1%</w:t>
            </w:r>
          </w:p>
        </w:tc>
      </w:tr>
    </w:tbl>
    <w:p w14:paraId="3AF8AA27" w14:textId="77777777" w:rsidR="00AA5A39" w:rsidRDefault="00AA5A39" w:rsidP="00AA5A39">
      <w:pPr>
        <w:shd w:val="clear" w:color="auto" w:fill="FFFFFF"/>
        <w:spacing w:before="240" w:after="240"/>
        <w:jc w:val="both"/>
        <w:rPr>
          <w:rFonts w:eastAsia="Times New Roman" w:cstheme="minorHAnsi"/>
          <w:i/>
          <w:iCs/>
          <w:color w:val="000000" w:themeColor="text1"/>
          <w:lang w:val="en-US" w:eastAsia="fr-FR"/>
        </w:rPr>
      </w:pPr>
      <w:r w:rsidRPr="00CD3935">
        <w:rPr>
          <w:rFonts w:eastAsia="Times New Roman" w:cstheme="minorHAnsi"/>
          <w:i/>
          <w:iCs/>
          <w:color w:val="000000" w:themeColor="text1"/>
          <w:lang w:val="en-US" w:eastAsia="fr-FR"/>
        </w:rPr>
        <w:t>Note: Some scans contributed to more than one type of management change; totals exceed 12.</w:t>
      </w:r>
    </w:p>
    <w:p w14:paraId="307D865B" w14:textId="0E7F0598" w:rsidR="00DE08E6" w:rsidRPr="00DE08E6" w:rsidRDefault="00DE08E6" w:rsidP="00DE08E6">
      <w:pPr>
        <w:shd w:val="clear" w:color="auto" w:fill="FFFFFF"/>
        <w:spacing w:before="100" w:beforeAutospacing="1"/>
        <w:rPr>
          <w:rFonts w:eastAsia="Times New Roman" w:cstheme="minorHAnsi"/>
          <w:color w:val="000000" w:themeColor="text1"/>
          <w:lang w:val="en-US" w:eastAsia="fr-FR"/>
        </w:rPr>
      </w:pPr>
      <w:r w:rsidRPr="0057583D">
        <w:rPr>
          <w:rFonts w:eastAsia="Times New Roman" w:cstheme="minorHAnsi"/>
          <w:b/>
          <w:bCs/>
          <w:color w:val="000000" w:themeColor="text1"/>
          <w:lang w:val="en-US" w:eastAsia="fr-FR"/>
        </w:rPr>
        <w:t xml:space="preserve">Figure </w:t>
      </w:r>
      <w:r w:rsidR="00570631">
        <w:rPr>
          <w:rFonts w:eastAsia="Times New Roman" w:cstheme="minorHAnsi"/>
          <w:b/>
          <w:bCs/>
          <w:color w:val="000000" w:themeColor="text1"/>
          <w:lang w:val="en-US" w:eastAsia="fr-FR"/>
        </w:rPr>
        <w:t>2</w:t>
      </w:r>
      <w:r w:rsidRPr="0057583D">
        <w:rPr>
          <w:rFonts w:eastAsia="Times New Roman" w:cstheme="minorHAnsi"/>
          <w:b/>
          <w:bCs/>
          <w:color w:val="000000" w:themeColor="text1"/>
          <w:lang w:val="en-US" w:eastAsia="fr-FR"/>
        </w:rPr>
        <w:t>:</w:t>
      </w:r>
      <w:r w:rsidRPr="005213C6">
        <w:rPr>
          <w:rFonts w:eastAsia="Times New Roman" w:cstheme="minorHAnsi"/>
          <w:color w:val="000000" w:themeColor="text1"/>
          <w:lang w:val="en-US" w:eastAsia="fr-FR"/>
        </w:rPr>
        <w:t> Maximum intensity projection (MIP</w:t>
      </w:r>
      <w:r w:rsidRPr="0057583D">
        <w:rPr>
          <w:rFonts w:eastAsia="Times New Roman" w:cstheme="minorHAnsi"/>
          <w:color w:val="000000" w:themeColor="text1"/>
          <w:lang w:val="en-US" w:eastAsia="fr-FR"/>
        </w:rPr>
        <w:t xml:space="preserve">) </w:t>
      </w:r>
      <w:r w:rsidRPr="005213C6">
        <w:rPr>
          <w:rFonts w:eastAsia="Times New Roman" w:cstheme="minorHAnsi"/>
          <w:color w:val="000000" w:themeColor="text1"/>
          <w:lang w:val="en-US" w:eastAsia="fr-FR"/>
        </w:rPr>
        <w:t xml:space="preserve">image </w:t>
      </w:r>
      <w:proofErr w:type="gramStart"/>
      <w:r w:rsidRPr="0057583D">
        <w:rPr>
          <w:rFonts w:eastAsia="Times New Roman" w:cstheme="minorHAnsi"/>
          <w:color w:val="000000" w:themeColor="text1"/>
          <w:lang w:val="en-US" w:eastAsia="fr-FR"/>
        </w:rPr>
        <w:t>and  a</w:t>
      </w:r>
      <w:r w:rsidRPr="005213C6">
        <w:rPr>
          <w:rFonts w:eastAsia="Times New Roman" w:cstheme="minorHAnsi"/>
          <w:color w:val="000000" w:themeColor="text1"/>
          <w:lang w:val="en-US" w:eastAsia="fr-FR"/>
        </w:rPr>
        <w:t>xial</w:t>
      </w:r>
      <w:proofErr w:type="gramEnd"/>
      <w:r w:rsidRPr="005213C6">
        <w:rPr>
          <w:rFonts w:eastAsia="Times New Roman" w:cstheme="minorHAnsi"/>
          <w:color w:val="000000" w:themeColor="text1"/>
          <w:lang w:val="en-US" w:eastAsia="fr-FR"/>
        </w:rPr>
        <w:t xml:space="preserve"> fused PET/CT image) of a 72-year-old male with a prosthetic aortic valve and suspected endocarditis. The image demonstrates intense, focal periprosthetic FDG uptake, consistent with prosthetic valve endocarditis. </w:t>
      </w:r>
    </w:p>
    <w:p w14:paraId="270DBC62" w14:textId="6A69A570" w:rsidR="00DE08E6" w:rsidRDefault="0057583D" w:rsidP="0057583D">
      <w:pPr>
        <w:shd w:val="clear" w:color="auto" w:fill="FFFFFF"/>
        <w:spacing w:before="100" w:beforeAutospacing="1"/>
        <w:rPr>
          <w:rFonts w:eastAsia="Times New Roman" w:cstheme="minorHAnsi"/>
          <w:color w:val="000000" w:themeColor="text1"/>
          <w:lang w:val="en-US" w:eastAsia="fr-FR"/>
        </w:rPr>
      </w:pPr>
      <w:r>
        <w:rPr>
          <w:noProof/>
        </w:rPr>
        <w:lastRenderedPageBreak/>
        <w:drawing>
          <wp:inline distT="0" distB="0" distL="0" distR="0" wp14:anchorId="10DA9302" wp14:editId="2C467331">
            <wp:extent cx="2282190" cy="3150342"/>
            <wp:effectExtent l="0" t="0" r="3810" b="0"/>
            <wp:docPr id="2" name="Espace réservé du contenu 4">
              <a:extLst xmlns:a="http://schemas.openxmlformats.org/drawingml/2006/main">
                <a:ext uri="{FF2B5EF4-FFF2-40B4-BE49-F238E27FC236}">
                  <a16:creationId xmlns:a16="http://schemas.microsoft.com/office/drawing/2014/main" id="{7FD16783-93BF-DA48-B742-63D6FE150DA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Espace réservé du contenu 4">
                      <a:extLst>
                        <a:ext uri="{FF2B5EF4-FFF2-40B4-BE49-F238E27FC236}">
                          <a16:creationId xmlns:a16="http://schemas.microsoft.com/office/drawing/2014/main" id="{7FD16783-93BF-DA48-B742-63D6FE150DAF}"/>
                        </a:ext>
                      </a:extLst>
                    </pic:cNvPr>
                    <pic:cNvPicPr>
                      <a:picLocks noGrp="1" noChangeAspect="1"/>
                    </pic:cNvPicPr>
                  </pic:nvPicPr>
                  <pic:blipFill>
                    <a:blip r:embed="rId7"/>
                    <a:stretch>
                      <a:fillRect/>
                    </a:stretch>
                  </pic:blipFill>
                  <pic:spPr>
                    <a:xfrm>
                      <a:off x="0" y="0"/>
                      <a:ext cx="2288484" cy="3159030"/>
                    </a:xfrm>
                    <a:prstGeom prst="rect">
                      <a:avLst/>
                    </a:prstGeom>
                  </pic:spPr>
                </pic:pic>
              </a:graphicData>
            </a:graphic>
          </wp:inline>
        </w:drawing>
      </w:r>
      <w:r w:rsidRPr="0057583D">
        <w:rPr>
          <w:noProof/>
        </w:rPr>
        <w:t xml:space="preserve"> </w:t>
      </w:r>
      <w:r>
        <w:rPr>
          <w:noProof/>
        </w:rPr>
        <w:drawing>
          <wp:inline distT="0" distB="0" distL="0" distR="0" wp14:anchorId="25BDF2DF" wp14:editId="031B2736">
            <wp:extent cx="1808480" cy="1453177"/>
            <wp:effectExtent l="0" t="0" r="0" b="0"/>
            <wp:docPr id="4" name="Image 1">
              <a:extLst xmlns:a="http://schemas.openxmlformats.org/drawingml/2006/main">
                <a:ext uri="{FF2B5EF4-FFF2-40B4-BE49-F238E27FC236}">
                  <a16:creationId xmlns:a16="http://schemas.microsoft.com/office/drawing/2014/main" id="{59D028F5-2993-BD48-BFF2-4919367E4A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59D028F5-2993-BD48-BFF2-4919367E4A2D}"/>
                        </a:ext>
                      </a:extLst>
                    </pic:cNvPr>
                    <pic:cNvPicPr>
                      <a:picLocks noChangeAspect="1"/>
                    </pic:cNvPicPr>
                  </pic:nvPicPr>
                  <pic:blipFill>
                    <a:blip r:embed="rId8"/>
                    <a:stretch>
                      <a:fillRect/>
                    </a:stretch>
                  </pic:blipFill>
                  <pic:spPr>
                    <a:xfrm>
                      <a:off x="0" y="0"/>
                      <a:ext cx="1828882" cy="1469570"/>
                    </a:xfrm>
                    <a:prstGeom prst="rect">
                      <a:avLst/>
                    </a:prstGeom>
                  </pic:spPr>
                </pic:pic>
              </a:graphicData>
            </a:graphic>
          </wp:inline>
        </w:drawing>
      </w:r>
    </w:p>
    <w:p w14:paraId="1A0698E0" w14:textId="0A23852C" w:rsidR="00DE08E6" w:rsidRDefault="00DE08E6" w:rsidP="0057583D">
      <w:pPr>
        <w:shd w:val="clear" w:color="auto" w:fill="FFFFFF"/>
        <w:spacing w:before="100" w:beforeAutospacing="1"/>
        <w:rPr>
          <w:rFonts w:eastAsia="Times New Roman" w:cstheme="minorHAnsi"/>
          <w:color w:val="000000" w:themeColor="text1"/>
          <w:lang w:val="en-US" w:eastAsia="fr-FR"/>
        </w:rPr>
      </w:pPr>
    </w:p>
    <w:p w14:paraId="0FB89A84" w14:textId="380C6FE7" w:rsidR="00DE08E6" w:rsidRDefault="00DE08E6" w:rsidP="0057583D">
      <w:pPr>
        <w:shd w:val="clear" w:color="auto" w:fill="FFFFFF"/>
        <w:spacing w:before="100" w:beforeAutospacing="1"/>
        <w:rPr>
          <w:rFonts w:eastAsia="Times New Roman" w:cstheme="minorHAnsi"/>
          <w:color w:val="000000" w:themeColor="text1"/>
          <w:lang w:val="en-US" w:eastAsia="fr-FR"/>
        </w:rPr>
      </w:pPr>
    </w:p>
    <w:p w14:paraId="502DC25D" w14:textId="77777777" w:rsidR="00DE08E6" w:rsidRDefault="00DE08E6" w:rsidP="0057583D">
      <w:pPr>
        <w:shd w:val="clear" w:color="auto" w:fill="FFFFFF"/>
        <w:spacing w:before="100" w:beforeAutospacing="1"/>
        <w:rPr>
          <w:rFonts w:eastAsia="Times New Roman" w:cstheme="minorHAnsi"/>
          <w:color w:val="000000" w:themeColor="text1"/>
          <w:lang w:val="en-US" w:eastAsia="fr-FR"/>
        </w:rPr>
      </w:pPr>
    </w:p>
    <w:p w14:paraId="7C54CAC7" w14:textId="1F3975D6" w:rsidR="005213C6" w:rsidRDefault="005213C6" w:rsidP="00CD3935">
      <w:pPr>
        <w:numPr>
          <w:ilvl w:val="0"/>
          <w:numId w:val="5"/>
        </w:numPr>
        <w:shd w:val="clear" w:color="auto" w:fill="FFFFFF"/>
        <w:spacing w:before="480" w:beforeAutospacing="1" w:after="480"/>
        <w:ind w:left="0"/>
        <w:rPr>
          <w:rFonts w:eastAsia="Times New Roman" w:cstheme="minorHAnsi"/>
          <w:color w:val="000000" w:themeColor="text1"/>
          <w:lang w:val="en-US" w:eastAsia="fr-FR"/>
        </w:rPr>
      </w:pPr>
      <w:r w:rsidRPr="00B416B3">
        <w:rPr>
          <w:rFonts w:eastAsia="Times New Roman" w:cstheme="minorHAnsi"/>
          <w:b/>
          <w:bCs/>
          <w:color w:val="000000" w:themeColor="text1"/>
          <w:lang w:val="en-US" w:eastAsia="fr-FR"/>
        </w:rPr>
        <w:t xml:space="preserve">Figure </w:t>
      </w:r>
      <w:r w:rsidR="00570631">
        <w:rPr>
          <w:rFonts w:eastAsia="Times New Roman" w:cstheme="minorHAnsi"/>
          <w:b/>
          <w:bCs/>
          <w:color w:val="000000" w:themeColor="text1"/>
          <w:lang w:val="en-US" w:eastAsia="fr-FR"/>
        </w:rPr>
        <w:t>3</w:t>
      </w:r>
      <w:r w:rsidRPr="00B416B3">
        <w:rPr>
          <w:rFonts w:eastAsia="Times New Roman" w:cstheme="minorHAnsi"/>
          <w:b/>
          <w:bCs/>
          <w:color w:val="000000" w:themeColor="text1"/>
          <w:lang w:val="en-US" w:eastAsia="fr-FR"/>
        </w:rPr>
        <w:t>:</w:t>
      </w:r>
      <w:r w:rsidRPr="005213C6">
        <w:rPr>
          <w:rFonts w:eastAsia="Times New Roman" w:cstheme="minorHAnsi"/>
          <w:color w:val="000000" w:themeColor="text1"/>
          <w:lang w:val="en-US" w:eastAsia="fr-FR"/>
        </w:rPr>
        <w:t xml:space="preserve"> Maximum intensity projection (MIP) image of a 65-year-old </w:t>
      </w:r>
      <w:r w:rsidR="0057583D" w:rsidRPr="00B416B3">
        <w:rPr>
          <w:rFonts w:eastAsia="Times New Roman" w:cstheme="minorHAnsi"/>
          <w:color w:val="000000" w:themeColor="text1"/>
          <w:lang w:val="en-US" w:eastAsia="fr-FR"/>
        </w:rPr>
        <w:t>man</w:t>
      </w:r>
      <w:r w:rsidRPr="005213C6">
        <w:rPr>
          <w:rFonts w:eastAsia="Times New Roman" w:cstheme="minorHAnsi"/>
          <w:color w:val="000000" w:themeColor="text1"/>
          <w:lang w:val="en-US" w:eastAsia="fr-FR"/>
        </w:rPr>
        <w:t xml:space="preserve"> with a pacemaker and suspected device infection. The image shows linear FDG uptake along the course of the pacemaker lead</w:t>
      </w:r>
      <w:r w:rsidR="0057583D" w:rsidRPr="00B416B3">
        <w:rPr>
          <w:rFonts w:eastAsia="Times New Roman" w:cstheme="minorHAnsi"/>
          <w:color w:val="000000" w:themeColor="text1"/>
          <w:lang w:val="en-US" w:eastAsia="fr-FR"/>
        </w:rPr>
        <w:t xml:space="preserve">. </w:t>
      </w:r>
    </w:p>
    <w:p w14:paraId="5BF42A3B" w14:textId="77777777" w:rsidR="00B416B3" w:rsidRDefault="00B416B3" w:rsidP="00B416B3">
      <w:pPr>
        <w:shd w:val="clear" w:color="auto" w:fill="FFFFFF"/>
        <w:spacing w:before="480" w:beforeAutospacing="1" w:after="480"/>
        <w:rPr>
          <w:rFonts w:eastAsia="Times New Roman" w:cstheme="minorHAnsi"/>
          <w:color w:val="000000" w:themeColor="text1"/>
          <w:lang w:val="en-US" w:eastAsia="fr-FR"/>
        </w:rPr>
      </w:pPr>
    </w:p>
    <w:p w14:paraId="4104EFAD" w14:textId="77777777" w:rsidR="00B416B3" w:rsidRDefault="00B416B3" w:rsidP="00B416B3">
      <w:pPr>
        <w:shd w:val="clear" w:color="auto" w:fill="FFFFFF"/>
        <w:spacing w:before="480" w:beforeAutospacing="1" w:after="480"/>
        <w:rPr>
          <w:rFonts w:eastAsia="Times New Roman" w:cstheme="minorHAnsi"/>
          <w:color w:val="000000" w:themeColor="text1"/>
          <w:lang w:val="en-US" w:eastAsia="fr-FR"/>
        </w:rPr>
      </w:pPr>
      <w:r>
        <w:rPr>
          <w:noProof/>
        </w:rPr>
        <w:lastRenderedPageBreak/>
        <w:drawing>
          <wp:inline distT="0" distB="0" distL="0" distR="0" wp14:anchorId="43BC000F" wp14:editId="1E5B1732">
            <wp:extent cx="2189378" cy="3597530"/>
            <wp:effectExtent l="0" t="0" r="0" b="0"/>
            <wp:docPr id="5" name="Image 1">
              <a:extLst xmlns:a="http://schemas.openxmlformats.org/drawingml/2006/main">
                <a:ext uri="{FF2B5EF4-FFF2-40B4-BE49-F238E27FC236}">
                  <a16:creationId xmlns:a16="http://schemas.microsoft.com/office/drawing/2014/main" id="{0CF2A2D3-A534-6B40-AF14-14B9FCCAD3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0CF2A2D3-A534-6B40-AF14-14B9FCCAD380}"/>
                        </a:ext>
                      </a:extLst>
                    </pic:cNvPr>
                    <pic:cNvPicPr>
                      <a:picLocks noChangeAspect="1"/>
                    </pic:cNvPicPr>
                  </pic:nvPicPr>
                  <pic:blipFill>
                    <a:blip r:embed="rId9"/>
                    <a:stretch>
                      <a:fillRect/>
                    </a:stretch>
                  </pic:blipFill>
                  <pic:spPr>
                    <a:xfrm>
                      <a:off x="0" y="0"/>
                      <a:ext cx="2198860" cy="3613111"/>
                    </a:xfrm>
                    <a:prstGeom prst="rect">
                      <a:avLst/>
                    </a:prstGeom>
                  </pic:spPr>
                </pic:pic>
              </a:graphicData>
            </a:graphic>
          </wp:inline>
        </w:drawing>
      </w:r>
      <w:r w:rsidRPr="00B416B3">
        <w:rPr>
          <w:noProof/>
        </w:rPr>
        <w:t xml:space="preserve"> </w:t>
      </w:r>
      <w:r>
        <w:rPr>
          <w:noProof/>
        </w:rPr>
        <w:drawing>
          <wp:inline distT="0" distB="0" distL="0" distR="0" wp14:anchorId="2795982E" wp14:editId="30FBED56">
            <wp:extent cx="1942265" cy="3553817"/>
            <wp:effectExtent l="0" t="0" r="1270" b="2540"/>
            <wp:docPr id="6" name="Image 1">
              <a:extLst xmlns:a="http://schemas.openxmlformats.org/drawingml/2006/main">
                <a:ext uri="{FF2B5EF4-FFF2-40B4-BE49-F238E27FC236}">
                  <a16:creationId xmlns:a16="http://schemas.microsoft.com/office/drawing/2014/main" id="{72410153-4CBF-F143-9D41-8F45604173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72410153-4CBF-F143-9D41-8F456041738C}"/>
                        </a:ext>
                      </a:extLst>
                    </pic:cNvPr>
                    <pic:cNvPicPr>
                      <a:picLocks noChangeAspect="1"/>
                    </pic:cNvPicPr>
                  </pic:nvPicPr>
                  <pic:blipFill>
                    <a:blip r:embed="rId10"/>
                    <a:stretch>
                      <a:fillRect/>
                    </a:stretch>
                  </pic:blipFill>
                  <pic:spPr>
                    <a:xfrm>
                      <a:off x="0" y="0"/>
                      <a:ext cx="1950860" cy="3569543"/>
                    </a:xfrm>
                    <a:prstGeom prst="rect">
                      <a:avLst/>
                    </a:prstGeom>
                  </pic:spPr>
                </pic:pic>
              </a:graphicData>
            </a:graphic>
          </wp:inline>
        </w:drawing>
      </w:r>
    </w:p>
    <w:p w14:paraId="756B9C4E" w14:textId="77777777" w:rsidR="00B416B3" w:rsidRDefault="00B416B3" w:rsidP="00B416B3">
      <w:pPr>
        <w:shd w:val="clear" w:color="auto" w:fill="FFFFFF"/>
        <w:spacing w:before="480" w:beforeAutospacing="1" w:after="480"/>
        <w:rPr>
          <w:rFonts w:eastAsia="Times New Roman" w:cstheme="minorHAnsi"/>
          <w:color w:val="000000" w:themeColor="text1"/>
          <w:lang w:val="en-US" w:eastAsia="fr-FR"/>
        </w:rPr>
      </w:pPr>
      <w:r>
        <w:rPr>
          <w:noProof/>
        </w:rPr>
        <w:drawing>
          <wp:inline distT="0" distB="0" distL="0" distR="0" wp14:anchorId="4BCCC0CD" wp14:editId="090D5A08">
            <wp:extent cx="2106910" cy="1795427"/>
            <wp:effectExtent l="0" t="0" r="1905" b="0"/>
            <wp:docPr id="7" name="Espace réservé du contenu 4">
              <a:extLst xmlns:a="http://schemas.openxmlformats.org/drawingml/2006/main">
                <a:ext uri="{FF2B5EF4-FFF2-40B4-BE49-F238E27FC236}">
                  <a16:creationId xmlns:a16="http://schemas.microsoft.com/office/drawing/2014/main" id="{7FAEB4FE-F52B-B646-B2DB-803B5931219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Espace réservé du contenu 4">
                      <a:extLst>
                        <a:ext uri="{FF2B5EF4-FFF2-40B4-BE49-F238E27FC236}">
                          <a16:creationId xmlns:a16="http://schemas.microsoft.com/office/drawing/2014/main" id="{7FAEB4FE-F52B-B646-B2DB-803B59312193}"/>
                        </a:ext>
                      </a:extLst>
                    </pic:cNvPr>
                    <pic:cNvPicPr>
                      <a:picLocks noGrp="1" noChangeAspect="1"/>
                    </pic:cNvPicPr>
                  </pic:nvPicPr>
                  <pic:blipFill>
                    <a:blip r:embed="rId11"/>
                    <a:stretch>
                      <a:fillRect/>
                    </a:stretch>
                  </pic:blipFill>
                  <pic:spPr>
                    <a:xfrm>
                      <a:off x="0" y="0"/>
                      <a:ext cx="2117216" cy="1804209"/>
                    </a:xfrm>
                    <a:prstGeom prst="rect">
                      <a:avLst/>
                    </a:prstGeom>
                  </pic:spPr>
                </pic:pic>
              </a:graphicData>
            </a:graphic>
          </wp:inline>
        </w:drawing>
      </w:r>
    </w:p>
    <w:p w14:paraId="3C586215" w14:textId="77777777" w:rsidR="00B416B3" w:rsidRPr="005213C6" w:rsidRDefault="00B416B3" w:rsidP="00B416B3">
      <w:pPr>
        <w:shd w:val="clear" w:color="auto" w:fill="FFFFFF"/>
        <w:spacing w:before="480" w:beforeAutospacing="1" w:after="480"/>
        <w:rPr>
          <w:rFonts w:eastAsia="Times New Roman" w:cstheme="minorHAnsi"/>
          <w:color w:val="000000" w:themeColor="text1"/>
          <w:lang w:val="en-US" w:eastAsia="fr-FR"/>
        </w:rPr>
      </w:pPr>
    </w:p>
    <w:p w14:paraId="25B7A250" w14:textId="77777777" w:rsidR="001178BD" w:rsidRPr="005213C6" w:rsidRDefault="001178BD">
      <w:pPr>
        <w:rPr>
          <w:rFonts w:cstheme="minorHAnsi"/>
          <w:color w:val="000000" w:themeColor="text1"/>
        </w:rPr>
      </w:pPr>
    </w:p>
    <w:sectPr w:rsidR="001178BD" w:rsidRPr="005213C6" w:rsidSect="00BD11A3">
      <w:headerReference w:type="even" r:id="rId12"/>
      <w:headerReference w:type="default" r:id="rId13"/>
      <w:footerReference w:type="even" r:id="rId14"/>
      <w:footerReference w:type="default" r:id="rId15"/>
      <w:headerReference w:type="first" r:id="rId16"/>
      <w:footerReference w:type="first" r:id="rId1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19CCC1" w14:textId="77777777" w:rsidR="00D5525B" w:rsidRDefault="00D5525B" w:rsidP="00761CE9">
      <w:r>
        <w:separator/>
      </w:r>
    </w:p>
  </w:endnote>
  <w:endnote w:type="continuationSeparator" w:id="0">
    <w:p w14:paraId="7AA468E1" w14:textId="77777777" w:rsidR="00D5525B" w:rsidRDefault="00D5525B" w:rsidP="00761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87075" w14:textId="77777777" w:rsidR="00CD3935" w:rsidRDefault="00CD39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27C11" w14:textId="77777777" w:rsidR="00CD3935" w:rsidRDefault="00CD39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D5F5C" w14:textId="77777777" w:rsidR="00CD3935" w:rsidRDefault="00CD39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114520" w14:textId="77777777" w:rsidR="00D5525B" w:rsidRDefault="00D5525B" w:rsidP="00761CE9">
      <w:r>
        <w:separator/>
      </w:r>
    </w:p>
  </w:footnote>
  <w:footnote w:type="continuationSeparator" w:id="0">
    <w:p w14:paraId="5F94D24B" w14:textId="77777777" w:rsidR="00D5525B" w:rsidRDefault="00D5525B" w:rsidP="00761C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E1773" w14:textId="0CEBEF0B" w:rsidR="00CD3935" w:rsidRDefault="00D5525B">
    <w:pPr>
      <w:pStyle w:val="Header"/>
    </w:pPr>
    <w:r>
      <w:rPr>
        <w:noProof/>
      </w:rPr>
      <w:pict w14:anchorId="1B2B88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537.6pt;height:101.3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F756C" w14:textId="006C9AF2" w:rsidR="00CD3935" w:rsidRDefault="00D5525B">
    <w:pPr>
      <w:pStyle w:val="Header"/>
    </w:pPr>
    <w:r>
      <w:rPr>
        <w:noProof/>
      </w:rPr>
      <w:pict w14:anchorId="192BBB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537.6pt;height:101.3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98D91" w14:textId="56AF6A20" w:rsidR="00CD3935" w:rsidRDefault="00D5525B">
    <w:pPr>
      <w:pStyle w:val="Header"/>
    </w:pPr>
    <w:r>
      <w:rPr>
        <w:noProof/>
      </w:rPr>
      <w:pict w14:anchorId="4F6676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alt="" style="position:absolute;margin-left:0;margin-top:0;width:537.6pt;height:101.3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14D20"/>
    <w:multiLevelType w:val="multilevel"/>
    <w:tmpl w:val="1910D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501C4"/>
    <w:multiLevelType w:val="hybridMultilevel"/>
    <w:tmpl w:val="92AC3E14"/>
    <w:lvl w:ilvl="0" w:tplc="C748C73A">
      <w:start w:val="1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8A13C2F"/>
    <w:multiLevelType w:val="multilevel"/>
    <w:tmpl w:val="34CCF8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297FFA"/>
    <w:multiLevelType w:val="multilevel"/>
    <w:tmpl w:val="BAC00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931FB1"/>
    <w:multiLevelType w:val="multilevel"/>
    <w:tmpl w:val="DF9E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D925C5"/>
    <w:multiLevelType w:val="multilevel"/>
    <w:tmpl w:val="7610D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6D4A8F"/>
    <w:multiLevelType w:val="multilevel"/>
    <w:tmpl w:val="2C4E0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59587C"/>
    <w:multiLevelType w:val="multilevel"/>
    <w:tmpl w:val="CB38A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EA5895"/>
    <w:multiLevelType w:val="multilevel"/>
    <w:tmpl w:val="37342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DB5FC4"/>
    <w:multiLevelType w:val="multilevel"/>
    <w:tmpl w:val="4140B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BFC0FBE"/>
    <w:multiLevelType w:val="multilevel"/>
    <w:tmpl w:val="3C90C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80D0204"/>
    <w:multiLevelType w:val="multilevel"/>
    <w:tmpl w:val="E14A7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9CF66F2"/>
    <w:multiLevelType w:val="multilevel"/>
    <w:tmpl w:val="56DA6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C596EAF"/>
    <w:multiLevelType w:val="multilevel"/>
    <w:tmpl w:val="F684C6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DD0157E"/>
    <w:multiLevelType w:val="multilevel"/>
    <w:tmpl w:val="8BE2D2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DF5D5E"/>
    <w:multiLevelType w:val="multilevel"/>
    <w:tmpl w:val="67025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7DC7430"/>
    <w:multiLevelType w:val="multilevel"/>
    <w:tmpl w:val="61020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C86CE7"/>
    <w:multiLevelType w:val="multilevel"/>
    <w:tmpl w:val="2CECA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8F6513F"/>
    <w:multiLevelType w:val="multilevel"/>
    <w:tmpl w:val="3BAC9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F76CBA"/>
    <w:multiLevelType w:val="multilevel"/>
    <w:tmpl w:val="AECC6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33F7D38"/>
    <w:multiLevelType w:val="multilevel"/>
    <w:tmpl w:val="2B5E00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C81F29"/>
    <w:multiLevelType w:val="multilevel"/>
    <w:tmpl w:val="578AD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FD15EF"/>
    <w:multiLevelType w:val="multilevel"/>
    <w:tmpl w:val="6A0E23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14"/>
  </w:num>
  <w:num w:numId="4">
    <w:abstractNumId w:val="7"/>
  </w:num>
  <w:num w:numId="5">
    <w:abstractNumId w:val="3"/>
  </w:num>
  <w:num w:numId="6">
    <w:abstractNumId w:val="9"/>
  </w:num>
  <w:num w:numId="7">
    <w:abstractNumId w:val="1"/>
  </w:num>
  <w:num w:numId="8">
    <w:abstractNumId w:val="17"/>
  </w:num>
  <w:num w:numId="9">
    <w:abstractNumId w:val="13"/>
  </w:num>
  <w:num w:numId="10">
    <w:abstractNumId w:val="15"/>
  </w:num>
  <w:num w:numId="11">
    <w:abstractNumId w:val="11"/>
  </w:num>
  <w:num w:numId="12">
    <w:abstractNumId w:val="5"/>
  </w:num>
  <w:num w:numId="13">
    <w:abstractNumId w:val="22"/>
  </w:num>
  <w:num w:numId="14">
    <w:abstractNumId w:val="20"/>
  </w:num>
  <w:num w:numId="15">
    <w:abstractNumId w:val="21"/>
  </w:num>
  <w:num w:numId="16">
    <w:abstractNumId w:val="8"/>
  </w:num>
  <w:num w:numId="17">
    <w:abstractNumId w:val="0"/>
  </w:num>
  <w:num w:numId="18">
    <w:abstractNumId w:val="18"/>
  </w:num>
  <w:num w:numId="19">
    <w:abstractNumId w:val="12"/>
  </w:num>
  <w:num w:numId="20">
    <w:abstractNumId w:val="4"/>
  </w:num>
  <w:num w:numId="21">
    <w:abstractNumId w:val="10"/>
  </w:num>
  <w:num w:numId="22">
    <w:abstractNumId w:val="16"/>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3C6"/>
    <w:rsid w:val="00033ACF"/>
    <w:rsid w:val="00034573"/>
    <w:rsid w:val="00051381"/>
    <w:rsid w:val="000F4110"/>
    <w:rsid w:val="00114D98"/>
    <w:rsid w:val="001178BD"/>
    <w:rsid w:val="002E7D60"/>
    <w:rsid w:val="00314290"/>
    <w:rsid w:val="003462D7"/>
    <w:rsid w:val="004E0C28"/>
    <w:rsid w:val="005213C6"/>
    <w:rsid w:val="0054247C"/>
    <w:rsid w:val="00570631"/>
    <w:rsid w:val="0057583D"/>
    <w:rsid w:val="00617AC2"/>
    <w:rsid w:val="006423D1"/>
    <w:rsid w:val="00761CE9"/>
    <w:rsid w:val="009166AC"/>
    <w:rsid w:val="00937AAF"/>
    <w:rsid w:val="00A332D9"/>
    <w:rsid w:val="00AA5A39"/>
    <w:rsid w:val="00AA70F5"/>
    <w:rsid w:val="00AE5404"/>
    <w:rsid w:val="00B3133E"/>
    <w:rsid w:val="00B416B3"/>
    <w:rsid w:val="00B7120D"/>
    <w:rsid w:val="00BC01AA"/>
    <w:rsid w:val="00BD11A3"/>
    <w:rsid w:val="00CD3935"/>
    <w:rsid w:val="00D1165A"/>
    <w:rsid w:val="00D27335"/>
    <w:rsid w:val="00D5525B"/>
    <w:rsid w:val="00DE08E6"/>
    <w:rsid w:val="00F01C0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D095903"/>
  <w15:chartTrackingRefBased/>
  <w15:docId w15:val="{20AC341D-5874-0C4B-BF4E-A93AB3C69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5213C6"/>
    <w:pPr>
      <w:spacing w:before="100" w:beforeAutospacing="1" w:after="100" w:afterAutospacing="1"/>
      <w:outlineLvl w:val="2"/>
    </w:pPr>
    <w:rPr>
      <w:rFonts w:ascii="Times New Roman" w:eastAsia="Times New Roman" w:hAnsi="Times New Roman" w:cs="Times New Roman"/>
      <w:b/>
      <w:bCs/>
      <w:sz w:val="27"/>
      <w:szCs w:val="27"/>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213C6"/>
    <w:rPr>
      <w:rFonts w:ascii="Times New Roman" w:eastAsia="Times New Roman" w:hAnsi="Times New Roman" w:cs="Times New Roman"/>
      <w:b/>
      <w:bCs/>
      <w:sz w:val="27"/>
      <w:szCs w:val="27"/>
      <w:lang w:eastAsia="fr-FR"/>
    </w:rPr>
  </w:style>
  <w:style w:type="paragraph" w:customStyle="1" w:styleId="ds-markdown-paragraph">
    <w:name w:val="ds-markdown-paragraph"/>
    <w:basedOn w:val="Normal"/>
    <w:rsid w:val="005213C6"/>
    <w:pPr>
      <w:spacing w:before="100" w:beforeAutospacing="1" w:after="100" w:afterAutospacing="1"/>
    </w:pPr>
    <w:rPr>
      <w:rFonts w:ascii="Times New Roman" w:eastAsia="Times New Roman" w:hAnsi="Times New Roman" w:cs="Times New Roman"/>
      <w:lang w:eastAsia="fr-FR"/>
    </w:rPr>
  </w:style>
  <w:style w:type="character" w:styleId="Strong">
    <w:name w:val="Strong"/>
    <w:basedOn w:val="DefaultParagraphFont"/>
    <w:uiPriority w:val="22"/>
    <w:qFormat/>
    <w:rsid w:val="005213C6"/>
    <w:rPr>
      <w:b/>
      <w:bCs/>
    </w:rPr>
  </w:style>
  <w:style w:type="character" w:styleId="Emphasis">
    <w:name w:val="Emphasis"/>
    <w:basedOn w:val="DefaultParagraphFont"/>
    <w:uiPriority w:val="20"/>
    <w:qFormat/>
    <w:rsid w:val="005213C6"/>
    <w:rPr>
      <w:i/>
      <w:iCs/>
    </w:rPr>
  </w:style>
  <w:style w:type="paragraph" w:styleId="ListParagraph">
    <w:name w:val="List Paragraph"/>
    <w:basedOn w:val="Normal"/>
    <w:uiPriority w:val="34"/>
    <w:qFormat/>
    <w:rsid w:val="00BC01AA"/>
    <w:pPr>
      <w:ind w:left="720"/>
      <w:contextualSpacing/>
    </w:pPr>
  </w:style>
  <w:style w:type="character" w:styleId="Hyperlink">
    <w:name w:val="Hyperlink"/>
    <w:basedOn w:val="DefaultParagraphFont"/>
    <w:uiPriority w:val="99"/>
    <w:unhideWhenUsed/>
    <w:rsid w:val="00D1165A"/>
    <w:rPr>
      <w:color w:val="0563C1" w:themeColor="hyperlink"/>
      <w:u w:val="single"/>
    </w:rPr>
  </w:style>
  <w:style w:type="character" w:styleId="UnresolvedMention">
    <w:name w:val="Unresolved Mention"/>
    <w:basedOn w:val="DefaultParagraphFont"/>
    <w:uiPriority w:val="99"/>
    <w:semiHidden/>
    <w:unhideWhenUsed/>
    <w:rsid w:val="00D1165A"/>
    <w:rPr>
      <w:color w:val="605E5C"/>
      <w:shd w:val="clear" w:color="auto" w:fill="E1DFDD"/>
    </w:rPr>
  </w:style>
  <w:style w:type="paragraph" w:styleId="Header">
    <w:name w:val="header"/>
    <w:basedOn w:val="Normal"/>
    <w:link w:val="HeaderChar"/>
    <w:uiPriority w:val="99"/>
    <w:unhideWhenUsed/>
    <w:rsid w:val="00761CE9"/>
    <w:pPr>
      <w:tabs>
        <w:tab w:val="center" w:pos="4680"/>
        <w:tab w:val="right" w:pos="9360"/>
      </w:tabs>
    </w:pPr>
  </w:style>
  <w:style w:type="character" w:customStyle="1" w:styleId="HeaderChar">
    <w:name w:val="Header Char"/>
    <w:basedOn w:val="DefaultParagraphFont"/>
    <w:link w:val="Header"/>
    <w:uiPriority w:val="99"/>
    <w:rsid w:val="00761CE9"/>
  </w:style>
  <w:style w:type="paragraph" w:styleId="Footer">
    <w:name w:val="footer"/>
    <w:basedOn w:val="Normal"/>
    <w:link w:val="FooterChar"/>
    <w:uiPriority w:val="99"/>
    <w:unhideWhenUsed/>
    <w:rsid w:val="00761CE9"/>
    <w:pPr>
      <w:tabs>
        <w:tab w:val="center" w:pos="4680"/>
        <w:tab w:val="right" w:pos="9360"/>
      </w:tabs>
    </w:pPr>
  </w:style>
  <w:style w:type="character" w:customStyle="1" w:styleId="FooterChar">
    <w:name w:val="Footer Char"/>
    <w:basedOn w:val="DefaultParagraphFont"/>
    <w:link w:val="Footer"/>
    <w:uiPriority w:val="99"/>
    <w:rsid w:val="00761CE9"/>
  </w:style>
  <w:style w:type="paragraph" w:styleId="NormalWeb">
    <w:name w:val="Normal (Web)"/>
    <w:basedOn w:val="Normal"/>
    <w:uiPriority w:val="99"/>
    <w:semiHidden/>
    <w:unhideWhenUsed/>
    <w:rsid w:val="00CD3935"/>
    <w:pPr>
      <w:spacing w:before="100" w:beforeAutospacing="1" w:after="100" w:afterAutospacing="1"/>
    </w:pPr>
    <w:rPr>
      <w:rFonts w:ascii="Times New Roman" w:eastAsiaTheme="minorEastAsia" w:hAnsi="Times New Roman" w:cs="Times New Roman"/>
      <w:lang w:eastAsia="fr-FR"/>
    </w:rPr>
  </w:style>
  <w:style w:type="character" w:customStyle="1" w:styleId="d813de27">
    <w:name w:val="d813de27"/>
    <w:basedOn w:val="DefaultParagraphFont"/>
    <w:rsid w:val="00CD3935"/>
  </w:style>
  <w:style w:type="character" w:customStyle="1" w:styleId="code-info-button-text">
    <w:name w:val="code-info-button-text"/>
    <w:basedOn w:val="DefaultParagraphFont"/>
    <w:rsid w:val="00CD3935"/>
  </w:style>
  <w:style w:type="paragraph" w:styleId="HTMLPreformatted">
    <w:name w:val="HTML Preformatted"/>
    <w:basedOn w:val="Normal"/>
    <w:link w:val="HTMLPreformattedChar"/>
    <w:uiPriority w:val="99"/>
    <w:semiHidden/>
    <w:unhideWhenUsed/>
    <w:rsid w:val="00CD3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semiHidden/>
    <w:rsid w:val="00CD3935"/>
    <w:rPr>
      <w:rFonts w:ascii="Courier New" w:eastAsia="Times New Roman" w:hAnsi="Courier New" w:cs="Courier New"/>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1527476">
      <w:bodyDiv w:val="1"/>
      <w:marLeft w:val="0"/>
      <w:marRight w:val="0"/>
      <w:marTop w:val="0"/>
      <w:marBottom w:val="0"/>
      <w:divBdr>
        <w:top w:val="none" w:sz="0" w:space="0" w:color="auto"/>
        <w:left w:val="none" w:sz="0" w:space="0" w:color="auto"/>
        <w:bottom w:val="none" w:sz="0" w:space="0" w:color="auto"/>
        <w:right w:val="none" w:sz="0" w:space="0" w:color="auto"/>
      </w:divBdr>
      <w:divsChild>
        <w:div w:id="842940436">
          <w:marLeft w:val="0"/>
          <w:marRight w:val="0"/>
          <w:marTop w:val="0"/>
          <w:marBottom w:val="0"/>
          <w:divBdr>
            <w:top w:val="none" w:sz="0" w:space="0" w:color="auto"/>
            <w:left w:val="none" w:sz="0" w:space="0" w:color="auto"/>
            <w:bottom w:val="none" w:sz="0" w:space="0" w:color="auto"/>
            <w:right w:val="none" w:sz="0" w:space="0" w:color="auto"/>
          </w:divBdr>
          <w:divsChild>
            <w:div w:id="508638423">
              <w:marLeft w:val="0"/>
              <w:marRight w:val="0"/>
              <w:marTop w:val="0"/>
              <w:marBottom w:val="0"/>
              <w:divBdr>
                <w:top w:val="none" w:sz="0" w:space="0" w:color="auto"/>
                <w:left w:val="none" w:sz="0" w:space="0" w:color="auto"/>
                <w:bottom w:val="none" w:sz="0" w:space="0" w:color="auto"/>
                <w:right w:val="none" w:sz="0" w:space="0" w:color="auto"/>
              </w:divBdr>
              <w:divsChild>
                <w:div w:id="1964458713">
                  <w:marLeft w:val="0"/>
                  <w:marRight w:val="0"/>
                  <w:marTop w:val="0"/>
                  <w:marBottom w:val="0"/>
                  <w:divBdr>
                    <w:top w:val="none" w:sz="0" w:space="0" w:color="auto"/>
                    <w:left w:val="none" w:sz="0" w:space="0" w:color="auto"/>
                    <w:bottom w:val="none" w:sz="0" w:space="0" w:color="auto"/>
                    <w:right w:val="none" w:sz="0" w:space="0" w:color="auto"/>
                  </w:divBdr>
                  <w:divsChild>
                    <w:div w:id="109936532">
                      <w:marLeft w:val="0"/>
                      <w:marRight w:val="0"/>
                      <w:marTop w:val="0"/>
                      <w:marBottom w:val="0"/>
                      <w:divBdr>
                        <w:top w:val="none" w:sz="0" w:space="0" w:color="auto"/>
                        <w:left w:val="none" w:sz="0" w:space="0" w:color="auto"/>
                        <w:bottom w:val="none" w:sz="0" w:space="0" w:color="auto"/>
                        <w:right w:val="none" w:sz="0" w:space="0" w:color="auto"/>
                      </w:divBdr>
                      <w:divsChild>
                        <w:div w:id="460610067">
                          <w:marLeft w:val="0"/>
                          <w:marRight w:val="0"/>
                          <w:marTop w:val="240"/>
                          <w:marBottom w:val="0"/>
                          <w:divBdr>
                            <w:top w:val="none" w:sz="0" w:space="0" w:color="auto"/>
                            <w:left w:val="none" w:sz="0" w:space="0" w:color="auto"/>
                            <w:bottom w:val="none" w:sz="0" w:space="0" w:color="auto"/>
                            <w:right w:val="none" w:sz="0" w:space="0" w:color="auto"/>
                          </w:divBdr>
                          <w:divsChild>
                            <w:div w:id="426004092">
                              <w:marLeft w:val="0"/>
                              <w:marRight w:val="0"/>
                              <w:marTop w:val="0"/>
                              <w:marBottom w:val="0"/>
                              <w:divBdr>
                                <w:top w:val="none" w:sz="0" w:space="0" w:color="auto"/>
                                <w:left w:val="none" w:sz="0" w:space="0" w:color="auto"/>
                                <w:bottom w:val="none" w:sz="0" w:space="0" w:color="auto"/>
                                <w:right w:val="none" w:sz="0" w:space="0" w:color="auto"/>
                              </w:divBdr>
                              <w:divsChild>
                                <w:div w:id="955331375">
                                  <w:marLeft w:val="0"/>
                                  <w:marRight w:val="0"/>
                                  <w:marTop w:val="0"/>
                                  <w:marBottom w:val="0"/>
                                  <w:divBdr>
                                    <w:top w:val="none" w:sz="0" w:space="0" w:color="auto"/>
                                    <w:left w:val="none" w:sz="0" w:space="0" w:color="auto"/>
                                    <w:bottom w:val="none" w:sz="0" w:space="0" w:color="auto"/>
                                    <w:right w:val="none" w:sz="0" w:space="0" w:color="auto"/>
                                  </w:divBdr>
                                  <w:divsChild>
                                    <w:div w:id="225841712">
                                      <w:marLeft w:val="0"/>
                                      <w:marRight w:val="0"/>
                                      <w:marTop w:val="0"/>
                                      <w:marBottom w:val="0"/>
                                      <w:divBdr>
                                        <w:top w:val="none" w:sz="0" w:space="0" w:color="auto"/>
                                        <w:left w:val="none" w:sz="0" w:space="0" w:color="auto"/>
                                        <w:bottom w:val="none" w:sz="0" w:space="0" w:color="auto"/>
                                        <w:right w:val="none" w:sz="0" w:space="0" w:color="auto"/>
                                      </w:divBdr>
                                      <w:divsChild>
                                        <w:div w:id="1735660825">
                                          <w:marLeft w:val="0"/>
                                          <w:marRight w:val="0"/>
                                          <w:marTop w:val="0"/>
                                          <w:marBottom w:val="0"/>
                                          <w:divBdr>
                                            <w:top w:val="none" w:sz="0" w:space="0" w:color="auto"/>
                                            <w:left w:val="none" w:sz="0" w:space="0" w:color="auto"/>
                                            <w:bottom w:val="none" w:sz="0" w:space="0" w:color="auto"/>
                                            <w:right w:val="none" w:sz="0" w:space="0" w:color="auto"/>
                                          </w:divBdr>
                                        </w:div>
                                        <w:div w:id="1986544301">
                                          <w:marLeft w:val="0"/>
                                          <w:marRight w:val="0"/>
                                          <w:marTop w:val="0"/>
                                          <w:marBottom w:val="0"/>
                                          <w:divBdr>
                                            <w:top w:val="none" w:sz="0" w:space="0" w:color="auto"/>
                                            <w:left w:val="none" w:sz="0" w:space="0" w:color="auto"/>
                                            <w:bottom w:val="none" w:sz="0" w:space="0" w:color="auto"/>
                                            <w:right w:val="none" w:sz="0" w:space="0" w:color="auto"/>
                                          </w:divBdr>
                                          <w:divsChild>
                                            <w:div w:id="159481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955286">
                          <w:marLeft w:val="0"/>
                          <w:marRight w:val="0"/>
                          <w:marTop w:val="0"/>
                          <w:marBottom w:val="0"/>
                          <w:divBdr>
                            <w:top w:val="none" w:sz="0" w:space="0" w:color="auto"/>
                            <w:left w:val="none" w:sz="0" w:space="0" w:color="auto"/>
                            <w:bottom w:val="none" w:sz="0" w:space="0" w:color="auto"/>
                            <w:right w:val="none" w:sz="0" w:space="0" w:color="auto"/>
                          </w:divBdr>
                        </w:div>
                        <w:div w:id="417946216">
                          <w:marLeft w:val="0"/>
                          <w:marRight w:val="0"/>
                          <w:marTop w:val="0"/>
                          <w:marBottom w:val="0"/>
                          <w:divBdr>
                            <w:top w:val="none" w:sz="0" w:space="0" w:color="auto"/>
                            <w:left w:val="none" w:sz="0" w:space="0" w:color="auto"/>
                            <w:bottom w:val="none" w:sz="0" w:space="0" w:color="auto"/>
                            <w:right w:val="none" w:sz="0" w:space="0" w:color="auto"/>
                          </w:divBdr>
                        </w:div>
                        <w:div w:id="347215050">
                          <w:marLeft w:val="0"/>
                          <w:marRight w:val="0"/>
                          <w:marTop w:val="0"/>
                          <w:marBottom w:val="0"/>
                          <w:divBdr>
                            <w:top w:val="none" w:sz="0" w:space="0" w:color="auto"/>
                            <w:left w:val="none" w:sz="0" w:space="0" w:color="auto"/>
                            <w:bottom w:val="none" w:sz="0" w:space="0" w:color="auto"/>
                            <w:right w:val="none" w:sz="0" w:space="0" w:color="auto"/>
                          </w:divBdr>
                        </w:div>
                        <w:div w:id="38595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896289">
          <w:marLeft w:val="0"/>
          <w:marRight w:val="0"/>
          <w:marTop w:val="0"/>
          <w:marBottom w:val="0"/>
          <w:divBdr>
            <w:top w:val="none" w:sz="0" w:space="0" w:color="auto"/>
            <w:left w:val="none" w:sz="0" w:space="0" w:color="auto"/>
            <w:bottom w:val="none" w:sz="0" w:space="0" w:color="auto"/>
            <w:right w:val="none" w:sz="0" w:space="0" w:color="auto"/>
          </w:divBdr>
          <w:divsChild>
            <w:div w:id="1618608784">
              <w:marLeft w:val="0"/>
              <w:marRight w:val="0"/>
              <w:marTop w:val="0"/>
              <w:marBottom w:val="0"/>
              <w:divBdr>
                <w:top w:val="none" w:sz="0" w:space="0" w:color="auto"/>
                <w:left w:val="none" w:sz="0" w:space="0" w:color="auto"/>
                <w:bottom w:val="none" w:sz="0" w:space="0" w:color="auto"/>
                <w:right w:val="none" w:sz="0" w:space="0" w:color="auto"/>
              </w:divBdr>
              <w:divsChild>
                <w:div w:id="1647927832">
                  <w:marLeft w:val="0"/>
                  <w:marRight w:val="0"/>
                  <w:marTop w:val="0"/>
                  <w:marBottom w:val="0"/>
                  <w:divBdr>
                    <w:top w:val="none" w:sz="0" w:space="0" w:color="auto"/>
                    <w:left w:val="none" w:sz="0" w:space="0" w:color="auto"/>
                    <w:bottom w:val="none" w:sz="0" w:space="0" w:color="auto"/>
                    <w:right w:val="none" w:sz="0" w:space="0" w:color="auto"/>
                  </w:divBdr>
                  <w:divsChild>
                    <w:div w:id="710346743">
                      <w:marLeft w:val="0"/>
                      <w:marRight w:val="120"/>
                      <w:marTop w:val="0"/>
                      <w:marBottom w:val="0"/>
                      <w:divBdr>
                        <w:top w:val="none" w:sz="0" w:space="0" w:color="auto"/>
                        <w:left w:val="none" w:sz="0" w:space="0" w:color="auto"/>
                        <w:bottom w:val="none" w:sz="0" w:space="0" w:color="auto"/>
                        <w:right w:val="none" w:sz="0" w:space="0" w:color="auto"/>
                      </w:divBdr>
                      <w:divsChild>
                        <w:div w:id="1825854591">
                          <w:marLeft w:val="0"/>
                          <w:marRight w:val="180"/>
                          <w:marTop w:val="0"/>
                          <w:marBottom w:val="0"/>
                          <w:divBdr>
                            <w:top w:val="none" w:sz="0" w:space="0" w:color="auto"/>
                            <w:left w:val="none" w:sz="0" w:space="0" w:color="auto"/>
                            <w:bottom w:val="none" w:sz="0" w:space="0" w:color="auto"/>
                            <w:right w:val="none" w:sz="0" w:space="0" w:color="auto"/>
                          </w:divBdr>
                        </w:div>
                      </w:divsChild>
                    </w:div>
                    <w:div w:id="1236936043">
                      <w:marLeft w:val="0"/>
                      <w:marRight w:val="120"/>
                      <w:marTop w:val="150"/>
                      <w:marBottom w:val="0"/>
                      <w:divBdr>
                        <w:top w:val="none" w:sz="0" w:space="0" w:color="auto"/>
                        <w:left w:val="none" w:sz="0" w:space="0" w:color="auto"/>
                        <w:bottom w:val="none" w:sz="0" w:space="0" w:color="auto"/>
                        <w:right w:val="none" w:sz="0" w:space="0" w:color="auto"/>
                      </w:divBdr>
                      <w:divsChild>
                        <w:div w:id="209347970">
                          <w:marLeft w:val="0"/>
                          <w:marRight w:val="180"/>
                          <w:marTop w:val="0"/>
                          <w:marBottom w:val="0"/>
                          <w:divBdr>
                            <w:top w:val="none" w:sz="0" w:space="0" w:color="auto"/>
                            <w:left w:val="none" w:sz="0" w:space="0" w:color="auto"/>
                            <w:bottom w:val="none" w:sz="0" w:space="0" w:color="auto"/>
                            <w:right w:val="none" w:sz="0" w:space="0" w:color="auto"/>
                          </w:divBdr>
                        </w:div>
                      </w:divsChild>
                    </w:div>
                    <w:div w:id="2085445725">
                      <w:marLeft w:val="0"/>
                      <w:marRight w:val="120"/>
                      <w:marTop w:val="150"/>
                      <w:marBottom w:val="0"/>
                      <w:divBdr>
                        <w:top w:val="none" w:sz="0" w:space="0" w:color="auto"/>
                        <w:left w:val="none" w:sz="0" w:space="0" w:color="auto"/>
                        <w:bottom w:val="none" w:sz="0" w:space="0" w:color="auto"/>
                        <w:right w:val="none" w:sz="0" w:space="0" w:color="auto"/>
                      </w:divBdr>
                      <w:divsChild>
                        <w:div w:id="488251908">
                          <w:marLeft w:val="0"/>
                          <w:marRight w:val="180"/>
                          <w:marTop w:val="0"/>
                          <w:marBottom w:val="0"/>
                          <w:divBdr>
                            <w:top w:val="none" w:sz="0" w:space="0" w:color="auto"/>
                            <w:left w:val="none" w:sz="0" w:space="0" w:color="auto"/>
                            <w:bottom w:val="none" w:sz="0" w:space="0" w:color="auto"/>
                            <w:right w:val="none" w:sz="0" w:space="0" w:color="auto"/>
                          </w:divBdr>
                        </w:div>
                      </w:divsChild>
                    </w:div>
                    <w:div w:id="549341138">
                      <w:marLeft w:val="0"/>
                      <w:marRight w:val="120"/>
                      <w:marTop w:val="150"/>
                      <w:marBottom w:val="0"/>
                      <w:divBdr>
                        <w:top w:val="none" w:sz="0" w:space="0" w:color="auto"/>
                        <w:left w:val="none" w:sz="0" w:space="0" w:color="auto"/>
                        <w:bottom w:val="none" w:sz="0" w:space="0" w:color="auto"/>
                        <w:right w:val="none" w:sz="0" w:space="0" w:color="auto"/>
                      </w:divBdr>
                      <w:divsChild>
                        <w:div w:id="44648514">
                          <w:marLeft w:val="0"/>
                          <w:marRight w:val="180"/>
                          <w:marTop w:val="0"/>
                          <w:marBottom w:val="0"/>
                          <w:divBdr>
                            <w:top w:val="none" w:sz="0" w:space="0" w:color="auto"/>
                            <w:left w:val="none" w:sz="0" w:space="0" w:color="auto"/>
                            <w:bottom w:val="none" w:sz="0" w:space="0" w:color="auto"/>
                            <w:right w:val="none" w:sz="0" w:space="0" w:color="auto"/>
                          </w:divBdr>
                        </w:div>
                      </w:divsChild>
                    </w:div>
                    <w:div w:id="1241788403">
                      <w:marLeft w:val="0"/>
                      <w:marRight w:val="120"/>
                      <w:marTop w:val="150"/>
                      <w:marBottom w:val="0"/>
                      <w:divBdr>
                        <w:top w:val="none" w:sz="0" w:space="0" w:color="auto"/>
                        <w:left w:val="none" w:sz="0" w:space="0" w:color="auto"/>
                        <w:bottom w:val="none" w:sz="0" w:space="0" w:color="auto"/>
                        <w:right w:val="none" w:sz="0" w:space="0" w:color="auto"/>
                      </w:divBdr>
                      <w:divsChild>
                        <w:div w:id="1705515709">
                          <w:marLeft w:val="0"/>
                          <w:marRight w:val="180"/>
                          <w:marTop w:val="0"/>
                          <w:marBottom w:val="0"/>
                          <w:divBdr>
                            <w:top w:val="none" w:sz="0" w:space="0" w:color="auto"/>
                            <w:left w:val="none" w:sz="0" w:space="0" w:color="auto"/>
                            <w:bottom w:val="none" w:sz="0" w:space="0" w:color="auto"/>
                            <w:right w:val="none" w:sz="0" w:space="0" w:color="auto"/>
                          </w:divBdr>
                        </w:div>
                      </w:divsChild>
                    </w:div>
                    <w:div w:id="418790963">
                      <w:marLeft w:val="0"/>
                      <w:marRight w:val="120"/>
                      <w:marTop w:val="150"/>
                      <w:marBottom w:val="0"/>
                      <w:divBdr>
                        <w:top w:val="none" w:sz="0" w:space="0" w:color="auto"/>
                        <w:left w:val="none" w:sz="0" w:space="0" w:color="auto"/>
                        <w:bottom w:val="none" w:sz="0" w:space="0" w:color="auto"/>
                        <w:right w:val="none" w:sz="0" w:space="0" w:color="auto"/>
                      </w:divBdr>
                      <w:divsChild>
                        <w:div w:id="99954378">
                          <w:marLeft w:val="0"/>
                          <w:marRight w:val="180"/>
                          <w:marTop w:val="0"/>
                          <w:marBottom w:val="0"/>
                          <w:divBdr>
                            <w:top w:val="none" w:sz="0" w:space="0" w:color="auto"/>
                            <w:left w:val="none" w:sz="0" w:space="0" w:color="auto"/>
                            <w:bottom w:val="none" w:sz="0" w:space="0" w:color="auto"/>
                            <w:right w:val="none" w:sz="0" w:space="0" w:color="auto"/>
                          </w:divBdr>
                        </w:div>
                      </w:divsChild>
                    </w:div>
                    <w:div w:id="236788160">
                      <w:marLeft w:val="0"/>
                      <w:marRight w:val="120"/>
                      <w:marTop w:val="150"/>
                      <w:marBottom w:val="0"/>
                      <w:divBdr>
                        <w:top w:val="none" w:sz="0" w:space="0" w:color="auto"/>
                        <w:left w:val="none" w:sz="0" w:space="0" w:color="auto"/>
                        <w:bottom w:val="none" w:sz="0" w:space="0" w:color="auto"/>
                        <w:right w:val="none" w:sz="0" w:space="0" w:color="auto"/>
                      </w:divBdr>
                      <w:divsChild>
                        <w:div w:id="941307097">
                          <w:marLeft w:val="0"/>
                          <w:marRight w:val="180"/>
                          <w:marTop w:val="0"/>
                          <w:marBottom w:val="0"/>
                          <w:divBdr>
                            <w:top w:val="none" w:sz="0" w:space="0" w:color="auto"/>
                            <w:left w:val="none" w:sz="0" w:space="0" w:color="auto"/>
                            <w:bottom w:val="none" w:sz="0" w:space="0" w:color="auto"/>
                            <w:right w:val="none" w:sz="0" w:space="0" w:color="auto"/>
                          </w:divBdr>
                        </w:div>
                      </w:divsChild>
                    </w:div>
                    <w:div w:id="948927314">
                      <w:marLeft w:val="0"/>
                      <w:marRight w:val="120"/>
                      <w:marTop w:val="150"/>
                      <w:marBottom w:val="0"/>
                      <w:divBdr>
                        <w:top w:val="none" w:sz="0" w:space="0" w:color="auto"/>
                        <w:left w:val="none" w:sz="0" w:space="0" w:color="auto"/>
                        <w:bottom w:val="none" w:sz="0" w:space="0" w:color="auto"/>
                        <w:right w:val="none" w:sz="0" w:space="0" w:color="auto"/>
                      </w:divBdr>
                      <w:divsChild>
                        <w:div w:id="1576627883">
                          <w:marLeft w:val="0"/>
                          <w:marRight w:val="180"/>
                          <w:marTop w:val="0"/>
                          <w:marBottom w:val="0"/>
                          <w:divBdr>
                            <w:top w:val="none" w:sz="0" w:space="0" w:color="auto"/>
                            <w:left w:val="none" w:sz="0" w:space="0" w:color="auto"/>
                            <w:bottom w:val="none" w:sz="0" w:space="0" w:color="auto"/>
                            <w:right w:val="none" w:sz="0" w:space="0" w:color="auto"/>
                          </w:divBdr>
                        </w:div>
                      </w:divsChild>
                    </w:div>
                    <w:div w:id="1100220411">
                      <w:marLeft w:val="0"/>
                      <w:marRight w:val="120"/>
                      <w:marTop w:val="150"/>
                      <w:marBottom w:val="0"/>
                      <w:divBdr>
                        <w:top w:val="none" w:sz="0" w:space="0" w:color="auto"/>
                        <w:left w:val="none" w:sz="0" w:space="0" w:color="auto"/>
                        <w:bottom w:val="none" w:sz="0" w:space="0" w:color="auto"/>
                        <w:right w:val="none" w:sz="0" w:space="0" w:color="auto"/>
                      </w:divBdr>
                      <w:divsChild>
                        <w:div w:id="941955642">
                          <w:marLeft w:val="0"/>
                          <w:marRight w:val="180"/>
                          <w:marTop w:val="0"/>
                          <w:marBottom w:val="0"/>
                          <w:divBdr>
                            <w:top w:val="none" w:sz="0" w:space="0" w:color="auto"/>
                            <w:left w:val="none" w:sz="0" w:space="0" w:color="auto"/>
                            <w:bottom w:val="none" w:sz="0" w:space="0" w:color="auto"/>
                            <w:right w:val="none" w:sz="0" w:space="0" w:color="auto"/>
                          </w:divBdr>
                        </w:div>
                      </w:divsChild>
                    </w:div>
                    <w:div w:id="683634869">
                      <w:marLeft w:val="0"/>
                      <w:marRight w:val="120"/>
                      <w:marTop w:val="150"/>
                      <w:marBottom w:val="0"/>
                      <w:divBdr>
                        <w:top w:val="none" w:sz="0" w:space="0" w:color="auto"/>
                        <w:left w:val="none" w:sz="0" w:space="0" w:color="auto"/>
                        <w:bottom w:val="none" w:sz="0" w:space="0" w:color="auto"/>
                        <w:right w:val="none" w:sz="0" w:space="0" w:color="auto"/>
                      </w:divBdr>
                      <w:divsChild>
                        <w:div w:id="609900971">
                          <w:marLeft w:val="0"/>
                          <w:marRight w:val="180"/>
                          <w:marTop w:val="0"/>
                          <w:marBottom w:val="0"/>
                          <w:divBdr>
                            <w:top w:val="none" w:sz="0" w:space="0" w:color="auto"/>
                            <w:left w:val="none" w:sz="0" w:space="0" w:color="auto"/>
                            <w:bottom w:val="none" w:sz="0" w:space="0" w:color="auto"/>
                            <w:right w:val="none" w:sz="0" w:space="0" w:color="auto"/>
                          </w:divBdr>
                        </w:div>
                      </w:divsChild>
                    </w:div>
                    <w:div w:id="1984382707">
                      <w:marLeft w:val="0"/>
                      <w:marRight w:val="120"/>
                      <w:marTop w:val="150"/>
                      <w:marBottom w:val="0"/>
                      <w:divBdr>
                        <w:top w:val="none" w:sz="0" w:space="0" w:color="auto"/>
                        <w:left w:val="none" w:sz="0" w:space="0" w:color="auto"/>
                        <w:bottom w:val="none" w:sz="0" w:space="0" w:color="auto"/>
                        <w:right w:val="none" w:sz="0" w:space="0" w:color="auto"/>
                      </w:divBdr>
                      <w:divsChild>
                        <w:div w:id="2061828196">
                          <w:marLeft w:val="0"/>
                          <w:marRight w:val="180"/>
                          <w:marTop w:val="0"/>
                          <w:marBottom w:val="0"/>
                          <w:divBdr>
                            <w:top w:val="none" w:sz="0" w:space="0" w:color="auto"/>
                            <w:left w:val="none" w:sz="0" w:space="0" w:color="auto"/>
                            <w:bottom w:val="none" w:sz="0" w:space="0" w:color="auto"/>
                            <w:right w:val="none" w:sz="0" w:space="0" w:color="auto"/>
                          </w:divBdr>
                        </w:div>
                      </w:divsChild>
                    </w:div>
                    <w:div w:id="851336059">
                      <w:marLeft w:val="0"/>
                      <w:marRight w:val="120"/>
                      <w:marTop w:val="150"/>
                      <w:marBottom w:val="0"/>
                      <w:divBdr>
                        <w:top w:val="none" w:sz="0" w:space="0" w:color="auto"/>
                        <w:left w:val="none" w:sz="0" w:space="0" w:color="auto"/>
                        <w:bottom w:val="none" w:sz="0" w:space="0" w:color="auto"/>
                        <w:right w:val="none" w:sz="0" w:space="0" w:color="auto"/>
                      </w:divBdr>
                      <w:divsChild>
                        <w:div w:id="2129665040">
                          <w:marLeft w:val="0"/>
                          <w:marRight w:val="180"/>
                          <w:marTop w:val="0"/>
                          <w:marBottom w:val="0"/>
                          <w:divBdr>
                            <w:top w:val="none" w:sz="0" w:space="0" w:color="auto"/>
                            <w:left w:val="none" w:sz="0" w:space="0" w:color="auto"/>
                            <w:bottom w:val="none" w:sz="0" w:space="0" w:color="auto"/>
                            <w:right w:val="none" w:sz="0" w:space="0" w:color="auto"/>
                          </w:divBdr>
                        </w:div>
                      </w:divsChild>
                    </w:div>
                    <w:div w:id="1440831281">
                      <w:marLeft w:val="0"/>
                      <w:marRight w:val="120"/>
                      <w:marTop w:val="150"/>
                      <w:marBottom w:val="0"/>
                      <w:divBdr>
                        <w:top w:val="none" w:sz="0" w:space="0" w:color="auto"/>
                        <w:left w:val="none" w:sz="0" w:space="0" w:color="auto"/>
                        <w:bottom w:val="none" w:sz="0" w:space="0" w:color="auto"/>
                        <w:right w:val="none" w:sz="0" w:space="0" w:color="auto"/>
                      </w:divBdr>
                      <w:divsChild>
                        <w:div w:id="844128405">
                          <w:marLeft w:val="0"/>
                          <w:marRight w:val="180"/>
                          <w:marTop w:val="0"/>
                          <w:marBottom w:val="0"/>
                          <w:divBdr>
                            <w:top w:val="none" w:sz="0" w:space="0" w:color="auto"/>
                            <w:left w:val="none" w:sz="0" w:space="0" w:color="auto"/>
                            <w:bottom w:val="none" w:sz="0" w:space="0" w:color="auto"/>
                            <w:right w:val="none" w:sz="0" w:space="0" w:color="auto"/>
                          </w:divBdr>
                        </w:div>
                      </w:divsChild>
                    </w:div>
                    <w:div w:id="991828816">
                      <w:marLeft w:val="0"/>
                      <w:marRight w:val="120"/>
                      <w:marTop w:val="150"/>
                      <w:marBottom w:val="0"/>
                      <w:divBdr>
                        <w:top w:val="none" w:sz="0" w:space="0" w:color="auto"/>
                        <w:left w:val="none" w:sz="0" w:space="0" w:color="auto"/>
                        <w:bottom w:val="none" w:sz="0" w:space="0" w:color="auto"/>
                        <w:right w:val="none" w:sz="0" w:space="0" w:color="auto"/>
                      </w:divBdr>
                      <w:divsChild>
                        <w:div w:id="514341136">
                          <w:marLeft w:val="0"/>
                          <w:marRight w:val="180"/>
                          <w:marTop w:val="0"/>
                          <w:marBottom w:val="0"/>
                          <w:divBdr>
                            <w:top w:val="none" w:sz="0" w:space="0" w:color="auto"/>
                            <w:left w:val="none" w:sz="0" w:space="0" w:color="auto"/>
                            <w:bottom w:val="none" w:sz="0" w:space="0" w:color="auto"/>
                            <w:right w:val="none" w:sz="0" w:space="0" w:color="auto"/>
                          </w:divBdr>
                        </w:div>
                      </w:divsChild>
                    </w:div>
                    <w:div w:id="1412392138">
                      <w:marLeft w:val="0"/>
                      <w:marRight w:val="120"/>
                      <w:marTop w:val="150"/>
                      <w:marBottom w:val="0"/>
                      <w:divBdr>
                        <w:top w:val="none" w:sz="0" w:space="0" w:color="auto"/>
                        <w:left w:val="none" w:sz="0" w:space="0" w:color="auto"/>
                        <w:bottom w:val="none" w:sz="0" w:space="0" w:color="auto"/>
                        <w:right w:val="none" w:sz="0" w:space="0" w:color="auto"/>
                      </w:divBdr>
                      <w:divsChild>
                        <w:div w:id="1294217922">
                          <w:marLeft w:val="0"/>
                          <w:marRight w:val="180"/>
                          <w:marTop w:val="0"/>
                          <w:marBottom w:val="0"/>
                          <w:divBdr>
                            <w:top w:val="none" w:sz="0" w:space="0" w:color="auto"/>
                            <w:left w:val="none" w:sz="0" w:space="0" w:color="auto"/>
                            <w:bottom w:val="none" w:sz="0" w:space="0" w:color="auto"/>
                            <w:right w:val="none" w:sz="0" w:space="0" w:color="auto"/>
                          </w:divBdr>
                        </w:div>
                      </w:divsChild>
                    </w:div>
                    <w:div w:id="1538859710">
                      <w:marLeft w:val="0"/>
                      <w:marRight w:val="120"/>
                      <w:marTop w:val="150"/>
                      <w:marBottom w:val="0"/>
                      <w:divBdr>
                        <w:top w:val="none" w:sz="0" w:space="0" w:color="auto"/>
                        <w:left w:val="none" w:sz="0" w:space="0" w:color="auto"/>
                        <w:bottom w:val="none" w:sz="0" w:space="0" w:color="auto"/>
                        <w:right w:val="none" w:sz="0" w:space="0" w:color="auto"/>
                      </w:divBdr>
                      <w:divsChild>
                        <w:div w:id="831721672">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5669702">
      <w:bodyDiv w:val="1"/>
      <w:marLeft w:val="0"/>
      <w:marRight w:val="0"/>
      <w:marTop w:val="0"/>
      <w:marBottom w:val="0"/>
      <w:divBdr>
        <w:top w:val="none" w:sz="0" w:space="0" w:color="auto"/>
        <w:left w:val="none" w:sz="0" w:space="0" w:color="auto"/>
        <w:bottom w:val="none" w:sz="0" w:space="0" w:color="auto"/>
        <w:right w:val="none" w:sz="0" w:space="0" w:color="auto"/>
      </w:divBdr>
      <w:divsChild>
        <w:div w:id="1153446426">
          <w:marLeft w:val="0"/>
          <w:marRight w:val="0"/>
          <w:marTop w:val="0"/>
          <w:marBottom w:val="0"/>
          <w:divBdr>
            <w:top w:val="none" w:sz="0" w:space="0" w:color="auto"/>
            <w:left w:val="none" w:sz="0" w:space="0" w:color="auto"/>
            <w:bottom w:val="none" w:sz="0" w:space="0" w:color="auto"/>
            <w:right w:val="none" w:sz="0" w:space="0" w:color="auto"/>
          </w:divBdr>
          <w:divsChild>
            <w:div w:id="1118987429">
              <w:marLeft w:val="0"/>
              <w:marRight w:val="0"/>
              <w:marTop w:val="0"/>
              <w:marBottom w:val="0"/>
              <w:divBdr>
                <w:top w:val="none" w:sz="0" w:space="0" w:color="auto"/>
                <w:left w:val="none" w:sz="0" w:space="0" w:color="auto"/>
                <w:bottom w:val="none" w:sz="0" w:space="0" w:color="auto"/>
                <w:right w:val="none" w:sz="0" w:space="0" w:color="auto"/>
              </w:divBdr>
              <w:divsChild>
                <w:div w:id="860171425">
                  <w:marLeft w:val="0"/>
                  <w:marRight w:val="0"/>
                  <w:marTop w:val="0"/>
                  <w:marBottom w:val="0"/>
                  <w:divBdr>
                    <w:top w:val="none" w:sz="0" w:space="0" w:color="auto"/>
                    <w:left w:val="none" w:sz="0" w:space="0" w:color="auto"/>
                    <w:bottom w:val="none" w:sz="0" w:space="0" w:color="auto"/>
                    <w:right w:val="none" w:sz="0" w:space="0" w:color="auto"/>
                  </w:divBdr>
                  <w:divsChild>
                    <w:div w:id="1128668440">
                      <w:marLeft w:val="0"/>
                      <w:marRight w:val="0"/>
                      <w:marTop w:val="0"/>
                      <w:marBottom w:val="0"/>
                      <w:divBdr>
                        <w:top w:val="none" w:sz="0" w:space="0" w:color="auto"/>
                        <w:left w:val="none" w:sz="0" w:space="0" w:color="auto"/>
                        <w:bottom w:val="none" w:sz="0" w:space="0" w:color="auto"/>
                        <w:right w:val="none" w:sz="0" w:space="0" w:color="auto"/>
                      </w:divBdr>
                      <w:divsChild>
                        <w:div w:id="1637369678">
                          <w:marLeft w:val="0"/>
                          <w:marRight w:val="0"/>
                          <w:marTop w:val="0"/>
                          <w:marBottom w:val="0"/>
                          <w:divBdr>
                            <w:top w:val="none" w:sz="0" w:space="0" w:color="auto"/>
                            <w:left w:val="none" w:sz="0" w:space="0" w:color="auto"/>
                            <w:bottom w:val="none" w:sz="0" w:space="0" w:color="auto"/>
                            <w:right w:val="none" w:sz="0" w:space="0" w:color="auto"/>
                          </w:divBdr>
                        </w:div>
                        <w:div w:id="136367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757711">
          <w:marLeft w:val="0"/>
          <w:marRight w:val="0"/>
          <w:marTop w:val="0"/>
          <w:marBottom w:val="0"/>
          <w:divBdr>
            <w:top w:val="none" w:sz="0" w:space="0" w:color="auto"/>
            <w:left w:val="none" w:sz="0" w:space="0" w:color="auto"/>
            <w:bottom w:val="none" w:sz="0" w:space="0" w:color="auto"/>
            <w:right w:val="none" w:sz="0" w:space="0" w:color="auto"/>
          </w:divBdr>
          <w:divsChild>
            <w:div w:id="567807628">
              <w:marLeft w:val="0"/>
              <w:marRight w:val="0"/>
              <w:marTop w:val="0"/>
              <w:marBottom w:val="0"/>
              <w:divBdr>
                <w:top w:val="none" w:sz="0" w:space="0" w:color="auto"/>
                <w:left w:val="none" w:sz="0" w:space="0" w:color="auto"/>
                <w:bottom w:val="none" w:sz="0" w:space="0" w:color="auto"/>
                <w:right w:val="none" w:sz="0" w:space="0" w:color="auto"/>
              </w:divBdr>
              <w:divsChild>
                <w:div w:id="1877809928">
                  <w:marLeft w:val="0"/>
                  <w:marRight w:val="0"/>
                  <w:marTop w:val="0"/>
                  <w:marBottom w:val="0"/>
                  <w:divBdr>
                    <w:top w:val="none" w:sz="0" w:space="0" w:color="auto"/>
                    <w:left w:val="none" w:sz="0" w:space="0" w:color="auto"/>
                    <w:bottom w:val="none" w:sz="0" w:space="0" w:color="auto"/>
                    <w:right w:val="none" w:sz="0" w:space="0" w:color="auto"/>
                  </w:divBdr>
                  <w:divsChild>
                    <w:div w:id="1740135757">
                      <w:marLeft w:val="0"/>
                      <w:marRight w:val="120"/>
                      <w:marTop w:val="0"/>
                      <w:marBottom w:val="0"/>
                      <w:divBdr>
                        <w:top w:val="none" w:sz="0" w:space="0" w:color="auto"/>
                        <w:left w:val="none" w:sz="0" w:space="0" w:color="auto"/>
                        <w:bottom w:val="none" w:sz="0" w:space="0" w:color="auto"/>
                        <w:right w:val="none" w:sz="0" w:space="0" w:color="auto"/>
                      </w:divBdr>
                      <w:divsChild>
                        <w:div w:id="871839951">
                          <w:marLeft w:val="0"/>
                          <w:marRight w:val="180"/>
                          <w:marTop w:val="0"/>
                          <w:marBottom w:val="0"/>
                          <w:divBdr>
                            <w:top w:val="none" w:sz="0" w:space="0" w:color="auto"/>
                            <w:left w:val="none" w:sz="0" w:space="0" w:color="auto"/>
                            <w:bottom w:val="none" w:sz="0" w:space="0" w:color="auto"/>
                            <w:right w:val="none" w:sz="0" w:space="0" w:color="auto"/>
                          </w:divBdr>
                        </w:div>
                      </w:divsChild>
                    </w:div>
                    <w:div w:id="619840122">
                      <w:marLeft w:val="0"/>
                      <w:marRight w:val="120"/>
                      <w:marTop w:val="150"/>
                      <w:marBottom w:val="0"/>
                      <w:divBdr>
                        <w:top w:val="none" w:sz="0" w:space="0" w:color="auto"/>
                        <w:left w:val="none" w:sz="0" w:space="0" w:color="auto"/>
                        <w:bottom w:val="none" w:sz="0" w:space="0" w:color="auto"/>
                        <w:right w:val="none" w:sz="0" w:space="0" w:color="auto"/>
                      </w:divBdr>
                      <w:divsChild>
                        <w:div w:id="2053269135">
                          <w:marLeft w:val="0"/>
                          <w:marRight w:val="180"/>
                          <w:marTop w:val="0"/>
                          <w:marBottom w:val="0"/>
                          <w:divBdr>
                            <w:top w:val="none" w:sz="0" w:space="0" w:color="auto"/>
                            <w:left w:val="none" w:sz="0" w:space="0" w:color="auto"/>
                            <w:bottom w:val="none" w:sz="0" w:space="0" w:color="auto"/>
                            <w:right w:val="none" w:sz="0" w:space="0" w:color="auto"/>
                          </w:divBdr>
                        </w:div>
                      </w:divsChild>
                    </w:div>
                    <w:div w:id="53552500">
                      <w:marLeft w:val="0"/>
                      <w:marRight w:val="120"/>
                      <w:marTop w:val="150"/>
                      <w:marBottom w:val="0"/>
                      <w:divBdr>
                        <w:top w:val="none" w:sz="0" w:space="0" w:color="auto"/>
                        <w:left w:val="none" w:sz="0" w:space="0" w:color="auto"/>
                        <w:bottom w:val="none" w:sz="0" w:space="0" w:color="auto"/>
                        <w:right w:val="none" w:sz="0" w:space="0" w:color="auto"/>
                      </w:divBdr>
                      <w:divsChild>
                        <w:div w:id="403794611">
                          <w:marLeft w:val="0"/>
                          <w:marRight w:val="180"/>
                          <w:marTop w:val="0"/>
                          <w:marBottom w:val="0"/>
                          <w:divBdr>
                            <w:top w:val="none" w:sz="0" w:space="0" w:color="auto"/>
                            <w:left w:val="none" w:sz="0" w:space="0" w:color="auto"/>
                            <w:bottom w:val="none" w:sz="0" w:space="0" w:color="auto"/>
                            <w:right w:val="none" w:sz="0" w:space="0" w:color="auto"/>
                          </w:divBdr>
                        </w:div>
                      </w:divsChild>
                    </w:div>
                    <w:div w:id="240869097">
                      <w:marLeft w:val="0"/>
                      <w:marRight w:val="120"/>
                      <w:marTop w:val="150"/>
                      <w:marBottom w:val="0"/>
                      <w:divBdr>
                        <w:top w:val="none" w:sz="0" w:space="0" w:color="auto"/>
                        <w:left w:val="none" w:sz="0" w:space="0" w:color="auto"/>
                        <w:bottom w:val="none" w:sz="0" w:space="0" w:color="auto"/>
                        <w:right w:val="none" w:sz="0" w:space="0" w:color="auto"/>
                      </w:divBdr>
                      <w:divsChild>
                        <w:div w:id="1817070848">
                          <w:marLeft w:val="0"/>
                          <w:marRight w:val="180"/>
                          <w:marTop w:val="0"/>
                          <w:marBottom w:val="0"/>
                          <w:divBdr>
                            <w:top w:val="none" w:sz="0" w:space="0" w:color="auto"/>
                            <w:left w:val="none" w:sz="0" w:space="0" w:color="auto"/>
                            <w:bottom w:val="none" w:sz="0" w:space="0" w:color="auto"/>
                            <w:right w:val="none" w:sz="0" w:space="0" w:color="auto"/>
                          </w:divBdr>
                        </w:div>
                      </w:divsChild>
                    </w:div>
                    <w:div w:id="1508903076">
                      <w:marLeft w:val="0"/>
                      <w:marRight w:val="120"/>
                      <w:marTop w:val="150"/>
                      <w:marBottom w:val="0"/>
                      <w:divBdr>
                        <w:top w:val="none" w:sz="0" w:space="0" w:color="auto"/>
                        <w:left w:val="none" w:sz="0" w:space="0" w:color="auto"/>
                        <w:bottom w:val="none" w:sz="0" w:space="0" w:color="auto"/>
                        <w:right w:val="none" w:sz="0" w:space="0" w:color="auto"/>
                      </w:divBdr>
                      <w:divsChild>
                        <w:div w:id="815493397">
                          <w:marLeft w:val="0"/>
                          <w:marRight w:val="180"/>
                          <w:marTop w:val="0"/>
                          <w:marBottom w:val="0"/>
                          <w:divBdr>
                            <w:top w:val="none" w:sz="0" w:space="0" w:color="auto"/>
                            <w:left w:val="none" w:sz="0" w:space="0" w:color="auto"/>
                            <w:bottom w:val="none" w:sz="0" w:space="0" w:color="auto"/>
                            <w:right w:val="none" w:sz="0" w:space="0" w:color="auto"/>
                          </w:divBdr>
                        </w:div>
                      </w:divsChild>
                    </w:div>
                    <w:div w:id="1964386055">
                      <w:marLeft w:val="0"/>
                      <w:marRight w:val="120"/>
                      <w:marTop w:val="150"/>
                      <w:marBottom w:val="0"/>
                      <w:divBdr>
                        <w:top w:val="none" w:sz="0" w:space="0" w:color="auto"/>
                        <w:left w:val="none" w:sz="0" w:space="0" w:color="auto"/>
                        <w:bottom w:val="none" w:sz="0" w:space="0" w:color="auto"/>
                        <w:right w:val="none" w:sz="0" w:space="0" w:color="auto"/>
                      </w:divBdr>
                      <w:divsChild>
                        <w:div w:id="339158545">
                          <w:marLeft w:val="0"/>
                          <w:marRight w:val="180"/>
                          <w:marTop w:val="0"/>
                          <w:marBottom w:val="0"/>
                          <w:divBdr>
                            <w:top w:val="none" w:sz="0" w:space="0" w:color="auto"/>
                            <w:left w:val="none" w:sz="0" w:space="0" w:color="auto"/>
                            <w:bottom w:val="none" w:sz="0" w:space="0" w:color="auto"/>
                            <w:right w:val="none" w:sz="0" w:space="0" w:color="auto"/>
                          </w:divBdr>
                        </w:div>
                      </w:divsChild>
                    </w:div>
                    <w:div w:id="610431494">
                      <w:marLeft w:val="0"/>
                      <w:marRight w:val="120"/>
                      <w:marTop w:val="150"/>
                      <w:marBottom w:val="0"/>
                      <w:divBdr>
                        <w:top w:val="none" w:sz="0" w:space="0" w:color="auto"/>
                        <w:left w:val="none" w:sz="0" w:space="0" w:color="auto"/>
                        <w:bottom w:val="none" w:sz="0" w:space="0" w:color="auto"/>
                        <w:right w:val="none" w:sz="0" w:space="0" w:color="auto"/>
                      </w:divBdr>
                      <w:divsChild>
                        <w:div w:id="125050373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119</TotalTime>
  <Pages>20</Pages>
  <Words>6371</Words>
  <Characters>36317</Characters>
  <Application>Microsoft Office Word</Application>
  <DocSecurity>0</DocSecurity>
  <Lines>302</Lines>
  <Paragraphs>85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omaraitsahel85@gmail.com</dc:creator>
  <cp:keywords/>
  <dc:description/>
  <cp:lastModifiedBy>SDI 1158</cp:lastModifiedBy>
  <cp:revision>18</cp:revision>
  <dcterms:created xsi:type="dcterms:W3CDTF">2026-02-15T22:28:00Z</dcterms:created>
  <dcterms:modified xsi:type="dcterms:W3CDTF">2026-02-28T11:16:00Z</dcterms:modified>
</cp:coreProperties>
</file>