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FFC63" w14:textId="77777777" w:rsidR="00754C9A" w:rsidRPr="007D4D0B" w:rsidRDefault="00754C9A" w:rsidP="00441B6F">
      <w:pPr>
        <w:pStyle w:val="Title"/>
        <w:spacing w:after="0"/>
        <w:jc w:val="both"/>
        <w:rPr>
          <w:rFonts w:ascii="Times New Roman" w:hAnsi="Times New Roman"/>
        </w:rPr>
      </w:pPr>
    </w:p>
    <w:p w14:paraId="180F72C9" w14:textId="77777777" w:rsidR="002C3017" w:rsidRPr="007D4D0B" w:rsidRDefault="002C3017" w:rsidP="002C3017">
      <w:pPr>
        <w:spacing w:after="400"/>
        <w:jc w:val="center"/>
        <w:rPr>
          <w:rFonts w:ascii="Times New Roman" w:hAnsi="Times New Roman"/>
        </w:rPr>
      </w:pPr>
      <w:r w:rsidRPr="007D4D0B">
        <w:rPr>
          <w:rFonts w:ascii="Times New Roman" w:hAnsi="Times New Roman"/>
          <w:b/>
          <w:bCs/>
          <w:sz w:val="28"/>
          <w:szCs w:val="28"/>
        </w:rPr>
        <w:t>Dental Arch Dimensions Among Orthodontic Patients: A Retrospective Study in a Nigerian Teaching Hospital</w:t>
      </w:r>
    </w:p>
    <w:p w14:paraId="581061EE" w14:textId="77777777" w:rsidR="00790ADA" w:rsidRPr="007D4D0B" w:rsidRDefault="00790ADA" w:rsidP="00441B6F">
      <w:pPr>
        <w:pStyle w:val="Affiliation"/>
        <w:spacing w:after="0" w:line="240" w:lineRule="auto"/>
        <w:jc w:val="both"/>
        <w:rPr>
          <w:rFonts w:ascii="Times New Roman" w:hAnsi="Times New Roman"/>
        </w:rPr>
      </w:pPr>
    </w:p>
    <w:p w14:paraId="0789D370" w14:textId="77777777" w:rsidR="002C57D2" w:rsidRPr="007D4D0B" w:rsidRDefault="002C57D2" w:rsidP="00441B6F">
      <w:pPr>
        <w:pStyle w:val="Affiliation"/>
        <w:spacing w:after="0" w:line="240" w:lineRule="auto"/>
        <w:jc w:val="both"/>
        <w:rPr>
          <w:rFonts w:ascii="Times New Roman" w:hAnsi="Times New Roman"/>
        </w:rPr>
      </w:pPr>
    </w:p>
    <w:p w14:paraId="4D811959" w14:textId="2CCEBF27" w:rsidR="00B01FCD" w:rsidRPr="007D4D0B" w:rsidRDefault="00B16E64" w:rsidP="00441B6F">
      <w:pPr>
        <w:pStyle w:val="Copyright"/>
        <w:spacing w:after="0" w:line="240" w:lineRule="auto"/>
        <w:jc w:val="both"/>
        <w:rPr>
          <w:rFonts w:ascii="Times New Roman" w:hAnsi="Times New Roman"/>
        </w:rPr>
        <w:sectPr w:rsidR="00B01FCD" w:rsidRPr="007D4D0B" w:rsidSect="0019647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7D4D0B">
        <w:rPr>
          <w:rFonts w:ascii="Times New Roman" w:hAnsi="Times New Roman"/>
          <w:noProof/>
        </w:rPr>
        <mc:AlternateContent>
          <mc:Choice Requires="wps">
            <w:drawing>
              <wp:inline distT="0" distB="0" distL="0" distR="0" wp14:anchorId="5E1DB4B1" wp14:editId="6B1F5A0E">
                <wp:extent cx="5303520" cy="635"/>
                <wp:effectExtent l="17145" t="13335" r="13335" b="15240"/>
                <wp:docPr id="18404186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0D0DF1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6CB644DE" w14:textId="77777777" w:rsidR="00B01FCD" w:rsidRPr="007D4D0B" w:rsidRDefault="00B01FCD" w:rsidP="00441B6F">
      <w:pPr>
        <w:pStyle w:val="AbstHead"/>
        <w:spacing w:after="0"/>
        <w:jc w:val="both"/>
        <w:rPr>
          <w:rFonts w:ascii="Times New Roman" w:hAnsi="Times New Roman"/>
        </w:rPr>
      </w:pPr>
    </w:p>
    <w:p w14:paraId="277CFB2D" w14:textId="77777777" w:rsidR="00790ADA" w:rsidRPr="007D4D0B" w:rsidRDefault="00790ADA" w:rsidP="00441B6F">
      <w:pPr>
        <w:pStyle w:val="AbstHead"/>
        <w:spacing w:after="0"/>
        <w:jc w:val="both"/>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7D4D0B" w14:paraId="60A2336C" w14:textId="77777777" w:rsidTr="001E44FE">
        <w:tc>
          <w:tcPr>
            <w:tcW w:w="9576" w:type="dxa"/>
            <w:shd w:val="clear" w:color="auto" w:fill="F2F2F2"/>
          </w:tcPr>
          <w:p w14:paraId="00BCB103" w14:textId="221A3983" w:rsidR="00E3114E" w:rsidRPr="007D4D0B" w:rsidRDefault="000E2A11" w:rsidP="00441B6F">
            <w:pPr>
              <w:pStyle w:val="Body"/>
              <w:spacing w:after="0"/>
              <w:rPr>
                <w:rFonts w:ascii="Times New Roman" w:eastAsia="Calibri" w:hAnsi="Times New Roman"/>
                <w:szCs w:val="22"/>
              </w:rPr>
            </w:pPr>
            <w:r w:rsidRPr="007D4D0B">
              <w:rPr>
                <w:rFonts w:ascii="Times New Roman" w:eastAsia="Calibri" w:hAnsi="Times New Roman"/>
                <w:szCs w:val="22"/>
              </w:rPr>
              <w:t>ABSTR</w:t>
            </w:r>
            <w:r w:rsidR="00486364" w:rsidRPr="007D4D0B">
              <w:rPr>
                <w:rFonts w:ascii="Times New Roman" w:eastAsia="Calibri" w:hAnsi="Times New Roman"/>
                <w:szCs w:val="22"/>
              </w:rPr>
              <w:t>A</w:t>
            </w:r>
            <w:r w:rsidRPr="007D4D0B">
              <w:rPr>
                <w:rFonts w:ascii="Times New Roman" w:eastAsia="Calibri" w:hAnsi="Times New Roman"/>
                <w:szCs w:val="22"/>
              </w:rPr>
              <w:t>CT</w:t>
            </w:r>
          </w:p>
          <w:p w14:paraId="61DF7463" w14:textId="77777777" w:rsidR="00E3114E" w:rsidRPr="007D4D0B" w:rsidRDefault="00E3114E" w:rsidP="00441B6F">
            <w:pPr>
              <w:pStyle w:val="Body"/>
              <w:spacing w:after="0"/>
              <w:rPr>
                <w:rFonts w:ascii="Times New Roman" w:eastAsia="Calibri" w:hAnsi="Times New Roman"/>
                <w:b/>
                <w:szCs w:val="22"/>
              </w:rPr>
            </w:pPr>
          </w:p>
          <w:p w14:paraId="5480F1ED" w14:textId="1EF81DD1" w:rsidR="004960FE" w:rsidRPr="007D4D0B" w:rsidRDefault="004960FE" w:rsidP="004960FE">
            <w:pPr>
              <w:spacing w:line="480" w:lineRule="auto"/>
              <w:jc w:val="both"/>
              <w:rPr>
                <w:rFonts w:ascii="Times New Roman" w:hAnsi="Times New Roman"/>
                <w:sz w:val="22"/>
                <w:szCs w:val="22"/>
              </w:rPr>
            </w:pPr>
            <w:r w:rsidRPr="007D4D0B">
              <w:rPr>
                <w:rFonts w:ascii="Times New Roman" w:hAnsi="Times New Roman"/>
                <w:b/>
                <w:bCs/>
                <w:sz w:val="22"/>
                <w:szCs w:val="22"/>
              </w:rPr>
              <w:t xml:space="preserve">Aims: </w:t>
            </w:r>
            <w:r w:rsidR="00712D89" w:rsidRPr="007D4D0B">
              <w:rPr>
                <w:rFonts w:ascii="Times New Roman" w:hAnsi="Times New Roman"/>
                <w:sz w:val="22"/>
                <w:szCs w:val="22"/>
              </w:rPr>
              <w:t>To evaluate dental arch width dimensions among orthodontic patients treated at a Nigerian teaching hospital and to assess differences between maxillary and mandibular arches, as well as variations related to gender and age.</w:t>
            </w:r>
          </w:p>
          <w:p w14:paraId="71CDEEFB" w14:textId="77777777" w:rsidR="004960FE" w:rsidRPr="007D4D0B" w:rsidRDefault="004960FE" w:rsidP="004960FE">
            <w:pPr>
              <w:spacing w:line="480" w:lineRule="auto"/>
              <w:jc w:val="both"/>
              <w:rPr>
                <w:rFonts w:ascii="Times New Roman" w:hAnsi="Times New Roman"/>
                <w:sz w:val="22"/>
                <w:szCs w:val="22"/>
              </w:rPr>
            </w:pPr>
            <w:r w:rsidRPr="007D4D0B">
              <w:rPr>
                <w:rFonts w:ascii="Times New Roman" w:hAnsi="Times New Roman"/>
                <w:b/>
                <w:sz w:val="22"/>
                <w:szCs w:val="22"/>
              </w:rPr>
              <w:t>Study Design</w:t>
            </w:r>
            <w:r w:rsidRPr="007D4D0B">
              <w:rPr>
                <w:rFonts w:ascii="Times New Roman" w:hAnsi="Times New Roman"/>
                <w:sz w:val="22"/>
                <w:szCs w:val="22"/>
              </w:rPr>
              <w:t>: Retrospective Study</w:t>
            </w:r>
          </w:p>
          <w:p w14:paraId="4E08FA78" w14:textId="77777777" w:rsidR="00712D89" w:rsidRPr="007D4D0B" w:rsidRDefault="004960FE" w:rsidP="004960FE">
            <w:pPr>
              <w:spacing w:line="480" w:lineRule="auto"/>
              <w:jc w:val="both"/>
              <w:rPr>
                <w:rFonts w:ascii="Times New Roman" w:hAnsi="Times New Roman"/>
                <w:sz w:val="22"/>
                <w:szCs w:val="22"/>
              </w:rPr>
            </w:pPr>
            <w:r w:rsidRPr="007D4D0B">
              <w:rPr>
                <w:rFonts w:ascii="Times New Roman" w:hAnsi="Times New Roman"/>
                <w:b/>
                <w:sz w:val="22"/>
                <w:szCs w:val="22"/>
              </w:rPr>
              <w:t>Place and Duration of study</w:t>
            </w:r>
            <w:r w:rsidRPr="007D4D0B">
              <w:rPr>
                <w:rFonts w:ascii="Times New Roman" w:hAnsi="Times New Roman"/>
                <w:sz w:val="22"/>
                <w:szCs w:val="22"/>
              </w:rPr>
              <w:t xml:space="preserve">: </w:t>
            </w:r>
            <w:r w:rsidR="00712D89" w:rsidRPr="007D4D0B">
              <w:rPr>
                <w:rFonts w:ascii="Times New Roman" w:hAnsi="Times New Roman"/>
                <w:sz w:val="22"/>
                <w:szCs w:val="22"/>
              </w:rPr>
              <w:t>Department of Child Dental Health (Orthodontic Unit), University of Port Harcourt Teaching Hospital, between January 2021 and December 2025.</w:t>
            </w:r>
          </w:p>
          <w:p w14:paraId="1450656A" w14:textId="77777777" w:rsidR="00712D89" w:rsidRPr="007D4D0B" w:rsidRDefault="004960FE" w:rsidP="004960FE">
            <w:pPr>
              <w:spacing w:line="480" w:lineRule="auto"/>
              <w:jc w:val="both"/>
              <w:rPr>
                <w:rFonts w:ascii="Times New Roman" w:hAnsi="Times New Roman"/>
                <w:sz w:val="22"/>
                <w:szCs w:val="22"/>
              </w:rPr>
            </w:pPr>
            <w:r w:rsidRPr="007D4D0B">
              <w:rPr>
                <w:rFonts w:ascii="Times New Roman" w:hAnsi="Times New Roman"/>
                <w:b/>
                <w:bCs/>
                <w:sz w:val="22"/>
                <w:szCs w:val="22"/>
              </w:rPr>
              <w:t xml:space="preserve">Methodology: </w:t>
            </w:r>
            <w:r w:rsidRPr="007D4D0B">
              <w:rPr>
                <w:rFonts w:ascii="Times New Roman" w:hAnsi="Times New Roman"/>
                <w:sz w:val="22"/>
                <w:szCs w:val="22"/>
              </w:rPr>
              <w:t xml:space="preserve"> </w:t>
            </w:r>
            <w:r w:rsidR="00712D89" w:rsidRPr="007D4D0B">
              <w:rPr>
                <w:rFonts w:ascii="Times New Roman" w:hAnsi="Times New Roman"/>
                <w:sz w:val="22"/>
                <w:szCs w:val="22"/>
              </w:rPr>
              <w:t xml:space="preserve">Pre-treatment orthodontic study models of 120 patients were </w:t>
            </w:r>
            <w:proofErr w:type="spellStart"/>
            <w:r w:rsidR="00712D89" w:rsidRPr="007D4D0B">
              <w:rPr>
                <w:rFonts w:ascii="Times New Roman" w:hAnsi="Times New Roman"/>
                <w:sz w:val="22"/>
                <w:szCs w:val="22"/>
              </w:rPr>
              <w:t>analysed</w:t>
            </w:r>
            <w:proofErr w:type="spellEnd"/>
            <w:r w:rsidR="00712D89" w:rsidRPr="007D4D0B">
              <w:rPr>
                <w:rFonts w:ascii="Times New Roman" w:hAnsi="Times New Roman"/>
                <w:sz w:val="22"/>
                <w:szCs w:val="22"/>
              </w:rPr>
              <w:t xml:space="preserve">. Measurements of maxillary and mandibular intermolar widths (between </w:t>
            </w:r>
            <w:proofErr w:type="spellStart"/>
            <w:r w:rsidR="00712D89" w:rsidRPr="007D4D0B">
              <w:rPr>
                <w:rFonts w:ascii="Times New Roman" w:hAnsi="Times New Roman"/>
                <w:sz w:val="22"/>
                <w:szCs w:val="22"/>
              </w:rPr>
              <w:t>mesiopalatal</w:t>
            </w:r>
            <w:proofErr w:type="spellEnd"/>
            <w:r w:rsidR="00712D89" w:rsidRPr="007D4D0B">
              <w:rPr>
                <w:rFonts w:ascii="Times New Roman" w:hAnsi="Times New Roman"/>
                <w:sz w:val="22"/>
                <w:szCs w:val="22"/>
              </w:rPr>
              <w:t>/</w:t>
            </w:r>
            <w:proofErr w:type="spellStart"/>
            <w:r w:rsidR="00712D89" w:rsidRPr="007D4D0B">
              <w:rPr>
                <w:rFonts w:ascii="Times New Roman" w:hAnsi="Times New Roman"/>
                <w:sz w:val="22"/>
                <w:szCs w:val="22"/>
              </w:rPr>
              <w:t>mesiolingual</w:t>
            </w:r>
            <w:proofErr w:type="spellEnd"/>
            <w:r w:rsidR="00712D89" w:rsidRPr="007D4D0B">
              <w:rPr>
                <w:rFonts w:ascii="Times New Roman" w:hAnsi="Times New Roman"/>
                <w:sz w:val="22"/>
                <w:szCs w:val="22"/>
              </w:rPr>
              <w:t xml:space="preserve"> cusps of first permanent molars), maxillary and mandibular </w:t>
            </w:r>
            <w:proofErr w:type="spellStart"/>
            <w:r w:rsidR="00712D89" w:rsidRPr="007D4D0B">
              <w:rPr>
                <w:rFonts w:ascii="Times New Roman" w:hAnsi="Times New Roman"/>
                <w:sz w:val="22"/>
                <w:szCs w:val="22"/>
              </w:rPr>
              <w:t>intercanine</w:t>
            </w:r>
            <w:proofErr w:type="spellEnd"/>
            <w:r w:rsidR="00712D89" w:rsidRPr="007D4D0B">
              <w:rPr>
                <w:rFonts w:ascii="Times New Roman" w:hAnsi="Times New Roman"/>
                <w:sz w:val="22"/>
                <w:szCs w:val="22"/>
              </w:rPr>
              <w:t xml:space="preserve"> widths (between canine cusp tips), palatal length (from incisive papilla </w:t>
            </w:r>
            <w:proofErr w:type="spellStart"/>
            <w:r w:rsidR="00712D89" w:rsidRPr="007D4D0B">
              <w:rPr>
                <w:rFonts w:ascii="Times New Roman" w:hAnsi="Times New Roman"/>
                <w:sz w:val="22"/>
                <w:szCs w:val="22"/>
              </w:rPr>
              <w:t>centre</w:t>
            </w:r>
            <w:proofErr w:type="spellEnd"/>
            <w:r w:rsidR="00712D89" w:rsidRPr="007D4D0B">
              <w:rPr>
                <w:rFonts w:ascii="Times New Roman" w:hAnsi="Times New Roman"/>
                <w:sz w:val="22"/>
                <w:szCs w:val="22"/>
              </w:rPr>
              <w:t xml:space="preserve"> to midpoint between first molars), and vertical distance of the anterior palatal midline (APM) were recorded. Data were </w:t>
            </w:r>
            <w:proofErr w:type="spellStart"/>
            <w:r w:rsidR="00712D89" w:rsidRPr="007D4D0B">
              <w:rPr>
                <w:rFonts w:ascii="Times New Roman" w:hAnsi="Times New Roman"/>
                <w:sz w:val="22"/>
                <w:szCs w:val="22"/>
              </w:rPr>
              <w:t>analysed</w:t>
            </w:r>
            <w:proofErr w:type="spellEnd"/>
            <w:r w:rsidR="00712D89" w:rsidRPr="007D4D0B">
              <w:rPr>
                <w:rFonts w:ascii="Times New Roman" w:hAnsi="Times New Roman"/>
                <w:sz w:val="22"/>
                <w:szCs w:val="22"/>
              </w:rPr>
              <w:t xml:space="preserve"> using IBM SPSS version 26. Descriptive statistics (frequencies and percentages) were generated. Paired-sample t-tests compared maxillary and mandibular dimensions, while one-way multivariate analysis of variance (MANOVA) assessed gender and age-related differences. Statistical significance was set at p &lt; 0.05.</w:t>
            </w:r>
          </w:p>
          <w:p w14:paraId="04A73D3E" w14:textId="1C195EA3" w:rsidR="004960FE" w:rsidRPr="007D4D0B" w:rsidRDefault="004960FE" w:rsidP="004960FE">
            <w:pPr>
              <w:spacing w:line="480" w:lineRule="auto"/>
              <w:jc w:val="both"/>
              <w:rPr>
                <w:rFonts w:ascii="Times New Roman" w:hAnsi="Times New Roman"/>
                <w:b/>
                <w:bCs/>
                <w:sz w:val="22"/>
                <w:szCs w:val="22"/>
              </w:rPr>
            </w:pPr>
            <w:r w:rsidRPr="007D4D0B">
              <w:rPr>
                <w:rFonts w:ascii="Times New Roman" w:hAnsi="Times New Roman"/>
                <w:b/>
                <w:bCs/>
                <w:sz w:val="22"/>
                <w:szCs w:val="22"/>
              </w:rPr>
              <w:t>Results:</w:t>
            </w:r>
          </w:p>
          <w:p w14:paraId="0ACB614C" w14:textId="4C702B6E" w:rsidR="00340FC0" w:rsidRPr="007D4D0B" w:rsidRDefault="00340FC0" w:rsidP="004960FE">
            <w:pPr>
              <w:spacing w:line="480" w:lineRule="auto"/>
              <w:jc w:val="both"/>
              <w:rPr>
                <w:rFonts w:ascii="Times New Roman" w:hAnsi="Times New Roman"/>
                <w:sz w:val="22"/>
                <w:szCs w:val="22"/>
              </w:rPr>
            </w:pPr>
            <w:r w:rsidRPr="007D4D0B">
              <w:rPr>
                <w:rFonts w:ascii="Times New Roman" w:hAnsi="Times New Roman"/>
                <w:sz w:val="22"/>
                <w:szCs w:val="22"/>
              </w:rPr>
              <w:lastRenderedPageBreak/>
              <w:t xml:space="preserve">For the 120 pre-orthodontic study models (49 males [40.8%], 71 females [59.2%]), maxillary intermolar width was significantly greater than mandibular intermolar width (4.34 ± 0.38 cm vs. 3.92 ± 0.45 cm; p &lt; .001). Similarly, maxillary </w:t>
            </w:r>
            <w:proofErr w:type="spellStart"/>
            <w:r w:rsidRPr="007D4D0B">
              <w:rPr>
                <w:rFonts w:ascii="Times New Roman" w:hAnsi="Times New Roman"/>
                <w:sz w:val="22"/>
                <w:szCs w:val="22"/>
              </w:rPr>
              <w:t>intercanine</w:t>
            </w:r>
            <w:proofErr w:type="spellEnd"/>
            <w:r w:rsidRPr="007D4D0B">
              <w:rPr>
                <w:rFonts w:ascii="Times New Roman" w:hAnsi="Times New Roman"/>
                <w:sz w:val="22"/>
                <w:szCs w:val="22"/>
              </w:rPr>
              <w:t xml:space="preserve"> width was significantly greater than mandibular </w:t>
            </w:r>
            <w:proofErr w:type="spellStart"/>
            <w:r w:rsidRPr="007D4D0B">
              <w:rPr>
                <w:rFonts w:ascii="Times New Roman" w:hAnsi="Times New Roman"/>
                <w:sz w:val="22"/>
                <w:szCs w:val="22"/>
              </w:rPr>
              <w:t>intercanine</w:t>
            </w:r>
            <w:proofErr w:type="spellEnd"/>
            <w:r w:rsidRPr="007D4D0B">
              <w:rPr>
                <w:rFonts w:ascii="Times New Roman" w:hAnsi="Times New Roman"/>
                <w:sz w:val="22"/>
                <w:szCs w:val="22"/>
              </w:rPr>
              <w:t xml:space="preserve"> width (3.85 ± 0.49 cm vs. 3.17 ± 0.46 cm; p &lt; .001). Palatal length was significantly greater than the vertical palatal dimension (3.21 ± 0.56 cm vs. 2.68 ± 0.51 cm; p &lt; .001). A significant gender difference was observed only for mandibular intermolar width, with males demonstrating higher values than females (p = </w:t>
            </w:r>
            <w:r w:rsidR="005C370A" w:rsidRPr="007D4D0B">
              <w:rPr>
                <w:rFonts w:ascii="Times New Roman" w:hAnsi="Times New Roman"/>
                <w:sz w:val="22"/>
                <w:szCs w:val="22"/>
              </w:rPr>
              <w:t>0</w:t>
            </w:r>
            <w:r w:rsidRPr="007D4D0B">
              <w:rPr>
                <w:rFonts w:ascii="Times New Roman" w:hAnsi="Times New Roman"/>
                <w:sz w:val="22"/>
                <w:szCs w:val="22"/>
              </w:rPr>
              <w:t>.03). No statistically significant differences in dental arch width dimensions were observed across age groups. MANOVA revealed no significant overall effects of gender (λ = 1.421, p = 0.213) or age (λ = 1.319, p = 0.173) on dental arch width dimensions.</w:t>
            </w:r>
          </w:p>
          <w:p w14:paraId="563E91E1" w14:textId="36AC4B23" w:rsidR="004960FE" w:rsidRPr="007D4D0B" w:rsidRDefault="004960FE" w:rsidP="004960FE">
            <w:pPr>
              <w:spacing w:line="480" w:lineRule="auto"/>
              <w:jc w:val="both"/>
              <w:rPr>
                <w:rFonts w:ascii="Times New Roman" w:hAnsi="Times New Roman"/>
                <w:b/>
                <w:bCs/>
                <w:sz w:val="22"/>
                <w:szCs w:val="22"/>
              </w:rPr>
            </w:pPr>
            <w:r w:rsidRPr="007D4D0B">
              <w:rPr>
                <w:rFonts w:ascii="Times New Roman" w:hAnsi="Times New Roman"/>
                <w:b/>
                <w:bCs/>
                <w:sz w:val="22"/>
                <w:szCs w:val="22"/>
              </w:rPr>
              <w:t>Conclusion:</w:t>
            </w:r>
          </w:p>
          <w:p w14:paraId="1F13DC06" w14:textId="77777777" w:rsidR="008A6C36" w:rsidRDefault="00712D89" w:rsidP="004960FE">
            <w:pPr>
              <w:spacing w:line="480" w:lineRule="auto"/>
              <w:jc w:val="both"/>
              <w:rPr>
                <w:rFonts w:ascii="Times New Roman" w:hAnsi="Times New Roman"/>
                <w:sz w:val="22"/>
                <w:szCs w:val="22"/>
              </w:rPr>
            </w:pPr>
            <w:r w:rsidRPr="007D4D0B">
              <w:rPr>
                <w:rFonts w:ascii="Times New Roman" w:hAnsi="Times New Roman"/>
                <w:sz w:val="22"/>
                <w:szCs w:val="22"/>
              </w:rPr>
              <w:t xml:space="preserve">Orthodontic patients in this Nigerian population demonstrated a consistent transverse relationship </w:t>
            </w:r>
            <w:proofErr w:type="spellStart"/>
            <w:r w:rsidRPr="007D4D0B">
              <w:rPr>
                <w:rFonts w:ascii="Times New Roman" w:hAnsi="Times New Roman"/>
                <w:sz w:val="22"/>
                <w:szCs w:val="22"/>
              </w:rPr>
              <w:t>characterised</w:t>
            </w:r>
            <w:proofErr w:type="spellEnd"/>
            <w:r w:rsidRPr="007D4D0B">
              <w:rPr>
                <w:rFonts w:ascii="Times New Roman" w:hAnsi="Times New Roman"/>
                <w:sz w:val="22"/>
                <w:szCs w:val="22"/>
              </w:rPr>
              <w:t xml:space="preserve"> by wider maxillary than mandibular arch dimensions. Gender and age had minimal effect on dental arch width dimensions. </w:t>
            </w:r>
          </w:p>
          <w:p w14:paraId="7F3B9D58" w14:textId="480573B8" w:rsidR="004960FE" w:rsidRPr="007D4D0B" w:rsidRDefault="004960FE" w:rsidP="004960FE">
            <w:pPr>
              <w:spacing w:line="480" w:lineRule="auto"/>
              <w:jc w:val="both"/>
              <w:rPr>
                <w:rFonts w:ascii="Times New Roman" w:hAnsi="Times New Roman"/>
              </w:rPr>
            </w:pPr>
            <w:r w:rsidRPr="007D4D0B">
              <w:rPr>
                <w:rFonts w:ascii="Times New Roman" w:hAnsi="Times New Roman"/>
                <w:b/>
                <w:sz w:val="22"/>
                <w:szCs w:val="22"/>
              </w:rPr>
              <w:t>Keywords</w:t>
            </w:r>
            <w:r w:rsidRPr="007D4D0B">
              <w:rPr>
                <w:rFonts w:ascii="Times New Roman" w:hAnsi="Times New Roman"/>
                <w:sz w:val="22"/>
                <w:szCs w:val="22"/>
              </w:rPr>
              <w:t>:</w:t>
            </w:r>
            <w:r w:rsidR="00712D89" w:rsidRPr="007D4D0B">
              <w:rPr>
                <w:rFonts w:ascii="Times New Roman" w:hAnsi="Times New Roman"/>
              </w:rPr>
              <w:t xml:space="preserve"> Mandibular arch width, Nigerian orthodontic patients, Transverse relationship, Intermolar width, </w:t>
            </w:r>
            <w:r w:rsidR="008A6C36" w:rsidRPr="008A6C36">
              <w:rPr>
                <w:rFonts w:ascii="Times New Roman" w:hAnsi="Times New Roman"/>
              </w:rPr>
              <w:t>facial aesthetics</w:t>
            </w:r>
          </w:p>
          <w:p w14:paraId="2D102D2F" w14:textId="77777777" w:rsidR="00505F06" w:rsidRPr="007D4D0B" w:rsidRDefault="00505F06" w:rsidP="00441B6F">
            <w:pPr>
              <w:pStyle w:val="Body"/>
              <w:spacing w:after="0"/>
              <w:rPr>
                <w:rFonts w:ascii="Times New Roman" w:eastAsia="Calibri" w:hAnsi="Times New Roman"/>
                <w:szCs w:val="22"/>
              </w:rPr>
            </w:pPr>
          </w:p>
        </w:tc>
      </w:tr>
    </w:tbl>
    <w:p w14:paraId="499B9DC9" w14:textId="77777777" w:rsidR="00B52896" w:rsidRPr="007D4D0B" w:rsidRDefault="004539DB" w:rsidP="00441B6F">
      <w:pPr>
        <w:pStyle w:val="Body"/>
        <w:spacing w:after="0"/>
        <w:rPr>
          <w:rFonts w:ascii="Times New Roman" w:hAnsi="Times New Roman"/>
          <w:i/>
        </w:rPr>
      </w:pPr>
      <w:r w:rsidRPr="007D4D0B">
        <w:rPr>
          <w:rFonts w:ascii="Times New Roman" w:hAnsi="Times New Roman"/>
          <w:i/>
          <w:sz w:val="18"/>
        </w:rPr>
        <w:lastRenderedPageBreak/>
        <w:t>)</w:t>
      </w:r>
    </w:p>
    <w:p w14:paraId="720102E8" w14:textId="77777777" w:rsidR="0024282C" w:rsidRPr="007D4D0B" w:rsidRDefault="0024282C" w:rsidP="00441B6F">
      <w:pPr>
        <w:pStyle w:val="Body"/>
        <w:spacing w:after="0"/>
        <w:rPr>
          <w:rFonts w:ascii="Times New Roman" w:hAnsi="Times New Roman"/>
          <w:i/>
          <w:sz w:val="18"/>
        </w:rPr>
      </w:pPr>
    </w:p>
    <w:p w14:paraId="2BD964C9" w14:textId="77777777" w:rsidR="00505F06" w:rsidRPr="007D4D0B" w:rsidRDefault="00505F06" w:rsidP="00441B6F">
      <w:pPr>
        <w:pStyle w:val="Body"/>
        <w:spacing w:after="0"/>
        <w:rPr>
          <w:rFonts w:ascii="Times New Roman" w:hAnsi="Times New Roman"/>
          <w:i/>
        </w:rPr>
      </w:pPr>
    </w:p>
    <w:p w14:paraId="4DFC3914" w14:textId="77777777" w:rsidR="007F7B32" w:rsidRPr="007D4D0B" w:rsidRDefault="00902823" w:rsidP="00441B6F">
      <w:pPr>
        <w:pStyle w:val="AbstHead"/>
        <w:spacing w:after="0"/>
        <w:jc w:val="both"/>
        <w:rPr>
          <w:rFonts w:ascii="Times New Roman" w:hAnsi="Times New Roman"/>
        </w:rPr>
      </w:pPr>
      <w:r w:rsidRPr="007D4D0B">
        <w:rPr>
          <w:rFonts w:ascii="Times New Roman" w:hAnsi="Times New Roman"/>
        </w:rPr>
        <w:t xml:space="preserve">1. </w:t>
      </w:r>
      <w:r w:rsidR="00B01FCD" w:rsidRPr="007D4D0B">
        <w:rPr>
          <w:rFonts w:ascii="Times New Roman" w:hAnsi="Times New Roman"/>
        </w:rPr>
        <w:t>INTRODUCTION</w:t>
      </w:r>
    </w:p>
    <w:p w14:paraId="602687BC" w14:textId="77777777" w:rsidR="00790ADA" w:rsidRPr="007D4D0B" w:rsidRDefault="00790ADA" w:rsidP="00441B6F">
      <w:pPr>
        <w:pStyle w:val="AbstHead"/>
        <w:spacing w:after="0"/>
        <w:jc w:val="both"/>
        <w:rPr>
          <w:rFonts w:ascii="Times New Roman" w:hAnsi="Times New Roman"/>
        </w:rPr>
      </w:pPr>
    </w:p>
    <w:p w14:paraId="559BE851" w14:textId="77777777" w:rsidR="00A67D97" w:rsidRPr="007D4D0B" w:rsidRDefault="00A67D97" w:rsidP="00A67D97">
      <w:pPr>
        <w:spacing w:line="480" w:lineRule="auto"/>
        <w:rPr>
          <w:rFonts w:ascii="Times New Roman" w:hAnsi="Times New Roman"/>
          <w:sz w:val="22"/>
          <w:szCs w:val="22"/>
        </w:rPr>
      </w:pPr>
      <w:r w:rsidRPr="007D4D0B">
        <w:rPr>
          <w:rFonts w:ascii="Times New Roman" w:hAnsi="Times New Roman"/>
          <w:sz w:val="22"/>
          <w:szCs w:val="22"/>
        </w:rPr>
        <w:t>Dental arch width is a fundamental component of orthodontic assessment, influencing occlusal relationships, arch coordination, facial aesthetics, and post-treatment stability. Transverse discrepancies of the dental arches are commonly associated with crowding, spacing, posterior crossbites, and relapse following orthodontic treatment (Proffit, 2019; McNamara, 2006). As such, accurate evaluation of dental arch width is essential for effective diagnosis and treatment planning.</w:t>
      </w:r>
    </w:p>
    <w:p w14:paraId="592C54B3" w14:textId="77777777" w:rsidR="00A67D97" w:rsidRPr="007D4D0B" w:rsidRDefault="00A67D97" w:rsidP="00A67D97">
      <w:pPr>
        <w:spacing w:line="480" w:lineRule="auto"/>
        <w:rPr>
          <w:rFonts w:ascii="Times New Roman" w:hAnsi="Times New Roman"/>
          <w:sz w:val="22"/>
          <w:szCs w:val="22"/>
        </w:rPr>
      </w:pPr>
      <w:r w:rsidRPr="007D4D0B">
        <w:rPr>
          <w:rFonts w:ascii="Times New Roman" w:hAnsi="Times New Roman"/>
          <w:sz w:val="22"/>
          <w:szCs w:val="22"/>
        </w:rPr>
        <w:lastRenderedPageBreak/>
        <w:t>Dental arch dimensions are influenced by multiple factors, including genetics, growth patterns, gender, age, and ethnicity (Bishara et al., 1997; Alvaran et al., 2009). Several studies (Cassidy et al., 1998; Ferrario et al., 1994) have demonstrated that males generally exhibit wider dental arches than females, reflecting sexual dimorphism in craniofacial growth. Age-related changes, particularly during childhood and adolescence, have also been reported as a part of normal craniofacial development (</w:t>
      </w:r>
      <w:proofErr w:type="spellStart"/>
      <w:r w:rsidRPr="007D4D0B">
        <w:rPr>
          <w:rFonts w:ascii="Times New Roman" w:hAnsi="Times New Roman"/>
          <w:sz w:val="22"/>
          <w:szCs w:val="22"/>
        </w:rPr>
        <w:t>Moorrees</w:t>
      </w:r>
      <w:proofErr w:type="spellEnd"/>
      <w:r w:rsidRPr="007D4D0B">
        <w:rPr>
          <w:rFonts w:ascii="Times New Roman" w:hAnsi="Times New Roman"/>
          <w:sz w:val="22"/>
          <w:szCs w:val="22"/>
        </w:rPr>
        <w:t>, 1959).</w:t>
      </w:r>
    </w:p>
    <w:p w14:paraId="3AC7E65E" w14:textId="14BA38BD" w:rsidR="004960FE" w:rsidRPr="007D4D0B" w:rsidRDefault="00A67D97" w:rsidP="00A67D97">
      <w:pPr>
        <w:spacing w:line="480" w:lineRule="auto"/>
        <w:rPr>
          <w:rFonts w:ascii="Times New Roman" w:hAnsi="Times New Roman"/>
        </w:rPr>
      </w:pPr>
      <w:r w:rsidRPr="007D4D0B">
        <w:rPr>
          <w:rFonts w:ascii="Times New Roman" w:hAnsi="Times New Roman"/>
          <w:sz w:val="22"/>
          <w:szCs w:val="22"/>
        </w:rPr>
        <w:t xml:space="preserve">Despite extensive global orthodontic research, there remains limited published data on dental arch width dimensions among Nigerian orthodontic patients. Given the documented ethnic variations in craniofacial morphology, reliance on normative values derived from non-African populations may be inappropriate (Odusanya et al., 1991; </w:t>
      </w:r>
      <w:proofErr w:type="spellStart"/>
      <w:r w:rsidRPr="007D4D0B">
        <w:rPr>
          <w:rFonts w:ascii="Times New Roman" w:hAnsi="Times New Roman"/>
          <w:sz w:val="22"/>
          <w:szCs w:val="22"/>
        </w:rPr>
        <w:t>Onyeaso</w:t>
      </w:r>
      <w:proofErr w:type="spellEnd"/>
      <w:r w:rsidRPr="007D4D0B">
        <w:rPr>
          <w:rFonts w:ascii="Times New Roman" w:hAnsi="Times New Roman"/>
          <w:sz w:val="22"/>
          <w:szCs w:val="22"/>
        </w:rPr>
        <w:t xml:space="preserve"> et al., 2003). This study therefore aimed to evaluate dental arch width dimensions among orthodontic patients treated at a Nigerian teaching hospital and to assess possible variations related to gender and age.</w:t>
      </w:r>
      <w:r w:rsidR="004960FE" w:rsidRPr="007D4D0B">
        <w:rPr>
          <w:rFonts w:ascii="Times New Roman" w:hAnsi="Times New Roman"/>
        </w:rPr>
        <w:br w:type="page"/>
      </w:r>
    </w:p>
    <w:p w14:paraId="21DD78E5" w14:textId="77777777" w:rsidR="00B01FCD" w:rsidRPr="007D4D0B" w:rsidRDefault="00B01FCD" w:rsidP="00441B6F">
      <w:pPr>
        <w:pStyle w:val="Body"/>
        <w:spacing w:after="0"/>
        <w:rPr>
          <w:rFonts w:ascii="Times New Roman" w:hAnsi="Times New Roman"/>
        </w:rPr>
      </w:pPr>
    </w:p>
    <w:p w14:paraId="4873AD60" w14:textId="77777777" w:rsidR="00790ADA" w:rsidRPr="007D4D0B" w:rsidRDefault="00790ADA" w:rsidP="00441B6F">
      <w:pPr>
        <w:pStyle w:val="Body"/>
        <w:spacing w:after="0"/>
        <w:rPr>
          <w:rFonts w:ascii="Times New Roman" w:hAnsi="Times New Roman"/>
        </w:rPr>
      </w:pPr>
    </w:p>
    <w:p w14:paraId="18CF20F5" w14:textId="77777777" w:rsidR="007F7B32" w:rsidRPr="007D4D0B" w:rsidRDefault="00902823" w:rsidP="00441B6F">
      <w:pPr>
        <w:pStyle w:val="AbstHead"/>
        <w:spacing w:after="0"/>
        <w:jc w:val="both"/>
        <w:rPr>
          <w:rFonts w:ascii="Times New Roman" w:hAnsi="Times New Roman"/>
        </w:rPr>
      </w:pPr>
      <w:r w:rsidRPr="007D4D0B">
        <w:rPr>
          <w:rFonts w:ascii="Times New Roman" w:hAnsi="Times New Roman"/>
        </w:rPr>
        <w:t>2. material and method</w:t>
      </w:r>
      <w:r w:rsidR="00E43543" w:rsidRPr="007D4D0B">
        <w:rPr>
          <w:rFonts w:ascii="Times New Roman" w:hAnsi="Times New Roman"/>
        </w:rPr>
        <w:t>s</w:t>
      </w:r>
    </w:p>
    <w:p w14:paraId="5D300BC1" w14:textId="77777777" w:rsidR="00790ADA" w:rsidRPr="007D4D0B" w:rsidRDefault="00790ADA" w:rsidP="00441B6F">
      <w:pPr>
        <w:pStyle w:val="AbstHead"/>
        <w:spacing w:after="0"/>
        <w:jc w:val="both"/>
        <w:rPr>
          <w:rFonts w:ascii="Times New Roman" w:hAnsi="Times New Roman"/>
        </w:rPr>
      </w:pPr>
    </w:p>
    <w:p w14:paraId="173FC029" w14:textId="07BCB5B5" w:rsidR="00E43543" w:rsidRPr="007D4D0B" w:rsidRDefault="007D4D0B" w:rsidP="00E43543">
      <w:pPr>
        <w:spacing w:line="480" w:lineRule="auto"/>
        <w:rPr>
          <w:rFonts w:ascii="Times New Roman" w:hAnsi="Times New Roman"/>
          <w:b/>
          <w:bCs/>
          <w:sz w:val="22"/>
          <w:szCs w:val="22"/>
        </w:rPr>
      </w:pPr>
      <w:r w:rsidRPr="007D4D0B">
        <w:rPr>
          <w:rFonts w:ascii="Times New Roman" w:hAnsi="Times New Roman"/>
          <w:sz w:val="22"/>
          <w:szCs w:val="22"/>
        </w:rPr>
        <w:t xml:space="preserve">This was a retrospective study conducted at the Department of Child Dental Health (Orthodontic Unit), University of Port Harcourt Teaching Hospital, between January 2021 and December 2025. Pre-orthodontic study models of 120 patients who presented for treatment were reviewed. Patients presented with various malocclusions including crowding, increased overjet, increased overbite, and Angle Class II and Class III malocclusions. </w:t>
      </w:r>
      <w:r w:rsidR="00E43543" w:rsidRPr="007D4D0B">
        <w:rPr>
          <w:rFonts w:ascii="Times New Roman" w:hAnsi="Times New Roman"/>
          <w:sz w:val="22"/>
          <w:szCs w:val="22"/>
        </w:rPr>
        <w:t xml:space="preserve">Information recorded were age, gender of the patients and measurements taken from </w:t>
      </w:r>
      <w:proofErr w:type="spellStart"/>
      <w:r w:rsidR="00E43543" w:rsidRPr="007D4D0B">
        <w:rPr>
          <w:rFonts w:ascii="Times New Roman" w:hAnsi="Times New Roman"/>
          <w:sz w:val="22"/>
          <w:szCs w:val="22"/>
        </w:rPr>
        <w:t>preorthodontic</w:t>
      </w:r>
      <w:proofErr w:type="spellEnd"/>
      <w:r w:rsidR="00E43543" w:rsidRPr="007D4D0B">
        <w:rPr>
          <w:rFonts w:ascii="Times New Roman" w:hAnsi="Times New Roman"/>
          <w:sz w:val="22"/>
          <w:szCs w:val="22"/>
        </w:rPr>
        <w:t xml:space="preserve"> study models were maxillary and mandibular intermolar width, maxillary and mandibular </w:t>
      </w:r>
      <w:proofErr w:type="spellStart"/>
      <w:r w:rsidR="00E43543" w:rsidRPr="007D4D0B">
        <w:rPr>
          <w:rFonts w:ascii="Times New Roman" w:hAnsi="Times New Roman"/>
          <w:sz w:val="22"/>
          <w:szCs w:val="22"/>
        </w:rPr>
        <w:t>intercanine</w:t>
      </w:r>
      <w:proofErr w:type="spellEnd"/>
      <w:r w:rsidR="00E43543" w:rsidRPr="007D4D0B">
        <w:rPr>
          <w:rFonts w:ascii="Times New Roman" w:hAnsi="Times New Roman"/>
          <w:sz w:val="22"/>
          <w:szCs w:val="22"/>
        </w:rPr>
        <w:t xml:space="preserve"> width, palatal length and vertical distance of the anterior palatine midline. </w:t>
      </w:r>
      <w:r w:rsidR="00E43543" w:rsidRPr="007D4D0B">
        <w:rPr>
          <w:rFonts w:ascii="Times New Roman" w:hAnsi="Times New Roman"/>
        </w:rPr>
        <w:t xml:space="preserve">Data was collected as follows;  maxillary intermolar width: measured between the palatal cusps of the first permanent molars, mandibular intermolar width: measured between the lingual cusps of the first permanent molars, maxillary </w:t>
      </w:r>
      <w:proofErr w:type="spellStart"/>
      <w:r w:rsidR="00E43543" w:rsidRPr="007D4D0B">
        <w:rPr>
          <w:rFonts w:ascii="Times New Roman" w:hAnsi="Times New Roman"/>
        </w:rPr>
        <w:t>intercanine</w:t>
      </w:r>
      <w:proofErr w:type="spellEnd"/>
      <w:r w:rsidR="00E43543" w:rsidRPr="007D4D0B">
        <w:rPr>
          <w:rFonts w:ascii="Times New Roman" w:hAnsi="Times New Roman"/>
        </w:rPr>
        <w:t xml:space="preserve"> width</w:t>
      </w:r>
      <w:r w:rsidRPr="007D4D0B">
        <w:rPr>
          <w:rFonts w:ascii="Times New Roman" w:hAnsi="Times New Roman"/>
        </w:rPr>
        <w:t xml:space="preserve">, </w:t>
      </w:r>
      <w:r w:rsidR="00E43543" w:rsidRPr="007D4D0B">
        <w:rPr>
          <w:rFonts w:ascii="Times New Roman" w:hAnsi="Times New Roman"/>
        </w:rPr>
        <w:t xml:space="preserve">measured between the maxillary permanent canine cusp tips, mandibular </w:t>
      </w:r>
      <w:proofErr w:type="spellStart"/>
      <w:r w:rsidR="00E43543" w:rsidRPr="007D4D0B">
        <w:rPr>
          <w:rFonts w:ascii="Times New Roman" w:hAnsi="Times New Roman"/>
        </w:rPr>
        <w:t>intercanine</w:t>
      </w:r>
      <w:proofErr w:type="spellEnd"/>
      <w:r w:rsidR="00E43543" w:rsidRPr="007D4D0B">
        <w:rPr>
          <w:rFonts w:ascii="Times New Roman" w:hAnsi="Times New Roman"/>
        </w:rPr>
        <w:t xml:space="preserve"> width</w:t>
      </w:r>
      <w:r w:rsidRPr="007D4D0B">
        <w:rPr>
          <w:rFonts w:ascii="Times New Roman" w:hAnsi="Times New Roman"/>
        </w:rPr>
        <w:t xml:space="preserve">, </w:t>
      </w:r>
      <w:r w:rsidR="00E43543" w:rsidRPr="007D4D0B">
        <w:rPr>
          <w:rFonts w:ascii="Times New Roman" w:hAnsi="Times New Roman"/>
        </w:rPr>
        <w:t>measured between the mandibular permanent canine cusp tips, palatal length (APM palatal)</w:t>
      </w:r>
      <w:r w:rsidRPr="007D4D0B">
        <w:rPr>
          <w:rFonts w:ascii="Times New Roman" w:hAnsi="Times New Roman"/>
        </w:rPr>
        <w:t xml:space="preserve">, </w:t>
      </w:r>
      <w:r w:rsidR="00E43543" w:rsidRPr="007D4D0B">
        <w:rPr>
          <w:rFonts w:ascii="Times New Roman" w:hAnsi="Times New Roman"/>
        </w:rPr>
        <w:t>measured from the center of the palatal incisal papilla to the middle point on a line drawn between the right and left first molars and vertical distance of the anterior palatal midline (APM vertical)</w:t>
      </w:r>
      <w:r w:rsidRPr="007D4D0B">
        <w:rPr>
          <w:rFonts w:ascii="Times New Roman" w:hAnsi="Times New Roman"/>
        </w:rPr>
        <w:t xml:space="preserve">, </w:t>
      </w:r>
      <w:r w:rsidR="00E43543" w:rsidRPr="007D4D0B">
        <w:rPr>
          <w:rFonts w:ascii="Times New Roman" w:hAnsi="Times New Roman"/>
        </w:rPr>
        <w:t>measured from the center of the lingual incisal papilla to the middle point on a line drawn between the right and left first molars.</w:t>
      </w:r>
      <w:r w:rsidR="00E43543" w:rsidRPr="007D4D0B">
        <w:rPr>
          <w:rFonts w:ascii="Times New Roman" w:hAnsi="Times New Roman"/>
          <w:color w:val="000000"/>
          <w:sz w:val="22"/>
          <w:szCs w:val="22"/>
        </w:rPr>
        <w:t xml:space="preserve">  </w:t>
      </w:r>
      <w:r w:rsidRPr="007D4D0B">
        <w:rPr>
          <w:rFonts w:ascii="Times New Roman" w:hAnsi="Times New Roman"/>
          <w:sz w:val="22"/>
          <w:szCs w:val="22"/>
        </w:rPr>
        <w:t>Only patients with complete pre-treatment orthodontic records and clear measurements were included. Patients with a history of previous orthodontic treatment, craniofacial syndromes, or incomplete records were excluded from the study.</w:t>
      </w:r>
    </w:p>
    <w:p w14:paraId="03BB9E98" w14:textId="77777777" w:rsidR="00E43543" w:rsidRPr="007D4D0B" w:rsidRDefault="00E43543" w:rsidP="00E43543">
      <w:pPr>
        <w:spacing w:line="480" w:lineRule="auto"/>
        <w:jc w:val="both"/>
        <w:rPr>
          <w:rFonts w:ascii="Times New Roman" w:hAnsi="Times New Roman"/>
          <w:b/>
          <w:bCs/>
          <w:sz w:val="22"/>
          <w:szCs w:val="22"/>
        </w:rPr>
      </w:pPr>
      <w:r w:rsidRPr="007D4D0B">
        <w:rPr>
          <w:rFonts w:ascii="Times New Roman" w:hAnsi="Times New Roman"/>
          <w:b/>
          <w:bCs/>
          <w:sz w:val="22"/>
          <w:szCs w:val="22"/>
        </w:rPr>
        <w:t>2.1 Statistical Analysis</w:t>
      </w:r>
    </w:p>
    <w:p w14:paraId="4FBFDB73" w14:textId="77777777" w:rsidR="00E43543" w:rsidRPr="007D4D0B" w:rsidRDefault="00E43543" w:rsidP="00E43543">
      <w:pPr>
        <w:spacing w:line="480" w:lineRule="auto"/>
        <w:jc w:val="both"/>
        <w:rPr>
          <w:rFonts w:ascii="Times New Roman" w:hAnsi="Times New Roman"/>
          <w:sz w:val="22"/>
          <w:szCs w:val="22"/>
        </w:rPr>
      </w:pPr>
    </w:p>
    <w:p w14:paraId="701838DB" w14:textId="7184CE5D" w:rsidR="00C96FB4" w:rsidRPr="007D4D0B" w:rsidRDefault="00C96FB4" w:rsidP="00C96FB4">
      <w:pPr>
        <w:spacing w:line="480" w:lineRule="auto"/>
        <w:jc w:val="both"/>
        <w:rPr>
          <w:rFonts w:ascii="Times New Roman" w:hAnsi="Times New Roman"/>
          <w:sz w:val="22"/>
          <w:szCs w:val="22"/>
        </w:rPr>
      </w:pPr>
      <w:r w:rsidRPr="007D4D0B">
        <w:rPr>
          <w:rFonts w:ascii="Times New Roman" w:hAnsi="Times New Roman"/>
          <w:sz w:val="22"/>
          <w:szCs w:val="22"/>
        </w:rPr>
        <w:t xml:space="preserve">Data were </w:t>
      </w:r>
      <w:proofErr w:type="spellStart"/>
      <w:r w:rsidRPr="007D4D0B">
        <w:rPr>
          <w:rFonts w:ascii="Times New Roman" w:hAnsi="Times New Roman"/>
          <w:sz w:val="22"/>
          <w:szCs w:val="22"/>
        </w:rPr>
        <w:t>analysed</w:t>
      </w:r>
      <w:proofErr w:type="spellEnd"/>
      <w:r w:rsidRPr="007D4D0B">
        <w:rPr>
          <w:rFonts w:ascii="Times New Roman" w:hAnsi="Times New Roman"/>
          <w:sz w:val="22"/>
          <w:szCs w:val="22"/>
        </w:rPr>
        <w:t xml:space="preserve"> using IBM SPSS version 26. Descriptive statistics were used to </w:t>
      </w:r>
      <w:proofErr w:type="spellStart"/>
      <w:r w:rsidRPr="007D4D0B">
        <w:rPr>
          <w:rFonts w:ascii="Times New Roman" w:hAnsi="Times New Roman"/>
          <w:sz w:val="22"/>
          <w:szCs w:val="22"/>
        </w:rPr>
        <w:t>summarise</w:t>
      </w:r>
      <w:proofErr w:type="spellEnd"/>
      <w:r w:rsidRPr="007D4D0B">
        <w:rPr>
          <w:rFonts w:ascii="Times New Roman" w:hAnsi="Times New Roman"/>
          <w:sz w:val="22"/>
          <w:szCs w:val="22"/>
        </w:rPr>
        <w:t xml:space="preserve"> demographic characteristics and dental arch measurements. Paired sample t-tests were applied </w:t>
      </w:r>
      <w:r w:rsidRPr="007D4D0B">
        <w:rPr>
          <w:rFonts w:ascii="Times New Roman" w:hAnsi="Times New Roman"/>
          <w:sz w:val="22"/>
          <w:szCs w:val="22"/>
        </w:rPr>
        <w:lastRenderedPageBreak/>
        <w:t>to compare mandibular and maxillary arch dimensions. Gender- and age-related differences were evaluated using one-way MANOVA with corresponding univariate analyses. Statistical significance was set at p &lt; 0.05.</w:t>
      </w:r>
    </w:p>
    <w:p w14:paraId="0E52A764" w14:textId="6C4A17ED" w:rsidR="00E43543" w:rsidRPr="007D4D0B" w:rsidRDefault="00C96FB4" w:rsidP="00C96FB4">
      <w:pPr>
        <w:spacing w:line="480" w:lineRule="auto"/>
        <w:jc w:val="both"/>
        <w:rPr>
          <w:rFonts w:ascii="Times New Roman" w:hAnsi="Times New Roman"/>
          <w:sz w:val="22"/>
          <w:szCs w:val="22"/>
        </w:rPr>
      </w:pPr>
      <w:r w:rsidRPr="007D4D0B">
        <w:rPr>
          <w:rFonts w:ascii="Times New Roman" w:hAnsi="Times New Roman"/>
          <w:sz w:val="22"/>
          <w:szCs w:val="22"/>
        </w:rPr>
        <w:t>Ethical approval was obtained prior to data collection from the Ethics and Research Committee of the University of Port Harcourt Teaching Hospital (UPTH/ADM/90/S.11/VOL.XI/1986).</w:t>
      </w:r>
    </w:p>
    <w:p w14:paraId="13EC6E4A" w14:textId="77777777" w:rsidR="00E43543" w:rsidRPr="007D4D0B" w:rsidRDefault="00E43543">
      <w:pPr>
        <w:pStyle w:val="Body"/>
        <w:spacing w:after="0"/>
        <w:rPr>
          <w:rFonts w:ascii="Times New Roman" w:hAnsi="Times New Roman"/>
        </w:rPr>
      </w:pPr>
    </w:p>
    <w:p w14:paraId="704FC0E1" w14:textId="77777777" w:rsidR="00AA74E0" w:rsidRPr="007D4D0B" w:rsidRDefault="00AA74E0" w:rsidP="00441B6F">
      <w:pPr>
        <w:pStyle w:val="Body"/>
        <w:spacing w:after="0"/>
        <w:rPr>
          <w:rFonts w:ascii="Times New Roman" w:hAnsi="Times New Roman"/>
        </w:rPr>
      </w:pPr>
      <w:r w:rsidRPr="007D4D0B">
        <w:rPr>
          <w:rFonts w:ascii="Times New Roman" w:hAnsi="Times New Roman"/>
        </w:rPr>
        <w:t xml:space="preserve">  </w:t>
      </w:r>
    </w:p>
    <w:p w14:paraId="3EA77A30" w14:textId="77777777" w:rsidR="00790ADA" w:rsidRPr="007D4D0B" w:rsidRDefault="00790ADA" w:rsidP="00441B6F">
      <w:pPr>
        <w:pStyle w:val="Body"/>
        <w:spacing w:after="0"/>
        <w:rPr>
          <w:rFonts w:ascii="Times New Roman" w:hAnsi="Times New Roman"/>
        </w:rPr>
      </w:pPr>
    </w:p>
    <w:p w14:paraId="3A07666B" w14:textId="77777777" w:rsidR="00902823" w:rsidRPr="007D4D0B" w:rsidRDefault="00000F8F" w:rsidP="00441B6F">
      <w:pPr>
        <w:pStyle w:val="Head1"/>
        <w:spacing w:after="0"/>
        <w:jc w:val="both"/>
        <w:rPr>
          <w:rFonts w:ascii="Times New Roman" w:hAnsi="Times New Roman"/>
        </w:rPr>
      </w:pPr>
      <w:r w:rsidRPr="007D4D0B">
        <w:rPr>
          <w:rFonts w:ascii="Times New Roman" w:hAnsi="Times New Roman"/>
        </w:rPr>
        <w:t>3</w:t>
      </w:r>
      <w:r w:rsidR="00902823" w:rsidRPr="007D4D0B">
        <w:rPr>
          <w:rFonts w:ascii="Times New Roman" w:hAnsi="Times New Roman"/>
        </w:rPr>
        <w:t xml:space="preserve">. </w:t>
      </w:r>
      <w:r w:rsidRPr="007D4D0B">
        <w:rPr>
          <w:rFonts w:ascii="Times New Roman" w:hAnsi="Times New Roman"/>
        </w:rPr>
        <w:t>results and discussion</w:t>
      </w:r>
    </w:p>
    <w:p w14:paraId="48F0EEB0" w14:textId="77777777" w:rsidR="00E43543" w:rsidRPr="007D4D0B" w:rsidRDefault="00E43543" w:rsidP="00E43543">
      <w:pPr>
        <w:spacing w:before="240" w:after="240" w:line="480" w:lineRule="auto"/>
        <w:rPr>
          <w:rFonts w:ascii="Times New Roman" w:hAnsi="Times New Roman"/>
          <w:sz w:val="22"/>
          <w:szCs w:val="22"/>
        </w:rPr>
      </w:pPr>
      <w:r w:rsidRPr="007D4D0B">
        <w:rPr>
          <w:rFonts w:ascii="Times New Roman" w:hAnsi="Times New Roman"/>
          <w:sz w:val="22"/>
          <w:szCs w:val="22"/>
        </w:rPr>
        <w:t>A total of 120 pre-orthodontic study models of patients were involved in the study. Of these, 49 (40.8%) were that of male patients and 71 (59.2%) were of female patients. The mean age of the patients was 15.74 ± 7.43 years. Most patients were adolescents aged 11–20 years (66, 55.0%), followed by children aged 1–10 years (27, 22.5%). Patients aged 21–30 years constituted 21 (17.5%), while the least represented age group, was 31–40 years (6, 5.0%). (Table 1)</w:t>
      </w:r>
    </w:p>
    <w:p w14:paraId="5E01AB48" w14:textId="77777777" w:rsidR="00E43543" w:rsidRPr="007D4D0B" w:rsidRDefault="00E43543" w:rsidP="00E43543">
      <w:pPr>
        <w:spacing w:before="240" w:after="240" w:line="480" w:lineRule="auto"/>
        <w:rPr>
          <w:rFonts w:ascii="Times New Roman" w:hAnsi="Times New Roman"/>
          <w:b/>
          <w:bCs/>
          <w:sz w:val="22"/>
          <w:szCs w:val="22"/>
        </w:rPr>
      </w:pPr>
      <w:r w:rsidRPr="007D4D0B">
        <w:rPr>
          <w:rFonts w:ascii="Times New Roman" w:hAnsi="Times New Roman"/>
          <w:b/>
          <w:bCs/>
          <w:sz w:val="22"/>
          <w:szCs w:val="22"/>
        </w:rPr>
        <w:t>Table 1. Socio‑demographic characteristics of orthodontic patients (n = 120)</w:t>
      </w:r>
    </w:p>
    <w:tbl>
      <w:tblPr>
        <w:tblW w:w="8445" w:type="dxa"/>
        <w:tblBorders>
          <w:top w:val="nil"/>
          <w:left w:val="nil"/>
          <w:bottom w:val="nil"/>
          <w:right w:val="nil"/>
          <w:insideH w:val="nil"/>
          <w:insideV w:val="nil"/>
        </w:tblBorders>
        <w:tblLayout w:type="fixed"/>
        <w:tblLook w:val="0600" w:firstRow="0" w:lastRow="0" w:firstColumn="0" w:lastColumn="0" w:noHBand="1" w:noVBand="1"/>
      </w:tblPr>
      <w:tblGrid>
        <w:gridCol w:w="2700"/>
        <w:gridCol w:w="1680"/>
        <w:gridCol w:w="4065"/>
      </w:tblGrid>
      <w:tr w:rsidR="00E43543" w:rsidRPr="007D4D0B" w14:paraId="041B7287" w14:textId="77777777" w:rsidTr="006437BD">
        <w:tc>
          <w:tcPr>
            <w:tcW w:w="2700" w:type="dxa"/>
            <w:tcBorders>
              <w:top w:val="single" w:sz="8" w:space="0" w:color="000000"/>
              <w:left w:val="nil"/>
              <w:bottom w:val="single" w:sz="8" w:space="0" w:color="000000"/>
              <w:right w:val="nil"/>
            </w:tcBorders>
            <w:tcMar>
              <w:top w:w="28" w:type="dxa"/>
              <w:left w:w="28" w:type="dxa"/>
              <w:bottom w:w="28" w:type="dxa"/>
              <w:right w:w="28" w:type="dxa"/>
            </w:tcMar>
          </w:tcPr>
          <w:p w14:paraId="0114BEBB"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b/>
                <w:bCs/>
                <w:sz w:val="22"/>
                <w:szCs w:val="22"/>
              </w:rPr>
              <w:t>Variable</w:t>
            </w:r>
          </w:p>
        </w:tc>
        <w:tc>
          <w:tcPr>
            <w:tcW w:w="1680" w:type="dxa"/>
            <w:tcBorders>
              <w:top w:val="single" w:sz="8" w:space="0" w:color="000000"/>
              <w:left w:val="nil"/>
              <w:bottom w:val="single" w:sz="8" w:space="0" w:color="000000"/>
              <w:right w:val="nil"/>
            </w:tcBorders>
            <w:tcMar>
              <w:top w:w="28" w:type="dxa"/>
              <w:left w:w="28" w:type="dxa"/>
              <w:bottom w:w="28" w:type="dxa"/>
              <w:right w:w="28" w:type="dxa"/>
            </w:tcMar>
          </w:tcPr>
          <w:p w14:paraId="13E5A9AF"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b/>
                <w:bCs/>
                <w:sz w:val="22"/>
                <w:szCs w:val="22"/>
              </w:rPr>
              <w:t>Frequency</w:t>
            </w:r>
          </w:p>
        </w:tc>
        <w:tc>
          <w:tcPr>
            <w:tcW w:w="4065" w:type="dxa"/>
            <w:tcBorders>
              <w:top w:val="single" w:sz="8" w:space="0" w:color="000000"/>
              <w:left w:val="nil"/>
              <w:bottom w:val="single" w:sz="8" w:space="0" w:color="000000"/>
              <w:right w:val="nil"/>
            </w:tcBorders>
            <w:tcMar>
              <w:top w:w="28" w:type="dxa"/>
              <w:left w:w="28" w:type="dxa"/>
              <w:bottom w:w="28" w:type="dxa"/>
              <w:right w:w="28" w:type="dxa"/>
            </w:tcMar>
          </w:tcPr>
          <w:p w14:paraId="6CAB5652"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b/>
                <w:bCs/>
                <w:sz w:val="22"/>
                <w:szCs w:val="22"/>
              </w:rPr>
              <w:t>Percentage (%)</w:t>
            </w:r>
          </w:p>
        </w:tc>
      </w:tr>
      <w:tr w:rsidR="00E43543" w:rsidRPr="007D4D0B" w14:paraId="3736F827" w14:textId="77777777" w:rsidTr="006437BD">
        <w:trPr>
          <w:trHeight w:val="288"/>
        </w:trPr>
        <w:tc>
          <w:tcPr>
            <w:tcW w:w="2700" w:type="dxa"/>
            <w:tcBorders>
              <w:top w:val="single" w:sz="8" w:space="0" w:color="000000"/>
              <w:left w:val="nil"/>
              <w:bottom w:val="nil"/>
              <w:right w:val="nil"/>
            </w:tcBorders>
            <w:tcMar>
              <w:top w:w="28" w:type="dxa"/>
              <w:left w:w="28" w:type="dxa"/>
              <w:bottom w:w="28" w:type="dxa"/>
              <w:right w:w="28" w:type="dxa"/>
            </w:tcMar>
          </w:tcPr>
          <w:p w14:paraId="2C05621C"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b/>
                <w:bCs/>
                <w:sz w:val="22"/>
                <w:szCs w:val="22"/>
              </w:rPr>
              <w:t>Age (years)</w:t>
            </w:r>
          </w:p>
        </w:tc>
        <w:tc>
          <w:tcPr>
            <w:tcW w:w="1680" w:type="dxa"/>
            <w:tcBorders>
              <w:top w:val="single" w:sz="8" w:space="0" w:color="000000"/>
              <w:left w:val="nil"/>
              <w:bottom w:val="nil"/>
              <w:right w:val="nil"/>
            </w:tcBorders>
            <w:tcMar>
              <w:top w:w="28" w:type="dxa"/>
              <w:left w:w="28" w:type="dxa"/>
              <w:bottom w:w="28" w:type="dxa"/>
              <w:right w:w="28" w:type="dxa"/>
            </w:tcMar>
          </w:tcPr>
          <w:p w14:paraId="6591A76F" w14:textId="77777777" w:rsidR="00E43543" w:rsidRPr="007D4D0B" w:rsidRDefault="00E43543" w:rsidP="006437BD">
            <w:pPr>
              <w:spacing w:line="480" w:lineRule="auto"/>
              <w:rPr>
                <w:rFonts w:ascii="Times New Roman" w:hAnsi="Times New Roman"/>
                <w:sz w:val="22"/>
                <w:szCs w:val="22"/>
              </w:rPr>
            </w:pPr>
          </w:p>
        </w:tc>
        <w:tc>
          <w:tcPr>
            <w:tcW w:w="4065" w:type="dxa"/>
            <w:tcBorders>
              <w:top w:val="single" w:sz="8" w:space="0" w:color="000000"/>
              <w:left w:val="nil"/>
              <w:bottom w:val="nil"/>
              <w:right w:val="nil"/>
            </w:tcBorders>
            <w:tcMar>
              <w:top w:w="28" w:type="dxa"/>
              <w:left w:w="28" w:type="dxa"/>
              <w:bottom w:w="28" w:type="dxa"/>
              <w:right w:w="28" w:type="dxa"/>
            </w:tcMar>
          </w:tcPr>
          <w:p w14:paraId="1FD1304F" w14:textId="77777777" w:rsidR="00E43543" w:rsidRPr="007D4D0B" w:rsidRDefault="00E43543" w:rsidP="006437BD">
            <w:pPr>
              <w:spacing w:line="480" w:lineRule="auto"/>
              <w:rPr>
                <w:rFonts w:ascii="Times New Roman" w:hAnsi="Times New Roman"/>
                <w:sz w:val="22"/>
                <w:szCs w:val="22"/>
              </w:rPr>
            </w:pPr>
          </w:p>
        </w:tc>
      </w:tr>
      <w:tr w:rsidR="00E43543" w:rsidRPr="007D4D0B" w14:paraId="3407F179" w14:textId="77777777" w:rsidTr="006437BD">
        <w:trPr>
          <w:trHeight w:val="288"/>
        </w:trPr>
        <w:tc>
          <w:tcPr>
            <w:tcW w:w="2700" w:type="dxa"/>
            <w:tcBorders>
              <w:top w:val="nil"/>
              <w:left w:val="nil"/>
              <w:bottom w:val="nil"/>
              <w:right w:val="nil"/>
            </w:tcBorders>
            <w:tcMar>
              <w:top w:w="28" w:type="dxa"/>
              <w:left w:w="28" w:type="dxa"/>
              <w:bottom w:w="28" w:type="dxa"/>
              <w:right w:w="28" w:type="dxa"/>
            </w:tcMar>
          </w:tcPr>
          <w:p w14:paraId="52DAC583" w14:textId="68CA5C91" w:rsidR="00E43543" w:rsidRPr="007D4D0B" w:rsidRDefault="005656C8" w:rsidP="006437BD">
            <w:pPr>
              <w:spacing w:line="480" w:lineRule="auto"/>
              <w:rPr>
                <w:rFonts w:ascii="Times New Roman" w:hAnsi="Times New Roman"/>
                <w:sz w:val="22"/>
                <w:szCs w:val="22"/>
              </w:rPr>
            </w:pPr>
            <w:r w:rsidRPr="007D4D0B">
              <w:rPr>
                <w:rFonts w:ascii="Times New Roman" w:hAnsi="Times New Roman"/>
                <w:sz w:val="22"/>
                <w:szCs w:val="22"/>
              </w:rPr>
              <w:t>6</w:t>
            </w:r>
            <w:r w:rsidR="00E43543" w:rsidRPr="007D4D0B">
              <w:rPr>
                <w:rFonts w:ascii="Times New Roman" w:hAnsi="Times New Roman"/>
                <w:sz w:val="22"/>
                <w:szCs w:val="22"/>
              </w:rPr>
              <w:t>–10</w:t>
            </w:r>
          </w:p>
        </w:tc>
        <w:tc>
          <w:tcPr>
            <w:tcW w:w="1680" w:type="dxa"/>
            <w:tcBorders>
              <w:top w:val="nil"/>
              <w:left w:val="nil"/>
              <w:bottom w:val="nil"/>
              <w:right w:val="nil"/>
            </w:tcBorders>
            <w:tcMar>
              <w:top w:w="28" w:type="dxa"/>
              <w:left w:w="28" w:type="dxa"/>
              <w:bottom w:w="28" w:type="dxa"/>
              <w:right w:w="28" w:type="dxa"/>
            </w:tcMar>
          </w:tcPr>
          <w:p w14:paraId="2DD80829"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27</w:t>
            </w:r>
          </w:p>
        </w:tc>
        <w:tc>
          <w:tcPr>
            <w:tcW w:w="4065" w:type="dxa"/>
            <w:tcBorders>
              <w:top w:val="nil"/>
              <w:left w:val="nil"/>
              <w:bottom w:val="nil"/>
              <w:right w:val="nil"/>
            </w:tcBorders>
            <w:tcMar>
              <w:top w:w="28" w:type="dxa"/>
              <w:left w:w="28" w:type="dxa"/>
              <w:bottom w:w="28" w:type="dxa"/>
              <w:right w:w="28" w:type="dxa"/>
            </w:tcMar>
          </w:tcPr>
          <w:p w14:paraId="53BDD101"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22.5</w:t>
            </w:r>
          </w:p>
        </w:tc>
      </w:tr>
      <w:tr w:rsidR="00E43543" w:rsidRPr="007D4D0B" w14:paraId="658CD62F" w14:textId="77777777" w:rsidTr="006437BD">
        <w:trPr>
          <w:trHeight w:val="288"/>
        </w:trPr>
        <w:tc>
          <w:tcPr>
            <w:tcW w:w="2700" w:type="dxa"/>
            <w:tcBorders>
              <w:top w:val="nil"/>
              <w:left w:val="nil"/>
              <w:bottom w:val="nil"/>
              <w:right w:val="nil"/>
            </w:tcBorders>
            <w:tcMar>
              <w:top w:w="28" w:type="dxa"/>
              <w:left w:w="28" w:type="dxa"/>
              <w:bottom w:w="28" w:type="dxa"/>
              <w:right w:w="28" w:type="dxa"/>
            </w:tcMar>
          </w:tcPr>
          <w:p w14:paraId="2FC78E31"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11–20</w:t>
            </w:r>
          </w:p>
        </w:tc>
        <w:tc>
          <w:tcPr>
            <w:tcW w:w="1680" w:type="dxa"/>
            <w:tcBorders>
              <w:top w:val="nil"/>
              <w:left w:val="nil"/>
              <w:bottom w:val="nil"/>
              <w:right w:val="nil"/>
            </w:tcBorders>
            <w:tcMar>
              <w:top w:w="28" w:type="dxa"/>
              <w:left w:w="28" w:type="dxa"/>
              <w:bottom w:w="28" w:type="dxa"/>
              <w:right w:w="28" w:type="dxa"/>
            </w:tcMar>
          </w:tcPr>
          <w:p w14:paraId="15A6C279"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66</w:t>
            </w:r>
          </w:p>
        </w:tc>
        <w:tc>
          <w:tcPr>
            <w:tcW w:w="4065" w:type="dxa"/>
            <w:tcBorders>
              <w:top w:val="nil"/>
              <w:left w:val="nil"/>
              <w:bottom w:val="nil"/>
              <w:right w:val="nil"/>
            </w:tcBorders>
            <w:tcMar>
              <w:top w:w="28" w:type="dxa"/>
              <w:left w:w="28" w:type="dxa"/>
              <w:bottom w:w="28" w:type="dxa"/>
              <w:right w:w="28" w:type="dxa"/>
            </w:tcMar>
          </w:tcPr>
          <w:p w14:paraId="397F592D"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55.0</w:t>
            </w:r>
          </w:p>
        </w:tc>
      </w:tr>
      <w:tr w:rsidR="00E43543" w:rsidRPr="007D4D0B" w14:paraId="06EDFC9C" w14:textId="77777777" w:rsidTr="006437BD">
        <w:trPr>
          <w:trHeight w:val="288"/>
        </w:trPr>
        <w:tc>
          <w:tcPr>
            <w:tcW w:w="2700" w:type="dxa"/>
            <w:tcBorders>
              <w:top w:val="nil"/>
              <w:left w:val="nil"/>
              <w:bottom w:val="nil"/>
              <w:right w:val="nil"/>
            </w:tcBorders>
            <w:tcMar>
              <w:top w:w="28" w:type="dxa"/>
              <w:left w:w="28" w:type="dxa"/>
              <w:bottom w:w="28" w:type="dxa"/>
              <w:right w:w="28" w:type="dxa"/>
            </w:tcMar>
          </w:tcPr>
          <w:p w14:paraId="6701A3CF"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21–30</w:t>
            </w:r>
          </w:p>
        </w:tc>
        <w:tc>
          <w:tcPr>
            <w:tcW w:w="1680" w:type="dxa"/>
            <w:tcBorders>
              <w:top w:val="nil"/>
              <w:left w:val="nil"/>
              <w:bottom w:val="nil"/>
              <w:right w:val="nil"/>
            </w:tcBorders>
            <w:tcMar>
              <w:top w:w="28" w:type="dxa"/>
              <w:left w:w="28" w:type="dxa"/>
              <w:bottom w:w="28" w:type="dxa"/>
              <w:right w:w="28" w:type="dxa"/>
            </w:tcMar>
          </w:tcPr>
          <w:p w14:paraId="44F63B21"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21</w:t>
            </w:r>
          </w:p>
        </w:tc>
        <w:tc>
          <w:tcPr>
            <w:tcW w:w="4065" w:type="dxa"/>
            <w:tcBorders>
              <w:top w:val="nil"/>
              <w:left w:val="nil"/>
              <w:bottom w:val="nil"/>
              <w:right w:val="nil"/>
            </w:tcBorders>
            <w:tcMar>
              <w:top w:w="28" w:type="dxa"/>
              <w:left w:w="28" w:type="dxa"/>
              <w:bottom w:w="28" w:type="dxa"/>
              <w:right w:w="28" w:type="dxa"/>
            </w:tcMar>
          </w:tcPr>
          <w:p w14:paraId="35472F4A"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17.5</w:t>
            </w:r>
          </w:p>
        </w:tc>
      </w:tr>
      <w:tr w:rsidR="00E43543" w:rsidRPr="007D4D0B" w14:paraId="421A9B7F" w14:textId="77777777" w:rsidTr="006437BD">
        <w:trPr>
          <w:trHeight w:val="288"/>
        </w:trPr>
        <w:tc>
          <w:tcPr>
            <w:tcW w:w="2700" w:type="dxa"/>
            <w:tcBorders>
              <w:top w:val="nil"/>
              <w:left w:val="nil"/>
              <w:bottom w:val="nil"/>
              <w:right w:val="nil"/>
            </w:tcBorders>
            <w:tcMar>
              <w:top w:w="28" w:type="dxa"/>
              <w:left w:w="28" w:type="dxa"/>
              <w:bottom w:w="28" w:type="dxa"/>
              <w:right w:w="28" w:type="dxa"/>
            </w:tcMar>
          </w:tcPr>
          <w:p w14:paraId="73008E29"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31–40</w:t>
            </w:r>
          </w:p>
        </w:tc>
        <w:tc>
          <w:tcPr>
            <w:tcW w:w="1680" w:type="dxa"/>
            <w:tcBorders>
              <w:top w:val="nil"/>
              <w:left w:val="nil"/>
              <w:bottom w:val="nil"/>
              <w:right w:val="nil"/>
            </w:tcBorders>
            <w:tcMar>
              <w:top w:w="28" w:type="dxa"/>
              <w:left w:w="28" w:type="dxa"/>
              <w:bottom w:w="28" w:type="dxa"/>
              <w:right w:w="28" w:type="dxa"/>
            </w:tcMar>
          </w:tcPr>
          <w:p w14:paraId="775AC283"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6</w:t>
            </w:r>
          </w:p>
        </w:tc>
        <w:tc>
          <w:tcPr>
            <w:tcW w:w="4065" w:type="dxa"/>
            <w:tcBorders>
              <w:top w:val="nil"/>
              <w:left w:val="nil"/>
              <w:bottom w:val="nil"/>
              <w:right w:val="nil"/>
            </w:tcBorders>
            <w:tcMar>
              <w:top w:w="28" w:type="dxa"/>
              <w:left w:w="28" w:type="dxa"/>
              <w:bottom w:w="28" w:type="dxa"/>
              <w:right w:w="28" w:type="dxa"/>
            </w:tcMar>
          </w:tcPr>
          <w:p w14:paraId="6FE51319"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5.0</w:t>
            </w:r>
          </w:p>
        </w:tc>
      </w:tr>
      <w:tr w:rsidR="00E43543" w:rsidRPr="007D4D0B" w14:paraId="5F709A5C" w14:textId="77777777" w:rsidTr="006437BD">
        <w:trPr>
          <w:trHeight w:val="288"/>
        </w:trPr>
        <w:tc>
          <w:tcPr>
            <w:tcW w:w="2700" w:type="dxa"/>
            <w:tcBorders>
              <w:top w:val="nil"/>
              <w:left w:val="nil"/>
              <w:bottom w:val="nil"/>
              <w:right w:val="nil"/>
            </w:tcBorders>
            <w:tcMar>
              <w:top w:w="28" w:type="dxa"/>
              <w:left w:w="28" w:type="dxa"/>
              <w:bottom w:w="28" w:type="dxa"/>
              <w:right w:w="28" w:type="dxa"/>
            </w:tcMar>
          </w:tcPr>
          <w:p w14:paraId="11CC22E4"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b/>
                <w:bCs/>
                <w:sz w:val="22"/>
                <w:szCs w:val="22"/>
              </w:rPr>
              <w:t>Gender</w:t>
            </w:r>
          </w:p>
        </w:tc>
        <w:tc>
          <w:tcPr>
            <w:tcW w:w="1680" w:type="dxa"/>
            <w:tcBorders>
              <w:top w:val="nil"/>
              <w:left w:val="nil"/>
              <w:bottom w:val="nil"/>
              <w:right w:val="nil"/>
            </w:tcBorders>
            <w:tcMar>
              <w:top w:w="28" w:type="dxa"/>
              <w:left w:w="28" w:type="dxa"/>
              <w:bottom w:w="28" w:type="dxa"/>
              <w:right w:w="28" w:type="dxa"/>
            </w:tcMar>
          </w:tcPr>
          <w:p w14:paraId="5F6350CE" w14:textId="77777777" w:rsidR="00E43543" w:rsidRPr="007D4D0B" w:rsidRDefault="00E43543" w:rsidP="006437BD">
            <w:pPr>
              <w:spacing w:line="480" w:lineRule="auto"/>
              <w:rPr>
                <w:rFonts w:ascii="Times New Roman" w:hAnsi="Times New Roman"/>
                <w:sz w:val="22"/>
                <w:szCs w:val="22"/>
              </w:rPr>
            </w:pPr>
          </w:p>
        </w:tc>
        <w:tc>
          <w:tcPr>
            <w:tcW w:w="4065" w:type="dxa"/>
            <w:tcBorders>
              <w:top w:val="nil"/>
              <w:left w:val="nil"/>
              <w:bottom w:val="nil"/>
              <w:right w:val="nil"/>
            </w:tcBorders>
            <w:tcMar>
              <w:top w:w="28" w:type="dxa"/>
              <w:left w:w="28" w:type="dxa"/>
              <w:bottom w:w="28" w:type="dxa"/>
              <w:right w:w="28" w:type="dxa"/>
            </w:tcMar>
          </w:tcPr>
          <w:p w14:paraId="001FCFB9" w14:textId="77777777" w:rsidR="00E43543" w:rsidRPr="007D4D0B" w:rsidRDefault="00E43543" w:rsidP="006437BD">
            <w:pPr>
              <w:spacing w:line="480" w:lineRule="auto"/>
              <w:rPr>
                <w:rFonts w:ascii="Times New Roman" w:hAnsi="Times New Roman"/>
                <w:sz w:val="22"/>
                <w:szCs w:val="22"/>
              </w:rPr>
            </w:pPr>
          </w:p>
        </w:tc>
      </w:tr>
      <w:tr w:rsidR="00E43543" w:rsidRPr="007D4D0B" w14:paraId="6F1F851E" w14:textId="77777777" w:rsidTr="006437BD">
        <w:trPr>
          <w:trHeight w:val="288"/>
        </w:trPr>
        <w:tc>
          <w:tcPr>
            <w:tcW w:w="2700" w:type="dxa"/>
            <w:tcBorders>
              <w:top w:val="nil"/>
              <w:left w:val="nil"/>
              <w:bottom w:val="nil"/>
              <w:right w:val="nil"/>
            </w:tcBorders>
            <w:tcMar>
              <w:top w:w="28" w:type="dxa"/>
              <w:left w:w="28" w:type="dxa"/>
              <w:bottom w:w="28" w:type="dxa"/>
              <w:right w:w="28" w:type="dxa"/>
            </w:tcMar>
          </w:tcPr>
          <w:p w14:paraId="7DDEB76D"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lastRenderedPageBreak/>
              <w:t>Male</w:t>
            </w:r>
          </w:p>
        </w:tc>
        <w:tc>
          <w:tcPr>
            <w:tcW w:w="1680" w:type="dxa"/>
            <w:tcBorders>
              <w:top w:val="nil"/>
              <w:left w:val="nil"/>
              <w:bottom w:val="nil"/>
              <w:right w:val="nil"/>
            </w:tcBorders>
            <w:tcMar>
              <w:top w:w="28" w:type="dxa"/>
              <w:left w:w="28" w:type="dxa"/>
              <w:bottom w:w="28" w:type="dxa"/>
              <w:right w:w="28" w:type="dxa"/>
            </w:tcMar>
          </w:tcPr>
          <w:p w14:paraId="642FD06C"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49</w:t>
            </w:r>
          </w:p>
        </w:tc>
        <w:tc>
          <w:tcPr>
            <w:tcW w:w="4065" w:type="dxa"/>
            <w:tcBorders>
              <w:top w:val="nil"/>
              <w:left w:val="nil"/>
              <w:bottom w:val="nil"/>
              <w:right w:val="nil"/>
            </w:tcBorders>
            <w:tcMar>
              <w:top w:w="28" w:type="dxa"/>
              <w:left w:w="28" w:type="dxa"/>
              <w:bottom w:w="28" w:type="dxa"/>
              <w:right w:w="28" w:type="dxa"/>
            </w:tcMar>
          </w:tcPr>
          <w:p w14:paraId="195BBAF2"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40.8</w:t>
            </w:r>
          </w:p>
        </w:tc>
      </w:tr>
      <w:tr w:rsidR="00E43543" w:rsidRPr="007D4D0B" w14:paraId="3C512B32" w14:textId="77777777" w:rsidTr="006437BD">
        <w:tc>
          <w:tcPr>
            <w:tcW w:w="2700" w:type="dxa"/>
            <w:tcBorders>
              <w:top w:val="nil"/>
              <w:left w:val="nil"/>
              <w:bottom w:val="single" w:sz="8" w:space="0" w:color="000000"/>
              <w:right w:val="nil"/>
            </w:tcBorders>
            <w:tcMar>
              <w:top w:w="28" w:type="dxa"/>
              <w:left w:w="28" w:type="dxa"/>
              <w:bottom w:w="28" w:type="dxa"/>
              <w:right w:w="28" w:type="dxa"/>
            </w:tcMar>
          </w:tcPr>
          <w:p w14:paraId="2742BA60"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Female</w:t>
            </w:r>
          </w:p>
        </w:tc>
        <w:tc>
          <w:tcPr>
            <w:tcW w:w="1680" w:type="dxa"/>
            <w:tcBorders>
              <w:top w:val="nil"/>
              <w:left w:val="nil"/>
              <w:bottom w:val="single" w:sz="8" w:space="0" w:color="000000"/>
              <w:right w:val="nil"/>
            </w:tcBorders>
            <w:tcMar>
              <w:top w:w="28" w:type="dxa"/>
              <w:left w:w="28" w:type="dxa"/>
              <w:bottom w:w="28" w:type="dxa"/>
              <w:right w:w="28" w:type="dxa"/>
            </w:tcMar>
          </w:tcPr>
          <w:p w14:paraId="45F4ACB2"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71</w:t>
            </w:r>
          </w:p>
        </w:tc>
        <w:tc>
          <w:tcPr>
            <w:tcW w:w="4065" w:type="dxa"/>
            <w:tcBorders>
              <w:top w:val="nil"/>
              <w:left w:val="nil"/>
              <w:bottom w:val="single" w:sz="8" w:space="0" w:color="000000"/>
              <w:right w:val="nil"/>
            </w:tcBorders>
            <w:tcMar>
              <w:top w:w="28" w:type="dxa"/>
              <w:left w:w="28" w:type="dxa"/>
              <w:bottom w:w="28" w:type="dxa"/>
              <w:right w:w="28" w:type="dxa"/>
            </w:tcMar>
          </w:tcPr>
          <w:p w14:paraId="56920EDD"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59.2</w:t>
            </w:r>
          </w:p>
        </w:tc>
      </w:tr>
    </w:tbl>
    <w:p w14:paraId="10F3011F" w14:textId="77777777" w:rsidR="00E43543" w:rsidRPr="007D4D0B" w:rsidRDefault="00E43543" w:rsidP="00E43543">
      <w:pPr>
        <w:spacing w:line="480" w:lineRule="auto"/>
        <w:rPr>
          <w:rFonts w:ascii="Times New Roman" w:hAnsi="Times New Roman"/>
          <w:sz w:val="22"/>
          <w:szCs w:val="22"/>
        </w:rPr>
      </w:pPr>
    </w:p>
    <w:p w14:paraId="557EC193" w14:textId="77777777" w:rsidR="00E43543" w:rsidRPr="007D4D0B" w:rsidRDefault="00E43543" w:rsidP="00E43543">
      <w:pPr>
        <w:spacing w:before="240" w:after="240" w:line="480" w:lineRule="auto"/>
        <w:rPr>
          <w:rFonts w:ascii="Times New Roman" w:hAnsi="Times New Roman"/>
          <w:sz w:val="22"/>
          <w:szCs w:val="22"/>
        </w:rPr>
      </w:pPr>
    </w:p>
    <w:p w14:paraId="7AD510E5" w14:textId="77777777" w:rsidR="00E43543" w:rsidRPr="007D4D0B" w:rsidRDefault="00E43543" w:rsidP="00E43543">
      <w:pPr>
        <w:spacing w:before="240" w:after="240" w:line="480" w:lineRule="auto"/>
        <w:rPr>
          <w:rFonts w:ascii="Times New Roman" w:hAnsi="Times New Roman"/>
          <w:sz w:val="22"/>
          <w:szCs w:val="22"/>
        </w:rPr>
      </w:pPr>
      <w:r w:rsidRPr="007D4D0B">
        <w:rPr>
          <w:rFonts w:ascii="Times New Roman" w:hAnsi="Times New Roman"/>
          <w:sz w:val="22"/>
          <w:szCs w:val="22"/>
        </w:rPr>
        <w:t>The mean mandibular intermolar width was 3.92 ± 0.45, while the mean maxillary intermolar width was 4.34 ± 0.38. A paired samples t‑test showed a statistically significant difference between mandibular and maxillary intermolar widths (t (119) = 11.43, P&lt; .001), indicating that maxillary intermolar width was significantly greater than mandibular intermolar width among the orthodontic patients. (Table 2)</w:t>
      </w:r>
    </w:p>
    <w:p w14:paraId="5AF621FE" w14:textId="77777777" w:rsidR="00E43543" w:rsidRPr="007D4D0B" w:rsidRDefault="00E43543" w:rsidP="00E43543">
      <w:pPr>
        <w:pStyle w:val="Heading3"/>
        <w:spacing w:before="240" w:after="240" w:line="480" w:lineRule="auto"/>
        <w:rPr>
          <w:rFonts w:ascii="Times New Roman" w:eastAsia="Times New Roman" w:hAnsi="Times New Roman" w:cs="Times New Roman"/>
          <w:b/>
          <w:bCs/>
          <w:color w:val="000000"/>
          <w:sz w:val="22"/>
          <w:szCs w:val="22"/>
        </w:rPr>
      </w:pPr>
      <w:bookmarkStart w:id="0" w:name="_heading=h.3k9mbnozyo7a" w:colFirst="0" w:colLast="0"/>
      <w:bookmarkEnd w:id="0"/>
      <w:r w:rsidRPr="007D4D0B">
        <w:rPr>
          <w:rFonts w:ascii="Times New Roman" w:hAnsi="Times New Roman" w:cs="Times New Roman"/>
          <w:sz w:val="22"/>
          <w:szCs w:val="22"/>
        </w:rPr>
        <w:br w:type="page"/>
      </w:r>
    </w:p>
    <w:p w14:paraId="2F82F068" w14:textId="77777777" w:rsidR="00E43543" w:rsidRPr="007D4D0B" w:rsidRDefault="00E43543" w:rsidP="00E43543">
      <w:pPr>
        <w:pStyle w:val="Heading3"/>
        <w:spacing w:before="240" w:after="240" w:line="480" w:lineRule="auto"/>
        <w:rPr>
          <w:rFonts w:ascii="Times New Roman" w:eastAsia="Times New Roman" w:hAnsi="Times New Roman" w:cs="Times New Roman"/>
          <w:b/>
          <w:bCs/>
          <w:color w:val="000000"/>
          <w:sz w:val="22"/>
          <w:szCs w:val="22"/>
        </w:rPr>
      </w:pPr>
      <w:bookmarkStart w:id="1" w:name="_heading=h.11fe0y4gd8bq" w:colFirst="0" w:colLast="0"/>
      <w:bookmarkEnd w:id="1"/>
      <w:r w:rsidRPr="007D4D0B">
        <w:rPr>
          <w:rFonts w:ascii="Times New Roman" w:eastAsia="Times New Roman" w:hAnsi="Times New Roman" w:cs="Times New Roman"/>
          <w:b/>
          <w:bCs/>
          <w:color w:val="000000"/>
          <w:sz w:val="22"/>
          <w:szCs w:val="22"/>
        </w:rPr>
        <w:lastRenderedPageBreak/>
        <w:t>Table 2. Mean, SD and paired samples t-test comparison of dental arch dimensions among orthodontic patients</w:t>
      </w:r>
    </w:p>
    <w:tbl>
      <w:tblPr>
        <w:tblW w:w="9495" w:type="dxa"/>
        <w:tblBorders>
          <w:top w:val="nil"/>
          <w:left w:val="nil"/>
          <w:bottom w:val="nil"/>
          <w:right w:val="nil"/>
          <w:insideH w:val="nil"/>
          <w:insideV w:val="nil"/>
        </w:tblBorders>
        <w:tblLayout w:type="fixed"/>
        <w:tblLook w:val="0600" w:firstRow="0" w:lastRow="0" w:firstColumn="0" w:lastColumn="0" w:noHBand="1" w:noVBand="1"/>
      </w:tblPr>
      <w:tblGrid>
        <w:gridCol w:w="3960"/>
        <w:gridCol w:w="2055"/>
        <w:gridCol w:w="1995"/>
        <w:gridCol w:w="1485"/>
      </w:tblGrid>
      <w:tr w:rsidR="00E43543" w:rsidRPr="007D4D0B" w14:paraId="7F839F53" w14:textId="77777777" w:rsidTr="006437BD">
        <w:tc>
          <w:tcPr>
            <w:tcW w:w="3960" w:type="dxa"/>
            <w:tcBorders>
              <w:top w:val="single" w:sz="8" w:space="0" w:color="000000"/>
              <w:left w:val="nil"/>
              <w:bottom w:val="single" w:sz="8" w:space="0" w:color="000000"/>
              <w:right w:val="nil"/>
            </w:tcBorders>
            <w:tcMar>
              <w:top w:w="28" w:type="dxa"/>
              <w:left w:w="28" w:type="dxa"/>
              <w:bottom w:w="28" w:type="dxa"/>
              <w:right w:w="28" w:type="dxa"/>
            </w:tcMar>
          </w:tcPr>
          <w:p w14:paraId="4D4D852C"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b/>
                <w:bCs/>
                <w:sz w:val="22"/>
                <w:szCs w:val="22"/>
              </w:rPr>
              <w:t>Measurement</w:t>
            </w:r>
          </w:p>
        </w:tc>
        <w:tc>
          <w:tcPr>
            <w:tcW w:w="2055" w:type="dxa"/>
            <w:tcBorders>
              <w:top w:val="single" w:sz="8" w:space="0" w:color="000000"/>
              <w:left w:val="nil"/>
              <w:bottom w:val="single" w:sz="8" w:space="0" w:color="000000"/>
              <w:right w:val="nil"/>
            </w:tcBorders>
            <w:tcMar>
              <w:top w:w="28" w:type="dxa"/>
              <w:left w:w="28" w:type="dxa"/>
              <w:bottom w:w="28" w:type="dxa"/>
              <w:right w:w="28" w:type="dxa"/>
            </w:tcMar>
          </w:tcPr>
          <w:p w14:paraId="31FAB616"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b/>
                <w:bCs/>
                <w:sz w:val="22"/>
                <w:szCs w:val="22"/>
              </w:rPr>
              <w:t>Mean ± SD</w:t>
            </w:r>
          </w:p>
        </w:tc>
        <w:tc>
          <w:tcPr>
            <w:tcW w:w="1995" w:type="dxa"/>
            <w:tcBorders>
              <w:top w:val="single" w:sz="8" w:space="0" w:color="000000"/>
              <w:left w:val="nil"/>
              <w:bottom w:val="single" w:sz="8" w:space="0" w:color="000000"/>
              <w:right w:val="nil"/>
            </w:tcBorders>
            <w:tcMar>
              <w:top w:w="28" w:type="dxa"/>
              <w:left w:w="28" w:type="dxa"/>
              <w:bottom w:w="28" w:type="dxa"/>
              <w:right w:w="28" w:type="dxa"/>
            </w:tcMar>
          </w:tcPr>
          <w:p w14:paraId="7A28404E"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b/>
                <w:bCs/>
                <w:sz w:val="22"/>
                <w:szCs w:val="22"/>
              </w:rPr>
              <w:t>t (df)</w:t>
            </w:r>
          </w:p>
        </w:tc>
        <w:tc>
          <w:tcPr>
            <w:tcW w:w="1485" w:type="dxa"/>
            <w:tcBorders>
              <w:top w:val="single" w:sz="8" w:space="0" w:color="000000"/>
              <w:left w:val="nil"/>
              <w:bottom w:val="single" w:sz="8" w:space="0" w:color="000000"/>
              <w:right w:val="nil"/>
            </w:tcBorders>
            <w:tcMar>
              <w:top w:w="28" w:type="dxa"/>
              <w:left w:w="28" w:type="dxa"/>
              <w:bottom w:w="28" w:type="dxa"/>
              <w:right w:w="28" w:type="dxa"/>
            </w:tcMar>
          </w:tcPr>
          <w:p w14:paraId="7537FA20"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b/>
                <w:bCs/>
                <w:sz w:val="22"/>
                <w:szCs w:val="22"/>
              </w:rPr>
              <w:t>P-value</w:t>
            </w:r>
          </w:p>
        </w:tc>
      </w:tr>
      <w:tr w:rsidR="00E43543" w:rsidRPr="007D4D0B" w14:paraId="4C658DDC" w14:textId="77777777" w:rsidTr="006437BD">
        <w:trPr>
          <w:trHeight w:val="288"/>
        </w:trPr>
        <w:tc>
          <w:tcPr>
            <w:tcW w:w="3960" w:type="dxa"/>
            <w:tcBorders>
              <w:top w:val="single" w:sz="8" w:space="0" w:color="000000"/>
              <w:left w:val="nil"/>
              <w:bottom w:val="nil"/>
              <w:right w:val="nil"/>
            </w:tcBorders>
            <w:tcMar>
              <w:top w:w="28" w:type="dxa"/>
              <w:left w:w="28" w:type="dxa"/>
              <w:bottom w:w="28" w:type="dxa"/>
              <w:right w:w="28" w:type="dxa"/>
            </w:tcMar>
          </w:tcPr>
          <w:p w14:paraId="77841D2C"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Mandibular intermolar</w:t>
            </w:r>
          </w:p>
        </w:tc>
        <w:tc>
          <w:tcPr>
            <w:tcW w:w="2055" w:type="dxa"/>
            <w:tcBorders>
              <w:top w:val="single" w:sz="8" w:space="0" w:color="000000"/>
              <w:left w:val="nil"/>
              <w:bottom w:val="nil"/>
              <w:right w:val="nil"/>
            </w:tcBorders>
            <w:tcMar>
              <w:top w:w="28" w:type="dxa"/>
              <w:left w:w="28" w:type="dxa"/>
              <w:bottom w:w="28" w:type="dxa"/>
              <w:right w:w="28" w:type="dxa"/>
            </w:tcMar>
          </w:tcPr>
          <w:p w14:paraId="22602217"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3.92 ± 0.45</w:t>
            </w:r>
          </w:p>
        </w:tc>
        <w:tc>
          <w:tcPr>
            <w:tcW w:w="1995" w:type="dxa"/>
            <w:tcBorders>
              <w:top w:val="single" w:sz="8" w:space="0" w:color="000000"/>
              <w:left w:val="nil"/>
              <w:bottom w:val="nil"/>
              <w:right w:val="nil"/>
            </w:tcBorders>
            <w:tcMar>
              <w:top w:w="28" w:type="dxa"/>
              <w:left w:w="28" w:type="dxa"/>
              <w:bottom w:w="28" w:type="dxa"/>
              <w:right w:w="28" w:type="dxa"/>
            </w:tcMar>
          </w:tcPr>
          <w:p w14:paraId="5D087EA2" w14:textId="77777777" w:rsidR="00E43543" w:rsidRPr="007D4D0B" w:rsidRDefault="00E43543" w:rsidP="006437BD">
            <w:pPr>
              <w:spacing w:line="480" w:lineRule="auto"/>
              <w:rPr>
                <w:rFonts w:ascii="Times New Roman" w:hAnsi="Times New Roman"/>
                <w:sz w:val="22"/>
                <w:szCs w:val="22"/>
              </w:rPr>
            </w:pPr>
          </w:p>
        </w:tc>
        <w:tc>
          <w:tcPr>
            <w:tcW w:w="1485" w:type="dxa"/>
            <w:tcBorders>
              <w:top w:val="single" w:sz="8" w:space="0" w:color="000000"/>
              <w:left w:val="nil"/>
              <w:bottom w:val="nil"/>
              <w:right w:val="nil"/>
            </w:tcBorders>
            <w:tcMar>
              <w:top w:w="28" w:type="dxa"/>
              <w:left w:w="28" w:type="dxa"/>
              <w:bottom w:w="28" w:type="dxa"/>
              <w:right w:w="28" w:type="dxa"/>
            </w:tcMar>
          </w:tcPr>
          <w:p w14:paraId="29EEE21F" w14:textId="77777777" w:rsidR="00E43543" w:rsidRPr="007D4D0B" w:rsidRDefault="00E43543" w:rsidP="006437BD">
            <w:pPr>
              <w:spacing w:line="480" w:lineRule="auto"/>
              <w:rPr>
                <w:rFonts w:ascii="Times New Roman" w:hAnsi="Times New Roman"/>
                <w:sz w:val="22"/>
                <w:szCs w:val="22"/>
              </w:rPr>
            </w:pPr>
          </w:p>
        </w:tc>
      </w:tr>
      <w:tr w:rsidR="00E43543" w:rsidRPr="007D4D0B" w14:paraId="5FE3DFDE" w14:textId="77777777" w:rsidTr="006437BD">
        <w:trPr>
          <w:trHeight w:val="288"/>
        </w:trPr>
        <w:tc>
          <w:tcPr>
            <w:tcW w:w="3960" w:type="dxa"/>
            <w:tcBorders>
              <w:top w:val="nil"/>
              <w:left w:val="nil"/>
              <w:bottom w:val="nil"/>
              <w:right w:val="nil"/>
            </w:tcBorders>
            <w:tcMar>
              <w:top w:w="28" w:type="dxa"/>
              <w:left w:w="28" w:type="dxa"/>
              <w:bottom w:w="28" w:type="dxa"/>
              <w:right w:w="28" w:type="dxa"/>
            </w:tcMar>
          </w:tcPr>
          <w:p w14:paraId="6F001F83"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Maxillary intermolar</w:t>
            </w:r>
          </w:p>
        </w:tc>
        <w:tc>
          <w:tcPr>
            <w:tcW w:w="2055" w:type="dxa"/>
            <w:tcBorders>
              <w:top w:val="nil"/>
              <w:left w:val="nil"/>
              <w:bottom w:val="nil"/>
              <w:right w:val="nil"/>
            </w:tcBorders>
            <w:tcMar>
              <w:top w:w="28" w:type="dxa"/>
              <w:left w:w="28" w:type="dxa"/>
              <w:bottom w:w="28" w:type="dxa"/>
              <w:right w:w="28" w:type="dxa"/>
            </w:tcMar>
          </w:tcPr>
          <w:p w14:paraId="72C5E8B0"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4.34 ± 0.38</w:t>
            </w:r>
          </w:p>
        </w:tc>
        <w:tc>
          <w:tcPr>
            <w:tcW w:w="1995" w:type="dxa"/>
            <w:tcBorders>
              <w:top w:val="nil"/>
              <w:left w:val="nil"/>
              <w:bottom w:val="nil"/>
              <w:right w:val="nil"/>
            </w:tcBorders>
            <w:tcMar>
              <w:top w:w="28" w:type="dxa"/>
              <w:left w:w="28" w:type="dxa"/>
              <w:bottom w:w="28" w:type="dxa"/>
              <w:right w:w="28" w:type="dxa"/>
            </w:tcMar>
          </w:tcPr>
          <w:p w14:paraId="2D7C8AC5"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11.43 (119)</w:t>
            </w:r>
          </w:p>
        </w:tc>
        <w:tc>
          <w:tcPr>
            <w:tcW w:w="1485" w:type="dxa"/>
            <w:tcBorders>
              <w:top w:val="nil"/>
              <w:left w:val="nil"/>
              <w:bottom w:val="nil"/>
              <w:right w:val="nil"/>
            </w:tcBorders>
            <w:tcMar>
              <w:top w:w="28" w:type="dxa"/>
              <w:left w:w="28" w:type="dxa"/>
              <w:bottom w:w="28" w:type="dxa"/>
              <w:right w:w="28" w:type="dxa"/>
            </w:tcMar>
          </w:tcPr>
          <w:p w14:paraId="1DE47186"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&lt;.001</w:t>
            </w:r>
          </w:p>
        </w:tc>
      </w:tr>
      <w:tr w:rsidR="00E43543" w:rsidRPr="007D4D0B" w14:paraId="6E210AA8" w14:textId="77777777" w:rsidTr="006437BD">
        <w:trPr>
          <w:trHeight w:val="288"/>
        </w:trPr>
        <w:tc>
          <w:tcPr>
            <w:tcW w:w="3960" w:type="dxa"/>
            <w:tcBorders>
              <w:top w:val="nil"/>
              <w:left w:val="nil"/>
              <w:bottom w:val="nil"/>
              <w:right w:val="nil"/>
            </w:tcBorders>
            <w:tcMar>
              <w:top w:w="28" w:type="dxa"/>
              <w:left w:w="28" w:type="dxa"/>
              <w:bottom w:w="28" w:type="dxa"/>
              <w:right w:w="28" w:type="dxa"/>
            </w:tcMar>
          </w:tcPr>
          <w:p w14:paraId="44103EB6"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 xml:space="preserve">Mandibular </w:t>
            </w:r>
            <w:proofErr w:type="spellStart"/>
            <w:r w:rsidRPr="007D4D0B">
              <w:rPr>
                <w:rFonts w:ascii="Times New Roman" w:hAnsi="Times New Roman"/>
                <w:sz w:val="22"/>
                <w:szCs w:val="22"/>
              </w:rPr>
              <w:t>intercanine</w:t>
            </w:r>
            <w:proofErr w:type="spellEnd"/>
          </w:p>
        </w:tc>
        <w:tc>
          <w:tcPr>
            <w:tcW w:w="2055" w:type="dxa"/>
            <w:tcBorders>
              <w:top w:val="nil"/>
              <w:left w:val="nil"/>
              <w:bottom w:val="nil"/>
              <w:right w:val="nil"/>
            </w:tcBorders>
            <w:tcMar>
              <w:top w:w="28" w:type="dxa"/>
              <w:left w:w="28" w:type="dxa"/>
              <w:bottom w:w="28" w:type="dxa"/>
              <w:right w:w="28" w:type="dxa"/>
            </w:tcMar>
          </w:tcPr>
          <w:p w14:paraId="3E4297A5"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3.17 ± 0.46</w:t>
            </w:r>
          </w:p>
        </w:tc>
        <w:tc>
          <w:tcPr>
            <w:tcW w:w="1995" w:type="dxa"/>
            <w:tcBorders>
              <w:top w:val="nil"/>
              <w:left w:val="nil"/>
              <w:bottom w:val="nil"/>
              <w:right w:val="nil"/>
            </w:tcBorders>
            <w:tcMar>
              <w:top w:w="28" w:type="dxa"/>
              <w:left w:w="28" w:type="dxa"/>
              <w:bottom w:w="28" w:type="dxa"/>
              <w:right w:w="28" w:type="dxa"/>
            </w:tcMar>
          </w:tcPr>
          <w:p w14:paraId="1BC07261" w14:textId="77777777" w:rsidR="00E43543" w:rsidRPr="007D4D0B" w:rsidRDefault="00E43543" w:rsidP="006437BD">
            <w:pPr>
              <w:spacing w:line="480" w:lineRule="auto"/>
              <w:rPr>
                <w:rFonts w:ascii="Times New Roman" w:hAnsi="Times New Roman"/>
                <w:sz w:val="22"/>
                <w:szCs w:val="22"/>
              </w:rPr>
            </w:pPr>
          </w:p>
        </w:tc>
        <w:tc>
          <w:tcPr>
            <w:tcW w:w="1485" w:type="dxa"/>
            <w:tcBorders>
              <w:top w:val="nil"/>
              <w:left w:val="nil"/>
              <w:bottom w:val="nil"/>
              <w:right w:val="nil"/>
            </w:tcBorders>
            <w:tcMar>
              <w:top w:w="28" w:type="dxa"/>
              <w:left w:w="28" w:type="dxa"/>
              <w:bottom w:w="28" w:type="dxa"/>
              <w:right w:w="28" w:type="dxa"/>
            </w:tcMar>
          </w:tcPr>
          <w:p w14:paraId="40F0BA1F" w14:textId="77777777" w:rsidR="00E43543" w:rsidRPr="007D4D0B" w:rsidRDefault="00E43543" w:rsidP="006437BD">
            <w:pPr>
              <w:spacing w:line="480" w:lineRule="auto"/>
              <w:rPr>
                <w:rFonts w:ascii="Times New Roman" w:hAnsi="Times New Roman"/>
                <w:sz w:val="22"/>
                <w:szCs w:val="22"/>
              </w:rPr>
            </w:pPr>
          </w:p>
        </w:tc>
      </w:tr>
      <w:tr w:rsidR="00E43543" w:rsidRPr="007D4D0B" w14:paraId="01DF27DE" w14:textId="77777777" w:rsidTr="006437BD">
        <w:trPr>
          <w:trHeight w:val="288"/>
        </w:trPr>
        <w:tc>
          <w:tcPr>
            <w:tcW w:w="3960" w:type="dxa"/>
            <w:tcBorders>
              <w:top w:val="nil"/>
              <w:left w:val="nil"/>
              <w:bottom w:val="nil"/>
              <w:right w:val="nil"/>
            </w:tcBorders>
            <w:tcMar>
              <w:top w:w="28" w:type="dxa"/>
              <w:left w:w="28" w:type="dxa"/>
              <w:bottom w:w="28" w:type="dxa"/>
              <w:right w:w="28" w:type="dxa"/>
            </w:tcMar>
          </w:tcPr>
          <w:p w14:paraId="04A2AF3E"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 xml:space="preserve">Maxillary </w:t>
            </w:r>
            <w:proofErr w:type="spellStart"/>
            <w:r w:rsidRPr="007D4D0B">
              <w:rPr>
                <w:rFonts w:ascii="Times New Roman" w:hAnsi="Times New Roman"/>
                <w:sz w:val="22"/>
                <w:szCs w:val="22"/>
              </w:rPr>
              <w:t>intercanine</w:t>
            </w:r>
            <w:proofErr w:type="spellEnd"/>
          </w:p>
        </w:tc>
        <w:tc>
          <w:tcPr>
            <w:tcW w:w="2055" w:type="dxa"/>
            <w:tcBorders>
              <w:top w:val="nil"/>
              <w:left w:val="nil"/>
              <w:bottom w:val="nil"/>
              <w:right w:val="nil"/>
            </w:tcBorders>
            <w:tcMar>
              <w:top w:w="28" w:type="dxa"/>
              <w:left w:w="28" w:type="dxa"/>
              <w:bottom w:w="28" w:type="dxa"/>
              <w:right w:w="28" w:type="dxa"/>
            </w:tcMar>
          </w:tcPr>
          <w:p w14:paraId="702999B0"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3.85 ± 0.49</w:t>
            </w:r>
          </w:p>
        </w:tc>
        <w:tc>
          <w:tcPr>
            <w:tcW w:w="1995" w:type="dxa"/>
            <w:tcBorders>
              <w:top w:val="nil"/>
              <w:left w:val="nil"/>
              <w:bottom w:val="nil"/>
              <w:right w:val="nil"/>
            </w:tcBorders>
            <w:tcMar>
              <w:top w:w="28" w:type="dxa"/>
              <w:left w:w="28" w:type="dxa"/>
              <w:bottom w:w="28" w:type="dxa"/>
              <w:right w:w="28" w:type="dxa"/>
            </w:tcMar>
          </w:tcPr>
          <w:p w14:paraId="06F9EFAD"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14.35 (119)</w:t>
            </w:r>
          </w:p>
        </w:tc>
        <w:tc>
          <w:tcPr>
            <w:tcW w:w="1485" w:type="dxa"/>
            <w:tcBorders>
              <w:top w:val="nil"/>
              <w:left w:val="nil"/>
              <w:bottom w:val="nil"/>
              <w:right w:val="nil"/>
            </w:tcBorders>
            <w:tcMar>
              <w:top w:w="28" w:type="dxa"/>
              <w:left w:w="28" w:type="dxa"/>
              <w:bottom w:w="28" w:type="dxa"/>
              <w:right w:w="28" w:type="dxa"/>
            </w:tcMar>
          </w:tcPr>
          <w:p w14:paraId="3D6C6157"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&lt;.001</w:t>
            </w:r>
          </w:p>
        </w:tc>
      </w:tr>
      <w:tr w:rsidR="00E43543" w:rsidRPr="007D4D0B" w14:paraId="323992B7" w14:textId="77777777" w:rsidTr="006437BD">
        <w:trPr>
          <w:trHeight w:val="288"/>
        </w:trPr>
        <w:tc>
          <w:tcPr>
            <w:tcW w:w="3960" w:type="dxa"/>
            <w:tcBorders>
              <w:top w:val="nil"/>
              <w:left w:val="nil"/>
              <w:bottom w:val="nil"/>
              <w:right w:val="nil"/>
            </w:tcBorders>
            <w:tcMar>
              <w:top w:w="28" w:type="dxa"/>
              <w:left w:w="28" w:type="dxa"/>
              <w:bottom w:w="28" w:type="dxa"/>
              <w:right w:w="28" w:type="dxa"/>
            </w:tcMar>
          </w:tcPr>
          <w:p w14:paraId="69091A48"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Palatal length</w:t>
            </w:r>
          </w:p>
        </w:tc>
        <w:tc>
          <w:tcPr>
            <w:tcW w:w="2055" w:type="dxa"/>
            <w:tcBorders>
              <w:top w:val="nil"/>
              <w:left w:val="nil"/>
              <w:bottom w:val="nil"/>
              <w:right w:val="nil"/>
            </w:tcBorders>
            <w:tcMar>
              <w:top w:w="28" w:type="dxa"/>
              <w:left w:w="28" w:type="dxa"/>
              <w:bottom w:w="28" w:type="dxa"/>
              <w:right w:w="28" w:type="dxa"/>
            </w:tcMar>
          </w:tcPr>
          <w:p w14:paraId="1D422390"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3.21 ± 0.56</w:t>
            </w:r>
          </w:p>
        </w:tc>
        <w:tc>
          <w:tcPr>
            <w:tcW w:w="1995" w:type="dxa"/>
            <w:tcBorders>
              <w:top w:val="nil"/>
              <w:left w:val="nil"/>
              <w:bottom w:val="nil"/>
              <w:right w:val="nil"/>
            </w:tcBorders>
            <w:tcMar>
              <w:top w:w="28" w:type="dxa"/>
              <w:left w:w="28" w:type="dxa"/>
              <w:bottom w:w="28" w:type="dxa"/>
              <w:right w:w="28" w:type="dxa"/>
            </w:tcMar>
          </w:tcPr>
          <w:p w14:paraId="0D5B08E8" w14:textId="77777777" w:rsidR="00E43543" w:rsidRPr="007D4D0B" w:rsidRDefault="00E43543" w:rsidP="006437BD">
            <w:pPr>
              <w:spacing w:line="480" w:lineRule="auto"/>
              <w:rPr>
                <w:rFonts w:ascii="Times New Roman" w:hAnsi="Times New Roman"/>
                <w:sz w:val="22"/>
                <w:szCs w:val="22"/>
              </w:rPr>
            </w:pPr>
          </w:p>
        </w:tc>
        <w:tc>
          <w:tcPr>
            <w:tcW w:w="1485" w:type="dxa"/>
            <w:tcBorders>
              <w:top w:val="nil"/>
              <w:left w:val="nil"/>
              <w:bottom w:val="nil"/>
              <w:right w:val="nil"/>
            </w:tcBorders>
            <w:tcMar>
              <w:top w:w="28" w:type="dxa"/>
              <w:left w:w="28" w:type="dxa"/>
              <w:bottom w:w="28" w:type="dxa"/>
              <w:right w:w="28" w:type="dxa"/>
            </w:tcMar>
          </w:tcPr>
          <w:p w14:paraId="78716B98" w14:textId="77777777" w:rsidR="00E43543" w:rsidRPr="007D4D0B" w:rsidRDefault="00E43543" w:rsidP="006437BD">
            <w:pPr>
              <w:spacing w:line="480" w:lineRule="auto"/>
              <w:rPr>
                <w:rFonts w:ascii="Times New Roman" w:hAnsi="Times New Roman"/>
                <w:sz w:val="22"/>
                <w:szCs w:val="22"/>
              </w:rPr>
            </w:pPr>
          </w:p>
        </w:tc>
      </w:tr>
      <w:tr w:rsidR="00E43543" w:rsidRPr="007D4D0B" w14:paraId="5B4B9A98" w14:textId="77777777" w:rsidTr="006437BD">
        <w:tc>
          <w:tcPr>
            <w:tcW w:w="3960" w:type="dxa"/>
            <w:tcBorders>
              <w:top w:val="nil"/>
              <w:left w:val="nil"/>
              <w:bottom w:val="single" w:sz="8" w:space="0" w:color="000000"/>
              <w:right w:val="nil"/>
            </w:tcBorders>
            <w:tcMar>
              <w:top w:w="28" w:type="dxa"/>
              <w:left w:w="28" w:type="dxa"/>
              <w:bottom w:w="28" w:type="dxa"/>
              <w:right w:w="28" w:type="dxa"/>
            </w:tcMar>
          </w:tcPr>
          <w:p w14:paraId="65BE50EB"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Vertical distance of APM</w:t>
            </w:r>
          </w:p>
        </w:tc>
        <w:tc>
          <w:tcPr>
            <w:tcW w:w="2055" w:type="dxa"/>
            <w:tcBorders>
              <w:top w:val="nil"/>
              <w:left w:val="nil"/>
              <w:bottom w:val="single" w:sz="8" w:space="0" w:color="000000"/>
              <w:right w:val="nil"/>
            </w:tcBorders>
            <w:tcMar>
              <w:top w:w="28" w:type="dxa"/>
              <w:left w:w="28" w:type="dxa"/>
              <w:bottom w:w="28" w:type="dxa"/>
              <w:right w:w="28" w:type="dxa"/>
            </w:tcMar>
          </w:tcPr>
          <w:p w14:paraId="51332A6D"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2.68 ± 0.51</w:t>
            </w:r>
          </w:p>
        </w:tc>
        <w:tc>
          <w:tcPr>
            <w:tcW w:w="1995" w:type="dxa"/>
            <w:tcBorders>
              <w:top w:val="nil"/>
              <w:left w:val="nil"/>
              <w:bottom w:val="single" w:sz="8" w:space="0" w:color="000000"/>
              <w:right w:val="nil"/>
            </w:tcBorders>
            <w:tcMar>
              <w:top w:w="28" w:type="dxa"/>
              <w:left w:w="28" w:type="dxa"/>
              <w:bottom w:w="28" w:type="dxa"/>
              <w:right w:w="28" w:type="dxa"/>
            </w:tcMar>
          </w:tcPr>
          <w:p w14:paraId="32EF7662"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12.70 (119)</w:t>
            </w:r>
          </w:p>
        </w:tc>
        <w:tc>
          <w:tcPr>
            <w:tcW w:w="1485" w:type="dxa"/>
            <w:tcBorders>
              <w:top w:val="nil"/>
              <w:left w:val="nil"/>
              <w:bottom w:val="single" w:sz="8" w:space="0" w:color="000000"/>
              <w:right w:val="nil"/>
            </w:tcBorders>
            <w:tcMar>
              <w:top w:w="28" w:type="dxa"/>
              <w:left w:w="28" w:type="dxa"/>
              <w:bottom w:w="28" w:type="dxa"/>
              <w:right w:w="28" w:type="dxa"/>
            </w:tcMar>
          </w:tcPr>
          <w:p w14:paraId="279D5ED3"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&lt;.001</w:t>
            </w:r>
          </w:p>
        </w:tc>
      </w:tr>
    </w:tbl>
    <w:p w14:paraId="7E76A02B" w14:textId="77777777" w:rsidR="00E43543" w:rsidRPr="007D4D0B" w:rsidRDefault="00E43543" w:rsidP="00E43543">
      <w:pPr>
        <w:spacing w:before="240" w:after="240" w:line="480" w:lineRule="auto"/>
        <w:rPr>
          <w:rFonts w:ascii="Times New Roman" w:hAnsi="Times New Roman"/>
          <w:sz w:val="22"/>
          <w:szCs w:val="22"/>
        </w:rPr>
      </w:pPr>
    </w:p>
    <w:p w14:paraId="27EB817E" w14:textId="77777777" w:rsidR="00E43543" w:rsidRPr="007D4D0B" w:rsidRDefault="00E43543" w:rsidP="00E43543">
      <w:pPr>
        <w:spacing w:before="240" w:after="240" w:line="480" w:lineRule="auto"/>
        <w:rPr>
          <w:rFonts w:ascii="Times New Roman" w:hAnsi="Times New Roman"/>
          <w:sz w:val="22"/>
          <w:szCs w:val="22"/>
        </w:rPr>
      </w:pPr>
    </w:p>
    <w:p w14:paraId="10D37998" w14:textId="77777777" w:rsidR="00E43543" w:rsidRPr="007D4D0B" w:rsidRDefault="00E43543" w:rsidP="00E43543">
      <w:pPr>
        <w:spacing w:before="240" w:after="240" w:line="480" w:lineRule="auto"/>
        <w:rPr>
          <w:rFonts w:ascii="Times New Roman" w:hAnsi="Times New Roman"/>
          <w:b/>
          <w:bCs/>
          <w:sz w:val="22"/>
          <w:szCs w:val="22"/>
        </w:rPr>
      </w:pPr>
      <w:r w:rsidRPr="007D4D0B">
        <w:rPr>
          <w:rFonts w:ascii="Times New Roman" w:hAnsi="Times New Roman"/>
          <w:sz w:val="22"/>
          <w:szCs w:val="22"/>
        </w:rPr>
        <w:br w:type="page"/>
      </w:r>
    </w:p>
    <w:p w14:paraId="1BEC8640" w14:textId="77777777" w:rsidR="00E43543" w:rsidRPr="007D4D0B" w:rsidRDefault="00E43543" w:rsidP="00E43543">
      <w:pPr>
        <w:spacing w:before="240" w:after="240" w:line="480" w:lineRule="auto"/>
        <w:rPr>
          <w:rFonts w:ascii="Times New Roman" w:hAnsi="Times New Roman"/>
          <w:sz w:val="22"/>
          <w:szCs w:val="22"/>
        </w:rPr>
      </w:pPr>
      <w:r w:rsidRPr="007D4D0B">
        <w:rPr>
          <w:rFonts w:ascii="Times New Roman" w:hAnsi="Times New Roman"/>
          <w:sz w:val="22"/>
          <w:szCs w:val="22"/>
        </w:rPr>
        <w:lastRenderedPageBreak/>
        <w:t xml:space="preserve">Male orthodontic patients generally exhibited slightly higher mean values across most dental arch dimensions compared with females. A significant univariate difference was observed only for mandibular intermolar width, with males having significantly wider measurements than females (F = 5.17, P = .025). No statistically significant gender differences were observed for maxillary intermolar width, palatal length, vertical distance of APM, or </w:t>
      </w:r>
      <w:proofErr w:type="spellStart"/>
      <w:r w:rsidRPr="007D4D0B">
        <w:rPr>
          <w:rFonts w:ascii="Times New Roman" w:hAnsi="Times New Roman"/>
          <w:sz w:val="22"/>
          <w:szCs w:val="22"/>
        </w:rPr>
        <w:t>intercanine</w:t>
      </w:r>
      <w:proofErr w:type="spellEnd"/>
      <w:r w:rsidRPr="007D4D0B">
        <w:rPr>
          <w:rFonts w:ascii="Times New Roman" w:hAnsi="Times New Roman"/>
          <w:sz w:val="22"/>
          <w:szCs w:val="22"/>
        </w:rPr>
        <w:t xml:space="preserve"> widths. At the multivariate level, MANOVA showed no significant overall effect of gender on dental arch width dimensions (Wilks’ λ = 1.421, P = 0.213). (Table 3)</w:t>
      </w:r>
    </w:p>
    <w:p w14:paraId="5BE70A68" w14:textId="77777777" w:rsidR="00E43543" w:rsidRPr="007D4D0B" w:rsidRDefault="00E43543" w:rsidP="00E43543">
      <w:pPr>
        <w:spacing w:before="240" w:after="240" w:line="480" w:lineRule="auto"/>
        <w:rPr>
          <w:rFonts w:ascii="Times New Roman" w:hAnsi="Times New Roman"/>
          <w:sz w:val="22"/>
          <w:szCs w:val="22"/>
        </w:rPr>
      </w:pPr>
      <w:r w:rsidRPr="007D4D0B">
        <w:rPr>
          <w:rFonts w:ascii="Times New Roman" w:hAnsi="Times New Roman"/>
          <w:b/>
          <w:bCs/>
          <w:sz w:val="22"/>
          <w:szCs w:val="22"/>
        </w:rPr>
        <w:t>Table 3. Gender differences in dental arch width dimension</w:t>
      </w:r>
    </w:p>
    <w:tbl>
      <w:tblPr>
        <w:tblW w:w="8755" w:type="dxa"/>
        <w:tblBorders>
          <w:top w:val="nil"/>
          <w:left w:val="nil"/>
          <w:bottom w:val="nil"/>
          <w:right w:val="nil"/>
          <w:insideH w:val="nil"/>
          <w:insideV w:val="nil"/>
        </w:tblBorders>
        <w:tblLayout w:type="fixed"/>
        <w:tblLook w:val="0600" w:firstRow="0" w:lastRow="0" w:firstColumn="0" w:lastColumn="0" w:noHBand="1" w:noVBand="1"/>
      </w:tblPr>
      <w:tblGrid>
        <w:gridCol w:w="2645"/>
        <w:gridCol w:w="2120"/>
        <w:gridCol w:w="2345"/>
        <w:gridCol w:w="650"/>
        <w:gridCol w:w="995"/>
      </w:tblGrid>
      <w:tr w:rsidR="00E43543" w:rsidRPr="007D4D0B" w14:paraId="373B96DD" w14:textId="77777777" w:rsidTr="006437BD">
        <w:trPr>
          <w:trHeight w:val="500"/>
        </w:trPr>
        <w:tc>
          <w:tcPr>
            <w:tcW w:w="2645" w:type="dxa"/>
            <w:tcBorders>
              <w:top w:val="single" w:sz="8" w:space="0" w:color="000000"/>
              <w:left w:val="nil"/>
              <w:bottom w:val="single" w:sz="8" w:space="0" w:color="000000"/>
              <w:right w:val="nil"/>
            </w:tcBorders>
            <w:tcMar>
              <w:top w:w="100" w:type="dxa"/>
              <w:left w:w="100" w:type="dxa"/>
              <w:bottom w:w="100" w:type="dxa"/>
              <w:right w:w="100" w:type="dxa"/>
            </w:tcMar>
          </w:tcPr>
          <w:p w14:paraId="49872AB9"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b/>
                <w:bCs/>
                <w:sz w:val="22"/>
                <w:szCs w:val="22"/>
              </w:rPr>
              <w:t>Dimension</w:t>
            </w:r>
          </w:p>
        </w:tc>
        <w:tc>
          <w:tcPr>
            <w:tcW w:w="2120" w:type="dxa"/>
            <w:tcBorders>
              <w:top w:val="single" w:sz="8" w:space="0" w:color="000000"/>
              <w:left w:val="nil"/>
              <w:bottom w:val="single" w:sz="8" w:space="0" w:color="000000"/>
              <w:right w:val="nil"/>
            </w:tcBorders>
            <w:tcMar>
              <w:top w:w="100" w:type="dxa"/>
              <w:left w:w="100" w:type="dxa"/>
              <w:bottom w:w="100" w:type="dxa"/>
              <w:right w:w="100" w:type="dxa"/>
            </w:tcMar>
          </w:tcPr>
          <w:p w14:paraId="617EC71C"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b/>
                <w:bCs/>
                <w:sz w:val="22"/>
                <w:szCs w:val="22"/>
              </w:rPr>
              <w:t>Male (Mean ± SD)</w:t>
            </w:r>
          </w:p>
        </w:tc>
        <w:tc>
          <w:tcPr>
            <w:tcW w:w="2345" w:type="dxa"/>
            <w:tcBorders>
              <w:top w:val="single" w:sz="8" w:space="0" w:color="000000"/>
              <w:left w:val="nil"/>
              <w:bottom w:val="single" w:sz="8" w:space="0" w:color="000000"/>
              <w:right w:val="nil"/>
            </w:tcBorders>
            <w:tcMar>
              <w:top w:w="100" w:type="dxa"/>
              <w:left w:w="100" w:type="dxa"/>
              <w:bottom w:w="100" w:type="dxa"/>
              <w:right w:w="100" w:type="dxa"/>
            </w:tcMar>
          </w:tcPr>
          <w:p w14:paraId="57A95716"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b/>
                <w:bCs/>
                <w:sz w:val="22"/>
                <w:szCs w:val="22"/>
              </w:rPr>
              <w:t>Female (Mean ± SD)</w:t>
            </w:r>
          </w:p>
        </w:tc>
        <w:tc>
          <w:tcPr>
            <w:tcW w:w="650" w:type="dxa"/>
            <w:tcBorders>
              <w:top w:val="single" w:sz="8" w:space="0" w:color="000000"/>
              <w:left w:val="nil"/>
              <w:bottom w:val="single" w:sz="8" w:space="0" w:color="000000"/>
              <w:right w:val="nil"/>
            </w:tcBorders>
            <w:tcMar>
              <w:top w:w="100" w:type="dxa"/>
              <w:left w:w="100" w:type="dxa"/>
              <w:bottom w:w="100" w:type="dxa"/>
              <w:right w:w="100" w:type="dxa"/>
            </w:tcMar>
          </w:tcPr>
          <w:p w14:paraId="167EBFA3"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b/>
                <w:bCs/>
                <w:sz w:val="22"/>
                <w:szCs w:val="22"/>
              </w:rPr>
              <w:t>F</w:t>
            </w:r>
          </w:p>
        </w:tc>
        <w:tc>
          <w:tcPr>
            <w:tcW w:w="995" w:type="dxa"/>
            <w:tcBorders>
              <w:top w:val="single" w:sz="8" w:space="0" w:color="000000"/>
              <w:left w:val="nil"/>
              <w:bottom w:val="single" w:sz="8" w:space="0" w:color="000000"/>
              <w:right w:val="nil"/>
            </w:tcBorders>
            <w:tcMar>
              <w:top w:w="100" w:type="dxa"/>
              <w:left w:w="100" w:type="dxa"/>
              <w:bottom w:w="100" w:type="dxa"/>
              <w:right w:w="100" w:type="dxa"/>
            </w:tcMar>
          </w:tcPr>
          <w:p w14:paraId="178A7F1F"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b/>
                <w:bCs/>
                <w:sz w:val="22"/>
                <w:szCs w:val="22"/>
              </w:rPr>
              <w:t>P-value</w:t>
            </w:r>
          </w:p>
        </w:tc>
      </w:tr>
      <w:tr w:rsidR="00E43543" w:rsidRPr="007D4D0B" w14:paraId="55B4659D" w14:textId="77777777" w:rsidTr="006437BD">
        <w:trPr>
          <w:trHeight w:val="500"/>
        </w:trPr>
        <w:tc>
          <w:tcPr>
            <w:tcW w:w="2645" w:type="dxa"/>
            <w:tcBorders>
              <w:top w:val="single" w:sz="8" w:space="0" w:color="000000"/>
              <w:left w:val="nil"/>
              <w:bottom w:val="nil"/>
              <w:right w:val="nil"/>
            </w:tcBorders>
            <w:tcMar>
              <w:top w:w="100" w:type="dxa"/>
              <w:left w:w="100" w:type="dxa"/>
              <w:bottom w:w="100" w:type="dxa"/>
              <w:right w:w="100" w:type="dxa"/>
            </w:tcMar>
          </w:tcPr>
          <w:p w14:paraId="04176485"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Maxillary intermolar</w:t>
            </w:r>
          </w:p>
        </w:tc>
        <w:tc>
          <w:tcPr>
            <w:tcW w:w="2120" w:type="dxa"/>
            <w:tcBorders>
              <w:top w:val="single" w:sz="8" w:space="0" w:color="000000"/>
              <w:left w:val="nil"/>
              <w:bottom w:val="nil"/>
              <w:right w:val="nil"/>
            </w:tcBorders>
            <w:tcMar>
              <w:top w:w="100" w:type="dxa"/>
              <w:left w:w="100" w:type="dxa"/>
              <w:bottom w:w="100" w:type="dxa"/>
              <w:right w:w="100" w:type="dxa"/>
            </w:tcMar>
          </w:tcPr>
          <w:p w14:paraId="1077F9B1"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4.39 ± 0.43</w:t>
            </w:r>
          </w:p>
        </w:tc>
        <w:tc>
          <w:tcPr>
            <w:tcW w:w="2345" w:type="dxa"/>
            <w:tcBorders>
              <w:top w:val="single" w:sz="8" w:space="0" w:color="000000"/>
              <w:left w:val="nil"/>
              <w:bottom w:val="nil"/>
              <w:right w:val="nil"/>
            </w:tcBorders>
            <w:tcMar>
              <w:top w:w="100" w:type="dxa"/>
              <w:left w:w="100" w:type="dxa"/>
              <w:bottom w:w="100" w:type="dxa"/>
              <w:right w:w="100" w:type="dxa"/>
            </w:tcMar>
          </w:tcPr>
          <w:p w14:paraId="65B2B7B1"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4.32 ± 0.33</w:t>
            </w:r>
          </w:p>
        </w:tc>
        <w:tc>
          <w:tcPr>
            <w:tcW w:w="650" w:type="dxa"/>
            <w:tcBorders>
              <w:top w:val="single" w:sz="8" w:space="0" w:color="000000"/>
              <w:left w:val="nil"/>
              <w:bottom w:val="nil"/>
              <w:right w:val="nil"/>
            </w:tcBorders>
            <w:tcMar>
              <w:top w:w="100" w:type="dxa"/>
              <w:left w:w="100" w:type="dxa"/>
              <w:bottom w:w="100" w:type="dxa"/>
              <w:right w:w="100" w:type="dxa"/>
            </w:tcMar>
          </w:tcPr>
          <w:p w14:paraId="143DEA94"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1.05</w:t>
            </w:r>
          </w:p>
        </w:tc>
        <w:tc>
          <w:tcPr>
            <w:tcW w:w="995" w:type="dxa"/>
            <w:tcBorders>
              <w:top w:val="single" w:sz="8" w:space="0" w:color="000000"/>
              <w:left w:val="nil"/>
              <w:bottom w:val="nil"/>
              <w:right w:val="nil"/>
            </w:tcBorders>
            <w:tcMar>
              <w:top w:w="100" w:type="dxa"/>
              <w:left w:w="100" w:type="dxa"/>
              <w:bottom w:w="100" w:type="dxa"/>
              <w:right w:w="100" w:type="dxa"/>
            </w:tcMar>
          </w:tcPr>
          <w:p w14:paraId="265CEB1C"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.31</w:t>
            </w:r>
          </w:p>
        </w:tc>
      </w:tr>
      <w:tr w:rsidR="00E43543" w:rsidRPr="007D4D0B" w14:paraId="001CE092" w14:textId="77777777" w:rsidTr="006437BD">
        <w:trPr>
          <w:trHeight w:val="500"/>
        </w:trPr>
        <w:tc>
          <w:tcPr>
            <w:tcW w:w="2645" w:type="dxa"/>
            <w:tcBorders>
              <w:top w:val="nil"/>
              <w:left w:val="nil"/>
              <w:bottom w:val="nil"/>
              <w:right w:val="nil"/>
            </w:tcBorders>
            <w:tcMar>
              <w:top w:w="100" w:type="dxa"/>
              <w:left w:w="100" w:type="dxa"/>
              <w:bottom w:w="100" w:type="dxa"/>
              <w:right w:w="100" w:type="dxa"/>
            </w:tcMar>
          </w:tcPr>
          <w:p w14:paraId="04AB2D14"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Mandibular intermolar</w:t>
            </w:r>
          </w:p>
        </w:tc>
        <w:tc>
          <w:tcPr>
            <w:tcW w:w="2120" w:type="dxa"/>
            <w:tcBorders>
              <w:top w:val="nil"/>
              <w:left w:val="nil"/>
              <w:bottom w:val="nil"/>
              <w:right w:val="nil"/>
            </w:tcBorders>
            <w:tcMar>
              <w:top w:w="100" w:type="dxa"/>
              <w:left w:w="100" w:type="dxa"/>
              <w:bottom w:w="100" w:type="dxa"/>
              <w:right w:w="100" w:type="dxa"/>
            </w:tcMar>
          </w:tcPr>
          <w:p w14:paraId="35ED011A"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4.03 ± 0.45</w:t>
            </w:r>
          </w:p>
        </w:tc>
        <w:tc>
          <w:tcPr>
            <w:tcW w:w="2345" w:type="dxa"/>
            <w:tcBorders>
              <w:top w:val="nil"/>
              <w:left w:val="nil"/>
              <w:bottom w:val="nil"/>
              <w:right w:val="nil"/>
            </w:tcBorders>
            <w:tcMar>
              <w:top w:w="100" w:type="dxa"/>
              <w:left w:w="100" w:type="dxa"/>
              <w:bottom w:w="100" w:type="dxa"/>
              <w:right w:w="100" w:type="dxa"/>
            </w:tcMar>
          </w:tcPr>
          <w:p w14:paraId="60501C0F"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3.85 ± 0.43</w:t>
            </w:r>
          </w:p>
        </w:tc>
        <w:tc>
          <w:tcPr>
            <w:tcW w:w="650" w:type="dxa"/>
            <w:tcBorders>
              <w:top w:val="nil"/>
              <w:left w:val="nil"/>
              <w:bottom w:val="nil"/>
              <w:right w:val="nil"/>
            </w:tcBorders>
            <w:tcMar>
              <w:top w:w="100" w:type="dxa"/>
              <w:left w:w="100" w:type="dxa"/>
              <w:bottom w:w="100" w:type="dxa"/>
              <w:right w:w="100" w:type="dxa"/>
            </w:tcMar>
          </w:tcPr>
          <w:p w14:paraId="7C514E93"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5.17</w:t>
            </w:r>
          </w:p>
        </w:tc>
        <w:tc>
          <w:tcPr>
            <w:tcW w:w="995" w:type="dxa"/>
            <w:tcBorders>
              <w:top w:val="nil"/>
              <w:left w:val="nil"/>
              <w:bottom w:val="nil"/>
              <w:right w:val="nil"/>
            </w:tcBorders>
            <w:tcMar>
              <w:top w:w="100" w:type="dxa"/>
              <w:left w:w="100" w:type="dxa"/>
              <w:bottom w:w="100" w:type="dxa"/>
              <w:right w:w="100" w:type="dxa"/>
            </w:tcMar>
          </w:tcPr>
          <w:p w14:paraId="56406984"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b/>
                <w:bCs/>
                <w:sz w:val="22"/>
                <w:szCs w:val="22"/>
              </w:rPr>
              <w:t>.03</w:t>
            </w:r>
            <w:r w:rsidRPr="007D4D0B">
              <w:rPr>
                <w:rFonts w:ascii="Times New Roman" w:hAnsi="Times New Roman"/>
                <w:sz w:val="22"/>
                <w:szCs w:val="22"/>
              </w:rPr>
              <w:t>*</w:t>
            </w:r>
          </w:p>
        </w:tc>
      </w:tr>
      <w:tr w:rsidR="00E43543" w:rsidRPr="007D4D0B" w14:paraId="7C090E69" w14:textId="77777777" w:rsidTr="006437BD">
        <w:trPr>
          <w:trHeight w:val="500"/>
        </w:trPr>
        <w:tc>
          <w:tcPr>
            <w:tcW w:w="2645" w:type="dxa"/>
            <w:tcBorders>
              <w:top w:val="nil"/>
              <w:left w:val="nil"/>
              <w:bottom w:val="nil"/>
              <w:right w:val="nil"/>
            </w:tcBorders>
            <w:tcMar>
              <w:top w:w="100" w:type="dxa"/>
              <w:left w:w="100" w:type="dxa"/>
              <w:bottom w:w="100" w:type="dxa"/>
              <w:right w:w="100" w:type="dxa"/>
            </w:tcMar>
          </w:tcPr>
          <w:p w14:paraId="6EDFFEED"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Palatal length (APM)</w:t>
            </w:r>
          </w:p>
        </w:tc>
        <w:tc>
          <w:tcPr>
            <w:tcW w:w="2120" w:type="dxa"/>
            <w:tcBorders>
              <w:top w:val="nil"/>
              <w:left w:val="nil"/>
              <w:bottom w:val="nil"/>
              <w:right w:val="nil"/>
            </w:tcBorders>
            <w:tcMar>
              <w:top w:w="100" w:type="dxa"/>
              <w:left w:w="100" w:type="dxa"/>
              <w:bottom w:w="100" w:type="dxa"/>
              <w:right w:w="100" w:type="dxa"/>
            </w:tcMar>
          </w:tcPr>
          <w:p w14:paraId="2243CBA7"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3.28 ± 0.58</w:t>
            </w:r>
          </w:p>
        </w:tc>
        <w:tc>
          <w:tcPr>
            <w:tcW w:w="2345" w:type="dxa"/>
            <w:tcBorders>
              <w:top w:val="nil"/>
              <w:left w:val="nil"/>
              <w:bottom w:val="nil"/>
              <w:right w:val="nil"/>
            </w:tcBorders>
            <w:tcMar>
              <w:top w:w="100" w:type="dxa"/>
              <w:left w:w="100" w:type="dxa"/>
              <w:bottom w:w="100" w:type="dxa"/>
              <w:right w:w="100" w:type="dxa"/>
            </w:tcMar>
          </w:tcPr>
          <w:p w14:paraId="1DE889C8"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3.17 ± 0.53</w:t>
            </w:r>
          </w:p>
        </w:tc>
        <w:tc>
          <w:tcPr>
            <w:tcW w:w="650" w:type="dxa"/>
            <w:tcBorders>
              <w:top w:val="nil"/>
              <w:left w:val="nil"/>
              <w:bottom w:val="nil"/>
              <w:right w:val="nil"/>
            </w:tcBorders>
            <w:tcMar>
              <w:top w:w="100" w:type="dxa"/>
              <w:left w:w="100" w:type="dxa"/>
              <w:bottom w:w="100" w:type="dxa"/>
              <w:right w:w="100" w:type="dxa"/>
            </w:tcMar>
          </w:tcPr>
          <w:p w14:paraId="7CFA7566"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1.10</w:t>
            </w:r>
          </w:p>
        </w:tc>
        <w:tc>
          <w:tcPr>
            <w:tcW w:w="995" w:type="dxa"/>
            <w:tcBorders>
              <w:top w:val="nil"/>
              <w:left w:val="nil"/>
              <w:bottom w:val="nil"/>
              <w:right w:val="nil"/>
            </w:tcBorders>
            <w:tcMar>
              <w:top w:w="100" w:type="dxa"/>
              <w:left w:w="100" w:type="dxa"/>
              <w:bottom w:w="100" w:type="dxa"/>
              <w:right w:w="100" w:type="dxa"/>
            </w:tcMar>
          </w:tcPr>
          <w:p w14:paraId="2F76CFA7"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.30</w:t>
            </w:r>
          </w:p>
        </w:tc>
      </w:tr>
      <w:tr w:rsidR="00E43543" w:rsidRPr="007D4D0B" w14:paraId="7D49309B" w14:textId="77777777" w:rsidTr="006437BD">
        <w:trPr>
          <w:trHeight w:val="500"/>
        </w:trPr>
        <w:tc>
          <w:tcPr>
            <w:tcW w:w="2645" w:type="dxa"/>
            <w:tcBorders>
              <w:top w:val="nil"/>
              <w:left w:val="nil"/>
              <w:bottom w:val="nil"/>
              <w:right w:val="nil"/>
            </w:tcBorders>
            <w:tcMar>
              <w:top w:w="100" w:type="dxa"/>
              <w:left w:w="100" w:type="dxa"/>
              <w:bottom w:w="100" w:type="dxa"/>
              <w:right w:w="100" w:type="dxa"/>
            </w:tcMar>
          </w:tcPr>
          <w:p w14:paraId="027ABCB2"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Vertical distance of APM</w:t>
            </w:r>
          </w:p>
        </w:tc>
        <w:tc>
          <w:tcPr>
            <w:tcW w:w="2120" w:type="dxa"/>
            <w:tcBorders>
              <w:top w:val="nil"/>
              <w:left w:val="nil"/>
              <w:bottom w:val="nil"/>
              <w:right w:val="nil"/>
            </w:tcBorders>
            <w:tcMar>
              <w:top w:w="100" w:type="dxa"/>
              <w:left w:w="100" w:type="dxa"/>
              <w:bottom w:w="100" w:type="dxa"/>
              <w:right w:w="100" w:type="dxa"/>
            </w:tcMar>
          </w:tcPr>
          <w:p w14:paraId="39A5B788"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2.75 ± 0.52</w:t>
            </w:r>
          </w:p>
        </w:tc>
        <w:tc>
          <w:tcPr>
            <w:tcW w:w="2345" w:type="dxa"/>
            <w:tcBorders>
              <w:top w:val="nil"/>
              <w:left w:val="nil"/>
              <w:bottom w:val="nil"/>
              <w:right w:val="nil"/>
            </w:tcBorders>
            <w:tcMar>
              <w:top w:w="100" w:type="dxa"/>
              <w:left w:w="100" w:type="dxa"/>
              <w:bottom w:w="100" w:type="dxa"/>
              <w:right w:w="100" w:type="dxa"/>
            </w:tcMar>
          </w:tcPr>
          <w:p w14:paraId="257E9F19"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2.64 ± 0.49</w:t>
            </w:r>
          </w:p>
        </w:tc>
        <w:tc>
          <w:tcPr>
            <w:tcW w:w="650" w:type="dxa"/>
            <w:tcBorders>
              <w:top w:val="nil"/>
              <w:left w:val="nil"/>
              <w:bottom w:val="nil"/>
              <w:right w:val="nil"/>
            </w:tcBorders>
            <w:tcMar>
              <w:top w:w="100" w:type="dxa"/>
              <w:left w:w="100" w:type="dxa"/>
              <w:bottom w:w="100" w:type="dxa"/>
              <w:right w:w="100" w:type="dxa"/>
            </w:tcMar>
          </w:tcPr>
          <w:p w14:paraId="05AA3F87"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1.26</w:t>
            </w:r>
          </w:p>
        </w:tc>
        <w:tc>
          <w:tcPr>
            <w:tcW w:w="995" w:type="dxa"/>
            <w:tcBorders>
              <w:top w:val="nil"/>
              <w:left w:val="nil"/>
              <w:bottom w:val="nil"/>
              <w:right w:val="nil"/>
            </w:tcBorders>
            <w:tcMar>
              <w:top w:w="100" w:type="dxa"/>
              <w:left w:w="100" w:type="dxa"/>
              <w:bottom w:w="100" w:type="dxa"/>
              <w:right w:w="100" w:type="dxa"/>
            </w:tcMar>
          </w:tcPr>
          <w:p w14:paraId="6F53CF6B"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.27</w:t>
            </w:r>
          </w:p>
        </w:tc>
      </w:tr>
      <w:tr w:rsidR="00E43543" w:rsidRPr="007D4D0B" w14:paraId="4DFB2BDA" w14:textId="77777777" w:rsidTr="006437BD">
        <w:trPr>
          <w:trHeight w:val="500"/>
        </w:trPr>
        <w:tc>
          <w:tcPr>
            <w:tcW w:w="2645" w:type="dxa"/>
            <w:tcBorders>
              <w:top w:val="nil"/>
              <w:left w:val="nil"/>
              <w:bottom w:val="nil"/>
              <w:right w:val="nil"/>
            </w:tcBorders>
            <w:tcMar>
              <w:top w:w="100" w:type="dxa"/>
              <w:left w:w="100" w:type="dxa"/>
              <w:bottom w:w="100" w:type="dxa"/>
              <w:right w:w="100" w:type="dxa"/>
            </w:tcMar>
          </w:tcPr>
          <w:p w14:paraId="7BDAAA82"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 xml:space="preserve">Maxillary </w:t>
            </w:r>
            <w:proofErr w:type="spellStart"/>
            <w:r w:rsidRPr="007D4D0B">
              <w:rPr>
                <w:rFonts w:ascii="Times New Roman" w:hAnsi="Times New Roman"/>
                <w:sz w:val="22"/>
                <w:szCs w:val="22"/>
              </w:rPr>
              <w:t>intercanine</w:t>
            </w:r>
            <w:proofErr w:type="spellEnd"/>
          </w:p>
        </w:tc>
        <w:tc>
          <w:tcPr>
            <w:tcW w:w="2120" w:type="dxa"/>
            <w:tcBorders>
              <w:top w:val="nil"/>
              <w:left w:val="nil"/>
              <w:bottom w:val="nil"/>
              <w:right w:val="nil"/>
            </w:tcBorders>
            <w:tcMar>
              <w:top w:w="100" w:type="dxa"/>
              <w:left w:w="100" w:type="dxa"/>
              <w:bottom w:w="100" w:type="dxa"/>
              <w:right w:w="100" w:type="dxa"/>
            </w:tcMar>
          </w:tcPr>
          <w:p w14:paraId="0ECC3557"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3.89 ± 0.50</w:t>
            </w:r>
          </w:p>
        </w:tc>
        <w:tc>
          <w:tcPr>
            <w:tcW w:w="2345" w:type="dxa"/>
            <w:tcBorders>
              <w:top w:val="nil"/>
              <w:left w:val="nil"/>
              <w:bottom w:val="nil"/>
              <w:right w:val="nil"/>
            </w:tcBorders>
            <w:tcMar>
              <w:top w:w="100" w:type="dxa"/>
              <w:left w:w="100" w:type="dxa"/>
              <w:bottom w:w="100" w:type="dxa"/>
              <w:right w:w="100" w:type="dxa"/>
            </w:tcMar>
          </w:tcPr>
          <w:p w14:paraId="4B2704AD"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3.83 ± 0.48</w:t>
            </w:r>
          </w:p>
        </w:tc>
        <w:tc>
          <w:tcPr>
            <w:tcW w:w="650" w:type="dxa"/>
            <w:tcBorders>
              <w:top w:val="nil"/>
              <w:left w:val="nil"/>
              <w:bottom w:val="nil"/>
              <w:right w:val="nil"/>
            </w:tcBorders>
            <w:tcMar>
              <w:top w:w="100" w:type="dxa"/>
              <w:left w:w="100" w:type="dxa"/>
              <w:bottom w:w="100" w:type="dxa"/>
              <w:right w:w="100" w:type="dxa"/>
            </w:tcMar>
          </w:tcPr>
          <w:p w14:paraId="32EB31EC"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0.44</w:t>
            </w:r>
          </w:p>
        </w:tc>
        <w:tc>
          <w:tcPr>
            <w:tcW w:w="995" w:type="dxa"/>
            <w:tcBorders>
              <w:top w:val="nil"/>
              <w:left w:val="nil"/>
              <w:bottom w:val="nil"/>
              <w:right w:val="nil"/>
            </w:tcBorders>
            <w:tcMar>
              <w:top w:w="100" w:type="dxa"/>
              <w:left w:w="100" w:type="dxa"/>
              <w:bottom w:w="100" w:type="dxa"/>
              <w:right w:w="100" w:type="dxa"/>
            </w:tcMar>
          </w:tcPr>
          <w:p w14:paraId="03E6F2BF"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.51</w:t>
            </w:r>
          </w:p>
        </w:tc>
      </w:tr>
      <w:tr w:rsidR="00E43543" w:rsidRPr="007D4D0B" w14:paraId="708090A7" w14:textId="77777777" w:rsidTr="006437BD">
        <w:trPr>
          <w:trHeight w:val="500"/>
        </w:trPr>
        <w:tc>
          <w:tcPr>
            <w:tcW w:w="2645" w:type="dxa"/>
            <w:tcBorders>
              <w:top w:val="nil"/>
              <w:left w:val="nil"/>
              <w:bottom w:val="single" w:sz="8" w:space="0" w:color="000000"/>
              <w:right w:val="nil"/>
            </w:tcBorders>
            <w:tcMar>
              <w:top w:w="100" w:type="dxa"/>
              <w:left w:w="100" w:type="dxa"/>
              <w:bottom w:w="100" w:type="dxa"/>
              <w:right w:w="100" w:type="dxa"/>
            </w:tcMar>
          </w:tcPr>
          <w:p w14:paraId="37CE3951"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 xml:space="preserve">Mandibular </w:t>
            </w:r>
            <w:proofErr w:type="spellStart"/>
            <w:r w:rsidRPr="007D4D0B">
              <w:rPr>
                <w:rFonts w:ascii="Times New Roman" w:hAnsi="Times New Roman"/>
                <w:sz w:val="22"/>
                <w:szCs w:val="22"/>
              </w:rPr>
              <w:t>intercanine</w:t>
            </w:r>
            <w:proofErr w:type="spellEnd"/>
          </w:p>
        </w:tc>
        <w:tc>
          <w:tcPr>
            <w:tcW w:w="2120" w:type="dxa"/>
            <w:tcBorders>
              <w:top w:val="nil"/>
              <w:left w:val="nil"/>
              <w:bottom w:val="single" w:sz="8" w:space="0" w:color="000000"/>
              <w:right w:val="nil"/>
            </w:tcBorders>
            <w:tcMar>
              <w:top w:w="100" w:type="dxa"/>
              <w:left w:w="100" w:type="dxa"/>
              <w:bottom w:w="100" w:type="dxa"/>
              <w:right w:w="100" w:type="dxa"/>
            </w:tcMar>
          </w:tcPr>
          <w:p w14:paraId="7D799A36"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3.17 ± 0.42</w:t>
            </w:r>
          </w:p>
        </w:tc>
        <w:tc>
          <w:tcPr>
            <w:tcW w:w="2345" w:type="dxa"/>
            <w:tcBorders>
              <w:top w:val="nil"/>
              <w:left w:val="nil"/>
              <w:bottom w:val="single" w:sz="8" w:space="0" w:color="000000"/>
              <w:right w:val="nil"/>
            </w:tcBorders>
            <w:tcMar>
              <w:top w:w="100" w:type="dxa"/>
              <w:left w:w="100" w:type="dxa"/>
              <w:bottom w:w="100" w:type="dxa"/>
              <w:right w:w="100" w:type="dxa"/>
            </w:tcMar>
          </w:tcPr>
          <w:p w14:paraId="3D1DF5E4"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3.18 ± 0.49</w:t>
            </w:r>
          </w:p>
        </w:tc>
        <w:tc>
          <w:tcPr>
            <w:tcW w:w="650" w:type="dxa"/>
            <w:tcBorders>
              <w:top w:val="nil"/>
              <w:left w:val="nil"/>
              <w:bottom w:val="single" w:sz="8" w:space="0" w:color="000000"/>
              <w:right w:val="nil"/>
            </w:tcBorders>
            <w:tcMar>
              <w:top w:w="100" w:type="dxa"/>
              <w:left w:w="100" w:type="dxa"/>
              <w:bottom w:w="100" w:type="dxa"/>
              <w:right w:w="100" w:type="dxa"/>
            </w:tcMar>
          </w:tcPr>
          <w:p w14:paraId="416EF170"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0.03</w:t>
            </w:r>
          </w:p>
        </w:tc>
        <w:tc>
          <w:tcPr>
            <w:tcW w:w="995" w:type="dxa"/>
            <w:tcBorders>
              <w:top w:val="nil"/>
              <w:left w:val="nil"/>
              <w:bottom w:val="single" w:sz="8" w:space="0" w:color="000000"/>
              <w:right w:val="nil"/>
            </w:tcBorders>
            <w:tcMar>
              <w:top w:w="100" w:type="dxa"/>
              <w:left w:w="100" w:type="dxa"/>
              <w:bottom w:w="100" w:type="dxa"/>
              <w:right w:w="100" w:type="dxa"/>
            </w:tcMar>
          </w:tcPr>
          <w:p w14:paraId="583125B6"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.85</w:t>
            </w:r>
          </w:p>
        </w:tc>
      </w:tr>
    </w:tbl>
    <w:p w14:paraId="0F3A5932" w14:textId="77777777" w:rsidR="00E43543" w:rsidRPr="007D4D0B" w:rsidRDefault="00E43543" w:rsidP="00E43543">
      <w:pPr>
        <w:spacing w:line="480" w:lineRule="auto"/>
        <w:rPr>
          <w:rFonts w:ascii="Times New Roman" w:hAnsi="Times New Roman"/>
          <w:sz w:val="22"/>
          <w:szCs w:val="22"/>
        </w:rPr>
      </w:pPr>
    </w:p>
    <w:p w14:paraId="4C7C96D3" w14:textId="77777777" w:rsidR="00E43543" w:rsidRPr="007D4D0B" w:rsidRDefault="00E43543" w:rsidP="00E43543">
      <w:pPr>
        <w:spacing w:before="240" w:after="240" w:line="480" w:lineRule="auto"/>
        <w:rPr>
          <w:rFonts w:ascii="Times New Roman" w:hAnsi="Times New Roman"/>
          <w:sz w:val="22"/>
          <w:szCs w:val="22"/>
        </w:rPr>
      </w:pPr>
      <w:r w:rsidRPr="007D4D0B">
        <w:rPr>
          <w:rFonts w:ascii="Times New Roman" w:hAnsi="Times New Roman"/>
          <w:sz w:val="22"/>
          <w:szCs w:val="22"/>
        </w:rPr>
        <w:br w:type="page"/>
      </w:r>
    </w:p>
    <w:p w14:paraId="62B2F750" w14:textId="77777777" w:rsidR="00E43543" w:rsidRPr="007D4D0B" w:rsidRDefault="00E43543" w:rsidP="00E43543">
      <w:pPr>
        <w:spacing w:before="240" w:after="240" w:line="480" w:lineRule="auto"/>
        <w:rPr>
          <w:rFonts w:ascii="Times New Roman" w:hAnsi="Times New Roman"/>
          <w:sz w:val="22"/>
          <w:szCs w:val="22"/>
        </w:rPr>
      </w:pPr>
      <w:r w:rsidRPr="007D4D0B">
        <w:rPr>
          <w:rFonts w:ascii="Times New Roman" w:hAnsi="Times New Roman"/>
          <w:sz w:val="22"/>
          <w:szCs w:val="22"/>
        </w:rPr>
        <w:lastRenderedPageBreak/>
        <w:t>Across all dental arch dimensions, mean values generally increased from childhood to adolescence and remained relatively stable in adulthood. However, univariate analyses showed no statistically significant differences across age groups for any of the measured dimensions. Furthermore, MANOVA revealed no significant overall effect of age on dental arch width dimensions (Wilks’ λ = 1.319, P = .173). (Table 4).</w:t>
      </w:r>
    </w:p>
    <w:p w14:paraId="06C6B007" w14:textId="77777777" w:rsidR="00E43543" w:rsidRPr="007D4D0B" w:rsidRDefault="00E43543" w:rsidP="00E43543">
      <w:pPr>
        <w:spacing w:before="240" w:after="240" w:line="480" w:lineRule="auto"/>
        <w:rPr>
          <w:rFonts w:ascii="Times New Roman" w:hAnsi="Times New Roman"/>
          <w:sz w:val="22"/>
          <w:szCs w:val="22"/>
        </w:rPr>
      </w:pPr>
      <w:r w:rsidRPr="007D4D0B">
        <w:rPr>
          <w:rFonts w:ascii="Times New Roman" w:hAnsi="Times New Roman"/>
          <w:b/>
          <w:bCs/>
          <w:sz w:val="22"/>
          <w:szCs w:val="22"/>
        </w:rPr>
        <w:t>Table 4. Dental arch width dimensions across age groups</w:t>
      </w:r>
    </w:p>
    <w:tbl>
      <w:tblPr>
        <w:tblW w:w="10545" w:type="dxa"/>
        <w:tblInd w:w="-690" w:type="dxa"/>
        <w:tblBorders>
          <w:top w:val="nil"/>
          <w:left w:val="nil"/>
          <w:bottom w:val="nil"/>
          <w:right w:val="nil"/>
          <w:insideH w:val="nil"/>
          <w:insideV w:val="nil"/>
        </w:tblBorders>
        <w:tblLayout w:type="fixed"/>
        <w:tblLook w:val="0600" w:firstRow="0" w:lastRow="0" w:firstColumn="0" w:lastColumn="0" w:noHBand="1" w:noVBand="1"/>
      </w:tblPr>
      <w:tblGrid>
        <w:gridCol w:w="2580"/>
        <w:gridCol w:w="1575"/>
        <w:gridCol w:w="1635"/>
        <w:gridCol w:w="1635"/>
        <w:gridCol w:w="1635"/>
        <w:gridCol w:w="615"/>
        <w:gridCol w:w="870"/>
      </w:tblGrid>
      <w:tr w:rsidR="00E43543" w:rsidRPr="007D4D0B" w14:paraId="303A294D" w14:textId="77777777" w:rsidTr="006437BD">
        <w:trPr>
          <w:trHeight w:val="288"/>
        </w:trPr>
        <w:tc>
          <w:tcPr>
            <w:tcW w:w="2580" w:type="dxa"/>
            <w:tcBorders>
              <w:top w:val="single" w:sz="8" w:space="0" w:color="000000"/>
              <w:left w:val="nil"/>
              <w:bottom w:val="single" w:sz="8" w:space="0" w:color="000000"/>
              <w:right w:val="nil"/>
            </w:tcBorders>
            <w:tcMar>
              <w:top w:w="28" w:type="dxa"/>
              <w:left w:w="28" w:type="dxa"/>
              <w:bottom w:w="28" w:type="dxa"/>
              <w:right w:w="28" w:type="dxa"/>
            </w:tcMar>
          </w:tcPr>
          <w:p w14:paraId="0F5BA89B"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b/>
                <w:bCs/>
                <w:sz w:val="22"/>
                <w:szCs w:val="22"/>
              </w:rPr>
              <w:t>Dimension</w:t>
            </w:r>
          </w:p>
        </w:tc>
        <w:tc>
          <w:tcPr>
            <w:tcW w:w="1575" w:type="dxa"/>
            <w:tcBorders>
              <w:top w:val="single" w:sz="8" w:space="0" w:color="000000"/>
              <w:left w:val="nil"/>
              <w:bottom w:val="single" w:sz="8" w:space="0" w:color="000000"/>
              <w:right w:val="nil"/>
            </w:tcBorders>
            <w:tcMar>
              <w:top w:w="28" w:type="dxa"/>
              <w:left w:w="28" w:type="dxa"/>
              <w:bottom w:w="28" w:type="dxa"/>
              <w:right w:w="28" w:type="dxa"/>
            </w:tcMar>
          </w:tcPr>
          <w:p w14:paraId="4A5FEE4B"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b/>
                <w:bCs/>
                <w:sz w:val="22"/>
                <w:szCs w:val="22"/>
              </w:rPr>
              <w:t>1–10 yrs (Mean ± SD)</w:t>
            </w:r>
          </w:p>
        </w:tc>
        <w:tc>
          <w:tcPr>
            <w:tcW w:w="1635" w:type="dxa"/>
            <w:tcBorders>
              <w:top w:val="single" w:sz="8" w:space="0" w:color="000000"/>
              <w:left w:val="nil"/>
              <w:bottom w:val="single" w:sz="8" w:space="0" w:color="000000"/>
              <w:right w:val="nil"/>
            </w:tcBorders>
            <w:tcMar>
              <w:top w:w="28" w:type="dxa"/>
              <w:left w:w="28" w:type="dxa"/>
              <w:bottom w:w="28" w:type="dxa"/>
              <w:right w:w="28" w:type="dxa"/>
            </w:tcMar>
          </w:tcPr>
          <w:p w14:paraId="5D457E9F"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b/>
                <w:bCs/>
                <w:sz w:val="22"/>
                <w:szCs w:val="22"/>
              </w:rPr>
              <w:t>11–20 yrs (Mean ± SD)</w:t>
            </w:r>
          </w:p>
        </w:tc>
        <w:tc>
          <w:tcPr>
            <w:tcW w:w="1635" w:type="dxa"/>
            <w:tcBorders>
              <w:top w:val="single" w:sz="8" w:space="0" w:color="000000"/>
              <w:left w:val="nil"/>
              <w:bottom w:val="single" w:sz="8" w:space="0" w:color="000000"/>
              <w:right w:val="nil"/>
            </w:tcBorders>
            <w:tcMar>
              <w:top w:w="28" w:type="dxa"/>
              <w:left w:w="28" w:type="dxa"/>
              <w:bottom w:w="28" w:type="dxa"/>
              <w:right w:w="28" w:type="dxa"/>
            </w:tcMar>
          </w:tcPr>
          <w:p w14:paraId="4E178FA0"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b/>
                <w:bCs/>
                <w:sz w:val="22"/>
                <w:szCs w:val="22"/>
              </w:rPr>
              <w:t>21–30 yrs (Mean ± SD)</w:t>
            </w:r>
          </w:p>
        </w:tc>
        <w:tc>
          <w:tcPr>
            <w:tcW w:w="1635" w:type="dxa"/>
            <w:tcBorders>
              <w:top w:val="single" w:sz="8" w:space="0" w:color="000000"/>
              <w:left w:val="nil"/>
              <w:bottom w:val="single" w:sz="8" w:space="0" w:color="000000"/>
              <w:right w:val="nil"/>
            </w:tcBorders>
            <w:tcMar>
              <w:top w:w="28" w:type="dxa"/>
              <w:left w:w="28" w:type="dxa"/>
              <w:bottom w:w="28" w:type="dxa"/>
              <w:right w:w="28" w:type="dxa"/>
            </w:tcMar>
          </w:tcPr>
          <w:p w14:paraId="78EDBC3F"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b/>
                <w:bCs/>
                <w:sz w:val="22"/>
                <w:szCs w:val="22"/>
              </w:rPr>
              <w:t>31–40 yrs (Mean ± SD)</w:t>
            </w:r>
          </w:p>
        </w:tc>
        <w:tc>
          <w:tcPr>
            <w:tcW w:w="615" w:type="dxa"/>
            <w:tcBorders>
              <w:top w:val="single" w:sz="8" w:space="0" w:color="000000"/>
              <w:left w:val="nil"/>
              <w:bottom w:val="single" w:sz="8" w:space="0" w:color="000000"/>
              <w:right w:val="nil"/>
            </w:tcBorders>
            <w:tcMar>
              <w:top w:w="28" w:type="dxa"/>
              <w:left w:w="28" w:type="dxa"/>
              <w:bottom w:w="28" w:type="dxa"/>
              <w:right w:w="28" w:type="dxa"/>
            </w:tcMar>
          </w:tcPr>
          <w:p w14:paraId="535BB5E5"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b/>
                <w:bCs/>
                <w:sz w:val="22"/>
                <w:szCs w:val="22"/>
              </w:rPr>
              <w:t>F</w:t>
            </w:r>
          </w:p>
        </w:tc>
        <w:tc>
          <w:tcPr>
            <w:tcW w:w="870" w:type="dxa"/>
            <w:tcBorders>
              <w:top w:val="single" w:sz="8" w:space="0" w:color="000000"/>
              <w:left w:val="nil"/>
              <w:bottom w:val="single" w:sz="8" w:space="0" w:color="000000"/>
              <w:right w:val="nil"/>
            </w:tcBorders>
            <w:tcMar>
              <w:top w:w="28" w:type="dxa"/>
              <w:left w:w="28" w:type="dxa"/>
              <w:bottom w:w="28" w:type="dxa"/>
              <w:right w:w="28" w:type="dxa"/>
            </w:tcMar>
          </w:tcPr>
          <w:p w14:paraId="005DF986"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b/>
                <w:bCs/>
                <w:sz w:val="22"/>
                <w:szCs w:val="22"/>
              </w:rPr>
              <w:t>P-value</w:t>
            </w:r>
          </w:p>
        </w:tc>
      </w:tr>
      <w:tr w:rsidR="00E43543" w:rsidRPr="007D4D0B" w14:paraId="1F340F2F" w14:textId="77777777" w:rsidTr="006437BD">
        <w:trPr>
          <w:trHeight w:val="288"/>
        </w:trPr>
        <w:tc>
          <w:tcPr>
            <w:tcW w:w="2580" w:type="dxa"/>
            <w:tcBorders>
              <w:top w:val="single" w:sz="8" w:space="0" w:color="000000"/>
              <w:left w:val="nil"/>
              <w:bottom w:val="nil"/>
              <w:right w:val="nil"/>
            </w:tcBorders>
            <w:tcMar>
              <w:top w:w="28" w:type="dxa"/>
              <w:left w:w="28" w:type="dxa"/>
              <w:bottom w:w="28" w:type="dxa"/>
              <w:right w:w="28" w:type="dxa"/>
            </w:tcMar>
          </w:tcPr>
          <w:p w14:paraId="424F3B7A"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Maxillary intermolar</w:t>
            </w:r>
          </w:p>
        </w:tc>
        <w:tc>
          <w:tcPr>
            <w:tcW w:w="1575" w:type="dxa"/>
            <w:tcBorders>
              <w:top w:val="single" w:sz="8" w:space="0" w:color="000000"/>
              <w:left w:val="nil"/>
              <w:bottom w:val="nil"/>
              <w:right w:val="nil"/>
            </w:tcBorders>
            <w:tcMar>
              <w:top w:w="28" w:type="dxa"/>
              <w:left w:w="28" w:type="dxa"/>
              <w:bottom w:w="28" w:type="dxa"/>
              <w:right w:w="28" w:type="dxa"/>
            </w:tcMar>
          </w:tcPr>
          <w:p w14:paraId="74A98AA3"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4.26 ± 0.34</w:t>
            </w:r>
          </w:p>
        </w:tc>
        <w:tc>
          <w:tcPr>
            <w:tcW w:w="1635" w:type="dxa"/>
            <w:tcBorders>
              <w:top w:val="single" w:sz="8" w:space="0" w:color="000000"/>
              <w:left w:val="nil"/>
              <w:bottom w:val="nil"/>
              <w:right w:val="nil"/>
            </w:tcBorders>
            <w:tcMar>
              <w:top w:w="28" w:type="dxa"/>
              <w:left w:w="28" w:type="dxa"/>
              <w:bottom w:w="28" w:type="dxa"/>
              <w:right w:w="28" w:type="dxa"/>
            </w:tcMar>
          </w:tcPr>
          <w:p w14:paraId="27388ED2"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4.38 ± 0.41</w:t>
            </w:r>
          </w:p>
        </w:tc>
        <w:tc>
          <w:tcPr>
            <w:tcW w:w="1635" w:type="dxa"/>
            <w:tcBorders>
              <w:top w:val="single" w:sz="8" w:space="0" w:color="000000"/>
              <w:left w:val="nil"/>
              <w:bottom w:val="nil"/>
              <w:right w:val="nil"/>
            </w:tcBorders>
            <w:tcMar>
              <w:top w:w="28" w:type="dxa"/>
              <w:left w:w="28" w:type="dxa"/>
              <w:bottom w:w="28" w:type="dxa"/>
              <w:right w:w="28" w:type="dxa"/>
            </w:tcMar>
          </w:tcPr>
          <w:p w14:paraId="3FCBCEA7"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4.37 ± 0.32</w:t>
            </w:r>
          </w:p>
        </w:tc>
        <w:tc>
          <w:tcPr>
            <w:tcW w:w="1635" w:type="dxa"/>
            <w:tcBorders>
              <w:top w:val="single" w:sz="8" w:space="0" w:color="000000"/>
              <w:left w:val="nil"/>
              <w:bottom w:val="nil"/>
              <w:right w:val="nil"/>
            </w:tcBorders>
            <w:tcMar>
              <w:top w:w="28" w:type="dxa"/>
              <w:left w:w="28" w:type="dxa"/>
              <w:bottom w:w="28" w:type="dxa"/>
              <w:right w:w="28" w:type="dxa"/>
            </w:tcMar>
          </w:tcPr>
          <w:p w14:paraId="08C3B7A2"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4.33 ± 0.26</w:t>
            </w:r>
          </w:p>
        </w:tc>
        <w:tc>
          <w:tcPr>
            <w:tcW w:w="615" w:type="dxa"/>
            <w:tcBorders>
              <w:top w:val="single" w:sz="8" w:space="0" w:color="000000"/>
              <w:left w:val="nil"/>
              <w:bottom w:val="nil"/>
              <w:right w:val="nil"/>
            </w:tcBorders>
            <w:tcMar>
              <w:top w:w="28" w:type="dxa"/>
              <w:left w:w="28" w:type="dxa"/>
              <w:bottom w:w="28" w:type="dxa"/>
              <w:right w:w="28" w:type="dxa"/>
            </w:tcMar>
          </w:tcPr>
          <w:p w14:paraId="576888F5"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0.66</w:t>
            </w:r>
          </w:p>
        </w:tc>
        <w:tc>
          <w:tcPr>
            <w:tcW w:w="870" w:type="dxa"/>
            <w:tcBorders>
              <w:top w:val="single" w:sz="8" w:space="0" w:color="000000"/>
              <w:left w:val="nil"/>
              <w:bottom w:val="nil"/>
              <w:right w:val="nil"/>
            </w:tcBorders>
            <w:tcMar>
              <w:top w:w="28" w:type="dxa"/>
              <w:left w:w="28" w:type="dxa"/>
              <w:bottom w:w="28" w:type="dxa"/>
              <w:right w:w="28" w:type="dxa"/>
            </w:tcMar>
          </w:tcPr>
          <w:p w14:paraId="605B074D"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.58</w:t>
            </w:r>
          </w:p>
        </w:tc>
      </w:tr>
      <w:tr w:rsidR="00E43543" w:rsidRPr="007D4D0B" w14:paraId="23AC89F9" w14:textId="77777777" w:rsidTr="006437BD">
        <w:trPr>
          <w:trHeight w:val="288"/>
        </w:trPr>
        <w:tc>
          <w:tcPr>
            <w:tcW w:w="2580" w:type="dxa"/>
            <w:tcBorders>
              <w:top w:val="nil"/>
              <w:left w:val="nil"/>
              <w:bottom w:val="nil"/>
              <w:right w:val="nil"/>
            </w:tcBorders>
            <w:tcMar>
              <w:top w:w="28" w:type="dxa"/>
              <w:left w:w="28" w:type="dxa"/>
              <w:bottom w:w="28" w:type="dxa"/>
              <w:right w:w="28" w:type="dxa"/>
            </w:tcMar>
          </w:tcPr>
          <w:p w14:paraId="2B373B5E"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Mandibular intermolar</w:t>
            </w:r>
          </w:p>
        </w:tc>
        <w:tc>
          <w:tcPr>
            <w:tcW w:w="1575" w:type="dxa"/>
            <w:tcBorders>
              <w:top w:val="nil"/>
              <w:left w:val="nil"/>
              <w:bottom w:val="nil"/>
              <w:right w:val="nil"/>
            </w:tcBorders>
            <w:tcMar>
              <w:top w:w="28" w:type="dxa"/>
              <w:left w:w="28" w:type="dxa"/>
              <w:bottom w:w="28" w:type="dxa"/>
              <w:right w:w="28" w:type="dxa"/>
            </w:tcMar>
          </w:tcPr>
          <w:p w14:paraId="00ED4EF5"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3.74 ± 0.34</w:t>
            </w:r>
          </w:p>
        </w:tc>
        <w:tc>
          <w:tcPr>
            <w:tcW w:w="1635" w:type="dxa"/>
            <w:tcBorders>
              <w:top w:val="nil"/>
              <w:left w:val="nil"/>
              <w:bottom w:val="nil"/>
              <w:right w:val="nil"/>
            </w:tcBorders>
            <w:tcMar>
              <w:top w:w="28" w:type="dxa"/>
              <w:left w:w="28" w:type="dxa"/>
              <w:bottom w:w="28" w:type="dxa"/>
              <w:right w:w="28" w:type="dxa"/>
            </w:tcMar>
          </w:tcPr>
          <w:p w14:paraId="2AFABD42"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3.97 ± 0.44</w:t>
            </w:r>
          </w:p>
        </w:tc>
        <w:tc>
          <w:tcPr>
            <w:tcW w:w="1635" w:type="dxa"/>
            <w:tcBorders>
              <w:top w:val="nil"/>
              <w:left w:val="nil"/>
              <w:bottom w:val="nil"/>
              <w:right w:val="nil"/>
            </w:tcBorders>
            <w:tcMar>
              <w:top w:w="28" w:type="dxa"/>
              <w:left w:w="28" w:type="dxa"/>
              <w:bottom w:w="28" w:type="dxa"/>
              <w:right w:w="28" w:type="dxa"/>
            </w:tcMar>
          </w:tcPr>
          <w:p w14:paraId="703B65EA"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4.03 ± 0.44</w:t>
            </w:r>
          </w:p>
        </w:tc>
        <w:tc>
          <w:tcPr>
            <w:tcW w:w="1635" w:type="dxa"/>
            <w:tcBorders>
              <w:top w:val="nil"/>
              <w:left w:val="nil"/>
              <w:bottom w:val="nil"/>
              <w:right w:val="nil"/>
            </w:tcBorders>
            <w:tcMar>
              <w:top w:w="28" w:type="dxa"/>
              <w:left w:w="28" w:type="dxa"/>
              <w:bottom w:w="28" w:type="dxa"/>
              <w:right w:w="28" w:type="dxa"/>
            </w:tcMar>
          </w:tcPr>
          <w:p w14:paraId="31C1BEA7"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3.83 ± 0.75</w:t>
            </w:r>
          </w:p>
        </w:tc>
        <w:tc>
          <w:tcPr>
            <w:tcW w:w="615" w:type="dxa"/>
            <w:tcBorders>
              <w:top w:val="nil"/>
              <w:left w:val="nil"/>
              <w:bottom w:val="nil"/>
              <w:right w:val="nil"/>
            </w:tcBorders>
            <w:tcMar>
              <w:top w:w="28" w:type="dxa"/>
              <w:left w:w="28" w:type="dxa"/>
              <w:bottom w:w="28" w:type="dxa"/>
              <w:right w:w="28" w:type="dxa"/>
            </w:tcMar>
          </w:tcPr>
          <w:p w14:paraId="70BBD978"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2.34</w:t>
            </w:r>
          </w:p>
        </w:tc>
        <w:tc>
          <w:tcPr>
            <w:tcW w:w="870" w:type="dxa"/>
            <w:tcBorders>
              <w:top w:val="nil"/>
              <w:left w:val="nil"/>
              <w:bottom w:val="nil"/>
              <w:right w:val="nil"/>
            </w:tcBorders>
            <w:tcMar>
              <w:top w:w="28" w:type="dxa"/>
              <w:left w:w="28" w:type="dxa"/>
              <w:bottom w:w="28" w:type="dxa"/>
              <w:right w:w="28" w:type="dxa"/>
            </w:tcMar>
          </w:tcPr>
          <w:p w14:paraId="7192B166"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.08</w:t>
            </w:r>
          </w:p>
        </w:tc>
      </w:tr>
      <w:tr w:rsidR="00E43543" w:rsidRPr="007D4D0B" w14:paraId="66DB6A16" w14:textId="77777777" w:rsidTr="006437BD">
        <w:trPr>
          <w:trHeight w:val="288"/>
        </w:trPr>
        <w:tc>
          <w:tcPr>
            <w:tcW w:w="2580" w:type="dxa"/>
            <w:tcBorders>
              <w:top w:val="nil"/>
              <w:left w:val="nil"/>
              <w:bottom w:val="nil"/>
              <w:right w:val="nil"/>
            </w:tcBorders>
            <w:tcMar>
              <w:top w:w="28" w:type="dxa"/>
              <w:left w:w="28" w:type="dxa"/>
              <w:bottom w:w="28" w:type="dxa"/>
              <w:right w:w="28" w:type="dxa"/>
            </w:tcMar>
          </w:tcPr>
          <w:p w14:paraId="2D35C8EF"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Palatal length (APM)</w:t>
            </w:r>
          </w:p>
        </w:tc>
        <w:tc>
          <w:tcPr>
            <w:tcW w:w="1575" w:type="dxa"/>
            <w:tcBorders>
              <w:top w:val="nil"/>
              <w:left w:val="nil"/>
              <w:bottom w:val="nil"/>
              <w:right w:val="nil"/>
            </w:tcBorders>
            <w:tcMar>
              <w:top w:w="28" w:type="dxa"/>
              <w:left w:w="28" w:type="dxa"/>
              <w:bottom w:w="28" w:type="dxa"/>
              <w:right w:w="28" w:type="dxa"/>
            </w:tcMar>
          </w:tcPr>
          <w:p w14:paraId="036A4A80"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3.26 ± 0.58</w:t>
            </w:r>
          </w:p>
        </w:tc>
        <w:tc>
          <w:tcPr>
            <w:tcW w:w="1635" w:type="dxa"/>
            <w:tcBorders>
              <w:top w:val="nil"/>
              <w:left w:val="nil"/>
              <w:bottom w:val="nil"/>
              <w:right w:val="nil"/>
            </w:tcBorders>
            <w:tcMar>
              <w:top w:w="28" w:type="dxa"/>
              <w:left w:w="28" w:type="dxa"/>
              <w:bottom w:w="28" w:type="dxa"/>
              <w:right w:w="28" w:type="dxa"/>
            </w:tcMar>
          </w:tcPr>
          <w:p w14:paraId="1FB8C387"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3.27 ± 0.53</w:t>
            </w:r>
          </w:p>
        </w:tc>
        <w:tc>
          <w:tcPr>
            <w:tcW w:w="1635" w:type="dxa"/>
            <w:tcBorders>
              <w:top w:val="nil"/>
              <w:left w:val="nil"/>
              <w:bottom w:val="nil"/>
              <w:right w:val="nil"/>
            </w:tcBorders>
            <w:tcMar>
              <w:top w:w="28" w:type="dxa"/>
              <w:left w:w="28" w:type="dxa"/>
              <w:bottom w:w="28" w:type="dxa"/>
              <w:right w:w="28" w:type="dxa"/>
            </w:tcMar>
          </w:tcPr>
          <w:p w14:paraId="0E31E045"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3.07 ± 0.63</w:t>
            </w:r>
          </w:p>
        </w:tc>
        <w:tc>
          <w:tcPr>
            <w:tcW w:w="1635" w:type="dxa"/>
            <w:tcBorders>
              <w:top w:val="nil"/>
              <w:left w:val="nil"/>
              <w:bottom w:val="nil"/>
              <w:right w:val="nil"/>
            </w:tcBorders>
            <w:tcMar>
              <w:top w:w="28" w:type="dxa"/>
              <w:left w:w="28" w:type="dxa"/>
              <w:bottom w:w="28" w:type="dxa"/>
              <w:right w:w="28" w:type="dxa"/>
            </w:tcMar>
          </w:tcPr>
          <w:p w14:paraId="2A7582D2"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3.00 ± 0.45</w:t>
            </w:r>
          </w:p>
        </w:tc>
        <w:tc>
          <w:tcPr>
            <w:tcW w:w="615" w:type="dxa"/>
            <w:tcBorders>
              <w:top w:val="nil"/>
              <w:left w:val="nil"/>
              <w:bottom w:val="nil"/>
              <w:right w:val="nil"/>
            </w:tcBorders>
            <w:tcMar>
              <w:top w:w="28" w:type="dxa"/>
              <w:left w:w="28" w:type="dxa"/>
              <w:bottom w:w="28" w:type="dxa"/>
              <w:right w:w="28" w:type="dxa"/>
            </w:tcMar>
          </w:tcPr>
          <w:p w14:paraId="79287E43"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1.01</w:t>
            </w:r>
          </w:p>
        </w:tc>
        <w:tc>
          <w:tcPr>
            <w:tcW w:w="870" w:type="dxa"/>
            <w:tcBorders>
              <w:top w:val="nil"/>
              <w:left w:val="nil"/>
              <w:bottom w:val="nil"/>
              <w:right w:val="nil"/>
            </w:tcBorders>
            <w:tcMar>
              <w:top w:w="28" w:type="dxa"/>
              <w:left w:w="28" w:type="dxa"/>
              <w:bottom w:w="28" w:type="dxa"/>
              <w:right w:w="28" w:type="dxa"/>
            </w:tcMar>
          </w:tcPr>
          <w:p w14:paraId="2180D796"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.39</w:t>
            </w:r>
          </w:p>
        </w:tc>
      </w:tr>
      <w:tr w:rsidR="00E43543" w:rsidRPr="007D4D0B" w14:paraId="1A21AB30" w14:textId="77777777" w:rsidTr="006437BD">
        <w:trPr>
          <w:trHeight w:val="288"/>
        </w:trPr>
        <w:tc>
          <w:tcPr>
            <w:tcW w:w="2580" w:type="dxa"/>
            <w:tcBorders>
              <w:top w:val="nil"/>
              <w:left w:val="nil"/>
              <w:bottom w:val="nil"/>
              <w:right w:val="nil"/>
            </w:tcBorders>
            <w:tcMar>
              <w:top w:w="28" w:type="dxa"/>
              <w:left w:w="28" w:type="dxa"/>
              <w:bottom w:w="28" w:type="dxa"/>
              <w:right w:w="28" w:type="dxa"/>
            </w:tcMar>
          </w:tcPr>
          <w:p w14:paraId="0A81AA9B"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Vertical distance of APM</w:t>
            </w:r>
          </w:p>
        </w:tc>
        <w:tc>
          <w:tcPr>
            <w:tcW w:w="1575" w:type="dxa"/>
            <w:tcBorders>
              <w:top w:val="nil"/>
              <w:left w:val="nil"/>
              <w:bottom w:val="nil"/>
              <w:right w:val="nil"/>
            </w:tcBorders>
            <w:tcMar>
              <w:top w:w="28" w:type="dxa"/>
              <w:left w:w="28" w:type="dxa"/>
              <w:bottom w:w="28" w:type="dxa"/>
              <w:right w:w="28" w:type="dxa"/>
            </w:tcMar>
          </w:tcPr>
          <w:p w14:paraId="2B7AC344"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2.50 ± 0.40</w:t>
            </w:r>
          </w:p>
        </w:tc>
        <w:tc>
          <w:tcPr>
            <w:tcW w:w="1635" w:type="dxa"/>
            <w:tcBorders>
              <w:top w:val="nil"/>
              <w:left w:val="nil"/>
              <w:bottom w:val="nil"/>
              <w:right w:val="nil"/>
            </w:tcBorders>
            <w:tcMar>
              <w:top w:w="28" w:type="dxa"/>
              <w:left w:w="28" w:type="dxa"/>
              <w:bottom w:w="28" w:type="dxa"/>
              <w:right w:w="28" w:type="dxa"/>
            </w:tcMar>
          </w:tcPr>
          <w:p w14:paraId="1FA1E212"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2.76 ± 0.52</w:t>
            </w:r>
          </w:p>
        </w:tc>
        <w:tc>
          <w:tcPr>
            <w:tcW w:w="1635" w:type="dxa"/>
            <w:tcBorders>
              <w:top w:val="nil"/>
              <w:left w:val="nil"/>
              <w:bottom w:val="nil"/>
              <w:right w:val="nil"/>
            </w:tcBorders>
            <w:tcMar>
              <w:top w:w="28" w:type="dxa"/>
              <w:left w:w="28" w:type="dxa"/>
              <w:bottom w:w="28" w:type="dxa"/>
              <w:right w:w="28" w:type="dxa"/>
            </w:tcMar>
          </w:tcPr>
          <w:p w14:paraId="206A8244"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2.67 ± 0.55</w:t>
            </w:r>
          </w:p>
        </w:tc>
        <w:tc>
          <w:tcPr>
            <w:tcW w:w="1635" w:type="dxa"/>
            <w:tcBorders>
              <w:top w:val="nil"/>
              <w:left w:val="nil"/>
              <w:bottom w:val="nil"/>
              <w:right w:val="nil"/>
            </w:tcBorders>
            <w:tcMar>
              <w:top w:w="28" w:type="dxa"/>
              <w:left w:w="28" w:type="dxa"/>
              <w:bottom w:w="28" w:type="dxa"/>
              <w:right w:w="28" w:type="dxa"/>
            </w:tcMar>
          </w:tcPr>
          <w:p w14:paraId="3114273F"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2.75 ± 0.52</w:t>
            </w:r>
          </w:p>
        </w:tc>
        <w:tc>
          <w:tcPr>
            <w:tcW w:w="615" w:type="dxa"/>
            <w:tcBorders>
              <w:top w:val="nil"/>
              <w:left w:val="nil"/>
              <w:bottom w:val="nil"/>
              <w:right w:val="nil"/>
            </w:tcBorders>
            <w:tcMar>
              <w:top w:w="28" w:type="dxa"/>
              <w:left w:w="28" w:type="dxa"/>
              <w:bottom w:w="28" w:type="dxa"/>
              <w:right w:w="28" w:type="dxa"/>
            </w:tcMar>
          </w:tcPr>
          <w:p w14:paraId="6D326CBB"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1.74</w:t>
            </w:r>
          </w:p>
        </w:tc>
        <w:tc>
          <w:tcPr>
            <w:tcW w:w="870" w:type="dxa"/>
            <w:tcBorders>
              <w:top w:val="nil"/>
              <w:left w:val="nil"/>
              <w:bottom w:val="nil"/>
              <w:right w:val="nil"/>
            </w:tcBorders>
            <w:tcMar>
              <w:top w:w="28" w:type="dxa"/>
              <w:left w:w="28" w:type="dxa"/>
              <w:bottom w:w="28" w:type="dxa"/>
              <w:right w:w="28" w:type="dxa"/>
            </w:tcMar>
          </w:tcPr>
          <w:p w14:paraId="428241C3"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.16</w:t>
            </w:r>
          </w:p>
        </w:tc>
      </w:tr>
      <w:tr w:rsidR="00E43543" w:rsidRPr="007D4D0B" w14:paraId="392D34FC" w14:textId="77777777" w:rsidTr="006437BD">
        <w:trPr>
          <w:trHeight w:val="288"/>
        </w:trPr>
        <w:tc>
          <w:tcPr>
            <w:tcW w:w="2580" w:type="dxa"/>
            <w:tcBorders>
              <w:top w:val="nil"/>
              <w:left w:val="nil"/>
              <w:bottom w:val="nil"/>
              <w:right w:val="nil"/>
            </w:tcBorders>
            <w:tcMar>
              <w:top w:w="28" w:type="dxa"/>
              <w:left w:w="28" w:type="dxa"/>
              <w:bottom w:w="28" w:type="dxa"/>
              <w:right w:w="28" w:type="dxa"/>
            </w:tcMar>
          </w:tcPr>
          <w:p w14:paraId="18B0FFA5"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 xml:space="preserve">Maxillary </w:t>
            </w:r>
            <w:proofErr w:type="spellStart"/>
            <w:r w:rsidRPr="007D4D0B">
              <w:rPr>
                <w:rFonts w:ascii="Times New Roman" w:hAnsi="Times New Roman"/>
                <w:sz w:val="22"/>
                <w:szCs w:val="22"/>
              </w:rPr>
              <w:t>intercanine</w:t>
            </w:r>
            <w:proofErr w:type="spellEnd"/>
          </w:p>
        </w:tc>
        <w:tc>
          <w:tcPr>
            <w:tcW w:w="1575" w:type="dxa"/>
            <w:tcBorders>
              <w:top w:val="nil"/>
              <w:left w:val="nil"/>
              <w:bottom w:val="nil"/>
              <w:right w:val="nil"/>
            </w:tcBorders>
            <w:tcMar>
              <w:top w:w="28" w:type="dxa"/>
              <w:left w:w="28" w:type="dxa"/>
              <w:bottom w:w="28" w:type="dxa"/>
              <w:right w:w="28" w:type="dxa"/>
            </w:tcMar>
          </w:tcPr>
          <w:p w14:paraId="594C210D"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3.70 ± 0.53</w:t>
            </w:r>
          </w:p>
        </w:tc>
        <w:tc>
          <w:tcPr>
            <w:tcW w:w="1635" w:type="dxa"/>
            <w:tcBorders>
              <w:top w:val="nil"/>
              <w:left w:val="nil"/>
              <w:bottom w:val="nil"/>
              <w:right w:val="nil"/>
            </w:tcBorders>
            <w:tcMar>
              <w:top w:w="28" w:type="dxa"/>
              <w:left w:w="28" w:type="dxa"/>
              <w:bottom w:w="28" w:type="dxa"/>
              <w:right w:w="28" w:type="dxa"/>
            </w:tcMar>
          </w:tcPr>
          <w:p w14:paraId="589CCDD5"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3.93 ± 0.50</w:t>
            </w:r>
          </w:p>
        </w:tc>
        <w:tc>
          <w:tcPr>
            <w:tcW w:w="1635" w:type="dxa"/>
            <w:tcBorders>
              <w:top w:val="nil"/>
              <w:left w:val="nil"/>
              <w:bottom w:val="nil"/>
              <w:right w:val="nil"/>
            </w:tcBorders>
            <w:tcMar>
              <w:top w:w="28" w:type="dxa"/>
              <w:left w:w="28" w:type="dxa"/>
              <w:bottom w:w="28" w:type="dxa"/>
              <w:right w:w="28" w:type="dxa"/>
            </w:tcMar>
          </w:tcPr>
          <w:p w14:paraId="1291439E"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3.80 ± 0.36</w:t>
            </w:r>
          </w:p>
        </w:tc>
        <w:tc>
          <w:tcPr>
            <w:tcW w:w="1635" w:type="dxa"/>
            <w:tcBorders>
              <w:top w:val="nil"/>
              <w:left w:val="nil"/>
              <w:bottom w:val="nil"/>
              <w:right w:val="nil"/>
            </w:tcBorders>
            <w:tcMar>
              <w:top w:w="28" w:type="dxa"/>
              <w:left w:w="28" w:type="dxa"/>
              <w:bottom w:w="28" w:type="dxa"/>
              <w:right w:w="28" w:type="dxa"/>
            </w:tcMar>
          </w:tcPr>
          <w:p w14:paraId="69DBB2B4"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3.93 ± 0.48</w:t>
            </w:r>
          </w:p>
        </w:tc>
        <w:tc>
          <w:tcPr>
            <w:tcW w:w="615" w:type="dxa"/>
            <w:tcBorders>
              <w:top w:val="nil"/>
              <w:left w:val="nil"/>
              <w:bottom w:val="nil"/>
              <w:right w:val="nil"/>
            </w:tcBorders>
            <w:tcMar>
              <w:top w:w="28" w:type="dxa"/>
              <w:left w:w="28" w:type="dxa"/>
              <w:bottom w:w="28" w:type="dxa"/>
              <w:right w:w="28" w:type="dxa"/>
            </w:tcMar>
          </w:tcPr>
          <w:p w14:paraId="2C6386F9"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1.70</w:t>
            </w:r>
          </w:p>
        </w:tc>
        <w:tc>
          <w:tcPr>
            <w:tcW w:w="870" w:type="dxa"/>
            <w:tcBorders>
              <w:top w:val="nil"/>
              <w:left w:val="nil"/>
              <w:bottom w:val="nil"/>
              <w:right w:val="nil"/>
            </w:tcBorders>
            <w:tcMar>
              <w:top w:w="28" w:type="dxa"/>
              <w:left w:w="28" w:type="dxa"/>
              <w:bottom w:w="28" w:type="dxa"/>
              <w:right w:w="28" w:type="dxa"/>
            </w:tcMar>
          </w:tcPr>
          <w:p w14:paraId="013DC14C"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.17</w:t>
            </w:r>
          </w:p>
        </w:tc>
      </w:tr>
      <w:tr w:rsidR="00E43543" w:rsidRPr="007D4D0B" w14:paraId="00D2B378" w14:textId="77777777" w:rsidTr="006437BD">
        <w:trPr>
          <w:trHeight w:val="288"/>
        </w:trPr>
        <w:tc>
          <w:tcPr>
            <w:tcW w:w="2580" w:type="dxa"/>
            <w:tcBorders>
              <w:top w:val="nil"/>
              <w:left w:val="nil"/>
              <w:bottom w:val="single" w:sz="8" w:space="0" w:color="000000"/>
              <w:right w:val="nil"/>
            </w:tcBorders>
            <w:tcMar>
              <w:top w:w="28" w:type="dxa"/>
              <w:left w:w="28" w:type="dxa"/>
              <w:bottom w:w="28" w:type="dxa"/>
              <w:right w:w="28" w:type="dxa"/>
            </w:tcMar>
          </w:tcPr>
          <w:p w14:paraId="1656801E"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 xml:space="preserve">Mandibular </w:t>
            </w:r>
            <w:proofErr w:type="spellStart"/>
            <w:r w:rsidRPr="007D4D0B">
              <w:rPr>
                <w:rFonts w:ascii="Times New Roman" w:hAnsi="Times New Roman"/>
                <w:sz w:val="22"/>
                <w:szCs w:val="22"/>
              </w:rPr>
              <w:t>intercanine</w:t>
            </w:r>
            <w:proofErr w:type="spellEnd"/>
          </w:p>
        </w:tc>
        <w:tc>
          <w:tcPr>
            <w:tcW w:w="1575" w:type="dxa"/>
            <w:tcBorders>
              <w:top w:val="nil"/>
              <w:left w:val="nil"/>
              <w:bottom w:val="single" w:sz="8" w:space="0" w:color="000000"/>
              <w:right w:val="nil"/>
            </w:tcBorders>
            <w:tcMar>
              <w:top w:w="28" w:type="dxa"/>
              <w:left w:w="28" w:type="dxa"/>
              <w:bottom w:w="28" w:type="dxa"/>
              <w:right w:w="28" w:type="dxa"/>
            </w:tcMar>
          </w:tcPr>
          <w:p w14:paraId="0F7DB24D"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3.10 ± 0.42</w:t>
            </w:r>
          </w:p>
        </w:tc>
        <w:tc>
          <w:tcPr>
            <w:tcW w:w="1635" w:type="dxa"/>
            <w:tcBorders>
              <w:top w:val="nil"/>
              <w:left w:val="nil"/>
              <w:bottom w:val="single" w:sz="8" w:space="0" w:color="000000"/>
              <w:right w:val="nil"/>
            </w:tcBorders>
            <w:tcMar>
              <w:top w:w="28" w:type="dxa"/>
              <w:left w:w="28" w:type="dxa"/>
              <w:bottom w:w="28" w:type="dxa"/>
              <w:right w:w="28" w:type="dxa"/>
            </w:tcMar>
          </w:tcPr>
          <w:p w14:paraId="642DFEAD"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3.19 ± 0.45</w:t>
            </w:r>
          </w:p>
        </w:tc>
        <w:tc>
          <w:tcPr>
            <w:tcW w:w="1635" w:type="dxa"/>
            <w:tcBorders>
              <w:top w:val="nil"/>
              <w:left w:val="nil"/>
              <w:bottom w:val="single" w:sz="8" w:space="0" w:color="000000"/>
              <w:right w:val="nil"/>
            </w:tcBorders>
            <w:tcMar>
              <w:top w:w="28" w:type="dxa"/>
              <w:left w:w="28" w:type="dxa"/>
              <w:bottom w:w="28" w:type="dxa"/>
              <w:right w:w="28" w:type="dxa"/>
            </w:tcMar>
          </w:tcPr>
          <w:p w14:paraId="5390105B"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3.19 ± 0.50</w:t>
            </w:r>
          </w:p>
        </w:tc>
        <w:tc>
          <w:tcPr>
            <w:tcW w:w="1635" w:type="dxa"/>
            <w:tcBorders>
              <w:top w:val="nil"/>
              <w:left w:val="nil"/>
              <w:bottom w:val="single" w:sz="8" w:space="0" w:color="000000"/>
              <w:right w:val="nil"/>
            </w:tcBorders>
            <w:tcMar>
              <w:top w:w="28" w:type="dxa"/>
              <w:left w:w="28" w:type="dxa"/>
              <w:bottom w:w="28" w:type="dxa"/>
              <w:right w:w="28" w:type="dxa"/>
            </w:tcMar>
          </w:tcPr>
          <w:p w14:paraId="58D06745"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3.33 ± 0.61</w:t>
            </w:r>
          </w:p>
        </w:tc>
        <w:tc>
          <w:tcPr>
            <w:tcW w:w="615" w:type="dxa"/>
            <w:tcBorders>
              <w:top w:val="nil"/>
              <w:left w:val="nil"/>
              <w:bottom w:val="single" w:sz="8" w:space="0" w:color="000000"/>
              <w:right w:val="nil"/>
            </w:tcBorders>
            <w:tcMar>
              <w:top w:w="28" w:type="dxa"/>
              <w:left w:w="28" w:type="dxa"/>
              <w:bottom w:w="28" w:type="dxa"/>
              <w:right w:w="28" w:type="dxa"/>
            </w:tcMar>
          </w:tcPr>
          <w:p w14:paraId="4E16B7B4"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0.53</w:t>
            </w:r>
          </w:p>
        </w:tc>
        <w:tc>
          <w:tcPr>
            <w:tcW w:w="870" w:type="dxa"/>
            <w:tcBorders>
              <w:top w:val="nil"/>
              <w:left w:val="nil"/>
              <w:bottom w:val="single" w:sz="8" w:space="0" w:color="000000"/>
              <w:right w:val="nil"/>
            </w:tcBorders>
            <w:tcMar>
              <w:top w:w="28" w:type="dxa"/>
              <w:left w:w="28" w:type="dxa"/>
              <w:bottom w:w="28" w:type="dxa"/>
              <w:right w:w="28" w:type="dxa"/>
            </w:tcMar>
          </w:tcPr>
          <w:p w14:paraId="589254F9" w14:textId="77777777" w:rsidR="00E43543" w:rsidRPr="007D4D0B" w:rsidRDefault="00E43543" w:rsidP="006437BD">
            <w:pPr>
              <w:spacing w:line="480" w:lineRule="auto"/>
              <w:rPr>
                <w:rFonts w:ascii="Times New Roman" w:hAnsi="Times New Roman"/>
                <w:sz w:val="22"/>
                <w:szCs w:val="22"/>
              </w:rPr>
            </w:pPr>
            <w:r w:rsidRPr="007D4D0B">
              <w:rPr>
                <w:rFonts w:ascii="Times New Roman" w:hAnsi="Times New Roman"/>
                <w:sz w:val="22"/>
                <w:szCs w:val="22"/>
              </w:rPr>
              <w:t>.66</w:t>
            </w:r>
          </w:p>
        </w:tc>
      </w:tr>
    </w:tbl>
    <w:p w14:paraId="2E3BC25C" w14:textId="77777777" w:rsidR="00E43543" w:rsidRPr="007D4D0B" w:rsidRDefault="00E43543" w:rsidP="00E43543">
      <w:pPr>
        <w:spacing w:line="480" w:lineRule="auto"/>
        <w:rPr>
          <w:rFonts w:ascii="Times New Roman" w:hAnsi="Times New Roman"/>
          <w:b/>
          <w:sz w:val="22"/>
          <w:szCs w:val="22"/>
        </w:rPr>
      </w:pPr>
      <w:r w:rsidRPr="007D4D0B">
        <w:rPr>
          <w:rFonts w:ascii="Times New Roman" w:hAnsi="Times New Roman"/>
          <w:b/>
          <w:sz w:val="22"/>
          <w:szCs w:val="22"/>
        </w:rPr>
        <w:t>DISCUSSION</w:t>
      </w:r>
    </w:p>
    <w:p w14:paraId="5D67F75F" w14:textId="77777777" w:rsidR="005656C8" w:rsidRPr="007D4D0B" w:rsidRDefault="005656C8" w:rsidP="005656C8">
      <w:pPr>
        <w:jc w:val="both"/>
        <w:rPr>
          <w:rFonts w:ascii="Times New Roman" w:hAnsi="Times New Roman"/>
          <w:sz w:val="22"/>
          <w:szCs w:val="22"/>
        </w:rPr>
      </w:pPr>
      <w:r w:rsidRPr="007D4D0B">
        <w:rPr>
          <w:rFonts w:ascii="Times New Roman" w:hAnsi="Times New Roman"/>
          <w:sz w:val="22"/>
          <w:szCs w:val="22"/>
        </w:rPr>
        <w:t>The sociodemographic distribution of participants in this study is consistent with reports from other Nigerian orthodontic cohorts (</w:t>
      </w:r>
      <w:proofErr w:type="spellStart"/>
      <w:r w:rsidRPr="007D4D0B">
        <w:rPr>
          <w:rFonts w:ascii="Times New Roman" w:hAnsi="Times New Roman"/>
          <w:sz w:val="22"/>
          <w:szCs w:val="22"/>
        </w:rPr>
        <w:t>Onyeaso</w:t>
      </w:r>
      <w:proofErr w:type="spellEnd"/>
      <w:r w:rsidRPr="007D4D0B">
        <w:rPr>
          <w:rFonts w:ascii="Times New Roman" w:hAnsi="Times New Roman"/>
          <w:sz w:val="22"/>
          <w:szCs w:val="22"/>
        </w:rPr>
        <w:t xml:space="preserve"> et al., 2003; Umeh et al., 2021; Umeh et al., 2025). The predominance of adolescents, with over half of the sample aged 11;20 years, reflects the typical age at which orthodontic care is sought in Nigerian teaching hospitals; the smaller proportion of older adults similarly aligns with previous Nigerian studies, where orthodontic attendance declines after early adulthood (Umeh et al., 2021). The slight female predominance observed in this sample also mirrors findings from orthodontic populations in comparable settings (Umeh et al., 2025; </w:t>
      </w:r>
      <w:proofErr w:type="spellStart"/>
      <w:r w:rsidRPr="007D4D0B">
        <w:rPr>
          <w:rFonts w:ascii="Times New Roman" w:hAnsi="Times New Roman"/>
          <w:sz w:val="22"/>
          <w:szCs w:val="22"/>
        </w:rPr>
        <w:t>Ayenakin</w:t>
      </w:r>
      <w:proofErr w:type="spellEnd"/>
      <w:r w:rsidRPr="007D4D0B">
        <w:rPr>
          <w:rFonts w:ascii="Times New Roman" w:hAnsi="Times New Roman"/>
          <w:sz w:val="22"/>
          <w:szCs w:val="22"/>
        </w:rPr>
        <w:t xml:space="preserve"> et al., 2021; Etim et al., 2025; Park et al., 2017; </w:t>
      </w:r>
      <w:proofErr w:type="spellStart"/>
      <w:r w:rsidRPr="007D4D0B">
        <w:rPr>
          <w:rFonts w:ascii="Times New Roman" w:hAnsi="Times New Roman"/>
          <w:sz w:val="22"/>
          <w:szCs w:val="22"/>
        </w:rPr>
        <w:t>Alkadhi</w:t>
      </w:r>
      <w:proofErr w:type="spellEnd"/>
      <w:r w:rsidRPr="007D4D0B">
        <w:rPr>
          <w:rFonts w:ascii="Times New Roman" w:hAnsi="Times New Roman"/>
          <w:sz w:val="22"/>
          <w:szCs w:val="22"/>
        </w:rPr>
        <w:t xml:space="preserve"> et al., 2018).</w:t>
      </w:r>
    </w:p>
    <w:p w14:paraId="7889DB17" w14:textId="77777777" w:rsidR="005656C8" w:rsidRPr="007D4D0B" w:rsidRDefault="005656C8" w:rsidP="005656C8">
      <w:pPr>
        <w:jc w:val="both"/>
        <w:rPr>
          <w:rFonts w:ascii="Times New Roman" w:hAnsi="Times New Roman"/>
          <w:sz w:val="22"/>
          <w:szCs w:val="22"/>
        </w:rPr>
      </w:pPr>
      <w:r w:rsidRPr="007D4D0B">
        <w:rPr>
          <w:rFonts w:ascii="Times New Roman" w:hAnsi="Times New Roman"/>
          <w:sz w:val="22"/>
          <w:szCs w:val="22"/>
        </w:rPr>
        <w:t xml:space="preserve">The transverse maxillary dimensions observed in this study were comparable to those reported in Nigerian orthodontic populations by Aluko et al. (2009) and Ese et al. (2022), who documented relatively broad maxillary arches among adolescents and adults. However, these values exceeded those commonly reported in Caucasian and some Asian populations, reflecting ethnic variation in transverse maxillary development (Park et al., 2017; </w:t>
      </w:r>
      <w:proofErr w:type="spellStart"/>
      <w:r w:rsidRPr="007D4D0B">
        <w:rPr>
          <w:rFonts w:ascii="Times New Roman" w:hAnsi="Times New Roman"/>
          <w:sz w:val="22"/>
          <w:szCs w:val="22"/>
        </w:rPr>
        <w:t>Alkadhi</w:t>
      </w:r>
      <w:proofErr w:type="spellEnd"/>
      <w:r w:rsidRPr="007D4D0B">
        <w:rPr>
          <w:rFonts w:ascii="Times New Roman" w:hAnsi="Times New Roman"/>
          <w:sz w:val="22"/>
          <w:szCs w:val="22"/>
        </w:rPr>
        <w:t xml:space="preserve"> et al., 2018). Similarly, mandibular intermolar measurements in this study closely align with </w:t>
      </w:r>
      <w:r w:rsidRPr="007D4D0B">
        <w:rPr>
          <w:rFonts w:ascii="Times New Roman" w:hAnsi="Times New Roman"/>
          <w:sz w:val="22"/>
          <w:szCs w:val="22"/>
        </w:rPr>
        <w:lastRenderedPageBreak/>
        <w:t xml:space="preserve">ranges reported in previous Nigerian studies (Aluko et al., 2009; Ese et al., 2022), while exceeding documented values in non-African cohorts (Park et al., 2017; </w:t>
      </w:r>
      <w:proofErr w:type="spellStart"/>
      <w:r w:rsidRPr="007D4D0B">
        <w:rPr>
          <w:rFonts w:ascii="Times New Roman" w:hAnsi="Times New Roman"/>
          <w:sz w:val="22"/>
          <w:szCs w:val="22"/>
        </w:rPr>
        <w:t>Alkadhi</w:t>
      </w:r>
      <w:proofErr w:type="spellEnd"/>
      <w:r w:rsidRPr="007D4D0B">
        <w:rPr>
          <w:rFonts w:ascii="Times New Roman" w:hAnsi="Times New Roman"/>
          <w:sz w:val="22"/>
          <w:szCs w:val="22"/>
        </w:rPr>
        <w:t xml:space="preserve"> et al., 2018).</w:t>
      </w:r>
    </w:p>
    <w:p w14:paraId="5BA6EA8E" w14:textId="77777777" w:rsidR="005656C8" w:rsidRPr="007D4D0B" w:rsidRDefault="005656C8" w:rsidP="005656C8">
      <w:pPr>
        <w:jc w:val="both"/>
        <w:rPr>
          <w:rFonts w:ascii="Times New Roman" w:hAnsi="Times New Roman"/>
          <w:sz w:val="22"/>
          <w:szCs w:val="22"/>
        </w:rPr>
      </w:pPr>
      <w:r w:rsidRPr="007D4D0B">
        <w:rPr>
          <w:rFonts w:ascii="Times New Roman" w:hAnsi="Times New Roman"/>
          <w:sz w:val="22"/>
          <w:szCs w:val="22"/>
        </w:rPr>
        <w:t xml:space="preserve">Maxillary </w:t>
      </w:r>
      <w:proofErr w:type="spellStart"/>
      <w:r w:rsidRPr="007D4D0B">
        <w:rPr>
          <w:rFonts w:ascii="Times New Roman" w:hAnsi="Times New Roman"/>
          <w:sz w:val="22"/>
          <w:szCs w:val="22"/>
        </w:rPr>
        <w:t>intercanine</w:t>
      </w:r>
      <w:proofErr w:type="spellEnd"/>
      <w:r w:rsidRPr="007D4D0B">
        <w:rPr>
          <w:rFonts w:ascii="Times New Roman" w:hAnsi="Times New Roman"/>
          <w:sz w:val="22"/>
          <w:szCs w:val="22"/>
        </w:rPr>
        <w:t xml:space="preserve"> width was consistent with Nigerian reports describing a wider anterior maxillary arch compared with non-African populations (Park et al., 2017; </w:t>
      </w:r>
      <w:proofErr w:type="spellStart"/>
      <w:r w:rsidRPr="007D4D0B">
        <w:rPr>
          <w:rFonts w:ascii="Times New Roman" w:hAnsi="Times New Roman"/>
          <w:sz w:val="22"/>
          <w:szCs w:val="22"/>
        </w:rPr>
        <w:t>Alkadhi</w:t>
      </w:r>
      <w:proofErr w:type="spellEnd"/>
      <w:r w:rsidRPr="007D4D0B">
        <w:rPr>
          <w:rFonts w:ascii="Times New Roman" w:hAnsi="Times New Roman"/>
          <w:sz w:val="22"/>
          <w:szCs w:val="22"/>
        </w:rPr>
        <w:t xml:space="preserve"> et al., 2018; Aluko et al., 2009; Ese et al., 2022), whereas mandibular </w:t>
      </w:r>
      <w:proofErr w:type="spellStart"/>
      <w:r w:rsidRPr="007D4D0B">
        <w:rPr>
          <w:rFonts w:ascii="Times New Roman" w:hAnsi="Times New Roman"/>
          <w:sz w:val="22"/>
          <w:szCs w:val="22"/>
        </w:rPr>
        <w:t>intercanine</w:t>
      </w:r>
      <w:proofErr w:type="spellEnd"/>
      <w:r w:rsidRPr="007D4D0B">
        <w:rPr>
          <w:rFonts w:ascii="Times New Roman" w:hAnsi="Times New Roman"/>
          <w:sz w:val="22"/>
          <w:szCs w:val="22"/>
        </w:rPr>
        <w:t xml:space="preserve"> width was notably smaller, consistent with findings by </w:t>
      </w:r>
      <w:proofErr w:type="spellStart"/>
      <w:r w:rsidRPr="007D4D0B">
        <w:rPr>
          <w:rFonts w:ascii="Times New Roman" w:hAnsi="Times New Roman"/>
          <w:sz w:val="22"/>
          <w:szCs w:val="22"/>
        </w:rPr>
        <w:t>Onyeaso</w:t>
      </w:r>
      <w:proofErr w:type="spellEnd"/>
      <w:r w:rsidRPr="007D4D0B">
        <w:rPr>
          <w:rFonts w:ascii="Times New Roman" w:hAnsi="Times New Roman"/>
          <w:sz w:val="22"/>
          <w:szCs w:val="22"/>
        </w:rPr>
        <w:t xml:space="preserve"> et al. (2003) in Nigerian adolescents and young adults. Palatal length measurements were in keeping with values reported in African and Middle Eastern studies using dental casts and CBCT (Aluko et al., 2009; Ese et al., 2022; Al-Zubair, 2015; </w:t>
      </w:r>
      <w:proofErr w:type="spellStart"/>
      <w:r w:rsidRPr="007D4D0B">
        <w:rPr>
          <w:rFonts w:ascii="Times New Roman" w:hAnsi="Times New Roman"/>
          <w:sz w:val="22"/>
          <w:szCs w:val="22"/>
        </w:rPr>
        <w:t>Otuyemi</w:t>
      </w:r>
      <w:proofErr w:type="spellEnd"/>
      <w:r w:rsidRPr="007D4D0B">
        <w:rPr>
          <w:rFonts w:ascii="Times New Roman" w:hAnsi="Times New Roman"/>
          <w:sz w:val="22"/>
          <w:szCs w:val="22"/>
        </w:rPr>
        <w:t xml:space="preserve"> et al., 1996; </w:t>
      </w:r>
      <w:proofErr w:type="spellStart"/>
      <w:r w:rsidRPr="007D4D0B">
        <w:rPr>
          <w:rFonts w:ascii="Times New Roman" w:hAnsi="Times New Roman"/>
          <w:sz w:val="22"/>
          <w:szCs w:val="22"/>
        </w:rPr>
        <w:t>Kairalla</w:t>
      </w:r>
      <w:proofErr w:type="spellEnd"/>
      <w:r w:rsidRPr="007D4D0B">
        <w:rPr>
          <w:rFonts w:ascii="Times New Roman" w:hAnsi="Times New Roman"/>
          <w:sz w:val="22"/>
          <w:szCs w:val="22"/>
        </w:rPr>
        <w:t xml:space="preserve"> et al., 2022; Abdullah et al., 2025; Salem et al., 2025).</w:t>
      </w:r>
    </w:p>
    <w:p w14:paraId="2D812453" w14:textId="77777777" w:rsidR="005656C8" w:rsidRPr="007D4D0B" w:rsidRDefault="005656C8" w:rsidP="005656C8">
      <w:pPr>
        <w:jc w:val="both"/>
        <w:rPr>
          <w:rFonts w:ascii="Times New Roman" w:hAnsi="Times New Roman"/>
          <w:sz w:val="22"/>
          <w:szCs w:val="22"/>
        </w:rPr>
      </w:pPr>
      <w:r w:rsidRPr="007D4D0B">
        <w:rPr>
          <w:rFonts w:ascii="Times New Roman" w:hAnsi="Times New Roman"/>
          <w:sz w:val="22"/>
          <w:szCs w:val="22"/>
        </w:rPr>
        <w:t>It is well established that dental arch dimensions vary by ethnicity and sex (Aluko et al., 2009; Salem et al., 2025). In general, individuals of African descent tend to have broader arches than Caucasians (</w:t>
      </w:r>
      <w:proofErr w:type="spellStart"/>
      <w:r w:rsidRPr="007D4D0B">
        <w:rPr>
          <w:rFonts w:ascii="Times New Roman" w:hAnsi="Times New Roman"/>
          <w:sz w:val="22"/>
          <w:szCs w:val="22"/>
        </w:rPr>
        <w:t>Otuyemi</w:t>
      </w:r>
      <w:proofErr w:type="spellEnd"/>
      <w:r w:rsidRPr="007D4D0B">
        <w:rPr>
          <w:rFonts w:ascii="Times New Roman" w:hAnsi="Times New Roman"/>
          <w:sz w:val="22"/>
          <w:szCs w:val="22"/>
        </w:rPr>
        <w:t xml:space="preserve"> et al., 1996). Aluko et al. (2009) found that Nigerian adolescents exhibit larger transverse dimensions and continue to show increases in upper arch width into the late teens. Consistent with this, our analysis demonstrates that the maxillary arch is significantly wider than the mandibular arch in this Nigerian sample, with both intermolar and </w:t>
      </w:r>
      <w:proofErr w:type="spellStart"/>
      <w:r w:rsidRPr="007D4D0B">
        <w:rPr>
          <w:rFonts w:ascii="Times New Roman" w:hAnsi="Times New Roman"/>
          <w:sz w:val="22"/>
          <w:szCs w:val="22"/>
        </w:rPr>
        <w:t>intercanine</w:t>
      </w:r>
      <w:proofErr w:type="spellEnd"/>
      <w:r w:rsidRPr="007D4D0B">
        <w:rPr>
          <w:rFonts w:ascii="Times New Roman" w:hAnsi="Times New Roman"/>
          <w:sz w:val="22"/>
          <w:szCs w:val="22"/>
        </w:rPr>
        <w:t xml:space="preserve"> widths showing substantial and statistically significant differences (p &lt; .001). This pattern of a more expansive upper arch aligns with regional data; Ese et al. (2022) reported maxillary </w:t>
      </w:r>
      <w:proofErr w:type="spellStart"/>
      <w:r w:rsidRPr="007D4D0B">
        <w:rPr>
          <w:rFonts w:ascii="Times New Roman" w:hAnsi="Times New Roman"/>
          <w:sz w:val="22"/>
          <w:szCs w:val="22"/>
        </w:rPr>
        <w:t>intercanine</w:t>
      </w:r>
      <w:proofErr w:type="spellEnd"/>
      <w:r w:rsidRPr="007D4D0B">
        <w:rPr>
          <w:rFonts w:ascii="Times New Roman" w:hAnsi="Times New Roman"/>
          <w:sz w:val="22"/>
          <w:szCs w:val="22"/>
        </w:rPr>
        <w:t xml:space="preserve"> and intermolar widths in Niger Delta adults that far exceeded those of the lower arch.</w:t>
      </w:r>
    </w:p>
    <w:p w14:paraId="4E5B5CB8" w14:textId="77777777" w:rsidR="005656C8" w:rsidRPr="007D4D0B" w:rsidRDefault="005656C8" w:rsidP="005656C8">
      <w:pPr>
        <w:jc w:val="both"/>
        <w:rPr>
          <w:rFonts w:ascii="Times New Roman" w:hAnsi="Times New Roman"/>
          <w:sz w:val="22"/>
          <w:szCs w:val="22"/>
        </w:rPr>
      </w:pPr>
      <w:r w:rsidRPr="007D4D0B">
        <w:rPr>
          <w:rFonts w:ascii="Times New Roman" w:hAnsi="Times New Roman"/>
          <w:sz w:val="22"/>
          <w:szCs w:val="22"/>
        </w:rPr>
        <w:t>This maxillary predominance aligns with numerous reports across populations. Such disparity is expected because the maxillary arch laterally circumvents the mandibular arch, producing a broader upper dental arch. These consistent trends support the notion that an inherently wider maxillary base is a fundamental trait, likely attributable to craniofacial anatomic constraints and dental eruption patterns. Notably, certain malocclusion patterns can modify intermolar width relationships. In Angle&amp;#x</w:t>
      </w:r>
      <w:proofErr w:type="gramStart"/>
      <w:r w:rsidRPr="007D4D0B">
        <w:rPr>
          <w:rFonts w:ascii="Times New Roman" w:hAnsi="Times New Roman"/>
          <w:sz w:val="22"/>
          <w:szCs w:val="22"/>
        </w:rPr>
        <w:t>2019;s</w:t>
      </w:r>
      <w:proofErr w:type="gramEnd"/>
      <w:r w:rsidRPr="007D4D0B">
        <w:rPr>
          <w:rFonts w:ascii="Times New Roman" w:hAnsi="Times New Roman"/>
          <w:sz w:val="22"/>
          <w:szCs w:val="22"/>
        </w:rPr>
        <w:t xml:space="preserve"> Class III malocclusions, where the mandible is prognathic, the mandibular arch can be comparatively broad. Abdullah et al. (2025) reported that in a Malaysian sample, mandibular intermolar width was significantly greater in true Class III patients than in Class II, suggesting that a pronounced sagittal jaw discrepancy may invert or reduce the usual transverse difference.</w:t>
      </w:r>
    </w:p>
    <w:p w14:paraId="2200CD25" w14:textId="77777777" w:rsidR="005656C8" w:rsidRPr="007D4D0B" w:rsidRDefault="005656C8" w:rsidP="005656C8">
      <w:pPr>
        <w:jc w:val="both"/>
        <w:rPr>
          <w:rFonts w:ascii="Times New Roman" w:hAnsi="Times New Roman"/>
          <w:sz w:val="22"/>
          <w:szCs w:val="22"/>
        </w:rPr>
      </w:pPr>
      <w:r w:rsidRPr="007D4D0B">
        <w:rPr>
          <w:rFonts w:ascii="Times New Roman" w:hAnsi="Times New Roman"/>
          <w:sz w:val="22"/>
          <w:szCs w:val="22"/>
        </w:rPr>
        <w:t xml:space="preserve">The </w:t>
      </w:r>
      <w:proofErr w:type="spellStart"/>
      <w:r w:rsidRPr="007D4D0B">
        <w:rPr>
          <w:rFonts w:ascii="Times New Roman" w:hAnsi="Times New Roman"/>
          <w:sz w:val="22"/>
          <w:szCs w:val="22"/>
        </w:rPr>
        <w:t>intercanine</w:t>
      </w:r>
      <w:proofErr w:type="spellEnd"/>
      <w:r w:rsidRPr="007D4D0B">
        <w:rPr>
          <w:rFonts w:ascii="Times New Roman" w:hAnsi="Times New Roman"/>
          <w:sz w:val="22"/>
          <w:szCs w:val="22"/>
        </w:rPr>
        <w:t xml:space="preserve"> width differences observed in this study followed the expected pattern, with maxillary measurements significantly exceeding mandibular values (p &lt; .001). This disparity reflects the wider upper anterior arch curvature characteristic of normal occlusion. Growth studies have shown that this maxilla-to-mandible discrepancy in the canine region increases from roughly 4 mm in early childhood to approximately 7;8 mm by the late teenage years (Bishara et al., 1997; Salem et al., 2025; Adamek et al., 2015; Ahn et al., 2012; Mushtaq et al., 2014; Rehman et al., 2021). This is corroborated by regional literature, with Nigerian studies routinely noting relatively large arch widths and even reporting a high prevalence of spacing rather than crowding, implying ample transverse dimension (</w:t>
      </w:r>
      <w:proofErr w:type="spellStart"/>
      <w:r w:rsidRPr="007D4D0B">
        <w:rPr>
          <w:rFonts w:ascii="Times New Roman" w:hAnsi="Times New Roman"/>
          <w:sz w:val="22"/>
          <w:szCs w:val="22"/>
        </w:rPr>
        <w:t>Umeano</w:t>
      </w:r>
      <w:proofErr w:type="spellEnd"/>
      <w:r w:rsidRPr="007D4D0B">
        <w:rPr>
          <w:rFonts w:ascii="Times New Roman" w:hAnsi="Times New Roman"/>
          <w:sz w:val="22"/>
          <w:szCs w:val="22"/>
        </w:rPr>
        <w:t xml:space="preserve"> et al., 2022).</w:t>
      </w:r>
    </w:p>
    <w:p w14:paraId="13CAD72A" w14:textId="77777777" w:rsidR="005656C8" w:rsidRPr="007D4D0B" w:rsidRDefault="005656C8" w:rsidP="005656C8">
      <w:pPr>
        <w:jc w:val="both"/>
        <w:rPr>
          <w:rFonts w:ascii="Times New Roman" w:hAnsi="Times New Roman"/>
          <w:sz w:val="22"/>
          <w:szCs w:val="22"/>
        </w:rPr>
      </w:pPr>
      <w:r w:rsidRPr="007D4D0B">
        <w:rPr>
          <w:rFonts w:ascii="Times New Roman" w:hAnsi="Times New Roman"/>
          <w:sz w:val="22"/>
          <w:szCs w:val="22"/>
        </w:rPr>
        <w:t xml:space="preserve">Age group analysis revealed no statistically significant differences in any dimension across the four age strata (p &gt; .05). This finding is consistent with longitudinal data which showed that most transverse arch growth is complete by early adolescence (Ese et al., 2022). Previous documentation indicates that arch widths increase until roughly age 12;13 and then remain essentially stable (Ese et al., 2022; Adebanke et al., 2019; </w:t>
      </w:r>
      <w:proofErr w:type="spellStart"/>
      <w:r w:rsidRPr="007D4D0B">
        <w:rPr>
          <w:rFonts w:ascii="Times New Roman" w:hAnsi="Times New Roman"/>
          <w:sz w:val="22"/>
          <w:szCs w:val="22"/>
        </w:rPr>
        <w:t>Osiatuma</w:t>
      </w:r>
      <w:proofErr w:type="spellEnd"/>
      <w:r w:rsidRPr="007D4D0B">
        <w:rPr>
          <w:rFonts w:ascii="Times New Roman" w:hAnsi="Times New Roman"/>
          <w:sz w:val="22"/>
          <w:szCs w:val="22"/>
        </w:rPr>
        <w:t xml:space="preserve"> et al., 2017). These findings imply that by adolescence, arch transverse dimensions have largely </w:t>
      </w:r>
      <w:proofErr w:type="spellStart"/>
      <w:r w:rsidRPr="007D4D0B">
        <w:rPr>
          <w:rFonts w:ascii="Times New Roman" w:hAnsi="Times New Roman"/>
          <w:sz w:val="22"/>
          <w:szCs w:val="22"/>
        </w:rPr>
        <w:t>stabilised</w:t>
      </w:r>
      <w:proofErr w:type="spellEnd"/>
      <w:r w:rsidRPr="007D4D0B">
        <w:rPr>
          <w:rFonts w:ascii="Times New Roman" w:hAnsi="Times New Roman"/>
          <w:sz w:val="22"/>
          <w:szCs w:val="22"/>
        </w:rPr>
        <w:t xml:space="preserve"> in this population.</w:t>
      </w:r>
    </w:p>
    <w:p w14:paraId="67AD2E1D" w14:textId="77777777" w:rsidR="005656C8" w:rsidRPr="007D4D0B" w:rsidRDefault="005656C8" w:rsidP="005656C8">
      <w:pPr>
        <w:jc w:val="both"/>
        <w:rPr>
          <w:rFonts w:ascii="Times New Roman" w:hAnsi="Times New Roman"/>
          <w:sz w:val="22"/>
          <w:szCs w:val="22"/>
        </w:rPr>
      </w:pPr>
      <w:r w:rsidRPr="007D4D0B">
        <w:rPr>
          <w:rFonts w:ascii="Times New Roman" w:hAnsi="Times New Roman"/>
          <w:sz w:val="22"/>
          <w:szCs w:val="22"/>
        </w:rPr>
        <w:t xml:space="preserve">The palatal dimensions measured in this study revealed the palate to be relatively long compared to its height, with a statistically significant disparity (p &lt; .001) indicating a more </w:t>
      </w:r>
      <w:r w:rsidRPr="007D4D0B">
        <w:rPr>
          <w:rFonts w:ascii="Times New Roman" w:hAnsi="Times New Roman"/>
          <w:sz w:val="22"/>
          <w:szCs w:val="22"/>
        </w:rPr>
        <w:lastRenderedPageBreak/>
        <w:t>elongated palatal vault. This pattern is in keeping with other Nigerian data; for instance, in healthy Nigerian children, palatal height at the molar level has been reported as relatively shallow (</w:t>
      </w:r>
      <w:proofErr w:type="spellStart"/>
      <w:r w:rsidRPr="007D4D0B">
        <w:rPr>
          <w:rFonts w:ascii="Times New Roman" w:hAnsi="Times New Roman"/>
          <w:sz w:val="22"/>
          <w:szCs w:val="22"/>
        </w:rPr>
        <w:t>Osiatuma</w:t>
      </w:r>
      <w:proofErr w:type="spellEnd"/>
      <w:r w:rsidRPr="007D4D0B">
        <w:rPr>
          <w:rFonts w:ascii="Times New Roman" w:hAnsi="Times New Roman"/>
          <w:sz w:val="22"/>
          <w:szCs w:val="22"/>
        </w:rPr>
        <w:t xml:space="preserve"> et al., 2017). The relatively long and shallow palate is consistent with general West African craniofacial morphology, as demonstrated by </w:t>
      </w:r>
      <w:proofErr w:type="spellStart"/>
      <w:r w:rsidRPr="007D4D0B">
        <w:rPr>
          <w:rFonts w:ascii="Times New Roman" w:hAnsi="Times New Roman"/>
          <w:sz w:val="22"/>
          <w:szCs w:val="22"/>
        </w:rPr>
        <w:t>Ukoha</w:t>
      </w:r>
      <w:proofErr w:type="spellEnd"/>
      <w:r w:rsidRPr="007D4D0B">
        <w:rPr>
          <w:rFonts w:ascii="Times New Roman" w:hAnsi="Times New Roman"/>
          <w:sz w:val="22"/>
          <w:szCs w:val="22"/>
        </w:rPr>
        <w:t xml:space="preserve"> et al. (2022), who reported similar proportional relationships in Southern Nigerian dry skulls.</w:t>
      </w:r>
    </w:p>
    <w:p w14:paraId="602AF6A2" w14:textId="12D20FBF" w:rsidR="00E43543" w:rsidRPr="007D4D0B" w:rsidRDefault="005656C8" w:rsidP="005656C8">
      <w:pPr>
        <w:jc w:val="both"/>
        <w:rPr>
          <w:rFonts w:ascii="Times New Roman" w:hAnsi="Times New Roman"/>
          <w:sz w:val="22"/>
          <w:szCs w:val="22"/>
        </w:rPr>
      </w:pPr>
      <w:r w:rsidRPr="007D4D0B">
        <w:rPr>
          <w:rFonts w:ascii="Times New Roman" w:hAnsi="Times New Roman"/>
          <w:sz w:val="22"/>
          <w:szCs w:val="22"/>
        </w:rPr>
        <w:t xml:space="preserve">Regarding sexual dimorphism, males tended to have marginally larger arches overall, but mandibular intermolar width was the only dimension demonstrating a statistically significant gender difference (p = .03), with males exhibiting greater values than females. All other transverse measures showed higher male means without reaching statistical significance. This limited sexual dimorphism is congruent with regional reports that found Nigerian males having larger arch widths than females across all segments (Ese et al., 2022), and a recent Ugandan study likewise reported significantly smaller maxillary dimensions in females (Okori et al., 2015). The overall trend of slightly wider male arches likely reflects sex differences in overall craniofacial size, but its modest magnitude suggests that orthodontic norms in Nigeria should account for sex only marginally. </w:t>
      </w:r>
      <w:r w:rsidR="00E43543" w:rsidRPr="007D4D0B">
        <w:rPr>
          <w:rFonts w:ascii="Times New Roman" w:hAnsi="Times New Roman"/>
          <w:sz w:val="22"/>
          <w:szCs w:val="22"/>
        </w:rPr>
        <w:t xml:space="preserve">Importantly, multivariate analysis confirmed that gender did not have an overarching effect on the entire set of arch variables, indicating that male and female arch forms are broadly comparable in this population; a finding consistent with African anthropometric data (Aluko et al., 2009; Ese et al., 2022; Adebanke et al., 2019; </w:t>
      </w:r>
      <w:proofErr w:type="spellStart"/>
      <w:r w:rsidR="00E43543" w:rsidRPr="007D4D0B">
        <w:rPr>
          <w:rFonts w:ascii="Times New Roman" w:hAnsi="Times New Roman"/>
          <w:sz w:val="22"/>
          <w:szCs w:val="22"/>
        </w:rPr>
        <w:t>Osiatuma</w:t>
      </w:r>
      <w:proofErr w:type="spellEnd"/>
      <w:r w:rsidR="00E43543" w:rsidRPr="007D4D0B">
        <w:rPr>
          <w:rFonts w:ascii="Times New Roman" w:hAnsi="Times New Roman"/>
          <w:sz w:val="22"/>
          <w:szCs w:val="22"/>
        </w:rPr>
        <w:t xml:space="preserve"> et al., </w:t>
      </w:r>
      <w:proofErr w:type="gramStart"/>
      <w:r w:rsidR="00E43543" w:rsidRPr="007D4D0B">
        <w:rPr>
          <w:rFonts w:ascii="Times New Roman" w:hAnsi="Times New Roman"/>
          <w:sz w:val="22"/>
          <w:szCs w:val="22"/>
        </w:rPr>
        <w:t xml:space="preserve">2017;  </w:t>
      </w:r>
      <w:proofErr w:type="spellStart"/>
      <w:r w:rsidR="00E43543" w:rsidRPr="007D4D0B">
        <w:rPr>
          <w:rFonts w:ascii="Times New Roman" w:hAnsi="Times New Roman"/>
          <w:sz w:val="22"/>
          <w:szCs w:val="22"/>
        </w:rPr>
        <w:t>Adeyi</w:t>
      </w:r>
      <w:proofErr w:type="spellEnd"/>
      <w:proofErr w:type="gramEnd"/>
      <w:r w:rsidR="00E43543" w:rsidRPr="007D4D0B">
        <w:rPr>
          <w:rFonts w:ascii="Times New Roman" w:hAnsi="Times New Roman"/>
          <w:sz w:val="22"/>
          <w:szCs w:val="22"/>
        </w:rPr>
        <w:t xml:space="preserve"> et al., 2020, Patel et al., 2015).</w:t>
      </w:r>
    </w:p>
    <w:p w14:paraId="6B449FE2" w14:textId="77777777" w:rsidR="00790ADA" w:rsidRPr="007D4D0B" w:rsidRDefault="00790ADA" w:rsidP="00441B6F">
      <w:pPr>
        <w:pStyle w:val="Head1"/>
        <w:spacing w:after="0"/>
        <w:jc w:val="both"/>
        <w:rPr>
          <w:rFonts w:ascii="Times New Roman" w:hAnsi="Times New Roman"/>
        </w:rPr>
      </w:pPr>
    </w:p>
    <w:p w14:paraId="42B684AE" w14:textId="77777777" w:rsidR="00E053D0" w:rsidRPr="007D4D0B" w:rsidRDefault="00E053D0" w:rsidP="00E43543">
      <w:pPr>
        <w:pStyle w:val="Body"/>
        <w:spacing w:after="0"/>
        <w:rPr>
          <w:rFonts w:ascii="Times New Roman" w:hAnsi="Times New Roman"/>
        </w:rPr>
      </w:pPr>
    </w:p>
    <w:p w14:paraId="6F0CF07C" w14:textId="77777777" w:rsidR="00E053D0" w:rsidRPr="007D4D0B" w:rsidRDefault="00E053D0" w:rsidP="00441B6F">
      <w:pPr>
        <w:pStyle w:val="Body"/>
        <w:spacing w:after="0"/>
        <w:rPr>
          <w:rFonts w:ascii="Times New Roman" w:hAnsi="Times New Roman"/>
        </w:rPr>
      </w:pPr>
    </w:p>
    <w:p w14:paraId="5E72A6C0" w14:textId="77777777" w:rsidR="00231920" w:rsidRPr="007D4D0B" w:rsidRDefault="00863BD3" w:rsidP="00441B6F">
      <w:pPr>
        <w:pStyle w:val="Body"/>
        <w:spacing w:after="0"/>
        <w:rPr>
          <w:rFonts w:ascii="Times New Roman" w:hAnsi="Times New Roman"/>
        </w:rPr>
      </w:pPr>
      <w:r w:rsidRPr="007D4D0B">
        <w:rPr>
          <w:rFonts w:ascii="Times New Roman" w:hAnsi="Times New Roman"/>
        </w:rPr>
        <w:t xml:space="preserve"> </w:t>
      </w:r>
    </w:p>
    <w:p w14:paraId="6F740E8E" w14:textId="77777777" w:rsidR="00790ADA" w:rsidRPr="007D4D0B" w:rsidRDefault="00790ADA" w:rsidP="00441B6F">
      <w:pPr>
        <w:pStyle w:val="Body"/>
        <w:spacing w:after="0"/>
        <w:rPr>
          <w:rFonts w:ascii="Times New Roman" w:hAnsi="Times New Roman"/>
        </w:rPr>
      </w:pPr>
    </w:p>
    <w:p w14:paraId="525F52A0" w14:textId="77777777" w:rsidR="00B01FCD" w:rsidRPr="007D4D0B" w:rsidRDefault="00000F8F" w:rsidP="00441B6F">
      <w:pPr>
        <w:pStyle w:val="ConcHead"/>
        <w:spacing w:after="0"/>
        <w:jc w:val="both"/>
        <w:rPr>
          <w:rFonts w:ascii="Times New Roman" w:hAnsi="Times New Roman"/>
        </w:rPr>
      </w:pPr>
      <w:r w:rsidRPr="007D4D0B">
        <w:rPr>
          <w:rFonts w:ascii="Times New Roman" w:hAnsi="Times New Roman"/>
        </w:rPr>
        <w:t xml:space="preserve">4. </w:t>
      </w:r>
      <w:r w:rsidR="00B01FCD" w:rsidRPr="007D4D0B">
        <w:rPr>
          <w:rFonts w:ascii="Times New Roman" w:hAnsi="Times New Roman"/>
        </w:rPr>
        <w:t>Conclusion</w:t>
      </w:r>
    </w:p>
    <w:p w14:paraId="2DF1937A" w14:textId="77777777" w:rsidR="00E43543" w:rsidRPr="007D4D0B" w:rsidRDefault="00E43543" w:rsidP="00E43543">
      <w:pPr>
        <w:jc w:val="both"/>
        <w:rPr>
          <w:rFonts w:ascii="Times New Roman" w:hAnsi="Times New Roman"/>
          <w:sz w:val="22"/>
          <w:szCs w:val="22"/>
        </w:rPr>
      </w:pPr>
      <w:r w:rsidRPr="007D4D0B">
        <w:rPr>
          <w:rFonts w:ascii="Times New Roman" w:hAnsi="Times New Roman"/>
          <w:sz w:val="22"/>
          <w:szCs w:val="22"/>
        </w:rPr>
        <w:t xml:space="preserve">This study provides quantitative baseline data on dental arch width dimensions among orthodontic patients attending a Nigerian teaching hospital. The findings demonstrate that maxillary arch widths, both intermolar and </w:t>
      </w:r>
      <w:proofErr w:type="spellStart"/>
      <w:r w:rsidRPr="007D4D0B">
        <w:rPr>
          <w:rFonts w:ascii="Times New Roman" w:hAnsi="Times New Roman"/>
          <w:sz w:val="22"/>
          <w:szCs w:val="22"/>
        </w:rPr>
        <w:t>intercanine</w:t>
      </w:r>
      <w:proofErr w:type="spellEnd"/>
      <w:r w:rsidRPr="007D4D0B">
        <w:rPr>
          <w:rFonts w:ascii="Times New Roman" w:hAnsi="Times New Roman"/>
          <w:sz w:val="22"/>
          <w:szCs w:val="22"/>
        </w:rPr>
        <w:t xml:space="preserve">, are significantly greater than corresponding mandibular widths, confirming a characteristic transverse maxillo-mandibular relationship in this population. Overall, these findings underscore the existence of population-specific dental arch characteristics among Nigerian orthodontic patients and support the need for locally derived normative data. Incorporating such reference values into clinical practice may enhance diagnostic accuracy, guide </w:t>
      </w:r>
      <w:proofErr w:type="spellStart"/>
      <w:r w:rsidRPr="007D4D0B">
        <w:rPr>
          <w:rFonts w:ascii="Times New Roman" w:hAnsi="Times New Roman"/>
          <w:sz w:val="22"/>
          <w:szCs w:val="22"/>
        </w:rPr>
        <w:t>individualised</w:t>
      </w:r>
      <w:proofErr w:type="spellEnd"/>
      <w:r w:rsidRPr="007D4D0B">
        <w:rPr>
          <w:rFonts w:ascii="Times New Roman" w:hAnsi="Times New Roman"/>
          <w:sz w:val="22"/>
          <w:szCs w:val="22"/>
        </w:rPr>
        <w:t xml:space="preserve"> treatment planning, and improve long-term orthodontic outcomes. </w:t>
      </w:r>
    </w:p>
    <w:p w14:paraId="27B37082" w14:textId="77777777" w:rsidR="002B0102" w:rsidRPr="007D4D0B" w:rsidRDefault="002B0102" w:rsidP="002B0102">
      <w:pPr>
        <w:jc w:val="both"/>
        <w:rPr>
          <w:rFonts w:ascii="Times New Roman" w:hAnsi="Times New Roman"/>
          <w:b/>
          <w:bCs/>
          <w:sz w:val="22"/>
          <w:szCs w:val="22"/>
        </w:rPr>
      </w:pPr>
      <w:r w:rsidRPr="007D4D0B">
        <w:rPr>
          <w:rFonts w:ascii="Times New Roman" w:hAnsi="Times New Roman"/>
          <w:b/>
          <w:bCs/>
          <w:sz w:val="22"/>
          <w:szCs w:val="22"/>
        </w:rPr>
        <w:t>Recommendations</w:t>
      </w:r>
    </w:p>
    <w:p w14:paraId="29F0061E" w14:textId="77777777" w:rsidR="002B0102" w:rsidRPr="007D4D0B" w:rsidRDefault="002B0102" w:rsidP="002B0102">
      <w:pPr>
        <w:numPr>
          <w:ilvl w:val="0"/>
          <w:numId w:val="31"/>
        </w:numPr>
        <w:spacing w:after="160" w:line="278" w:lineRule="auto"/>
        <w:jc w:val="both"/>
        <w:rPr>
          <w:rFonts w:ascii="Times New Roman" w:hAnsi="Times New Roman"/>
          <w:sz w:val="22"/>
          <w:szCs w:val="22"/>
        </w:rPr>
      </w:pPr>
      <w:r w:rsidRPr="007D4D0B">
        <w:rPr>
          <w:rFonts w:ascii="Times New Roman" w:hAnsi="Times New Roman"/>
          <w:sz w:val="22"/>
          <w:szCs w:val="22"/>
        </w:rPr>
        <w:t>Use of Local Reference Norms: Orthodontic assessments in Nigerian patients should incorporate region-specific normative data rather than relying solely on international standards, to enhance diagnostic accuracy and treatment customization.</w:t>
      </w:r>
    </w:p>
    <w:p w14:paraId="78276D09" w14:textId="77777777" w:rsidR="002B0102" w:rsidRPr="007D4D0B" w:rsidRDefault="002B0102" w:rsidP="002B0102">
      <w:pPr>
        <w:numPr>
          <w:ilvl w:val="0"/>
          <w:numId w:val="31"/>
        </w:numPr>
        <w:spacing w:after="160" w:line="278" w:lineRule="auto"/>
        <w:jc w:val="both"/>
        <w:rPr>
          <w:rFonts w:ascii="Times New Roman" w:hAnsi="Times New Roman"/>
          <w:sz w:val="22"/>
          <w:szCs w:val="22"/>
        </w:rPr>
      </w:pPr>
      <w:r w:rsidRPr="007D4D0B">
        <w:rPr>
          <w:rFonts w:ascii="Times New Roman" w:hAnsi="Times New Roman"/>
          <w:sz w:val="22"/>
          <w:szCs w:val="22"/>
        </w:rPr>
        <w:t xml:space="preserve">Early Orthodontic Screening: Given that arch width changes are mostly complete by mid-adolescence, early screening and interceptive treatment are recommended to </w:t>
      </w:r>
      <w:proofErr w:type="spellStart"/>
      <w:r w:rsidRPr="007D4D0B">
        <w:rPr>
          <w:rFonts w:ascii="Times New Roman" w:hAnsi="Times New Roman"/>
          <w:sz w:val="22"/>
          <w:szCs w:val="22"/>
        </w:rPr>
        <w:t>capitalise</w:t>
      </w:r>
      <w:proofErr w:type="spellEnd"/>
      <w:r w:rsidRPr="007D4D0B">
        <w:rPr>
          <w:rFonts w:ascii="Times New Roman" w:hAnsi="Times New Roman"/>
          <w:sz w:val="22"/>
          <w:szCs w:val="22"/>
        </w:rPr>
        <w:t xml:space="preserve"> on remaining growth potential and prevent long-term complications.</w:t>
      </w:r>
    </w:p>
    <w:p w14:paraId="1B8EDEB1" w14:textId="77777777" w:rsidR="002B0102" w:rsidRPr="007D4D0B" w:rsidRDefault="002B0102" w:rsidP="002B0102">
      <w:pPr>
        <w:numPr>
          <w:ilvl w:val="0"/>
          <w:numId w:val="31"/>
        </w:numPr>
        <w:spacing w:after="160" w:line="278" w:lineRule="auto"/>
        <w:jc w:val="both"/>
        <w:rPr>
          <w:rFonts w:ascii="Times New Roman" w:hAnsi="Times New Roman"/>
          <w:sz w:val="22"/>
          <w:szCs w:val="22"/>
        </w:rPr>
      </w:pPr>
      <w:r w:rsidRPr="007D4D0B">
        <w:rPr>
          <w:rFonts w:ascii="Times New Roman" w:hAnsi="Times New Roman"/>
          <w:sz w:val="22"/>
          <w:szCs w:val="22"/>
        </w:rPr>
        <w:t>Three-dimensional Evaluation: Future studies should adopt 3D imaging (e.g., CBCT) to comprehensively assess vertical, transverse, and sagittal arch relationships, improving precision in diagnosis and expanding understanding of palatal morphology.</w:t>
      </w:r>
    </w:p>
    <w:p w14:paraId="5301FFD8" w14:textId="77777777" w:rsidR="002B0102" w:rsidRPr="007D4D0B" w:rsidRDefault="002B0102" w:rsidP="002B0102">
      <w:pPr>
        <w:jc w:val="both"/>
        <w:rPr>
          <w:rFonts w:ascii="Times New Roman" w:hAnsi="Times New Roman"/>
          <w:b/>
          <w:sz w:val="22"/>
          <w:szCs w:val="22"/>
        </w:rPr>
      </w:pPr>
      <w:r w:rsidRPr="007D4D0B">
        <w:rPr>
          <w:rFonts w:ascii="Times New Roman" w:hAnsi="Times New Roman"/>
          <w:b/>
          <w:sz w:val="22"/>
          <w:szCs w:val="22"/>
        </w:rPr>
        <w:t>Limitation of the study</w:t>
      </w:r>
    </w:p>
    <w:p w14:paraId="0EC0EF9E" w14:textId="77777777" w:rsidR="002B0102" w:rsidRPr="007D4D0B" w:rsidRDefault="002B0102" w:rsidP="002B0102">
      <w:pPr>
        <w:jc w:val="both"/>
        <w:rPr>
          <w:rFonts w:ascii="Times New Roman" w:hAnsi="Times New Roman"/>
          <w:sz w:val="22"/>
          <w:szCs w:val="22"/>
        </w:rPr>
      </w:pPr>
      <w:r w:rsidRPr="007D4D0B">
        <w:rPr>
          <w:rFonts w:ascii="Times New Roman" w:hAnsi="Times New Roman"/>
          <w:sz w:val="22"/>
          <w:szCs w:val="22"/>
        </w:rPr>
        <w:lastRenderedPageBreak/>
        <w:t xml:space="preserve">1 Small sample size and one </w:t>
      </w:r>
      <w:proofErr w:type="spellStart"/>
      <w:r w:rsidRPr="007D4D0B">
        <w:rPr>
          <w:rFonts w:ascii="Times New Roman" w:hAnsi="Times New Roman"/>
          <w:sz w:val="22"/>
          <w:szCs w:val="22"/>
        </w:rPr>
        <w:t>centre</w:t>
      </w:r>
      <w:proofErr w:type="spellEnd"/>
      <w:r w:rsidRPr="007D4D0B">
        <w:rPr>
          <w:rFonts w:ascii="Times New Roman" w:hAnsi="Times New Roman"/>
          <w:sz w:val="22"/>
          <w:szCs w:val="22"/>
        </w:rPr>
        <w:t xml:space="preserve"> study, which could affect the </w:t>
      </w:r>
      <w:proofErr w:type="spellStart"/>
      <w:r w:rsidRPr="007D4D0B">
        <w:rPr>
          <w:rFonts w:ascii="Times New Roman" w:hAnsi="Times New Roman"/>
          <w:sz w:val="22"/>
          <w:szCs w:val="22"/>
        </w:rPr>
        <w:t>generalisation</w:t>
      </w:r>
      <w:proofErr w:type="spellEnd"/>
      <w:r w:rsidRPr="007D4D0B">
        <w:rPr>
          <w:rFonts w:ascii="Times New Roman" w:hAnsi="Times New Roman"/>
          <w:sz w:val="22"/>
          <w:szCs w:val="22"/>
        </w:rPr>
        <w:t xml:space="preserve"> of the findings. </w:t>
      </w:r>
    </w:p>
    <w:p w14:paraId="1AB53454" w14:textId="77777777" w:rsidR="00790ADA" w:rsidRPr="007D4D0B" w:rsidRDefault="00790ADA" w:rsidP="00441B6F">
      <w:pPr>
        <w:pStyle w:val="ConcHead"/>
        <w:spacing w:after="0"/>
        <w:jc w:val="both"/>
        <w:rPr>
          <w:rFonts w:ascii="Times New Roman" w:hAnsi="Times New Roman"/>
        </w:rPr>
      </w:pPr>
    </w:p>
    <w:p w14:paraId="34A52946" w14:textId="77777777" w:rsidR="00B01FCD" w:rsidRPr="007D4D0B" w:rsidRDefault="00B01FCD" w:rsidP="00441B6F">
      <w:pPr>
        <w:pStyle w:val="Body"/>
        <w:spacing w:after="0"/>
        <w:rPr>
          <w:rFonts w:ascii="Times New Roman" w:hAnsi="Times New Roman"/>
        </w:rPr>
      </w:pPr>
    </w:p>
    <w:p w14:paraId="3F2D2318" w14:textId="77777777" w:rsidR="00790ADA" w:rsidRPr="007D4D0B" w:rsidRDefault="00790ADA" w:rsidP="00441B6F">
      <w:pPr>
        <w:pStyle w:val="Body"/>
        <w:spacing w:after="0"/>
        <w:rPr>
          <w:rFonts w:ascii="Times New Roman" w:hAnsi="Times New Roman"/>
        </w:rPr>
      </w:pPr>
    </w:p>
    <w:p w14:paraId="082D9C66" w14:textId="77777777" w:rsidR="00315186" w:rsidRPr="007D4D0B" w:rsidRDefault="00315186" w:rsidP="00441B6F">
      <w:pPr>
        <w:rPr>
          <w:rFonts w:ascii="Times New Roman" w:hAnsi="Times New Roman"/>
        </w:rPr>
      </w:pPr>
    </w:p>
    <w:p w14:paraId="58D5A6F5" w14:textId="77777777" w:rsidR="00315186" w:rsidRPr="007D4D0B" w:rsidRDefault="00315186" w:rsidP="00441B6F">
      <w:pPr>
        <w:rPr>
          <w:rFonts w:ascii="Times New Roman" w:hAnsi="Times New Roman"/>
        </w:rPr>
      </w:pPr>
    </w:p>
    <w:p w14:paraId="2CFDFF59" w14:textId="77777777" w:rsidR="002B685A" w:rsidRPr="007D4D0B" w:rsidRDefault="002B685A" w:rsidP="00441B6F">
      <w:pPr>
        <w:pStyle w:val="ReferHead"/>
        <w:spacing w:after="0"/>
        <w:jc w:val="both"/>
        <w:rPr>
          <w:rFonts w:ascii="Times New Roman" w:hAnsi="Times New Roman"/>
          <w:b w:val="0"/>
          <w:caps w:val="0"/>
          <w:sz w:val="20"/>
        </w:rPr>
      </w:pPr>
    </w:p>
    <w:p w14:paraId="45C2CAD6" w14:textId="77777777" w:rsidR="00EC4A98" w:rsidRPr="00EC4A98" w:rsidRDefault="00EC4A98" w:rsidP="00EC4A98">
      <w:pPr>
        <w:pStyle w:val="ReferHead"/>
        <w:jc w:val="both"/>
        <w:rPr>
          <w:rFonts w:ascii="Times New Roman" w:hAnsi="Times New Roman"/>
          <w:bCs/>
        </w:rPr>
      </w:pPr>
      <w:r w:rsidRPr="00EC4A98">
        <w:rPr>
          <w:rFonts w:ascii="Times New Roman" w:hAnsi="Times New Roman"/>
          <w:bCs/>
        </w:rPr>
        <w:t xml:space="preserve">Consent </w:t>
      </w:r>
    </w:p>
    <w:p w14:paraId="6FCBD7A3" w14:textId="2665B6EC" w:rsidR="002B685A" w:rsidRDefault="00D57608" w:rsidP="00EC4A98">
      <w:pPr>
        <w:pStyle w:val="ReferHead"/>
        <w:spacing w:after="0"/>
        <w:jc w:val="both"/>
        <w:rPr>
          <w:rFonts w:ascii="Times New Roman" w:hAnsi="Times New Roman"/>
          <w:bCs/>
        </w:rPr>
      </w:pPr>
      <w:r w:rsidRPr="00EC4A98">
        <w:rPr>
          <w:rFonts w:ascii="Times New Roman" w:hAnsi="Times New Roman"/>
          <w:bCs/>
          <w:caps w:val="0"/>
        </w:rPr>
        <w:t xml:space="preserve">As per international standards or university standards, participants’ written consent </w:t>
      </w:r>
      <w:r>
        <w:rPr>
          <w:rFonts w:ascii="Times New Roman" w:hAnsi="Times New Roman"/>
          <w:bCs/>
          <w:caps w:val="0"/>
        </w:rPr>
        <w:t xml:space="preserve">and </w:t>
      </w:r>
      <w:r w:rsidRPr="00D57608">
        <w:rPr>
          <w:rFonts w:ascii="Times New Roman" w:hAnsi="Times New Roman"/>
          <w:bCs/>
          <w:caps w:val="0"/>
        </w:rPr>
        <w:t xml:space="preserve">parental written consent </w:t>
      </w:r>
      <w:r w:rsidRPr="00EC4A98">
        <w:rPr>
          <w:rFonts w:ascii="Times New Roman" w:hAnsi="Times New Roman"/>
          <w:bCs/>
          <w:caps w:val="0"/>
        </w:rPr>
        <w:t>has been collected and preserved by the author(s).</w:t>
      </w:r>
    </w:p>
    <w:p w14:paraId="3A55E1E8" w14:textId="1BAD918D" w:rsidR="003E6437" w:rsidRDefault="003E6437" w:rsidP="00441B6F">
      <w:pPr>
        <w:pStyle w:val="ReferHead"/>
        <w:spacing w:after="0"/>
        <w:jc w:val="both"/>
        <w:rPr>
          <w:rFonts w:ascii="Times New Roman" w:hAnsi="Times New Roman"/>
          <w:bCs/>
        </w:rPr>
      </w:pPr>
    </w:p>
    <w:p w14:paraId="6CB599BF" w14:textId="0DD83830" w:rsidR="00D57608" w:rsidRDefault="00D57608" w:rsidP="00441B6F">
      <w:pPr>
        <w:pStyle w:val="ReferHead"/>
        <w:spacing w:after="0"/>
        <w:jc w:val="both"/>
        <w:rPr>
          <w:rFonts w:ascii="Times New Roman" w:hAnsi="Times New Roman"/>
          <w:bCs/>
        </w:rPr>
      </w:pPr>
    </w:p>
    <w:p w14:paraId="6A8C50FE" w14:textId="77777777" w:rsidR="00D57608" w:rsidRPr="007D4D0B" w:rsidRDefault="00D57608" w:rsidP="00D57608">
      <w:pPr>
        <w:pStyle w:val="ReferHead"/>
        <w:spacing w:after="0"/>
        <w:jc w:val="both"/>
        <w:rPr>
          <w:rFonts w:ascii="Times New Roman" w:hAnsi="Times New Roman"/>
          <w:bCs/>
        </w:rPr>
      </w:pPr>
    </w:p>
    <w:p w14:paraId="7A1C8052" w14:textId="0271815F" w:rsidR="005C784C" w:rsidRPr="007D4D0B" w:rsidRDefault="00D57608" w:rsidP="00441B6F">
      <w:pPr>
        <w:pStyle w:val="ReferHead"/>
        <w:spacing w:after="0"/>
        <w:jc w:val="both"/>
        <w:rPr>
          <w:rFonts w:ascii="Times New Roman" w:hAnsi="Times New Roman"/>
          <w:szCs w:val="22"/>
        </w:rPr>
      </w:pPr>
      <w:r w:rsidRPr="007D4D0B">
        <w:rPr>
          <w:rFonts w:ascii="Times New Roman" w:hAnsi="Times New Roman"/>
          <w:bCs/>
          <w:caps w:val="0"/>
        </w:rPr>
        <w:t>Ethical approval:</w:t>
      </w:r>
      <w:r w:rsidRPr="007D4D0B">
        <w:rPr>
          <w:rFonts w:ascii="Times New Roman" w:hAnsi="Times New Roman"/>
          <w:caps w:val="0"/>
          <w:szCs w:val="22"/>
        </w:rPr>
        <w:t xml:space="preserve"> was obtained prior to data collection from the ethics and research committee of the university of port </w:t>
      </w:r>
      <w:proofErr w:type="spellStart"/>
      <w:r w:rsidRPr="007D4D0B">
        <w:rPr>
          <w:rFonts w:ascii="Times New Roman" w:hAnsi="Times New Roman"/>
          <w:caps w:val="0"/>
          <w:szCs w:val="22"/>
        </w:rPr>
        <w:t>harcourt</w:t>
      </w:r>
      <w:proofErr w:type="spellEnd"/>
      <w:r w:rsidRPr="007D4D0B">
        <w:rPr>
          <w:rFonts w:ascii="Times New Roman" w:hAnsi="Times New Roman"/>
          <w:caps w:val="0"/>
          <w:szCs w:val="22"/>
        </w:rPr>
        <w:t xml:space="preserve"> teaching hospital. (</w:t>
      </w:r>
      <w:proofErr w:type="spellStart"/>
      <w:r w:rsidRPr="007D4D0B">
        <w:rPr>
          <w:rFonts w:ascii="Times New Roman" w:hAnsi="Times New Roman"/>
          <w:caps w:val="0"/>
          <w:szCs w:val="22"/>
        </w:rPr>
        <w:t>upth</w:t>
      </w:r>
      <w:proofErr w:type="spellEnd"/>
      <w:r w:rsidRPr="007D4D0B">
        <w:rPr>
          <w:rFonts w:ascii="Times New Roman" w:hAnsi="Times New Roman"/>
          <w:caps w:val="0"/>
          <w:szCs w:val="22"/>
        </w:rPr>
        <w:t xml:space="preserve">/ </w:t>
      </w:r>
      <w:proofErr w:type="spellStart"/>
      <w:r w:rsidRPr="007D4D0B">
        <w:rPr>
          <w:rFonts w:ascii="Times New Roman" w:hAnsi="Times New Roman"/>
          <w:caps w:val="0"/>
          <w:szCs w:val="22"/>
        </w:rPr>
        <w:t>adm</w:t>
      </w:r>
      <w:proofErr w:type="spellEnd"/>
      <w:r w:rsidRPr="007D4D0B">
        <w:rPr>
          <w:rFonts w:ascii="Times New Roman" w:hAnsi="Times New Roman"/>
          <w:caps w:val="0"/>
          <w:szCs w:val="22"/>
        </w:rPr>
        <w:t xml:space="preserve">/ 90/s.11/ </w:t>
      </w:r>
      <w:proofErr w:type="spellStart"/>
      <w:proofErr w:type="gramStart"/>
      <w:r w:rsidRPr="007D4D0B">
        <w:rPr>
          <w:rFonts w:ascii="Times New Roman" w:hAnsi="Times New Roman"/>
          <w:caps w:val="0"/>
          <w:szCs w:val="22"/>
        </w:rPr>
        <w:t>vol.xi</w:t>
      </w:r>
      <w:proofErr w:type="spellEnd"/>
      <w:proofErr w:type="gramEnd"/>
      <w:r w:rsidRPr="007D4D0B">
        <w:rPr>
          <w:rFonts w:ascii="Times New Roman" w:hAnsi="Times New Roman"/>
          <w:caps w:val="0"/>
          <w:szCs w:val="22"/>
        </w:rPr>
        <w:t xml:space="preserve">/1986). </w:t>
      </w:r>
      <w:bookmarkStart w:id="2" w:name="_GoBack"/>
      <w:bookmarkEnd w:id="2"/>
    </w:p>
    <w:p w14:paraId="2EAA0515" w14:textId="4B91C2C1" w:rsidR="002E5B6C" w:rsidRPr="007D4D0B" w:rsidRDefault="002E5B6C" w:rsidP="00441B6F">
      <w:pPr>
        <w:pStyle w:val="ReferHead"/>
        <w:spacing w:after="0"/>
        <w:jc w:val="both"/>
        <w:rPr>
          <w:rFonts w:ascii="Times New Roman" w:hAnsi="Times New Roman"/>
          <w:bCs/>
        </w:rPr>
      </w:pPr>
    </w:p>
    <w:p w14:paraId="7E4C7A0F" w14:textId="77777777" w:rsidR="002E5B6C" w:rsidRPr="007D4D0B" w:rsidRDefault="002E5B6C" w:rsidP="002E5B6C">
      <w:pPr>
        <w:keepNext/>
        <w:keepLines/>
        <w:spacing w:before="120" w:after="120" w:line="360" w:lineRule="auto"/>
        <w:jc w:val="both"/>
        <w:outlineLvl w:val="1"/>
        <w:rPr>
          <w:rFonts w:ascii="Times New Roman" w:hAnsi="Times New Roman"/>
          <w:bCs/>
          <w:sz w:val="24"/>
          <w:szCs w:val="24"/>
          <w:highlight w:val="yellow"/>
          <w:lang w:val="en-GB" w:eastAsia="en-IN"/>
        </w:rPr>
      </w:pPr>
      <w:bookmarkStart w:id="3" w:name="_Hlk218867759"/>
      <w:r w:rsidRPr="007D4D0B">
        <w:rPr>
          <w:rFonts w:ascii="Times New Roman" w:hAnsi="Times New Roman"/>
          <w:bCs/>
          <w:sz w:val="24"/>
          <w:szCs w:val="24"/>
          <w:highlight w:val="yellow"/>
          <w:lang w:val="en-GB" w:eastAsia="en-IN"/>
        </w:rPr>
        <w:t>Disclaimer (Artificial intelligence)</w:t>
      </w:r>
    </w:p>
    <w:p w14:paraId="56F396AC" w14:textId="77777777" w:rsidR="002E5B6C" w:rsidRPr="007D4D0B" w:rsidRDefault="002E5B6C" w:rsidP="002E5B6C">
      <w:pPr>
        <w:keepNext/>
        <w:keepLines/>
        <w:spacing w:before="120" w:after="120" w:line="360" w:lineRule="auto"/>
        <w:jc w:val="both"/>
        <w:outlineLvl w:val="1"/>
        <w:rPr>
          <w:rFonts w:ascii="Times New Roman" w:hAnsi="Times New Roman"/>
          <w:bCs/>
          <w:sz w:val="24"/>
          <w:szCs w:val="24"/>
          <w:lang w:val="en-GB" w:eastAsia="en-IN"/>
        </w:rPr>
      </w:pPr>
      <w:r w:rsidRPr="007D4D0B">
        <w:rPr>
          <w:rFonts w:ascii="Times New Roman" w:hAnsi="Times New Roman"/>
          <w:bCs/>
          <w:sz w:val="24"/>
          <w:szCs w:val="24"/>
          <w:highlight w:val="yellow"/>
          <w:lang w:val="en-GB" w:eastAsia="en-IN"/>
        </w:rPr>
        <w:t>Author(s) hereby declare that NO generative AI technologies such as Large Language Models (ChatGPT, COPILOT, etc.) and text-to-image generators have been used during the writing or editing of this manuscript.</w:t>
      </w:r>
      <w:r w:rsidRPr="007D4D0B">
        <w:rPr>
          <w:rFonts w:ascii="Times New Roman" w:hAnsi="Times New Roman"/>
          <w:bCs/>
          <w:sz w:val="24"/>
          <w:szCs w:val="24"/>
          <w:lang w:val="en-GB" w:eastAsia="en-IN"/>
        </w:rPr>
        <w:t xml:space="preserve"> </w:t>
      </w:r>
    </w:p>
    <w:bookmarkEnd w:id="3"/>
    <w:p w14:paraId="31E954EF" w14:textId="77777777" w:rsidR="002E5B6C" w:rsidRPr="007D4D0B" w:rsidRDefault="002E5B6C" w:rsidP="00441B6F">
      <w:pPr>
        <w:pStyle w:val="ReferHead"/>
        <w:spacing w:after="0"/>
        <w:jc w:val="both"/>
        <w:rPr>
          <w:rFonts w:ascii="Times New Roman" w:hAnsi="Times New Roman"/>
          <w:bCs/>
          <w:lang w:val="en-GB"/>
        </w:rPr>
      </w:pPr>
    </w:p>
    <w:p w14:paraId="3273D096" w14:textId="77777777" w:rsidR="005C784C" w:rsidRPr="007D4D0B" w:rsidRDefault="005C784C" w:rsidP="00441B6F">
      <w:pPr>
        <w:pStyle w:val="ReferHead"/>
        <w:spacing w:after="0"/>
        <w:jc w:val="both"/>
        <w:rPr>
          <w:rFonts w:ascii="Times New Roman" w:hAnsi="Times New Roman"/>
          <w:bCs/>
        </w:rPr>
      </w:pPr>
    </w:p>
    <w:p w14:paraId="2015DBA4" w14:textId="77777777" w:rsidR="002B0102" w:rsidRPr="007D4D0B" w:rsidRDefault="00B01FCD" w:rsidP="002B0102">
      <w:pPr>
        <w:pStyle w:val="ReferHead"/>
        <w:spacing w:after="0"/>
        <w:jc w:val="both"/>
        <w:rPr>
          <w:rFonts w:ascii="Times New Roman" w:hAnsi="Times New Roman"/>
        </w:rPr>
      </w:pPr>
      <w:r w:rsidRPr="007D4D0B">
        <w:rPr>
          <w:rFonts w:ascii="Times New Roman" w:hAnsi="Times New Roman"/>
        </w:rPr>
        <w:t>References</w:t>
      </w:r>
    </w:p>
    <w:p w14:paraId="0197F18F" w14:textId="3E5DA8D7" w:rsidR="002B0102" w:rsidRPr="007D4D0B" w:rsidRDefault="002B0102" w:rsidP="002B0102">
      <w:pPr>
        <w:numPr>
          <w:ilvl w:val="0"/>
          <w:numId w:val="32"/>
        </w:numPr>
        <w:pBdr>
          <w:top w:val="nil"/>
          <w:left w:val="nil"/>
          <w:bottom w:val="nil"/>
          <w:right w:val="nil"/>
          <w:between w:val="nil"/>
        </w:pBdr>
        <w:spacing w:line="480" w:lineRule="auto"/>
        <w:rPr>
          <w:rFonts w:ascii="Times New Roman" w:hAnsi="Times New Roman"/>
        </w:rPr>
      </w:pPr>
      <w:r w:rsidRPr="007D4D0B">
        <w:rPr>
          <w:rFonts w:ascii="Times New Roman" w:hAnsi="Times New Roman"/>
        </w:rPr>
        <w:t xml:space="preserve">Proffit, W. </w:t>
      </w:r>
      <w:r w:rsidR="00662BBB">
        <w:rPr>
          <w:rFonts w:ascii="Times New Roman" w:hAnsi="Times New Roman"/>
        </w:rPr>
        <w:t>R., Fields, H. W., Larson, B., &amp;</w:t>
      </w:r>
      <w:r w:rsidRPr="007D4D0B">
        <w:rPr>
          <w:rFonts w:ascii="Times New Roman" w:hAnsi="Times New Roman"/>
        </w:rPr>
        <w:t xml:space="preserve"> Sarver, D. M. (2019). Contemporary Orthodontics (6th ed.) St Louis: Elsevier.</w:t>
      </w:r>
    </w:p>
    <w:p w14:paraId="3D1A994C" w14:textId="77777777" w:rsidR="002B0102" w:rsidRPr="007D4D0B" w:rsidRDefault="002B0102" w:rsidP="002B0102">
      <w:pPr>
        <w:numPr>
          <w:ilvl w:val="0"/>
          <w:numId w:val="32"/>
        </w:numPr>
        <w:pBdr>
          <w:top w:val="nil"/>
          <w:left w:val="nil"/>
          <w:bottom w:val="nil"/>
          <w:right w:val="nil"/>
          <w:between w:val="nil"/>
        </w:pBdr>
        <w:spacing w:line="480" w:lineRule="auto"/>
        <w:rPr>
          <w:rFonts w:ascii="Times New Roman" w:hAnsi="Times New Roman"/>
        </w:rPr>
      </w:pPr>
      <w:r w:rsidRPr="007D4D0B">
        <w:rPr>
          <w:rFonts w:ascii="Times New Roman" w:hAnsi="Times New Roman"/>
        </w:rPr>
        <w:t xml:space="preserve">McNamara, J. A. (2006). Long-term adaptations to changes in the transverse dimension in children and adolescents. American Journal of Orthodontics and Dentofacial </w:t>
      </w:r>
      <w:proofErr w:type="spellStart"/>
      <w:proofErr w:type="gramStart"/>
      <w:r w:rsidRPr="007D4D0B">
        <w:rPr>
          <w:rFonts w:ascii="Times New Roman" w:hAnsi="Times New Roman"/>
        </w:rPr>
        <w:t>Orthopaedics</w:t>
      </w:r>
      <w:proofErr w:type="spellEnd"/>
      <w:r w:rsidRPr="007D4D0B">
        <w:rPr>
          <w:rFonts w:ascii="Times New Roman" w:hAnsi="Times New Roman"/>
        </w:rPr>
        <w:t xml:space="preserve"> ,</w:t>
      </w:r>
      <w:proofErr w:type="gramEnd"/>
      <w:r w:rsidRPr="007D4D0B">
        <w:rPr>
          <w:rFonts w:ascii="Times New Roman" w:hAnsi="Times New Roman"/>
        </w:rPr>
        <w:t xml:space="preserve"> 129(4), 71–79.</w:t>
      </w:r>
    </w:p>
    <w:p w14:paraId="4077C1BE" w14:textId="77777777" w:rsidR="002B0102" w:rsidRPr="007D4D0B" w:rsidRDefault="002B0102" w:rsidP="002B0102">
      <w:pPr>
        <w:numPr>
          <w:ilvl w:val="0"/>
          <w:numId w:val="32"/>
        </w:numPr>
        <w:pBdr>
          <w:top w:val="nil"/>
          <w:left w:val="nil"/>
          <w:bottom w:val="nil"/>
          <w:right w:val="nil"/>
          <w:between w:val="nil"/>
        </w:pBdr>
        <w:spacing w:line="480" w:lineRule="auto"/>
        <w:rPr>
          <w:rFonts w:ascii="Times New Roman" w:hAnsi="Times New Roman"/>
        </w:rPr>
      </w:pPr>
      <w:r w:rsidRPr="007D4D0B">
        <w:rPr>
          <w:rFonts w:ascii="Times New Roman" w:hAnsi="Times New Roman"/>
        </w:rPr>
        <w:t xml:space="preserve">Bishara, S.E., Jakobsen, J.R., Treder, J., &amp; Nowak, A. (1997). Arch width changes from 6 weeks to 45 years of age. American Journal of Orthodontics and Dentofacial </w:t>
      </w:r>
      <w:proofErr w:type="spellStart"/>
      <w:r w:rsidRPr="007D4D0B">
        <w:rPr>
          <w:rFonts w:ascii="Times New Roman" w:hAnsi="Times New Roman"/>
        </w:rPr>
        <w:t>Orthopaedics</w:t>
      </w:r>
      <w:proofErr w:type="spellEnd"/>
      <w:r w:rsidRPr="007D4D0B">
        <w:rPr>
          <w:rFonts w:ascii="Times New Roman" w:hAnsi="Times New Roman"/>
        </w:rPr>
        <w:t>, 111(4), 401–409.</w:t>
      </w:r>
    </w:p>
    <w:p w14:paraId="4D505FC1" w14:textId="77777777" w:rsidR="002B0102" w:rsidRPr="007D4D0B" w:rsidRDefault="002B0102" w:rsidP="002B0102">
      <w:pPr>
        <w:numPr>
          <w:ilvl w:val="0"/>
          <w:numId w:val="32"/>
        </w:numPr>
        <w:pBdr>
          <w:top w:val="nil"/>
          <w:left w:val="nil"/>
          <w:bottom w:val="nil"/>
          <w:right w:val="nil"/>
          <w:between w:val="nil"/>
        </w:pBdr>
        <w:spacing w:line="480" w:lineRule="auto"/>
        <w:rPr>
          <w:rFonts w:ascii="Times New Roman" w:hAnsi="Times New Roman"/>
        </w:rPr>
      </w:pPr>
      <w:r w:rsidRPr="007D4D0B">
        <w:rPr>
          <w:rFonts w:ascii="Times New Roman" w:hAnsi="Times New Roman"/>
        </w:rPr>
        <w:t xml:space="preserve">Alvaran, N., Roldan, S. I., &amp; </w:t>
      </w:r>
      <w:proofErr w:type="spellStart"/>
      <w:r w:rsidRPr="007D4D0B">
        <w:rPr>
          <w:rFonts w:ascii="Times New Roman" w:hAnsi="Times New Roman"/>
        </w:rPr>
        <w:t>Buschang</w:t>
      </w:r>
      <w:proofErr w:type="spellEnd"/>
      <w:r w:rsidRPr="007D4D0B">
        <w:rPr>
          <w:rFonts w:ascii="Times New Roman" w:hAnsi="Times New Roman"/>
        </w:rPr>
        <w:t xml:space="preserve">, P. H. (2009). Maxillary and mandibular arch widths of Colombians. American Journal of Orthodontics and Dentofacial </w:t>
      </w:r>
      <w:proofErr w:type="spellStart"/>
      <w:r w:rsidRPr="007D4D0B">
        <w:rPr>
          <w:rFonts w:ascii="Times New Roman" w:hAnsi="Times New Roman"/>
        </w:rPr>
        <w:t>Orthopaedics</w:t>
      </w:r>
      <w:proofErr w:type="spellEnd"/>
      <w:r w:rsidRPr="007D4D0B">
        <w:rPr>
          <w:rFonts w:ascii="Times New Roman" w:hAnsi="Times New Roman"/>
        </w:rPr>
        <w:t>, 135(5), 649–656.</w:t>
      </w:r>
    </w:p>
    <w:p w14:paraId="1F763EC4" w14:textId="77777777" w:rsidR="002B0102" w:rsidRPr="007D4D0B" w:rsidRDefault="002B0102" w:rsidP="002B0102">
      <w:pPr>
        <w:numPr>
          <w:ilvl w:val="0"/>
          <w:numId w:val="32"/>
        </w:numPr>
        <w:pBdr>
          <w:top w:val="nil"/>
          <w:left w:val="nil"/>
          <w:bottom w:val="nil"/>
          <w:right w:val="nil"/>
          <w:between w:val="nil"/>
        </w:pBdr>
        <w:spacing w:line="480" w:lineRule="auto"/>
        <w:rPr>
          <w:rFonts w:ascii="Times New Roman" w:hAnsi="Times New Roman"/>
        </w:rPr>
      </w:pPr>
      <w:r w:rsidRPr="007D4D0B">
        <w:rPr>
          <w:rFonts w:ascii="Times New Roman" w:hAnsi="Times New Roman"/>
        </w:rPr>
        <w:lastRenderedPageBreak/>
        <w:t>Cassidy, K. M., Harris, E. F., Tolley, E. A., &amp; Keim, R.G. (1998). Genetic influence on dental arch form in orthodontic patients. Angle Orthodontics, 68(5), 445–454.</w:t>
      </w:r>
    </w:p>
    <w:p w14:paraId="16529BE7" w14:textId="77777777" w:rsidR="002B0102" w:rsidRPr="007D4D0B" w:rsidRDefault="002B0102" w:rsidP="002B0102">
      <w:pPr>
        <w:numPr>
          <w:ilvl w:val="0"/>
          <w:numId w:val="32"/>
        </w:numPr>
        <w:pBdr>
          <w:top w:val="nil"/>
          <w:left w:val="nil"/>
          <w:bottom w:val="nil"/>
          <w:right w:val="nil"/>
          <w:between w:val="nil"/>
        </w:pBdr>
        <w:spacing w:line="480" w:lineRule="auto"/>
        <w:rPr>
          <w:rFonts w:ascii="Times New Roman" w:hAnsi="Times New Roman"/>
        </w:rPr>
      </w:pPr>
      <w:r w:rsidRPr="007D4D0B">
        <w:rPr>
          <w:rFonts w:ascii="Times New Roman" w:hAnsi="Times New Roman"/>
        </w:rPr>
        <w:t>Ferrario, V. F., Sforza, C., Miani, A., &amp; Tartaglia, G. (1994). Statistical evaluation of dental arch size and form in adults. International Journal of Adult Orthodontics Orthognathic Surgery, 9(4), 255–262.</w:t>
      </w:r>
    </w:p>
    <w:p w14:paraId="7A33B752" w14:textId="77777777" w:rsidR="002B0102" w:rsidRPr="007D4D0B" w:rsidRDefault="002B0102" w:rsidP="002B0102">
      <w:pPr>
        <w:numPr>
          <w:ilvl w:val="0"/>
          <w:numId w:val="32"/>
        </w:numPr>
        <w:pBdr>
          <w:top w:val="nil"/>
          <w:left w:val="nil"/>
          <w:bottom w:val="nil"/>
          <w:right w:val="nil"/>
          <w:between w:val="nil"/>
        </w:pBdr>
        <w:spacing w:line="480" w:lineRule="auto"/>
        <w:rPr>
          <w:rFonts w:ascii="Times New Roman" w:hAnsi="Times New Roman"/>
        </w:rPr>
      </w:pPr>
      <w:proofErr w:type="spellStart"/>
      <w:r w:rsidRPr="007D4D0B">
        <w:rPr>
          <w:rFonts w:ascii="Times New Roman" w:hAnsi="Times New Roman"/>
        </w:rPr>
        <w:t>Moorrees</w:t>
      </w:r>
      <w:proofErr w:type="spellEnd"/>
      <w:r w:rsidRPr="007D4D0B">
        <w:rPr>
          <w:rFonts w:ascii="Times New Roman" w:hAnsi="Times New Roman"/>
        </w:rPr>
        <w:t>, C. F. A. (1959). The dentition of the growing child. Cambridge: Harvard University Press.</w:t>
      </w:r>
    </w:p>
    <w:p w14:paraId="2D0CACCA" w14:textId="77777777" w:rsidR="002B0102" w:rsidRPr="007D4D0B" w:rsidRDefault="002B0102" w:rsidP="002B0102">
      <w:pPr>
        <w:numPr>
          <w:ilvl w:val="0"/>
          <w:numId w:val="32"/>
        </w:numPr>
        <w:pBdr>
          <w:top w:val="nil"/>
          <w:left w:val="nil"/>
          <w:bottom w:val="nil"/>
          <w:right w:val="nil"/>
          <w:between w:val="nil"/>
        </w:pBdr>
        <w:spacing w:line="480" w:lineRule="auto"/>
        <w:rPr>
          <w:rFonts w:ascii="Times New Roman" w:hAnsi="Times New Roman"/>
        </w:rPr>
      </w:pPr>
      <w:r w:rsidRPr="007D4D0B">
        <w:rPr>
          <w:rFonts w:ascii="Times New Roman" w:hAnsi="Times New Roman"/>
        </w:rPr>
        <w:t>Odusanya, S. A., &amp; Abayomi, I. O. (1991). Craniofacial morphology of Nigerians. West African Journal of Medicine, 10(3), 282–288.</w:t>
      </w:r>
    </w:p>
    <w:p w14:paraId="5A4D9FB7" w14:textId="77777777" w:rsidR="002B0102" w:rsidRPr="007D4D0B" w:rsidRDefault="002B0102" w:rsidP="002B0102">
      <w:pPr>
        <w:numPr>
          <w:ilvl w:val="0"/>
          <w:numId w:val="32"/>
        </w:numPr>
        <w:pBdr>
          <w:top w:val="nil"/>
          <w:left w:val="nil"/>
          <w:bottom w:val="nil"/>
          <w:right w:val="nil"/>
          <w:between w:val="nil"/>
        </w:pBdr>
        <w:spacing w:after="200" w:line="480" w:lineRule="auto"/>
        <w:rPr>
          <w:rFonts w:ascii="Times New Roman" w:hAnsi="Times New Roman"/>
        </w:rPr>
      </w:pPr>
      <w:proofErr w:type="spellStart"/>
      <w:r w:rsidRPr="007D4D0B">
        <w:rPr>
          <w:rFonts w:ascii="Times New Roman" w:hAnsi="Times New Roman"/>
        </w:rPr>
        <w:t>Onyeaso</w:t>
      </w:r>
      <w:proofErr w:type="spellEnd"/>
      <w:r w:rsidRPr="007D4D0B">
        <w:rPr>
          <w:rFonts w:ascii="Times New Roman" w:hAnsi="Times New Roman"/>
        </w:rPr>
        <w:t xml:space="preserve">, C. O., &amp; </w:t>
      </w:r>
      <w:proofErr w:type="spellStart"/>
      <w:r w:rsidRPr="007D4D0B">
        <w:rPr>
          <w:rFonts w:ascii="Times New Roman" w:hAnsi="Times New Roman"/>
        </w:rPr>
        <w:t>Arowojolu</w:t>
      </w:r>
      <w:proofErr w:type="spellEnd"/>
      <w:r w:rsidRPr="007D4D0B">
        <w:rPr>
          <w:rFonts w:ascii="Times New Roman" w:hAnsi="Times New Roman"/>
        </w:rPr>
        <w:t xml:space="preserve">, M. O. (2003). Prevalence of malocclusion among adolescents in Ibadan, Nigeria. American Journal of Orthodontics and Dentofacial </w:t>
      </w:r>
      <w:proofErr w:type="spellStart"/>
      <w:r w:rsidRPr="007D4D0B">
        <w:rPr>
          <w:rFonts w:ascii="Times New Roman" w:hAnsi="Times New Roman"/>
        </w:rPr>
        <w:t>Orthopaedics</w:t>
      </w:r>
      <w:proofErr w:type="spellEnd"/>
      <w:r w:rsidRPr="007D4D0B">
        <w:rPr>
          <w:rFonts w:ascii="Times New Roman" w:hAnsi="Times New Roman"/>
        </w:rPr>
        <w:t>, 123(5), 604–608.</w:t>
      </w:r>
    </w:p>
    <w:p w14:paraId="6EF5239E" w14:textId="77777777" w:rsidR="002B0102" w:rsidRPr="007D4D0B" w:rsidRDefault="002B0102" w:rsidP="002B0102">
      <w:pPr>
        <w:numPr>
          <w:ilvl w:val="0"/>
          <w:numId w:val="32"/>
        </w:numPr>
        <w:pBdr>
          <w:top w:val="nil"/>
          <w:left w:val="nil"/>
          <w:bottom w:val="nil"/>
          <w:right w:val="nil"/>
          <w:between w:val="nil"/>
        </w:pBdr>
        <w:spacing w:line="480" w:lineRule="auto"/>
        <w:rPr>
          <w:rFonts w:ascii="Times New Roman" w:hAnsi="Times New Roman"/>
        </w:rPr>
      </w:pPr>
      <w:r w:rsidRPr="007D4D0B">
        <w:rPr>
          <w:rFonts w:ascii="Times New Roman" w:hAnsi="Times New Roman"/>
          <w:color w:val="000000"/>
        </w:rPr>
        <w:t>Umeh, O. D., Eniola, A. S., &amp; Ndukwe, A. N. (2021). A 3-year audit of the failure rate of first molar buccal tubes among orthodontic patients in a Nigerian population. Nigerian Journal of Medicine 30(2), 205–209.</w:t>
      </w:r>
    </w:p>
    <w:p w14:paraId="4D645311" w14:textId="77777777" w:rsidR="002B0102" w:rsidRPr="007D4D0B" w:rsidRDefault="002B0102" w:rsidP="002B0102">
      <w:pPr>
        <w:numPr>
          <w:ilvl w:val="0"/>
          <w:numId w:val="32"/>
        </w:numPr>
        <w:pBdr>
          <w:top w:val="nil"/>
          <w:left w:val="nil"/>
          <w:bottom w:val="nil"/>
          <w:right w:val="nil"/>
          <w:between w:val="nil"/>
        </w:pBdr>
        <w:spacing w:line="480" w:lineRule="auto"/>
        <w:rPr>
          <w:rFonts w:ascii="Times New Roman" w:hAnsi="Times New Roman"/>
        </w:rPr>
      </w:pPr>
      <w:r w:rsidRPr="007D4D0B">
        <w:rPr>
          <w:rFonts w:ascii="Times New Roman" w:hAnsi="Times New Roman"/>
          <w:color w:val="000000"/>
          <w:lang w:val="fr-FR"/>
        </w:rPr>
        <w:t xml:space="preserve">Umeh, O. O., Okoye, A. L. B., Isiekwe, I. G., Sanu, O. O., </w:t>
      </w:r>
      <w:proofErr w:type="spellStart"/>
      <w:r w:rsidRPr="007D4D0B">
        <w:rPr>
          <w:rFonts w:ascii="Times New Roman" w:hAnsi="Times New Roman"/>
          <w:color w:val="000000"/>
          <w:lang w:val="fr-FR"/>
        </w:rPr>
        <w:t>Utomi</w:t>
      </w:r>
      <w:proofErr w:type="spellEnd"/>
      <w:r w:rsidRPr="007D4D0B">
        <w:rPr>
          <w:rFonts w:ascii="Times New Roman" w:hAnsi="Times New Roman"/>
          <w:color w:val="000000"/>
          <w:lang w:val="fr-FR"/>
        </w:rPr>
        <w:t xml:space="preserve">, I. L., &amp; DaCosta, O. O. (2021). </w:t>
      </w:r>
      <w:r w:rsidRPr="007D4D0B">
        <w:rPr>
          <w:rFonts w:ascii="Times New Roman" w:hAnsi="Times New Roman"/>
          <w:color w:val="000000"/>
        </w:rPr>
        <w:t xml:space="preserve">Impact of malocclusion on the oral health-related quality of life of 8–10-year-old schoolchildren. Nigerian Journal of Dental Research, 6 (2), 208–218. </w:t>
      </w:r>
    </w:p>
    <w:p w14:paraId="1CD397F5" w14:textId="77777777" w:rsidR="002B0102" w:rsidRPr="007D4D0B" w:rsidRDefault="002B0102" w:rsidP="002B0102">
      <w:pPr>
        <w:numPr>
          <w:ilvl w:val="0"/>
          <w:numId w:val="32"/>
        </w:numPr>
        <w:pBdr>
          <w:top w:val="nil"/>
          <w:left w:val="nil"/>
          <w:bottom w:val="nil"/>
          <w:right w:val="nil"/>
          <w:between w:val="nil"/>
        </w:pBdr>
        <w:spacing w:line="480" w:lineRule="auto"/>
        <w:rPr>
          <w:rFonts w:ascii="Times New Roman" w:hAnsi="Times New Roman"/>
        </w:rPr>
      </w:pPr>
      <w:r w:rsidRPr="007D4D0B">
        <w:rPr>
          <w:rFonts w:ascii="Times New Roman" w:hAnsi="Times New Roman"/>
          <w:color w:val="000000"/>
        </w:rPr>
        <w:t>Umeh, O. D., Etim, S. S., &amp; Akindele, H. E. (2025). Assessment of bond failure of tongue tamers in an orthodontic population: A one-year audit. Nigerian Journal of Medicine, 34 (4), 201–210.</w:t>
      </w:r>
    </w:p>
    <w:p w14:paraId="7C79513D" w14:textId="77777777" w:rsidR="002B0102" w:rsidRPr="007D4D0B" w:rsidRDefault="002B0102" w:rsidP="002B0102">
      <w:pPr>
        <w:numPr>
          <w:ilvl w:val="0"/>
          <w:numId w:val="32"/>
        </w:numPr>
        <w:pBdr>
          <w:top w:val="nil"/>
          <w:left w:val="nil"/>
          <w:bottom w:val="nil"/>
          <w:right w:val="nil"/>
          <w:between w:val="nil"/>
        </w:pBdr>
        <w:spacing w:line="480" w:lineRule="auto"/>
        <w:rPr>
          <w:rFonts w:ascii="Times New Roman" w:hAnsi="Times New Roman"/>
        </w:rPr>
      </w:pPr>
      <w:proofErr w:type="spellStart"/>
      <w:r w:rsidRPr="007D4D0B">
        <w:rPr>
          <w:rFonts w:ascii="Times New Roman" w:hAnsi="Times New Roman"/>
          <w:color w:val="000000"/>
        </w:rPr>
        <w:t>Ayenakin</w:t>
      </w:r>
      <w:proofErr w:type="spellEnd"/>
      <w:r w:rsidRPr="007D4D0B">
        <w:rPr>
          <w:rFonts w:ascii="Times New Roman" w:hAnsi="Times New Roman"/>
          <w:color w:val="000000"/>
        </w:rPr>
        <w:t xml:space="preserve">, O., Umeh, O. D., Odah, G. E., &amp; </w:t>
      </w:r>
      <w:proofErr w:type="spellStart"/>
      <w:r w:rsidRPr="007D4D0B">
        <w:rPr>
          <w:rFonts w:ascii="Times New Roman" w:hAnsi="Times New Roman"/>
          <w:color w:val="000000"/>
        </w:rPr>
        <w:t>Utomi</w:t>
      </w:r>
      <w:proofErr w:type="spellEnd"/>
      <w:r w:rsidRPr="007D4D0B">
        <w:rPr>
          <w:rFonts w:ascii="Times New Roman" w:hAnsi="Times New Roman"/>
          <w:color w:val="000000"/>
        </w:rPr>
        <w:t>, I. L. (2021). An analysis of orthodontic treatment outcomes at Lagos University Teaching Hospital using the Peer Assessment Rating Index. West African Journal of Orthodontics, 10 (1), 4–11.</w:t>
      </w:r>
    </w:p>
    <w:p w14:paraId="552E9D0D" w14:textId="77777777" w:rsidR="002B0102" w:rsidRPr="007D4D0B" w:rsidRDefault="002B0102" w:rsidP="002B0102">
      <w:pPr>
        <w:numPr>
          <w:ilvl w:val="0"/>
          <w:numId w:val="32"/>
        </w:numPr>
        <w:pBdr>
          <w:top w:val="nil"/>
          <w:left w:val="nil"/>
          <w:bottom w:val="nil"/>
          <w:right w:val="nil"/>
          <w:between w:val="nil"/>
        </w:pBdr>
        <w:spacing w:line="480" w:lineRule="auto"/>
        <w:rPr>
          <w:rFonts w:ascii="Times New Roman" w:hAnsi="Times New Roman"/>
        </w:rPr>
      </w:pPr>
      <w:r w:rsidRPr="007D4D0B">
        <w:rPr>
          <w:rFonts w:ascii="Times New Roman" w:hAnsi="Times New Roman"/>
          <w:color w:val="000000"/>
        </w:rPr>
        <w:t>Etim, S. S., &amp; Umeh, O. D. (2025). Socio-economic characteristics of orthodontic patients in Lagos, Nigeria: A cross-sectional study. Nigerian Medical Journal, 66(4), 1647- 1651.</w:t>
      </w:r>
    </w:p>
    <w:p w14:paraId="784BDA5B" w14:textId="77777777" w:rsidR="002B0102" w:rsidRPr="007D4D0B" w:rsidRDefault="002B0102" w:rsidP="002B0102">
      <w:pPr>
        <w:numPr>
          <w:ilvl w:val="0"/>
          <w:numId w:val="32"/>
        </w:numPr>
        <w:pBdr>
          <w:top w:val="nil"/>
          <w:left w:val="nil"/>
          <w:bottom w:val="nil"/>
          <w:right w:val="nil"/>
          <w:between w:val="nil"/>
        </w:pBdr>
        <w:spacing w:line="480" w:lineRule="auto"/>
        <w:rPr>
          <w:rFonts w:ascii="Times New Roman" w:hAnsi="Times New Roman"/>
        </w:rPr>
      </w:pPr>
      <w:r w:rsidRPr="007D4D0B">
        <w:rPr>
          <w:rFonts w:ascii="Times New Roman" w:hAnsi="Times New Roman"/>
          <w:color w:val="000000"/>
        </w:rPr>
        <w:lastRenderedPageBreak/>
        <w:t xml:space="preserve">Park, S. J., </w:t>
      </w:r>
      <w:proofErr w:type="spellStart"/>
      <w:r w:rsidRPr="007D4D0B">
        <w:rPr>
          <w:rFonts w:ascii="Times New Roman" w:hAnsi="Times New Roman"/>
          <w:color w:val="000000"/>
        </w:rPr>
        <w:t>Leesungbok</w:t>
      </w:r>
      <w:proofErr w:type="spellEnd"/>
      <w:r w:rsidRPr="007D4D0B">
        <w:rPr>
          <w:rFonts w:ascii="Times New Roman" w:hAnsi="Times New Roman"/>
          <w:color w:val="000000"/>
        </w:rPr>
        <w:t>, R., Song, J. W., Chang, S. H., Lee, S.W., &amp; Ahn, S. J. (2017). Analysis of dimensions and shapes of maxillary and mandibular dental arch in Korean young adults. Journal of Advanced Prosthodontics, 9 (5), 321–327.</w:t>
      </w:r>
    </w:p>
    <w:p w14:paraId="1104BEB6" w14:textId="77777777" w:rsidR="002B0102" w:rsidRPr="007D4D0B" w:rsidRDefault="002B0102" w:rsidP="002B0102">
      <w:pPr>
        <w:numPr>
          <w:ilvl w:val="0"/>
          <w:numId w:val="32"/>
        </w:numPr>
        <w:pBdr>
          <w:top w:val="nil"/>
          <w:left w:val="nil"/>
          <w:bottom w:val="nil"/>
          <w:right w:val="nil"/>
          <w:between w:val="nil"/>
        </w:pBdr>
        <w:spacing w:line="480" w:lineRule="auto"/>
        <w:rPr>
          <w:rFonts w:ascii="Times New Roman" w:hAnsi="Times New Roman"/>
        </w:rPr>
      </w:pPr>
      <w:r w:rsidRPr="007D4D0B">
        <w:rPr>
          <w:rFonts w:ascii="Times New Roman" w:hAnsi="Times New Roman"/>
          <w:color w:val="000000"/>
        </w:rPr>
        <w:t xml:space="preserve">Alkadhi, O. H., </w:t>
      </w:r>
      <w:proofErr w:type="spellStart"/>
      <w:r w:rsidRPr="007D4D0B">
        <w:rPr>
          <w:rFonts w:ascii="Times New Roman" w:hAnsi="Times New Roman"/>
          <w:color w:val="000000"/>
        </w:rPr>
        <w:t>Almahfouz</w:t>
      </w:r>
      <w:proofErr w:type="spellEnd"/>
      <w:r w:rsidRPr="007D4D0B">
        <w:rPr>
          <w:rFonts w:ascii="Times New Roman" w:hAnsi="Times New Roman"/>
          <w:color w:val="000000"/>
        </w:rPr>
        <w:t xml:space="preserve">, S. F., </w:t>
      </w:r>
      <w:proofErr w:type="spellStart"/>
      <w:r w:rsidRPr="007D4D0B">
        <w:rPr>
          <w:rFonts w:ascii="Times New Roman" w:hAnsi="Times New Roman"/>
          <w:color w:val="000000"/>
        </w:rPr>
        <w:t>Tokhtah</w:t>
      </w:r>
      <w:proofErr w:type="spellEnd"/>
      <w:r w:rsidRPr="007D4D0B">
        <w:rPr>
          <w:rFonts w:ascii="Times New Roman" w:hAnsi="Times New Roman"/>
          <w:color w:val="000000"/>
        </w:rPr>
        <w:t xml:space="preserve">, H. A., &amp; </w:t>
      </w:r>
      <w:proofErr w:type="spellStart"/>
      <w:r w:rsidRPr="007D4D0B">
        <w:rPr>
          <w:rFonts w:ascii="Times New Roman" w:hAnsi="Times New Roman"/>
          <w:color w:val="000000"/>
        </w:rPr>
        <w:t>Binhuwaishel</w:t>
      </w:r>
      <w:proofErr w:type="spellEnd"/>
      <w:r w:rsidRPr="007D4D0B">
        <w:rPr>
          <w:rFonts w:ascii="Times New Roman" w:hAnsi="Times New Roman"/>
          <w:color w:val="000000"/>
        </w:rPr>
        <w:t>, L. A. (2018). Dental arch dimensions in Saudi adults. International Journal of Dentistry, 2018, 2190250.</w:t>
      </w:r>
    </w:p>
    <w:p w14:paraId="7E150416" w14:textId="77777777" w:rsidR="002B0102" w:rsidRPr="007D4D0B" w:rsidRDefault="002B0102" w:rsidP="002B0102">
      <w:pPr>
        <w:numPr>
          <w:ilvl w:val="0"/>
          <w:numId w:val="32"/>
        </w:numPr>
        <w:pBdr>
          <w:top w:val="nil"/>
          <w:left w:val="nil"/>
          <w:bottom w:val="nil"/>
          <w:right w:val="nil"/>
          <w:between w:val="nil"/>
        </w:pBdr>
        <w:spacing w:line="480" w:lineRule="auto"/>
        <w:rPr>
          <w:rFonts w:ascii="Times New Roman" w:hAnsi="Times New Roman"/>
        </w:rPr>
      </w:pPr>
      <w:r w:rsidRPr="007D4D0B">
        <w:rPr>
          <w:rFonts w:ascii="Times New Roman" w:hAnsi="Times New Roman"/>
          <w:color w:val="000000"/>
        </w:rPr>
        <w:t>Aluko, I. A., DaCosta, O. O., &amp; Isiekwe, M. C. (2009). Dental arch widths in the early and late permanent dentitions of a Nigerian population. Nigerian Dental Journal, 17 (1), 7–11.</w:t>
      </w:r>
    </w:p>
    <w:p w14:paraId="074AB423" w14:textId="77777777" w:rsidR="002B0102" w:rsidRPr="007D4D0B" w:rsidRDefault="002B0102" w:rsidP="002B0102">
      <w:pPr>
        <w:numPr>
          <w:ilvl w:val="0"/>
          <w:numId w:val="32"/>
        </w:numPr>
        <w:pBdr>
          <w:top w:val="nil"/>
          <w:left w:val="nil"/>
          <w:bottom w:val="nil"/>
          <w:right w:val="nil"/>
          <w:between w:val="nil"/>
        </w:pBdr>
        <w:spacing w:line="480" w:lineRule="auto"/>
        <w:rPr>
          <w:rFonts w:ascii="Times New Roman" w:hAnsi="Times New Roman"/>
        </w:rPr>
      </w:pPr>
      <w:r w:rsidRPr="007D4D0B">
        <w:rPr>
          <w:rFonts w:ascii="Times New Roman" w:hAnsi="Times New Roman"/>
          <w:color w:val="000000"/>
        </w:rPr>
        <w:t xml:space="preserve">Ese, A., </w:t>
      </w:r>
      <w:proofErr w:type="spellStart"/>
      <w:r w:rsidRPr="007D4D0B">
        <w:rPr>
          <w:rFonts w:ascii="Times New Roman" w:hAnsi="Times New Roman"/>
          <w:color w:val="000000"/>
        </w:rPr>
        <w:t>Okiemute</w:t>
      </w:r>
      <w:proofErr w:type="spellEnd"/>
      <w:r w:rsidRPr="007D4D0B">
        <w:rPr>
          <w:rFonts w:ascii="Times New Roman" w:hAnsi="Times New Roman"/>
          <w:color w:val="000000"/>
        </w:rPr>
        <w:t>, E. M., Peace, I., &amp; Charity, O. (2022). Facial types and morphology among Ika subjects in Delta State, Nigeria. International Journal of Health Sciences, 6(2), 1416–1427.</w:t>
      </w:r>
    </w:p>
    <w:p w14:paraId="57ED44CE" w14:textId="77777777" w:rsidR="002B0102" w:rsidRPr="007D4D0B" w:rsidRDefault="002B0102" w:rsidP="002B0102">
      <w:pPr>
        <w:numPr>
          <w:ilvl w:val="0"/>
          <w:numId w:val="32"/>
        </w:numPr>
        <w:pBdr>
          <w:top w:val="nil"/>
          <w:left w:val="nil"/>
          <w:bottom w:val="nil"/>
          <w:right w:val="nil"/>
          <w:between w:val="nil"/>
        </w:pBdr>
        <w:spacing w:line="480" w:lineRule="auto"/>
        <w:rPr>
          <w:rFonts w:ascii="Times New Roman" w:hAnsi="Times New Roman"/>
        </w:rPr>
      </w:pPr>
      <w:r w:rsidRPr="007D4D0B">
        <w:rPr>
          <w:rFonts w:ascii="Times New Roman" w:hAnsi="Times New Roman"/>
          <w:color w:val="000000"/>
        </w:rPr>
        <w:t>Al-Zubair, N. M. Determinant factors of Yemeni maxillary arch dimensions. (2015). Saudi Dental Journal, 27(1), 50–54.</w:t>
      </w:r>
    </w:p>
    <w:p w14:paraId="4475857A" w14:textId="77777777" w:rsidR="002B0102" w:rsidRPr="007D4D0B" w:rsidRDefault="002B0102" w:rsidP="002B0102">
      <w:pPr>
        <w:numPr>
          <w:ilvl w:val="0"/>
          <w:numId w:val="32"/>
        </w:numPr>
        <w:pBdr>
          <w:top w:val="nil"/>
          <w:left w:val="nil"/>
          <w:bottom w:val="nil"/>
          <w:right w:val="nil"/>
          <w:between w:val="nil"/>
        </w:pBdr>
        <w:spacing w:line="480" w:lineRule="auto"/>
        <w:rPr>
          <w:rFonts w:ascii="Times New Roman" w:hAnsi="Times New Roman"/>
        </w:rPr>
      </w:pPr>
      <w:proofErr w:type="spellStart"/>
      <w:r w:rsidRPr="007D4D0B">
        <w:rPr>
          <w:rFonts w:ascii="Times New Roman" w:hAnsi="Times New Roman"/>
          <w:color w:val="000000"/>
          <w:lang w:val="fr-FR"/>
        </w:rPr>
        <w:t>Otuyemi</w:t>
      </w:r>
      <w:proofErr w:type="spellEnd"/>
      <w:r w:rsidRPr="007D4D0B">
        <w:rPr>
          <w:rFonts w:ascii="Times New Roman" w:hAnsi="Times New Roman"/>
          <w:color w:val="000000"/>
          <w:lang w:val="fr-FR"/>
        </w:rPr>
        <w:t xml:space="preserve">, O. D., &amp; Noar, J. H. (1996). </w:t>
      </w:r>
      <w:r w:rsidRPr="007D4D0B">
        <w:rPr>
          <w:rFonts w:ascii="Times New Roman" w:hAnsi="Times New Roman"/>
          <w:color w:val="000000"/>
        </w:rPr>
        <w:t xml:space="preserve">A comparison of crown size dimensions of permanent teeth in Nigerian and British populations. European Journal of Orthodontics, 18 (6), 623–628. </w:t>
      </w:r>
    </w:p>
    <w:p w14:paraId="6B8E6FB6" w14:textId="77777777" w:rsidR="002B0102" w:rsidRPr="007D4D0B" w:rsidRDefault="002B0102" w:rsidP="002B0102">
      <w:pPr>
        <w:numPr>
          <w:ilvl w:val="0"/>
          <w:numId w:val="32"/>
        </w:numPr>
        <w:pBdr>
          <w:top w:val="nil"/>
          <w:left w:val="nil"/>
          <w:bottom w:val="nil"/>
          <w:right w:val="nil"/>
          <w:between w:val="nil"/>
        </w:pBdr>
        <w:spacing w:line="480" w:lineRule="auto"/>
        <w:rPr>
          <w:rFonts w:ascii="Times New Roman" w:hAnsi="Times New Roman"/>
        </w:rPr>
      </w:pPr>
      <w:proofErr w:type="spellStart"/>
      <w:r w:rsidRPr="007D4D0B">
        <w:rPr>
          <w:rFonts w:ascii="Times New Roman" w:hAnsi="Times New Roman"/>
          <w:color w:val="000000"/>
        </w:rPr>
        <w:t>Kairalla</w:t>
      </w:r>
      <w:proofErr w:type="spellEnd"/>
      <w:r w:rsidRPr="007D4D0B">
        <w:rPr>
          <w:rFonts w:ascii="Times New Roman" w:hAnsi="Times New Roman"/>
          <w:color w:val="000000"/>
        </w:rPr>
        <w:t xml:space="preserve">, S. A., Velasco, L., Bachi, A. L. L., Yamamoto, L. H., &amp; </w:t>
      </w:r>
      <w:proofErr w:type="spellStart"/>
      <w:r w:rsidRPr="007D4D0B">
        <w:rPr>
          <w:rFonts w:ascii="Times New Roman" w:hAnsi="Times New Roman"/>
          <w:color w:val="000000"/>
        </w:rPr>
        <w:t>Cappellette</w:t>
      </w:r>
      <w:proofErr w:type="spellEnd"/>
      <w:r w:rsidRPr="007D4D0B">
        <w:rPr>
          <w:rFonts w:ascii="Times New Roman" w:hAnsi="Times New Roman"/>
          <w:color w:val="000000"/>
        </w:rPr>
        <w:t xml:space="preserve">, M.(2022).  Evaluation of palatal dimensions in different facial patterns using digital dental casts. Dental Press Journal of Orthodontics, 27(5), 115- 137. </w:t>
      </w:r>
    </w:p>
    <w:p w14:paraId="52608384" w14:textId="77777777" w:rsidR="002B0102" w:rsidRPr="007D4D0B" w:rsidRDefault="002B0102" w:rsidP="002B0102">
      <w:pPr>
        <w:numPr>
          <w:ilvl w:val="0"/>
          <w:numId w:val="32"/>
        </w:numPr>
        <w:pBdr>
          <w:top w:val="nil"/>
          <w:left w:val="nil"/>
          <w:bottom w:val="nil"/>
          <w:right w:val="nil"/>
          <w:between w:val="nil"/>
        </w:pBdr>
        <w:spacing w:line="480" w:lineRule="auto"/>
        <w:rPr>
          <w:rFonts w:ascii="Times New Roman" w:hAnsi="Times New Roman"/>
        </w:rPr>
      </w:pPr>
      <w:r w:rsidRPr="007D4D0B">
        <w:rPr>
          <w:rFonts w:ascii="Times New Roman" w:hAnsi="Times New Roman"/>
          <w:color w:val="000000"/>
        </w:rPr>
        <w:t xml:space="preserve">Abdullah, S. M., Asri, A. A. M., Rosley, M. S., &amp; Jaafar, A. (2025). Comparison of dental arch dimensions according to gender and malocclusion. International Dental Journal, 75(5),104337. </w:t>
      </w:r>
    </w:p>
    <w:p w14:paraId="5BA23618" w14:textId="77777777" w:rsidR="002B0102" w:rsidRPr="007D4D0B" w:rsidRDefault="002B0102" w:rsidP="002B0102">
      <w:pPr>
        <w:numPr>
          <w:ilvl w:val="0"/>
          <w:numId w:val="32"/>
        </w:numPr>
        <w:pBdr>
          <w:top w:val="nil"/>
          <w:left w:val="nil"/>
          <w:bottom w:val="nil"/>
          <w:right w:val="nil"/>
          <w:between w:val="nil"/>
        </w:pBdr>
        <w:spacing w:line="480" w:lineRule="auto"/>
        <w:rPr>
          <w:rFonts w:ascii="Times New Roman" w:hAnsi="Times New Roman"/>
        </w:rPr>
      </w:pPr>
      <w:r w:rsidRPr="007D4D0B">
        <w:rPr>
          <w:rFonts w:ascii="Times New Roman" w:hAnsi="Times New Roman"/>
          <w:color w:val="000000"/>
        </w:rPr>
        <w:t xml:space="preserve">Salem, F. M., </w:t>
      </w:r>
      <w:proofErr w:type="spellStart"/>
      <w:r w:rsidRPr="007D4D0B">
        <w:rPr>
          <w:rFonts w:ascii="Times New Roman" w:hAnsi="Times New Roman"/>
          <w:color w:val="000000"/>
        </w:rPr>
        <w:t>Messih</w:t>
      </w:r>
      <w:proofErr w:type="spellEnd"/>
      <w:r w:rsidRPr="007D4D0B">
        <w:rPr>
          <w:rFonts w:ascii="Times New Roman" w:hAnsi="Times New Roman"/>
          <w:color w:val="000000"/>
        </w:rPr>
        <w:t xml:space="preserve">, M. S. A., &amp; </w:t>
      </w:r>
      <w:proofErr w:type="spellStart"/>
      <w:r w:rsidRPr="007D4D0B">
        <w:rPr>
          <w:rFonts w:ascii="Times New Roman" w:hAnsi="Times New Roman"/>
          <w:color w:val="000000"/>
        </w:rPr>
        <w:t>Hadhoud</w:t>
      </w:r>
      <w:proofErr w:type="spellEnd"/>
      <w:r w:rsidRPr="007D4D0B">
        <w:rPr>
          <w:rFonts w:ascii="Times New Roman" w:hAnsi="Times New Roman"/>
          <w:color w:val="000000"/>
        </w:rPr>
        <w:t xml:space="preserve">, R. M. (2025). Analysis of mandibular and maxillary </w:t>
      </w:r>
      <w:proofErr w:type="spellStart"/>
      <w:r w:rsidRPr="007D4D0B">
        <w:rPr>
          <w:rFonts w:ascii="Times New Roman" w:hAnsi="Times New Roman"/>
          <w:color w:val="000000"/>
        </w:rPr>
        <w:t>intercanine</w:t>
      </w:r>
      <w:proofErr w:type="spellEnd"/>
      <w:r w:rsidRPr="007D4D0B">
        <w:rPr>
          <w:rFonts w:ascii="Times New Roman" w:hAnsi="Times New Roman"/>
          <w:color w:val="000000"/>
        </w:rPr>
        <w:t xml:space="preserve"> and intermolar widths and total arch length for sex and age differences in an adult Egyptian sample. Egypt Journal of Forensic Science, 15(1)16 -27. </w:t>
      </w:r>
    </w:p>
    <w:p w14:paraId="79021A12" w14:textId="77777777" w:rsidR="002B0102" w:rsidRPr="007D4D0B" w:rsidRDefault="002B0102" w:rsidP="002B0102">
      <w:pPr>
        <w:numPr>
          <w:ilvl w:val="0"/>
          <w:numId w:val="32"/>
        </w:numPr>
        <w:pBdr>
          <w:top w:val="nil"/>
          <w:left w:val="nil"/>
          <w:bottom w:val="nil"/>
          <w:right w:val="nil"/>
          <w:between w:val="nil"/>
        </w:pBdr>
        <w:spacing w:line="480" w:lineRule="auto"/>
        <w:rPr>
          <w:rFonts w:ascii="Times New Roman" w:hAnsi="Times New Roman"/>
        </w:rPr>
      </w:pPr>
      <w:r w:rsidRPr="007D4D0B">
        <w:rPr>
          <w:rFonts w:ascii="Times New Roman" w:hAnsi="Times New Roman"/>
          <w:color w:val="000000"/>
        </w:rPr>
        <w:t xml:space="preserve">Adamek, A., Minch, L., &amp; Kawala, B. (2015). </w:t>
      </w:r>
      <w:proofErr w:type="spellStart"/>
      <w:r w:rsidRPr="007D4D0B">
        <w:rPr>
          <w:rFonts w:ascii="Times New Roman" w:hAnsi="Times New Roman"/>
          <w:color w:val="000000"/>
        </w:rPr>
        <w:t>Intercanine</w:t>
      </w:r>
      <w:proofErr w:type="spellEnd"/>
      <w:r w:rsidRPr="007D4D0B">
        <w:rPr>
          <w:rFonts w:ascii="Times New Roman" w:hAnsi="Times New Roman"/>
          <w:color w:val="000000"/>
        </w:rPr>
        <w:t xml:space="preserve"> width: A review of the literature. Dental and Medical Problems, 52 (3), 336–340.</w:t>
      </w:r>
    </w:p>
    <w:p w14:paraId="60AF1F32" w14:textId="77777777" w:rsidR="002B0102" w:rsidRPr="007D4D0B" w:rsidRDefault="002B0102" w:rsidP="002B0102">
      <w:pPr>
        <w:numPr>
          <w:ilvl w:val="0"/>
          <w:numId w:val="32"/>
        </w:numPr>
        <w:pBdr>
          <w:top w:val="nil"/>
          <w:left w:val="nil"/>
          <w:bottom w:val="nil"/>
          <w:right w:val="nil"/>
          <w:between w:val="nil"/>
        </w:pBdr>
        <w:spacing w:line="480" w:lineRule="auto"/>
        <w:rPr>
          <w:rFonts w:ascii="Times New Roman" w:hAnsi="Times New Roman"/>
        </w:rPr>
      </w:pPr>
      <w:r w:rsidRPr="007D4D0B">
        <w:rPr>
          <w:rFonts w:ascii="Times New Roman" w:hAnsi="Times New Roman"/>
          <w:color w:val="000000"/>
        </w:rPr>
        <w:lastRenderedPageBreak/>
        <w:t xml:space="preserve">Ahn, J. S., Park, M. S., Cha, H. S., Song, H. C., &amp; Park, Y. S. (2012). Three-dimensional interpretation of </w:t>
      </w:r>
      <w:proofErr w:type="spellStart"/>
      <w:r w:rsidRPr="007D4D0B">
        <w:rPr>
          <w:rFonts w:ascii="Times New Roman" w:hAnsi="Times New Roman"/>
          <w:color w:val="000000"/>
        </w:rPr>
        <w:t>intercanine</w:t>
      </w:r>
      <w:proofErr w:type="spellEnd"/>
      <w:r w:rsidRPr="007D4D0B">
        <w:rPr>
          <w:rFonts w:ascii="Times New Roman" w:hAnsi="Times New Roman"/>
          <w:color w:val="000000"/>
        </w:rPr>
        <w:t xml:space="preserve"> width change in children: A 9-year longitudinal study. American Journal of Orthodontics and Dentofacial </w:t>
      </w:r>
      <w:proofErr w:type="spellStart"/>
      <w:r w:rsidRPr="007D4D0B">
        <w:rPr>
          <w:rFonts w:ascii="Times New Roman" w:hAnsi="Times New Roman"/>
          <w:color w:val="000000"/>
        </w:rPr>
        <w:t>Orthopaedics</w:t>
      </w:r>
      <w:proofErr w:type="spellEnd"/>
      <w:r w:rsidRPr="007D4D0B">
        <w:rPr>
          <w:rFonts w:ascii="Times New Roman" w:hAnsi="Times New Roman"/>
          <w:color w:val="000000"/>
        </w:rPr>
        <w:t xml:space="preserve">, 142(3), 323–332. </w:t>
      </w:r>
    </w:p>
    <w:p w14:paraId="394CA857" w14:textId="77777777" w:rsidR="002B0102" w:rsidRPr="007D4D0B" w:rsidRDefault="002B0102" w:rsidP="002B0102">
      <w:pPr>
        <w:numPr>
          <w:ilvl w:val="0"/>
          <w:numId w:val="32"/>
        </w:numPr>
        <w:pBdr>
          <w:top w:val="nil"/>
          <w:left w:val="nil"/>
          <w:bottom w:val="nil"/>
          <w:right w:val="nil"/>
          <w:between w:val="nil"/>
        </w:pBdr>
        <w:spacing w:line="480" w:lineRule="auto"/>
        <w:rPr>
          <w:rFonts w:ascii="Times New Roman" w:hAnsi="Times New Roman"/>
        </w:rPr>
      </w:pPr>
      <w:r w:rsidRPr="007D4D0B">
        <w:rPr>
          <w:rFonts w:ascii="Times New Roman" w:hAnsi="Times New Roman"/>
          <w:color w:val="000000"/>
        </w:rPr>
        <w:t xml:space="preserve">Mushtaq, N., Tajik, I., Baseer, S., &amp; Shakeel, S. (2014). </w:t>
      </w:r>
      <w:proofErr w:type="spellStart"/>
      <w:r w:rsidRPr="007D4D0B">
        <w:rPr>
          <w:rFonts w:ascii="Times New Roman" w:hAnsi="Times New Roman"/>
          <w:color w:val="000000"/>
        </w:rPr>
        <w:t>Intercanine</w:t>
      </w:r>
      <w:proofErr w:type="spellEnd"/>
      <w:r w:rsidRPr="007D4D0B">
        <w:rPr>
          <w:rFonts w:ascii="Times New Roman" w:hAnsi="Times New Roman"/>
          <w:color w:val="000000"/>
        </w:rPr>
        <w:t xml:space="preserve"> and intermolar widths in Angle Class I, II and III malocclusions. Pakistan Oral and Dental Journal. </w:t>
      </w:r>
      <w:proofErr w:type="gramStart"/>
      <w:r w:rsidRPr="007D4D0B">
        <w:rPr>
          <w:rFonts w:ascii="Times New Roman" w:hAnsi="Times New Roman"/>
          <w:color w:val="000000"/>
        </w:rPr>
        <w:t>34( 1</w:t>
      </w:r>
      <w:proofErr w:type="gramEnd"/>
      <w:r w:rsidRPr="007D4D0B">
        <w:rPr>
          <w:rFonts w:ascii="Times New Roman" w:hAnsi="Times New Roman"/>
          <w:color w:val="000000"/>
        </w:rPr>
        <w:t>),83–87.</w:t>
      </w:r>
    </w:p>
    <w:p w14:paraId="4CE2F004" w14:textId="77777777" w:rsidR="002B0102" w:rsidRPr="007D4D0B" w:rsidRDefault="002B0102" w:rsidP="002B0102">
      <w:pPr>
        <w:numPr>
          <w:ilvl w:val="0"/>
          <w:numId w:val="32"/>
        </w:numPr>
        <w:pBdr>
          <w:top w:val="nil"/>
          <w:left w:val="nil"/>
          <w:bottom w:val="nil"/>
          <w:right w:val="nil"/>
          <w:between w:val="nil"/>
        </w:pBdr>
        <w:spacing w:line="480" w:lineRule="auto"/>
        <w:rPr>
          <w:rFonts w:ascii="Times New Roman" w:hAnsi="Times New Roman"/>
        </w:rPr>
      </w:pPr>
      <w:r w:rsidRPr="007D4D0B">
        <w:rPr>
          <w:rFonts w:ascii="Times New Roman" w:hAnsi="Times New Roman"/>
          <w:color w:val="000000"/>
        </w:rPr>
        <w:t xml:space="preserve">Rehman, S. A., Rizwan, S., Faisal, S. S., &amp; Hussain, S. S. (2021). Association between </w:t>
      </w:r>
      <w:proofErr w:type="spellStart"/>
      <w:r w:rsidRPr="007D4D0B">
        <w:rPr>
          <w:rFonts w:ascii="Times New Roman" w:hAnsi="Times New Roman"/>
          <w:color w:val="000000"/>
        </w:rPr>
        <w:t>intercanine</w:t>
      </w:r>
      <w:proofErr w:type="spellEnd"/>
      <w:r w:rsidRPr="007D4D0B">
        <w:rPr>
          <w:rFonts w:ascii="Times New Roman" w:hAnsi="Times New Roman"/>
          <w:color w:val="000000"/>
        </w:rPr>
        <w:t xml:space="preserve"> width and mandibular dental arch forms. Journal of College of Physicians and Surgeons Pakistan, 31(4), 478–480. </w:t>
      </w:r>
    </w:p>
    <w:p w14:paraId="391E9E33" w14:textId="77777777" w:rsidR="002B0102" w:rsidRPr="007D4D0B" w:rsidRDefault="002B0102" w:rsidP="002B0102">
      <w:pPr>
        <w:numPr>
          <w:ilvl w:val="0"/>
          <w:numId w:val="32"/>
        </w:numPr>
        <w:pBdr>
          <w:top w:val="nil"/>
          <w:left w:val="nil"/>
          <w:bottom w:val="nil"/>
          <w:right w:val="nil"/>
          <w:between w:val="nil"/>
        </w:pBdr>
        <w:spacing w:line="480" w:lineRule="auto"/>
        <w:rPr>
          <w:rFonts w:ascii="Times New Roman" w:hAnsi="Times New Roman"/>
        </w:rPr>
      </w:pPr>
      <w:r w:rsidRPr="007D4D0B">
        <w:rPr>
          <w:rFonts w:ascii="Times New Roman" w:hAnsi="Times New Roman"/>
          <w:color w:val="000000"/>
        </w:rPr>
        <w:t xml:space="preserve">Umeano, D. J., Ize-Iyamu, I. N., </w:t>
      </w:r>
      <w:proofErr w:type="spellStart"/>
      <w:r w:rsidRPr="007D4D0B">
        <w:rPr>
          <w:rFonts w:ascii="Times New Roman" w:hAnsi="Times New Roman"/>
          <w:color w:val="000000"/>
        </w:rPr>
        <w:t>Otaren</w:t>
      </w:r>
      <w:proofErr w:type="spellEnd"/>
      <w:r w:rsidRPr="007D4D0B">
        <w:rPr>
          <w:rFonts w:ascii="Times New Roman" w:hAnsi="Times New Roman"/>
          <w:color w:val="000000"/>
        </w:rPr>
        <w:t xml:space="preserve">, N. J. (2022). Assessment of </w:t>
      </w:r>
      <w:proofErr w:type="spellStart"/>
      <w:r w:rsidRPr="007D4D0B">
        <w:rPr>
          <w:rFonts w:ascii="Times New Roman" w:hAnsi="Times New Roman"/>
          <w:color w:val="000000"/>
        </w:rPr>
        <w:t>intercanine</w:t>
      </w:r>
      <w:proofErr w:type="spellEnd"/>
      <w:r w:rsidRPr="007D4D0B">
        <w:rPr>
          <w:rFonts w:ascii="Times New Roman" w:hAnsi="Times New Roman"/>
          <w:color w:val="000000"/>
        </w:rPr>
        <w:t xml:space="preserve"> and intermolar width of untreated orthodontic patients with crowded and uncrowded dentitions in Benin City, Nigeria. Nigerian Journal of Medical Dental Education, 4(2), 69–76.</w:t>
      </w:r>
    </w:p>
    <w:p w14:paraId="66A7CEB6" w14:textId="77777777" w:rsidR="002B0102" w:rsidRPr="007D4D0B" w:rsidRDefault="002B0102" w:rsidP="002B0102">
      <w:pPr>
        <w:numPr>
          <w:ilvl w:val="0"/>
          <w:numId w:val="32"/>
        </w:numPr>
        <w:pBdr>
          <w:top w:val="nil"/>
          <w:left w:val="nil"/>
          <w:bottom w:val="nil"/>
          <w:right w:val="nil"/>
          <w:between w:val="nil"/>
        </w:pBdr>
        <w:spacing w:line="480" w:lineRule="auto"/>
        <w:rPr>
          <w:rFonts w:ascii="Times New Roman" w:hAnsi="Times New Roman"/>
        </w:rPr>
      </w:pPr>
      <w:r w:rsidRPr="007D4D0B">
        <w:rPr>
          <w:rFonts w:ascii="Times New Roman" w:hAnsi="Times New Roman"/>
          <w:color w:val="000000"/>
        </w:rPr>
        <w:t xml:space="preserve">Ribeiro, J. S., Ambrosio, A. R., Santos-Pinto,   A., Shimizu, I. A., &amp; Shimizu, R. H. (2012).  Evaluation of transverse changes in dental arches according to growth pattern: A longitudinal study. Dental Press Journal of Orthodontics, 17 (1), 66–73. </w:t>
      </w:r>
    </w:p>
    <w:p w14:paraId="4EB20132" w14:textId="77777777" w:rsidR="002B0102" w:rsidRPr="007D4D0B" w:rsidRDefault="002B0102" w:rsidP="002B0102">
      <w:pPr>
        <w:numPr>
          <w:ilvl w:val="0"/>
          <w:numId w:val="32"/>
        </w:numPr>
        <w:pBdr>
          <w:top w:val="nil"/>
          <w:left w:val="nil"/>
          <w:bottom w:val="nil"/>
          <w:right w:val="nil"/>
          <w:between w:val="nil"/>
        </w:pBdr>
        <w:spacing w:line="480" w:lineRule="auto"/>
        <w:rPr>
          <w:rFonts w:ascii="Times New Roman" w:hAnsi="Times New Roman"/>
        </w:rPr>
      </w:pPr>
      <w:r w:rsidRPr="007D4D0B">
        <w:rPr>
          <w:rFonts w:ascii="Times New Roman" w:hAnsi="Times New Roman"/>
          <w:color w:val="000000"/>
        </w:rPr>
        <w:t xml:space="preserve">Adebanke, K. K., Temitope, O. D., Oke, O. A., &amp; Abiodun, O. G. (2019). Comparison of tooth dimensions of orthodontic and normal Nigerian populations. Journal of Restorative Dentistry, 7 (4), 59–65. </w:t>
      </w:r>
    </w:p>
    <w:p w14:paraId="1DE4B647" w14:textId="77777777" w:rsidR="002B0102" w:rsidRPr="007D4D0B" w:rsidRDefault="002B0102" w:rsidP="002B0102">
      <w:pPr>
        <w:numPr>
          <w:ilvl w:val="0"/>
          <w:numId w:val="32"/>
        </w:numPr>
        <w:pBdr>
          <w:top w:val="nil"/>
          <w:left w:val="nil"/>
          <w:bottom w:val="nil"/>
          <w:right w:val="nil"/>
          <w:between w:val="nil"/>
        </w:pBdr>
        <w:spacing w:line="480" w:lineRule="auto"/>
        <w:rPr>
          <w:rFonts w:ascii="Times New Roman" w:hAnsi="Times New Roman"/>
        </w:rPr>
      </w:pPr>
      <w:proofErr w:type="spellStart"/>
      <w:r w:rsidRPr="007D4D0B">
        <w:rPr>
          <w:rFonts w:ascii="Times New Roman" w:hAnsi="Times New Roman"/>
          <w:color w:val="000000"/>
        </w:rPr>
        <w:t>Osiatuma</w:t>
      </w:r>
      <w:proofErr w:type="spellEnd"/>
      <w:r w:rsidRPr="007D4D0B">
        <w:rPr>
          <w:rFonts w:ascii="Times New Roman" w:hAnsi="Times New Roman"/>
          <w:color w:val="000000"/>
        </w:rPr>
        <w:t xml:space="preserve">, V. I., </w:t>
      </w:r>
      <w:proofErr w:type="spellStart"/>
      <w:r w:rsidRPr="007D4D0B">
        <w:rPr>
          <w:rFonts w:ascii="Times New Roman" w:hAnsi="Times New Roman"/>
          <w:color w:val="000000"/>
        </w:rPr>
        <w:t>Otuyemi</w:t>
      </w:r>
      <w:proofErr w:type="spellEnd"/>
      <w:r w:rsidRPr="007D4D0B">
        <w:rPr>
          <w:rFonts w:ascii="Times New Roman" w:hAnsi="Times New Roman"/>
          <w:color w:val="000000"/>
        </w:rPr>
        <w:t xml:space="preserve">, O. D., Kolawole, K. A., Amusa, Y. B., &amp; </w:t>
      </w:r>
      <w:proofErr w:type="spellStart"/>
      <w:r w:rsidRPr="007D4D0B">
        <w:rPr>
          <w:rFonts w:ascii="Times New Roman" w:hAnsi="Times New Roman"/>
          <w:color w:val="000000"/>
        </w:rPr>
        <w:t>Ogunbanjo</w:t>
      </w:r>
      <w:proofErr w:type="spellEnd"/>
      <w:r w:rsidRPr="007D4D0B">
        <w:rPr>
          <w:rFonts w:ascii="Times New Roman" w:hAnsi="Times New Roman"/>
          <w:color w:val="000000"/>
        </w:rPr>
        <w:t xml:space="preserve">, B. O. (2017). Dental arch dimensions of Nigerian children with hypertrophied adenoids. Turkish Journal of Orthodontics, 30 (2), 42–47. </w:t>
      </w:r>
    </w:p>
    <w:p w14:paraId="6A3196D6" w14:textId="77777777" w:rsidR="002B0102" w:rsidRPr="007D4D0B" w:rsidRDefault="002B0102" w:rsidP="002B0102">
      <w:pPr>
        <w:numPr>
          <w:ilvl w:val="0"/>
          <w:numId w:val="32"/>
        </w:numPr>
        <w:pBdr>
          <w:top w:val="nil"/>
          <w:left w:val="nil"/>
          <w:bottom w:val="nil"/>
          <w:right w:val="nil"/>
          <w:between w:val="nil"/>
        </w:pBdr>
        <w:spacing w:line="480" w:lineRule="auto"/>
        <w:rPr>
          <w:rFonts w:ascii="Times New Roman" w:hAnsi="Times New Roman"/>
        </w:rPr>
      </w:pPr>
      <w:proofErr w:type="spellStart"/>
      <w:r w:rsidRPr="007D4D0B">
        <w:rPr>
          <w:rFonts w:ascii="Times New Roman" w:hAnsi="Times New Roman"/>
          <w:color w:val="000000"/>
        </w:rPr>
        <w:t>Ukoha</w:t>
      </w:r>
      <w:proofErr w:type="spellEnd"/>
      <w:r w:rsidRPr="007D4D0B">
        <w:rPr>
          <w:rFonts w:ascii="Times New Roman" w:hAnsi="Times New Roman"/>
          <w:color w:val="000000"/>
        </w:rPr>
        <w:t xml:space="preserve">, U., Okeke, C. M. (2025). Metric assessment of palatal and gnathic indices in a Nigerian population. International Journal of Research and Innovation in Applied Science 10(3), 615–622. </w:t>
      </w:r>
    </w:p>
    <w:p w14:paraId="0B746FCE" w14:textId="77777777" w:rsidR="002B0102" w:rsidRPr="007D4D0B" w:rsidRDefault="002B0102" w:rsidP="002B0102">
      <w:pPr>
        <w:numPr>
          <w:ilvl w:val="0"/>
          <w:numId w:val="32"/>
        </w:numPr>
        <w:pBdr>
          <w:top w:val="nil"/>
          <w:left w:val="nil"/>
          <w:bottom w:val="nil"/>
          <w:right w:val="nil"/>
          <w:between w:val="nil"/>
        </w:pBdr>
        <w:spacing w:line="480" w:lineRule="auto"/>
        <w:rPr>
          <w:rFonts w:ascii="Times New Roman" w:hAnsi="Times New Roman"/>
        </w:rPr>
      </w:pPr>
      <w:r w:rsidRPr="007D4D0B">
        <w:rPr>
          <w:rFonts w:ascii="Times New Roman" w:hAnsi="Times New Roman"/>
          <w:color w:val="000000"/>
        </w:rPr>
        <w:t xml:space="preserve">Okori, H., Apolot, P. S., Mwaka, E., Tumusiime, G., </w:t>
      </w:r>
      <w:proofErr w:type="spellStart"/>
      <w:r w:rsidRPr="007D4D0B">
        <w:rPr>
          <w:rFonts w:ascii="Times New Roman" w:hAnsi="Times New Roman"/>
          <w:color w:val="000000"/>
        </w:rPr>
        <w:t>Buwembo</w:t>
      </w:r>
      <w:proofErr w:type="spellEnd"/>
      <w:r w:rsidRPr="007D4D0B">
        <w:rPr>
          <w:rFonts w:ascii="Times New Roman" w:hAnsi="Times New Roman"/>
          <w:color w:val="000000"/>
        </w:rPr>
        <w:t xml:space="preserve">, W., &amp; </w:t>
      </w:r>
      <w:proofErr w:type="spellStart"/>
      <w:r w:rsidRPr="007D4D0B">
        <w:rPr>
          <w:rFonts w:ascii="Times New Roman" w:hAnsi="Times New Roman"/>
          <w:color w:val="000000"/>
        </w:rPr>
        <w:t>Munabi</w:t>
      </w:r>
      <w:proofErr w:type="spellEnd"/>
      <w:r w:rsidRPr="007D4D0B">
        <w:rPr>
          <w:rFonts w:ascii="Times New Roman" w:hAnsi="Times New Roman"/>
          <w:color w:val="000000"/>
        </w:rPr>
        <w:t xml:space="preserve">, I. G. (2015). Variations of dental arch measurements with age and gender among Ugandans. BMC Research Notes, 8 (1), 428- 434. </w:t>
      </w:r>
    </w:p>
    <w:p w14:paraId="0CF1E012" w14:textId="77777777" w:rsidR="002B0102" w:rsidRPr="007D4D0B" w:rsidRDefault="002B0102" w:rsidP="002B0102">
      <w:pPr>
        <w:numPr>
          <w:ilvl w:val="0"/>
          <w:numId w:val="32"/>
        </w:numPr>
        <w:pBdr>
          <w:top w:val="nil"/>
          <w:left w:val="nil"/>
          <w:bottom w:val="nil"/>
          <w:right w:val="nil"/>
          <w:between w:val="nil"/>
        </w:pBdr>
        <w:spacing w:line="480" w:lineRule="auto"/>
        <w:rPr>
          <w:rFonts w:ascii="Times New Roman" w:hAnsi="Times New Roman"/>
        </w:rPr>
      </w:pPr>
      <w:r w:rsidRPr="007D4D0B">
        <w:rPr>
          <w:rFonts w:ascii="Times New Roman" w:hAnsi="Times New Roman"/>
          <w:color w:val="000000"/>
        </w:rPr>
        <w:lastRenderedPageBreak/>
        <w:t xml:space="preserve">Adeyemi, T. E., </w:t>
      </w:r>
      <w:proofErr w:type="spellStart"/>
      <w:r w:rsidRPr="007D4D0B">
        <w:rPr>
          <w:rFonts w:ascii="Times New Roman" w:hAnsi="Times New Roman"/>
          <w:color w:val="000000"/>
        </w:rPr>
        <w:t>Otuyemi</w:t>
      </w:r>
      <w:proofErr w:type="spellEnd"/>
      <w:r w:rsidRPr="007D4D0B">
        <w:rPr>
          <w:rFonts w:ascii="Times New Roman" w:hAnsi="Times New Roman"/>
          <w:color w:val="000000"/>
        </w:rPr>
        <w:t>, O. D. (2020). Impact of playing wind musical instruments on dental arch dimensions in a male West African population. Nigerian Journal of Clinical Practice, 23 (8), 1120–1126.</w:t>
      </w:r>
    </w:p>
    <w:p w14:paraId="362DC8CA" w14:textId="77777777" w:rsidR="002B0102" w:rsidRPr="007D4D0B" w:rsidRDefault="002B0102" w:rsidP="002B0102">
      <w:pPr>
        <w:numPr>
          <w:ilvl w:val="0"/>
          <w:numId w:val="32"/>
        </w:numPr>
        <w:pBdr>
          <w:top w:val="nil"/>
          <w:left w:val="nil"/>
          <w:bottom w:val="nil"/>
          <w:right w:val="nil"/>
          <w:between w:val="nil"/>
        </w:pBdr>
        <w:spacing w:after="280" w:line="480" w:lineRule="auto"/>
        <w:rPr>
          <w:rFonts w:ascii="Times New Roman" w:hAnsi="Times New Roman"/>
        </w:rPr>
      </w:pPr>
      <w:r w:rsidRPr="007D4D0B">
        <w:rPr>
          <w:rFonts w:ascii="Times New Roman" w:hAnsi="Times New Roman"/>
          <w:color w:val="000000"/>
          <w:lang w:val="fr-FR"/>
        </w:rPr>
        <w:t xml:space="preserve">Patel, N. M., Daruwala, N. R. (2015). </w:t>
      </w:r>
      <w:r w:rsidRPr="007D4D0B">
        <w:rPr>
          <w:rFonts w:ascii="Times New Roman" w:hAnsi="Times New Roman"/>
          <w:color w:val="000000"/>
        </w:rPr>
        <w:t>Appraisal of dental arch dimensions in Gujarati males and females. Advances in Human Biology, 5 (3), 61–66.</w:t>
      </w:r>
    </w:p>
    <w:p w14:paraId="157CB458" w14:textId="77777777" w:rsidR="002B0102" w:rsidRPr="007D4D0B" w:rsidRDefault="002B0102" w:rsidP="002B0102">
      <w:pPr>
        <w:pBdr>
          <w:top w:val="nil"/>
          <w:left w:val="nil"/>
          <w:bottom w:val="nil"/>
          <w:right w:val="nil"/>
          <w:between w:val="nil"/>
        </w:pBdr>
        <w:spacing w:line="480" w:lineRule="auto"/>
        <w:ind w:left="720"/>
        <w:rPr>
          <w:rFonts w:ascii="Times New Roman" w:hAnsi="Times New Roman"/>
        </w:rPr>
      </w:pPr>
    </w:p>
    <w:p w14:paraId="6C1F47F7" w14:textId="77777777" w:rsidR="00790ADA" w:rsidRPr="007D4D0B" w:rsidRDefault="00790ADA" w:rsidP="00441B6F">
      <w:pPr>
        <w:pStyle w:val="ReferHead"/>
        <w:spacing w:after="0"/>
        <w:jc w:val="both"/>
        <w:rPr>
          <w:rFonts w:ascii="Times New Roman" w:hAnsi="Times New Roman"/>
        </w:rPr>
      </w:pPr>
    </w:p>
    <w:sectPr w:rsidR="00790ADA" w:rsidRPr="007D4D0B" w:rsidSect="0019647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B5AD2" w14:textId="77777777" w:rsidR="00740329" w:rsidRDefault="00740329" w:rsidP="00C37E61">
      <w:r>
        <w:separator/>
      </w:r>
    </w:p>
  </w:endnote>
  <w:endnote w:type="continuationSeparator" w:id="0">
    <w:p w14:paraId="147A06DE" w14:textId="77777777" w:rsidR="00740329" w:rsidRDefault="0074032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28F8D" w14:textId="77777777" w:rsidR="00196472" w:rsidRDefault="001964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9A45D" w14:textId="77777777" w:rsidR="00196472" w:rsidRDefault="001964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72A44" w14:textId="5D3585F6" w:rsidR="00754C9A" w:rsidRPr="00196472" w:rsidRDefault="00754C9A" w:rsidP="001964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ED519" w14:textId="77777777" w:rsidR="00740329" w:rsidRDefault="00740329" w:rsidP="00C37E61">
      <w:r>
        <w:separator/>
      </w:r>
    </w:p>
  </w:footnote>
  <w:footnote w:type="continuationSeparator" w:id="0">
    <w:p w14:paraId="6E388286" w14:textId="77777777" w:rsidR="00740329" w:rsidRDefault="0074032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2A665" w14:textId="1C4DD3D6" w:rsidR="00196472" w:rsidRDefault="00B16E64">
    <w:pPr>
      <w:pStyle w:val="Header"/>
    </w:pPr>
    <w:r>
      <w:rPr>
        <w:noProof/>
      </w:rPr>
      <mc:AlternateContent>
        <mc:Choice Requires="wps">
          <w:drawing>
            <wp:anchor distT="0" distB="0" distL="114300" distR="114300" simplePos="0" relativeHeight="251656704" behindDoc="1" locked="0" layoutInCell="0" allowOverlap="1" wp14:anchorId="7B4060DD" wp14:editId="6F68A34E">
              <wp:simplePos x="0" y="0"/>
              <wp:positionH relativeFrom="margin">
                <wp:align>center</wp:align>
              </wp:positionH>
              <wp:positionV relativeFrom="margin">
                <wp:align>center</wp:align>
              </wp:positionV>
              <wp:extent cx="6602730" cy="744855"/>
              <wp:effectExtent l="0" t="2190750" r="0" b="2026920"/>
              <wp:wrapNone/>
              <wp:docPr id="1377031987"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02730" cy="7448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2C1B8E" w14:textId="77777777" w:rsidR="00B16E64" w:rsidRDefault="00B16E64" w:rsidP="00B16E64">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B4060DD" id="_x0000_t202" coordsize="21600,21600" o:spt="202" path="m,l,21600r21600,l21600,xe">
              <v:stroke joinstyle="miter"/>
              <v:path gradientshapeok="t" o:connecttype="rect"/>
            </v:shapetype>
            <v:shape id="WordArt 2" o:spid="_x0000_s1026" type="#_x0000_t202" style="position:absolute;margin-left:0;margin-top:0;width:519.9pt;height:58.6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" o:allowincell="f" filled="f" stroked="f">
              <v:stroke joinstyle="round"/>
              <o:lock v:ext="edit" shapetype="t"/>
              <v:textbox style="mso-fit-shape-to-text:t">
                <w:txbxContent>
                  <w:p w14:paraId="792C1B8E" w14:textId="77777777" w:rsidR="00B16E64" w:rsidRDefault="00B16E64" w:rsidP="00B16E64">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A29C5" w14:textId="0BE757AB" w:rsidR="00196472" w:rsidRDefault="00B16E64">
    <w:pPr>
      <w:pStyle w:val="Header"/>
    </w:pPr>
    <w:r>
      <w:rPr>
        <w:noProof/>
      </w:rPr>
      <mc:AlternateContent>
        <mc:Choice Requires="wps">
          <w:drawing>
            <wp:anchor distT="0" distB="0" distL="114300" distR="114300" simplePos="0" relativeHeight="251657728" behindDoc="1" locked="0" layoutInCell="0" allowOverlap="1" wp14:anchorId="636A06A5" wp14:editId="6B1B2856">
              <wp:simplePos x="0" y="0"/>
              <wp:positionH relativeFrom="margin">
                <wp:align>center</wp:align>
              </wp:positionH>
              <wp:positionV relativeFrom="margin">
                <wp:align>center</wp:align>
              </wp:positionV>
              <wp:extent cx="6602730" cy="744855"/>
              <wp:effectExtent l="0" t="2191385" r="0" b="2026285"/>
              <wp:wrapNone/>
              <wp:docPr id="1236012326"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02730" cy="7448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CCFBE6" w14:textId="77777777" w:rsidR="00B16E64" w:rsidRDefault="00B16E64" w:rsidP="00B16E64">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36A06A5" id="_x0000_t202" coordsize="21600,21600" o:spt="202" path="m,l,21600r21600,l21600,xe">
              <v:stroke joinstyle="miter"/>
              <v:path gradientshapeok="t" o:connecttype="rect"/>
            </v:shapetype>
            <v:shape id="WordArt 3" o:spid="_x0000_s1027" type="#_x0000_t202" style="position:absolute;margin-left:0;margin-top:0;width:519.9pt;height:58.6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" o:allowincell="f" filled="f" stroked="f">
              <v:stroke joinstyle="round"/>
              <o:lock v:ext="edit" shapetype="t"/>
              <v:textbox style="mso-fit-shape-to-text:t">
                <w:txbxContent>
                  <w:p w14:paraId="57CCFBE6" w14:textId="77777777" w:rsidR="00B16E64" w:rsidRDefault="00B16E64" w:rsidP="00B16E64">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C460A" w14:textId="06FCF67B" w:rsidR="00296529" w:rsidRPr="00296529" w:rsidRDefault="00740329" w:rsidP="00296529">
    <w:pPr>
      <w:ind w:left="2160"/>
      <w:jc w:val="center"/>
      <w:rPr>
        <w:rFonts w:ascii="Times New Roman" w:eastAsia="Calibri" w:hAnsi="Times New Roman"/>
        <w:i/>
        <w:sz w:val="18"/>
        <w:szCs w:val="22"/>
      </w:rPr>
    </w:pPr>
    <w:r>
      <w:rPr>
        <w:noProof/>
      </w:rPr>
      <w:pict w14:anchorId="549F86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7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9B7B8D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83BB7D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608D73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C34916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7BBCA8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A558545"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3426E3"/>
    <w:multiLevelType w:val="multilevel"/>
    <w:tmpl w:val="0C0EE0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1AD1022"/>
    <w:multiLevelType w:val="multilevel"/>
    <w:tmpl w:val="2180A49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7"/>
  </w:num>
  <w:num w:numId="10">
    <w:abstractNumId w:val="3"/>
  </w:num>
  <w:num w:numId="11">
    <w:abstractNumId w:val="20"/>
  </w:num>
  <w:num w:numId="12">
    <w:abstractNumId w:val="4"/>
  </w:num>
  <w:num w:numId="13">
    <w:abstractNumId w:val="19"/>
  </w:num>
  <w:num w:numId="14">
    <w:abstractNumId w:val="9"/>
  </w:num>
  <w:num w:numId="15">
    <w:abstractNumId w:val="23"/>
  </w:num>
  <w:num w:numId="16">
    <w:abstractNumId w:val="6"/>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1"/>
  </w:num>
  <w:num w:numId="31">
    <w:abstractNumId w:val="17"/>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2A11"/>
    <w:rsid w:val="000E6D85"/>
    <w:rsid w:val="000E7B7B"/>
    <w:rsid w:val="000E7D62"/>
    <w:rsid w:val="000F4110"/>
    <w:rsid w:val="00103357"/>
    <w:rsid w:val="00123C9F"/>
    <w:rsid w:val="00126190"/>
    <w:rsid w:val="00130F17"/>
    <w:rsid w:val="001320BF"/>
    <w:rsid w:val="00163BC4"/>
    <w:rsid w:val="00191062"/>
    <w:rsid w:val="00192B72"/>
    <w:rsid w:val="001964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0102"/>
    <w:rsid w:val="002B27FB"/>
    <w:rsid w:val="002B685A"/>
    <w:rsid w:val="002C0D28"/>
    <w:rsid w:val="002C3017"/>
    <w:rsid w:val="002C57D2"/>
    <w:rsid w:val="002E0D56"/>
    <w:rsid w:val="002E5B6C"/>
    <w:rsid w:val="00315186"/>
    <w:rsid w:val="0033343E"/>
    <w:rsid w:val="00340FC0"/>
    <w:rsid w:val="003512C2"/>
    <w:rsid w:val="00371FB6"/>
    <w:rsid w:val="003763C1"/>
    <w:rsid w:val="00376BBE"/>
    <w:rsid w:val="0039224F"/>
    <w:rsid w:val="003A43A4"/>
    <w:rsid w:val="003A7E18"/>
    <w:rsid w:val="003C4C86"/>
    <w:rsid w:val="003C6258"/>
    <w:rsid w:val="003E2904"/>
    <w:rsid w:val="003E6437"/>
    <w:rsid w:val="003E6DC4"/>
    <w:rsid w:val="00401927"/>
    <w:rsid w:val="0041027F"/>
    <w:rsid w:val="00412475"/>
    <w:rsid w:val="00423789"/>
    <w:rsid w:val="00440F43"/>
    <w:rsid w:val="00441B6F"/>
    <w:rsid w:val="00446221"/>
    <w:rsid w:val="00450E62"/>
    <w:rsid w:val="004539DB"/>
    <w:rsid w:val="00471A80"/>
    <w:rsid w:val="00482AB5"/>
    <w:rsid w:val="00486364"/>
    <w:rsid w:val="004960FE"/>
    <w:rsid w:val="004C158F"/>
    <w:rsid w:val="004D305E"/>
    <w:rsid w:val="004D4277"/>
    <w:rsid w:val="00502516"/>
    <w:rsid w:val="00505F06"/>
    <w:rsid w:val="00506828"/>
    <w:rsid w:val="00506ACC"/>
    <w:rsid w:val="0053056E"/>
    <w:rsid w:val="00554FDA"/>
    <w:rsid w:val="005656C8"/>
    <w:rsid w:val="005716F1"/>
    <w:rsid w:val="005B3BDC"/>
    <w:rsid w:val="005C370A"/>
    <w:rsid w:val="005C784C"/>
    <w:rsid w:val="005D17F6"/>
    <w:rsid w:val="005E5539"/>
    <w:rsid w:val="00602BF5"/>
    <w:rsid w:val="00617FDD"/>
    <w:rsid w:val="00633614"/>
    <w:rsid w:val="00633F68"/>
    <w:rsid w:val="00636EB2"/>
    <w:rsid w:val="006375B8"/>
    <w:rsid w:val="00662BBB"/>
    <w:rsid w:val="0066510A"/>
    <w:rsid w:val="00673F9F"/>
    <w:rsid w:val="00686953"/>
    <w:rsid w:val="00687DEA"/>
    <w:rsid w:val="00687E67"/>
    <w:rsid w:val="006967F7"/>
    <w:rsid w:val="006A250C"/>
    <w:rsid w:val="006B21D3"/>
    <w:rsid w:val="006B57D0"/>
    <w:rsid w:val="006D30FF"/>
    <w:rsid w:val="006D6940"/>
    <w:rsid w:val="006F11EC"/>
    <w:rsid w:val="0070082C"/>
    <w:rsid w:val="00712D89"/>
    <w:rsid w:val="007369E6"/>
    <w:rsid w:val="00740329"/>
    <w:rsid w:val="00746E59"/>
    <w:rsid w:val="00754C9A"/>
    <w:rsid w:val="0075599A"/>
    <w:rsid w:val="00761D52"/>
    <w:rsid w:val="0077749E"/>
    <w:rsid w:val="00790ADA"/>
    <w:rsid w:val="007D2288"/>
    <w:rsid w:val="007D4D0B"/>
    <w:rsid w:val="007E088F"/>
    <w:rsid w:val="007F7B32"/>
    <w:rsid w:val="00804BC2"/>
    <w:rsid w:val="0081431A"/>
    <w:rsid w:val="0083216F"/>
    <w:rsid w:val="00860000"/>
    <w:rsid w:val="00863BD3"/>
    <w:rsid w:val="008641ED"/>
    <w:rsid w:val="00866D66"/>
    <w:rsid w:val="008671C6"/>
    <w:rsid w:val="00875803"/>
    <w:rsid w:val="008A6C36"/>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C6717"/>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7D97"/>
    <w:rsid w:val="00A94063"/>
    <w:rsid w:val="00AA6219"/>
    <w:rsid w:val="00AA74E0"/>
    <w:rsid w:val="00AB703F"/>
    <w:rsid w:val="00AC6BB8"/>
    <w:rsid w:val="00AE008F"/>
    <w:rsid w:val="00B01FCD"/>
    <w:rsid w:val="00B16E64"/>
    <w:rsid w:val="00B1776C"/>
    <w:rsid w:val="00B52583"/>
    <w:rsid w:val="00B52896"/>
    <w:rsid w:val="00B95236"/>
    <w:rsid w:val="00B96BD9"/>
    <w:rsid w:val="00BA1B01"/>
    <w:rsid w:val="00BA2641"/>
    <w:rsid w:val="00BB37AA"/>
    <w:rsid w:val="00BB3F72"/>
    <w:rsid w:val="00BC53A0"/>
    <w:rsid w:val="00BE62AD"/>
    <w:rsid w:val="00BF121F"/>
    <w:rsid w:val="00BF1F80"/>
    <w:rsid w:val="00C166EF"/>
    <w:rsid w:val="00C17EB0"/>
    <w:rsid w:val="00C27F5F"/>
    <w:rsid w:val="00C30A0F"/>
    <w:rsid w:val="00C374B4"/>
    <w:rsid w:val="00C37E61"/>
    <w:rsid w:val="00C70F1B"/>
    <w:rsid w:val="00C71A47"/>
    <w:rsid w:val="00C7464C"/>
    <w:rsid w:val="00C85588"/>
    <w:rsid w:val="00C96FB4"/>
    <w:rsid w:val="00CD6755"/>
    <w:rsid w:val="00CD6856"/>
    <w:rsid w:val="00CE0089"/>
    <w:rsid w:val="00CE793C"/>
    <w:rsid w:val="00CF193C"/>
    <w:rsid w:val="00D173F1"/>
    <w:rsid w:val="00D57608"/>
    <w:rsid w:val="00D74CB0"/>
    <w:rsid w:val="00D8295D"/>
    <w:rsid w:val="00DC2A65"/>
    <w:rsid w:val="00DD0F5B"/>
    <w:rsid w:val="00DE15F0"/>
    <w:rsid w:val="00DE5663"/>
    <w:rsid w:val="00DE78AA"/>
    <w:rsid w:val="00E053D0"/>
    <w:rsid w:val="00E15994"/>
    <w:rsid w:val="00E3114E"/>
    <w:rsid w:val="00E31A70"/>
    <w:rsid w:val="00E35B02"/>
    <w:rsid w:val="00E40BE7"/>
    <w:rsid w:val="00E43543"/>
    <w:rsid w:val="00E66496"/>
    <w:rsid w:val="00E66B35"/>
    <w:rsid w:val="00E66E10"/>
    <w:rsid w:val="00E769F6"/>
    <w:rsid w:val="00E8407C"/>
    <w:rsid w:val="00E84F3C"/>
    <w:rsid w:val="00EA012C"/>
    <w:rsid w:val="00EC4A98"/>
    <w:rsid w:val="00EC6A55"/>
    <w:rsid w:val="00ED0288"/>
    <w:rsid w:val="00EE4F29"/>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2C5563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E4354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E43543"/>
    <w:rPr>
      <w:rFonts w:asciiTheme="majorHAnsi" w:eastAsiaTheme="majorEastAsia" w:hAnsiTheme="majorHAnsi" w:cstheme="majorBidi"/>
      <w:color w:val="243F60" w:themeColor="accent1" w:themeShade="7F"/>
      <w:sz w:val="24"/>
      <w:szCs w:val="24"/>
    </w:rPr>
  </w:style>
  <w:style w:type="character" w:customStyle="1" w:styleId="UnresolvedMention2">
    <w:name w:val="Unresolved Mention2"/>
    <w:basedOn w:val="DefaultParagraphFont"/>
    <w:uiPriority w:val="99"/>
    <w:semiHidden/>
    <w:unhideWhenUsed/>
    <w:rsid w:val="003E6D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78D96-C363-4335-91B2-6CD77DAE4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36</TotalTime>
  <Pages>16</Pages>
  <Words>3940</Words>
  <Characters>22460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26348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18</cp:revision>
  <cp:lastPrinted>1999-07-06T11:00:00Z</cp:lastPrinted>
  <dcterms:created xsi:type="dcterms:W3CDTF">2026-02-22T03:14:00Z</dcterms:created>
  <dcterms:modified xsi:type="dcterms:W3CDTF">2026-02-25T11:48:00Z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82af43c9-038d-464d-9cd3-77ec3801aab0</vt:lpwstr>
  </property>
</Properties>
</file>