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AC31" w14:textId="77777777" w:rsidR="00302751" w:rsidRPr="00314829" w:rsidRDefault="00302751" w:rsidP="00302751">
      <w:pPr>
        <w:jc w:val="both"/>
        <w:rPr>
          <w:rFonts w:ascii="Arial" w:hAnsi="Arial" w:cs="Arial"/>
        </w:rPr>
      </w:pPr>
    </w:p>
    <w:p w14:paraId="7147C097" w14:textId="2F7F7C9F" w:rsidR="004A2BC6" w:rsidRPr="0015699F" w:rsidRDefault="00A31C47" w:rsidP="00330B19">
      <w:pPr>
        <w:spacing w:line="240" w:lineRule="auto"/>
        <w:jc w:val="center"/>
        <w:rPr>
          <w:rFonts w:ascii="Arial" w:hAnsi="Arial" w:cs="Arial"/>
          <w:b/>
          <w:bCs/>
        </w:rPr>
      </w:pPr>
      <w:r w:rsidRPr="0015699F">
        <w:rPr>
          <w:rFonts w:ascii="Arial" w:hAnsi="Arial" w:cs="Arial"/>
          <w:b/>
          <w:bCs/>
        </w:rPr>
        <w:t>Phenotypic Assessment of Bacterial and Fungal Colonization on Mobile Phone Earpieces of University Students in Port Harcourt, Nigeria</w:t>
      </w:r>
    </w:p>
    <w:p w14:paraId="1BB9AC99" w14:textId="77777777" w:rsidR="001869D4" w:rsidRPr="001869D4" w:rsidRDefault="001869D4" w:rsidP="001869D4">
      <w:pPr>
        <w:spacing w:line="240" w:lineRule="auto"/>
        <w:jc w:val="both"/>
        <w:rPr>
          <w:rFonts w:ascii="Arial" w:hAnsi="Arial" w:cs="Arial"/>
          <w:b/>
          <w:bCs/>
        </w:rPr>
      </w:pPr>
      <w:r w:rsidRPr="001869D4">
        <w:rPr>
          <w:rFonts w:ascii="Arial" w:hAnsi="Arial" w:cs="Arial"/>
          <w:b/>
          <w:bCs/>
        </w:rPr>
        <w:t>ABSTRACT</w:t>
      </w:r>
    </w:p>
    <w:p w14:paraId="3D1F3483" w14:textId="77777777" w:rsidR="001869D4" w:rsidRPr="00213DEA" w:rsidRDefault="001869D4" w:rsidP="001869D4">
      <w:pPr>
        <w:spacing w:line="240" w:lineRule="auto"/>
        <w:jc w:val="both"/>
        <w:rPr>
          <w:rFonts w:ascii="Arial" w:hAnsi="Arial" w:cs="Arial"/>
        </w:rPr>
      </w:pPr>
      <w:r w:rsidRPr="00213DEA">
        <w:rPr>
          <w:rFonts w:ascii="Arial" w:hAnsi="Arial" w:cs="Arial"/>
        </w:rPr>
        <w:t>Background: Mobile phones are high-contact personal devices that may serve as reservoirs for pathogenic microorganisms. Accessories such as earpieces maintain prolonged contact with the ear canal and may facilitate microbial transmission.</w:t>
      </w:r>
    </w:p>
    <w:p w14:paraId="712E51A4" w14:textId="77777777" w:rsidR="001869D4" w:rsidRPr="00213DEA" w:rsidRDefault="001869D4" w:rsidP="001869D4">
      <w:pPr>
        <w:spacing w:line="240" w:lineRule="auto"/>
        <w:jc w:val="both"/>
        <w:rPr>
          <w:rFonts w:ascii="Arial" w:hAnsi="Arial" w:cs="Arial"/>
        </w:rPr>
      </w:pPr>
      <w:r w:rsidRPr="00213DEA">
        <w:rPr>
          <w:rFonts w:ascii="Arial" w:hAnsi="Arial" w:cs="Arial"/>
        </w:rPr>
        <w:t>Aim: This study investigated bacterial and fungal colonization of mobile phone earpieces used by university students and evaluated the antimicrobial susceptibility profiles of recovered bacterial isolates.</w:t>
      </w:r>
    </w:p>
    <w:p w14:paraId="18FEE86E" w14:textId="77777777" w:rsidR="001869D4" w:rsidRPr="00213DEA" w:rsidRDefault="001869D4" w:rsidP="001869D4">
      <w:pPr>
        <w:spacing w:line="240" w:lineRule="auto"/>
        <w:jc w:val="both"/>
        <w:rPr>
          <w:rFonts w:ascii="Arial" w:hAnsi="Arial" w:cs="Arial"/>
        </w:rPr>
      </w:pPr>
      <w:r w:rsidRPr="00213DEA">
        <w:rPr>
          <w:rFonts w:ascii="Arial" w:hAnsi="Arial" w:cs="Arial"/>
        </w:rPr>
        <w:t>Methods: A cross-sectional descriptive study was conducted on twenty (n = 20) mobile phone earpieces collected from students at Rivers State University, Port Harcourt, Nigeria. Swab samples were cultured on selective bacteriological and mycological media. Isolates were identified using standard microbiological techniques. Antimicrobial susceptibility testing was performed using the Kirby–Bauer disk diffusion method following CLSI (2023) guidelines. A total of thirty-six (n = 36) bacterial isolates were recovered and tested.</w:t>
      </w:r>
    </w:p>
    <w:p w14:paraId="06279483" w14:textId="11B7D056" w:rsidR="001869D4" w:rsidRPr="00213DEA" w:rsidRDefault="001869D4" w:rsidP="001869D4">
      <w:pPr>
        <w:spacing w:line="240" w:lineRule="auto"/>
        <w:jc w:val="both"/>
        <w:rPr>
          <w:rFonts w:ascii="Arial" w:hAnsi="Arial" w:cs="Arial"/>
        </w:rPr>
      </w:pPr>
      <w:r w:rsidRPr="00213DEA">
        <w:rPr>
          <w:rFonts w:ascii="Arial" w:hAnsi="Arial" w:cs="Arial"/>
        </w:rPr>
        <w:t xml:space="preserve">Results: All earpieces (20/20; 100%) yielded microbial growth. Bacterial isolates included </w:t>
      </w:r>
      <w:r w:rsidRPr="00213DEA">
        <w:rPr>
          <w:rFonts w:ascii="Arial" w:hAnsi="Arial" w:cs="Arial"/>
          <w:i/>
          <w:iCs/>
        </w:rPr>
        <w:t>Staphylococcus aureus</w:t>
      </w:r>
      <w:r w:rsidRPr="00213DEA">
        <w:rPr>
          <w:rFonts w:ascii="Arial" w:hAnsi="Arial" w:cs="Arial"/>
        </w:rPr>
        <w:t xml:space="preserve"> (15/20; 75%), </w:t>
      </w:r>
      <w:r w:rsidRPr="00213DEA">
        <w:rPr>
          <w:rFonts w:ascii="Arial" w:hAnsi="Arial" w:cs="Arial"/>
          <w:i/>
          <w:iCs/>
        </w:rPr>
        <w:t>Staphylococcus epidermidis</w:t>
      </w:r>
      <w:r w:rsidRPr="00213DEA">
        <w:rPr>
          <w:rFonts w:ascii="Arial" w:hAnsi="Arial" w:cs="Arial"/>
        </w:rPr>
        <w:t xml:space="preserve"> (12/20; 60%), </w:t>
      </w:r>
      <w:r w:rsidRPr="00213DEA">
        <w:rPr>
          <w:rFonts w:ascii="Arial" w:hAnsi="Arial" w:cs="Arial"/>
          <w:i/>
          <w:iCs/>
        </w:rPr>
        <w:t>Escherichia coli</w:t>
      </w:r>
      <w:r w:rsidRPr="00213DEA">
        <w:rPr>
          <w:rFonts w:ascii="Arial" w:hAnsi="Arial" w:cs="Arial"/>
        </w:rPr>
        <w:t xml:space="preserve"> (5/20; 25%), and </w:t>
      </w:r>
      <w:r w:rsidRPr="00213DEA">
        <w:rPr>
          <w:rFonts w:ascii="Arial" w:hAnsi="Arial" w:cs="Arial"/>
          <w:i/>
          <w:iCs/>
        </w:rPr>
        <w:t>Pseudomonas aeruginosa</w:t>
      </w:r>
      <w:r w:rsidRPr="00213DEA">
        <w:rPr>
          <w:rFonts w:ascii="Arial" w:hAnsi="Arial" w:cs="Arial"/>
        </w:rPr>
        <w:t xml:space="preserve"> (4/20; 20%). Fungal isolates included </w:t>
      </w:r>
      <w:r w:rsidRPr="00213DEA">
        <w:rPr>
          <w:rFonts w:ascii="Arial" w:hAnsi="Arial" w:cs="Arial"/>
          <w:i/>
          <w:iCs/>
        </w:rPr>
        <w:t>Candida</w:t>
      </w:r>
      <w:r w:rsidRPr="00213DEA">
        <w:rPr>
          <w:rFonts w:ascii="Arial" w:hAnsi="Arial" w:cs="Arial"/>
        </w:rPr>
        <w:t xml:space="preserve"> spp. (8/20; 40%) and </w:t>
      </w:r>
      <w:r w:rsidRPr="00213DEA">
        <w:rPr>
          <w:rFonts w:ascii="Arial" w:hAnsi="Arial" w:cs="Arial"/>
          <w:i/>
          <w:iCs/>
        </w:rPr>
        <w:t>Aspergillus</w:t>
      </w:r>
      <w:r w:rsidRPr="00213DEA">
        <w:rPr>
          <w:rFonts w:ascii="Arial" w:hAnsi="Arial" w:cs="Arial"/>
        </w:rPr>
        <w:t xml:space="preserve"> spp. (5/20; 25%). Reduced susceptibility was highest against amoxicillin (13/36; 36.1%), erythromycin (11/31; 35.5%), and tetracycline (12/36; 33.3%). Multidrug resistance (MDR), defined as resistance to at least one agent in three or more antimicrobial classes, was observed in </w:t>
      </w:r>
      <w:r w:rsidRPr="00213DEA">
        <w:rPr>
          <w:rFonts w:ascii="Arial" w:hAnsi="Arial" w:cs="Arial"/>
          <w:i/>
          <w:iCs/>
        </w:rPr>
        <w:t>S. aureus</w:t>
      </w:r>
      <w:r w:rsidRPr="00213DEA">
        <w:rPr>
          <w:rFonts w:ascii="Arial" w:hAnsi="Arial" w:cs="Arial"/>
        </w:rPr>
        <w:t xml:space="preserve"> (4/15; 26.7%) and </w:t>
      </w:r>
      <w:r w:rsidRPr="00213DEA">
        <w:rPr>
          <w:rFonts w:ascii="Arial" w:hAnsi="Arial" w:cs="Arial"/>
          <w:i/>
          <w:iCs/>
        </w:rPr>
        <w:t>P. aeruginosa</w:t>
      </w:r>
      <w:r w:rsidRPr="00213DEA">
        <w:rPr>
          <w:rFonts w:ascii="Arial" w:hAnsi="Arial" w:cs="Arial"/>
        </w:rPr>
        <w:t xml:space="preserve"> (2/4; 50%). </w:t>
      </w:r>
      <w:r w:rsidR="00FB177E">
        <w:rPr>
          <w:rFonts w:ascii="Arial" w:hAnsi="Arial" w:cs="Arial"/>
        </w:rPr>
        <w:t>C</w:t>
      </w:r>
      <w:r w:rsidRPr="00213DEA">
        <w:rPr>
          <w:rFonts w:ascii="Arial" w:hAnsi="Arial" w:cs="Arial"/>
        </w:rPr>
        <w:t>iprofloxacin (5 µg) demonstrated the highest sensitivity rates (30/36; 83.3%).</w:t>
      </w:r>
    </w:p>
    <w:p w14:paraId="3779232F" w14:textId="77777777" w:rsidR="001869D4" w:rsidRPr="00213DEA" w:rsidRDefault="001869D4" w:rsidP="001869D4">
      <w:pPr>
        <w:spacing w:line="240" w:lineRule="auto"/>
        <w:jc w:val="both"/>
        <w:rPr>
          <w:rFonts w:ascii="Arial" w:hAnsi="Arial" w:cs="Arial"/>
        </w:rPr>
      </w:pPr>
      <w:r w:rsidRPr="00213DEA">
        <w:rPr>
          <w:rFonts w:ascii="Arial" w:hAnsi="Arial" w:cs="Arial"/>
        </w:rPr>
        <w:t>Conclusion: Mobile phone earpieces serve as reservoirs for potentially pathogenic and multidrug-resistant microorganisms. Regular disinfection and improved hygiene practices are recommended to reduce microbial transmission risks.</w:t>
      </w:r>
    </w:p>
    <w:p w14:paraId="3D478164" w14:textId="53C02FB5" w:rsidR="001869D4" w:rsidRPr="00FB177E" w:rsidRDefault="001869D4" w:rsidP="001869D4">
      <w:pPr>
        <w:spacing w:line="240" w:lineRule="auto"/>
        <w:jc w:val="both"/>
        <w:rPr>
          <w:rFonts w:ascii="Arial" w:hAnsi="Arial" w:cs="Arial"/>
          <w:i/>
          <w:iCs/>
        </w:rPr>
      </w:pPr>
      <w:r w:rsidRPr="00FB177E">
        <w:rPr>
          <w:rFonts w:ascii="Arial" w:hAnsi="Arial" w:cs="Arial"/>
          <w:i/>
          <w:iCs/>
        </w:rPr>
        <w:t>Keywords: Mobile phones; Earpieces; Microbial colonization; Antimicrobial resistance; Multidrug resistance; Nigeria</w:t>
      </w:r>
      <w:r w:rsidR="00FB177E">
        <w:rPr>
          <w:rFonts w:ascii="Arial" w:hAnsi="Arial" w:cs="Arial"/>
          <w:i/>
          <w:iCs/>
        </w:rPr>
        <w:t>.</w:t>
      </w:r>
    </w:p>
    <w:p w14:paraId="0B3DB3ED"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INTRODUCTION</w:t>
      </w:r>
    </w:p>
    <w:p w14:paraId="40198C2C" w14:textId="77777777" w:rsidR="00C92B0A" w:rsidRDefault="00801A6C" w:rsidP="0015699F">
      <w:pPr>
        <w:spacing w:line="240" w:lineRule="auto"/>
        <w:jc w:val="both"/>
        <w:rPr>
          <w:rFonts w:ascii="Arial" w:hAnsi="Arial" w:cs="Arial"/>
        </w:rPr>
      </w:pPr>
      <w:r w:rsidRPr="00801A6C">
        <w:rPr>
          <w:rFonts w:ascii="Arial" w:hAnsi="Arial" w:cs="Arial"/>
        </w:rPr>
        <w:t>Mobile phones have become ubiquitous, serving not only as tools for communication but also as essential instruments for academic, social, and professional purposes. Their frequent handling and constant exposure to diverse environments make these devices potential reservoirs for microorganisms, including bacteria and fungi (</w:t>
      </w:r>
      <w:proofErr w:type="spellStart"/>
      <w:r w:rsidRPr="00801A6C">
        <w:rPr>
          <w:rFonts w:ascii="Arial" w:hAnsi="Arial" w:cs="Arial"/>
        </w:rPr>
        <w:t>Zenbaba</w:t>
      </w:r>
      <w:proofErr w:type="spellEnd"/>
      <w:r w:rsidRPr="00801A6C">
        <w:rPr>
          <w:rFonts w:ascii="Arial" w:hAnsi="Arial" w:cs="Arial"/>
        </w:rPr>
        <w:t xml:space="preserve"> et al., 2023; Kayed et al., 2023). </w:t>
      </w:r>
    </w:p>
    <w:p w14:paraId="592C428B" w14:textId="5E38B235" w:rsidR="00801A6C" w:rsidRPr="00801A6C" w:rsidRDefault="00801A6C" w:rsidP="0015699F">
      <w:pPr>
        <w:spacing w:line="240" w:lineRule="auto"/>
        <w:jc w:val="both"/>
        <w:rPr>
          <w:rFonts w:ascii="Arial" w:hAnsi="Arial" w:cs="Arial"/>
        </w:rPr>
      </w:pPr>
      <w:r w:rsidRPr="00801A6C">
        <w:rPr>
          <w:rFonts w:ascii="Arial" w:hAnsi="Arial" w:cs="Arial"/>
        </w:rPr>
        <w:t xml:space="preserve">The risk of contamination is not restricted to healthcare settings; community and academic environments are equally vulnerable, where mobile devices can facilitate the </w:t>
      </w:r>
      <w:r w:rsidRPr="00801A6C">
        <w:rPr>
          <w:rFonts w:ascii="Arial" w:hAnsi="Arial" w:cs="Arial"/>
        </w:rPr>
        <w:lastRenderedPageBreak/>
        <w:t>indirect transfer of pathogenic microorganisms between users or from contaminated surfaces to mucous membranes and skin.</w:t>
      </w:r>
    </w:p>
    <w:p w14:paraId="1201B839"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Studies conducted across various student populations have documented the presence of pathogenic bacteria on mobile phones, including </w:t>
      </w:r>
      <w:r w:rsidRPr="00801A6C">
        <w:rPr>
          <w:rFonts w:ascii="Arial" w:hAnsi="Arial" w:cs="Arial"/>
          <w:i/>
          <w:iCs/>
        </w:rPr>
        <w:t>Staphylococcus aureus</w:t>
      </w:r>
      <w:r w:rsidRPr="00801A6C">
        <w:rPr>
          <w:rFonts w:ascii="Arial" w:hAnsi="Arial" w:cs="Arial"/>
        </w:rPr>
        <w:t xml:space="preserve">, </w:t>
      </w:r>
      <w:r w:rsidRPr="00801A6C">
        <w:rPr>
          <w:rFonts w:ascii="Arial" w:hAnsi="Arial" w:cs="Arial"/>
          <w:i/>
          <w:iCs/>
        </w:rPr>
        <w:t>Escherichia coli</w:t>
      </w:r>
      <w:r w:rsidRPr="00801A6C">
        <w:rPr>
          <w:rFonts w:ascii="Arial" w:hAnsi="Arial" w:cs="Arial"/>
        </w:rPr>
        <w:t xml:space="preserve">, and </w:t>
      </w:r>
      <w:r w:rsidRPr="00801A6C">
        <w:rPr>
          <w:rFonts w:ascii="Arial" w:hAnsi="Arial" w:cs="Arial"/>
          <w:i/>
          <w:iCs/>
        </w:rPr>
        <w:t>Pseudomonas aeruginosa</w:t>
      </w:r>
      <w:r w:rsidRPr="00801A6C">
        <w:rPr>
          <w:rFonts w:ascii="Arial" w:hAnsi="Arial" w:cs="Arial"/>
        </w:rPr>
        <w:t xml:space="preserve"> (Adomi, 2022; Shilpa et al., 2025). These organisms can act as opportunistic pathogens, causing infections particularly in immunocompromised individuals or those with minor injuries. Frequent handling of mobile devices without prior hand hygiene enhances the potential for microbial transfer, making personal devices important but often overlooked vectors of infection (</w:t>
      </w:r>
      <w:proofErr w:type="spellStart"/>
      <w:r w:rsidRPr="00801A6C">
        <w:rPr>
          <w:rFonts w:ascii="Arial" w:hAnsi="Arial" w:cs="Arial"/>
        </w:rPr>
        <w:t>Mbanga</w:t>
      </w:r>
      <w:proofErr w:type="spellEnd"/>
      <w:r w:rsidRPr="00801A6C">
        <w:rPr>
          <w:rFonts w:ascii="Arial" w:hAnsi="Arial" w:cs="Arial"/>
        </w:rPr>
        <w:t xml:space="preserve"> et al., 2021).</w:t>
      </w:r>
    </w:p>
    <w:p w14:paraId="6705217F"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In addition to bacterial contamination, fungal colonization has also been reported on mobile phones. Species such as </w:t>
      </w:r>
      <w:r w:rsidRPr="00801A6C">
        <w:rPr>
          <w:rFonts w:ascii="Arial" w:hAnsi="Arial" w:cs="Arial"/>
          <w:i/>
          <w:iCs/>
        </w:rPr>
        <w:t>Candida albicans</w:t>
      </w:r>
      <w:r w:rsidRPr="00801A6C">
        <w:rPr>
          <w:rFonts w:ascii="Arial" w:hAnsi="Arial" w:cs="Arial"/>
        </w:rPr>
        <w:t xml:space="preserve">, </w:t>
      </w:r>
      <w:r w:rsidRPr="00801A6C">
        <w:rPr>
          <w:rFonts w:ascii="Arial" w:hAnsi="Arial" w:cs="Arial"/>
          <w:i/>
          <w:iCs/>
        </w:rPr>
        <w:t>Candida tropicalis</w:t>
      </w:r>
      <w:r w:rsidRPr="00801A6C">
        <w:rPr>
          <w:rFonts w:ascii="Arial" w:hAnsi="Arial" w:cs="Arial"/>
        </w:rPr>
        <w:t xml:space="preserve">, and </w:t>
      </w:r>
      <w:r w:rsidRPr="00801A6C">
        <w:rPr>
          <w:rFonts w:ascii="Arial" w:hAnsi="Arial" w:cs="Arial"/>
          <w:i/>
          <w:iCs/>
        </w:rPr>
        <w:t xml:space="preserve">Aspergillus </w:t>
      </w:r>
      <w:proofErr w:type="spellStart"/>
      <w:r w:rsidRPr="00801A6C">
        <w:rPr>
          <w:rFonts w:ascii="Arial" w:hAnsi="Arial" w:cs="Arial"/>
          <w:i/>
          <w:iCs/>
        </w:rPr>
        <w:t>niger</w:t>
      </w:r>
      <w:proofErr w:type="spellEnd"/>
      <w:r w:rsidRPr="00801A6C">
        <w:rPr>
          <w:rFonts w:ascii="Arial" w:hAnsi="Arial" w:cs="Arial"/>
        </w:rPr>
        <w:t xml:space="preserve"> have been isolated from both handsets and accessories like earpieces, reflecting the ability of warm, moist environments to support fungal survival and growth (Dubljanin et al., 2022; Ahmed et al., 2023). Fungal contamination poses additional health risks, particularly for individuals with respiratory vulnerabilities or compromised immune systems.</w:t>
      </w:r>
    </w:p>
    <w:p w14:paraId="4AE2E738"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A growing concern in the study of mobile phone contamination is the emergence of antimicrobial-resistant microorganisms. Recent investigations have reported the presence of multidrug-resistant bacteria, including methicillin-resistant </w:t>
      </w:r>
      <w:r w:rsidRPr="00801A6C">
        <w:rPr>
          <w:rFonts w:ascii="Arial" w:hAnsi="Arial" w:cs="Arial"/>
          <w:i/>
          <w:iCs/>
        </w:rPr>
        <w:t>Staphylococcus aureus</w:t>
      </w:r>
      <w:r w:rsidRPr="00801A6C">
        <w:rPr>
          <w:rFonts w:ascii="Arial" w:hAnsi="Arial" w:cs="Arial"/>
        </w:rPr>
        <w:t xml:space="preserve"> (MRSA) and multidrug-resistant </w:t>
      </w:r>
      <w:r w:rsidRPr="00801A6C">
        <w:rPr>
          <w:rFonts w:ascii="Arial" w:hAnsi="Arial" w:cs="Arial"/>
          <w:i/>
          <w:iCs/>
        </w:rPr>
        <w:t>Pseudomonas aeruginosa</w:t>
      </w:r>
      <w:r w:rsidRPr="00801A6C">
        <w:rPr>
          <w:rFonts w:ascii="Arial" w:hAnsi="Arial" w:cs="Arial"/>
        </w:rPr>
        <w:t>, on mobile phones in both healthcare and community settings (Kayed et al., 2023; Shilpa et al., 2025). These findings highlight mobile phones as potential reservoirs for resistant strains, raising concerns about the role of personal electronic devices in the dissemination of antimicrobial resistance in the broader community (Al-Azzam et al., 2022; Zubair et al., 2021).</w:t>
      </w:r>
    </w:p>
    <w:p w14:paraId="7DCD2043" w14:textId="77777777" w:rsidR="00801A6C" w:rsidRPr="00801A6C" w:rsidRDefault="00801A6C" w:rsidP="0015699F">
      <w:pPr>
        <w:spacing w:line="240" w:lineRule="auto"/>
        <w:jc w:val="both"/>
        <w:rPr>
          <w:rFonts w:ascii="Arial" w:hAnsi="Arial" w:cs="Arial"/>
        </w:rPr>
      </w:pPr>
      <w:r w:rsidRPr="00801A6C">
        <w:rPr>
          <w:rFonts w:ascii="Arial" w:hAnsi="Arial" w:cs="Arial"/>
        </w:rPr>
        <w:t>Despite the growing body of literature on mobile phone contamination, few studies have specifically targeted mobile phone earpieces. Earpieces differ from handsets in that they maintain prolonged contact with the ear canal, a region rich in sebum and moisture, potentially creating an ideal environment for microbial colonization (Olayemi et al., 2020). The close proximity to skin and mucous membranes may facilitate more direct microbial transfer, yet earpieces are often neglected in hygiene practices and are rarely cleaned or disinfected.</w:t>
      </w:r>
    </w:p>
    <w:p w14:paraId="415BB123" w14:textId="14E817D5" w:rsidR="00801A6C" w:rsidRDefault="00801A6C" w:rsidP="0015699F">
      <w:pPr>
        <w:spacing w:line="240" w:lineRule="auto"/>
        <w:jc w:val="both"/>
        <w:rPr>
          <w:rFonts w:ascii="Arial" w:hAnsi="Arial" w:cs="Arial"/>
        </w:rPr>
      </w:pPr>
      <w:r w:rsidRPr="00801A6C">
        <w:rPr>
          <w:rFonts w:ascii="Arial" w:hAnsi="Arial" w:cs="Arial"/>
        </w:rPr>
        <w:t>This study seeks to address this knowledge gap by evaluating bacterial and fungal contamination of mobile phone earpieces among university students in Port Harcourt, Nigeria. Additionally, the study aims to determine the anti</w:t>
      </w:r>
      <w:r w:rsidR="00006867">
        <w:rPr>
          <w:rFonts w:ascii="Arial" w:hAnsi="Arial" w:cs="Arial"/>
        </w:rPr>
        <w:t>biotic</w:t>
      </w:r>
      <w:r w:rsidRPr="00801A6C">
        <w:rPr>
          <w:rFonts w:ascii="Arial" w:hAnsi="Arial" w:cs="Arial"/>
        </w:rPr>
        <w:t xml:space="preserve"> susceptibility patterns of bacterial isolates recovered from these devices. The findings are expected to contribute to awareness regarding mobile device hygiene, provide baseline data on microbial contamination in academic settings, and inform practical strategies for minimizing the risk of microbial transmission through personal electronic devices.</w:t>
      </w:r>
    </w:p>
    <w:p w14:paraId="0DB83572" w14:textId="77777777" w:rsidR="00006867" w:rsidRDefault="00006867" w:rsidP="0015699F">
      <w:pPr>
        <w:spacing w:line="240" w:lineRule="auto"/>
        <w:jc w:val="both"/>
        <w:rPr>
          <w:rFonts w:ascii="Arial" w:hAnsi="Arial" w:cs="Arial"/>
          <w:b/>
          <w:bCs/>
        </w:rPr>
      </w:pPr>
    </w:p>
    <w:p w14:paraId="76E39B0A" w14:textId="77777777" w:rsidR="00C92B0A" w:rsidRPr="00801A6C" w:rsidRDefault="00C92B0A" w:rsidP="0015699F">
      <w:pPr>
        <w:spacing w:line="240" w:lineRule="auto"/>
        <w:jc w:val="both"/>
        <w:rPr>
          <w:rFonts w:ascii="Arial" w:hAnsi="Arial" w:cs="Arial"/>
        </w:rPr>
      </w:pPr>
    </w:p>
    <w:p w14:paraId="269B7F46"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lastRenderedPageBreak/>
        <w:t>MATERIALS AND METHODS</w:t>
      </w:r>
    </w:p>
    <w:p w14:paraId="366E5EC5"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Study Design and Area</w:t>
      </w:r>
    </w:p>
    <w:p w14:paraId="43368A33" w14:textId="77777777" w:rsidR="00801A6C" w:rsidRPr="00801A6C" w:rsidRDefault="00801A6C" w:rsidP="0015699F">
      <w:pPr>
        <w:spacing w:line="240" w:lineRule="auto"/>
        <w:jc w:val="both"/>
        <w:rPr>
          <w:rFonts w:ascii="Arial" w:hAnsi="Arial" w:cs="Arial"/>
        </w:rPr>
      </w:pPr>
      <w:r w:rsidRPr="00801A6C">
        <w:rPr>
          <w:rFonts w:ascii="Arial" w:hAnsi="Arial" w:cs="Arial"/>
        </w:rPr>
        <w:t>This cross-sectional descriptive study was conducted among students at Rivers State University, Port Harcourt, Nigeria. The investigation focused on bacterial and fungal contamination of mobile phone earpieces and the antimicrobial susceptibility patterns of bacterial isolates.</w:t>
      </w:r>
    </w:p>
    <w:p w14:paraId="1E60B02E"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Sample Collection</w:t>
      </w:r>
    </w:p>
    <w:p w14:paraId="7E538C87" w14:textId="77777777" w:rsidR="00801A6C" w:rsidRPr="00801A6C" w:rsidRDefault="00801A6C" w:rsidP="0015699F">
      <w:pPr>
        <w:spacing w:line="240" w:lineRule="auto"/>
        <w:jc w:val="both"/>
        <w:rPr>
          <w:rFonts w:ascii="Arial" w:hAnsi="Arial" w:cs="Arial"/>
        </w:rPr>
      </w:pPr>
      <w:r w:rsidRPr="00801A6C">
        <w:rPr>
          <w:rFonts w:ascii="Arial" w:hAnsi="Arial" w:cs="Arial"/>
        </w:rPr>
        <w:t>Twenty (20) mobile phone earpieces were randomly collected from consenting students. Sterile cotton swabs moistened with sterile normal saline were used to swab the surfaces of the earpieces. Swabs were immediately transported to the microbiology laboratory for culture and analysis.</w:t>
      </w:r>
    </w:p>
    <w:p w14:paraId="6643239B"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Isolation and Identification of Microorganisms</w:t>
      </w:r>
    </w:p>
    <w:p w14:paraId="38B9E838" w14:textId="77777777" w:rsidR="00801A6C" w:rsidRPr="00801A6C" w:rsidRDefault="00801A6C" w:rsidP="0015699F">
      <w:pPr>
        <w:spacing w:line="240" w:lineRule="auto"/>
        <w:jc w:val="both"/>
        <w:rPr>
          <w:rFonts w:ascii="Arial" w:hAnsi="Arial" w:cs="Arial"/>
        </w:rPr>
      </w:pPr>
      <w:r w:rsidRPr="00801A6C">
        <w:rPr>
          <w:rFonts w:ascii="Arial" w:hAnsi="Arial" w:cs="Arial"/>
        </w:rPr>
        <w:t xml:space="preserve">Swabs were cultured on Nutrient Agar, MacConkey Agar, Mannitol Salt Agar, and </w:t>
      </w:r>
      <w:proofErr w:type="spellStart"/>
      <w:r w:rsidRPr="00801A6C">
        <w:rPr>
          <w:rFonts w:ascii="Arial" w:hAnsi="Arial" w:cs="Arial"/>
        </w:rPr>
        <w:t>Sabouraud</w:t>
      </w:r>
      <w:proofErr w:type="spellEnd"/>
      <w:r w:rsidRPr="00801A6C">
        <w:rPr>
          <w:rFonts w:ascii="Arial" w:hAnsi="Arial" w:cs="Arial"/>
        </w:rPr>
        <w:t xml:space="preserve"> Dextrose Agar using standard microbiological techniques. Bacterial cultures were incubated aerobically at 37 °C for 24–48 hours, while fungal cultures were incubated at 25–28 °C for up to 5 days.</w:t>
      </w:r>
    </w:p>
    <w:p w14:paraId="4F0E904C" w14:textId="77777777" w:rsidR="00801A6C" w:rsidRPr="00801A6C" w:rsidRDefault="00801A6C" w:rsidP="0015699F">
      <w:pPr>
        <w:spacing w:line="240" w:lineRule="auto"/>
        <w:jc w:val="both"/>
        <w:rPr>
          <w:rFonts w:ascii="Arial" w:hAnsi="Arial" w:cs="Arial"/>
        </w:rPr>
      </w:pPr>
      <w:r w:rsidRPr="00801A6C">
        <w:rPr>
          <w:rFonts w:ascii="Arial" w:hAnsi="Arial" w:cs="Arial"/>
        </w:rPr>
        <w:t>Bacterial isolates were identified based on colony morphology, Gram staining, and standard biochemical tests, including catalase, coagulase, oxidase, indole, citrate utilization, and sugar fermentation tests (Cheesbrough, 2019). Fungal isolates were identified using macroscopic colony characteristics and lactophenol cotton blue staining (Dubljanin et al., 2022).</w:t>
      </w:r>
    </w:p>
    <w:p w14:paraId="7CC29949"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Antimicrobial Susceptibility Testing</w:t>
      </w:r>
    </w:p>
    <w:p w14:paraId="6385C545" w14:textId="1E00F1D4" w:rsidR="004A46B7" w:rsidRDefault="00801A6C" w:rsidP="0015699F">
      <w:pPr>
        <w:spacing w:line="240" w:lineRule="auto"/>
        <w:jc w:val="both"/>
        <w:rPr>
          <w:rFonts w:ascii="Arial" w:hAnsi="Arial" w:cs="Arial"/>
        </w:rPr>
      </w:pPr>
      <w:r w:rsidRPr="00801A6C">
        <w:rPr>
          <w:rFonts w:ascii="Arial" w:hAnsi="Arial" w:cs="Arial"/>
        </w:rPr>
        <w:t>Bacterial isolates were subjected to antimicrobial susceptibility testing using the Kirby–Bauer disk diffusion method on Mueller–Hinton Agar. The antibiotics tested were ciprofloxacin (</w:t>
      </w:r>
      <w:r w:rsidR="00211834">
        <w:rPr>
          <w:rFonts w:ascii="Arial" w:hAnsi="Arial" w:cs="Arial"/>
        </w:rPr>
        <w:t>5</w:t>
      </w:r>
      <w:r w:rsidRPr="00801A6C">
        <w:rPr>
          <w:rFonts w:ascii="Arial" w:hAnsi="Arial" w:cs="Arial"/>
        </w:rPr>
        <w:t> µg), gentamicin (10 µg), erythromycin (15 µg), amoxicillin (25 µg), ceftriaxone (30 µg), and tetracycline (30 µg), chosen based on common clinical usage in the study region. Zones of inhibition were measured, and susceptibility interpreted according to CLSI guidelines (CLSI, 2023).</w:t>
      </w:r>
    </w:p>
    <w:p w14:paraId="15764D7D" w14:textId="77777777" w:rsidR="004A46B7" w:rsidRPr="004A46B7" w:rsidRDefault="004A46B7" w:rsidP="004A46B7">
      <w:pPr>
        <w:spacing w:line="240" w:lineRule="auto"/>
        <w:jc w:val="both"/>
        <w:rPr>
          <w:rFonts w:ascii="Arial" w:hAnsi="Arial" w:cs="Arial"/>
          <w:b/>
          <w:bCs/>
        </w:rPr>
      </w:pPr>
      <w:r w:rsidRPr="004A46B7">
        <w:rPr>
          <w:rFonts w:ascii="Arial" w:hAnsi="Arial" w:cs="Arial"/>
          <w:b/>
          <w:bCs/>
        </w:rPr>
        <w:t>Definition of Multidrug Resistance</w:t>
      </w:r>
    </w:p>
    <w:p w14:paraId="69593AF4" w14:textId="254A1455" w:rsidR="004A46B7" w:rsidRPr="00801A6C" w:rsidRDefault="004A46B7" w:rsidP="0015699F">
      <w:pPr>
        <w:spacing w:line="240" w:lineRule="auto"/>
        <w:jc w:val="both"/>
        <w:rPr>
          <w:rFonts w:ascii="Arial" w:hAnsi="Arial" w:cs="Arial"/>
        </w:rPr>
      </w:pPr>
      <w:r w:rsidRPr="004A46B7">
        <w:rPr>
          <w:rFonts w:ascii="Arial" w:hAnsi="Arial" w:cs="Arial"/>
        </w:rPr>
        <w:t>Multidrug resistance (MDR) was defined as resistance to at least one antimicrobial agent in three or more distinct antimicrobial classes. This operational definition aligns with internationally accepted criteria for classifying bacterial isolates as multidrug-resistant.</w:t>
      </w:r>
    </w:p>
    <w:p w14:paraId="4445DDE4" w14:textId="77777777" w:rsidR="00801A6C" w:rsidRPr="00801A6C" w:rsidRDefault="00801A6C" w:rsidP="0015699F">
      <w:pPr>
        <w:spacing w:line="240" w:lineRule="auto"/>
        <w:jc w:val="both"/>
        <w:rPr>
          <w:rFonts w:ascii="Arial" w:hAnsi="Arial" w:cs="Arial"/>
          <w:b/>
          <w:bCs/>
        </w:rPr>
      </w:pPr>
      <w:r w:rsidRPr="00801A6C">
        <w:rPr>
          <w:rFonts w:ascii="Arial" w:hAnsi="Arial" w:cs="Arial"/>
          <w:b/>
          <w:bCs/>
        </w:rPr>
        <w:t>Ethical Consideration</w:t>
      </w:r>
    </w:p>
    <w:p w14:paraId="475E56E2" w14:textId="77777777" w:rsidR="00801A6C" w:rsidRPr="00801A6C" w:rsidRDefault="00801A6C" w:rsidP="0015699F">
      <w:pPr>
        <w:spacing w:line="240" w:lineRule="auto"/>
        <w:jc w:val="both"/>
        <w:rPr>
          <w:rFonts w:ascii="Arial" w:hAnsi="Arial" w:cs="Arial"/>
        </w:rPr>
      </w:pPr>
      <w:r w:rsidRPr="00801A6C">
        <w:rPr>
          <w:rFonts w:ascii="Arial" w:hAnsi="Arial" w:cs="Arial"/>
        </w:rPr>
        <w:t>Ethical approval was obtained from the appropriate institutional review board. Participation was voluntary, and informed consent was obtained from all students before sample collection. Confidentiality was strictly maintained.</w:t>
      </w:r>
    </w:p>
    <w:p w14:paraId="1F189FA9" w14:textId="52866861" w:rsidR="00694503" w:rsidRPr="0015699F" w:rsidRDefault="00694503" w:rsidP="0015699F">
      <w:pPr>
        <w:spacing w:line="240" w:lineRule="auto"/>
        <w:jc w:val="both"/>
        <w:rPr>
          <w:rFonts w:ascii="Arial" w:hAnsi="Arial" w:cs="Arial"/>
          <w:b/>
          <w:bCs/>
        </w:rPr>
      </w:pPr>
      <w:r w:rsidRPr="0015699F">
        <w:rPr>
          <w:rFonts w:ascii="Arial" w:hAnsi="Arial" w:cs="Arial"/>
          <w:b/>
          <w:bCs/>
        </w:rPr>
        <w:t xml:space="preserve">RESULTS </w:t>
      </w:r>
    </w:p>
    <w:p w14:paraId="69A52DFF" w14:textId="56075968" w:rsidR="000B4022" w:rsidRPr="00D17F80" w:rsidRDefault="002B1CE0" w:rsidP="0015699F">
      <w:pPr>
        <w:spacing w:line="240" w:lineRule="auto"/>
        <w:jc w:val="both"/>
        <w:rPr>
          <w:rFonts w:ascii="Arial" w:hAnsi="Arial" w:cs="Arial"/>
        </w:rPr>
      </w:pPr>
      <w:r w:rsidRPr="00D17F80">
        <w:rPr>
          <w:rFonts w:ascii="Arial" w:hAnsi="Arial" w:cs="Arial"/>
        </w:rPr>
        <w:t>Bacterial</w:t>
      </w:r>
      <w:r w:rsidR="000B4022" w:rsidRPr="00D17F80">
        <w:rPr>
          <w:rFonts w:ascii="Arial" w:hAnsi="Arial" w:cs="Arial"/>
        </w:rPr>
        <w:t xml:space="preserve"> Contamination of Mobile Phone Earpieces</w:t>
      </w:r>
    </w:p>
    <w:p w14:paraId="09ED5616" w14:textId="67D6FC07" w:rsidR="001B6A25" w:rsidRPr="00F20988" w:rsidRDefault="00F20988" w:rsidP="001B6A25">
      <w:pPr>
        <w:spacing w:line="240" w:lineRule="auto"/>
        <w:jc w:val="both"/>
        <w:rPr>
          <w:rFonts w:ascii="Arial" w:hAnsi="Arial" w:cs="Arial"/>
        </w:rPr>
      </w:pPr>
      <w:r w:rsidRPr="00F20988">
        <w:rPr>
          <w:rFonts w:ascii="Arial" w:hAnsi="Arial" w:cs="Arial"/>
        </w:rPr>
        <w:lastRenderedPageBreak/>
        <w:t>All earpieces (20/20; 100%)</w:t>
      </w:r>
      <w:r w:rsidRPr="00D17F80">
        <w:rPr>
          <w:rFonts w:ascii="Arial" w:hAnsi="Arial" w:cs="Arial"/>
        </w:rPr>
        <w:t xml:space="preserve"> </w:t>
      </w:r>
      <w:r w:rsidR="000B4022" w:rsidRPr="00D17F80">
        <w:rPr>
          <w:rFonts w:ascii="Arial" w:hAnsi="Arial" w:cs="Arial"/>
        </w:rPr>
        <w:t xml:space="preserve">exhibited microbial growth. </w:t>
      </w:r>
      <w:r w:rsidR="001B6A25" w:rsidRPr="00F20988">
        <w:rPr>
          <w:rFonts w:ascii="Arial" w:hAnsi="Arial" w:cs="Arial"/>
        </w:rPr>
        <w:t>A total of 36 bacterial isolates were recovered</w:t>
      </w:r>
      <w:r w:rsidR="001B6A25" w:rsidRPr="00D17F80">
        <w:rPr>
          <w:rFonts w:ascii="Arial" w:hAnsi="Arial" w:cs="Arial"/>
        </w:rPr>
        <w:t xml:space="preserve"> as follows: </w:t>
      </w:r>
      <w:r w:rsidR="001B6A25" w:rsidRPr="00F20988">
        <w:rPr>
          <w:rFonts w:ascii="Arial" w:hAnsi="Arial" w:cs="Arial"/>
          <w:i/>
          <w:iCs/>
        </w:rPr>
        <w:t>S. aureus</w:t>
      </w:r>
      <w:r w:rsidR="001B6A25" w:rsidRPr="00F20988">
        <w:rPr>
          <w:rFonts w:ascii="Arial" w:hAnsi="Arial" w:cs="Arial"/>
        </w:rPr>
        <w:t>: 15/36 (41.7%)</w:t>
      </w:r>
      <w:r w:rsidR="001B6A25" w:rsidRPr="00D17F80">
        <w:rPr>
          <w:rFonts w:ascii="Arial" w:hAnsi="Arial" w:cs="Arial"/>
        </w:rPr>
        <w:t xml:space="preserve">, </w:t>
      </w:r>
      <w:r w:rsidR="001B6A25" w:rsidRPr="00F20988">
        <w:rPr>
          <w:rFonts w:ascii="Arial" w:hAnsi="Arial" w:cs="Arial"/>
          <w:i/>
          <w:iCs/>
        </w:rPr>
        <w:t>S. epidermidis</w:t>
      </w:r>
      <w:r w:rsidR="001B6A25" w:rsidRPr="00F20988">
        <w:rPr>
          <w:rFonts w:ascii="Arial" w:hAnsi="Arial" w:cs="Arial"/>
        </w:rPr>
        <w:t>: 12/36 (33.3%)</w:t>
      </w:r>
      <w:r w:rsidR="001B6A25" w:rsidRPr="00D17F80">
        <w:rPr>
          <w:rFonts w:ascii="Arial" w:hAnsi="Arial" w:cs="Arial"/>
        </w:rPr>
        <w:t xml:space="preserve">, </w:t>
      </w:r>
      <w:r w:rsidR="001B6A25" w:rsidRPr="00F20988">
        <w:rPr>
          <w:rFonts w:ascii="Arial" w:hAnsi="Arial" w:cs="Arial"/>
          <w:i/>
          <w:iCs/>
        </w:rPr>
        <w:t>E. coli</w:t>
      </w:r>
      <w:r w:rsidR="001B6A25" w:rsidRPr="00F20988">
        <w:rPr>
          <w:rFonts w:ascii="Arial" w:hAnsi="Arial" w:cs="Arial"/>
        </w:rPr>
        <w:t>: 5/36 (13.9%)</w:t>
      </w:r>
      <w:r w:rsidR="001B6A25" w:rsidRPr="00D17F80">
        <w:rPr>
          <w:rFonts w:ascii="Arial" w:hAnsi="Arial" w:cs="Arial"/>
        </w:rPr>
        <w:t xml:space="preserve">, </w:t>
      </w:r>
      <w:r w:rsidR="001B6A25" w:rsidRPr="00F20988">
        <w:rPr>
          <w:rFonts w:ascii="Arial" w:hAnsi="Arial" w:cs="Arial"/>
          <w:i/>
          <w:iCs/>
        </w:rPr>
        <w:t>P. aeruginosa</w:t>
      </w:r>
      <w:r w:rsidR="001B6A25" w:rsidRPr="00F20988">
        <w:rPr>
          <w:rFonts w:ascii="Arial" w:hAnsi="Arial" w:cs="Arial"/>
        </w:rPr>
        <w:t>: 4/36 (11.1%)</w:t>
      </w:r>
      <w:r w:rsidR="008B32C5" w:rsidRPr="00D17F80">
        <w:rPr>
          <w:rFonts w:ascii="Arial" w:hAnsi="Arial" w:cs="Arial"/>
        </w:rPr>
        <w:t xml:space="preserve"> </w:t>
      </w:r>
      <w:r w:rsidR="008B32C5" w:rsidRPr="00D17F80">
        <w:rPr>
          <w:rFonts w:ascii="Arial" w:hAnsi="Arial" w:cs="Arial"/>
        </w:rPr>
        <w:t>(Table 1, Figure 1).</w:t>
      </w:r>
    </w:p>
    <w:p w14:paraId="5F83ED12" w14:textId="77777777" w:rsidR="00533F0E" w:rsidRPr="003E69AC" w:rsidRDefault="00533F0E" w:rsidP="0015699F">
      <w:pPr>
        <w:spacing w:line="240" w:lineRule="auto"/>
        <w:jc w:val="both"/>
        <w:rPr>
          <w:rFonts w:ascii="Arial" w:hAnsi="Arial" w:cs="Arial"/>
          <w:color w:val="EE0000"/>
        </w:rPr>
      </w:pPr>
    </w:p>
    <w:p w14:paraId="5DF5C6FF" w14:textId="4127B39E" w:rsidR="001C08D0" w:rsidRPr="0015699F" w:rsidRDefault="001C08D0" w:rsidP="0015699F">
      <w:pPr>
        <w:spacing w:line="240" w:lineRule="auto"/>
        <w:jc w:val="both"/>
        <w:rPr>
          <w:rFonts w:ascii="Arial" w:hAnsi="Arial" w:cs="Arial"/>
          <w:b/>
          <w:bCs/>
        </w:rPr>
      </w:pPr>
      <w:r w:rsidRPr="0015699F">
        <w:rPr>
          <w:rFonts w:ascii="Arial" w:hAnsi="Arial" w:cs="Arial"/>
          <w:b/>
          <w:bCs/>
        </w:rPr>
        <w:t>Table 1. Frequency and Percentage of Bacterial Isolates (n=20</w:t>
      </w:r>
      <w:r w:rsidR="00F479F8">
        <w:rPr>
          <w:rFonts w:ascii="Arial" w:hAnsi="Arial" w:cs="Arial"/>
          <w:b/>
          <w:bCs/>
        </w:rPr>
        <w:t xml:space="preserve"> earpieces</w:t>
      </w:r>
      <w:r w:rsidRPr="0015699F">
        <w:rPr>
          <w:rFonts w:ascii="Arial" w:hAnsi="Arial" w:cs="Arial"/>
          <w:b/>
          <w:bCs/>
        </w:rPr>
        <w:t>)</w:t>
      </w:r>
    </w:p>
    <w:tbl>
      <w:tblPr>
        <w:tblStyle w:val="TableGrid"/>
        <w:tblW w:w="0" w:type="auto"/>
        <w:tblLook w:val="04A0" w:firstRow="1" w:lastRow="0" w:firstColumn="1" w:lastColumn="0" w:noHBand="0" w:noVBand="1"/>
      </w:tblPr>
      <w:tblGrid>
        <w:gridCol w:w="3116"/>
        <w:gridCol w:w="3117"/>
        <w:gridCol w:w="3117"/>
      </w:tblGrid>
      <w:tr w:rsidR="001C08D0" w:rsidRPr="0015699F" w14:paraId="63DD4D05" w14:textId="77777777" w:rsidTr="001C08D0">
        <w:tc>
          <w:tcPr>
            <w:tcW w:w="3116" w:type="dxa"/>
          </w:tcPr>
          <w:p w14:paraId="44B678A3" w14:textId="6EE1BD98" w:rsidR="001C08D0" w:rsidRPr="0015699F" w:rsidRDefault="001C08D0" w:rsidP="0015699F">
            <w:pPr>
              <w:jc w:val="both"/>
              <w:rPr>
                <w:rFonts w:ascii="Arial" w:hAnsi="Arial" w:cs="Arial"/>
                <w:b/>
                <w:bCs/>
              </w:rPr>
            </w:pPr>
            <w:r w:rsidRPr="000B4022">
              <w:rPr>
                <w:rFonts w:ascii="Arial" w:eastAsia="Times New Roman" w:hAnsi="Arial" w:cs="Arial"/>
                <w:b/>
                <w:bCs/>
                <w:kern w:val="0"/>
                <w14:ligatures w14:val="none"/>
              </w:rPr>
              <w:t>Bacterial Species</w:t>
            </w:r>
          </w:p>
        </w:tc>
        <w:tc>
          <w:tcPr>
            <w:tcW w:w="3117" w:type="dxa"/>
          </w:tcPr>
          <w:p w14:paraId="273EDC35" w14:textId="5ABF4234" w:rsidR="001C08D0" w:rsidRPr="0015699F" w:rsidRDefault="00DB41AE" w:rsidP="0015699F">
            <w:pPr>
              <w:jc w:val="both"/>
              <w:rPr>
                <w:rFonts w:ascii="Arial" w:hAnsi="Arial" w:cs="Arial"/>
                <w:b/>
                <w:bCs/>
              </w:rPr>
            </w:pPr>
            <w:r w:rsidRPr="000B4022">
              <w:rPr>
                <w:rFonts w:ascii="Arial" w:eastAsia="Times New Roman" w:hAnsi="Arial" w:cs="Arial"/>
                <w:b/>
                <w:bCs/>
                <w:kern w:val="0"/>
                <w14:ligatures w14:val="none"/>
              </w:rPr>
              <w:t>Number of Earpieces Contaminated</w:t>
            </w:r>
          </w:p>
        </w:tc>
        <w:tc>
          <w:tcPr>
            <w:tcW w:w="3117" w:type="dxa"/>
          </w:tcPr>
          <w:p w14:paraId="3192B2AC" w14:textId="483D114A" w:rsidR="001C08D0" w:rsidRPr="0015699F" w:rsidRDefault="00DB41AE" w:rsidP="0015699F">
            <w:pPr>
              <w:jc w:val="both"/>
              <w:rPr>
                <w:rFonts w:ascii="Arial" w:hAnsi="Arial" w:cs="Arial"/>
                <w:b/>
                <w:bCs/>
              </w:rPr>
            </w:pPr>
            <w:r w:rsidRPr="000B4022">
              <w:rPr>
                <w:rFonts w:ascii="Arial" w:eastAsia="Times New Roman" w:hAnsi="Arial" w:cs="Arial"/>
                <w:b/>
                <w:bCs/>
                <w:kern w:val="0"/>
                <w14:ligatures w14:val="none"/>
              </w:rPr>
              <w:t>Percentage (%)</w:t>
            </w:r>
          </w:p>
        </w:tc>
      </w:tr>
      <w:tr w:rsidR="001C08D0" w:rsidRPr="0015699F" w14:paraId="5B63AABE" w14:textId="77777777" w:rsidTr="001C08D0">
        <w:tc>
          <w:tcPr>
            <w:tcW w:w="3116" w:type="dxa"/>
          </w:tcPr>
          <w:p w14:paraId="3BE09F2B" w14:textId="5FA92ACE"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Staphylococcus aureus</w:t>
            </w:r>
          </w:p>
        </w:tc>
        <w:tc>
          <w:tcPr>
            <w:tcW w:w="3117" w:type="dxa"/>
          </w:tcPr>
          <w:p w14:paraId="3347131B" w14:textId="61A38EB5" w:rsidR="001C08D0" w:rsidRPr="0015699F" w:rsidRDefault="00DB41AE" w:rsidP="0015699F">
            <w:pPr>
              <w:jc w:val="both"/>
              <w:rPr>
                <w:rFonts w:ascii="Arial" w:hAnsi="Arial" w:cs="Arial"/>
              </w:rPr>
            </w:pPr>
            <w:r w:rsidRPr="0015699F">
              <w:rPr>
                <w:rFonts w:ascii="Arial" w:hAnsi="Arial" w:cs="Arial"/>
              </w:rPr>
              <w:t>15</w:t>
            </w:r>
          </w:p>
        </w:tc>
        <w:tc>
          <w:tcPr>
            <w:tcW w:w="3117" w:type="dxa"/>
          </w:tcPr>
          <w:p w14:paraId="48B4CE85" w14:textId="0A7C0259" w:rsidR="001C08D0" w:rsidRPr="0015699F" w:rsidRDefault="00CA43AB" w:rsidP="0015699F">
            <w:pPr>
              <w:jc w:val="both"/>
              <w:rPr>
                <w:rFonts w:ascii="Arial" w:hAnsi="Arial" w:cs="Arial"/>
              </w:rPr>
            </w:pPr>
            <w:r>
              <w:rPr>
                <w:rFonts w:ascii="Arial" w:hAnsi="Arial" w:cs="Arial"/>
              </w:rPr>
              <w:t>41.7</w:t>
            </w:r>
          </w:p>
        </w:tc>
      </w:tr>
      <w:tr w:rsidR="001C08D0" w:rsidRPr="0015699F" w14:paraId="43D7DB58" w14:textId="77777777" w:rsidTr="001C08D0">
        <w:tc>
          <w:tcPr>
            <w:tcW w:w="3116" w:type="dxa"/>
          </w:tcPr>
          <w:p w14:paraId="199A207B" w14:textId="0897704C"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Staphylococcus epidermidis</w:t>
            </w:r>
          </w:p>
        </w:tc>
        <w:tc>
          <w:tcPr>
            <w:tcW w:w="3117" w:type="dxa"/>
          </w:tcPr>
          <w:p w14:paraId="48DCBFE9" w14:textId="478B5617" w:rsidR="001C08D0" w:rsidRPr="0015699F" w:rsidRDefault="00DB41AE" w:rsidP="0015699F">
            <w:pPr>
              <w:jc w:val="both"/>
              <w:rPr>
                <w:rFonts w:ascii="Arial" w:hAnsi="Arial" w:cs="Arial"/>
              </w:rPr>
            </w:pPr>
            <w:r w:rsidRPr="0015699F">
              <w:rPr>
                <w:rFonts w:ascii="Arial" w:hAnsi="Arial" w:cs="Arial"/>
              </w:rPr>
              <w:t>12</w:t>
            </w:r>
          </w:p>
        </w:tc>
        <w:tc>
          <w:tcPr>
            <w:tcW w:w="3117" w:type="dxa"/>
          </w:tcPr>
          <w:p w14:paraId="57BB3472" w14:textId="5A8DA78C" w:rsidR="001C08D0" w:rsidRPr="0015699F" w:rsidRDefault="00CA43AB" w:rsidP="0015699F">
            <w:pPr>
              <w:jc w:val="both"/>
              <w:rPr>
                <w:rFonts w:ascii="Arial" w:hAnsi="Arial" w:cs="Arial"/>
              </w:rPr>
            </w:pPr>
            <w:r>
              <w:rPr>
                <w:rFonts w:ascii="Arial" w:hAnsi="Arial" w:cs="Arial"/>
              </w:rPr>
              <w:t>33.3</w:t>
            </w:r>
          </w:p>
        </w:tc>
      </w:tr>
      <w:tr w:rsidR="001C08D0" w:rsidRPr="0015699F" w14:paraId="4601C99E" w14:textId="77777777" w:rsidTr="00274318">
        <w:tc>
          <w:tcPr>
            <w:tcW w:w="3116" w:type="dxa"/>
            <w:vAlign w:val="center"/>
          </w:tcPr>
          <w:p w14:paraId="4B06A851" w14:textId="28BBDD32"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Escherichia coli</w:t>
            </w:r>
          </w:p>
        </w:tc>
        <w:tc>
          <w:tcPr>
            <w:tcW w:w="3117" w:type="dxa"/>
          </w:tcPr>
          <w:p w14:paraId="59741419" w14:textId="477295BC" w:rsidR="001C08D0" w:rsidRPr="0015699F" w:rsidRDefault="00DB41AE" w:rsidP="0015699F">
            <w:pPr>
              <w:jc w:val="both"/>
              <w:rPr>
                <w:rFonts w:ascii="Arial" w:hAnsi="Arial" w:cs="Arial"/>
              </w:rPr>
            </w:pPr>
            <w:r w:rsidRPr="0015699F">
              <w:rPr>
                <w:rFonts w:ascii="Arial" w:hAnsi="Arial" w:cs="Arial"/>
              </w:rPr>
              <w:t>5</w:t>
            </w:r>
          </w:p>
        </w:tc>
        <w:tc>
          <w:tcPr>
            <w:tcW w:w="3117" w:type="dxa"/>
          </w:tcPr>
          <w:p w14:paraId="5533F9C4" w14:textId="7E900709" w:rsidR="001C08D0" w:rsidRPr="0015699F" w:rsidRDefault="00CA43AB" w:rsidP="0015699F">
            <w:pPr>
              <w:jc w:val="both"/>
              <w:rPr>
                <w:rFonts w:ascii="Arial" w:hAnsi="Arial" w:cs="Arial"/>
              </w:rPr>
            </w:pPr>
            <w:r>
              <w:rPr>
                <w:rFonts w:ascii="Arial" w:hAnsi="Arial" w:cs="Arial"/>
              </w:rPr>
              <w:t>13.9</w:t>
            </w:r>
          </w:p>
        </w:tc>
      </w:tr>
      <w:tr w:rsidR="001C08D0" w:rsidRPr="0015699F" w14:paraId="4ACF6A78" w14:textId="77777777" w:rsidTr="001C08D0">
        <w:tc>
          <w:tcPr>
            <w:tcW w:w="3116" w:type="dxa"/>
          </w:tcPr>
          <w:p w14:paraId="4DA07E13" w14:textId="01BE1381" w:rsidR="001C08D0" w:rsidRPr="0015699F" w:rsidRDefault="001C08D0" w:rsidP="0015699F">
            <w:pPr>
              <w:jc w:val="both"/>
              <w:rPr>
                <w:rFonts w:ascii="Arial" w:hAnsi="Arial" w:cs="Arial"/>
                <w:b/>
                <w:bCs/>
                <w:i/>
                <w:iCs/>
              </w:rPr>
            </w:pPr>
            <w:r w:rsidRPr="000B4022">
              <w:rPr>
                <w:rFonts w:ascii="Arial" w:eastAsia="Times New Roman" w:hAnsi="Arial" w:cs="Arial"/>
                <w:i/>
                <w:iCs/>
                <w:kern w:val="0"/>
                <w14:ligatures w14:val="none"/>
              </w:rPr>
              <w:t>Pseudomonas aeruginosa</w:t>
            </w:r>
          </w:p>
        </w:tc>
        <w:tc>
          <w:tcPr>
            <w:tcW w:w="3117" w:type="dxa"/>
          </w:tcPr>
          <w:p w14:paraId="21118A47" w14:textId="11E71DEC" w:rsidR="001C08D0" w:rsidRPr="0015699F" w:rsidRDefault="00DB41AE" w:rsidP="0015699F">
            <w:pPr>
              <w:jc w:val="both"/>
              <w:rPr>
                <w:rFonts w:ascii="Arial" w:hAnsi="Arial" w:cs="Arial"/>
              </w:rPr>
            </w:pPr>
            <w:r w:rsidRPr="0015699F">
              <w:rPr>
                <w:rFonts w:ascii="Arial" w:hAnsi="Arial" w:cs="Arial"/>
              </w:rPr>
              <w:t>4</w:t>
            </w:r>
          </w:p>
        </w:tc>
        <w:tc>
          <w:tcPr>
            <w:tcW w:w="3117" w:type="dxa"/>
          </w:tcPr>
          <w:p w14:paraId="38F2846F" w14:textId="5FF01304" w:rsidR="001C08D0" w:rsidRPr="0015699F" w:rsidRDefault="00CA43AB" w:rsidP="0015699F">
            <w:pPr>
              <w:jc w:val="both"/>
              <w:rPr>
                <w:rFonts w:ascii="Arial" w:hAnsi="Arial" w:cs="Arial"/>
              </w:rPr>
            </w:pPr>
            <w:r>
              <w:rPr>
                <w:rFonts w:ascii="Arial" w:hAnsi="Arial" w:cs="Arial"/>
              </w:rPr>
              <w:t>11.1</w:t>
            </w:r>
          </w:p>
        </w:tc>
      </w:tr>
    </w:tbl>
    <w:p w14:paraId="20D8A336" w14:textId="77777777" w:rsidR="000B4022" w:rsidRPr="0015699F" w:rsidRDefault="000B4022" w:rsidP="0015699F">
      <w:pPr>
        <w:spacing w:line="240" w:lineRule="auto"/>
        <w:jc w:val="both"/>
        <w:rPr>
          <w:rFonts w:ascii="Arial" w:hAnsi="Arial" w:cs="Arial"/>
          <w:b/>
          <w:bCs/>
        </w:rPr>
      </w:pPr>
    </w:p>
    <w:p w14:paraId="7F8A6C30" w14:textId="77777777" w:rsidR="00FA43DA" w:rsidRPr="00F479F8" w:rsidRDefault="00FA43DA" w:rsidP="0015699F">
      <w:pPr>
        <w:spacing w:line="240" w:lineRule="auto"/>
        <w:jc w:val="both"/>
        <w:rPr>
          <w:rFonts w:ascii="Arial" w:hAnsi="Arial" w:cs="Arial"/>
          <w:i/>
          <w:iCs/>
        </w:rPr>
      </w:pPr>
      <w:r w:rsidRPr="00F479F8">
        <w:rPr>
          <w:rFonts w:ascii="Arial" w:hAnsi="Arial" w:cs="Arial"/>
          <w:i/>
          <w:iCs/>
        </w:rPr>
        <w:t>Key: S = Sensitive; NA = Not applicable</w:t>
      </w:r>
    </w:p>
    <w:p w14:paraId="6932FAC2" w14:textId="77777777" w:rsidR="00F479F8" w:rsidRDefault="00FA43DA" w:rsidP="0015699F">
      <w:pPr>
        <w:spacing w:line="240" w:lineRule="auto"/>
        <w:jc w:val="both"/>
        <w:rPr>
          <w:rFonts w:ascii="Arial" w:hAnsi="Arial" w:cs="Arial"/>
          <w:b/>
          <w:bCs/>
        </w:rPr>
      </w:pPr>
      <w:r w:rsidRPr="0015699F">
        <w:rPr>
          <w:rFonts w:ascii="Arial" w:hAnsi="Arial" w:cs="Arial"/>
          <w:b/>
          <w:bCs/>
          <w:noProof/>
        </w:rPr>
        <w:drawing>
          <wp:inline distT="0" distB="0" distL="0" distR="0" wp14:anchorId="27083AF2" wp14:editId="6F919D8E">
            <wp:extent cx="5922010" cy="4497070"/>
            <wp:effectExtent l="0" t="0" r="2540" b="0"/>
            <wp:docPr id="135364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2010" cy="4497070"/>
                    </a:xfrm>
                    <a:prstGeom prst="rect">
                      <a:avLst/>
                    </a:prstGeom>
                    <a:noFill/>
                    <a:ln>
                      <a:noFill/>
                    </a:ln>
                  </pic:spPr>
                </pic:pic>
              </a:graphicData>
            </a:graphic>
          </wp:inline>
        </w:drawing>
      </w:r>
    </w:p>
    <w:p w14:paraId="2BFEEF34" w14:textId="77777777" w:rsidR="00F479F8" w:rsidRDefault="00F479F8" w:rsidP="0015699F">
      <w:pPr>
        <w:spacing w:line="240" w:lineRule="auto"/>
        <w:jc w:val="both"/>
        <w:rPr>
          <w:rFonts w:ascii="Arial" w:hAnsi="Arial" w:cs="Arial"/>
          <w:b/>
          <w:bCs/>
        </w:rPr>
      </w:pPr>
    </w:p>
    <w:p w14:paraId="2AC0E069" w14:textId="77777777" w:rsidR="00FC5DAD" w:rsidRDefault="00FC5DAD" w:rsidP="0015699F">
      <w:pPr>
        <w:spacing w:line="240" w:lineRule="auto"/>
        <w:jc w:val="both"/>
        <w:rPr>
          <w:rFonts w:ascii="Arial" w:hAnsi="Arial" w:cs="Arial"/>
          <w:b/>
          <w:bCs/>
        </w:rPr>
      </w:pPr>
    </w:p>
    <w:p w14:paraId="74C7958A" w14:textId="6FB91754" w:rsidR="000B4022" w:rsidRPr="000B4022" w:rsidRDefault="000B4022" w:rsidP="0015699F">
      <w:pPr>
        <w:spacing w:line="240" w:lineRule="auto"/>
        <w:jc w:val="both"/>
        <w:rPr>
          <w:rFonts w:ascii="Arial" w:hAnsi="Arial" w:cs="Arial"/>
          <w:b/>
          <w:bCs/>
        </w:rPr>
      </w:pPr>
      <w:r w:rsidRPr="000B4022">
        <w:rPr>
          <w:rFonts w:ascii="Arial" w:hAnsi="Arial" w:cs="Arial"/>
          <w:b/>
          <w:bCs/>
        </w:rPr>
        <w:lastRenderedPageBreak/>
        <w:t>Fungal Isolates</w:t>
      </w:r>
    </w:p>
    <w:p w14:paraId="27C0D75B" w14:textId="13863F27" w:rsidR="000B4022" w:rsidRPr="00F479F8" w:rsidRDefault="000B4022" w:rsidP="0015699F">
      <w:pPr>
        <w:spacing w:line="240" w:lineRule="auto"/>
        <w:jc w:val="both"/>
        <w:rPr>
          <w:rFonts w:ascii="Arial" w:hAnsi="Arial" w:cs="Arial"/>
        </w:rPr>
      </w:pPr>
      <w:r w:rsidRPr="000B4022">
        <w:rPr>
          <w:rFonts w:ascii="Arial" w:hAnsi="Arial" w:cs="Arial"/>
        </w:rPr>
        <w:t xml:space="preserve">Fungal contamination was observed in a smaller proportion of samples. </w:t>
      </w:r>
      <w:r w:rsidRPr="000B4022">
        <w:rPr>
          <w:rFonts w:ascii="Arial" w:hAnsi="Arial" w:cs="Arial"/>
          <w:i/>
          <w:iCs/>
        </w:rPr>
        <w:t>Candida spp.</w:t>
      </w:r>
      <w:r w:rsidRPr="000B4022">
        <w:rPr>
          <w:rFonts w:ascii="Arial" w:hAnsi="Arial" w:cs="Arial"/>
        </w:rPr>
        <w:t xml:space="preserve"> </w:t>
      </w:r>
      <w:proofErr w:type="gramStart"/>
      <w:r w:rsidRPr="000B4022">
        <w:rPr>
          <w:rFonts w:ascii="Arial" w:hAnsi="Arial" w:cs="Arial"/>
        </w:rPr>
        <w:t>were</w:t>
      </w:r>
      <w:proofErr w:type="gramEnd"/>
      <w:r w:rsidRPr="000B4022">
        <w:rPr>
          <w:rFonts w:ascii="Arial" w:hAnsi="Arial" w:cs="Arial"/>
        </w:rPr>
        <w:t xml:space="preserve"> present in 8 earpieces (40%), while </w:t>
      </w:r>
      <w:r w:rsidRPr="000B4022">
        <w:rPr>
          <w:rFonts w:ascii="Arial" w:hAnsi="Arial" w:cs="Arial"/>
          <w:i/>
          <w:iCs/>
        </w:rPr>
        <w:t>Aspergillus spp.</w:t>
      </w:r>
      <w:r w:rsidRPr="000B4022">
        <w:rPr>
          <w:rFonts w:ascii="Arial" w:hAnsi="Arial" w:cs="Arial"/>
        </w:rPr>
        <w:t xml:space="preserve"> </w:t>
      </w:r>
      <w:r w:rsidR="00F479F8" w:rsidRPr="000B4022">
        <w:rPr>
          <w:rFonts w:ascii="Arial" w:hAnsi="Arial" w:cs="Arial"/>
        </w:rPr>
        <w:t>was</w:t>
      </w:r>
      <w:r w:rsidRPr="000B4022">
        <w:rPr>
          <w:rFonts w:ascii="Arial" w:hAnsi="Arial" w:cs="Arial"/>
        </w:rPr>
        <w:t xml:space="preserve"> isolated from 5 earpieces (25%)</w:t>
      </w:r>
      <w:r w:rsidR="00091801" w:rsidRPr="00F479F8">
        <w:rPr>
          <w:rFonts w:ascii="Arial" w:hAnsi="Arial" w:cs="Arial"/>
        </w:rPr>
        <w:t xml:space="preserve"> (Table 2, Figure 2).</w:t>
      </w:r>
    </w:p>
    <w:p w14:paraId="6394F331" w14:textId="63594009" w:rsidR="001C6CD8" w:rsidRPr="0015699F" w:rsidRDefault="001C6CD8" w:rsidP="0015699F">
      <w:pPr>
        <w:spacing w:line="240" w:lineRule="auto"/>
        <w:jc w:val="both"/>
        <w:rPr>
          <w:rFonts w:ascii="Arial" w:hAnsi="Arial" w:cs="Arial"/>
          <w:b/>
          <w:bCs/>
        </w:rPr>
      </w:pPr>
      <w:r w:rsidRPr="000B4022">
        <w:rPr>
          <w:rFonts w:ascii="Arial" w:hAnsi="Arial" w:cs="Arial"/>
          <w:b/>
          <w:bCs/>
        </w:rPr>
        <w:t>Table 2. Frequency and Percentage of Fungal Isolates</w:t>
      </w:r>
    </w:p>
    <w:tbl>
      <w:tblPr>
        <w:tblStyle w:val="TableGrid"/>
        <w:tblW w:w="0" w:type="auto"/>
        <w:tblLook w:val="04A0" w:firstRow="1" w:lastRow="0" w:firstColumn="1" w:lastColumn="0" w:noHBand="0" w:noVBand="1"/>
      </w:tblPr>
      <w:tblGrid>
        <w:gridCol w:w="3116"/>
        <w:gridCol w:w="3899"/>
        <w:gridCol w:w="2335"/>
      </w:tblGrid>
      <w:tr w:rsidR="001C6CD8" w:rsidRPr="0015699F" w14:paraId="3C978D34" w14:textId="77777777" w:rsidTr="001C6CD8">
        <w:tc>
          <w:tcPr>
            <w:tcW w:w="3116" w:type="dxa"/>
          </w:tcPr>
          <w:p w14:paraId="52D16265" w14:textId="30326454" w:rsidR="001C6CD8" w:rsidRPr="0015699F" w:rsidRDefault="001C6CD8" w:rsidP="0015699F">
            <w:pPr>
              <w:jc w:val="both"/>
              <w:rPr>
                <w:rFonts w:ascii="Arial" w:hAnsi="Arial" w:cs="Arial"/>
                <w:b/>
                <w:bCs/>
              </w:rPr>
            </w:pPr>
            <w:r w:rsidRPr="000B4022">
              <w:rPr>
                <w:rFonts w:ascii="Arial" w:hAnsi="Arial" w:cs="Arial"/>
                <w:b/>
                <w:bCs/>
              </w:rPr>
              <w:t>Fungal Species</w:t>
            </w:r>
          </w:p>
        </w:tc>
        <w:tc>
          <w:tcPr>
            <w:tcW w:w="3899" w:type="dxa"/>
            <w:vAlign w:val="center"/>
          </w:tcPr>
          <w:p w14:paraId="45B89AF4" w14:textId="2F71E07F" w:rsidR="001C6CD8" w:rsidRPr="0015699F" w:rsidRDefault="001C6CD8" w:rsidP="0015699F">
            <w:pPr>
              <w:jc w:val="both"/>
              <w:rPr>
                <w:rFonts w:ascii="Arial" w:hAnsi="Arial" w:cs="Arial"/>
                <w:b/>
                <w:bCs/>
              </w:rPr>
            </w:pPr>
            <w:r w:rsidRPr="000B4022">
              <w:rPr>
                <w:rFonts w:ascii="Arial" w:hAnsi="Arial" w:cs="Arial"/>
                <w:b/>
                <w:bCs/>
              </w:rPr>
              <w:t>Number of Earpieces Contaminated</w:t>
            </w:r>
          </w:p>
        </w:tc>
        <w:tc>
          <w:tcPr>
            <w:tcW w:w="2335" w:type="dxa"/>
          </w:tcPr>
          <w:p w14:paraId="561D4972" w14:textId="4221CD25" w:rsidR="001C6CD8" w:rsidRPr="0015699F" w:rsidRDefault="001C6CD8" w:rsidP="0015699F">
            <w:pPr>
              <w:jc w:val="both"/>
              <w:rPr>
                <w:rFonts w:ascii="Arial" w:hAnsi="Arial" w:cs="Arial"/>
                <w:b/>
                <w:bCs/>
              </w:rPr>
            </w:pPr>
            <w:r w:rsidRPr="000B4022">
              <w:rPr>
                <w:rFonts w:ascii="Arial" w:hAnsi="Arial" w:cs="Arial"/>
                <w:b/>
                <w:bCs/>
              </w:rPr>
              <w:t>Percentage (%)</w:t>
            </w:r>
          </w:p>
        </w:tc>
      </w:tr>
      <w:tr w:rsidR="001C6CD8" w:rsidRPr="0015699F" w14:paraId="679884A3" w14:textId="77777777" w:rsidTr="001C6CD8">
        <w:tc>
          <w:tcPr>
            <w:tcW w:w="3116" w:type="dxa"/>
          </w:tcPr>
          <w:p w14:paraId="1D10E839" w14:textId="1D60BE9E" w:rsidR="001C6CD8" w:rsidRPr="0015699F" w:rsidRDefault="001C6CD8" w:rsidP="0015699F">
            <w:pPr>
              <w:jc w:val="both"/>
              <w:rPr>
                <w:rFonts w:ascii="Arial" w:hAnsi="Arial" w:cs="Arial"/>
                <w:i/>
                <w:iCs/>
              </w:rPr>
            </w:pPr>
            <w:r w:rsidRPr="000B4022">
              <w:rPr>
                <w:rFonts w:ascii="Arial" w:hAnsi="Arial" w:cs="Arial"/>
                <w:i/>
                <w:iCs/>
              </w:rPr>
              <w:t>Candida spp.</w:t>
            </w:r>
          </w:p>
        </w:tc>
        <w:tc>
          <w:tcPr>
            <w:tcW w:w="3899" w:type="dxa"/>
          </w:tcPr>
          <w:p w14:paraId="2CA98E80" w14:textId="41293CD9" w:rsidR="001C6CD8" w:rsidRPr="0015699F" w:rsidRDefault="001C6CD8" w:rsidP="0015699F">
            <w:pPr>
              <w:jc w:val="both"/>
              <w:rPr>
                <w:rFonts w:ascii="Arial" w:hAnsi="Arial" w:cs="Arial"/>
              </w:rPr>
            </w:pPr>
            <w:r w:rsidRPr="0015699F">
              <w:rPr>
                <w:rFonts w:ascii="Arial" w:hAnsi="Arial" w:cs="Arial"/>
              </w:rPr>
              <w:t>8</w:t>
            </w:r>
          </w:p>
        </w:tc>
        <w:tc>
          <w:tcPr>
            <w:tcW w:w="2335" w:type="dxa"/>
          </w:tcPr>
          <w:p w14:paraId="7FCC9C63" w14:textId="66D6F171" w:rsidR="001C6CD8" w:rsidRPr="0015699F" w:rsidRDefault="001C6CD8" w:rsidP="0015699F">
            <w:pPr>
              <w:jc w:val="both"/>
              <w:rPr>
                <w:rFonts w:ascii="Arial" w:hAnsi="Arial" w:cs="Arial"/>
              </w:rPr>
            </w:pPr>
            <w:r w:rsidRPr="0015699F">
              <w:rPr>
                <w:rFonts w:ascii="Arial" w:hAnsi="Arial" w:cs="Arial"/>
              </w:rPr>
              <w:t>40</w:t>
            </w:r>
          </w:p>
        </w:tc>
      </w:tr>
      <w:tr w:rsidR="001C6CD8" w:rsidRPr="0015699F" w14:paraId="4DD1A40E" w14:textId="77777777" w:rsidTr="001C6CD8">
        <w:tc>
          <w:tcPr>
            <w:tcW w:w="3116" w:type="dxa"/>
          </w:tcPr>
          <w:p w14:paraId="61255906" w14:textId="2B7D5A34" w:rsidR="001C6CD8" w:rsidRPr="0015699F" w:rsidRDefault="001C6CD8" w:rsidP="0015699F">
            <w:pPr>
              <w:jc w:val="both"/>
              <w:rPr>
                <w:rFonts w:ascii="Arial" w:hAnsi="Arial" w:cs="Arial"/>
                <w:i/>
                <w:iCs/>
              </w:rPr>
            </w:pPr>
            <w:r w:rsidRPr="000B4022">
              <w:rPr>
                <w:rFonts w:ascii="Arial" w:hAnsi="Arial" w:cs="Arial"/>
                <w:i/>
                <w:iCs/>
              </w:rPr>
              <w:t xml:space="preserve">Aspergillus </w:t>
            </w:r>
            <w:proofErr w:type="spellStart"/>
            <w:r w:rsidRPr="000B4022">
              <w:rPr>
                <w:rFonts w:ascii="Arial" w:hAnsi="Arial" w:cs="Arial"/>
                <w:i/>
                <w:iCs/>
              </w:rPr>
              <w:t>spp</w:t>
            </w:r>
            <w:proofErr w:type="spellEnd"/>
          </w:p>
        </w:tc>
        <w:tc>
          <w:tcPr>
            <w:tcW w:w="3899" w:type="dxa"/>
          </w:tcPr>
          <w:p w14:paraId="70D52606" w14:textId="66103755" w:rsidR="001C6CD8" w:rsidRPr="0015699F" w:rsidRDefault="001C6CD8" w:rsidP="0015699F">
            <w:pPr>
              <w:jc w:val="both"/>
              <w:rPr>
                <w:rFonts w:ascii="Arial" w:hAnsi="Arial" w:cs="Arial"/>
              </w:rPr>
            </w:pPr>
            <w:r w:rsidRPr="0015699F">
              <w:rPr>
                <w:rFonts w:ascii="Arial" w:hAnsi="Arial" w:cs="Arial"/>
              </w:rPr>
              <w:t>5</w:t>
            </w:r>
          </w:p>
        </w:tc>
        <w:tc>
          <w:tcPr>
            <w:tcW w:w="2335" w:type="dxa"/>
          </w:tcPr>
          <w:p w14:paraId="3C20B522" w14:textId="2060867B" w:rsidR="001C6CD8" w:rsidRPr="0015699F" w:rsidRDefault="001C6CD8" w:rsidP="0015699F">
            <w:pPr>
              <w:jc w:val="both"/>
              <w:rPr>
                <w:rFonts w:ascii="Arial" w:hAnsi="Arial" w:cs="Arial"/>
              </w:rPr>
            </w:pPr>
            <w:r w:rsidRPr="0015699F">
              <w:rPr>
                <w:rFonts w:ascii="Arial" w:hAnsi="Arial" w:cs="Arial"/>
              </w:rPr>
              <w:t>25</w:t>
            </w:r>
          </w:p>
        </w:tc>
      </w:tr>
    </w:tbl>
    <w:p w14:paraId="66F55360" w14:textId="77777777" w:rsidR="001C6CD8" w:rsidRPr="000B4022" w:rsidRDefault="001C6CD8" w:rsidP="0015699F">
      <w:pPr>
        <w:spacing w:line="240" w:lineRule="auto"/>
        <w:jc w:val="both"/>
        <w:rPr>
          <w:rFonts w:ascii="Arial" w:hAnsi="Arial" w:cs="Arial"/>
          <w:b/>
          <w:bCs/>
        </w:rPr>
      </w:pPr>
    </w:p>
    <w:p w14:paraId="6F6DB470" w14:textId="5F6ACC5B" w:rsidR="008D689E" w:rsidRDefault="00FA43DA" w:rsidP="0015699F">
      <w:pPr>
        <w:spacing w:line="240" w:lineRule="auto"/>
        <w:jc w:val="both"/>
        <w:rPr>
          <w:rFonts w:ascii="Arial" w:hAnsi="Arial" w:cs="Arial"/>
          <w:b/>
          <w:bCs/>
        </w:rPr>
      </w:pPr>
      <w:r w:rsidRPr="0015699F">
        <w:rPr>
          <w:rFonts w:ascii="Arial" w:hAnsi="Arial" w:cs="Arial"/>
          <w:b/>
          <w:bCs/>
          <w:noProof/>
        </w:rPr>
        <w:drawing>
          <wp:inline distT="0" distB="0" distL="0" distR="0" wp14:anchorId="4702AB53" wp14:editId="28550B41">
            <wp:extent cx="4323080" cy="4497070"/>
            <wp:effectExtent l="0" t="0" r="1270" b="0"/>
            <wp:docPr id="2144182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080" cy="4497070"/>
                    </a:xfrm>
                    <a:prstGeom prst="rect">
                      <a:avLst/>
                    </a:prstGeom>
                    <a:noFill/>
                    <a:ln>
                      <a:noFill/>
                    </a:ln>
                  </pic:spPr>
                </pic:pic>
              </a:graphicData>
            </a:graphic>
          </wp:inline>
        </w:drawing>
      </w:r>
    </w:p>
    <w:p w14:paraId="6926B29C" w14:textId="57839EBE" w:rsidR="000B4022" w:rsidRPr="000B4022" w:rsidRDefault="000B4022" w:rsidP="0015699F">
      <w:pPr>
        <w:spacing w:line="240" w:lineRule="auto"/>
        <w:jc w:val="both"/>
        <w:rPr>
          <w:rFonts w:ascii="Arial" w:hAnsi="Arial" w:cs="Arial"/>
          <w:b/>
          <w:bCs/>
        </w:rPr>
      </w:pPr>
      <w:r w:rsidRPr="0015699F">
        <w:rPr>
          <w:rFonts w:ascii="Arial" w:hAnsi="Arial" w:cs="Arial"/>
          <w:b/>
          <w:bCs/>
        </w:rPr>
        <w:t>A</w:t>
      </w:r>
      <w:r w:rsidRPr="000B4022">
        <w:rPr>
          <w:rFonts w:ascii="Arial" w:hAnsi="Arial" w:cs="Arial"/>
          <w:b/>
          <w:bCs/>
        </w:rPr>
        <w:t>ntimicrobial Susceptibility Patterns</w:t>
      </w:r>
    </w:p>
    <w:p w14:paraId="0C9EF0A7" w14:textId="4FF3BF5F" w:rsidR="000B4022" w:rsidRDefault="000B4022" w:rsidP="0015699F">
      <w:pPr>
        <w:spacing w:line="240" w:lineRule="auto"/>
        <w:jc w:val="both"/>
        <w:rPr>
          <w:rFonts w:ascii="Arial" w:hAnsi="Arial" w:cs="Arial"/>
        </w:rPr>
      </w:pPr>
      <w:r w:rsidRPr="000B4022">
        <w:rPr>
          <w:rFonts w:ascii="Arial" w:hAnsi="Arial" w:cs="Arial"/>
        </w:rPr>
        <w:t>Bacterial isolates exhibited varying susceptibility patterns. Ciprofloxacin</w:t>
      </w:r>
      <w:r w:rsidR="00010665">
        <w:rPr>
          <w:rFonts w:ascii="Arial" w:hAnsi="Arial" w:cs="Arial"/>
        </w:rPr>
        <w:t xml:space="preserve"> </w:t>
      </w:r>
      <w:r w:rsidR="00010665" w:rsidRPr="00010665">
        <w:rPr>
          <w:rFonts w:ascii="Arial" w:hAnsi="Arial" w:cs="Arial"/>
        </w:rPr>
        <w:t xml:space="preserve">(5 µg) showed </w:t>
      </w:r>
      <w:r w:rsidR="00CB5CEC">
        <w:rPr>
          <w:rFonts w:ascii="Arial" w:hAnsi="Arial" w:cs="Arial"/>
        </w:rPr>
        <w:t xml:space="preserve">the </w:t>
      </w:r>
      <w:r w:rsidR="00010665" w:rsidRPr="00010665">
        <w:rPr>
          <w:rFonts w:ascii="Arial" w:hAnsi="Arial" w:cs="Arial"/>
        </w:rPr>
        <w:t>highest sensitivity: 30/36 (83.3%)</w:t>
      </w:r>
      <w:r w:rsidR="00010665">
        <w:rPr>
          <w:rFonts w:ascii="Arial" w:hAnsi="Arial" w:cs="Arial"/>
          <w:b/>
          <w:bCs/>
        </w:rPr>
        <w:t xml:space="preserve"> </w:t>
      </w:r>
      <w:r w:rsidR="00290EB3">
        <w:rPr>
          <w:rFonts w:ascii="Arial" w:hAnsi="Arial" w:cs="Arial"/>
        </w:rPr>
        <w:t xml:space="preserve">followed </w:t>
      </w:r>
      <w:r w:rsidR="00290EB3" w:rsidRPr="00E876C1">
        <w:rPr>
          <w:rFonts w:ascii="Arial" w:hAnsi="Arial" w:cs="Arial"/>
        </w:rPr>
        <w:t>by</w:t>
      </w:r>
      <w:r w:rsidRPr="00E876C1">
        <w:rPr>
          <w:rFonts w:ascii="Arial" w:hAnsi="Arial" w:cs="Arial"/>
        </w:rPr>
        <w:t xml:space="preserve"> </w:t>
      </w:r>
      <w:r w:rsidR="00FC00AB" w:rsidRPr="00E876C1">
        <w:rPr>
          <w:rFonts w:ascii="Arial" w:hAnsi="Arial" w:cs="Arial"/>
        </w:rPr>
        <w:t>g</w:t>
      </w:r>
      <w:r w:rsidRPr="00E876C1">
        <w:rPr>
          <w:rFonts w:ascii="Arial" w:hAnsi="Arial" w:cs="Arial"/>
        </w:rPr>
        <w:t>entamicin</w:t>
      </w:r>
      <w:r w:rsidR="00290EB3" w:rsidRPr="00E876C1">
        <w:rPr>
          <w:rFonts w:ascii="Arial" w:hAnsi="Arial" w:cs="Arial"/>
        </w:rPr>
        <w:t xml:space="preserve">: </w:t>
      </w:r>
      <w:r w:rsidR="00290EB3" w:rsidRPr="00E876C1">
        <w:rPr>
          <w:rFonts w:ascii="Arial" w:hAnsi="Arial" w:cs="Arial"/>
        </w:rPr>
        <w:t>25/36</w:t>
      </w:r>
      <w:r w:rsidR="00290EB3" w:rsidRPr="00E876C1">
        <w:rPr>
          <w:rFonts w:ascii="Arial" w:hAnsi="Arial" w:cs="Arial"/>
        </w:rPr>
        <w:t xml:space="preserve"> </w:t>
      </w:r>
      <w:r w:rsidR="00C46364" w:rsidRPr="00E876C1">
        <w:rPr>
          <w:rFonts w:ascii="Arial" w:hAnsi="Arial" w:cs="Arial"/>
        </w:rPr>
        <w:t>(</w:t>
      </w:r>
      <w:r w:rsidR="00290EB3" w:rsidRPr="00E876C1">
        <w:rPr>
          <w:rFonts w:ascii="Arial" w:hAnsi="Arial" w:cs="Arial"/>
        </w:rPr>
        <w:t>69.4%)</w:t>
      </w:r>
      <w:r w:rsidR="008C163A" w:rsidRPr="00E876C1">
        <w:rPr>
          <w:rFonts w:ascii="Arial" w:hAnsi="Arial" w:cs="Arial"/>
        </w:rPr>
        <w:t>. Reduced</w:t>
      </w:r>
      <w:r w:rsidR="008D689E" w:rsidRPr="008D689E">
        <w:rPr>
          <w:rFonts w:ascii="Arial" w:hAnsi="Arial" w:cs="Arial"/>
        </w:rPr>
        <w:t xml:space="preserve"> susceptibility (intermediate + resistant) was observed as follows:</w:t>
      </w:r>
      <w:r w:rsidR="008D689E" w:rsidRPr="00E876C1">
        <w:rPr>
          <w:rFonts w:ascii="Arial" w:hAnsi="Arial" w:cs="Arial"/>
        </w:rPr>
        <w:t xml:space="preserve"> </w:t>
      </w:r>
      <w:r w:rsidR="008D689E" w:rsidRPr="008D689E">
        <w:rPr>
          <w:rFonts w:ascii="Arial" w:hAnsi="Arial" w:cs="Arial"/>
        </w:rPr>
        <w:t>amoxicillin: 13/36 (36.1%)</w:t>
      </w:r>
      <w:r w:rsidR="008D689E" w:rsidRPr="00317101">
        <w:rPr>
          <w:rFonts w:ascii="Arial" w:hAnsi="Arial" w:cs="Arial"/>
        </w:rPr>
        <w:t xml:space="preserve">, </w:t>
      </w:r>
      <w:r w:rsidR="008D689E" w:rsidRPr="008D689E">
        <w:rPr>
          <w:rFonts w:ascii="Arial" w:hAnsi="Arial" w:cs="Arial"/>
        </w:rPr>
        <w:t>erythromycin: 11/31 (35.5%)</w:t>
      </w:r>
      <w:r w:rsidR="008D689E" w:rsidRPr="00317101">
        <w:rPr>
          <w:rFonts w:ascii="Arial" w:hAnsi="Arial" w:cs="Arial"/>
        </w:rPr>
        <w:t xml:space="preserve">, </w:t>
      </w:r>
      <w:r w:rsidR="008D689E" w:rsidRPr="008D689E">
        <w:rPr>
          <w:rFonts w:ascii="Arial" w:hAnsi="Arial" w:cs="Arial"/>
        </w:rPr>
        <w:t>tetracycline: 12/36 (33.3%)</w:t>
      </w:r>
      <w:r w:rsidR="00317101">
        <w:rPr>
          <w:rFonts w:ascii="Arial" w:hAnsi="Arial" w:cs="Arial"/>
        </w:rPr>
        <w:t>.</w:t>
      </w:r>
      <w:r w:rsidR="00CB5CEC">
        <w:rPr>
          <w:rFonts w:ascii="Arial" w:hAnsi="Arial" w:cs="Arial"/>
          <w:b/>
          <w:bCs/>
        </w:rPr>
        <w:t xml:space="preserve"> </w:t>
      </w:r>
      <w:r w:rsidRPr="000B4022">
        <w:rPr>
          <w:rFonts w:ascii="Arial" w:hAnsi="Arial" w:cs="Arial"/>
        </w:rPr>
        <w:t xml:space="preserve">Multidrug resistance was noted in </w:t>
      </w:r>
      <w:r w:rsidRPr="000B4022">
        <w:rPr>
          <w:rFonts w:ascii="Arial" w:hAnsi="Arial" w:cs="Arial"/>
          <w:i/>
          <w:iCs/>
        </w:rPr>
        <w:t>S. aureus</w:t>
      </w:r>
      <w:r w:rsidR="00010665" w:rsidRPr="00CB5CEC">
        <w:rPr>
          <w:rFonts w:ascii="Arial" w:hAnsi="Arial" w:cs="Arial"/>
        </w:rPr>
        <w:t xml:space="preserve">: </w:t>
      </w:r>
      <w:r w:rsidR="00010665" w:rsidRPr="00010665">
        <w:rPr>
          <w:rFonts w:ascii="Arial" w:hAnsi="Arial" w:cs="Arial"/>
          <w:i/>
          <w:iCs/>
        </w:rPr>
        <w:t>S. aureus</w:t>
      </w:r>
      <w:r w:rsidR="00010665" w:rsidRPr="00010665">
        <w:rPr>
          <w:rFonts w:ascii="Arial" w:hAnsi="Arial" w:cs="Arial"/>
        </w:rPr>
        <w:t>: 4/15 (26.7%)</w:t>
      </w:r>
      <w:r w:rsidR="00010665" w:rsidRPr="00010665">
        <w:rPr>
          <w:rFonts w:ascii="Arial" w:hAnsi="Arial" w:cs="Arial"/>
          <w:b/>
          <w:bCs/>
        </w:rPr>
        <w:t xml:space="preserve"> </w:t>
      </w:r>
      <w:r w:rsidRPr="000B4022">
        <w:rPr>
          <w:rFonts w:ascii="Arial" w:hAnsi="Arial" w:cs="Arial"/>
        </w:rPr>
        <w:t xml:space="preserve">and </w:t>
      </w:r>
      <w:r w:rsidRPr="000B4022">
        <w:rPr>
          <w:rFonts w:ascii="Arial" w:hAnsi="Arial" w:cs="Arial"/>
          <w:i/>
          <w:iCs/>
        </w:rPr>
        <w:t>P. aeruginosa</w:t>
      </w:r>
      <w:r w:rsidR="00010665">
        <w:rPr>
          <w:rFonts w:ascii="Arial" w:hAnsi="Arial" w:cs="Arial"/>
          <w:i/>
          <w:iCs/>
        </w:rPr>
        <w:t xml:space="preserve">: </w:t>
      </w:r>
      <w:r w:rsidR="00010665" w:rsidRPr="00010665">
        <w:rPr>
          <w:rFonts w:ascii="Arial" w:hAnsi="Arial" w:cs="Arial"/>
        </w:rPr>
        <w:t>2/4 (50</w:t>
      </w:r>
      <w:r w:rsidR="00CB5CEC" w:rsidRPr="00CB5CEC">
        <w:rPr>
          <w:rFonts w:ascii="Arial" w:hAnsi="Arial" w:cs="Arial"/>
        </w:rPr>
        <w:t>%)</w:t>
      </w:r>
      <w:r w:rsidR="00CB5CEC" w:rsidRPr="00010665">
        <w:rPr>
          <w:rFonts w:ascii="Arial" w:hAnsi="Arial" w:cs="Arial"/>
          <w:b/>
          <w:bCs/>
        </w:rPr>
        <w:t xml:space="preserve"> </w:t>
      </w:r>
      <w:r w:rsidR="00CB5CEC" w:rsidRPr="00F479F8">
        <w:rPr>
          <w:rFonts w:ascii="Arial" w:hAnsi="Arial" w:cs="Arial"/>
        </w:rPr>
        <w:t>(</w:t>
      </w:r>
      <w:r w:rsidR="00091801" w:rsidRPr="00F479F8">
        <w:rPr>
          <w:rFonts w:ascii="Arial" w:hAnsi="Arial" w:cs="Arial"/>
        </w:rPr>
        <w:t>Table 3, Figure 3).</w:t>
      </w:r>
    </w:p>
    <w:p w14:paraId="25CA2675" w14:textId="77777777" w:rsidR="00F479F8" w:rsidRPr="00F479F8" w:rsidRDefault="00F479F8" w:rsidP="0015699F">
      <w:pPr>
        <w:spacing w:line="240" w:lineRule="auto"/>
        <w:jc w:val="both"/>
        <w:rPr>
          <w:rFonts w:ascii="Arial" w:hAnsi="Arial" w:cs="Arial"/>
        </w:rPr>
      </w:pPr>
    </w:p>
    <w:p w14:paraId="40EDD49D" w14:textId="2D53A651" w:rsidR="00AB1555" w:rsidRPr="0015699F" w:rsidRDefault="00AB1555" w:rsidP="0015699F">
      <w:pPr>
        <w:spacing w:line="240" w:lineRule="auto"/>
        <w:jc w:val="both"/>
        <w:rPr>
          <w:rFonts w:ascii="Arial" w:hAnsi="Arial" w:cs="Arial"/>
          <w:b/>
          <w:bCs/>
        </w:rPr>
      </w:pPr>
      <w:r w:rsidRPr="0015699F">
        <w:rPr>
          <w:rFonts w:ascii="Arial" w:hAnsi="Arial" w:cs="Arial"/>
          <w:b/>
          <w:bCs/>
        </w:rPr>
        <w:t>Table 3. Antibiotic Susceptibility of Bacterial Isolates (n=36 isolates)</w:t>
      </w:r>
    </w:p>
    <w:tbl>
      <w:tblPr>
        <w:tblStyle w:val="TableGrid"/>
        <w:tblW w:w="0" w:type="auto"/>
        <w:tblLook w:val="04A0" w:firstRow="1" w:lastRow="0" w:firstColumn="1" w:lastColumn="0" w:noHBand="0" w:noVBand="1"/>
      </w:tblPr>
      <w:tblGrid>
        <w:gridCol w:w="1870"/>
        <w:gridCol w:w="1870"/>
        <w:gridCol w:w="1870"/>
        <w:gridCol w:w="1870"/>
        <w:gridCol w:w="1870"/>
      </w:tblGrid>
      <w:tr w:rsidR="00092AB3" w:rsidRPr="0015699F" w14:paraId="220C8CFC" w14:textId="77777777" w:rsidTr="00257333">
        <w:tc>
          <w:tcPr>
            <w:tcW w:w="1870" w:type="dxa"/>
          </w:tcPr>
          <w:p w14:paraId="331783E7" w14:textId="002F26D0" w:rsidR="00092AB3" w:rsidRPr="0015699F" w:rsidRDefault="00092AB3" w:rsidP="0015699F">
            <w:pPr>
              <w:jc w:val="both"/>
              <w:rPr>
                <w:rFonts w:ascii="Arial" w:hAnsi="Arial" w:cs="Arial"/>
                <w:b/>
                <w:bCs/>
              </w:rPr>
            </w:pPr>
            <w:r w:rsidRPr="00AB1555">
              <w:rPr>
                <w:rFonts w:ascii="Arial" w:hAnsi="Arial" w:cs="Arial"/>
                <w:b/>
                <w:bCs/>
              </w:rPr>
              <w:t>Antibiotic</w:t>
            </w:r>
          </w:p>
        </w:tc>
        <w:tc>
          <w:tcPr>
            <w:tcW w:w="1870" w:type="dxa"/>
          </w:tcPr>
          <w:p w14:paraId="282C01F2" w14:textId="040027B5" w:rsidR="00092AB3" w:rsidRPr="0015699F" w:rsidRDefault="00092AB3" w:rsidP="0015699F">
            <w:pPr>
              <w:jc w:val="both"/>
              <w:rPr>
                <w:rFonts w:ascii="Arial" w:hAnsi="Arial" w:cs="Arial"/>
                <w:b/>
                <w:bCs/>
              </w:rPr>
            </w:pPr>
            <w:r w:rsidRPr="00AB1555">
              <w:rPr>
                <w:rFonts w:ascii="Arial" w:hAnsi="Arial" w:cs="Arial"/>
                <w:b/>
                <w:bCs/>
              </w:rPr>
              <w:t>S. aureus (n=15)</w:t>
            </w:r>
          </w:p>
        </w:tc>
        <w:tc>
          <w:tcPr>
            <w:tcW w:w="1870" w:type="dxa"/>
          </w:tcPr>
          <w:p w14:paraId="3B537044" w14:textId="2AB4D7A6" w:rsidR="00092AB3" w:rsidRPr="0015699F" w:rsidRDefault="00092AB3" w:rsidP="0015699F">
            <w:pPr>
              <w:jc w:val="both"/>
              <w:rPr>
                <w:rFonts w:ascii="Arial" w:hAnsi="Arial" w:cs="Arial"/>
                <w:b/>
                <w:bCs/>
              </w:rPr>
            </w:pPr>
            <w:r w:rsidRPr="00AB1555">
              <w:rPr>
                <w:rFonts w:ascii="Arial" w:hAnsi="Arial" w:cs="Arial"/>
                <w:b/>
                <w:bCs/>
              </w:rPr>
              <w:t>S. epidermidis (n=12)</w:t>
            </w:r>
          </w:p>
        </w:tc>
        <w:tc>
          <w:tcPr>
            <w:tcW w:w="1870" w:type="dxa"/>
            <w:vAlign w:val="center"/>
          </w:tcPr>
          <w:p w14:paraId="0B06A1E5" w14:textId="08A0F79D" w:rsidR="00092AB3" w:rsidRPr="0015699F" w:rsidRDefault="00092AB3" w:rsidP="0015699F">
            <w:pPr>
              <w:jc w:val="both"/>
              <w:rPr>
                <w:rFonts w:ascii="Arial" w:hAnsi="Arial" w:cs="Arial"/>
                <w:b/>
                <w:bCs/>
              </w:rPr>
            </w:pPr>
            <w:r w:rsidRPr="00AB1555">
              <w:rPr>
                <w:rFonts w:ascii="Arial" w:hAnsi="Arial" w:cs="Arial"/>
                <w:b/>
                <w:bCs/>
              </w:rPr>
              <w:t>E. coli (n=5)</w:t>
            </w:r>
          </w:p>
        </w:tc>
        <w:tc>
          <w:tcPr>
            <w:tcW w:w="1870" w:type="dxa"/>
            <w:vAlign w:val="center"/>
          </w:tcPr>
          <w:p w14:paraId="187D82B8" w14:textId="303162D9" w:rsidR="00092AB3" w:rsidRPr="0015699F" w:rsidRDefault="00092AB3" w:rsidP="0015699F">
            <w:pPr>
              <w:jc w:val="both"/>
              <w:rPr>
                <w:rFonts w:ascii="Arial" w:hAnsi="Arial" w:cs="Arial"/>
                <w:b/>
                <w:bCs/>
              </w:rPr>
            </w:pPr>
            <w:r w:rsidRPr="00AB1555">
              <w:rPr>
                <w:rFonts w:ascii="Arial" w:hAnsi="Arial" w:cs="Arial"/>
                <w:b/>
                <w:bCs/>
              </w:rPr>
              <w:t>P. aeruginosa (n=4)</w:t>
            </w:r>
          </w:p>
        </w:tc>
      </w:tr>
      <w:tr w:rsidR="00092AB3" w:rsidRPr="0015699F" w14:paraId="58E1743F" w14:textId="77777777" w:rsidTr="00092AB3">
        <w:tc>
          <w:tcPr>
            <w:tcW w:w="1870" w:type="dxa"/>
          </w:tcPr>
          <w:p w14:paraId="5689659B" w14:textId="5F931340" w:rsidR="00092AB3" w:rsidRPr="00F479F8" w:rsidRDefault="00092AB3" w:rsidP="0015699F">
            <w:pPr>
              <w:jc w:val="both"/>
              <w:rPr>
                <w:rFonts w:ascii="Arial" w:hAnsi="Arial" w:cs="Arial"/>
              </w:rPr>
            </w:pPr>
            <w:r w:rsidRPr="00AB1555">
              <w:rPr>
                <w:rFonts w:ascii="Arial" w:hAnsi="Arial" w:cs="Arial"/>
              </w:rPr>
              <w:t>Ciprofloxacin</w:t>
            </w:r>
          </w:p>
        </w:tc>
        <w:tc>
          <w:tcPr>
            <w:tcW w:w="1870" w:type="dxa"/>
          </w:tcPr>
          <w:p w14:paraId="700BBEC7" w14:textId="1EB04770" w:rsidR="00092AB3" w:rsidRPr="00F479F8" w:rsidRDefault="00092AB3" w:rsidP="0015699F">
            <w:pPr>
              <w:jc w:val="both"/>
              <w:rPr>
                <w:rFonts w:ascii="Arial" w:hAnsi="Arial" w:cs="Arial"/>
              </w:rPr>
            </w:pPr>
            <w:r w:rsidRPr="00AB1555">
              <w:rPr>
                <w:rFonts w:ascii="Arial" w:hAnsi="Arial" w:cs="Arial"/>
              </w:rPr>
              <w:t>13 (87%) S</w:t>
            </w:r>
          </w:p>
        </w:tc>
        <w:tc>
          <w:tcPr>
            <w:tcW w:w="1870" w:type="dxa"/>
          </w:tcPr>
          <w:p w14:paraId="0DA2BF79" w14:textId="0E1AECA3" w:rsidR="00092AB3" w:rsidRPr="00F479F8" w:rsidRDefault="00092AB3" w:rsidP="0015699F">
            <w:pPr>
              <w:jc w:val="both"/>
              <w:rPr>
                <w:rFonts w:ascii="Arial" w:hAnsi="Arial" w:cs="Arial"/>
              </w:rPr>
            </w:pPr>
            <w:r w:rsidRPr="00AB1555">
              <w:rPr>
                <w:rFonts w:ascii="Arial" w:hAnsi="Arial" w:cs="Arial"/>
              </w:rPr>
              <w:t>10 (83%) S</w:t>
            </w:r>
          </w:p>
        </w:tc>
        <w:tc>
          <w:tcPr>
            <w:tcW w:w="1870" w:type="dxa"/>
          </w:tcPr>
          <w:p w14:paraId="37983D14" w14:textId="52FE3793"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666C03FA" w14:textId="05596CA6" w:rsidR="00092AB3" w:rsidRPr="00F479F8" w:rsidRDefault="00092AB3" w:rsidP="0015699F">
            <w:pPr>
              <w:jc w:val="both"/>
              <w:rPr>
                <w:rFonts w:ascii="Arial" w:hAnsi="Arial" w:cs="Arial"/>
              </w:rPr>
            </w:pPr>
            <w:r w:rsidRPr="00AB1555">
              <w:rPr>
                <w:rFonts w:ascii="Arial" w:hAnsi="Arial" w:cs="Arial"/>
              </w:rPr>
              <w:t>3 (75%) S</w:t>
            </w:r>
          </w:p>
        </w:tc>
      </w:tr>
      <w:tr w:rsidR="00092AB3" w:rsidRPr="0015699F" w14:paraId="4A7A91B3" w14:textId="77777777" w:rsidTr="00092AB3">
        <w:tc>
          <w:tcPr>
            <w:tcW w:w="1870" w:type="dxa"/>
          </w:tcPr>
          <w:p w14:paraId="5C357A57" w14:textId="7DB17C4A" w:rsidR="00092AB3" w:rsidRPr="00F479F8" w:rsidRDefault="00092AB3" w:rsidP="0015699F">
            <w:pPr>
              <w:jc w:val="both"/>
              <w:rPr>
                <w:rFonts w:ascii="Arial" w:hAnsi="Arial" w:cs="Arial"/>
              </w:rPr>
            </w:pPr>
            <w:r w:rsidRPr="00AB1555">
              <w:rPr>
                <w:rFonts w:ascii="Arial" w:hAnsi="Arial" w:cs="Arial"/>
              </w:rPr>
              <w:t>Gentamicin</w:t>
            </w:r>
          </w:p>
        </w:tc>
        <w:tc>
          <w:tcPr>
            <w:tcW w:w="1870" w:type="dxa"/>
          </w:tcPr>
          <w:p w14:paraId="0AA33333" w14:textId="4A9BADD4" w:rsidR="00092AB3" w:rsidRPr="00F479F8" w:rsidRDefault="00092AB3" w:rsidP="0015699F">
            <w:pPr>
              <w:jc w:val="both"/>
              <w:rPr>
                <w:rFonts w:ascii="Arial" w:hAnsi="Arial" w:cs="Arial"/>
              </w:rPr>
            </w:pPr>
            <w:r w:rsidRPr="00AB1555">
              <w:rPr>
                <w:rFonts w:ascii="Arial" w:hAnsi="Arial" w:cs="Arial"/>
              </w:rPr>
              <w:t>12 (80%) S</w:t>
            </w:r>
          </w:p>
        </w:tc>
        <w:tc>
          <w:tcPr>
            <w:tcW w:w="1870" w:type="dxa"/>
          </w:tcPr>
          <w:p w14:paraId="31EFEBF8" w14:textId="1922B2C8" w:rsidR="00092AB3" w:rsidRPr="00F479F8" w:rsidRDefault="00092AB3" w:rsidP="0015699F">
            <w:pPr>
              <w:jc w:val="both"/>
              <w:rPr>
                <w:rFonts w:ascii="Arial" w:hAnsi="Arial" w:cs="Arial"/>
              </w:rPr>
            </w:pPr>
            <w:r w:rsidRPr="00AB1555">
              <w:rPr>
                <w:rFonts w:ascii="Arial" w:hAnsi="Arial" w:cs="Arial"/>
              </w:rPr>
              <w:t>9 (75%) S</w:t>
            </w:r>
          </w:p>
        </w:tc>
        <w:tc>
          <w:tcPr>
            <w:tcW w:w="1870" w:type="dxa"/>
          </w:tcPr>
          <w:p w14:paraId="5C3C44A9" w14:textId="5A46EF61"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0F22F0BF" w14:textId="77777777" w:rsidR="00092AB3" w:rsidRPr="00F479F8" w:rsidRDefault="00092AB3" w:rsidP="0015699F">
            <w:pPr>
              <w:jc w:val="both"/>
              <w:rPr>
                <w:rFonts w:ascii="Arial" w:hAnsi="Arial" w:cs="Arial"/>
              </w:rPr>
            </w:pPr>
          </w:p>
        </w:tc>
      </w:tr>
      <w:tr w:rsidR="00092AB3" w:rsidRPr="0015699F" w14:paraId="48B2CA9F" w14:textId="77777777" w:rsidTr="00092AB3">
        <w:tc>
          <w:tcPr>
            <w:tcW w:w="1870" w:type="dxa"/>
          </w:tcPr>
          <w:p w14:paraId="5B345059" w14:textId="09C19A45" w:rsidR="00092AB3" w:rsidRPr="00F479F8" w:rsidRDefault="00092AB3" w:rsidP="0015699F">
            <w:pPr>
              <w:jc w:val="both"/>
              <w:rPr>
                <w:rFonts w:ascii="Arial" w:hAnsi="Arial" w:cs="Arial"/>
              </w:rPr>
            </w:pPr>
            <w:r w:rsidRPr="00AB1555">
              <w:rPr>
                <w:rFonts w:ascii="Arial" w:hAnsi="Arial" w:cs="Arial"/>
              </w:rPr>
              <w:t>Erythromycin</w:t>
            </w:r>
          </w:p>
        </w:tc>
        <w:tc>
          <w:tcPr>
            <w:tcW w:w="1870" w:type="dxa"/>
          </w:tcPr>
          <w:p w14:paraId="00FB5BC0" w14:textId="143FE266" w:rsidR="00092AB3" w:rsidRPr="00F479F8" w:rsidRDefault="00092AB3" w:rsidP="0015699F">
            <w:pPr>
              <w:jc w:val="both"/>
              <w:rPr>
                <w:rFonts w:ascii="Arial" w:hAnsi="Arial" w:cs="Arial"/>
              </w:rPr>
            </w:pPr>
            <w:r w:rsidRPr="00AB1555">
              <w:rPr>
                <w:rFonts w:ascii="Arial" w:hAnsi="Arial" w:cs="Arial"/>
              </w:rPr>
              <w:t>9 (60%) S</w:t>
            </w:r>
          </w:p>
        </w:tc>
        <w:tc>
          <w:tcPr>
            <w:tcW w:w="1870" w:type="dxa"/>
          </w:tcPr>
          <w:p w14:paraId="45FB7A10" w14:textId="696B8779" w:rsidR="00092AB3" w:rsidRPr="00F479F8" w:rsidRDefault="00092AB3" w:rsidP="0015699F">
            <w:pPr>
              <w:jc w:val="both"/>
              <w:rPr>
                <w:rFonts w:ascii="Arial" w:hAnsi="Arial" w:cs="Arial"/>
              </w:rPr>
            </w:pPr>
            <w:r w:rsidRPr="00AB1555">
              <w:rPr>
                <w:rFonts w:ascii="Arial" w:hAnsi="Arial" w:cs="Arial"/>
              </w:rPr>
              <w:t>7 (58%) S</w:t>
            </w:r>
          </w:p>
        </w:tc>
        <w:tc>
          <w:tcPr>
            <w:tcW w:w="1870" w:type="dxa"/>
          </w:tcPr>
          <w:p w14:paraId="5B86A32F" w14:textId="74F4F2CB" w:rsidR="00092AB3" w:rsidRPr="00F479F8" w:rsidRDefault="00092AB3" w:rsidP="0015699F">
            <w:pPr>
              <w:jc w:val="both"/>
              <w:rPr>
                <w:rFonts w:ascii="Arial" w:hAnsi="Arial" w:cs="Arial"/>
              </w:rPr>
            </w:pPr>
            <w:r w:rsidRPr="00AB1555">
              <w:rPr>
                <w:rFonts w:ascii="Arial" w:hAnsi="Arial" w:cs="Arial"/>
              </w:rPr>
              <w:t>NA</w:t>
            </w:r>
          </w:p>
        </w:tc>
        <w:tc>
          <w:tcPr>
            <w:tcW w:w="1870" w:type="dxa"/>
          </w:tcPr>
          <w:p w14:paraId="572F328A" w14:textId="74134995" w:rsidR="00092AB3" w:rsidRPr="00F479F8" w:rsidRDefault="00092AB3" w:rsidP="0015699F">
            <w:pPr>
              <w:jc w:val="both"/>
              <w:rPr>
                <w:rFonts w:ascii="Arial" w:hAnsi="Arial" w:cs="Arial"/>
              </w:rPr>
            </w:pPr>
            <w:r w:rsidRPr="00AB1555">
              <w:rPr>
                <w:rFonts w:ascii="Arial" w:hAnsi="Arial" w:cs="Arial"/>
              </w:rPr>
              <w:t>NA</w:t>
            </w:r>
          </w:p>
        </w:tc>
      </w:tr>
      <w:tr w:rsidR="00092AB3" w:rsidRPr="0015699F" w14:paraId="05E8AC75" w14:textId="77777777" w:rsidTr="00092AB3">
        <w:tc>
          <w:tcPr>
            <w:tcW w:w="1870" w:type="dxa"/>
          </w:tcPr>
          <w:p w14:paraId="0E142496" w14:textId="6E4C8301" w:rsidR="00092AB3" w:rsidRPr="00F479F8" w:rsidRDefault="00092AB3" w:rsidP="0015699F">
            <w:pPr>
              <w:jc w:val="both"/>
              <w:rPr>
                <w:rFonts w:ascii="Arial" w:hAnsi="Arial" w:cs="Arial"/>
              </w:rPr>
            </w:pPr>
            <w:r w:rsidRPr="00AB1555">
              <w:rPr>
                <w:rFonts w:ascii="Arial" w:hAnsi="Arial" w:cs="Arial"/>
              </w:rPr>
              <w:t>Amoxicillin</w:t>
            </w:r>
          </w:p>
        </w:tc>
        <w:tc>
          <w:tcPr>
            <w:tcW w:w="1870" w:type="dxa"/>
          </w:tcPr>
          <w:p w14:paraId="35CC3468" w14:textId="0CCDB281" w:rsidR="00092AB3" w:rsidRPr="00F479F8" w:rsidRDefault="00092AB3" w:rsidP="0015699F">
            <w:pPr>
              <w:jc w:val="both"/>
              <w:rPr>
                <w:rFonts w:ascii="Arial" w:hAnsi="Arial" w:cs="Arial"/>
              </w:rPr>
            </w:pPr>
            <w:r w:rsidRPr="00AB1555">
              <w:rPr>
                <w:rFonts w:ascii="Arial" w:hAnsi="Arial" w:cs="Arial"/>
              </w:rPr>
              <w:t>7 (47%) S</w:t>
            </w:r>
          </w:p>
        </w:tc>
        <w:tc>
          <w:tcPr>
            <w:tcW w:w="1870" w:type="dxa"/>
          </w:tcPr>
          <w:p w14:paraId="7603502C" w14:textId="58BD1D3E" w:rsidR="00092AB3" w:rsidRPr="00F479F8" w:rsidRDefault="00092AB3" w:rsidP="0015699F">
            <w:pPr>
              <w:jc w:val="both"/>
              <w:rPr>
                <w:rFonts w:ascii="Arial" w:hAnsi="Arial" w:cs="Arial"/>
              </w:rPr>
            </w:pPr>
            <w:r w:rsidRPr="00AB1555">
              <w:rPr>
                <w:rFonts w:ascii="Arial" w:hAnsi="Arial" w:cs="Arial"/>
              </w:rPr>
              <w:t>5 (42%) S</w:t>
            </w:r>
          </w:p>
        </w:tc>
        <w:tc>
          <w:tcPr>
            <w:tcW w:w="1870" w:type="dxa"/>
          </w:tcPr>
          <w:p w14:paraId="78279261" w14:textId="2D5CC38B" w:rsidR="00092AB3" w:rsidRPr="00F479F8" w:rsidRDefault="00092AB3" w:rsidP="0015699F">
            <w:pPr>
              <w:jc w:val="both"/>
              <w:rPr>
                <w:rFonts w:ascii="Arial" w:hAnsi="Arial" w:cs="Arial"/>
              </w:rPr>
            </w:pPr>
            <w:r w:rsidRPr="00AB1555">
              <w:rPr>
                <w:rFonts w:ascii="Arial" w:hAnsi="Arial" w:cs="Arial"/>
              </w:rPr>
              <w:t>3 (60%) S</w:t>
            </w:r>
          </w:p>
        </w:tc>
        <w:tc>
          <w:tcPr>
            <w:tcW w:w="1870" w:type="dxa"/>
          </w:tcPr>
          <w:p w14:paraId="212790BF" w14:textId="40F83B53" w:rsidR="00092AB3" w:rsidRPr="00F479F8" w:rsidRDefault="00092AB3" w:rsidP="0015699F">
            <w:pPr>
              <w:jc w:val="both"/>
              <w:rPr>
                <w:rFonts w:ascii="Arial" w:hAnsi="Arial" w:cs="Arial"/>
              </w:rPr>
            </w:pPr>
            <w:r w:rsidRPr="00AB1555">
              <w:rPr>
                <w:rFonts w:ascii="Arial" w:hAnsi="Arial" w:cs="Arial"/>
              </w:rPr>
              <w:t>2 (50%) S</w:t>
            </w:r>
          </w:p>
        </w:tc>
      </w:tr>
      <w:tr w:rsidR="00092AB3" w:rsidRPr="0015699F" w14:paraId="07127379" w14:textId="77777777" w:rsidTr="00A77948">
        <w:tc>
          <w:tcPr>
            <w:tcW w:w="1870" w:type="dxa"/>
          </w:tcPr>
          <w:p w14:paraId="4A2CB967" w14:textId="62CF61A9" w:rsidR="00092AB3" w:rsidRPr="00F479F8" w:rsidRDefault="00092AB3" w:rsidP="0015699F">
            <w:pPr>
              <w:jc w:val="both"/>
              <w:rPr>
                <w:rFonts w:ascii="Arial" w:hAnsi="Arial" w:cs="Arial"/>
              </w:rPr>
            </w:pPr>
            <w:r w:rsidRPr="00AB1555">
              <w:rPr>
                <w:rFonts w:ascii="Arial" w:hAnsi="Arial" w:cs="Arial"/>
              </w:rPr>
              <w:t>Ceftriaxone</w:t>
            </w:r>
          </w:p>
        </w:tc>
        <w:tc>
          <w:tcPr>
            <w:tcW w:w="1870" w:type="dxa"/>
            <w:vAlign w:val="center"/>
          </w:tcPr>
          <w:p w14:paraId="30D18766" w14:textId="0B5389F1" w:rsidR="00092AB3" w:rsidRPr="00F479F8" w:rsidRDefault="00092AB3" w:rsidP="0015699F">
            <w:pPr>
              <w:jc w:val="both"/>
              <w:rPr>
                <w:rFonts w:ascii="Arial" w:hAnsi="Arial" w:cs="Arial"/>
              </w:rPr>
            </w:pPr>
            <w:r w:rsidRPr="00AB1555">
              <w:rPr>
                <w:rFonts w:ascii="Arial" w:hAnsi="Arial" w:cs="Arial"/>
              </w:rPr>
              <w:t>10 (67%) S</w:t>
            </w:r>
          </w:p>
        </w:tc>
        <w:tc>
          <w:tcPr>
            <w:tcW w:w="1870" w:type="dxa"/>
          </w:tcPr>
          <w:p w14:paraId="71442BDE" w14:textId="235927AD" w:rsidR="00092AB3" w:rsidRPr="00F479F8" w:rsidRDefault="00092AB3" w:rsidP="0015699F">
            <w:pPr>
              <w:jc w:val="both"/>
              <w:rPr>
                <w:rFonts w:ascii="Arial" w:hAnsi="Arial" w:cs="Arial"/>
              </w:rPr>
            </w:pPr>
            <w:r w:rsidRPr="00AB1555">
              <w:rPr>
                <w:rFonts w:ascii="Arial" w:hAnsi="Arial" w:cs="Arial"/>
              </w:rPr>
              <w:t>8 (67%) S</w:t>
            </w:r>
          </w:p>
        </w:tc>
        <w:tc>
          <w:tcPr>
            <w:tcW w:w="1870" w:type="dxa"/>
          </w:tcPr>
          <w:p w14:paraId="5F53DF5A" w14:textId="45D860AC" w:rsidR="00092AB3" w:rsidRPr="00F479F8" w:rsidRDefault="00092AB3" w:rsidP="0015699F">
            <w:pPr>
              <w:jc w:val="both"/>
              <w:rPr>
                <w:rFonts w:ascii="Arial" w:hAnsi="Arial" w:cs="Arial"/>
              </w:rPr>
            </w:pPr>
            <w:r w:rsidRPr="00AB1555">
              <w:rPr>
                <w:rFonts w:ascii="Arial" w:hAnsi="Arial" w:cs="Arial"/>
              </w:rPr>
              <w:t>4 (80%) S</w:t>
            </w:r>
          </w:p>
        </w:tc>
        <w:tc>
          <w:tcPr>
            <w:tcW w:w="1870" w:type="dxa"/>
          </w:tcPr>
          <w:p w14:paraId="2FAC7BB4" w14:textId="21694206" w:rsidR="00092AB3" w:rsidRPr="00F479F8" w:rsidRDefault="00092AB3" w:rsidP="0015699F">
            <w:pPr>
              <w:jc w:val="both"/>
              <w:rPr>
                <w:rFonts w:ascii="Arial" w:hAnsi="Arial" w:cs="Arial"/>
              </w:rPr>
            </w:pPr>
            <w:r w:rsidRPr="00AB1555">
              <w:rPr>
                <w:rFonts w:ascii="Arial" w:hAnsi="Arial" w:cs="Arial"/>
              </w:rPr>
              <w:t>3 (75%) S</w:t>
            </w:r>
          </w:p>
        </w:tc>
      </w:tr>
      <w:tr w:rsidR="00092AB3" w:rsidRPr="0015699F" w14:paraId="55D80261" w14:textId="77777777" w:rsidTr="00335A3A">
        <w:tc>
          <w:tcPr>
            <w:tcW w:w="1870" w:type="dxa"/>
          </w:tcPr>
          <w:p w14:paraId="3CB54BD5" w14:textId="26D3FCC4" w:rsidR="00092AB3" w:rsidRPr="00F479F8" w:rsidRDefault="00092AB3" w:rsidP="0015699F">
            <w:pPr>
              <w:jc w:val="both"/>
              <w:rPr>
                <w:rFonts w:ascii="Arial" w:hAnsi="Arial" w:cs="Arial"/>
              </w:rPr>
            </w:pPr>
            <w:r w:rsidRPr="00AB1555">
              <w:rPr>
                <w:rFonts w:ascii="Arial" w:hAnsi="Arial" w:cs="Arial"/>
              </w:rPr>
              <w:t>Tetracycline</w:t>
            </w:r>
          </w:p>
        </w:tc>
        <w:tc>
          <w:tcPr>
            <w:tcW w:w="1870" w:type="dxa"/>
            <w:vAlign w:val="center"/>
          </w:tcPr>
          <w:p w14:paraId="122AF1F0" w14:textId="37554397" w:rsidR="00092AB3" w:rsidRPr="00F479F8" w:rsidRDefault="00092AB3" w:rsidP="0015699F">
            <w:pPr>
              <w:jc w:val="both"/>
              <w:rPr>
                <w:rFonts w:ascii="Arial" w:hAnsi="Arial" w:cs="Arial"/>
              </w:rPr>
            </w:pPr>
            <w:r w:rsidRPr="00AB1555">
              <w:rPr>
                <w:rFonts w:ascii="Arial" w:hAnsi="Arial" w:cs="Arial"/>
              </w:rPr>
              <w:t>8 (53%) S</w:t>
            </w:r>
          </w:p>
        </w:tc>
        <w:tc>
          <w:tcPr>
            <w:tcW w:w="1870" w:type="dxa"/>
          </w:tcPr>
          <w:p w14:paraId="14904993" w14:textId="7B9A45E9" w:rsidR="00092AB3" w:rsidRPr="00F479F8" w:rsidRDefault="00092AB3" w:rsidP="0015699F">
            <w:pPr>
              <w:jc w:val="both"/>
              <w:rPr>
                <w:rFonts w:ascii="Arial" w:hAnsi="Arial" w:cs="Arial"/>
              </w:rPr>
            </w:pPr>
            <w:r w:rsidRPr="00AB1555">
              <w:rPr>
                <w:rFonts w:ascii="Arial" w:hAnsi="Arial" w:cs="Arial"/>
              </w:rPr>
              <w:t>7 (58%) S</w:t>
            </w:r>
          </w:p>
        </w:tc>
        <w:tc>
          <w:tcPr>
            <w:tcW w:w="1870" w:type="dxa"/>
          </w:tcPr>
          <w:p w14:paraId="7E634784" w14:textId="78674267" w:rsidR="00092AB3" w:rsidRPr="00F479F8" w:rsidRDefault="00092AB3" w:rsidP="0015699F">
            <w:pPr>
              <w:jc w:val="both"/>
              <w:rPr>
                <w:rFonts w:ascii="Arial" w:hAnsi="Arial" w:cs="Arial"/>
              </w:rPr>
            </w:pPr>
            <w:r w:rsidRPr="00AB1555">
              <w:rPr>
                <w:rFonts w:ascii="Arial" w:hAnsi="Arial" w:cs="Arial"/>
              </w:rPr>
              <w:t>3 (60%) S</w:t>
            </w:r>
          </w:p>
        </w:tc>
        <w:tc>
          <w:tcPr>
            <w:tcW w:w="1870" w:type="dxa"/>
          </w:tcPr>
          <w:p w14:paraId="41BB9F38" w14:textId="4E9F4739" w:rsidR="00092AB3" w:rsidRPr="00F479F8" w:rsidRDefault="00092AB3" w:rsidP="0015699F">
            <w:pPr>
              <w:jc w:val="both"/>
              <w:rPr>
                <w:rFonts w:ascii="Arial" w:hAnsi="Arial" w:cs="Arial"/>
              </w:rPr>
            </w:pPr>
            <w:r w:rsidRPr="00AB1555">
              <w:rPr>
                <w:rFonts w:ascii="Arial" w:hAnsi="Arial" w:cs="Arial"/>
              </w:rPr>
              <w:t>2 (50%) S</w:t>
            </w:r>
          </w:p>
        </w:tc>
      </w:tr>
    </w:tbl>
    <w:p w14:paraId="79B4558C" w14:textId="68EACE26" w:rsidR="000B4022" w:rsidRPr="00F479F8" w:rsidRDefault="00981056" w:rsidP="0015699F">
      <w:pPr>
        <w:spacing w:line="240" w:lineRule="auto"/>
        <w:jc w:val="both"/>
        <w:rPr>
          <w:rFonts w:ascii="Arial" w:hAnsi="Arial" w:cs="Arial"/>
          <w:i/>
          <w:iCs/>
        </w:rPr>
      </w:pPr>
      <w:r w:rsidRPr="00F479F8">
        <w:rPr>
          <w:rFonts w:ascii="Arial" w:hAnsi="Arial" w:cs="Arial"/>
          <w:i/>
          <w:iCs/>
        </w:rPr>
        <w:t>Key: S = Sensitive; NA = Not applicable</w:t>
      </w:r>
    </w:p>
    <w:p w14:paraId="51704A4C" w14:textId="200529B8" w:rsidR="00040C5E" w:rsidRPr="0015699F" w:rsidRDefault="003F5EAD" w:rsidP="0015699F">
      <w:pPr>
        <w:spacing w:line="240" w:lineRule="auto"/>
        <w:jc w:val="both"/>
        <w:rPr>
          <w:rFonts w:ascii="Arial" w:hAnsi="Arial" w:cs="Arial"/>
        </w:rPr>
      </w:pPr>
      <w:r w:rsidRPr="0015699F">
        <w:rPr>
          <w:rFonts w:ascii="Arial" w:hAnsi="Arial" w:cs="Arial"/>
          <w:noProof/>
        </w:rPr>
        <w:drawing>
          <wp:inline distT="0" distB="0" distL="0" distR="0" wp14:anchorId="44AF9EA2" wp14:editId="261573B8">
            <wp:extent cx="5940425" cy="3539490"/>
            <wp:effectExtent l="0" t="0" r="3175" b="3810"/>
            <wp:docPr id="1331548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39490"/>
                    </a:xfrm>
                    <a:prstGeom prst="rect">
                      <a:avLst/>
                    </a:prstGeom>
                    <a:noFill/>
                    <a:ln>
                      <a:noFill/>
                    </a:ln>
                  </pic:spPr>
                </pic:pic>
              </a:graphicData>
            </a:graphic>
          </wp:inline>
        </w:drawing>
      </w:r>
    </w:p>
    <w:p w14:paraId="515C7E4E" w14:textId="77777777" w:rsidR="00801A6C" w:rsidRDefault="00801A6C" w:rsidP="0015699F">
      <w:pPr>
        <w:spacing w:line="240" w:lineRule="auto"/>
        <w:jc w:val="both"/>
        <w:rPr>
          <w:rFonts w:ascii="Arial" w:hAnsi="Arial" w:cs="Arial"/>
          <w:b/>
          <w:bCs/>
        </w:rPr>
      </w:pPr>
      <w:r w:rsidRPr="00801A6C">
        <w:rPr>
          <w:rFonts w:ascii="Arial" w:hAnsi="Arial" w:cs="Arial"/>
          <w:b/>
          <w:bCs/>
        </w:rPr>
        <w:t>DISCUSSION</w:t>
      </w:r>
    </w:p>
    <w:p w14:paraId="45972F14" w14:textId="3BC89DD3" w:rsidR="00801A6C" w:rsidRPr="00801A6C" w:rsidRDefault="00801A6C" w:rsidP="0015699F">
      <w:pPr>
        <w:spacing w:line="240" w:lineRule="auto"/>
        <w:jc w:val="both"/>
        <w:rPr>
          <w:rFonts w:ascii="Arial" w:hAnsi="Arial" w:cs="Arial"/>
        </w:rPr>
      </w:pPr>
      <w:r w:rsidRPr="00801A6C">
        <w:rPr>
          <w:rFonts w:ascii="Arial" w:hAnsi="Arial" w:cs="Arial"/>
        </w:rPr>
        <w:t xml:space="preserve">This study revealed that all mobile phone earpieces (100%) sampled from university students were contaminated with bacterial and fungal organisms, indicating a high prevalence of microbial colonization. </w:t>
      </w:r>
      <w:r w:rsidR="002D4897">
        <w:rPr>
          <w:rFonts w:ascii="Arial" w:hAnsi="Arial" w:cs="Arial"/>
        </w:rPr>
        <w:t xml:space="preserve">Previous </w:t>
      </w:r>
      <w:r w:rsidR="002D4897" w:rsidRPr="00801A6C">
        <w:rPr>
          <w:rFonts w:ascii="Arial" w:hAnsi="Arial" w:cs="Arial"/>
        </w:rPr>
        <w:t>research show</w:t>
      </w:r>
      <w:r w:rsidR="002D4897">
        <w:rPr>
          <w:rFonts w:ascii="Arial" w:hAnsi="Arial" w:cs="Arial"/>
        </w:rPr>
        <w:t xml:space="preserve">s </w:t>
      </w:r>
      <w:r w:rsidR="002D4897" w:rsidRPr="00801A6C">
        <w:rPr>
          <w:rFonts w:ascii="Arial" w:hAnsi="Arial" w:cs="Arial"/>
        </w:rPr>
        <w:t>extensive microbial contamination on personal electronic devices in both healthcare and community settings (</w:t>
      </w:r>
      <w:proofErr w:type="spellStart"/>
      <w:r w:rsidR="002D4897" w:rsidRPr="00801A6C">
        <w:rPr>
          <w:rFonts w:ascii="Arial" w:hAnsi="Arial" w:cs="Arial"/>
        </w:rPr>
        <w:t>Zenbaba</w:t>
      </w:r>
      <w:proofErr w:type="spellEnd"/>
      <w:r w:rsidR="002D4897" w:rsidRPr="00801A6C">
        <w:rPr>
          <w:rFonts w:ascii="Arial" w:hAnsi="Arial" w:cs="Arial"/>
        </w:rPr>
        <w:t xml:space="preserve"> et al., 2023; </w:t>
      </w:r>
      <w:r w:rsidR="003478D2" w:rsidRPr="00D17F80">
        <w:rPr>
          <w:rFonts w:ascii="Arial" w:hAnsi="Arial" w:cs="Arial"/>
        </w:rPr>
        <w:t>Lubwama et al., 2021</w:t>
      </w:r>
      <w:r w:rsidR="002D4897" w:rsidRPr="00741269">
        <w:rPr>
          <w:rFonts w:ascii="Arial" w:hAnsi="Arial" w:cs="Arial"/>
        </w:rPr>
        <w:t xml:space="preserve">). </w:t>
      </w:r>
      <w:r w:rsidR="003F7BC0" w:rsidRPr="00741269">
        <w:rPr>
          <w:rFonts w:ascii="Arial" w:hAnsi="Arial" w:cs="Arial"/>
        </w:rPr>
        <w:t>The</w:t>
      </w:r>
      <w:r w:rsidR="003F7BC0" w:rsidRPr="00801A6C">
        <w:rPr>
          <w:rFonts w:ascii="Arial" w:hAnsi="Arial" w:cs="Arial"/>
        </w:rPr>
        <w:t xml:space="preserve"> 100% contamination rate reported in this study is slightly higher than previous reports. For example, Adomi (2022) reported 92% contamination of mobile phones among students, and </w:t>
      </w:r>
      <w:proofErr w:type="spellStart"/>
      <w:r w:rsidR="003F7BC0" w:rsidRPr="00801A6C">
        <w:rPr>
          <w:rFonts w:ascii="Arial" w:hAnsi="Arial" w:cs="Arial"/>
        </w:rPr>
        <w:t>Zenbaba</w:t>
      </w:r>
      <w:proofErr w:type="spellEnd"/>
      <w:r w:rsidR="003F7BC0" w:rsidRPr="00801A6C">
        <w:rPr>
          <w:rFonts w:ascii="Arial" w:hAnsi="Arial" w:cs="Arial"/>
        </w:rPr>
        <w:t xml:space="preserve"> et al. (2023) reported contamination rates of 85–90% among healthcare workers’ phones in Africa.</w:t>
      </w:r>
      <w:r w:rsidR="00F63287">
        <w:rPr>
          <w:rFonts w:ascii="Arial" w:hAnsi="Arial" w:cs="Arial"/>
        </w:rPr>
        <w:t xml:space="preserve"> </w:t>
      </w:r>
      <w:r w:rsidR="002D4897" w:rsidRPr="00801A6C">
        <w:rPr>
          <w:rFonts w:ascii="Arial" w:hAnsi="Arial" w:cs="Arial"/>
        </w:rPr>
        <w:t xml:space="preserve">The high level of contamination </w:t>
      </w:r>
      <w:r w:rsidR="002D4897">
        <w:rPr>
          <w:rFonts w:ascii="Arial" w:hAnsi="Arial" w:cs="Arial"/>
        </w:rPr>
        <w:t xml:space="preserve">in mobile </w:t>
      </w:r>
      <w:r w:rsidR="00F63287">
        <w:rPr>
          <w:rFonts w:ascii="Arial" w:hAnsi="Arial" w:cs="Arial"/>
        </w:rPr>
        <w:t>phones</w:t>
      </w:r>
      <w:r w:rsidR="002D4897">
        <w:rPr>
          <w:rFonts w:ascii="Arial" w:hAnsi="Arial" w:cs="Arial"/>
        </w:rPr>
        <w:t xml:space="preserve"> </w:t>
      </w:r>
      <w:r w:rsidR="002D4897" w:rsidRPr="00801A6C">
        <w:rPr>
          <w:rFonts w:ascii="Arial" w:hAnsi="Arial" w:cs="Arial"/>
        </w:rPr>
        <w:t>can be attributed to frequent handling, exposure to varied environments, and limited routine cleaning</w:t>
      </w:r>
      <w:r w:rsidR="00F63287">
        <w:rPr>
          <w:rFonts w:ascii="Arial" w:hAnsi="Arial" w:cs="Arial"/>
        </w:rPr>
        <w:t>. Interestingly</w:t>
      </w:r>
      <w:r w:rsidR="002D4897">
        <w:rPr>
          <w:rFonts w:ascii="Arial" w:hAnsi="Arial" w:cs="Arial"/>
        </w:rPr>
        <w:t>, t</w:t>
      </w:r>
      <w:r w:rsidR="003F7BC0" w:rsidRPr="00801A6C">
        <w:rPr>
          <w:rFonts w:ascii="Arial" w:hAnsi="Arial" w:cs="Arial"/>
        </w:rPr>
        <w:t xml:space="preserve">he slightly higher prevalence in this study may reflect the exclusive focus on earpieces, which are in </w:t>
      </w:r>
      <w:r w:rsidR="003F7BC0" w:rsidRPr="00801A6C">
        <w:rPr>
          <w:rFonts w:ascii="Arial" w:hAnsi="Arial" w:cs="Arial"/>
        </w:rPr>
        <w:lastRenderedPageBreak/>
        <w:t xml:space="preserve">closer contact with skin and ear secretions compared to </w:t>
      </w:r>
      <w:r w:rsidR="002D4897">
        <w:rPr>
          <w:rFonts w:ascii="Arial" w:hAnsi="Arial" w:cs="Arial"/>
        </w:rPr>
        <w:t>mobile phones</w:t>
      </w:r>
      <w:r w:rsidR="003F7BC0" w:rsidRPr="00801A6C">
        <w:rPr>
          <w:rFonts w:ascii="Arial" w:hAnsi="Arial" w:cs="Arial"/>
        </w:rPr>
        <w:t>.</w:t>
      </w:r>
      <w:r w:rsidR="003F7BC0">
        <w:rPr>
          <w:rFonts w:ascii="Arial" w:hAnsi="Arial" w:cs="Arial"/>
        </w:rPr>
        <w:t xml:space="preserve"> </w:t>
      </w:r>
      <w:r w:rsidR="00494445" w:rsidRPr="00D17F80">
        <w:rPr>
          <w:rFonts w:ascii="Arial" w:hAnsi="Arial" w:cs="Arial"/>
        </w:rPr>
        <w:t xml:space="preserve">The predominance of </w:t>
      </w:r>
      <w:r w:rsidR="00494445" w:rsidRPr="00D17F80">
        <w:rPr>
          <w:rFonts w:ascii="Arial" w:hAnsi="Arial" w:cs="Arial"/>
          <w:i/>
          <w:iCs/>
        </w:rPr>
        <w:t>S. aureus</w:t>
      </w:r>
      <w:r w:rsidR="00494445" w:rsidRPr="00D17F80">
        <w:rPr>
          <w:rFonts w:ascii="Arial" w:hAnsi="Arial" w:cs="Arial"/>
        </w:rPr>
        <w:t xml:space="preserve"> (15 isolates; 41.7%)</w:t>
      </w:r>
      <w:r w:rsidR="00494445" w:rsidRPr="00741269">
        <w:rPr>
          <w:rFonts w:ascii="Arial" w:hAnsi="Arial" w:cs="Arial"/>
        </w:rPr>
        <w:t xml:space="preserve"> </w:t>
      </w:r>
      <w:r w:rsidRPr="00741269">
        <w:rPr>
          <w:rFonts w:ascii="Arial" w:hAnsi="Arial" w:cs="Arial"/>
        </w:rPr>
        <w:t xml:space="preserve">is consistent </w:t>
      </w:r>
      <w:r w:rsidRPr="00801A6C">
        <w:rPr>
          <w:rFonts w:ascii="Arial" w:hAnsi="Arial" w:cs="Arial"/>
        </w:rPr>
        <w:t xml:space="preserve">with studies by Adomi (2022) and Shilpa et al. (2025), who reported high prevalence of </w:t>
      </w:r>
      <w:r w:rsidRPr="00801A6C">
        <w:rPr>
          <w:rFonts w:ascii="Arial" w:hAnsi="Arial" w:cs="Arial"/>
          <w:i/>
          <w:iCs/>
        </w:rPr>
        <w:t>S. aureus</w:t>
      </w:r>
      <w:r w:rsidRPr="00801A6C">
        <w:rPr>
          <w:rFonts w:ascii="Arial" w:hAnsi="Arial" w:cs="Arial"/>
        </w:rPr>
        <w:t xml:space="preserve"> and coagulase-negative staphylococci on mobile phones of students and healthcare workers. The predominance of staphylococcal species is expected, as they are part of the normal skin flora and are readily transferred to devices during handling. Their presence on earpieces is concerning because </w:t>
      </w:r>
      <w:r w:rsidRPr="00801A6C">
        <w:rPr>
          <w:rFonts w:ascii="Arial" w:hAnsi="Arial" w:cs="Arial"/>
          <w:i/>
          <w:iCs/>
        </w:rPr>
        <w:t>S. aureus</w:t>
      </w:r>
      <w:r w:rsidRPr="00801A6C">
        <w:rPr>
          <w:rFonts w:ascii="Arial" w:hAnsi="Arial" w:cs="Arial"/>
        </w:rPr>
        <w:t xml:space="preserve"> can cause skin and soft tissue infections, otitis externa, and in immunocompromised individuals, more severe infections such as bacteremia (Kumar et al., 2021).</w:t>
      </w:r>
    </w:p>
    <w:p w14:paraId="53F5E8E2" w14:textId="28D18266" w:rsidR="00801A6C" w:rsidRPr="00801A6C" w:rsidRDefault="003F7BC0" w:rsidP="0015699F">
      <w:pPr>
        <w:spacing w:line="240" w:lineRule="auto"/>
        <w:jc w:val="both"/>
        <w:rPr>
          <w:rFonts w:ascii="Arial" w:hAnsi="Arial" w:cs="Arial"/>
        </w:rPr>
      </w:pPr>
      <w:r w:rsidRPr="00D17F80">
        <w:rPr>
          <w:rFonts w:ascii="Arial" w:hAnsi="Arial" w:cs="Arial"/>
        </w:rPr>
        <w:t xml:space="preserve">The detection of </w:t>
      </w:r>
      <w:r w:rsidRPr="00D17F80">
        <w:rPr>
          <w:rFonts w:ascii="Arial" w:hAnsi="Arial" w:cs="Arial"/>
          <w:i/>
          <w:iCs/>
        </w:rPr>
        <w:t>E. coli</w:t>
      </w:r>
      <w:r w:rsidRPr="00D17F80">
        <w:rPr>
          <w:rFonts w:ascii="Arial" w:hAnsi="Arial" w:cs="Arial"/>
        </w:rPr>
        <w:t xml:space="preserve"> (5 isolates; 13.9%) </w:t>
      </w:r>
      <w:r w:rsidRPr="00741269">
        <w:rPr>
          <w:rFonts w:ascii="Arial" w:hAnsi="Arial" w:cs="Arial"/>
        </w:rPr>
        <w:t>suggests possible</w:t>
      </w:r>
      <w:r w:rsidRPr="00D17F80">
        <w:rPr>
          <w:rFonts w:ascii="Arial" w:hAnsi="Arial" w:cs="Arial"/>
        </w:rPr>
        <w:t xml:space="preserve"> fecal contamination, likely from inadequate hand hygiene</w:t>
      </w:r>
      <w:r w:rsidRPr="00741269">
        <w:rPr>
          <w:rFonts w:ascii="Arial" w:hAnsi="Arial" w:cs="Arial"/>
        </w:rPr>
        <w:t xml:space="preserve"> </w:t>
      </w:r>
      <w:r w:rsidR="00801A6C" w:rsidRPr="00741269">
        <w:rPr>
          <w:rFonts w:ascii="Arial" w:hAnsi="Arial" w:cs="Arial"/>
        </w:rPr>
        <w:t>after using the toilet. This finding is in agreement with studies conducted by Al-Ghamdi et al.</w:t>
      </w:r>
      <w:r w:rsidR="00801A6C" w:rsidRPr="00801A6C">
        <w:rPr>
          <w:rFonts w:ascii="Arial" w:hAnsi="Arial" w:cs="Arial"/>
        </w:rPr>
        <w:t xml:space="preserve"> (2021), which reported enteric bacteria on mobile phones in non-clinical student populations. The detection of </w:t>
      </w:r>
      <w:r w:rsidR="00801A6C" w:rsidRPr="00801A6C">
        <w:rPr>
          <w:rFonts w:ascii="Arial" w:hAnsi="Arial" w:cs="Arial"/>
          <w:i/>
          <w:iCs/>
        </w:rPr>
        <w:t>Pseudomonas aeruginosa</w:t>
      </w:r>
      <w:r w:rsidR="00801A6C" w:rsidRPr="00801A6C">
        <w:rPr>
          <w:rFonts w:ascii="Arial" w:hAnsi="Arial" w:cs="Arial"/>
        </w:rPr>
        <w:t xml:space="preserve"> (20%) is particularly significant given its role as an opportunistic pathogen, capable of causing respiratory, urinary, and wound infections (Murray et al., 2022). The presence of </w:t>
      </w:r>
      <w:r w:rsidR="00801A6C" w:rsidRPr="00801A6C">
        <w:rPr>
          <w:rFonts w:ascii="Arial" w:hAnsi="Arial" w:cs="Arial"/>
          <w:i/>
          <w:iCs/>
        </w:rPr>
        <w:t>P. aeruginosa</w:t>
      </w:r>
      <w:r w:rsidR="00801A6C" w:rsidRPr="00801A6C">
        <w:rPr>
          <w:rFonts w:ascii="Arial" w:hAnsi="Arial" w:cs="Arial"/>
        </w:rPr>
        <w:t xml:space="preserve"> may be attributed to environmental exposure, as this organism can survive in damp surfaces, and possibly from waterborne contamination during earpiece cleaning with insufficiently sanitized water.</w:t>
      </w:r>
    </w:p>
    <w:p w14:paraId="7A8C13C5" w14:textId="47749C71" w:rsidR="00801A6C" w:rsidRPr="00801A6C" w:rsidRDefault="00801A6C" w:rsidP="0015699F">
      <w:pPr>
        <w:spacing w:line="240" w:lineRule="auto"/>
        <w:jc w:val="both"/>
        <w:rPr>
          <w:rFonts w:ascii="Arial" w:hAnsi="Arial" w:cs="Arial"/>
        </w:rPr>
      </w:pPr>
      <w:r w:rsidRPr="00801A6C">
        <w:rPr>
          <w:rFonts w:ascii="Arial" w:hAnsi="Arial" w:cs="Arial"/>
        </w:rPr>
        <w:t xml:space="preserve">Fungal isolates included </w:t>
      </w:r>
      <w:r w:rsidRPr="00801A6C">
        <w:rPr>
          <w:rFonts w:ascii="Arial" w:hAnsi="Arial" w:cs="Arial"/>
          <w:i/>
          <w:iCs/>
        </w:rPr>
        <w:t>Candida</w:t>
      </w:r>
      <w:r w:rsidRPr="00801A6C">
        <w:rPr>
          <w:rFonts w:ascii="Arial" w:hAnsi="Arial" w:cs="Arial"/>
        </w:rPr>
        <w:t xml:space="preserve"> spp. (40%) and </w:t>
      </w:r>
      <w:r w:rsidRPr="00801A6C">
        <w:rPr>
          <w:rFonts w:ascii="Arial" w:hAnsi="Arial" w:cs="Arial"/>
          <w:i/>
          <w:iCs/>
        </w:rPr>
        <w:t>Aspergillus</w:t>
      </w:r>
      <w:r w:rsidRPr="00801A6C">
        <w:rPr>
          <w:rFonts w:ascii="Arial" w:hAnsi="Arial" w:cs="Arial"/>
        </w:rPr>
        <w:t xml:space="preserve"> spp. (25%). The presence of </w:t>
      </w:r>
      <w:r w:rsidRPr="00801A6C">
        <w:rPr>
          <w:rFonts w:ascii="Arial" w:hAnsi="Arial" w:cs="Arial"/>
          <w:i/>
          <w:iCs/>
        </w:rPr>
        <w:t>Candida</w:t>
      </w:r>
      <w:r w:rsidRPr="00801A6C">
        <w:rPr>
          <w:rFonts w:ascii="Arial" w:hAnsi="Arial" w:cs="Arial"/>
        </w:rPr>
        <w:t xml:space="preserve"> is consistent with findings by Dubljanin et al. (2022), who reported </w:t>
      </w:r>
      <w:r w:rsidRPr="00801A6C">
        <w:rPr>
          <w:rFonts w:ascii="Arial" w:hAnsi="Arial" w:cs="Arial"/>
          <w:i/>
          <w:iCs/>
        </w:rPr>
        <w:t>Candida</w:t>
      </w:r>
      <w:r w:rsidRPr="00801A6C">
        <w:rPr>
          <w:rFonts w:ascii="Arial" w:hAnsi="Arial" w:cs="Arial"/>
        </w:rPr>
        <w:t xml:space="preserve"> contamination on student mobile devices. Earpieces create warm and humid microenvironments that favor fungal survival and growth. </w:t>
      </w:r>
      <w:r w:rsidRPr="00801A6C">
        <w:rPr>
          <w:rFonts w:ascii="Arial" w:hAnsi="Arial" w:cs="Arial"/>
          <w:i/>
          <w:iCs/>
        </w:rPr>
        <w:t>Aspergillus</w:t>
      </w:r>
      <w:r w:rsidRPr="00801A6C">
        <w:rPr>
          <w:rFonts w:ascii="Arial" w:hAnsi="Arial" w:cs="Arial"/>
        </w:rPr>
        <w:t xml:space="preserve"> spp. contamination indicates environmental deposition of spores from air or dust, a finding corroborated by previous studies in community and healthcare settings (Sandle, 2018). Fungal contamination is particularly relevant for immunocompromised individuals, as exposure to </w:t>
      </w:r>
      <w:r w:rsidRPr="00801A6C">
        <w:rPr>
          <w:rFonts w:ascii="Arial" w:hAnsi="Arial" w:cs="Arial"/>
          <w:i/>
          <w:iCs/>
        </w:rPr>
        <w:t>Candida</w:t>
      </w:r>
      <w:r w:rsidRPr="00801A6C">
        <w:rPr>
          <w:rFonts w:ascii="Arial" w:hAnsi="Arial" w:cs="Arial"/>
        </w:rPr>
        <w:t xml:space="preserve"> and </w:t>
      </w:r>
      <w:r w:rsidRPr="00801A6C">
        <w:rPr>
          <w:rFonts w:ascii="Arial" w:hAnsi="Arial" w:cs="Arial"/>
          <w:i/>
          <w:iCs/>
        </w:rPr>
        <w:t>Aspergillus</w:t>
      </w:r>
      <w:r w:rsidRPr="00801A6C">
        <w:rPr>
          <w:rFonts w:ascii="Arial" w:hAnsi="Arial" w:cs="Arial"/>
        </w:rPr>
        <w:t xml:space="preserve"> can lead to opportunistic infections.</w:t>
      </w:r>
      <w:r w:rsidR="00CE45E0">
        <w:rPr>
          <w:rFonts w:ascii="Arial" w:hAnsi="Arial" w:cs="Arial"/>
        </w:rPr>
        <w:t xml:space="preserve"> </w:t>
      </w:r>
      <w:r w:rsidR="003F7BC0" w:rsidRPr="003F7BC0">
        <w:rPr>
          <w:rFonts w:ascii="Arial" w:hAnsi="Arial" w:cs="Arial"/>
        </w:rPr>
        <w:t>These findings are consistent with widespread community-level antibiotic exposure.</w:t>
      </w:r>
      <w:r w:rsidR="00CE45E0">
        <w:rPr>
          <w:rFonts w:ascii="Arial" w:hAnsi="Arial" w:cs="Arial"/>
        </w:rPr>
        <w:t xml:space="preserve"> </w:t>
      </w:r>
      <w:r w:rsidR="003F7BC0" w:rsidRPr="003F7BC0">
        <w:rPr>
          <w:rFonts w:ascii="Arial" w:hAnsi="Arial" w:cs="Arial"/>
        </w:rPr>
        <w:t>MDR prevalence was notable:</w:t>
      </w:r>
      <w:r w:rsidR="00CE45E0">
        <w:rPr>
          <w:rFonts w:ascii="Arial" w:hAnsi="Arial" w:cs="Arial"/>
        </w:rPr>
        <w:t xml:space="preserve"> </w:t>
      </w:r>
      <w:r w:rsidR="003F7BC0" w:rsidRPr="003F7BC0">
        <w:rPr>
          <w:rFonts w:ascii="Arial" w:hAnsi="Arial" w:cs="Arial"/>
        </w:rPr>
        <w:t xml:space="preserve">26.7% of </w:t>
      </w:r>
      <w:r w:rsidR="003F7BC0" w:rsidRPr="003F7BC0">
        <w:rPr>
          <w:rFonts w:ascii="Arial" w:hAnsi="Arial" w:cs="Arial"/>
          <w:i/>
          <w:iCs/>
        </w:rPr>
        <w:t>S. aureus</w:t>
      </w:r>
      <w:r w:rsidR="003F7BC0" w:rsidRPr="003F7BC0">
        <w:rPr>
          <w:rFonts w:ascii="Arial" w:hAnsi="Arial" w:cs="Arial"/>
        </w:rPr>
        <w:t xml:space="preserve"> (4/15)</w:t>
      </w:r>
      <w:r w:rsidR="00CE45E0">
        <w:rPr>
          <w:rFonts w:ascii="Arial" w:hAnsi="Arial" w:cs="Arial"/>
        </w:rPr>
        <w:t xml:space="preserve">, </w:t>
      </w:r>
      <w:r w:rsidR="003F7BC0" w:rsidRPr="003F7BC0">
        <w:rPr>
          <w:rFonts w:ascii="Arial" w:hAnsi="Arial" w:cs="Arial"/>
        </w:rPr>
        <w:t xml:space="preserve">50% of </w:t>
      </w:r>
      <w:r w:rsidR="003F7BC0" w:rsidRPr="003F7BC0">
        <w:rPr>
          <w:rFonts w:ascii="Arial" w:hAnsi="Arial" w:cs="Arial"/>
          <w:i/>
          <w:iCs/>
        </w:rPr>
        <w:t>P. aeruginosa</w:t>
      </w:r>
      <w:r w:rsidR="003F7BC0" w:rsidRPr="003F7BC0">
        <w:rPr>
          <w:rFonts w:ascii="Arial" w:hAnsi="Arial" w:cs="Arial"/>
        </w:rPr>
        <w:t xml:space="preserve"> (2/4)</w:t>
      </w:r>
      <w:r w:rsidR="00CE45E0">
        <w:rPr>
          <w:rFonts w:ascii="Arial" w:hAnsi="Arial" w:cs="Arial"/>
        </w:rPr>
        <w:t xml:space="preserve">. </w:t>
      </w:r>
      <w:r w:rsidR="003F7BC0" w:rsidRPr="003F7BC0">
        <w:rPr>
          <w:rFonts w:ascii="Arial" w:hAnsi="Arial" w:cs="Arial"/>
        </w:rPr>
        <w:t xml:space="preserve">This is particularly concerning given </w:t>
      </w:r>
      <w:r w:rsidR="003F7BC0" w:rsidRPr="003F7BC0">
        <w:rPr>
          <w:rFonts w:ascii="Arial" w:hAnsi="Arial" w:cs="Arial"/>
          <w:i/>
          <w:iCs/>
        </w:rPr>
        <w:t xml:space="preserve">P. </w:t>
      </w:r>
      <w:proofErr w:type="spellStart"/>
      <w:r w:rsidR="003F7BC0" w:rsidRPr="003F7BC0">
        <w:rPr>
          <w:rFonts w:ascii="Arial" w:hAnsi="Arial" w:cs="Arial"/>
          <w:i/>
          <w:iCs/>
        </w:rPr>
        <w:t>aeruginosa</w:t>
      </w:r>
      <w:r w:rsidR="003F7BC0" w:rsidRPr="003F7BC0">
        <w:rPr>
          <w:rFonts w:ascii="Arial" w:hAnsi="Arial" w:cs="Arial"/>
        </w:rPr>
        <w:t>’s</w:t>
      </w:r>
      <w:proofErr w:type="spellEnd"/>
      <w:r w:rsidR="003F7BC0" w:rsidRPr="003F7BC0">
        <w:rPr>
          <w:rFonts w:ascii="Arial" w:hAnsi="Arial" w:cs="Arial"/>
        </w:rPr>
        <w:t xml:space="preserve"> intrinsic resistance mechanisms.</w:t>
      </w:r>
      <w:r w:rsidR="00CE45E0">
        <w:rPr>
          <w:rFonts w:ascii="Arial" w:hAnsi="Arial" w:cs="Arial"/>
        </w:rPr>
        <w:t xml:space="preserve"> </w:t>
      </w:r>
      <w:r w:rsidR="003F7BC0" w:rsidRPr="003F7BC0">
        <w:rPr>
          <w:rFonts w:ascii="Arial" w:hAnsi="Arial" w:cs="Arial"/>
        </w:rPr>
        <w:t>Ciprofloxacin (5 µg) demonstrated the highest overall susceptibility (83.3%), possibly reflecting lower misuse compared to amoxicillin.</w:t>
      </w:r>
      <w:r w:rsidR="00CE45E0">
        <w:rPr>
          <w:rFonts w:ascii="Arial" w:hAnsi="Arial" w:cs="Arial"/>
        </w:rPr>
        <w:t xml:space="preserve"> </w:t>
      </w:r>
      <w:r w:rsidR="003F7BC0" w:rsidRPr="003F7BC0">
        <w:rPr>
          <w:rFonts w:ascii="Arial" w:hAnsi="Arial" w:cs="Arial"/>
        </w:rPr>
        <w:t>Resistance patterns revealed that:</w:t>
      </w:r>
      <w:r w:rsidR="00CE45E0">
        <w:rPr>
          <w:rFonts w:ascii="Arial" w:hAnsi="Arial" w:cs="Arial"/>
        </w:rPr>
        <w:t xml:space="preserve"> </w:t>
      </w:r>
      <w:r w:rsidR="003F7BC0" w:rsidRPr="003F7BC0">
        <w:rPr>
          <w:rFonts w:ascii="Arial" w:hAnsi="Arial" w:cs="Arial"/>
        </w:rPr>
        <w:t>amoxicillin resistance occurred in 13/36 isolates (36.1%)</w:t>
      </w:r>
      <w:r w:rsidR="00CE45E0">
        <w:rPr>
          <w:rFonts w:ascii="Arial" w:hAnsi="Arial" w:cs="Arial"/>
        </w:rPr>
        <w:t xml:space="preserve">, </w:t>
      </w:r>
      <w:r w:rsidR="003F7BC0" w:rsidRPr="003F7BC0">
        <w:rPr>
          <w:rFonts w:ascii="Arial" w:hAnsi="Arial" w:cs="Arial"/>
        </w:rPr>
        <w:t>resistance occurred in 11/31 applicable isolates (35.5%)</w:t>
      </w:r>
      <w:r w:rsidR="00CC21C0">
        <w:rPr>
          <w:rFonts w:ascii="Arial" w:hAnsi="Arial" w:cs="Arial"/>
        </w:rPr>
        <w:t xml:space="preserve">, </w:t>
      </w:r>
      <w:r w:rsidR="003F7BC0" w:rsidRPr="003F7BC0">
        <w:rPr>
          <w:rFonts w:ascii="Arial" w:hAnsi="Arial" w:cs="Arial"/>
        </w:rPr>
        <w:t>tetracycline resistance occurred in 12/36 isolates (33.3%)</w:t>
      </w:r>
      <w:r w:rsidR="003F7BC0">
        <w:rPr>
          <w:rFonts w:ascii="Arial" w:hAnsi="Arial" w:cs="Arial"/>
        </w:rPr>
        <w:t xml:space="preserve">. </w:t>
      </w:r>
      <w:r w:rsidR="003F7BC0" w:rsidRPr="003F7BC0">
        <w:rPr>
          <w:rFonts w:ascii="Arial" w:hAnsi="Arial" w:cs="Arial"/>
        </w:rPr>
        <w:t>MDR prevalence was notable:</w:t>
      </w:r>
      <w:r w:rsidR="00CC21C0">
        <w:rPr>
          <w:rFonts w:ascii="Arial" w:hAnsi="Arial" w:cs="Arial"/>
        </w:rPr>
        <w:t xml:space="preserve"> </w:t>
      </w:r>
      <w:r w:rsidR="003F7BC0" w:rsidRPr="003F7BC0">
        <w:rPr>
          <w:rFonts w:ascii="Arial" w:hAnsi="Arial" w:cs="Arial"/>
        </w:rPr>
        <w:t xml:space="preserve">26.7% of </w:t>
      </w:r>
      <w:r w:rsidR="003F7BC0" w:rsidRPr="003F7BC0">
        <w:rPr>
          <w:rFonts w:ascii="Arial" w:hAnsi="Arial" w:cs="Arial"/>
          <w:i/>
          <w:iCs/>
        </w:rPr>
        <w:t>S. aureus</w:t>
      </w:r>
      <w:r w:rsidR="003F7BC0" w:rsidRPr="003F7BC0">
        <w:rPr>
          <w:rFonts w:ascii="Arial" w:hAnsi="Arial" w:cs="Arial"/>
        </w:rPr>
        <w:t xml:space="preserve"> (4/15)</w:t>
      </w:r>
      <w:r w:rsidR="00CC21C0">
        <w:rPr>
          <w:rFonts w:ascii="Arial" w:hAnsi="Arial" w:cs="Arial"/>
        </w:rPr>
        <w:t xml:space="preserve">, </w:t>
      </w:r>
      <w:r w:rsidR="003F7BC0" w:rsidRPr="003F7BC0">
        <w:rPr>
          <w:rFonts w:ascii="Arial" w:hAnsi="Arial" w:cs="Arial"/>
        </w:rPr>
        <w:t xml:space="preserve">50% of </w:t>
      </w:r>
      <w:r w:rsidR="003F7BC0" w:rsidRPr="003F7BC0">
        <w:rPr>
          <w:rFonts w:ascii="Arial" w:hAnsi="Arial" w:cs="Arial"/>
          <w:i/>
          <w:iCs/>
        </w:rPr>
        <w:t>P. aeruginosa</w:t>
      </w:r>
      <w:r w:rsidR="003F7BC0" w:rsidRPr="003F7BC0">
        <w:rPr>
          <w:rFonts w:ascii="Arial" w:hAnsi="Arial" w:cs="Arial"/>
        </w:rPr>
        <w:t xml:space="preserve"> (2/4)</w:t>
      </w:r>
      <w:r w:rsidR="00CC21C0">
        <w:rPr>
          <w:rFonts w:ascii="Arial" w:hAnsi="Arial" w:cs="Arial"/>
        </w:rPr>
        <w:t xml:space="preserve">. </w:t>
      </w:r>
      <w:r w:rsidRPr="00801A6C">
        <w:rPr>
          <w:rFonts w:ascii="Arial" w:hAnsi="Arial" w:cs="Arial"/>
        </w:rPr>
        <w:t>These results are in line with studies by Kayed et al. (2023) and Shilpa et al. (2025), which reported mobile phones as potential reservoirs of multidrug-resistant bacteria. The observed resistance may be due to widespread and often inappropriate use of antibiotics among students, self-medication practices, or horizontal gene transfer among bacteria on device surfaces.</w:t>
      </w:r>
    </w:p>
    <w:p w14:paraId="1E810A01" w14:textId="260EAEE6" w:rsidR="00801A6C" w:rsidRDefault="00801A6C" w:rsidP="0015699F">
      <w:pPr>
        <w:spacing w:line="240" w:lineRule="auto"/>
        <w:jc w:val="both"/>
        <w:rPr>
          <w:rFonts w:ascii="Arial" w:hAnsi="Arial" w:cs="Arial"/>
        </w:rPr>
      </w:pPr>
      <w:r w:rsidRPr="00801A6C">
        <w:rPr>
          <w:rFonts w:ascii="Arial" w:hAnsi="Arial" w:cs="Arial"/>
        </w:rPr>
        <w:t xml:space="preserve">The higher susceptibility to </w:t>
      </w:r>
      <w:r w:rsidR="00B57376">
        <w:rPr>
          <w:rFonts w:ascii="Arial" w:hAnsi="Arial" w:cs="Arial"/>
        </w:rPr>
        <w:t>c</w:t>
      </w:r>
      <w:r w:rsidRPr="00801A6C">
        <w:rPr>
          <w:rFonts w:ascii="Arial" w:hAnsi="Arial" w:cs="Arial"/>
        </w:rPr>
        <w:t xml:space="preserve">iprofloxacin and </w:t>
      </w:r>
      <w:r w:rsidR="00B57376">
        <w:rPr>
          <w:rFonts w:ascii="Arial" w:hAnsi="Arial" w:cs="Arial"/>
        </w:rPr>
        <w:t>g</w:t>
      </w:r>
      <w:r w:rsidRPr="00801A6C">
        <w:rPr>
          <w:rFonts w:ascii="Arial" w:hAnsi="Arial" w:cs="Arial"/>
        </w:rPr>
        <w:t xml:space="preserve">entamicin may be due to their less frequent use in the student population compared to commonly available antibiotics like </w:t>
      </w:r>
      <w:r w:rsidR="00C53D96">
        <w:rPr>
          <w:rFonts w:ascii="Arial" w:hAnsi="Arial" w:cs="Arial"/>
        </w:rPr>
        <w:t>a</w:t>
      </w:r>
      <w:r w:rsidRPr="00801A6C">
        <w:rPr>
          <w:rFonts w:ascii="Arial" w:hAnsi="Arial" w:cs="Arial"/>
        </w:rPr>
        <w:t xml:space="preserve">moxicillin and </w:t>
      </w:r>
      <w:r w:rsidR="00C53D96">
        <w:rPr>
          <w:rFonts w:ascii="Arial" w:hAnsi="Arial" w:cs="Arial"/>
        </w:rPr>
        <w:t>t</w:t>
      </w:r>
      <w:r w:rsidRPr="00801A6C">
        <w:rPr>
          <w:rFonts w:ascii="Arial" w:hAnsi="Arial" w:cs="Arial"/>
        </w:rPr>
        <w:t>etracycline, reducing selective pressure. Conversely, the moderate resistance observed is a public health concern, highlighting mobile phone earpieces as vectors for the dissemination of antimicrobial-resistant organisms.</w:t>
      </w:r>
      <w:r w:rsidR="00C53D96">
        <w:rPr>
          <w:rFonts w:ascii="Arial" w:hAnsi="Arial" w:cs="Arial"/>
        </w:rPr>
        <w:t xml:space="preserve"> </w:t>
      </w:r>
      <w:r w:rsidRPr="00801A6C">
        <w:rPr>
          <w:rFonts w:ascii="Arial" w:hAnsi="Arial" w:cs="Arial"/>
        </w:rPr>
        <w:t xml:space="preserve">The predominance of staphylococcal species is consistent with both community- and hospital-based studies (Shilpa et al., 2025; Al-Ghamdi et al., 2021). Similarly, the presence of enteric bacteria </w:t>
      </w:r>
      <w:r w:rsidRPr="00801A6C">
        <w:rPr>
          <w:rFonts w:ascii="Arial" w:hAnsi="Arial" w:cs="Arial"/>
        </w:rPr>
        <w:lastRenderedPageBreak/>
        <w:t xml:space="preserve">like </w:t>
      </w:r>
      <w:r w:rsidRPr="00801A6C">
        <w:rPr>
          <w:rFonts w:ascii="Arial" w:hAnsi="Arial" w:cs="Arial"/>
          <w:i/>
          <w:iCs/>
        </w:rPr>
        <w:t>E. coli</w:t>
      </w:r>
      <w:r w:rsidRPr="00801A6C">
        <w:rPr>
          <w:rFonts w:ascii="Arial" w:hAnsi="Arial" w:cs="Arial"/>
        </w:rPr>
        <w:t xml:space="preserve"> on devices has been widely reported in studies assessing hygiene practices among students and healthcare workers (</w:t>
      </w:r>
      <w:proofErr w:type="spellStart"/>
      <w:r w:rsidRPr="00801A6C">
        <w:rPr>
          <w:rFonts w:ascii="Arial" w:hAnsi="Arial" w:cs="Arial"/>
        </w:rPr>
        <w:t>Zenbaba</w:t>
      </w:r>
      <w:proofErr w:type="spellEnd"/>
      <w:r w:rsidRPr="00801A6C">
        <w:rPr>
          <w:rFonts w:ascii="Arial" w:hAnsi="Arial" w:cs="Arial"/>
        </w:rPr>
        <w:t xml:space="preserve"> et al., 2023). The presence of fungal isolates, particularly </w:t>
      </w:r>
      <w:r w:rsidRPr="00801A6C">
        <w:rPr>
          <w:rFonts w:ascii="Arial" w:hAnsi="Arial" w:cs="Arial"/>
          <w:i/>
          <w:iCs/>
        </w:rPr>
        <w:t>Candida</w:t>
      </w:r>
      <w:r w:rsidRPr="00801A6C">
        <w:rPr>
          <w:rFonts w:ascii="Arial" w:hAnsi="Arial" w:cs="Arial"/>
        </w:rPr>
        <w:t xml:space="preserve"> spp., is corroborated by Dubljanin et al. (2022) and supports the notion that humid microenvironments on device accessories promote fungal growth.</w:t>
      </w:r>
    </w:p>
    <w:p w14:paraId="4D7706A6" w14:textId="77777777" w:rsidR="007D2502" w:rsidRPr="006906B0" w:rsidRDefault="007D2502" w:rsidP="007D2502">
      <w:pPr>
        <w:spacing w:line="240" w:lineRule="auto"/>
        <w:jc w:val="both"/>
        <w:rPr>
          <w:rFonts w:ascii="Arial" w:hAnsi="Arial" w:cs="Arial"/>
          <w:b/>
          <w:bCs/>
        </w:rPr>
      </w:pPr>
      <w:r w:rsidRPr="006906B0">
        <w:rPr>
          <w:rFonts w:ascii="Arial" w:hAnsi="Arial" w:cs="Arial"/>
          <w:b/>
          <w:bCs/>
        </w:rPr>
        <w:t>Study Limitation</w:t>
      </w:r>
    </w:p>
    <w:p w14:paraId="6A46E6B8" w14:textId="77777777" w:rsidR="007D2502" w:rsidRPr="00801A6C" w:rsidRDefault="007D2502" w:rsidP="007D2502">
      <w:pPr>
        <w:spacing w:line="240" w:lineRule="auto"/>
        <w:jc w:val="both"/>
        <w:rPr>
          <w:rFonts w:ascii="Arial" w:hAnsi="Arial" w:cs="Arial"/>
        </w:rPr>
      </w:pPr>
      <w:r w:rsidRPr="006906B0">
        <w:rPr>
          <w:rFonts w:ascii="Arial" w:hAnsi="Arial" w:cs="Arial"/>
        </w:rPr>
        <w:t>A limitation of this study is the exclusive reliance on phenotypic identification methods. Molecular confirmation techniques such as polymerase chain reaction (PCR) would provide more precise species identification and allow detection of specific resistance genes, particularly in multidrug-resistant strains. Future research incorporating molecular methods would strengthen surveillance of antimicrobial resistance in community settings.</w:t>
      </w:r>
    </w:p>
    <w:p w14:paraId="43F9491F" w14:textId="77777777" w:rsidR="007D2502" w:rsidRPr="00801A6C" w:rsidRDefault="007D2502" w:rsidP="0015699F">
      <w:pPr>
        <w:spacing w:line="240" w:lineRule="auto"/>
        <w:jc w:val="both"/>
        <w:rPr>
          <w:rFonts w:ascii="Arial" w:hAnsi="Arial" w:cs="Arial"/>
        </w:rPr>
      </w:pPr>
    </w:p>
    <w:p w14:paraId="5AFA0B0B" w14:textId="3D0E0792" w:rsidR="007D2502" w:rsidRPr="00801A6C" w:rsidRDefault="00801A6C" w:rsidP="0015699F">
      <w:pPr>
        <w:spacing w:line="240" w:lineRule="auto"/>
        <w:jc w:val="both"/>
        <w:rPr>
          <w:rFonts w:ascii="Arial" w:hAnsi="Arial" w:cs="Arial"/>
          <w:b/>
          <w:bCs/>
        </w:rPr>
      </w:pPr>
      <w:r w:rsidRPr="00801A6C">
        <w:rPr>
          <w:rFonts w:ascii="Arial" w:hAnsi="Arial" w:cs="Arial"/>
          <w:b/>
          <w:bCs/>
        </w:rPr>
        <w:t>CONCLUSION</w:t>
      </w:r>
    </w:p>
    <w:p w14:paraId="07A097AC" w14:textId="77777777" w:rsidR="00801A6C" w:rsidRDefault="00801A6C" w:rsidP="0015699F">
      <w:pPr>
        <w:spacing w:line="240" w:lineRule="auto"/>
        <w:jc w:val="both"/>
        <w:rPr>
          <w:rFonts w:ascii="Arial" w:hAnsi="Arial" w:cs="Arial"/>
        </w:rPr>
      </w:pPr>
      <w:r w:rsidRPr="00801A6C">
        <w:rPr>
          <w:rFonts w:ascii="Arial" w:hAnsi="Arial" w:cs="Arial"/>
        </w:rPr>
        <w:t xml:space="preserve">This study demonstrates a high prevalence of bacterial and fungal contamination on mobile phone earpieces among university students in Port Harcourt, Nigeria. </w:t>
      </w:r>
      <w:r w:rsidRPr="00801A6C">
        <w:rPr>
          <w:rFonts w:ascii="Arial" w:hAnsi="Arial" w:cs="Arial"/>
          <w:i/>
          <w:iCs/>
        </w:rPr>
        <w:t>Staphylococcus aureus</w:t>
      </w:r>
      <w:r w:rsidRPr="00801A6C">
        <w:rPr>
          <w:rFonts w:ascii="Arial" w:hAnsi="Arial" w:cs="Arial"/>
        </w:rPr>
        <w:t xml:space="preserve"> and </w:t>
      </w:r>
      <w:r w:rsidRPr="00801A6C">
        <w:rPr>
          <w:rFonts w:ascii="Arial" w:hAnsi="Arial" w:cs="Arial"/>
          <w:i/>
          <w:iCs/>
        </w:rPr>
        <w:t>Staphylococcus epidermidis</w:t>
      </w:r>
      <w:r w:rsidRPr="00801A6C">
        <w:rPr>
          <w:rFonts w:ascii="Arial" w:hAnsi="Arial" w:cs="Arial"/>
        </w:rPr>
        <w:t xml:space="preserve"> were the predominant bacterial isolates, while </w:t>
      </w:r>
      <w:r w:rsidRPr="00801A6C">
        <w:rPr>
          <w:rFonts w:ascii="Arial" w:hAnsi="Arial" w:cs="Arial"/>
          <w:i/>
          <w:iCs/>
        </w:rPr>
        <w:t>Candida</w:t>
      </w:r>
      <w:r w:rsidRPr="00801A6C">
        <w:rPr>
          <w:rFonts w:ascii="Arial" w:hAnsi="Arial" w:cs="Arial"/>
        </w:rPr>
        <w:t xml:space="preserve"> spp. was the most frequently isolated fungus. The presence of multidrug-resistant strains highlights the public health implications of mobile phone use in communal settings. These findings emphasize the importance of regular disinfection of mobile devices, particularly earpieces, using alcohol-based wipes or other approved disinfectants. Reinforcing proper hand hygiene practices before and after handling electronic devices is essential to reduce microbial transmission. The results also indicate a need for awareness campaigns and institutional policies that recommend routine cleaning of electronic devices. Future studies with larger sample sizes, inclusion of other device types, and molecular characterization of isolates would provide a more comprehensive understanding of microbial contamination and antimicrobial resistance patterns. Overall, mobile phone earpieces serve as reservoirs for potentially pathogenic microorganisms, including multidrug-resistant bacteria and opportunistic fungi, highlighting the necessity for targeted hygiene interventions to reduce the risk of microbial transmission in university and community settings.</w:t>
      </w:r>
    </w:p>
    <w:p w14:paraId="042CB25A" w14:textId="77777777" w:rsidR="00992FEA" w:rsidRPr="00992FEA" w:rsidRDefault="00992FEA" w:rsidP="0015699F">
      <w:pPr>
        <w:spacing w:line="240" w:lineRule="auto"/>
        <w:jc w:val="both"/>
        <w:rPr>
          <w:rFonts w:ascii="Arial" w:hAnsi="Arial" w:cs="Arial"/>
          <w:b/>
          <w:bCs/>
        </w:rPr>
      </w:pPr>
      <w:r w:rsidRPr="00992FEA">
        <w:rPr>
          <w:rFonts w:ascii="Arial" w:hAnsi="Arial" w:cs="Arial"/>
          <w:b/>
          <w:bCs/>
        </w:rPr>
        <w:t>RECOMMENDATIONS</w:t>
      </w:r>
    </w:p>
    <w:p w14:paraId="39574A47" w14:textId="4AE55D0F" w:rsidR="00F26BCD" w:rsidRDefault="00992FEA" w:rsidP="0015699F">
      <w:pPr>
        <w:spacing w:line="240" w:lineRule="auto"/>
        <w:jc w:val="both"/>
        <w:rPr>
          <w:rFonts w:ascii="Arial" w:hAnsi="Arial" w:cs="Arial"/>
        </w:rPr>
      </w:pPr>
      <w:r w:rsidRPr="00992FEA">
        <w:rPr>
          <w:rFonts w:ascii="Arial" w:hAnsi="Arial" w:cs="Arial"/>
        </w:rPr>
        <w:t xml:space="preserve">University students and other users of mobile devices should adopt regular cleaning practices for their earpieces and handsets. Alcohol-based wipes or suitable disinfectants should be used to reduce microbial load effectively. Reinforcement of proper hand hygiene before and after handling devices is crucial to minimize the transfer of microorganisms. Educational programs and awareness campaigns should be implemented in universities and other communal settings to highlight the risks associated with contaminated mobile devices and to promote hygiene-conscious behavior. Additionally, institutions should consider developing guidelines or policies recommending routine cleaning of electronic devices, particularly in high-contact environments such as laboratories, libraries, and healthcare-related settings. Future research should expand on this study by including larger sample sizes, examining different types of mobile devices, and conducting molecular analyses to better understand antimicrobial resistance </w:t>
      </w:r>
      <w:r w:rsidRPr="00992FEA">
        <w:rPr>
          <w:rFonts w:ascii="Arial" w:hAnsi="Arial" w:cs="Arial"/>
        </w:rPr>
        <w:lastRenderedPageBreak/>
        <w:t>mechanisms and the diversity of microorganisms present. These combined measures would contribute to mitigating the public health risks posed by contaminated mobile phone earpieces.</w:t>
      </w:r>
    </w:p>
    <w:p w14:paraId="49FF71E7" w14:textId="77777777" w:rsidR="00185911" w:rsidRDefault="00185911" w:rsidP="0015699F">
      <w:pPr>
        <w:spacing w:line="240" w:lineRule="auto"/>
        <w:jc w:val="both"/>
        <w:rPr>
          <w:rFonts w:ascii="Arial" w:hAnsi="Arial" w:cs="Arial"/>
        </w:rPr>
      </w:pPr>
    </w:p>
    <w:p w14:paraId="425B6D33" w14:textId="77777777" w:rsidR="00185911" w:rsidRPr="00185911" w:rsidRDefault="00185911" w:rsidP="00185911">
      <w:pPr>
        <w:spacing w:line="240" w:lineRule="auto"/>
        <w:jc w:val="both"/>
        <w:rPr>
          <w:rFonts w:ascii="Arial" w:hAnsi="Arial" w:cs="Arial"/>
        </w:rPr>
      </w:pPr>
      <w:r w:rsidRPr="00185911">
        <w:rPr>
          <w:rFonts w:ascii="Arial" w:hAnsi="Arial" w:cs="Arial"/>
        </w:rPr>
        <w:t>COMPETING INTERESTS DISCLAIMER:</w:t>
      </w:r>
    </w:p>
    <w:p w14:paraId="068A7297" w14:textId="31C195DB" w:rsidR="00185911" w:rsidRDefault="00185911" w:rsidP="0015699F">
      <w:pPr>
        <w:spacing w:line="240" w:lineRule="auto"/>
        <w:jc w:val="both"/>
        <w:rPr>
          <w:rFonts w:ascii="Arial" w:hAnsi="Arial" w:cs="Arial"/>
        </w:rPr>
      </w:pPr>
      <w:r w:rsidRPr="00185911">
        <w:rPr>
          <w:rFonts w:ascii="Arial" w:hAnsi="Arial" w:cs="Arial"/>
        </w:rPr>
        <w:t>Authors have declared that they have no known competing financial interests OR non-financial interests OR personal relationships that could have appeared to influence the work reported in this paper.</w:t>
      </w:r>
    </w:p>
    <w:p w14:paraId="13129DC8" w14:textId="77777777" w:rsidR="009337B0" w:rsidRPr="00FC5DAD" w:rsidRDefault="009337B0" w:rsidP="009337B0">
      <w:pPr>
        <w:spacing w:after="0" w:line="240" w:lineRule="auto"/>
        <w:rPr>
          <w:rFonts w:ascii="Times New Roman" w:eastAsia="Calibri" w:hAnsi="Times New Roman" w:cs="Times New Roman"/>
          <w:sz w:val="22"/>
          <w:szCs w:val="22"/>
          <w14:ligatures w14:val="none"/>
        </w:rPr>
      </w:pPr>
      <w:bookmarkStart w:id="0" w:name="_Hlk198031404"/>
      <w:bookmarkStart w:id="1" w:name="_Hlk219125673"/>
      <w:r w:rsidRPr="00FC5DAD">
        <w:rPr>
          <w:rFonts w:ascii="Times New Roman" w:eastAsia="Calibri" w:hAnsi="Times New Roman" w:cs="Times New Roman"/>
          <w:sz w:val="22"/>
          <w:szCs w:val="22"/>
          <w14:ligatures w14:val="none"/>
        </w:rPr>
        <w:t>Disclaimer (Artificial intelligence)</w:t>
      </w:r>
    </w:p>
    <w:p w14:paraId="4C3BC46B" w14:textId="77777777" w:rsidR="009337B0" w:rsidRPr="00FC5DAD" w:rsidRDefault="009337B0" w:rsidP="009337B0">
      <w:pPr>
        <w:spacing w:after="0" w:line="240" w:lineRule="auto"/>
        <w:rPr>
          <w:rFonts w:ascii="Times New Roman" w:eastAsia="Calibri" w:hAnsi="Times New Roman" w:cs="Times New Roman"/>
          <w:sz w:val="22"/>
          <w:szCs w:val="22"/>
          <w14:ligatures w14:val="none"/>
        </w:rPr>
      </w:pPr>
    </w:p>
    <w:p w14:paraId="6BD7D794" w14:textId="446DEF64" w:rsidR="00F479F8" w:rsidRPr="00FC5DAD" w:rsidRDefault="009337B0" w:rsidP="00FC5DAD">
      <w:pPr>
        <w:spacing w:after="0" w:line="240" w:lineRule="auto"/>
        <w:rPr>
          <w:rFonts w:ascii="Times New Roman" w:eastAsia="Calibri" w:hAnsi="Times New Roman" w:cs="Times New Roman"/>
          <w:sz w:val="22"/>
          <w:szCs w:val="22"/>
          <w14:ligatures w14:val="none"/>
        </w:rPr>
      </w:pPr>
      <w:r w:rsidRPr="00FC5DAD">
        <w:rPr>
          <w:rFonts w:ascii="Times New Roman" w:eastAsia="Calibri" w:hAnsi="Times New Roman" w:cs="Times New Roman"/>
          <w:sz w:val="22"/>
          <w:szCs w:val="22"/>
          <w14:ligatures w14:val="none"/>
        </w:rPr>
        <w:t xml:space="preserve">Author(s) hereby </w:t>
      </w:r>
      <w:proofErr w:type="gramStart"/>
      <w:r w:rsidRPr="00FC5DAD">
        <w:rPr>
          <w:rFonts w:ascii="Times New Roman" w:eastAsia="Calibri" w:hAnsi="Times New Roman" w:cs="Times New Roman"/>
          <w:sz w:val="22"/>
          <w:szCs w:val="22"/>
          <w14:ligatures w14:val="none"/>
        </w:rPr>
        <w:t>declare</w:t>
      </w:r>
      <w:proofErr w:type="gramEnd"/>
      <w:r w:rsidRPr="00FC5DAD">
        <w:rPr>
          <w:rFonts w:ascii="Times New Roman" w:eastAsia="Calibri" w:hAnsi="Times New Roman" w:cs="Times New Roman"/>
          <w:sz w:val="22"/>
          <w:szCs w:val="22"/>
          <w14:ligatures w14:val="none"/>
        </w:rPr>
        <w:t xml:space="preserve"> that NO generative AI technologies such as Large Language Models (ChatGPT, COPILOT, etc.) and text-to-image generators have been used during the writing or editing of this manuscript. </w:t>
      </w:r>
      <w:bookmarkEnd w:id="0"/>
      <w:bookmarkEnd w:id="1"/>
    </w:p>
    <w:p w14:paraId="4F81630C" w14:textId="77777777" w:rsidR="00FC5DAD" w:rsidRPr="00FC5DAD" w:rsidRDefault="00FC5DAD" w:rsidP="00FC5DAD">
      <w:pPr>
        <w:spacing w:after="0" w:line="240" w:lineRule="auto"/>
        <w:rPr>
          <w:rFonts w:ascii="Times New Roman" w:eastAsia="Calibri" w:hAnsi="Times New Roman" w:cs="Times New Roman"/>
          <w:sz w:val="22"/>
          <w:szCs w:val="22"/>
          <w14:ligatures w14:val="none"/>
        </w:rPr>
      </w:pPr>
    </w:p>
    <w:p w14:paraId="383B7F2A" w14:textId="77777777" w:rsidR="00992FEA" w:rsidRPr="00AA0730" w:rsidRDefault="00992FEA" w:rsidP="0015699F">
      <w:pPr>
        <w:spacing w:line="240" w:lineRule="auto"/>
        <w:jc w:val="both"/>
        <w:rPr>
          <w:rFonts w:ascii="Arial" w:hAnsi="Arial" w:cs="Arial"/>
          <w:b/>
          <w:bCs/>
        </w:rPr>
      </w:pPr>
      <w:r w:rsidRPr="00AA0730">
        <w:rPr>
          <w:rFonts w:ascii="Arial" w:hAnsi="Arial" w:cs="Arial"/>
          <w:b/>
          <w:bCs/>
        </w:rPr>
        <w:t>REFERENCES</w:t>
      </w:r>
    </w:p>
    <w:p w14:paraId="5D8A2E2C"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Ahmed, S., Khan, M., &amp; Al-Farhan, H. (2023). Fungal colonization on mobile devices: A study among university students. </w:t>
      </w:r>
      <w:r w:rsidRPr="00992FEA">
        <w:rPr>
          <w:rFonts w:ascii="Arial" w:hAnsi="Arial" w:cs="Arial"/>
          <w:i/>
          <w:iCs/>
        </w:rPr>
        <w:t>Journal of Infection and Public Health, 16</w:t>
      </w:r>
      <w:r w:rsidRPr="00992FEA">
        <w:rPr>
          <w:rFonts w:ascii="Arial" w:hAnsi="Arial" w:cs="Arial"/>
        </w:rPr>
        <w:t xml:space="preserve">(2), 210–218. </w:t>
      </w:r>
      <w:hyperlink r:id="rId10" w:tgtFrame="_new" w:history="1">
        <w:r w:rsidRPr="00992FEA">
          <w:rPr>
            <w:rStyle w:val="Hyperlink"/>
            <w:rFonts w:ascii="Arial" w:hAnsi="Arial" w:cs="Arial"/>
          </w:rPr>
          <w:t>https://doi.org/10.1016/j.jiph.2022.12.004</w:t>
        </w:r>
      </w:hyperlink>
    </w:p>
    <w:p w14:paraId="191A2581"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Adomi, P. O. (2022). Microbial colonization and multidrug resistance patterns of phones of healthcare workers in Delta State, Nigeria. </w:t>
      </w:r>
      <w:r w:rsidRPr="00992FEA">
        <w:rPr>
          <w:rFonts w:ascii="Arial" w:hAnsi="Arial" w:cs="Arial"/>
          <w:i/>
          <w:iCs/>
        </w:rPr>
        <w:t>International Journal of Microbiology and Biotechnology, 7</w:t>
      </w:r>
      <w:r w:rsidRPr="00992FEA">
        <w:rPr>
          <w:rFonts w:ascii="Arial" w:hAnsi="Arial" w:cs="Arial"/>
        </w:rPr>
        <w:t xml:space="preserve">(2), 58–63. </w:t>
      </w:r>
      <w:hyperlink r:id="rId11" w:tgtFrame="_new" w:history="1">
        <w:r w:rsidRPr="00992FEA">
          <w:rPr>
            <w:rStyle w:val="Hyperlink"/>
            <w:rFonts w:ascii="Arial" w:hAnsi="Arial" w:cs="Arial"/>
          </w:rPr>
          <w:t>https://doi.org/10.11648/j.ijmb.20220702.12</w:t>
        </w:r>
      </w:hyperlink>
    </w:p>
    <w:p w14:paraId="1B1D7F56"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Al-Azzam, S., Alzoubi, K., &amp; Saadeh, R. (2022). Antimicrobial resistance on personal devices: A systematic review. </w:t>
      </w:r>
      <w:r w:rsidRPr="00992FEA">
        <w:rPr>
          <w:rFonts w:ascii="Arial" w:hAnsi="Arial" w:cs="Arial"/>
          <w:i/>
          <w:iCs/>
        </w:rPr>
        <w:t>International Journal of Environmental Research and Public Health, 19</w:t>
      </w:r>
      <w:r w:rsidRPr="00992FEA">
        <w:rPr>
          <w:rFonts w:ascii="Arial" w:hAnsi="Arial" w:cs="Arial"/>
        </w:rPr>
        <w:t xml:space="preserve">(18), 11543. </w:t>
      </w:r>
      <w:hyperlink r:id="rId12" w:tgtFrame="_new" w:history="1">
        <w:r w:rsidRPr="00992FEA">
          <w:rPr>
            <w:rStyle w:val="Hyperlink"/>
            <w:rFonts w:ascii="Arial" w:hAnsi="Arial" w:cs="Arial"/>
          </w:rPr>
          <w:t>https://doi.org/10.3390/ijerph191811543</w:t>
        </w:r>
      </w:hyperlink>
    </w:p>
    <w:p w14:paraId="55AAC5EE"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Al-Ghamdi, S., Khan, A., &amp; Asif, M. (2021). Microbial contamination of mobile phones used by university students: Public health implications. </w:t>
      </w:r>
      <w:r w:rsidRPr="00992FEA">
        <w:rPr>
          <w:rFonts w:ascii="Arial" w:hAnsi="Arial" w:cs="Arial"/>
          <w:i/>
          <w:iCs/>
        </w:rPr>
        <w:t>Journal of Infection and Public Health, 14</w:t>
      </w:r>
      <w:r w:rsidRPr="00992FEA">
        <w:rPr>
          <w:rFonts w:ascii="Arial" w:hAnsi="Arial" w:cs="Arial"/>
        </w:rPr>
        <w:t xml:space="preserve">(5), 617–624. </w:t>
      </w:r>
      <w:hyperlink r:id="rId13" w:tgtFrame="_new" w:history="1">
        <w:r w:rsidRPr="00992FEA">
          <w:rPr>
            <w:rStyle w:val="Hyperlink"/>
            <w:rFonts w:ascii="Arial" w:hAnsi="Arial" w:cs="Arial"/>
          </w:rPr>
          <w:t>https://doi.org/10.1016/j.jiph.2021.02.012</w:t>
        </w:r>
      </w:hyperlink>
    </w:p>
    <w:p w14:paraId="13782470"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Cheesbrough, M. (2019). </w:t>
      </w:r>
      <w:r w:rsidRPr="00992FEA">
        <w:rPr>
          <w:rFonts w:ascii="Arial" w:hAnsi="Arial" w:cs="Arial"/>
          <w:i/>
          <w:iCs/>
        </w:rPr>
        <w:t>District laboratory practice in tropical countries</w:t>
      </w:r>
      <w:r w:rsidRPr="00992FEA">
        <w:rPr>
          <w:rFonts w:ascii="Arial" w:hAnsi="Arial" w:cs="Arial"/>
        </w:rPr>
        <w:t xml:space="preserve"> (Part 2, 2nd ed.). Cambridge University Press.</w:t>
      </w:r>
    </w:p>
    <w:p w14:paraId="031AA286"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Clinical and Laboratory Standards Institute. (2023). </w:t>
      </w:r>
      <w:r w:rsidRPr="00992FEA">
        <w:rPr>
          <w:rFonts w:ascii="Arial" w:hAnsi="Arial" w:cs="Arial"/>
          <w:i/>
          <w:iCs/>
        </w:rPr>
        <w:t>Performance standards for antimicrobial susceptibility testing</w:t>
      </w:r>
      <w:r w:rsidRPr="00992FEA">
        <w:rPr>
          <w:rFonts w:ascii="Arial" w:hAnsi="Arial" w:cs="Arial"/>
        </w:rPr>
        <w:t xml:space="preserve"> (33rd ed., CLSI supplement M100). Wayne, PA: CLSI.</w:t>
      </w:r>
    </w:p>
    <w:p w14:paraId="2FD9AD3F"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Dubljanin, E., Crvenkov, T., Vujčić, I., </w:t>
      </w:r>
      <w:proofErr w:type="spellStart"/>
      <w:r w:rsidRPr="00992FEA">
        <w:rPr>
          <w:rFonts w:ascii="Arial" w:hAnsi="Arial" w:cs="Arial"/>
        </w:rPr>
        <w:t>Šipetić</w:t>
      </w:r>
      <w:proofErr w:type="spellEnd"/>
      <w:r w:rsidRPr="00992FEA">
        <w:rPr>
          <w:rFonts w:ascii="Arial" w:hAnsi="Arial" w:cs="Arial"/>
        </w:rPr>
        <w:t xml:space="preserve"> Grujičić, S., Dubljanin, J., &amp; </w:t>
      </w:r>
      <w:proofErr w:type="spellStart"/>
      <w:r w:rsidRPr="00992FEA">
        <w:rPr>
          <w:rFonts w:ascii="Arial" w:hAnsi="Arial" w:cs="Arial"/>
        </w:rPr>
        <w:t>Džamić</w:t>
      </w:r>
      <w:proofErr w:type="spellEnd"/>
      <w:r w:rsidRPr="00992FEA">
        <w:rPr>
          <w:rFonts w:ascii="Arial" w:hAnsi="Arial" w:cs="Arial"/>
        </w:rPr>
        <w:t xml:space="preserve">, A. (2022). Fungal contamination of medical students’ mobile phones: A cross-sectional study. </w:t>
      </w:r>
      <w:r w:rsidRPr="00992FEA">
        <w:rPr>
          <w:rFonts w:ascii="Arial" w:hAnsi="Arial" w:cs="Arial"/>
          <w:i/>
          <w:iCs/>
        </w:rPr>
        <w:t>Scientific Reports, 12</w:t>
      </w:r>
      <w:r w:rsidRPr="00992FEA">
        <w:rPr>
          <w:rFonts w:ascii="Arial" w:hAnsi="Arial" w:cs="Arial"/>
        </w:rPr>
        <w:t xml:space="preserve">, 16852. </w:t>
      </w:r>
      <w:hyperlink r:id="rId14" w:tgtFrame="_new" w:history="1">
        <w:r w:rsidRPr="00992FEA">
          <w:rPr>
            <w:rStyle w:val="Hyperlink"/>
            <w:rFonts w:ascii="Arial" w:hAnsi="Arial" w:cs="Arial"/>
          </w:rPr>
          <w:t>https://doi.org/10.1038/s41598-022-21118-2</w:t>
        </w:r>
      </w:hyperlink>
    </w:p>
    <w:p w14:paraId="4CD81711" w14:textId="77777777" w:rsidR="00992FEA" w:rsidRPr="009337B0" w:rsidRDefault="00992FEA" w:rsidP="0015699F">
      <w:pPr>
        <w:spacing w:line="240" w:lineRule="auto"/>
        <w:jc w:val="both"/>
        <w:rPr>
          <w:rFonts w:ascii="Arial" w:hAnsi="Arial" w:cs="Arial"/>
          <w:lang w:val="fr-FR"/>
        </w:rPr>
      </w:pPr>
      <w:r w:rsidRPr="00992FEA">
        <w:rPr>
          <w:rFonts w:ascii="Arial" w:hAnsi="Arial" w:cs="Arial"/>
        </w:rPr>
        <w:t xml:space="preserve">Kayed, K., </w:t>
      </w:r>
      <w:proofErr w:type="spellStart"/>
      <w:r w:rsidRPr="00992FEA">
        <w:rPr>
          <w:rFonts w:ascii="Arial" w:hAnsi="Arial" w:cs="Arial"/>
        </w:rPr>
        <w:t>Khoder</w:t>
      </w:r>
      <w:proofErr w:type="spellEnd"/>
      <w:r w:rsidRPr="00992FEA">
        <w:rPr>
          <w:rFonts w:ascii="Arial" w:hAnsi="Arial" w:cs="Arial"/>
        </w:rPr>
        <w:t xml:space="preserve">, G., Farhat, J., &amp; </w:t>
      </w:r>
      <w:proofErr w:type="spellStart"/>
      <w:r w:rsidRPr="00992FEA">
        <w:rPr>
          <w:rFonts w:ascii="Arial" w:hAnsi="Arial" w:cs="Arial"/>
        </w:rPr>
        <w:t>Ghemrawi</w:t>
      </w:r>
      <w:proofErr w:type="spellEnd"/>
      <w:r w:rsidRPr="00992FEA">
        <w:rPr>
          <w:rFonts w:ascii="Arial" w:hAnsi="Arial" w:cs="Arial"/>
        </w:rPr>
        <w:t xml:space="preserve">, R. (2023). Mobile phones as reservoirs of resistant bacteria during the COVID-19 pandemic. </w:t>
      </w:r>
      <w:proofErr w:type="spellStart"/>
      <w:r w:rsidRPr="009337B0">
        <w:rPr>
          <w:rFonts w:ascii="Arial" w:hAnsi="Arial" w:cs="Arial"/>
          <w:i/>
          <w:iCs/>
          <w:lang w:val="fr-FR"/>
        </w:rPr>
        <w:t>Microorganisms</w:t>
      </w:r>
      <w:proofErr w:type="spellEnd"/>
      <w:r w:rsidRPr="009337B0">
        <w:rPr>
          <w:rFonts w:ascii="Arial" w:hAnsi="Arial" w:cs="Arial"/>
          <w:i/>
          <w:iCs/>
          <w:lang w:val="fr-FR"/>
        </w:rPr>
        <w:t>, 11</w:t>
      </w:r>
      <w:r w:rsidRPr="009337B0">
        <w:rPr>
          <w:rFonts w:ascii="Arial" w:hAnsi="Arial" w:cs="Arial"/>
          <w:lang w:val="fr-FR"/>
        </w:rPr>
        <w:t xml:space="preserve">(2), 523. </w:t>
      </w:r>
      <w:hyperlink r:id="rId15" w:tgtFrame="_new" w:history="1">
        <w:r w:rsidRPr="009337B0">
          <w:rPr>
            <w:rStyle w:val="Hyperlink"/>
            <w:rFonts w:ascii="Arial" w:hAnsi="Arial" w:cs="Arial"/>
            <w:lang w:val="fr-FR"/>
          </w:rPr>
          <w:t>https://doi.org/10.3390/microorganisms11020523</w:t>
        </w:r>
      </w:hyperlink>
    </w:p>
    <w:p w14:paraId="18F9B51B" w14:textId="77777777" w:rsidR="00992FEA" w:rsidRDefault="00992FEA" w:rsidP="0015699F">
      <w:pPr>
        <w:spacing w:line="240" w:lineRule="auto"/>
        <w:jc w:val="both"/>
      </w:pPr>
      <w:r w:rsidRPr="009337B0">
        <w:rPr>
          <w:rFonts w:ascii="Arial" w:hAnsi="Arial" w:cs="Arial"/>
          <w:lang w:val="fr-FR"/>
        </w:rPr>
        <w:lastRenderedPageBreak/>
        <w:t xml:space="preserve">Kumar, S., Rani, M., &amp; Singh, D. (2021). </w:t>
      </w:r>
      <w:r w:rsidRPr="00992FEA">
        <w:rPr>
          <w:rFonts w:ascii="Arial" w:hAnsi="Arial" w:cs="Arial"/>
        </w:rPr>
        <w:t xml:space="preserve">Pathogenicity and antimicrobial resistance of </w:t>
      </w:r>
      <w:r w:rsidRPr="00992FEA">
        <w:rPr>
          <w:rFonts w:ascii="Arial" w:hAnsi="Arial" w:cs="Arial"/>
          <w:i/>
          <w:iCs/>
        </w:rPr>
        <w:t>Staphylococcus aureus</w:t>
      </w:r>
      <w:r w:rsidRPr="00992FEA">
        <w:rPr>
          <w:rFonts w:ascii="Arial" w:hAnsi="Arial" w:cs="Arial"/>
        </w:rPr>
        <w:t xml:space="preserve"> isolated from mobile devices. </w:t>
      </w:r>
      <w:r w:rsidRPr="00992FEA">
        <w:rPr>
          <w:rFonts w:ascii="Arial" w:hAnsi="Arial" w:cs="Arial"/>
          <w:i/>
          <w:iCs/>
        </w:rPr>
        <w:t>Journal of Infection in Developing Countries, 15</w:t>
      </w:r>
      <w:r w:rsidRPr="00992FEA">
        <w:rPr>
          <w:rFonts w:ascii="Arial" w:hAnsi="Arial" w:cs="Arial"/>
        </w:rPr>
        <w:t xml:space="preserve">(11), 1635–1642. </w:t>
      </w:r>
      <w:hyperlink r:id="rId16" w:tgtFrame="_new" w:history="1">
        <w:r w:rsidRPr="00992FEA">
          <w:rPr>
            <w:rStyle w:val="Hyperlink"/>
            <w:rFonts w:ascii="Arial" w:hAnsi="Arial" w:cs="Arial"/>
          </w:rPr>
          <w:t>https://doi.org/10.3855/jidc.14935</w:t>
        </w:r>
      </w:hyperlink>
    </w:p>
    <w:p w14:paraId="4EEC4B17" w14:textId="77777777" w:rsidR="00774F57" w:rsidRPr="00774F57" w:rsidRDefault="00774F57" w:rsidP="00774F57">
      <w:pPr>
        <w:spacing w:line="240" w:lineRule="auto"/>
        <w:jc w:val="both"/>
      </w:pPr>
      <w:r w:rsidRPr="00774F57">
        <w:t xml:space="preserve">Lubwama, M., </w:t>
      </w:r>
      <w:proofErr w:type="spellStart"/>
      <w:r w:rsidRPr="00774F57">
        <w:t>Kateete</w:t>
      </w:r>
      <w:proofErr w:type="spellEnd"/>
      <w:r w:rsidRPr="00774F57">
        <w:t xml:space="preserve">, D. P., </w:t>
      </w:r>
      <w:proofErr w:type="spellStart"/>
      <w:r w:rsidRPr="00774F57">
        <w:t>Ayazika</w:t>
      </w:r>
      <w:proofErr w:type="spellEnd"/>
      <w:r w:rsidRPr="00774F57">
        <w:t xml:space="preserve">, K. T., Nalwanga, W., </w:t>
      </w:r>
      <w:proofErr w:type="spellStart"/>
      <w:r w:rsidRPr="00774F57">
        <w:t>Kagambo</w:t>
      </w:r>
      <w:proofErr w:type="spellEnd"/>
      <w:r w:rsidRPr="00774F57">
        <w:t xml:space="preserve">, D. B., Nsubuga, M. D., ... &amp; </w:t>
      </w:r>
      <w:proofErr w:type="spellStart"/>
      <w:r w:rsidRPr="00774F57">
        <w:t>Kajumbula</w:t>
      </w:r>
      <w:proofErr w:type="spellEnd"/>
      <w:r w:rsidRPr="00774F57">
        <w:t xml:space="preserve">, H. (2021). Microbiological contamination of mobile phones and mobile phone hygiene of final-year medical students in Uganda: A need for educational intervention. </w:t>
      </w:r>
      <w:r w:rsidRPr="00774F57">
        <w:rPr>
          <w:i/>
          <w:iCs/>
        </w:rPr>
        <w:t>Advances in Medical Education and Practice, 12</w:t>
      </w:r>
      <w:r w:rsidRPr="00774F57">
        <w:t>, 1247–1257.</w:t>
      </w:r>
    </w:p>
    <w:p w14:paraId="0295FBDF" w14:textId="77777777" w:rsidR="00774F57" w:rsidRPr="00992FEA" w:rsidRDefault="00774F57" w:rsidP="0015699F">
      <w:pPr>
        <w:spacing w:line="240" w:lineRule="auto"/>
        <w:jc w:val="both"/>
        <w:rPr>
          <w:rFonts w:ascii="Arial" w:hAnsi="Arial" w:cs="Arial"/>
        </w:rPr>
      </w:pPr>
    </w:p>
    <w:p w14:paraId="3EA57CB0" w14:textId="77777777" w:rsidR="00992FEA" w:rsidRPr="00992FEA" w:rsidRDefault="00992FEA" w:rsidP="0015699F">
      <w:pPr>
        <w:spacing w:line="240" w:lineRule="auto"/>
        <w:jc w:val="both"/>
        <w:rPr>
          <w:rFonts w:ascii="Arial" w:hAnsi="Arial" w:cs="Arial"/>
        </w:rPr>
      </w:pPr>
      <w:proofErr w:type="spellStart"/>
      <w:r w:rsidRPr="009337B0">
        <w:rPr>
          <w:rFonts w:ascii="Arial" w:hAnsi="Arial" w:cs="Arial"/>
          <w:lang w:val="fr-FR"/>
        </w:rPr>
        <w:t>Mbanga</w:t>
      </w:r>
      <w:proofErr w:type="spellEnd"/>
      <w:r w:rsidRPr="009337B0">
        <w:rPr>
          <w:rFonts w:ascii="Arial" w:hAnsi="Arial" w:cs="Arial"/>
          <w:lang w:val="fr-FR"/>
        </w:rPr>
        <w:t xml:space="preserve">, J., Moyo, P., &amp; </w:t>
      </w:r>
      <w:proofErr w:type="spellStart"/>
      <w:r w:rsidRPr="009337B0">
        <w:rPr>
          <w:rFonts w:ascii="Arial" w:hAnsi="Arial" w:cs="Arial"/>
          <w:lang w:val="fr-FR"/>
        </w:rPr>
        <w:t>Chigona</w:t>
      </w:r>
      <w:proofErr w:type="spellEnd"/>
      <w:r w:rsidRPr="009337B0">
        <w:rPr>
          <w:rFonts w:ascii="Arial" w:hAnsi="Arial" w:cs="Arial"/>
          <w:lang w:val="fr-FR"/>
        </w:rPr>
        <w:t xml:space="preserve">, W. (2021). </w:t>
      </w:r>
      <w:r w:rsidRPr="00992FEA">
        <w:rPr>
          <w:rFonts w:ascii="Arial" w:hAnsi="Arial" w:cs="Arial"/>
        </w:rPr>
        <w:t xml:space="preserve">Bacterial contamination of smartphones and associated hygiene practices among university students. </w:t>
      </w:r>
      <w:r w:rsidRPr="00992FEA">
        <w:rPr>
          <w:rFonts w:ascii="Arial" w:hAnsi="Arial" w:cs="Arial"/>
          <w:i/>
          <w:iCs/>
        </w:rPr>
        <w:t>BMC Infectious Diseases, 21</w:t>
      </w:r>
      <w:r w:rsidRPr="00992FEA">
        <w:rPr>
          <w:rFonts w:ascii="Arial" w:hAnsi="Arial" w:cs="Arial"/>
        </w:rPr>
        <w:t xml:space="preserve">, 115. </w:t>
      </w:r>
      <w:hyperlink r:id="rId17" w:tgtFrame="_new" w:history="1">
        <w:r w:rsidRPr="00992FEA">
          <w:rPr>
            <w:rStyle w:val="Hyperlink"/>
            <w:rFonts w:ascii="Arial" w:hAnsi="Arial" w:cs="Arial"/>
          </w:rPr>
          <w:t>https://doi.org/10.1186/s12879-021-05820-3</w:t>
        </w:r>
      </w:hyperlink>
    </w:p>
    <w:p w14:paraId="6DAD4866"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Murray, P. R., Rosenthal, K. S., &amp; Pfaller, M. A. (2022). </w:t>
      </w:r>
      <w:r w:rsidRPr="00992FEA">
        <w:rPr>
          <w:rFonts w:ascii="Arial" w:hAnsi="Arial" w:cs="Arial"/>
          <w:i/>
          <w:iCs/>
        </w:rPr>
        <w:t>Medical microbiology</w:t>
      </w:r>
      <w:r w:rsidRPr="00992FEA">
        <w:rPr>
          <w:rFonts w:ascii="Arial" w:hAnsi="Arial" w:cs="Arial"/>
        </w:rPr>
        <w:t xml:space="preserve"> (9th ed.). Elsevier.</w:t>
      </w:r>
    </w:p>
    <w:p w14:paraId="2BBF5071" w14:textId="77777777" w:rsidR="00992FEA" w:rsidRDefault="00992FEA" w:rsidP="0015699F">
      <w:pPr>
        <w:spacing w:line="240" w:lineRule="auto"/>
        <w:jc w:val="both"/>
      </w:pPr>
      <w:r w:rsidRPr="00992FEA">
        <w:rPr>
          <w:rFonts w:ascii="Arial" w:hAnsi="Arial" w:cs="Arial"/>
        </w:rPr>
        <w:t xml:space="preserve">Olayemi, E., Akinlabi, O., &amp; Eze, U. (2020). Microbial contamination of earphones and implications for public health. </w:t>
      </w:r>
      <w:r w:rsidRPr="00992FEA">
        <w:rPr>
          <w:rFonts w:ascii="Arial" w:hAnsi="Arial" w:cs="Arial"/>
          <w:i/>
          <w:iCs/>
        </w:rPr>
        <w:t>Journal of Environmental Health Science, 56</w:t>
      </w:r>
      <w:r w:rsidRPr="00992FEA">
        <w:rPr>
          <w:rFonts w:ascii="Arial" w:hAnsi="Arial" w:cs="Arial"/>
        </w:rPr>
        <w:t xml:space="preserve">(4), 310–318. </w:t>
      </w:r>
      <w:hyperlink r:id="rId18" w:tgtFrame="_new" w:history="1">
        <w:r w:rsidRPr="00992FEA">
          <w:rPr>
            <w:rStyle w:val="Hyperlink"/>
            <w:rFonts w:ascii="Arial" w:hAnsi="Arial" w:cs="Arial"/>
          </w:rPr>
          <w:t>https://doi.org/10.1007/s12199-020-00897-4</w:t>
        </w:r>
      </w:hyperlink>
    </w:p>
    <w:p w14:paraId="32E2ED60" w14:textId="4E176ACB" w:rsidR="00774F57" w:rsidRPr="00774F57" w:rsidRDefault="00774F57" w:rsidP="0015699F">
      <w:pPr>
        <w:spacing w:line="240" w:lineRule="auto"/>
        <w:jc w:val="both"/>
      </w:pPr>
      <w:r w:rsidRPr="00774F57">
        <w:t xml:space="preserve">Olsen, M., Campos, M., </w:t>
      </w:r>
      <w:proofErr w:type="spellStart"/>
      <w:r w:rsidRPr="00774F57">
        <w:t>Lohning</w:t>
      </w:r>
      <w:proofErr w:type="spellEnd"/>
      <w:r w:rsidRPr="00774F57">
        <w:t xml:space="preserve">, A., Jones, P., Legget, J., Bannach-Brown, A., ... &amp; </w:t>
      </w:r>
      <w:proofErr w:type="spellStart"/>
      <w:r w:rsidRPr="00774F57">
        <w:t>Tajouri</w:t>
      </w:r>
      <w:proofErr w:type="spellEnd"/>
      <w:r w:rsidRPr="00774F57">
        <w:t xml:space="preserve">, L. (2020). Mobile phones represent a pathway for microbial transmission: A scoping review. </w:t>
      </w:r>
      <w:r w:rsidRPr="00774F57">
        <w:rPr>
          <w:i/>
          <w:iCs/>
        </w:rPr>
        <w:t>Travel Medicine and Infectious Disease, 35</w:t>
      </w:r>
      <w:r w:rsidRPr="00774F57">
        <w:t>, 101704.</w:t>
      </w:r>
    </w:p>
    <w:p w14:paraId="657DBB5E"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Sandle, T. (2018). Fungal contamination of healthcare environments: Implications for clinical microbiology. </w:t>
      </w:r>
      <w:r w:rsidRPr="00992FEA">
        <w:rPr>
          <w:rFonts w:ascii="Arial" w:hAnsi="Arial" w:cs="Arial"/>
          <w:i/>
          <w:iCs/>
        </w:rPr>
        <w:t>Current Fungal Infection Reports, 12</w:t>
      </w:r>
      <w:r w:rsidRPr="00992FEA">
        <w:rPr>
          <w:rFonts w:ascii="Arial" w:hAnsi="Arial" w:cs="Arial"/>
        </w:rPr>
        <w:t xml:space="preserve">(3), 145–154. </w:t>
      </w:r>
      <w:hyperlink r:id="rId19" w:tgtFrame="_new" w:history="1">
        <w:r w:rsidRPr="00992FEA">
          <w:rPr>
            <w:rStyle w:val="Hyperlink"/>
            <w:rFonts w:ascii="Arial" w:hAnsi="Arial" w:cs="Arial"/>
          </w:rPr>
          <w:t>https://doi.org/10.1007/s12281-018-0312-9</w:t>
        </w:r>
      </w:hyperlink>
    </w:p>
    <w:p w14:paraId="2389E775" w14:textId="77777777" w:rsidR="00992FEA" w:rsidRPr="00992FEA" w:rsidRDefault="00992FEA" w:rsidP="0015699F">
      <w:pPr>
        <w:spacing w:line="240" w:lineRule="auto"/>
        <w:jc w:val="both"/>
        <w:rPr>
          <w:rFonts w:ascii="Arial" w:hAnsi="Arial" w:cs="Arial"/>
        </w:rPr>
      </w:pPr>
      <w:r w:rsidRPr="00992FEA">
        <w:rPr>
          <w:rFonts w:ascii="Arial" w:hAnsi="Arial" w:cs="Arial"/>
        </w:rPr>
        <w:t xml:space="preserve">Shilpa, K., Niranjan, D., Rafiq, S. H., </w:t>
      </w:r>
      <w:proofErr w:type="spellStart"/>
      <w:r w:rsidRPr="00992FEA">
        <w:rPr>
          <w:rFonts w:ascii="Arial" w:hAnsi="Arial" w:cs="Arial"/>
        </w:rPr>
        <w:t>Nargees</w:t>
      </w:r>
      <w:proofErr w:type="spellEnd"/>
      <w:r w:rsidRPr="00992FEA">
        <w:rPr>
          <w:rFonts w:ascii="Arial" w:hAnsi="Arial" w:cs="Arial"/>
        </w:rPr>
        <w:t xml:space="preserve">, A., &amp; </w:t>
      </w:r>
      <w:proofErr w:type="spellStart"/>
      <w:r w:rsidRPr="00992FEA">
        <w:rPr>
          <w:rFonts w:ascii="Arial" w:hAnsi="Arial" w:cs="Arial"/>
        </w:rPr>
        <w:t>Bernaitis</w:t>
      </w:r>
      <w:proofErr w:type="spellEnd"/>
      <w:r w:rsidRPr="00992FEA">
        <w:rPr>
          <w:rFonts w:ascii="Arial" w:hAnsi="Arial" w:cs="Arial"/>
        </w:rPr>
        <w:t xml:space="preserve">, L. (2025). Mobile phones as reservoirs of microorganisms among medical students. </w:t>
      </w:r>
      <w:r w:rsidRPr="00992FEA">
        <w:rPr>
          <w:rFonts w:ascii="Arial" w:hAnsi="Arial" w:cs="Arial"/>
          <w:i/>
          <w:iCs/>
        </w:rPr>
        <w:t>World Journal of Applied Medical Sciences</w:t>
      </w:r>
      <w:r w:rsidRPr="00992FEA">
        <w:rPr>
          <w:rFonts w:ascii="Arial" w:hAnsi="Arial" w:cs="Arial"/>
        </w:rPr>
        <w:t>.</w:t>
      </w:r>
    </w:p>
    <w:p w14:paraId="7C8132F7" w14:textId="77777777" w:rsidR="00992FEA" w:rsidRPr="00992FEA" w:rsidRDefault="00992FEA" w:rsidP="0015699F">
      <w:pPr>
        <w:spacing w:line="240" w:lineRule="auto"/>
        <w:jc w:val="both"/>
        <w:rPr>
          <w:rFonts w:ascii="Arial" w:hAnsi="Arial" w:cs="Arial"/>
        </w:rPr>
      </w:pPr>
      <w:proofErr w:type="spellStart"/>
      <w:r w:rsidRPr="00992FEA">
        <w:rPr>
          <w:rFonts w:ascii="Arial" w:hAnsi="Arial" w:cs="Arial"/>
        </w:rPr>
        <w:t>Zenbaba</w:t>
      </w:r>
      <w:proofErr w:type="spellEnd"/>
      <w:r w:rsidRPr="00992FEA">
        <w:rPr>
          <w:rFonts w:ascii="Arial" w:hAnsi="Arial" w:cs="Arial"/>
        </w:rPr>
        <w:t xml:space="preserve">, D., </w:t>
      </w:r>
      <w:proofErr w:type="spellStart"/>
      <w:r w:rsidRPr="00992FEA">
        <w:rPr>
          <w:rFonts w:ascii="Arial" w:hAnsi="Arial" w:cs="Arial"/>
        </w:rPr>
        <w:t>Sahiledengle</w:t>
      </w:r>
      <w:proofErr w:type="spellEnd"/>
      <w:r w:rsidRPr="00992FEA">
        <w:rPr>
          <w:rFonts w:ascii="Arial" w:hAnsi="Arial" w:cs="Arial"/>
        </w:rPr>
        <w:t xml:space="preserve">, B., </w:t>
      </w:r>
      <w:proofErr w:type="spellStart"/>
      <w:r w:rsidRPr="00992FEA">
        <w:rPr>
          <w:rFonts w:ascii="Arial" w:hAnsi="Arial" w:cs="Arial"/>
        </w:rPr>
        <w:t>Beressa</w:t>
      </w:r>
      <w:proofErr w:type="spellEnd"/>
      <w:r w:rsidRPr="00992FEA">
        <w:rPr>
          <w:rFonts w:ascii="Arial" w:hAnsi="Arial" w:cs="Arial"/>
        </w:rPr>
        <w:t xml:space="preserve">, G., Desta, F., </w:t>
      </w:r>
      <w:proofErr w:type="spellStart"/>
      <w:r w:rsidRPr="00992FEA">
        <w:rPr>
          <w:rFonts w:ascii="Arial" w:hAnsi="Arial" w:cs="Arial"/>
        </w:rPr>
        <w:t>Teferu</w:t>
      </w:r>
      <w:proofErr w:type="spellEnd"/>
      <w:r w:rsidRPr="00992FEA">
        <w:rPr>
          <w:rFonts w:ascii="Arial" w:hAnsi="Arial" w:cs="Arial"/>
        </w:rPr>
        <w:t xml:space="preserve">, Z., </w:t>
      </w:r>
      <w:proofErr w:type="spellStart"/>
      <w:r w:rsidRPr="00992FEA">
        <w:rPr>
          <w:rFonts w:ascii="Arial" w:hAnsi="Arial" w:cs="Arial"/>
        </w:rPr>
        <w:t>Nugusu</w:t>
      </w:r>
      <w:proofErr w:type="spellEnd"/>
      <w:r w:rsidRPr="00992FEA">
        <w:rPr>
          <w:rFonts w:ascii="Arial" w:hAnsi="Arial" w:cs="Arial"/>
        </w:rPr>
        <w:t xml:space="preserve">, F., &amp; </w:t>
      </w:r>
      <w:proofErr w:type="spellStart"/>
      <w:r w:rsidRPr="00992FEA">
        <w:rPr>
          <w:rFonts w:ascii="Arial" w:hAnsi="Arial" w:cs="Arial"/>
        </w:rPr>
        <w:t>Chattu</w:t>
      </w:r>
      <w:proofErr w:type="spellEnd"/>
      <w:r w:rsidRPr="00992FEA">
        <w:rPr>
          <w:rFonts w:ascii="Arial" w:hAnsi="Arial" w:cs="Arial"/>
        </w:rPr>
        <w:t xml:space="preserve">, V. K. (2023). Bacterial contamination of healthcare workers’ mobile phones in Africa: A systematic review and meta-analysis. </w:t>
      </w:r>
      <w:r w:rsidRPr="00992FEA">
        <w:rPr>
          <w:rFonts w:ascii="Arial" w:hAnsi="Arial" w:cs="Arial"/>
          <w:i/>
          <w:iCs/>
        </w:rPr>
        <w:t>Tropical Medicine and Health, 51</w:t>
      </w:r>
      <w:r w:rsidRPr="00992FEA">
        <w:rPr>
          <w:rFonts w:ascii="Arial" w:hAnsi="Arial" w:cs="Arial"/>
        </w:rPr>
        <w:t xml:space="preserve">(1), 55. </w:t>
      </w:r>
      <w:hyperlink r:id="rId20" w:tgtFrame="_new" w:history="1">
        <w:r w:rsidRPr="00992FEA">
          <w:rPr>
            <w:rStyle w:val="Hyperlink"/>
            <w:rFonts w:ascii="Arial" w:hAnsi="Arial" w:cs="Arial"/>
          </w:rPr>
          <w:t>https://doi.org/10.1186/s41182-023-00547-3</w:t>
        </w:r>
      </w:hyperlink>
    </w:p>
    <w:p w14:paraId="62CCE82D" w14:textId="587780DB" w:rsidR="00C371F1" w:rsidRPr="00E70EB5" w:rsidRDefault="00992FEA" w:rsidP="0015699F">
      <w:pPr>
        <w:spacing w:line="240" w:lineRule="auto"/>
        <w:jc w:val="both"/>
      </w:pPr>
      <w:r w:rsidRPr="00992FEA">
        <w:rPr>
          <w:rFonts w:ascii="Arial" w:hAnsi="Arial" w:cs="Arial"/>
        </w:rPr>
        <w:t xml:space="preserve">Zubair, M., Alnasser, S., &amp; Alqahtani, F. (2021). Mobile devices as vectors of antimicrobial-resistant pathogens: An overview. </w:t>
      </w:r>
      <w:r w:rsidRPr="00992FEA">
        <w:rPr>
          <w:rFonts w:ascii="Arial" w:hAnsi="Arial" w:cs="Arial"/>
          <w:i/>
          <w:iCs/>
        </w:rPr>
        <w:t>Saudi Journal of Biological Sciences, 28</w:t>
      </w:r>
      <w:r w:rsidRPr="00992FEA">
        <w:rPr>
          <w:rFonts w:ascii="Arial" w:hAnsi="Arial" w:cs="Arial"/>
        </w:rPr>
        <w:t xml:space="preserve">(10), 5773–5781. </w:t>
      </w:r>
      <w:hyperlink r:id="rId21" w:tgtFrame="_new" w:history="1">
        <w:r w:rsidRPr="00992FEA">
          <w:rPr>
            <w:rStyle w:val="Hyperlink"/>
            <w:rFonts w:ascii="Arial" w:hAnsi="Arial" w:cs="Arial"/>
          </w:rPr>
          <w:t>https://doi.org/10.1016/j.sjbs.2021.06.065</w:t>
        </w:r>
      </w:hyperlink>
      <w:r w:rsidR="00E70EB5">
        <w:t>.</w:t>
      </w:r>
    </w:p>
    <w:p w14:paraId="287E02FE" w14:textId="15B3CBCD" w:rsidR="00B633A5" w:rsidRPr="00F479F8" w:rsidRDefault="00B633A5" w:rsidP="0015699F">
      <w:pPr>
        <w:spacing w:line="240" w:lineRule="auto"/>
        <w:jc w:val="both"/>
        <w:rPr>
          <w:rFonts w:ascii="Arial" w:hAnsi="Arial" w:cs="Arial"/>
        </w:rPr>
      </w:pPr>
    </w:p>
    <w:sectPr w:rsidR="00B633A5" w:rsidRPr="00F479F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DB84" w14:textId="77777777" w:rsidR="0056434C" w:rsidRDefault="0056434C" w:rsidP="004A2BC6">
      <w:pPr>
        <w:spacing w:after="0" w:line="240" w:lineRule="auto"/>
      </w:pPr>
      <w:r>
        <w:separator/>
      </w:r>
    </w:p>
  </w:endnote>
  <w:endnote w:type="continuationSeparator" w:id="0">
    <w:p w14:paraId="05602398" w14:textId="77777777" w:rsidR="0056434C" w:rsidRDefault="0056434C" w:rsidP="004A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CA94" w14:textId="77777777" w:rsidR="004A2BC6" w:rsidRDefault="004A2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E643" w14:textId="77777777" w:rsidR="004A2BC6" w:rsidRDefault="004A2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E00C" w14:textId="77777777" w:rsidR="004A2BC6" w:rsidRDefault="004A2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45E5" w14:textId="77777777" w:rsidR="0056434C" w:rsidRDefault="0056434C" w:rsidP="004A2BC6">
      <w:pPr>
        <w:spacing w:after="0" w:line="240" w:lineRule="auto"/>
      </w:pPr>
      <w:r>
        <w:separator/>
      </w:r>
    </w:p>
  </w:footnote>
  <w:footnote w:type="continuationSeparator" w:id="0">
    <w:p w14:paraId="3BFC0135" w14:textId="77777777" w:rsidR="0056434C" w:rsidRDefault="0056434C" w:rsidP="004A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D054" w14:textId="1A873E4A" w:rsidR="004A2BC6" w:rsidRDefault="00000000">
    <w:pPr>
      <w:pStyle w:val="Header"/>
    </w:pPr>
    <w:r>
      <w:rPr>
        <w:noProof/>
      </w:rPr>
      <w:pict w14:anchorId="31581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FB75" w14:textId="665C4206" w:rsidR="004A2BC6" w:rsidRDefault="00000000">
    <w:pPr>
      <w:pStyle w:val="Header"/>
    </w:pPr>
    <w:r>
      <w:rPr>
        <w:noProof/>
      </w:rPr>
      <w:pict w14:anchorId="654A1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5016" w14:textId="27D04048" w:rsidR="004A2BC6" w:rsidRDefault="00000000">
    <w:pPr>
      <w:pStyle w:val="Header"/>
    </w:pPr>
    <w:r>
      <w:rPr>
        <w:noProof/>
      </w:rPr>
      <w:pict w14:anchorId="75611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8826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A58"/>
    <w:multiLevelType w:val="multilevel"/>
    <w:tmpl w:val="FFCC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07851"/>
    <w:multiLevelType w:val="multilevel"/>
    <w:tmpl w:val="08E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5034C"/>
    <w:multiLevelType w:val="multilevel"/>
    <w:tmpl w:val="5910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E49B3"/>
    <w:multiLevelType w:val="multilevel"/>
    <w:tmpl w:val="44643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4655E"/>
    <w:multiLevelType w:val="multilevel"/>
    <w:tmpl w:val="190E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2667A"/>
    <w:multiLevelType w:val="multilevel"/>
    <w:tmpl w:val="222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B1EE6"/>
    <w:multiLevelType w:val="multilevel"/>
    <w:tmpl w:val="1F8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03"/>
    <w:multiLevelType w:val="multilevel"/>
    <w:tmpl w:val="8DA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66304"/>
    <w:multiLevelType w:val="hybridMultilevel"/>
    <w:tmpl w:val="466E6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B1B94"/>
    <w:multiLevelType w:val="multilevel"/>
    <w:tmpl w:val="45A4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E719C"/>
    <w:multiLevelType w:val="hybridMultilevel"/>
    <w:tmpl w:val="8A44BD9C"/>
    <w:lvl w:ilvl="0" w:tplc="AF887E9E">
      <w:start w:val="1"/>
      <w:numFmt w:val="decimal"/>
      <w:lvlText w:val="%1."/>
      <w:lvlJc w:val="left"/>
      <w:pPr>
        <w:ind w:left="720" w:hanging="360"/>
      </w:pPr>
      <w:rPr>
        <w:rFonts w:ascii="Arial" w:eastAsiaTheme="minorHAnsi" w:hAnsi="Arial" w:cs="Arial"/>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234562">
    <w:abstractNumId w:val="2"/>
  </w:num>
  <w:num w:numId="2" w16cid:durableId="2085644678">
    <w:abstractNumId w:val="8"/>
  </w:num>
  <w:num w:numId="3" w16cid:durableId="1413350930">
    <w:abstractNumId w:val="3"/>
  </w:num>
  <w:num w:numId="4" w16cid:durableId="539367828">
    <w:abstractNumId w:val="10"/>
  </w:num>
  <w:num w:numId="5" w16cid:durableId="1016343700">
    <w:abstractNumId w:val="1"/>
  </w:num>
  <w:num w:numId="6" w16cid:durableId="299769960">
    <w:abstractNumId w:val="9"/>
  </w:num>
  <w:num w:numId="7" w16cid:durableId="556480124">
    <w:abstractNumId w:val="7"/>
  </w:num>
  <w:num w:numId="8" w16cid:durableId="1055620739">
    <w:abstractNumId w:val="5"/>
  </w:num>
  <w:num w:numId="9" w16cid:durableId="1538617117">
    <w:abstractNumId w:val="4"/>
  </w:num>
  <w:num w:numId="10" w16cid:durableId="1901284138">
    <w:abstractNumId w:val="0"/>
  </w:num>
  <w:num w:numId="11" w16cid:durableId="1435517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A8"/>
    <w:rsid w:val="00006867"/>
    <w:rsid w:val="00010665"/>
    <w:rsid w:val="0002336B"/>
    <w:rsid w:val="00040C5E"/>
    <w:rsid w:val="00046141"/>
    <w:rsid w:val="0006619A"/>
    <w:rsid w:val="000832DB"/>
    <w:rsid w:val="00091801"/>
    <w:rsid w:val="00092AB3"/>
    <w:rsid w:val="000A07E2"/>
    <w:rsid w:val="000A75BB"/>
    <w:rsid w:val="000B4022"/>
    <w:rsid w:val="000E2EAE"/>
    <w:rsid w:val="000F0314"/>
    <w:rsid w:val="000F1A72"/>
    <w:rsid w:val="001456C1"/>
    <w:rsid w:val="0015699F"/>
    <w:rsid w:val="00161BB5"/>
    <w:rsid w:val="00185911"/>
    <w:rsid w:val="001869D4"/>
    <w:rsid w:val="00197EB3"/>
    <w:rsid w:val="001A002C"/>
    <w:rsid w:val="001B6A25"/>
    <w:rsid w:val="001C08D0"/>
    <w:rsid w:val="001C6CD8"/>
    <w:rsid w:val="002000D3"/>
    <w:rsid w:val="00211834"/>
    <w:rsid w:val="00211E2D"/>
    <w:rsid w:val="00213DEA"/>
    <w:rsid w:val="0021510C"/>
    <w:rsid w:val="002562E9"/>
    <w:rsid w:val="002663C1"/>
    <w:rsid w:val="00290EB3"/>
    <w:rsid w:val="00296B26"/>
    <w:rsid w:val="002B1CE0"/>
    <w:rsid w:val="002B46CE"/>
    <w:rsid w:val="002D4897"/>
    <w:rsid w:val="00302751"/>
    <w:rsid w:val="0031511C"/>
    <w:rsid w:val="00317101"/>
    <w:rsid w:val="00330B19"/>
    <w:rsid w:val="003478D2"/>
    <w:rsid w:val="003E020F"/>
    <w:rsid w:val="003E69AC"/>
    <w:rsid w:val="003F5EAD"/>
    <w:rsid w:val="003F7BC0"/>
    <w:rsid w:val="00405368"/>
    <w:rsid w:val="004425BD"/>
    <w:rsid w:val="00453311"/>
    <w:rsid w:val="00484530"/>
    <w:rsid w:val="0049189D"/>
    <w:rsid w:val="00494445"/>
    <w:rsid w:val="004A2BC6"/>
    <w:rsid w:val="004A46B7"/>
    <w:rsid w:val="004F6FEF"/>
    <w:rsid w:val="00503F0F"/>
    <w:rsid w:val="00533F0E"/>
    <w:rsid w:val="0056434C"/>
    <w:rsid w:val="00575255"/>
    <w:rsid w:val="00585B11"/>
    <w:rsid w:val="00591307"/>
    <w:rsid w:val="00601C23"/>
    <w:rsid w:val="00613A70"/>
    <w:rsid w:val="00665156"/>
    <w:rsid w:val="006906B0"/>
    <w:rsid w:val="00694503"/>
    <w:rsid w:val="006D1EAB"/>
    <w:rsid w:val="006F730A"/>
    <w:rsid w:val="007143ED"/>
    <w:rsid w:val="00727301"/>
    <w:rsid w:val="00741269"/>
    <w:rsid w:val="00774F57"/>
    <w:rsid w:val="007D1607"/>
    <w:rsid w:val="007D2502"/>
    <w:rsid w:val="007F4491"/>
    <w:rsid w:val="00801A6C"/>
    <w:rsid w:val="00811E6B"/>
    <w:rsid w:val="008220A9"/>
    <w:rsid w:val="0084532C"/>
    <w:rsid w:val="00891F5C"/>
    <w:rsid w:val="008B32C5"/>
    <w:rsid w:val="008C0A67"/>
    <w:rsid w:val="008C163A"/>
    <w:rsid w:val="008D689E"/>
    <w:rsid w:val="008F6FE4"/>
    <w:rsid w:val="00932336"/>
    <w:rsid w:val="009337B0"/>
    <w:rsid w:val="00981056"/>
    <w:rsid w:val="00992FEA"/>
    <w:rsid w:val="009A1897"/>
    <w:rsid w:val="009B17FB"/>
    <w:rsid w:val="009B472E"/>
    <w:rsid w:val="009B4B16"/>
    <w:rsid w:val="009B5C03"/>
    <w:rsid w:val="009D26AB"/>
    <w:rsid w:val="00A2531F"/>
    <w:rsid w:val="00A31C47"/>
    <w:rsid w:val="00A56978"/>
    <w:rsid w:val="00A83D0C"/>
    <w:rsid w:val="00AA0730"/>
    <w:rsid w:val="00AB1555"/>
    <w:rsid w:val="00AD2EEF"/>
    <w:rsid w:val="00B57376"/>
    <w:rsid w:val="00B633A5"/>
    <w:rsid w:val="00B97FB4"/>
    <w:rsid w:val="00BA6AF0"/>
    <w:rsid w:val="00C357CF"/>
    <w:rsid w:val="00C371F1"/>
    <w:rsid w:val="00C46364"/>
    <w:rsid w:val="00C502B0"/>
    <w:rsid w:val="00C53D96"/>
    <w:rsid w:val="00C55C19"/>
    <w:rsid w:val="00C7564D"/>
    <w:rsid w:val="00C92B0A"/>
    <w:rsid w:val="00CA43AB"/>
    <w:rsid w:val="00CB4CD9"/>
    <w:rsid w:val="00CB5CEC"/>
    <w:rsid w:val="00CC21C0"/>
    <w:rsid w:val="00CC5103"/>
    <w:rsid w:val="00CD6A19"/>
    <w:rsid w:val="00CE45E0"/>
    <w:rsid w:val="00CF797E"/>
    <w:rsid w:val="00D03CA8"/>
    <w:rsid w:val="00D17F80"/>
    <w:rsid w:val="00DB41AE"/>
    <w:rsid w:val="00DB50BA"/>
    <w:rsid w:val="00DF7050"/>
    <w:rsid w:val="00E27A87"/>
    <w:rsid w:val="00E70EB5"/>
    <w:rsid w:val="00E74D4F"/>
    <w:rsid w:val="00E876C1"/>
    <w:rsid w:val="00ED55A0"/>
    <w:rsid w:val="00F20988"/>
    <w:rsid w:val="00F26BCD"/>
    <w:rsid w:val="00F479F8"/>
    <w:rsid w:val="00F5185C"/>
    <w:rsid w:val="00F63287"/>
    <w:rsid w:val="00FA43DA"/>
    <w:rsid w:val="00FB177E"/>
    <w:rsid w:val="00FB673C"/>
    <w:rsid w:val="00FC00AB"/>
    <w:rsid w:val="00FC5DAD"/>
    <w:rsid w:val="00FF0017"/>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9266"/>
  <w15:chartTrackingRefBased/>
  <w15:docId w15:val="{C0F743B3-05A6-4F0E-9916-23C9FE1D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C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C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C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C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3C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3C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C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C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A8"/>
    <w:rPr>
      <w:rFonts w:eastAsiaTheme="majorEastAsia" w:cstheme="majorBidi"/>
      <w:color w:val="272727" w:themeColor="text1" w:themeTint="D8"/>
    </w:rPr>
  </w:style>
  <w:style w:type="paragraph" w:styleId="Title">
    <w:name w:val="Title"/>
    <w:basedOn w:val="Normal"/>
    <w:next w:val="Normal"/>
    <w:link w:val="TitleChar"/>
    <w:uiPriority w:val="10"/>
    <w:qFormat/>
    <w:rsid w:val="00D0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A8"/>
    <w:pPr>
      <w:spacing w:before="160"/>
      <w:jc w:val="center"/>
    </w:pPr>
    <w:rPr>
      <w:i/>
      <w:iCs/>
      <w:color w:val="404040" w:themeColor="text1" w:themeTint="BF"/>
    </w:rPr>
  </w:style>
  <w:style w:type="character" w:customStyle="1" w:styleId="QuoteChar">
    <w:name w:val="Quote Char"/>
    <w:basedOn w:val="DefaultParagraphFont"/>
    <w:link w:val="Quote"/>
    <w:uiPriority w:val="29"/>
    <w:rsid w:val="00D03CA8"/>
    <w:rPr>
      <w:i/>
      <w:iCs/>
      <w:color w:val="404040" w:themeColor="text1" w:themeTint="BF"/>
    </w:rPr>
  </w:style>
  <w:style w:type="paragraph" w:styleId="ListParagraph">
    <w:name w:val="List Paragraph"/>
    <w:basedOn w:val="Normal"/>
    <w:uiPriority w:val="34"/>
    <w:qFormat/>
    <w:rsid w:val="00D03CA8"/>
    <w:pPr>
      <w:ind w:left="720"/>
      <w:contextualSpacing/>
    </w:pPr>
  </w:style>
  <w:style w:type="character" w:styleId="IntenseEmphasis">
    <w:name w:val="Intense Emphasis"/>
    <w:basedOn w:val="DefaultParagraphFont"/>
    <w:uiPriority w:val="21"/>
    <w:qFormat/>
    <w:rsid w:val="00D03CA8"/>
    <w:rPr>
      <w:i/>
      <w:iCs/>
      <w:color w:val="2F5496" w:themeColor="accent1" w:themeShade="BF"/>
    </w:rPr>
  </w:style>
  <w:style w:type="paragraph" w:styleId="IntenseQuote">
    <w:name w:val="Intense Quote"/>
    <w:basedOn w:val="Normal"/>
    <w:next w:val="Normal"/>
    <w:link w:val="IntenseQuoteChar"/>
    <w:uiPriority w:val="30"/>
    <w:qFormat/>
    <w:rsid w:val="00D03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CA8"/>
    <w:rPr>
      <w:i/>
      <w:iCs/>
      <w:color w:val="2F5496" w:themeColor="accent1" w:themeShade="BF"/>
    </w:rPr>
  </w:style>
  <w:style w:type="character" w:styleId="IntenseReference">
    <w:name w:val="Intense Reference"/>
    <w:basedOn w:val="DefaultParagraphFont"/>
    <w:uiPriority w:val="32"/>
    <w:qFormat/>
    <w:rsid w:val="00D03CA8"/>
    <w:rPr>
      <w:b/>
      <w:bCs/>
      <w:smallCaps/>
      <w:color w:val="2F5496" w:themeColor="accent1" w:themeShade="BF"/>
      <w:spacing w:val="5"/>
    </w:rPr>
  </w:style>
  <w:style w:type="paragraph" w:styleId="NormalWeb">
    <w:name w:val="Normal (Web)"/>
    <w:basedOn w:val="Normal"/>
    <w:unhideWhenUsed/>
    <w:rsid w:val="00C371F1"/>
    <w:rPr>
      <w:rFonts w:ascii="Times New Roman" w:hAnsi="Times New Roman" w:cs="Times New Roman"/>
    </w:rPr>
  </w:style>
  <w:style w:type="table" w:styleId="TableGrid">
    <w:name w:val="Table Grid"/>
    <w:basedOn w:val="TableNormal"/>
    <w:uiPriority w:val="39"/>
    <w:rsid w:val="0040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056"/>
    <w:rPr>
      <w:color w:val="0563C1" w:themeColor="hyperlink"/>
      <w:u w:val="single"/>
    </w:rPr>
  </w:style>
  <w:style w:type="character" w:styleId="UnresolvedMention">
    <w:name w:val="Unresolved Mention"/>
    <w:basedOn w:val="DefaultParagraphFont"/>
    <w:uiPriority w:val="99"/>
    <w:semiHidden/>
    <w:unhideWhenUsed/>
    <w:rsid w:val="00981056"/>
    <w:rPr>
      <w:color w:val="605E5C"/>
      <w:shd w:val="clear" w:color="auto" w:fill="E1DFDD"/>
    </w:rPr>
  </w:style>
  <w:style w:type="paragraph" w:styleId="Header">
    <w:name w:val="header"/>
    <w:basedOn w:val="Normal"/>
    <w:link w:val="HeaderChar"/>
    <w:uiPriority w:val="99"/>
    <w:unhideWhenUsed/>
    <w:rsid w:val="004A2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C6"/>
  </w:style>
  <w:style w:type="paragraph" w:styleId="Footer">
    <w:name w:val="footer"/>
    <w:basedOn w:val="Normal"/>
    <w:link w:val="FooterChar"/>
    <w:uiPriority w:val="99"/>
    <w:unhideWhenUsed/>
    <w:rsid w:val="004A2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iph.2021.02.012" TargetMode="External"/><Relationship Id="rId18" Type="http://schemas.openxmlformats.org/officeDocument/2006/relationships/hyperlink" Target="https://doi.org/10.1007/s12199-020-00897-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jbs.2021.06.065" TargetMode="External"/><Relationship Id="rId7" Type="http://schemas.openxmlformats.org/officeDocument/2006/relationships/image" Target="media/image1.png"/><Relationship Id="rId12" Type="http://schemas.openxmlformats.org/officeDocument/2006/relationships/hyperlink" Target="https://doi.org/10.3390/ijerph191811543" TargetMode="External"/><Relationship Id="rId17" Type="http://schemas.openxmlformats.org/officeDocument/2006/relationships/hyperlink" Target="https://doi.org/10.1186/s12879-021-0582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855/jidc.14935" TargetMode="External"/><Relationship Id="rId20" Type="http://schemas.openxmlformats.org/officeDocument/2006/relationships/hyperlink" Target="https://doi.org/10.1186/s41182-023-0054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48/j.ijmb.20220702.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microorganisms1102052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jiph.2022.12.004" TargetMode="External"/><Relationship Id="rId19" Type="http://schemas.openxmlformats.org/officeDocument/2006/relationships/hyperlink" Target="https://doi.org/10.1007/s12281-018-031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s41598-022-21118-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10</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123</cp:revision>
  <dcterms:created xsi:type="dcterms:W3CDTF">2026-02-10T09:32:00Z</dcterms:created>
  <dcterms:modified xsi:type="dcterms:W3CDTF">2026-03-04T22:49:00Z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10625818-5b95-497e-bf60-0f1cd7c463e7</vt:lpwstr>
  </property>
</Properties>
</file>