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Original Research Article</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HOSPITALIZATIONS DUE TO SYSTEMIC ARTERIAL HYPERTENSION AMONG OLDER ADULTS IN PARÁ, BRAZIL: A DESCRIPTIVE STUDY, 2020–2024.</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7">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Objective: To analyze hospitalizations due to hypertension in elderly individuals in the State of Pará, Brazil, from 2020 to 2024. Methods: This is an epidemiological, quantitative study using secondary data obtained from the Hospital Information System of the Unified Health System (SIH/SUS), available on DATASUS. Data referring to hospitalizations of elderly individuals with systemic arterial hypertension between 2020 and 2024 were analyzed. Results: A total of 14,722 hospitalizations were recorded during the study period. The highest number of cases occurred in 2024 (3,644), followed by 2022 (3,045). The municipality of Belém presented the highest number of hospitalizations (1,574), followed by Santo Antônio do Tauá (1,044). Females accounted for the majority of cases (8,377), and the most affected age group was 60–69 years. The highest frequency was observed among individuals classified as brown (pardo).Conclusion: Systemic arterial hypertension in the elderly represents a significant public health problem in the State of Pará. The findings highlight the need for strengthening prevention strategies and improving healthcare actions to reduce hospitalizations and improve the quality of life of this population.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b w:val="1"/>
          <w:bCs w:val="1"/>
          <w:highlight w:val="yellow"/>
          <w:rtl w:val="0"/>
        </w:rPr>
        <w:t xml:space="preserve">Keywords</w:t>
      </w:r>
      <w:r w:rsidDel="00000000" w:rsidR="00000000" w:rsidRPr="00000000">
        <w:rPr>
          <w:highlight w:val="yellow"/>
          <w:rtl w:val="0"/>
        </w:rPr>
        <w:t xml:space="preserve">: Hypertension; Elderly; Hospitalization; Public Health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Systemic Arterial Hypertension (SAH) is characterized by elevated systolic and diastolic levels of blood pressure in the arteries. It is one of the leading causes of morbidity and mortality worldwide and is considered a serious public health problem in the national territory, being responsible for high costs related to hospitalizations, disability due to invalidity, and early retirement, affecting all socioeconomic classes in Brazil (Santos et al., 2021) (14).</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Brazil, up to 25% of the adult population has this condition, and it is estimated that by 2025 this number will increase to 60%, reaching an overall prevalence of 40%. SAH, in addition to triggering a high social and economic cost due to the interruption of productive life, causes a high rate of deaths from circulatory system disorders (Brazil, 2023) (1).</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Linares (2022) (7), team-based care is one of the main elements in patient assistance. The performance of the multidisciplinary team can contribute significantly to blood pressure control. For this to occur, patients with SAH or those who are predisposed are referred for quarterly consultations, while those with controlled blood pressure will have semiannual consultations with dietary monitoring.</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treatment of SAH may occur through pharmacological and non-pharmacological approaches. The non-pharmacological approach includes healthy eating, which should be guided by a nutritionist, while pharmacological therapy is of great value in controlling systemic arterial pressure, aiming to stabilize it and provide homeostatic benefits to patients (Rocha et al., 2022) (12).</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elderly population presents high rates of health problems, with 52.7% among individuals aged 65 to 74 years and 55% among those aged 75 years or older, in contrast to a rate of 2.8% among individuals aged 18 to 29 years. The deterioration in quality of life and the increase in the elderly population generate significant expenses, altering the family and social context in which they are inserted. It is essential that nurses carry out high-quality health promotion, prioritizing the quality of life of the elderly and intervening early to ensure better living conditions (Ribeiro et al., 2020) (11).</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new guideline published in September 2025 by the Brazilian Society of Cardiology (SBC), together with the Brazilian Society of Nephrology (SBN) and the Brazilian Society of Hypertension (SBH), the blood pressure value of 120×80 mmHg was reclassified as pre-hypertension, which was previously considered a normal value.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METHODOLOGY</w:t>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Study design</w:t>
      </w:r>
    </w:p>
    <w:p w:rsidR="00000000" w:rsidDel="00000000" w:rsidP="00000000" w:rsidRDefault="00000000" w:rsidRPr="00000000" w14:paraId="0000001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This is an ecological, descriptive, and retrospective epidemiological study with a quantitative approach.</w:t>
      </w:r>
    </w:p>
    <w:p w:rsidR="00000000" w:rsidDel="00000000" w:rsidP="00000000" w:rsidRDefault="00000000" w:rsidRPr="00000000" w14:paraId="00000017">
      <w:pPr>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Data source</w:t>
      </w:r>
    </w:p>
    <w:p w:rsidR="00000000" w:rsidDel="00000000" w:rsidP="00000000" w:rsidRDefault="00000000" w:rsidRPr="00000000" w14:paraId="0000001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Data were obtained from the Hospital Information System of the Unified Health System (SIH/SUS), available through the Department of Informatics of the Unified Health System (DATASUS), Ministry of Health, Brazil. SIH/SUS compiles administrative data on hospital admissions funded by the public health system.</w:t>
      </w:r>
    </w:p>
    <w:p w:rsidR="00000000" w:rsidDel="00000000" w:rsidP="00000000" w:rsidRDefault="00000000" w:rsidRPr="00000000" w14:paraId="0000001A">
      <w:pPr>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Study population and period</w:t>
      </w:r>
    </w:p>
    <w:p w:rsidR="00000000" w:rsidDel="00000000" w:rsidP="00000000" w:rsidRDefault="00000000" w:rsidRPr="00000000" w14:paraId="0000001C">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study included hospitalizations of elderly individuals (aged 60 years and older) due to systemic arterial hypertension (SAH) in the State of Pará, Brazil, from January 2020 to December 2024.</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Case definition</w:t>
      </w:r>
    </w:p>
    <w:p w:rsidR="00000000" w:rsidDel="00000000" w:rsidP="00000000" w:rsidRDefault="00000000" w:rsidRPr="00000000" w14:paraId="0000001F">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Hospitalizations were identified according to the International Classification of Diseases, 10th Revision (ICD-10), using codes related to systemic arterial hypertension (I10–I15).</w:t>
      </w:r>
    </w:p>
    <w:p w:rsidR="00000000" w:rsidDel="00000000" w:rsidP="00000000" w:rsidRDefault="00000000" w:rsidRPr="00000000" w14:paraId="00000020">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Data collection</w:t>
      </w:r>
    </w:p>
    <w:p w:rsidR="00000000" w:rsidDel="00000000" w:rsidP="00000000" w:rsidRDefault="00000000" w:rsidRPr="00000000" w14:paraId="00000022">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Data were extracted from DATASUS using the TABNET tool. The data were accessed in November 2025. The following variables were selected: municipality of hospitalization, year, age group, sex, and race/skin color.</w:t>
      </w:r>
    </w:p>
    <w:p w:rsidR="00000000" w:rsidDel="00000000" w:rsidP="00000000" w:rsidRDefault="00000000" w:rsidRPr="00000000" w14:paraId="00000023">
      <w:pPr>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Variables</w:t>
      </w:r>
    </w:p>
    <w:p w:rsidR="00000000" w:rsidDel="00000000" w:rsidP="00000000" w:rsidRDefault="00000000" w:rsidRPr="00000000" w14:paraId="00000025">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variables analyzed included:</w:t>
      </w:r>
    </w:p>
    <w:p w:rsidR="00000000" w:rsidDel="00000000" w:rsidP="00000000" w:rsidRDefault="00000000" w:rsidRPr="00000000" w14:paraId="0000002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 number of hospitalizations due to SAH;</w:t>
      </w:r>
    </w:p>
    <w:p w:rsidR="00000000" w:rsidDel="00000000" w:rsidP="00000000" w:rsidRDefault="00000000" w:rsidRPr="00000000" w14:paraId="00000027">
      <w:pPr>
        <w:rPr>
          <w:rFonts w:ascii="Times New Roman" w:cs="Times New Roman" w:eastAsia="Times New Roman" w:hAnsi="Times New Roman"/>
          <w:highlight w:val="yellow"/>
        </w:rPr>
      </w:pPr>
      <w:r w:rsidDel="00000000" w:rsidR="00000000" w:rsidRPr="00000000">
        <w:rPr>
          <w:rFonts w:ascii="Gungsuh" w:cs="Gungsuh" w:eastAsia="Gungsuh" w:hAnsi="Gungsuh"/>
          <w:highlight w:val="yellow"/>
          <w:rtl w:val="0"/>
        </w:rPr>
        <w:t xml:space="preserve">(ii) age group (60–69, 70–79, ≥80 years);</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(iii) sex;</w:t>
      </w:r>
    </w:p>
    <w:p w:rsidR="00000000" w:rsidDel="00000000" w:rsidP="00000000" w:rsidRDefault="00000000" w:rsidRPr="00000000" w14:paraId="0000002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(iv) race/skin color;</w:t>
      </w:r>
    </w:p>
    <w:p w:rsidR="00000000" w:rsidDel="00000000" w:rsidP="00000000" w:rsidRDefault="00000000" w:rsidRPr="00000000" w14:paraId="0000002A">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(v) municipality of residence.</w:t>
      </w:r>
    </w:p>
    <w:p w:rsidR="00000000" w:rsidDel="00000000" w:rsidP="00000000" w:rsidRDefault="00000000" w:rsidRPr="00000000" w14:paraId="0000002B">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It is important to note that some variables, such as age group and race/color, presented missing information in the database, resulting in a reduced number of records analyzed for these variables compared to the total number of hospitalizations.</w:t>
      </w:r>
    </w:p>
    <w:p w:rsidR="00000000" w:rsidDel="00000000" w:rsidP="00000000" w:rsidRDefault="00000000" w:rsidRPr="00000000" w14:paraId="0000002C">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Data analysis</w:t>
      </w:r>
    </w:p>
    <w:p w:rsidR="00000000" w:rsidDel="00000000" w:rsidP="00000000" w:rsidRDefault="00000000" w:rsidRPr="00000000" w14:paraId="0000002E">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Data were organized in Microsoft Excel (Microsoft Corporation, USA) and analyzed using descriptive statistics. Absolute and relative frequencies were calculated, and the results were presented in tables.</w:t>
      </w:r>
    </w:p>
    <w:p w:rsidR="00000000" w:rsidDel="00000000" w:rsidP="00000000" w:rsidRDefault="00000000" w:rsidRPr="00000000" w14:paraId="0000002F">
      <w:pPr>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Ethical considerations</w:t>
      </w:r>
    </w:p>
    <w:p w:rsidR="00000000" w:rsidDel="00000000" w:rsidP="00000000" w:rsidRDefault="00000000" w:rsidRPr="00000000" w14:paraId="0000003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This study used secondary data from publicly available databases (DATASUS), with no access to identifiable personal information and no direct involvement of human participants. Therefore, according to Resolution No. 510/2016 of the National Health Council, ethical approval was not required.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RESULTS</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sociodemographic variables analyzed, 14,722 cases of hospitalization due to hypertension in elderly individuals were identified in the State of Pará between the years 2020 and 2024, as shown in Table 1. Still regarding Table 1, Belém was identified as the municipality with the highest incidence, with 1,574 cases, followed by Santo Antônio do Tauá, with 1,044 cases.</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Hospitalizations of Elderly Individuals with Hypertension by Region in the State of Pará.</w:t>
      </w:r>
    </w:p>
    <w:tbl>
      <w:tblPr>
        <w:tblStyle w:val="Table1"/>
        <w:tblW w:w="4963.0" w:type="dxa"/>
        <w:jc w:val="left"/>
        <w:tblInd w:w="2561.0" w:type="dxa"/>
        <w:tblBorders>
          <w:insideH w:color="000000" w:space="0" w:sz="4" w:val="single"/>
          <w:insideV w:color="000000" w:space="0" w:sz="4" w:val="single"/>
        </w:tblBorders>
        <w:tblLayout w:type="fixed"/>
        <w:tblLook w:val="0000"/>
      </w:tblPr>
      <w:tblGrid>
        <w:gridCol w:w="3262"/>
        <w:gridCol w:w="1701"/>
        <w:tblGridChange w:id="0">
          <w:tblGrid>
            <w:gridCol w:w="3262"/>
            <w:gridCol w:w="1701"/>
          </w:tblGrid>
        </w:tblGridChange>
      </w:tblGrid>
      <w:tr>
        <w:trPr>
          <w:cantSplit w:val="0"/>
          <w:trHeight w:val="273" w:hRule="atLeast"/>
          <w:tblHeader w:val="0"/>
        </w:trPr>
        <w:tc>
          <w:tcPr>
            <w:shd w:fill="fdf1cd"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07" w:lineRule="auto"/>
              <w:ind w:left="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MUNICIPALITIES IN THE STATE OF PARÁ</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07" w:lineRule="auto"/>
              <w:ind w:left="0" w:right="66"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tc>
        <w:tc>
          <w:tcPr>
            <w:shd w:fill="fdf1cd"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07" w:lineRule="auto"/>
              <w:ind w:left="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QUANTITY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07" w:lineRule="auto"/>
              <w:ind w:left="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ABAETETUBA</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163</w:t>
            </w:r>
          </w:p>
        </w:tc>
      </w:tr>
      <w:tr>
        <w:trPr>
          <w:cantSplit w:val="0"/>
          <w:trHeight w:val="270"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ABEL FIGUEIREDO</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25</w:t>
            </w:r>
          </w:p>
        </w:tc>
      </w:tr>
      <w:tr>
        <w:trPr>
          <w:cantSplit w:val="0"/>
          <w:trHeight w:val="270"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ACARA</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82</w:t>
            </w:r>
          </w:p>
        </w:tc>
      </w:tr>
      <w:tr>
        <w:trPr>
          <w:cantSplit w:val="0"/>
          <w:trHeight w:val="270"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AFUA</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w:t>
            </w:r>
          </w:p>
        </w:tc>
      </w:tr>
      <w:tr>
        <w:trPr>
          <w:cantSplit w:val="0"/>
          <w:trHeight w:val="270"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ÁGUA AZUL DO NORTE</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28</w:t>
            </w:r>
          </w:p>
        </w:tc>
      </w:tr>
      <w:tr>
        <w:trPr>
          <w:cantSplit w:val="0"/>
          <w:trHeight w:val="27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ALENQUER</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467</w:t>
            </w:r>
          </w:p>
        </w:tc>
      </w:tr>
      <w:tr>
        <w:trPr>
          <w:cantSplit w:val="0"/>
          <w:trHeight w:val="270"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4"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ALMEIRIM</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88</w:t>
            </w:r>
          </w:p>
        </w:tc>
      </w:tr>
      <w:tr>
        <w:trPr>
          <w:cantSplit w:val="0"/>
          <w:trHeight w:val="270"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ALTAMIRA</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29</w:t>
            </w:r>
          </w:p>
        </w:tc>
      </w:tr>
      <w:tr>
        <w:trPr>
          <w:cantSplit w:val="0"/>
          <w:trHeight w:val="270"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ANAJAS</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173</w:t>
            </w:r>
          </w:p>
        </w:tc>
      </w:tr>
      <w:tr>
        <w:trPr>
          <w:cantSplit w:val="0"/>
          <w:trHeight w:val="270"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ANANINDEUA</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353</w:t>
            </w:r>
          </w:p>
        </w:tc>
      </w:tr>
      <w:tr>
        <w:trPr>
          <w:cantSplit w:val="0"/>
          <w:trHeight w:val="270"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AUGUSTO CORREA</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265</w:t>
            </w:r>
          </w:p>
        </w:tc>
      </w:tr>
      <w:tr>
        <w:trPr>
          <w:cantSplit w:val="0"/>
          <w:trHeight w:val="270"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AURORA DO PARA</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242</w:t>
            </w:r>
          </w:p>
        </w:tc>
      </w:tr>
      <w:tr>
        <w:trPr>
          <w:cantSplit w:val="0"/>
          <w:trHeight w:val="270"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BAIAO</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126</w:t>
            </w:r>
          </w:p>
        </w:tc>
      </w:tr>
      <w:tr>
        <w:trPr>
          <w:cantSplit w:val="0"/>
          <w:trHeight w:val="270"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BANNACH</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14</w:t>
            </w:r>
          </w:p>
        </w:tc>
      </w:tr>
      <w:tr>
        <w:trPr>
          <w:cantSplit w:val="0"/>
          <w:trHeight w:val="270"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BARCARENA</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11</w:t>
            </w:r>
          </w:p>
        </w:tc>
      </w:tr>
      <w:tr>
        <w:trPr>
          <w:cantSplit w:val="0"/>
          <w:trHeight w:val="270"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BELEM</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1574</w:t>
            </w:r>
          </w:p>
        </w:tc>
      </w:tr>
      <w:tr>
        <w:trPr>
          <w:cantSplit w:val="0"/>
          <w:trHeight w:val="270"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BELTERRA</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20</w:t>
            </w:r>
          </w:p>
        </w:tc>
      </w:tr>
      <w:tr>
        <w:trPr>
          <w:cantSplit w:val="0"/>
          <w:trHeight w:val="270"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BOM JESUS DO TOCANTINS</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138</w:t>
            </w:r>
          </w:p>
        </w:tc>
      </w:tr>
      <w:tr>
        <w:trPr>
          <w:cantSplit w:val="0"/>
          <w:trHeight w:val="270"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BRAGANCA</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241</w:t>
            </w:r>
          </w:p>
        </w:tc>
      </w:tr>
      <w:tr>
        <w:trPr>
          <w:cantSplit w:val="0"/>
          <w:trHeight w:val="270"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BRASIL NOVO</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23</w:t>
            </w:r>
          </w:p>
        </w:tc>
      </w:tr>
      <w:tr>
        <w:trPr>
          <w:cantSplit w:val="0"/>
          <w:trHeight w:val="270"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BREU BRANCO</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56</w:t>
            </w:r>
          </w:p>
        </w:tc>
      </w:tr>
      <w:tr>
        <w:trPr>
          <w:cantSplit w:val="0"/>
          <w:trHeight w:val="270"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BREVES</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23</w:t>
            </w:r>
          </w:p>
        </w:tc>
      </w:tr>
      <w:tr>
        <w:trPr>
          <w:cantSplit w:val="0"/>
          <w:trHeight w:val="270"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BUJARU</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w:t>
            </w:r>
          </w:p>
        </w:tc>
      </w:tr>
      <w:tr>
        <w:trPr>
          <w:cantSplit w:val="0"/>
          <w:trHeight w:val="270"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CACHOEIRA DO ARARI</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407</w:t>
            </w:r>
          </w:p>
        </w:tc>
      </w:tr>
      <w:tr>
        <w:trPr>
          <w:cantSplit w:val="0"/>
          <w:trHeight w:val="270"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CAMETA</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112</w:t>
            </w:r>
          </w:p>
        </w:tc>
      </w:tr>
      <w:tr>
        <w:trPr>
          <w:cantSplit w:val="0"/>
          <w:trHeight w:val="270"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4"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CANAA DOS CARAJAS</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28</w:t>
            </w:r>
          </w:p>
        </w:tc>
      </w:tr>
      <w:tr>
        <w:trPr>
          <w:cantSplit w:val="0"/>
          <w:trHeight w:val="269"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CAPANEMA</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w:t>
            </w:r>
          </w:p>
        </w:tc>
      </w:tr>
      <w:tr>
        <w:trPr>
          <w:cantSplit w:val="0"/>
          <w:trHeight w:val="270"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CAPITAO POCO</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74</w:t>
            </w:r>
          </w:p>
        </w:tc>
      </w:tr>
      <w:tr>
        <w:trPr>
          <w:cantSplit w:val="0"/>
          <w:trHeight w:val="270" w:hRule="atLeast"/>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CASTANHAL</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169</w:t>
            </w:r>
          </w:p>
        </w:tc>
      </w:tr>
      <w:tr>
        <w:trPr>
          <w:cantSplit w:val="0"/>
          <w:trHeight w:val="270"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CHAVES</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42</w:t>
            </w:r>
          </w:p>
        </w:tc>
      </w:tr>
      <w:tr>
        <w:trPr>
          <w:cantSplit w:val="0"/>
          <w:trHeight w:val="270"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CONCEICAO DO ARAGUAIA</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w:t>
            </w:r>
          </w:p>
        </w:tc>
      </w:tr>
      <w:tr>
        <w:trPr>
          <w:cantSplit w:val="0"/>
          <w:trHeight w:val="270"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CONCORDIA DO PARA</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26</w:t>
            </w:r>
          </w:p>
        </w:tc>
      </w:tr>
      <w:tr>
        <w:trPr>
          <w:cantSplit w:val="0"/>
          <w:trHeight w:val="270"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CUMARU DO NORTE</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18</w:t>
            </w:r>
          </w:p>
        </w:tc>
      </w:tr>
      <w:tr>
        <w:trPr>
          <w:cantSplit w:val="0"/>
          <w:trHeight w:val="270"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CURIONOPOLIS</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127</w:t>
            </w:r>
          </w:p>
        </w:tc>
      </w:tr>
      <w:tr>
        <w:trPr>
          <w:cantSplit w:val="0"/>
          <w:trHeight w:val="27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CURRALINHO</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129</w:t>
            </w:r>
          </w:p>
        </w:tc>
      </w:tr>
      <w:tr>
        <w:trPr>
          <w:cantSplit w:val="0"/>
          <w:trHeight w:val="27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CURUCA</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23</w:t>
            </w:r>
          </w:p>
        </w:tc>
      </w:tr>
      <w:tr>
        <w:trPr>
          <w:cantSplit w:val="0"/>
          <w:trHeight w:val="27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DOM ELISEU</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79</w:t>
            </w:r>
          </w:p>
        </w:tc>
      </w:tr>
      <w:tr>
        <w:trPr>
          <w:cantSplit w:val="0"/>
          <w:trHeight w:val="270"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8"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ELDORADO DOS CARAJAS</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104</w:t>
            </w:r>
          </w:p>
        </w:tc>
      </w:tr>
      <w:tr>
        <w:trPr>
          <w:cantSplit w:val="0"/>
          <w:trHeight w:val="27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FLORESTA DO ARAGUAIA</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131</w:t>
            </w:r>
          </w:p>
        </w:tc>
      </w:tr>
      <w:tr>
        <w:trPr>
          <w:cantSplit w:val="0"/>
          <w:trHeight w:val="270"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GOIANESIA DO PARA</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240</w:t>
            </w:r>
          </w:p>
        </w:tc>
      </w:tr>
      <w:tr>
        <w:trPr>
          <w:cantSplit w:val="0"/>
          <w:trHeight w:val="246"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0" w:lineRule="auto"/>
              <w:ind w:left="12" w:right="66"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IGARAPE-ACU</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0" w:lineRule="auto"/>
              <w:ind w:left="11" w:right="7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22</w:t>
            </w:r>
          </w:p>
        </w:tc>
      </w:tr>
      <w:tr>
        <w:trPr>
          <w:cantSplit w:val="0"/>
          <w:trHeight w:val="293"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IGARAPE-MIRI</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813</w:t>
            </w:r>
          </w:p>
        </w:tc>
      </w:tr>
      <w:tr>
        <w:trPr>
          <w:cantSplit w:val="0"/>
          <w:trHeight w:val="270"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IPIXUNA DO PARA</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621</w:t>
            </w:r>
          </w:p>
        </w:tc>
      </w:tr>
      <w:tr>
        <w:trPr>
          <w:cantSplit w:val="0"/>
          <w:trHeight w:val="270"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IRITUIA</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45</w:t>
            </w:r>
          </w:p>
        </w:tc>
      </w:tr>
      <w:tr>
        <w:trPr>
          <w:cantSplit w:val="0"/>
          <w:trHeight w:val="270"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ITAITUBA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w:t>
            </w:r>
          </w:p>
        </w:tc>
      </w:tr>
      <w:tr>
        <w:trPr>
          <w:cantSplit w:val="0"/>
          <w:trHeight w:val="270"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ITUPIRANGA</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w:t>
            </w:r>
          </w:p>
        </w:tc>
      </w:tr>
      <w:tr>
        <w:trPr>
          <w:cantSplit w:val="0"/>
          <w:trHeight w:val="270"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JACAREACANGA</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29</w:t>
            </w:r>
          </w:p>
        </w:tc>
      </w:tr>
      <w:tr>
        <w:trPr>
          <w:cantSplit w:val="0"/>
          <w:trHeight w:val="270"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JACUNDA</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157</w:t>
            </w:r>
          </w:p>
        </w:tc>
      </w:tr>
      <w:tr>
        <w:trPr>
          <w:cantSplit w:val="0"/>
          <w:trHeight w:val="270"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JURUTI</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48</w:t>
            </w:r>
          </w:p>
        </w:tc>
      </w:tr>
      <w:tr>
        <w:trPr>
          <w:cantSplit w:val="0"/>
          <w:trHeight w:val="270"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LIMOEIRO DO AJURU</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151</w:t>
            </w:r>
          </w:p>
        </w:tc>
      </w:tr>
      <w:tr>
        <w:trPr>
          <w:cantSplit w:val="0"/>
          <w:trHeight w:val="270"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3"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MAE DO RIO</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253</w:t>
            </w:r>
          </w:p>
        </w:tc>
      </w:tr>
      <w:tr>
        <w:trPr>
          <w:cantSplit w:val="0"/>
          <w:trHeight w:val="270"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MARABA</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12</w:t>
            </w:r>
          </w:p>
        </w:tc>
      </w:tr>
      <w:tr>
        <w:trPr>
          <w:cantSplit w:val="0"/>
          <w:trHeight w:val="270"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MARACANA</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21</w:t>
            </w:r>
          </w:p>
        </w:tc>
      </w:tr>
      <w:tr>
        <w:trPr>
          <w:cantSplit w:val="0"/>
          <w:trHeight w:val="270"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8"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MARAPANIM</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w:t>
            </w:r>
          </w:p>
        </w:tc>
      </w:tr>
      <w:tr>
        <w:trPr>
          <w:cantSplit w:val="0"/>
          <w:trHeight w:val="270"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MARITUBA</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22</w:t>
            </w:r>
          </w:p>
        </w:tc>
      </w:tr>
      <w:tr>
        <w:trPr>
          <w:cantSplit w:val="0"/>
          <w:trHeight w:val="270" w:hRule="atLeast"/>
          <w:tblHeader w:val="0"/>
        </w:trPr>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MEDICILANDIA</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39</w:t>
            </w:r>
          </w:p>
        </w:tc>
      </w:tr>
      <w:tr>
        <w:trPr>
          <w:cantSplit w:val="0"/>
          <w:trHeight w:val="270"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2"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MELGACO</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20</w:t>
            </w:r>
          </w:p>
        </w:tc>
      </w:tr>
      <w:tr>
        <w:trPr>
          <w:cantSplit w:val="0"/>
          <w:trHeight w:val="270"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MOCAJUBA</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91</w:t>
            </w:r>
          </w:p>
        </w:tc>
      </w:tr>
      <w:tr>
        <w:trPr>
          <w:cantSplit w:val="0"/>
          <w:trHeight w:val="270"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MOJU</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30</w:t>
            </w:r>
          </w:p>
        </w:tc>
      </w:tr>
      <w:tr>
        <w:trPr>
          <w:cantSplit w:val="0"/>
          <w:trHeight w:val="270" w:hRule="atLeast"/>
          <w:tblHeader w:val="0"/>
        </w:trPr>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MONTE ALEGRE</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w:t>
            </w:r>
          </w:p>
        </w:tc>
      </w:tr>
      <w:tr>
        <w:trPr>
          <w:cantSplit w:val="0"/>
          <w:trHeight w:val="270" w:hRule="atLeast"/>
          <w:tblHeader w:val="0"/>
        </w:trPr>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MUANA</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77</w:t>
            </w:r>
          </w:p>
        </w:tc>
      </w:tr>
      <w:tr>
        <w:trPr>
          <w:cantSplit w:val="0"/>
          <w:trHeight w:val="270"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NOVA ESPERANCA DO PIRIA</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57</w:t>
            </w:r>
          </w:p>
        </w:tc>
      </w:tr>
      <w:tr>
        <w:trPr>
          <w:cantSplit w:val="0"/>
          <w:trHeight w:val="270"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NOVO PROGRESSO</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w:t>
            </w:r>
          </w:p>
        </w:tc>
      </w:tr>
      <w:tr>
        <w:trPr>
          <w:cantSplit w:val="0"/>
          <w:trHeight w:val="270"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6"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NOVO REPARTIMENTO</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w:t>
            </w:r>
          </w:p>
        </w:tc>
      </w:tr>
      <w:tr>
        <w:trPr>
          <w:cantSplit w:val="0"/>
          <w:trHeight w:val="270"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OBIDOS</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101</w:t>
            </w:r>
          </w:p>
        </w:tc>
      </w:tr>
      <w:tr>
        <w:trPr>
          <w:cantSplit w:val="0"/>
          <w:trHeight w:val="270"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OEIRAS DO PARA</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91</w:t>
            </w:r>
          </w:p>
        </w:tc>
      </w:tr>
      <w:tr>
        <w:trPr>
          <w:cantSplit w:val="0"/>
          <w:trHeight w:val="270"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ORIXIMINA</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13</w:t>
            </w:r>
          </w:p>
        </w:tc>
      </w:tr>
      <w:tr>
        <w:trPr>
          <w:cantSplit w:val="0"/>
          <w:trHeight w:val="270"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OUREM</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6</w:t>
            </w:r>
          </w:p>
        </w:tc>
      </w:tr>
      <w:tr>
        <w:trPr>
          <w:cantSplit w:val="0"/>
          <w:trHeight w:val="270"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OURILANDIA DO NORTE</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309</w:t>
            </w:r>
          </w:p>
        </w:tc>
      </w:tr>
      <w:tr>
        <w:trPr>
          <w:cantSplit w:val="0"/>
          <w:trHeight w:val="270"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PACAJA</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25</w:t>
            </w:r>
          </w:p>
        </w:tc>
      </w:tr>
      <w:tr>
        <w:trPr>
          <w:cantSplit w:val="0"/>
          <w:trHeight w:val="270"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PALESTINA DO PARA</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23</w:t>
            </w:r>
          </w:p>
        </w:tc>
      </w:tr>
      <w:tr>
        <w:trPr>
          <w:cantSplit w:val="0"/>
          <w:trHeight w:val="270"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PARAGOMINAS</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24</w:t>
            </w:r>
          </w:p>
        </w:tc>
      </w:tr>
      <w:tr>
        <w:trPr>
          <w:cantSplit w:val="0"/>
          <w:trHeight w:val="270"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PARAUAPEBAS</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27</w:t>
            </w:r>
          </w:p>
        </w:tc>
      </w:tr>
      <w:tr>
        <w:trPr>
          <w:cantSplit w:val="0"/>
          <w:trHeight w:val="270"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PAU D'ARCO</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w:t>
            </w:r>
          </w:p>
        </w:tc>
      </w:tr>
      <w:tr>
        <w:trPr>
          <w:cantSplit w:val="0"/>
          <w:trHeight w:val="270"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PICARRA</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430</w:t>
            </w:r>
          </w:p>
        </w:tc>
      </w:tr>
      <w:tr>
        <w:trPr>
          <w:cantSplit w:val="0"/>
          <w:trHeight w:val="270"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PONTA DE PEDRAS</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57</w:t>
            </w:r>
          </w:p>
        </w:tc>
      </w:tr>
      <w:tr>
        <w:trPr>
          <w:cantSplit w:val="0"/>
          <w:trHeight w:val="270"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PORTEL</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41</w:t>
            </w:r>
          </w:p>
        </w:tc>
      </w:tr>
      <w:tr>
        <w:trPr>
          <w:cantSplit w:val="0"/>
          <w:trHeight w:val="270" w:hRule="atLeast"/>
          <w:tblHeader w:val="0"/>
        </w:trPr>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PORTO DE MOZ</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274</w:t>
            </w:r>
          </w:p>
        </w:tc>
      </w:tr>
      <w:tr>
        <w:trPr>
          <w:cantSplit w:val="0"/>
          <w:trHeight w:val="269"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5"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PRAINHA</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49</w:t>
            </w:r>
          </w:p>
        </w:tc>
      </w:tr>
      <w:tr>
        <w:trPr>
          <w:cantSplit w:val="0"/>
          <w:trHeight w:val="270"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REDENCAO</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23</w:t>
            </w:r>
          </w:p>
        </w:tc>
      </w:tr>
      <w:tr>
        <w:trPr>
          <w:cantSplit w:val="0"/>
          <w:trHeight w:val="270"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RIO MARIA</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46</w:t>
            </w:r>
          </w:p>
        </w:tc>
      </w:tr>
      <w:tr>
        <w:trPr>
          <w:cantSplit w:val="0"/>
          <w:trHeight w:val="270"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RONDON DO PARA</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215</w:t>
            </w:r>
          </w:p>
        </w:tc>
      </w:tr>
      <w:tr>
        <w:trPr>
          <w:cantSplit w:val="0"/>
          <w:trHeight w:val="270" w:hRule="atLeast"/>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RUROPOLIS</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52</w:t>
            </w:r>
          </w:p>
        </w:tc>
      </w:tr>
      <w:tr>
        <w:trPr>
          <w:cantSplit w:val="0"/>
          <w:trHeight w:val="270"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SALINOPOLIS</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29</w:t>
            </w:r>
          </w:p>
        </w:tc>
      </w:tr>
      <w:tr>
        <w:trPr>
          <w:cantSplit w:val="0"/>
          <w:trHeight w:val="270"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SALVATERRA</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60</w:t>
            </w:r>
          </w:p>
        </w:tc>
      </w:tr>
      <w:tr>
        <w:trPr>
          <w:cantSplit w:val="0"/>
          <w:trHeight w:val="270"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6"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SANTA CRUZ DO ARARI</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325</w:t>
            </w:r>
          </w:p>
        </w:tc>
      </w:tr>
      <w:tr>
        <w:trPr>
          <w:cantSplit w:val="0"/>
          <w:trHeight w:val="270"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SANTA IZABEL DO PARA</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300</w:t>
            </w:r>
          </w:p>
        </w:tc>
      </w:tr>
      <w:tr>
        <w:trPr>
          <w:cantSplit w:val="0"/>
          <w:trHeight w:val="270"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SANTA MARIA DAS BARREIRAS</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31</w:t>
            </w:r>
          </w:p>
        </w:tc>
      </w:tr>
      <w:tr>
        <w:trPr>
          <w:cantSplit w:val="0"/>
          <w:trHeight w:val="270"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4"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SANTA MARIA DO PARA</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116</w:t>
            </w:r>
          </w:p>
        </w:tc>
      </w:tr>
      <w:tr>
        <w:trPr>
          <w:cantSplit w:val="0"/>
          <w:trHeight w:val="270"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8"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SANTAREM</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26</w:t>
            </w:r>
          </w:p>
        </w:tc>
      </w:tr>
      <w:tr>
        <w:trPr>
          <w:cantSplit w:val="0"/>
          <w:trHeight w:val="246"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0" w:lineRule="auto"/>
              <w:ind w:left="8" w:right="148"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SANTO ANTONIO DO TAUA</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0" w:lineRule="auto"/>
              <w:ind w:left="0" w:right="147"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1044</w:t>
            </w:r>
          </w:p>
        </w:tc>
      </w:tr>
      <w:tr>
        <w:trPr>
          <w:cantSplit w:val="0"/>
          <w:trHeight w:val="293"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8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DOMINGOS DO ARAGUAIA</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97</w:t>
            </w:r>
          </w:p>
        </w:tc>
      </w:tr>
      <w:tr>
        <w:trPr>
          <w:cantSplit w:val="0"/>
          <w:trHeight w:val="270"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8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DOMINGOS DO CAPIM</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107</w:t>
            </w:r>
          </w:p>
        </w:tc>
      </w:tr>
      <w:tr>
        <w:trPr>
          <w:cantSplit w:val="0"/>
          <w:trHeight w:val="270"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6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FELIX DO XINGU</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64</w:t>
            </w:r>
          </w:p>
        </w:tc>
      </w:tr>
      <w:tr>
        <w:trPr>
          <w:cantSplit w:val="0"/>
          <w:trHeight w:val="270"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5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GERALDO DO ARAGUAIA</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88</w:t>
            </w:r>
          </w:p>
        </w:tc>
      </w:tr>
      <w:tr>
        <w:trPr>
          <w:cantSplit w:val="0"/>
          <w:trHeight w:val="270"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JOAO DE PIRABAS</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6</w:t>
            </w:r>
          </w:p>
        </w:tc>
      </w:tr>
      <w:tr>
        <w:trPr>
          <w:cantSplit w:val="0"/>
          <w:trHeight w:val="270"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6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JOAO DO ARAGUAIA</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13</w:t>
            </w:r>
          </w:p>
        </w:tc>
      </w:tr>
      <w:tr>
        <w:trPr>
          <w:cantSplit w:val="0"/>
          <w:trHeight w:val="270"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MIGUEL DO GUAMA</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75</w:t>
            </w:r>
          </w:p>
        </w:tc>
      </w:tr>
      <w:tr>
        <w:trPr>
          <w:cantSplit w:val="0"/>
          <w:trHeight w:val="270"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SÃO SEBASTIAO DA BOA VISTA</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170</w:t>
            </w:r>
          </w:p>
        </w:tc>
      </w:tr>
      <w:tr>
        <w:trPr>
          <w:cantSplit w:val="0"/>
          <w:trHeight w:val="270"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9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SAPUCAIA</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5</w:t>
            </w:r>
          </w:p>
        </w:tc>
      </w:tr>
      <w:tr>
        <w:trPr>
          <w:cantSplit w:val="0"/>
          <w:trHeight w:val="270"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0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SENADOR JOSE PORFIRIO</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73</w:t>
            </w:r>
          </w:p>
        </w:tc>
      </w:tr>
      <w:tr>
        <w:trPr>
          <w:cantSplit w:val="0"/>
          <w:trHeight w:val="270"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SOURE</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283</w:t>
            </w:r>
          </w:p>
        </w:tc>
      </w:tr>
      <w:tr>
        <w:trPr>
          <w:cantSplit w:val="0"/>
          <w:trHeight w:val="270"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8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TAILANDIA</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w:t>
            </w:r>
          </w:p>
        </w:tc>
      </w:tr>
      <w:tr>
        <w:trPr>
          <w:cantSplit w:val="0"/>
          <w:trHeight w:val="270"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0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TERRA SANTA</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41</w:t>
            </w:r>
          </w:p>
        </w:tc>
      </w:tr>
      <w:tr>
        <w:trPr>
          <w:cantSplit w:val="0"/>
          <w:trHeight w:val="27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6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TOME-ACU</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109</w:t>
            </w:r>
          </w:p>
        </w:tc>
      </w:tr>
      <w:tr>
        <w:trPr>
          <w:cantSplit w:val="0"/>
          <w:trHeight w:val="270"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2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TRACUATEUA</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159</w:t>
            </w:r>
          </w:p>
        </w:tc>
      </w:tr>
      <w:tr>
        <w:trPr>
          <w:cantSplit w:val="0"/>
          <w:trHeight w:val="270"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TRAIRAO</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181</w:t>
            </w:r>
          </w:p>
        </w:tc>
      </w:tr>
      <w:tr>
        <w:trPr>
          <w:cantSplit w:val="0"/>
          <w:trHeight w:val="270" w:hRule="atLeast"/>
          <w:tblHeader w:val="0"/>
        </w:trPr>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TUCUMA</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11</w:t>
            </w:r>
          </w:p>
        </w:tc>
      </w:tr>
      <w:tr>
        <w:trPr>
          <w:cantSplit w:val="0"/>
          <w:trHeight w:val="270"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TUCURUI</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7</w:t>
            </w:r>
          </w:p>
        </w:tc>
      </w:tr>
      <w:tr>
        <w:trPr>
          <w:cantSplit w:val="0"/>
          <w:trHeight w:val="270" w:hRule="atLeast"/>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93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ULIANOPOLIS</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152</w:t>
            </w:r>
          </w:p>
        </w:tc>
      </w:tr>
      <w:tr>
        <w:trPr>
          <w:cantSplit w:val="0"/>
          <w:trHeight w:val="270"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URUARA</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w:t>
            </w:r>
          </w:p>
        </w:tc>
      </w:tr>
      <w:tr>
        <w:trPr>
          <w:cantSplit w:val="0"/>
          <w:trHeight w:val="270"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VIGIA</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94</w:t>
            </w:r>
          </w:p>
        </w:tc>
      </w:tr>
      <w:tr>
        <w:trPr>
          <w:cantSplit w:val="0"/>
          <w:trHeight w:val="270"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VISEU</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128</w:t>
            </w:r>
          </w:p>
        </w:tc>
      </w:tr>
      <w:tr>
        <w:trPr>
          <w:cantSplit w:val="0"/>
          <w:trHeight w:val="262"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26" w:lineRule="auto"/>
              <w:ind w:left="67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VITORIA DO XINGU</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26"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15</w:t>
            </w:r>
          </w:p>
        </w:tc>
      </w:tr>
      <w:tr>
        <w:trPr>
          <w:cantSplit w:val="0"/>
          <w:trHeight w:val="239" w:hRule="atLeast"/>
          <w:tblHeader w:val="0"/>
        </w:trPr>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08" w:lineRule="auto"/>
              <w:ind w:left="1075"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XINGUARA</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08" w:lineRule="auto"/>
              <w:ind w:left="11" w:right="152"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97</w:t>
            </w:r>
          </w:p>
        </w:tc>
      </w:tr>
      <w:tr>
        <w:trPr>
          <w:cantSplit w:val="0"/>
          <w:trHeight w:val="312"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08" w:lineRule="auto"/>
              <w:ind w:left="0" w:right="150" w:firstLine="0"/>
              <w:jc w:val="center"/>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TOTAL</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08" w:lineRule="auto"/>
              <w:ind w:left="0" w:right="152"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14722</w:t>
            </w:r>
            <w:r w:rsidDel="00000000" w:rsidR="00000000" w:rsidRPr="00000000">
              <w:rPr>
                <w:rtl w:val="0"/>
              </w:rPr>
            </w:r>
          </w:p>
        </w:tc>
      </w:tr>
    </w:tbl>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DATASUS, 2024</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number of hospitalizations of elderly individuals according to the year of diagnosis shows that 2020 had 2,572 cases, with a slight decrease in 2021 with 2,536 cases. In 2022, there was a significant increase with 3,045 cases; in 2023, a decrease to 2,925 cases; and in 2024, it was the year in which the rates showed the greatest increase compared to previous years, with 3,644 cases (Table 2).</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Hospitalizations of Elderly Individuals with Hypertension by Year in the State of Pará</w:t>
      </w:r>
    </w:p>
    <w:tbl>
      <w:tblPr>
        <w:tblStyle w:val="Table2"/>
        <w:tblW w:w="4479.0" w:type="dxa"/>
        <w:jc w:val="center"/>
        <w:tblBorders>
          <w:insideH w:color="000000" w:space="0" w:sz="4" w:val="single"/>
          <w:insideV w:color="000000" w:space="0" w:sz="4" w:val="single"/>
        </w:tblBorders>
        <w:tblLayout w:type="fixed"/>
        <w:tblLook w:val="0000"/>
      </w:tblPr>
      <w:tblGrid>
        <w:gridCol w:w="2309"/>
        <w:gridCol w:w="2170"/>
        <w:tblGridChange w:id="0">
          <w:tblGrid>
            <w:gridCol w:w="2309"/>
            <w:gridCol w:w="2170"/>
          </w:tblGrid>
        </w:tblGridChange>
      </w:tblGrid>
      <w:tr>
        <w:trPr>
          <w:cantSplit w:val="0"/>
          <w:trHeight w:val="324" w:hRule="atLeast"/>
          <w:tblHeader w:val="0"/>
        </w:trPr>
        <w:tc>
          <w:tcPr>
            <w:shd w:fill="d1f0da"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38" w:line="212"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 OF HOSPITALIZATION</w:t>
            </w:r>
          </w:p>
        </w:tc>
        <w:tc>
          <w:tcPr>
            <w:shd w:fill="d1f0da"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38" w:line="212" w:lineRule="auto"/>
              <w:ind w:left="5" w:right="21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QUANTITY</w:t>
            </w:r>
          </w:p>
        </w:tc>
      </w:tr>
      <w:tr>
        <w:trPr>
          <w:cantSplit w:val="0"/>
          <w:trHeight w:val="351" w:hRule="atLeast"/>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38"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2020</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38"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2572</w:t>
            </w:r>
          </w:p>
        </w:tc>
      </w:tr>
      <w:tr>
        <w:trPr>
          <w:cantSplit w:val="0"/>
          <w:trHeight w:val="324" w:hRule="atLeast"/>
          <w:tblHeader w:val="0"/>
        </w:trPr>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5"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2021</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5"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2536</w:t>
            </w:r>
          </w:p>
        </w:tc>
      </w:tr>
      <w:tr>
        <w:trPr>
          <w:cantSplit w:val="0"/>
          <w:trHeight w:val="351" w:hRule="atLeast"/>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5"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2022</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5"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3045</w:t>
            </w:r>
          </w:p>
        </w:tc>
      </w:tr>
      <w:tr>
        <w:trPr>
          <w:cantSplit w:val="0"/>
          <w:trHeight w:val="351" w:hRule="atLeast"/>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38"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2023</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38"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2925</w:t>
            </w:r>
          </w:p>
        </w:tc>
      </w:tr>
      <w:tr>
        <w:trPr>
          <w:cantSplit w:val="0"/>
          <w:trHeight w:val="297" w:hRule="atLeast"/>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15" w:line="212" w:lineRule="auto"/>
              <w:ind w:right="216"/>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2024</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15" w:line="212"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3644</w:t>
            </w:r>
          </w:p>
        </w:tc>
      </w:tr>
      <w:tr>
        <w:trPr>
          <w:cantSplit w:val="0"/>
          <w:trHeight w:val="324" w:hRule="atLeast"/>
          <w:tblHeader w:val="0"/>
        </w:trPr>
        <w:tc>
          <w:tcPr>
            <w:shd w:fill="d1f0da" w:val="cle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38" w:line="212" w:lineRule="auto"/>
              <w:ind w:left="3" w:right="216"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shd w:fill="d1f0da"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38" w:line="212" w:lineRule="auto"/>
              <w:ind w:right="21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14722</w:t>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DATASUS, 2024</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gender, women show higher rates with 8,377 cases, with a considerable difference compared to men, who had 6,345 cases (Table 3).</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Table 3: Gender of Elderly Individuals Hospitalized with Hypertension in the Period from 2020 to 2024</w:t>
      </w:r>
    </w:p>
    <w:tbl>
      <w:tblPr>
        <w:tblStyle w:val="Table3"/>
        <w:tblW w:w="4604.0" w:type="dxa"/>
        <w:jc w:val="center"/>
        <w:tblBorders>
          <w:insideH w:color="000000" w:space="0" w:sz="4" w:val="single"/>
          <w:insideV w:color="000000" w:space="0" w:sz="4" w:val="single"/>
        </w:tblBorders>
        <w:tblLayout w:type="fixed"/>
        <w:tblLook w:val="0000"/>
      </w:tblPr>
      <w:tblGrid>
        <w:gridCol w:w="2566"/>
        <w:gridCol w:w="2038"/>
        <w:tblGridChange w:id="0">
          <w:tblGrid>
            <w:gridCol w:w="2566"/>
            <w:gridCol w:w="2038"/>
          </w:tblGrid>
        </w:tblGridChange>
      </w:tblGrid>
      <w:tr>
        <w:trPr>
          <w:cantSplit w:val="0"/>
          <w:trHeight w:val="426" w:hRule="atLeast"/>
          <w:tblHeader w:val="0"/>
        </w:trPr>
        <w:tc>
          <w:tcPr>
            <w:shd w:fill="daf0f3" w:val="cle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38" w:line="212" w:lineRule="auto"/>
              <w:ind w:left="238" w:right="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GENDER</w:t>
            </w:r>
          </w:p>
        </w:tc>
        <w:tc>
          <w:tcPr>
            <w:shd w:fill="daf0f3" w:val="clea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38" w:line="212" w:lineRule="auto"/>
              <w:ind w:left="24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QUANTITY</w:t>
            </w:r>
          </w:p>
        </w:tc>
      </w:tr>
      <w:tr>
        <w:trPr>
          <w:cantSplit w:val="0"/>
          <w:trHeight w:val="461"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38" w:lineRule="auto"/>
              <w:ind w:left="238" w:right="2"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Male</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38" w:lineRule="auto"/>
              <w:ind w:left="240"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6345</w:t>
            </w:r>
          </w:p>
        </w:tc>
      </w:tr>
      <w:tr>
        <w:trPr>
          <w:cantSplit w:val="0"/>
          <w:trHeight w:val="390" w:hRule="atLeast"/>
          <w:tblHeader w:val="0"/>
        </w:trPr>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6" w:line="212" w:lineRule="auto"/>
              <w:ind w:left="238" w:right="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Female</w:t>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6" w:line="212" w:lineRule="auto"/>
              <w:ind w:left="240"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8377</w:t>
            </w:r>
          </w:p>
        </w:tc>
      </w:tr>
      <w:tr>
        <w:trPr>
          <w:cantSplit w:val="0"/>
          <w:trHeight w:val="497" w:hRule="atLeast"/>
          <w:tblHeader w:val="0"/>
        </w:trPr>
        <w:tc>
          <w:tcPr>
            <w:shd w:fill="daf0f3"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83" w:line="212" w:lineRule="auto"/>
              <w:ind w:left="238"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shd w:fill="daf0f3"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83" w:line="212" w:lineRule="auto"/>
              <w:ind w:left="240"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14722</w:t>
            </w:r>
          </w:p>
        </w:tc>
      </w:tr>
    </w:tbl>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DATASUS, 2024</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Table 4, it is noted that the age group with the highest incidence of cases was elderly individuals between 60 and 69 years old, with 3,243 cases.</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Table 4: Age Group of Elderly Individuals Hospitalized with Hypertension in the Period from 2020 to 2024</w:t>
      </w:r>
    </w:p>
    <w:tbl>
      <w:tblPr>
        <w:tblStyle w:val="Table4"/>
        <w:tblW w:w="4327.0" w:type="dxa"/>
        <w:jc w:val="center"/>
        <w:tblBorders>
          <w:insideH w:color="000000" w:space="0" w:sz="4" w:val="single"/>
          <w:insideV w:color="000000" w:space="0" w:sz="4" w:val="single"/>
        </w:tblBorders>
        <w:tblLayout w:type="fixed"/>
        <w:tblLook w:val="0000"/>
      </w:tblPr>
      <w:tblGrid>
        <w:gridCol w:w="2742"/>
        <w:gridCol w:w="1585"/>
        <w:tblGridChange w:id="0">
          <w:tblGrid>
            <w:gridCol w:w="2742"/>
            <w:gridCol w:w="1585"/>
          </w:tblGrid>
        </w:tblGridChange>
      </w:tblGrid>
      <w:tr>
        <w:trPr>
          <w:cantSplit w:val="0"/>
          <w:trHeight w:val="360" w:hRule="atLeast"/>
          <w:tblHeader w:val="0"/>
        </w:trPr>
        <w:tc>
          <w:tcPr>
            <w:shd w:fill="fadad6"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38" w:line="212" w:lineRule="auto"/>
              <w:ind w:left="17" w:right="10"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AGE GROUP OF THE ELDERLY</w:t>
            </w:r>
          </w:p>
        </w:tc>
        <w:tc>
          <w:tcPr>
            <w:shd w:fill="fadad6"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38" w:line="212" w:lineRule="auto"/>
              <w:ind w:left="24"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QUANTITY</w:t>
            </w:r>
          </w:p>
        </w:tc>
      </w:tr>
      <w:tr>
        <w:trPr>
          <w:cantSplit w:val="0"/>
          <w:trHeight w:val="421" w:hRule="atLeast"/>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before="38" w:lineRule="auto"/>
              <w:ind w:left="17" w:right="4"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 to 69 years</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before="38" w:lineRule="auto"/>
              <w:ind w:left="24"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3243</w:t>
            </w:r>
          </w:p>
        </w:tc>
      </w:tr>
      <w:tr>
        <w:trPr>
          <w:cantSplit w:val="0"/>
          <w:trHeight w:val="390" w:hRule="atLeast"/>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before="38" w:lineRule="auto"/>
              <w:ind w:left="17" w:right="4"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70 to 79 years</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before="38" w:lineRule="auto"/>
              <w:ind w:left="24"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2809</w:t>
            </w:r>
          </w:p>
        </w:tc>
      </w:tr>
      <w:tr>
        <w:trPr>
          <w:cantSplit w:val="0"/>
          <w:trHeight w:val="330" w:hRule="atLeast"/>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15" w:line="212" w:lineRule="auto"/>
              <w:ind w:left="17" w:right="4"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 years and older</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before="15" w:line="212" w:lineRule="auto"/>
              <w:ind w:left="24"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1684</w:t>
            </w:r>
          </w:p>
        </w:tc>
      </w:tr>
      <w:tr>
        <w:trPr>
          <w:cantSplit w:val="0"/>
          <w:trHeight w:val="360" w:hRule="atLeast"/>
          <w:tblHeader w:val="0"/>
        </w:trPr>
        <w:tc>
          <w:tcPr>
            <w:shd w:fill="fadad6" w:val="clear"/>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before="38" w:line="212" w:lineRule="auto"/>
              <w:ind w:left="1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shd w:fill="fadad6" w:val="clea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38" w:line="212" w:lineRule="auto"/>
              <w:ind w:left="24"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7736</w:t>
            </w:r>
          </w:p>
        </w:tc>
      </w:tr>
    </w:tbl>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DATASUS, 2024</w:t>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color/race, elderly individuals identified as brown (pardo) showed the highest incidence rate with 6,153 cases, followed by those identified as white with 177 cases. It is noteworthy that in 1,225 cases, there was no information on color/race (Table 5).</w:t>
        <w:br w:type="textWrapping"/>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5: Color/Race of Elderly Individuals Hospitalized with Hypertension in the Period from 2020 to 2024</w:t>
      </w:r>
    </w:p>
    <w:tbl>
      <w:tblPr>
        <w:tblStyle w:val="Table5"/>
        <w:tblW w:w="4062.0" w:type="dxa"/>
        <w:jc w:val="center"/>
        <w:tblBorders>
          <w:insideH w:color="000000" w:space="0" w:sz="4" w:val="single"/>
          <w:insideV w:color="000000" w:space="0" w:sz="4" w:val="single"/>
        </w:tblBorders>
        <w:tblLayout w:type="fixed"/>
        <w:tblLook w:val="0000"/>
      </w:tblPr>
      <w:tblGrid>
        <w:gridCol w:w="2496"/>
        <w:gridCol w:w="1566"/>
        <w:tblGridChange w:id="0">
          <w:tblGrid>
            <w:gridCol w:w="2496"/>
            <w:gridCol w:w="1566"/>
          </w:tblGrid>
        </w:tblGridChange>
      </w:tblGrid>
      <w:tr>
        <w:trPr>
          <w:cantSplit w:val="0"/>
          <w:trHeight w:val="328" w:hRule="atLeast"/>
          <w:tblHeader w:val="0"/>
        </w:trPr>
        <w:tc>
          <w:tcPr>
            <w:shd w:fill="ccff33"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before="38" w:line="212" w:lineRule="auto"/>
              <w:ind w:left="37" w:right="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COLOR/RACE OF THE ELDERLY</w:t>
            </w:r>
          </w:p>
        </w:tc>
        <w:tc>
          <w:tcPr>
            <w:shd w:fill="ccff33"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before="38" w:line="212" w:lineRule="auto"/>
              <w:ind w:left="39"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QUANTITY</w:t>
            </w:r>
          </w:p>
        </w:tc>
      </w:tr>
      <w:tr>
        <w:trPr>
          <w:cantSplit w:val="0"/>
          <w:trHeight w:val="354" w:hRule="atLeast"/>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before="38" w:lineRule="auto"/>
              <w:ind w:left="37"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White</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38"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177</w:t>
            </w:r>
          </w:p>
        </w:tc>
      </w:tr>
      <w:tr>
        <w:trPr>
          <w:cantSplit w:val="0"/>
          <w:trHeight w:val="354" w:hRule="atLeast"/>
          <w:tblHeader w:val="0"/>
        </w:trPr>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15" w:lineRule="auto"/>
              <w:ind w:left="37" w:right="1"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Black</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15"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55</w:t>
            </w:r>
          </w:p>
        </w:tc>
      </w:tr>
      <w:tr>
        <w:trPr>
          <w:cantSplit w:val="0"/>
          <w:trHeight w:val="382" w:hRule="atLeast"/>
          <w:tblHeader w:val="0"/>
        </w:trPr>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38" w:lineRule="auto"/>
              <w:ind w:left="37" w:right="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Brown</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38"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6153</w:t>
            </w:r>
          </w:p>
        </w:tc>
      </w:tr>
      <w:tr>
        <w:trPr>
          <w:cantSplit w:val="0"/>
          <w:trHeight w:val="382" w:hRule="atLeast"/>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before="38" w:lineRule="auto"/>
              <w:ind w:left="37"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Yellow</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38"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117</w:t>
            </w:r>
          </w:p>
        </w:tc>
      </w:tr>
      <w:tr>
        <w:trPr>
          <w:cantSplit w:val="0"/>
          <w:trHeight w:val="382" w:hRule="atLeast"/>
          <w:tblHeader w:val="0"/>
        </w:trPr>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before="38" w:lineRule="auto"/>
              <w:ind w:left="37"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Indigenous</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38"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r>
      <w:tr>
        <w:trPr>
          <w:cantSplit w:val="0"/>
          <w:trHeight w:val="326" w:hRule="atLeast"/>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before="38" w:line="212" w:lineRule="auto"/>
              <w:ind w:left="37" w:right="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information</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before="38" w:line="212"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1225</w:t>
            </w:r>
          </w:p>
        </w:tc>
      </w:tr>
      <w:tr>
        <w:trPr>
          <w:cantSplit w:val="0"/>
          <w:trHeight w:val="382" w:hRule="atLeast"/>
          <w:tblHeader w:val="0"/>
        </w:trPr>
        <w:tc>
          <w:tcPr>
            <w:shd w:fill="ccff33"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before="83" w:line="212" w:lineRule="auto"/>
              <w:ind w:left="37"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shd w:fill="ccff33"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83" w:line="212" w:lineRule="auto"/>
              <w:ind w:left="39" w:right="3"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7736</w:t>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DATASUS/SINAN, 2024</w:t>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rPr>
          <w:highlight w:val="yellow"/>
        </w:rPr>
      </w:pPr>
      <w:r w:rsidDel="00000000" w:rsidR="00000000" w:rsidRPr="00000000">
        <w:rPr>
          <w:rFonts w:ascii="Times New Roman" w:cs="Times New Roman" w:eastAsia="Times New Roman" w:hAnsi="Times New Roman"/>
          <w:b w:val="1"/>
          <w:bCs w:val="1"/>
          <w:highlight w:val="yellow"/>
          <w:rtl w:val="0"/>
        </w:rPr>
        <w:t xml:space="preserve">DISCUSSION</w:t>
      </w: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study analyzed hospitalizations due to systemic arterial hypertension among older adults in the State of Pará, Brazil, between 2020 and 2024. The findings showed that the highest number of hospitalizations occurred in Belém, which may be explained not only by its larger population size but also by its role as a regional reference center for healthcare services, concentrating more complex hospital care (1).</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Santo Antônio do Tauá also presented a high number of hospitalizations, which may reflect local sociodemographic conditions, access to healthcare services, and the burden of chronic diseases. These findings are consistent with the demographic and epidemiological transitions observed in Brazil, characterized by population aging and an increased prevalence of chronic non-communicable diseases (3,14).</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year 2024 recorded the highest number of hospitalizations, while 2021 presented the lowest values. This pattern may be partially influenced by the COVID-19 pandemic, which affected healthcare access and hospitalization patterns during the study period (16).</w:t>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sex distribution, a higher number of hospitalizations was observed among women. This finding is consistent with previous studies that also identified a predominance of females among hospitalized patients with hypertension (10,16). This pattern may be associated with differences in healthcare utilization, as women tend to seek health services more frequently, as well as biological and social factors (3).</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age group analysis showed a higher concentration of hospitalizations among individuals aged 60 to 69 years, which may reflect the demographic structure of the elderly population in Brazil, where younger elderly individuals represent a larger proportion (14,15).</w:t>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relation to race/skin color, a higher number of hospitalizations was observed among individuals classified as mixed-race (brown). This finding is consistent with studies that demonstrate differences in hypertension outcomes among racial groups, which may be influenced by social determinants of health (16). However, this result should be interpreted with caution due to the presence of missing or incomplete data in secondary databases.</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presence of missing data, particularly in variables such as race/skin color, has been reported in national studies, reflecting limitations in data quality within health information systems (1).</w:t>
      </w:r>
    </w:p>
    <w:p w:rsidR="00000000" w:rsidDel="00000000" w:rsidP="00000000" w:rsidRDefault="00000000" w:rsidRPr="00000000" w14:paraId="0000017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This study has some limitations. The use of secondary data may be subject to underreporting and inconsistencies in data recording. In addition, some variables, such as age group and race/color, presented missing information in the database, resulting in a reduced number of observations in these analyses compared to the total number of hospitalizations. The absence of population-based denominators also limits the calculation of rates, and causal inferences cannot be established.</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limitations, the study provides relevant information for public health planning. Strengthening primary healthcare, improving access to early diagnosis and treatment, and promoting strategies for the control of hypertension are essential to reduce hospitalizations among older adults.</w:t>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CONCLUSION</w:t>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aimed to analyze hospitalizations due to systemic arterial hypertension among elderly individuals in the State of Pará, Brazil, from 2020 to 2024. The findings demonstrate that hospitalizations are unevenly distributed across municipalities, with higher frequencies observed in the metropolitan region, particularly in the capital, as well as in inland municipalities such as Santo Antônio do Tauá.</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higher occurrence was identified among elderly women, individuals aged 60–69 years, and those classified as mixed-race (brown), indicating sociodemographic patterns that should be considered in public health planning.</w:t>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results highlight the importance of strengthening preventive actions, early diagnosis, and continuous management of hypertension, especially in vulnerable populations and regions with higher hospitalization frequencies.</w:t>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has limitations, including the use of secondary data, possible underreporting, the absence of population-based denominators, and the inability to establish causal relationships. Therefore, the findings should be interpreted with caution.</w:t>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studies are recommended to incorporate analytical approaches, longer time series, and population-based indicators, in order to better understand the determinants of hospitalizations due to hypertension.</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keepNext w:val="1"/>
        <w:keepLines w:val="1"/>
        <w:spacing w:after="120" w:before="120" w:line="360" w:lineRule="auto"/>
        <w:jc w:val="both"/>
        <w:rPr>
          <w:rFonts w:ascii="Times New Roman" w:cs="Times New Roman" w:eastAsia="Times New Roman" w:hAnsi="Times New Roman"/>
          <w:highlight w:val="yellow"/>
        </w:rPr>
      </w:pPr>
      <w:bookmarkStart w:colFirst="0" w:colLast="0" w:name="_21d4j3c066ei" w:id="0"/>
      <w:bookmarkEnd w:id="0"/>
      <w:r w:rsidDel="00000000" w:rsidR="00000000" w:rsidRPr="00000000">
        <w:rPr>
          <w:rFonts w:ascii="Times New Roman" w:cs="Times New Roman" w:eastAsia="Times New Roman" w:hAnsi="Times New Roman"/>
          <w:highlight w:val="yellow"/>
          <w:rtl w:val="0"/>
        </w:rPr>
        <w:t xml:space="preserve">Disclaimer (Artificial intelligence)</w:t>
      </w:r>
    </w:p>
    <w:p w:rsidR="00000000" w:rsidDel="00000000" w:rsidP="00000000" w:rsidRDefault="00000000" w:rsidRPr="00000000" w14:paraId="00000181">
      <w:pPr>
        <w:keepNext w:val="1"/>
        <w:keepLines w:val="1"/>
        <w:spacing w:after="120" w:before="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Author(s) hereby declare that NO generative AI technologies such as Large Language Models (ChatGPT, COPILOT, etc.) and text-to-image generators have been used during the writing or editing of this manuscript.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2">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3">
      <w:pPr>
        <w:rPr/>
      </w:pPr>
      <w:bookmarkStart w:colFirst="0" w:colLast="0" w:name="_9gmj06ls19zy" w:id="1"/>
      <w:bookmarkEnd w:id="1"/>
      <w:r w:rsidDel="00000000" w:rsidR="00000000" w:rsidRPr="00000000">
        <w:rPr>
          <w:rtl w:val="0"/>
        </w:rPr>
      </w:r>
    </w:p>
    <w:p w:rsidR="00000000" w:rsidDel="00000000" w:rsidP="00000000" w:rsidRDefault="00000000" w:rsidRPr="00000000" w14:paraId="00000184">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REFERENCES</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Brasil. Ministério da Saúde. Taxa de mortalidade por hipertensão arterial atinge maior valor dos últimos dez anos. 2023. Available from: https://guiadafarmacia.com.br/hipertensao-arterial-279-da-populacao-adulta-brasileira-convive-com-a-doenca/. Accessed 2025 Dec 1.</w:t>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Antunes TL, et al. Humanization of nursing care for elderly health: an integrative literature review. Múltiplos Acessos. 2021;6(3):151-163. doi:10.51721/2526-4036/v6n3a10.</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Connelly PJ, Currie G, Delles C. Sex differences in the prevalence, outcomes, and management of hypertension. Curr Hypertens Rep. 2022;24(6):185-192.</w:t>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Dias DEM, et al. Nursing actions in promoting the health of institutionalized elderly: an integrative review. Braz J Health Rev. 2021;4(1):674-685. doi:10.34119/bjhrv4n1-057</w:t>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Fundação Oswaldo Cruz (Fiocruz). Health System Performance Evaluation Project: Informative Bulletin No. 10. 2022. Available from: https://www.proadess.icict.fiocruz.br/. Accessed 2025 Nov 15.</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Gomes LM, et al. Intervention plan for the control of diabetic and hypertensive patients in the Family Health Strategy. 2020</w:t>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Linares SMGL, et al. Dental care for diabetic patients in a multiprofessional context. 2022.</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Martins GA, Theóphilo CR. Methodology of scientific research for applied social sciences. São Paulo: Atlas; 2023.</w:t>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Oliveira MR, Lago VM. The role of the nurse and the multidisciplinary team in controlling systemic arterial hypertension through health education: an integrative review. Rev Eletrônica Acervo Saúde. 2021;13(4):e7042. doi:10.25248/reas.e7042.</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Pereira GH, et al. Analysis of hospital morbidity of patients with essential arterial hypertension in Maranhão. Res Soc Dev. 2024;13(11):1-9.</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Ribeiro IA, et al. Frail elderly syndrome in elderly individuals with chronic diseases in Primary Care. Rev Esc Enferm USP. 2020;53:e03449. doi:10.1590/S1980-220X2018002603449.</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Rocha JPS, et al. Systemic arterial hypertension in the elderly: lack of adherence to drug treatment. 2022.</w:t>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Santana A. The aging of the Brazilian population: current and future perspectives. 2020.</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Santos A, et al. Population aging: current reality and challenges. Glob Acad Nurs J. 2021;2(Suppl 3):e188.</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Silva LGC, et al. Assessment of functionality and mobility of community-dwelling elderly in primary health care. Rev Bras Geriatr Gerontol. 2021;22:e190086. doi:10.1590/1981-22562019022.190086.</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Sousa CT, Ribeiro A, Barreto SM, Giatti L, Brant L, Lotufo P, Figueiredo RCR. Racial differences in blood pressure control among users of antihypertensive monotherapy: results from the ELSA-Brazil study. Arq Bras Cardiol. 2022;118(3):614-622.</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Gungsuh"/>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PowerPlusWaterMarkObject3" style="position:absolute;width:539.45pt;height:59.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PowerPlusWaterMarkObject1" style="position:absolute;width:539.45pt;height:59.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mp;quot&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PowerPlusWaterMarkObject2" style="position:absolute;width:539.45pt;height:59.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mp;quot&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pPr>
    <w:rPr>
      <w:rFonts w:ascii="Aptos" w:cs="Aptos" w:eastAsia="Aptos" w:hAnsi="Aptos"/>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